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489" w14:textId="2288FB17" w:rsidR="001D6E2C" w:rsidRDefault="001D6E2C" w:rsidP="001D6E2C">
      <w:pPr>
        <w:pStyle w:val="Heading1"/>
      </w:pPr>
      <w:bookmarkStart w:id="0" w:name="OLE_LINK21"/>
      <w:bookmarkStart w:id="1" w:name="OLE_LINK22"/>
      <w:bookmarkStart w:id="2" w:name="OLE_LINK23"/>
      <w:bookmarkStart w:id="3" w:name="OLE_LINK17"/>
      <w:bookmarkStart w:id="4" w:name="OLE_LINK18"/>
      <w:bookmarkStart w:id="5" w:name="_Hlk119515783"/>
      <w:bookmarkStart w:id="6" w:name="_Toc58252047"/>
      <w:bookmarkStart w:id="7" w:name="_Toc119659849"/>
      <w:bookmarkStart w:id="8" w:name="_Toc119661128"/>
      <w:bookmarkStart w:id="9" w:name="_Toc119662361"/>
      <w:bookmarkStart w:id="10" w:name="_Toc119651103"/>
      <w:bookmarkStart w:id="11" w:name="_Toc119651285"/>
      <w:bookmarkStart w:id="12" w:name="_Toc119653229"/>
      <w:bookmarkStart w:id="13" w:name="_Toc94627973"/>
      <w:bookmarkStart w:id="14" w:name="_Toc95318468"/>
      <w:bookmarkStart w:id="15" w:name="_Toc115968460"/>
      <w:bookmarkStart w:id="16" w:name="_Toc88231059"/>
      <w:bookmarkStart w:id="17" w:name="_Toc47106092"/>
      <w:bookmarkStart w:id="18" w:name="_Toc35612081"/>
      <w:bookmarkStart w:id="19" w:name="_Toc37345982"/>
      <w:r>
        <w:t xml:space="preserve">Research Report - </w:t>
      </w:r>
      <w:r w:rsidR="002B2C24">
        <w:t>Violence, abuse, neglect and exploitation of LGBTQA+ people with disability: a secondary analysis of data from two national surveys</w:t>
      </w:r>
      <w:bookmarkEnd w:id="7"/>
      <w:bookmarkEnd w:id="8"/>
      <w:bookmarkEnd w:id="9"/>
      <w:r w:rsidR="002B2C24">
        <w:t xml:space="preserve"> </w:t>
      </w:r>
      <w:bookmarkEnd w:id="10"/>
      <w:bookmarkEnd w:id="11"/>
      <w:bookmarkEnd w:id="12"/>
    </w:p>
    <w:p w14:paraId="5565DFCF" w14:textId="77777777" w:rsidR="003E27FC" w:rsidRDefault="003E27FC" w:rsidP="003E27FC">
      <w:pPr>
        <w:pStyle w:val="Heading2"/>
      </w:pPr>
      <w:bookmarkStart w:id="20" w:name="_Toc119659850"/>
      <w:bookmarkStart w:id="21" w:name="_Toc119661129"/>
      <w:bookmarkStart w:id="22" w:name="_Toc119662362"/>
      <w:r>
        <w:t>Australian Research Centre in Sex, Health and Society, La Trobe University</w:t>
      </w:r>
      <w:bookmarkEnd w:id="20"/>
      <w:bookmarkEnd w:id="21"/>
      <w:bookmarkEnd w:id="22"/>
    </w:p>
    <w:p w14:paraId="1FDFD502" w14:textId="6138FAA8" w:rsidR="003E27FC" w:rsidRDefault="003E27FC" w:rsidP="003E27FC">
      <w:pPr>
        <w:pStyle w:val="Heading2"/>
      </w:pPr>
      <w:bookmarkStart w:id="23" w:name="_Toc119659851"/>
      <w:bookmarkStart w:id="24" w:name="_Toc119661130"/>
      <w:bookmarkStart w:id="25" w:name="_Toc119662363"/>
      <w:r>
        <w:t xml:space="preserve">Living with Disability Research Centre, </w:t>
      </w:r>
      <w:r w:rsidR="00172963">
        <w:br/>
      </w:r>
      <w:r>
        <w:t>La Trobe University</w:t>
      </w:r>
      <w:bookmarkEnd w:id="23"/>
      <w:bookmarkEnd w:id="24"/>
      <w:bookmarkEnd w:id="25"/>
    </w:p>
    <w:p w14:paraId="1E897C08" w14:textId="68FB62EC" w:rsidR="009D0006" w:rsidRPr="006E4CDB" w:rsidRDefault="003E27FC" w:rsidP="003E27FC">
      <w:pPr>
        <w:pStyle w:val="Heading3"/>
      </w:pPr>
      <w:bookmarkStart w:id="26" w:name="_Toc119659852"/>
      <w:bookmarkStart w:id="27" w:name="_Toc119661131"/>
      <w:r>
        <w:t xml:space="preserve">November </w:t>
      </w:r>
      <w:r w:rsidR="001D6E2C">
        <w:t>2022</w:t>
      </w:r>
      <w:r w:rsidR="00466C21" w:rsidRPr="009A6790">
        <w:br w:type="page"/>
      </w:r>
      <w:bookmarkStart w:id="28" w:name="_Toc119651106"/>
      <w:bookmarkStart w:id="29" w:name="_Toc119651288"/>
      <w:bookmarkStart w:id="30" w:name="_Toc119653232"/>
      <w:r w:rsidR="009D0006">
        <w:lastRenderedPageBreak/>
        <w:t>Authors</w:t>
      </w:r>
      <w:bookmarkEnd w:id="13"/>
      <w:bookmarkEnd w:id="14"/>
      <w:bookmarkEnd w:id="15"/>
      <w:bookmarkEnd w:id="26"/>
      <w:bookmarkEnd w:id="27"/>
      <w:bookmarkEnd w:id="28"/>
      <w:bookmarkEnd w:id="29"/>
      <w:bookmarkEnd w:id="30"/>
    </w:p>
    <w:p w14:paraId="473BD2F1" w14:textId="22D9F60F" w:rsidR="009D0006" w:rsidRDefault="009D0006" w:rsidP="002C7BF2">
      <w:pPr>
        <w:rPr>
          <w:vertAlign w:val="superscript"/>
        </w:rPr>
      </w:pPr>
      <w:r>
        <w:t xml:space="preserve">Adam O. Hill </w:t>
      </w:r>
      <w:r>
        <w:rPr>
          <w:vertAlign w:val="superscript"/>
        </w:rPr>
        <w:t>a</w:t>
      </w:r>
      <w:r w:rsidR="00466C21">
        <w:rPr>
          <w:vertAlign w:val="superscript"/>
        </w:rPr>
        <w:br/>
      </w:r>
      <w:r>
        <w:t xml:space="preserve">Natalie Amos </w:t>
      </w:r>
      <w:r>
        <w:rPr>
          <w:vertAlign w:val="superscript"/>
        </w:rPr>
        <w:t>a</w:t>
      </w:r>
      <w:r w:rsidR="00466C21">
        <w:rPr>
          <w:vertAlign w:val="superscript"/>
        </w:rPr>
        <w:br/>
      </w:r>
      <w:r>
        <w:t xml:space="preserve">Adam Bourne </w:t>
      </w:r>
      <w:r>
        <w:rPr>
          <w:vertAlign w:val="superscript"/>
        </w:rPr>
        <w:t>a</w:t>
      </w:r>
      <w:r w:rsidR="00466C21">
        <w:rPr>
          <w:vertAlign w:val="superscript"/>
        </w:rPr>
        <w:br/>
      </w:r>
      <w:r>
        <w:t xml:space="preserve">Matthew Parsons </w:t>
      </w:r>
      <w:r>
        <w:rPr>
          <w:vertAlign w:val="superscript"/>
        </w:rPr>
        <w:t>a</w:t>
      </w:r>
      <w:r w:rsidR="00466C21">
        <w:rPr>
          <w:vertAlign w:val="superscript"/>
        </w:rPr>
        <w:br/>
      </w:r>
      <w:r>
        <w:t xml:space="preserve">Christine Bigby </w:t>
      </w:r>
      <w:r>
        <w:rPr>
          <w:vertAlign w:val="superscript"/>
        </w:rPr>
        <w:t>b</w:t>
      </w:r>
      <w:r w:rsidR="00466C21">
        <w:rPr>
          <w:vertAlign w:val="superscript"/>
        </w:rPr>
        <w:br/>
      </w:r>
      <w:r>
        <w:t xml:space="preserve">Marina Carman </w:t>
      </w:r>
      <w:r>
        <w:rPr>
          <w:vertAlign w:val="superscript"/>
        </w:rPr>
        <w:t>a</w:t>
      </w:r>
      <w:r w:rsidR="00466C21">
        <w:rPr>
          <w:vertAlign w:val="superscript"/>
        </w:rPr>
        <w:br/>
      </w:r>
      <w:r>
        <w:t xml:space="preserve">Anthony Lyons </w:t>
      </w:r>
      <w:r>
        <w:rPr>
          <w:vertAlign w:val="superscript"/>
        </w:rPr>
        <w:t>a</w:t>
      </w:r>
    </w:p>
    <w:p w14:paraId="5D1843F0" w14:textId="77777777" w:rsidR="009D0006" w:rsidRDefault="009D0006" w:rsidP="002C7BF2">
      <w:r>
        <w:rPr>
          <w:vertAlign w:val="superscript"/>
        </w:rPr>
        <w:t>a</w:t>
      </w:r>
      <w:r>
        <w:t xml:space="preserve"> </w:t>
      </w:r>
      <w:r w:rsidRPr="00892231">
        <w:t>Australian Research Centre in Sex, Health and Society, La Trobe University</w:t>
      </w:r>
    </w:p>
    <w:p w14:paraId="06F3269B" w14:textId="77777777" w:rsidR="009D0006" w:rsidRPr="001C2DCF" w:rsidRDefault="009D0006" w:rsidP="002C7BF2">
      <w:r>
        <w:rPr>
          <w:vertAlign w:val="superscript"/>
        </w:rPr>
        <w:t>b</w:t>
      </w:r>
      <w:r>
        <w:t xml:space="preserve"> </w:t>
      </w:r>
      <w:r w:rsidRPr="00892231">
        <w:t>Living with Disability Research Centre, La Trobe University</w:t>
      </w:r>
    </w:p>
    <w:p w14:paraId="391CC8AC" w14:textId="77777777" w:rsidR="009D0006" w:rsidRPr="006E4CDB" w:rsidRDefault="009D0006" w:rsidP="002C7BF2">
      <w:pPr>
        <w:pStyle w:val="Heading3"/>
      </w:pPr>
      <w:bookmarkStart w:id="31" w:name="_Toc94627974"/>
      <w:bookmarkStart w:id="32" w:name="_Toc95318469"/>
      <w:bookmarkStart w:id="33" w:name="_Toc115968461"/>
      <w:bookmarkStart w:id="34" w:name="_Toc119651107"/>
      <w:bookmarkStart w:id="35" w:name="_Toc119651289"/>
      <w:bookmarkStart w:id="36" w:name="_Toc119653233"/>
      <w:bookmarkStart w:id="37" w:name="_Toc119659853"/>
      <w:bookmarkStart w:id="38" w:name="_Toc119661132"/>
      <w:r w:rsidRPr="006E4CDB">
        <w:t>Suggested citation</w:t>
      </w:r>
      <w:bookmarkEnd w:id="16"/>
      <w:bookmarkEnd w:id="31"/>
      <w:bookmarkEnd w:id="32"/>
      <w:bookmarkEnd w:id="33"/>
      <w:bookmarkEnd w:id="34"/>
      <w:bookmarkEnd w:id="35"/>
      <w:bookmarkEnd w:id="36"/>
      <w:bookmarkEnd w:id="37"/>
      <w:bookmarkEnd w:id="38"/>
    </w:p>
    <w:p w14:paraId="204B4973" w14:textId="77777777" w:rsidR="009D0006" w:rsidRPr="006E4CDB" w:rsidRDefault="009D0006" w:rsidP="002C7BF2">
      <w:pPr>
        <w:rPr>
          <w:lang w:bidi="en-US"/>
        </w:rPr>
      </w:pPr>
      <w:r>
        <w:rPr>
          <w:lang w:bidi="en-US"/>
        </w:rPr>
        <w:t xml:space="preserve">Hill, A. O., Amos, N., Bourne, A., Parsons, M, Bigby, C., Carman, M., &amp; Lyons, A. (2022). </w:t>
      </w:r>
      <w:r w:rsidRPr="002C7BF2">
        <w:rPr>
          <w:i/>
          <w:lang w:bidi="en-US"/>
        </w:rPr>
        <w:t>Violence, abuse, neglect and exploitation of LGBTQA+ people with disability: a secondary analysis of data from two national surveys</w:t>
      </w:r>
      <w:r w:rsidRPr="006E4CDB">
        <w:rPr>
          <w:lang w:bidi="en-US"/>
        </w:rPr>
        <w:t>. Melbourne</w:t>
      </w:r>
      <w:r>
        <w:rPr>
          <w:lang w:bidi="en-US"/>
        </w:rPr>
        <w:t xml:space="preserve">, Australia: </w:t>
      </w:r>
      <w:r w:rsidRPr="006E4CDB">
        <w:rPr>
          <w:lang w:bidi="en-US"/>
        </w:rPr>
        <w:t>Australian Research Centre in Sex, Health and Society, La Trobe University.</w:t>
      </w:r>
    </w:p>
    <w:p w14:paraId="27307500" w14:textId="77777777" w:rsidR="009D0006" w:rsidRDefault="009D0006" w:rsidP="00FE2A3A">
      <w:pPr>
        <w:pStyle w:val="Heading3"/>
      </w:pPr>
      <w:bookmarkStart w:id="39" w:name="_Toc119659854"/>
      <w:bookmarkStart w:id="40" w:name="_Toc119661133"/>
      <w:r>
        <w:t>For enquiries, please contact:</w:t>
      </w:r>
      <w:bookmarkEnd w:id="39"/>
      <w:bookmarkEnd w:id="40"/>
    </w:p>
    <w:p w14:paraId="090541D1" w14:textId="77777777" w:rsidR="009D0006" w:rsidRPr="006E4CDB" w:rsidRDefault="009D0006" w:rsidP="002C7BF2">
      <w:pPr>
        <w:rPr>
          <w:rFonts w:cs="Arial"/>
          <w:color w:val="000000"/>
        </w:rPr>
      </w:pPr>
      <w:r w:rsidRPr="006E4CDB">
        <w:rPr>
          <w:rFonts w:cs="Arial"/>
          <w:color w:val="000000"/>
        </w:rPr>
        <w:t xml:space="preserve">A/Prof Adam Bourne </w:t>
      </w:r>
    </w:p>
    <w:p w14:paraId="29BAA6F9" w14:textId="77777777" w:rsidR="009D0006" w:rsidRPr="006E4CDB" w:rsidRDefault="009D0006" w:rsidP="002C7BF2">
      <w:pPr>
        <w:rPr>
          <w:rFonts w:cs="Arial"/>
          <w:color w:val="000000"/>
        </w:rPr>
      </w:pPr>
      <w:r>
        <w:rPr>
          <w:rFonts w:cs="Arial"/>
          <w:color w:val="000000"/>
        </w:rPr>
        <w:t>Australian Research Centre in Sex, Health and Society</w:t>
      </w:r>
    </w:p>
    <w:p w14:paraId="78A47333" w14:textId="77777777" w:rsidR="009D0006" w:rsidRDefault="009D0006" w:rsidP="002C7BF2">
      <w:pPr>
        <w:rPr>
          <w:rFonts w:cs="Arial"/>
          <w:color w:val="000000"/>
        </w:rPr>
      </w:pPr>
      <w:r>
        <w:rPr>
          <w:rFonts w:cs="Arial"/>
          <w:color w:val="000000"/>
        </w:rPr>
        <w:t>La Trobe University</w:t>
      </w:r>
    </w:p>
    <w:p w14:paraId="57E45613" w14:textId="77777777" w:rsidR="009D0006" w:rsidRPr="006E4CDB" w:rsidRDefault="009D0006" w:rsidP="002C7BF2">
      <w:pPr>
        <w:rPr>
          <w:rFonts w:cs="Arial"/>
          <w:color w:val="000000"/>
        </w:rPr>
      </w:pPr>
      <w:r>
        <w:rPr>
          <w:rFonts w:cs="Arial"/>
          <w:color w:val="000000"/>
        </w:rPr>
        <w:t>Victoria, 3086, Australia</w:t>
      </w:r>
    </w:p>
    <w:p w14:paraId="05C3670B" w14:textId="77777777" w:rsidR="009D0006" w:rsidRPr="00892231" w:rsidRDefault="009D0006" w:rsidP="002C7BF2">
      <w:pPr>
        <w:rPr>
          <w:rFonts w:eastAsia="MS Mincho" w:cs="Arial"/>
          <w:color w:val="000000" w:themeColor="text1"/>
          <w:spacing w:val="5"/>
          <w:lang w:bidi="en-US"/>
        </w:rPr>
      </w:pPr>
      <w:r w:rsidRPr="00892231">
        <w:rPr>
          <w:lang w:eastAsia="en-GB"/>
        </w:rPr>
        <w:t xml:space="preserve">Disclaimer: Every effort has been made to ensure the information contained in this publication is accurate and current at the date of publication. </w:t>
      </w:r>
      <w:r w:rsidRPr="00892231">
        <w:br w:type="page"/>
      </w:r>
    </w:p>
    <w:p w14:paraId="3454B796" w14:textId="77777777" w:rsidR="009D0006" w:rsidRPr="006E4CDB" w:rsidRDefault="009D0006" w:rsidP="009D0006">
      <w:pPr>
        <w:pStyle w:val="Heading1"/>
      </w:pPr>
      <w:bookmarkStart w:id="41" w:name="_Toc115968462"/>
      <w:bookmarkStart w:id="42" w:name="_Toc119659855"/>
      <w:bookmarkStart w:id="43" w:name="_Toc119661134"/>
      <w:bookmarkStart w:id="44" w:name="_Toc119662364"/>
      <w:bookmarkStart w:id="45" w:name="_Hlk44946614"/>
      <w:bookmarkEnd w:id="17"/>
      <w:r w:rsidRPr="006E4CDB">
        <w:lastRenderedPageBreak/>
        <w:t>Acknowledgements</w:t>
      </w:r>
      <w:bookmarkEnd w:id="41"/>
      <w:bookmarkEnd w:id="42"/>
      <w:bookmarkEnd w:id="43"/>
      <w:bookmarkEnd w:id="44"/>
    </w:p>
    <w:p w14:paraId="3113BDE0" w14:textId="77777777" w:rsidR="009D0006" w:rsidRPr="006E4CDB" w:rsidRDefault="009D0006" w:rsidP="009D0006">
      <w:r w:rsidRPr="006E4CDB">
        <w:t>We wish to thank the Royal Commission into Violence, Abuse, Neglect and Exploitation of People with Disability for supporting and funding this report. We are very grateful for their support throughout the work involved in producing this report</w:t>
      </w:r>
      <w:r>
        <w:t>.</w:t>
      </w:r>
    </w:p>
    <w:p w14:paraId="5D67FFAF" w14:textId="77777777" w:rsidR="009D0006" w:rsidRPr="006E4CDB" w:rsidRDefault="009D0006" w:rsidP="009D0006">
      <w:r w:rsidRPr="006E4CDB">
        <w:t xml:space="preserve">This report presents the results from secondary analyses of two large national datasets, </w:t>
      </w:r>
      <w:r w:rsidRPr="00F77C35">
        <w:rPr>
          <w:i/>
        </w:rPr>
        <w:t xml:space="preserve">Writing Themselves In 4 </w:t>
      </w:r>
      <w:r w:rsidRPr="006E4CDB">
        <w:t xml:space="preserve">and </w:t>
      </w:r>
      <w:r w:rsidRPr="00F77C35">
        <w:rPr>
          <w:i/>
        </w:rPr>
        <w:t>Private Lives 3</w:t>
      </w:r>
      <w:r w:rsidRPr="006E4CDB">
        <w:t xml:space="preserve">. These studies were originally funded by a range of organisations and we wish to thank them for making these studies possible. The </w:t>
      </w:r>
      <w:r w:rsidRPr="00DB2EEA">
        <w:rPr>
          <w:i/>
          <w:iCs/>
        </w:rPr>
        <w:t xml:space="preserve">Writing Themselves In 4 </w:t>
      </w:r>
      <w:r w:rsidRPr="006E4CDB">
        <w:t xml:space="preserve">study was originally funded by the Victorian Government Department of Premier and Cabinet, the Australian Capital Territory Government Office for LGBTIQ+ Affairs, the New South Wales Government Department of Health and Shine SA, with support from the Office of the Chief Psychiatrist in South Australia. The </w:t>
      </w:r>
      <w:r w:rsidRPr="00DB2EEA">
        <w:rPr>
          <w:i/>
          <w:iCs/>
        </w:rPr>
        <w:t>Private Lives 3</w:t>
      </w:r>
      <w:r w:rsidRPr="006E4CDB">
        <w:t xml:space="preserve"> study was originally funded by the Victorian Government Department of Health and Human Services and the Victorian Government Department of Premier and Cabinet. </w:t>
      </w:r>
    </w:p>
    <w:p w14:paraId="79C8B716" w14:textId="77777777" w:rsidR="009D0006" w:rsidRPr="006E4CDB" w:rsidRDefault="009D0006" w:rsidP="009D0006">
      <w:r w:rsidRPr="006E4CDB">
        <w:t xml:space="preserve">This work was generously supported by members of an expert advisory group who provided advice and guidance at different stages of this work. This included: </w:t>
      </w:r>
    </w:p>
    <w:p w14:paraId="2424B105" w14:textId="77777777" w:rsidR="009D0006" w:rsidRPr="006E4CDB" w:rsidRDefault="009D0006" w:rsidP="009D0006">
      <w:r w:rsidRPr="006E4CDB">
        <w:t>Thomas</w:t>
      </w:r>
      <w:r>
        <w:t xml:space="preserve"> Banks</w:t>
      </w:r>
    </w:p>
    <w:p w14:paraId="2EA7C131" w14:textId="77777777" w:rsidR="009D0006" w:rsidRPr="006E4CDB" w:rsidRDefault="009D0006" w:rsidP="009D0006">
      <w:r w:rsidRPr="006E4CDB">
        <w:t>Lesley Champion</w:t>
      </w:r>
    </w:p>
    <w:p w14:paraId="74AB4D5D" w14:textId="77777777" w:rsidR="009D0006" w:rsidRPr="006E4CDB" w:rsidRDefault="009D0006" w:rsidP="009D0006">
      <w:r w:rsidRPr="006E4CDB">
        <w:t>Marg</w:t>
      </w:r>
      <w:r>
        <w:t>herita Coppolino</w:t>
      </w:r>
    </w:p>
    <w:p w14:paraId="6AC3DD72" w14:textId="77777777" w:rsidR="009D0006" w:rsidRPr="006E4CDB" w:rsidRDefault="009D0006" w:rsidP="009D0006">
      <w:r w:rsidRPr="006E4CDB">
        <w:t xml:space="preserve">Ivy McGowan </w:t>
      </w:r>
    </w:p>
    <w:p w14:paraId="77135792" w14:textId="307438CC" w:rsidR="009D0006" w:rsidRPr="006E4CDB" w:rsidRDefault="009D0006" w:rsidP="009D0006">
      <w:r>
        <w:t>Jar</w:t>
      </w:r>
      <w:r w:rsidR="006343A3">
        <w:t>a</w:t>
      </w:r>
      <w:r>
        <w:t>d McLoughlin</w:t>
      </w:r>
    </w:p>
    <w:p w14:paraId="3C13713A" w14:textId="77777777" w:rsidR="009D0006" w:rsidRPr="006E4CDB" w:rsidRDefault="009D0006" w:rsidP="009D0006">
      <w:r w:rsidRPr="006E4CDB">
        <w:t>Hayden Moon</w:t>
      </w:r>
    </w:p>
    <w:p w14:paraId="50EB9B35" w14:textId="77777777" w:rsidR="009D0006" w:rsidRPr="006E4CDB" w:rsidRDefault="009D0006" w:rsidP="009D0006">
      <w:r w:rsidRPr="006E4CDB">
        <w:t>Marika</w:t>
      </w:r>
      <w:r>
        <w:t xml:space="preserve"> Taylor</w:t>
      </w:r>
    </w:p>
    <w:p w14:paraId="79AE119F" w14:textId="77777777" w:rsidR="009D0006" w:rsidRPr="006E4CDB" w:rsidRDefault="009D0006" w:rsidP="009D0006">
      <w:r w:rsidRPr="006E4CDB">
        <w:t xml:space="preserve">We give our deepest thanks and appreciation to this group for their support, advice and guidance. </w:t>
      </w:r>
    </w:p>
    <w:p w14:paraId="25E70B02" w14:textId="77777777" w:rsidR="009D0006" w:rsidRPr="006E4CDB" w:rsidRDefault="009D0006" w:rsidP="009D0006">
      <w:r w:rsidRPr="00F77C35">
        <w:t xml:space="preserve">We also wish to acknowledge </w:t>
      </w:r>
      <w:r>
        <w:t>Nathan Despott, Darren Hedley, Gene Lim</w:t>
      </w:r>
      <w:r w:rsidRPr="00F77C35">
        <w:t xml:space="preserve"> and Elizabeth Smith for their advice </w:t>
      </w:r>
      <w:r>
        <w:t xml:space="preserve">and input </w:t>
      </w:r>
      <w:r w:rsidRPr="00F77C35">
        <w:t>at particular stages during this project.</w:t>
      </w:r>
      <w:r>
        <w:t xml:space="preserve"> </w:t>
      </w:r>
    </w:p>
    <w:p w14:paraId="2B9E0426" w14:textId="77777777" w:rsidR="009D0006" w:rsidRPr="006E4CDB" w:rsidRDefault="009D0006" w:rsidP="009D0006">
      <w:r w:rsidRPr="006E4CDB">
        <w:t xml:space="preserve">In addition, the </w:t>
      </w:r>
      <w:r w:rsidRPr="00F77C35">
        <w:rPr>
          <w:i/>
        </w:rPr>
        <w:t>Writing Themselves In 4</w:t>
      </w:r>
      <w:r w:rsidRPr="006E4CDB">
        <w:t xml:space="preserve"> and </w:t>
      </w:r>
      <w:r w:rsidRPr="00F77C35">
        <w:rPr>
          <w:i/>
        </w:rPr>
        <w:t>Private Lives 3</w:t>
      </w:r>
      <w:r w:rsidRPr="006E4CDB">
        <w:t xml:space="preserve"> studies were originally supported by several different advisory boards. We wish to take this opportunity to again thank these groups for their many valuable contributions to these studies. Please see the </w:t>
      </w:r>
      <w:r w:rsidRPr="00F77C35">
        <w:rPr>
          <w:i/>
        </w:rPr>
        <w:t>Writing Themselves In 4</w:t>
      </w:r>
      <w:r>
        <w:fldChar w:fldCharType="begin"/>
      </w:r>
      <w:r>
        <w:instrText xml:space="preserve"> ADDIN ZOTERO_ITEM CSL_CITATION {"citationID":"Fkpiz1Sh","properties":{"formattedCitation":"(1)","plainCitation":"(1)","noteIndex":0},"citationItems":[{"id":"hc6yy1rM/ZY4LR28S","uris":["http://zotero.org/users/4948307/items/7BM38QY5"],"itemData":{"id":3331,"type":"report","abstract":"The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R0hQbaaq","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rsidRPr="006E4CDB">
        <w:t xml:space="preserve"> national reports for full details of these </w:t>
      </w:r>
      <w:r w:rsidRPr="006E4CDB">
        <w:lastRenderedPageBreak/>
        <w:t xml:space="preserve">groups, as well as further acknowledgements of the contributions from many additional individuals and organisations to the original aspects of this research. Finally, we wish to acknowledge and thank the many thousands of participants who generously gave their time to completing the </w:t>
      </w:r>
      <w:r w:rsidRPr="00F77C35">
        <w:rPr>
          <w:i/>
        </w:rPr>
        <w:t>Writing Themselves In 4</w:t>
      </w:r>
      <w:r w:rsidRPr="006E4CDB">
        <w:t xml:space="preserve"> and </w:t>
      </w:r>
      <w:r w:rsidRPr="00F77C35">
        <w:rPr>
          <w:i/>
        </w:rPr>
        <w:t>Private Lives 3</w:t>
      </w:r>
      <w:r w:rsidRPr="006E4CDB">
        <w:t xml:space="preserve"> surveys. </w:t>
      </w:r>
    </w:p>
    <w:p w14:paraId="459BA3C2" w14:textId="77777777" w:rsidR="0046729C" w:rsidRPr="0046729C" w:rsidRDefault="0046729C" w:rsidP="0046729C">
      <w:pPr>
        <w:rPr>
          <w:rFonts w:eastAsia="SimSun" w:cs="Angsana New"/>
          <w:color w:val="46276B"/>
          <w:kern w:val="32"/>
          <w:szCs w:val="24"/>
        </w:rPr>
      </w:pPr>
      <w:bookmarkStart w:id="46" w:name="_Toc47106093"/>
      <w:bookmarkStart w:id="47" w:name="_Toc115968463"/>
      <w:bookmarkEnd w:id="45"/>
      <w:r w:rsidRPr="0046729C">
        <w:rPr>
          <w:szCs w:val="24"/>
        </w:rPr>
        <w:br w:type="page"/>
      </w:r>
    </w:p>
    <w:p w14:paraId="143E9D7D" w14:textId="1C1DFDBB" w:rsidR="009D0006" w:rsidRPr="006E4CDB" w:rsidRDefault="009D0006" w:rsidP="009D0006">
      <w:pPr>
        <w:pStyle w:val="Heading1"/>
      </w:pPr>
      <w:bookmarkStart w:id="48" w:name="_Toc119662365"/>
      <w:r w:rsidRPr="006E4CDB">
        <w:lastRenderedPageBreak/>
        <w:t>Funding</w:t>
      </w:r>
      <w:bookmarkEnd w:id="46"/>
      <w:bookmarkEnd w:id="47"/>
      <w:bookmarkEnd w:id="48"/>
    </w:p>
    <w:p w14:paraId="412C8500" w14:textId="77777777" w:rsidR="009D0006" w:rsidRPr="006E4CDB" w:rsidRDefault="009D0006" w:rsidP="002C7BF2">
      <w:pPr>
        <w:rPr>
          <w:lang w:val="en-US"/>
        </w:rPr>
      </w:pPr>
      <w:r w:rsidRPr="006E4CDB">
        <w:rPr>
          <w:lang w:val="en-US"/>
        </w:rPr>
        <w:t>This report received support from:</w:t>
      </w:r>
    </w:p>
    <w:p w14:paraId="63F71A81" w14:textId="77777777" w:rsidR="009D0006" w:rsidRPr="002C7BF2" w:rsidRDefault="009D0006" w:rsidP="002C7BF2">
      <w:pPr>
        <w:pStyle w:val="Bulletlist"/>
      </w:pPr>
      <w:r w:rsidRPr="002C7BF2">
        <w:t>The Royal Commission into Violence, Abuse, Neglect and Exploitation of People with Disability</w:t>
      </w:r>
    </w:p>
    <w:p w14:paraId="0EF8BE85" w14:textId="77777777" w:rsidR="009D0006" w:rsidRPr="006E4CDB" w:rsidRDefault="009D0006" w:rsidP="002C7BF2">
      <w:pPr>
        <w:rPr>
          <w:lang w:bidi="en-US"/>
        </w:rPr>
      </w:pPr>
      <w:r>
        <w:rPr>
          <w:lang w:bidi="en-US"/>
        </w:rPr>
        <w:t xml:space="preserve">The </w:t>
      </w:r>
      <w:r w:rsidRPr="006E4CDB">
        <w:rPr>
          <w:i/>
          <w:iCs/>
          <w:lang w:bidi="en-US"/>
        </w:rPr>
        <w:t xml:space="preserve">Writing Themselves In 4 </w:t>
      </w:r>
      <w:r>
        <w:rPr>
          <w:lang w:bidi="en-US"/>
        </w:rPr>
        <w:t xml:space="preserve">survey </w:t>
      </w:r>
      <w:r w:rsidRPr="006E4CDB">
        <w:rPr>
          <w:lang w:bidi="en-US"/>
        </w:rPr>
        <w:t xml:space="preserve">received support from: </w:t>
      </w:r>
    </w:p>
    <w:p w14:paraId="77B1BD98" w14:textId="77777777" w:rsidR="009D0006" w:rsidRPr="002C7BF2" w:rsidRDefault="009D0006" w:rsidP="002C7BF2">
      <w:pPr>
        <w:pStyle w:val="Bulletlist"/>
      </w:pPr>
      <w:r w:rsidRPr="002C7BF2">
        <w:t>The Victorian Government Department of Premier and Cabinet</w:t>
      </w:r>
    </w:p>
    <w:p w14:paraId="78C362C8" w14:textId="77777777" w:rsidR="009D0006" w:rsidRPr="002C7BF2" w:rsidRDefault="009D0006" w:rsidP="002C7BF2">
      <w:pPr>
        <w:pStyle w:val="Bulletlist"/>
      </w:pPr>
      <w:r w:rsidRPr="002C7BF2">
        <w:t>The Australian Capital Territory Government Office for LGBTIQ+ Affairs</w:t>
      </w:r>
    </w:p>
    <w:p w14:paraId="7AB18884" w14:textId="77777777" w:rsidR="009D0006" w:rsidRPr="002C7BF2" w:rsidRDefault="009D0006" w:rsidP="002C7BF2">
      <w:pPr>
        <w:pStyle w:val="Bulletlist"/>
      </w:pPr>
      <w:r w:rsidRPr="002C7BF2">
        <w:t>The New South Wales Government Department of Health</w:t>
      </w:r>
    </w:p>
    <w:p w14:paraId="07CF2585" w14:textId="77777777" w:rsidR="009D0006" w:rsidRPr="002C7BF2" w:rsidRDefault="009D0006" w:rsidP="002C7BF2">
      <w:pPr>
        <w:pStyle w:val="Bulletlist"/>
      </w:pPr>
      <w:r w:rsidRPr="002C7BF2">
        <w:t>SHINE SA, with support from the Office of the Chief Psychiatrist in South Australia</w:t>
      </w:r>
    </w:p>
    <w:p w14:paraId="78DB07AC" w14:textId="77777777" w:rsidR="009D0006" w:rsidRPr="006E4CDB" w:rsidRDefault="009D0006" w:rsidP="002C7BF2">
      <w:pPr>
        <w:rPr>
          <w:lang w:bidi="en-US"/>
        </w:rPr>
      </w:pPr>
      <w:r>
        <w:rPr>
          <w:lang w:bidi="en-US"/>
        </w:rPr>
        <w:t xml:space="preserve">The </w:t>
      </w:r>
      <w:r w:rsidRPr="006E4CDB">
        <w:rPr>
          <w:i/>
          <w:iCs/>
          <w:lang w:bidi="en-US"/>
        </w:rPr>
        <w:t xml:space="preserve">Private Lives 3 </w:t>
      </w:r>
      <w:r>
        <w:rPr>
          <w:lang w:bidi="en-US"/>
        </w:rPr>
        <w:t xml:space="preserve">survey </w:t>
      </w:r>
      <w:r w:rsidRPr="006E4CDB">
        <w:rPr>
          <w:lang w:bidi="en-US"/>
        </w:rPr>
        <w:t>received support from:</w:t>
      </w:r>
    </w:p>
    <w:p w14:paraId="0BEF913D" w14:textId="77777777" w:rsidR="009D0006" w:rsidRPr="002C7BF2" w:rsidRDefault="009D0006" w:rsidP="002C7BF2">
      <w:pPr>
        <w:pStyle w:val="Bulletlist"/>
      </w:pPr>
      <w:r w:rsidRPr="002C7BF2">
        <w:t xml:space="preserve">The Victorian Government Department of Health and Human Services </w:t>
      </w:r>
    </w:p>
    <w:p w14:paraId="74CB59DA" w14:textId="77777777" w:rsidR="009A6790" w:rsidRDefault="009D0006" w:rsidP="009D0006">
      <w:pPr>
        <w:pStyle w:val="Bulletlist"/>
      </w:pPr>
      <w:r w:rsidRPr="002C7BF2">
        <w:t>The Victorian Government Department of Premier and Cabinet</w:t>
      </w:r>
      <w:bookmarkStart w:id="49" w:name="_Toc115968464"/>
    </w:p>
    <w:p w14:paraId="1C215305" w14:textId="66E4DBA6" w:rsidR="009D0006" w:rsidRPr="009A138D" w:rsidRDefault="009D0006" w:rsidP="009A6790">
      <w:pPr>
        <w:pStyle w:val="Heading1"/>
      </w:pPr>
      <w:bookmarkStart w:id="50" w:name="_Toc119662366"/>
      <w:r w:rsidRPr="009A138D">
        <w:t>About this report</w:t>
      </w:r>
      <w:bookmarkEnd w:id="49"/>
      <w:bookmarkEnd w:id="50"/>
    </w:p>
    <w:p w14:paraId="457A9DF7" w14:textId="5EC27583" w:rsidR="009D0006" w:rsidRDefault="009D0006" w:rsidP="009D0006">
      <w:pPr>
        <w:rPr>
          <w:rFonts w:cs="Arial"/>
        </w:rPr>
      </w:pPr>
      <w:bookmarkStart w:id="51" w:name="_Toc58252030"/>
      <w:r w:rsidRPr="006E4CDB">
        <w:t xml:space="preserve">This report </w:t>
      </w:r>
      <w:r>
        <w:t>presents findings from</w:t>
      </w:r>
      <w:r w:rsidRPr="006E4CDB">
        <w:t xml:space="preserve"> secondary analyses regarding </w:t>
      </w:r>
      <w:r>
        <w:t>respondents who reported having a</w:t>
      </w:r>
      <w:r w:rsidRPr="006E4CDB">
        <w:t xml:space="preserve"> disability or </w:t>
      </w:r>
      <w:r>
        <w:t xml:space="preserve">a </w:t>
      </w:r>
      <w:r w:rsidRPr="006E4CDB">
        <w:t xml:space="preserve">long-term health condition from </w:t>
      </w:r>
      <w:r>
        <w:t xml:space="preserve">two national surveys. These surveys were: </w:t>
      </w:r>
      <w:r w:rsidRPr="006E4CDB">
        <w:rPr>
          <w:i/>
          <w:iCs/>
        </w:rPr>
        <w:t>Writing Themselves In 4</w:t>
      </w:r>
      <w:r>
        <w:t xml:space="preserve">, which focused on the </w:t>
      </w:r>
      <w:r w:rsidRPr="006E4CDB">
        <w:t xml:space="preserve">health and wellbeing </w:t>
      </w:r>
      <w:r>
        <w:t>of</w:t>
      </w:r>
      <w:r w:rsidRPr="006E4CDB">
        <w:t xml:space="preserve"> </w:t>
      </w:r>
      <w:r>
        <w:t>lesbian, gay, bisexual, trans, queer and asexual (</w:t>
      </w:r>
      <w:r w:rsidRPr="006E4CDB">
        <w:t>LGBTQA</w:t>
      </w:r>
      <w:r>
        <w:t>+)</w:t>
      </w:r>
      <w:r w:rsidRPr="006E4CDB">
        <w:t xml:space="preserve"> young people </w:t>
      </w:r>
      <w:r>
        <w:t xml:space="preserve">aged 14-21 years </w:t>
      </w:r>
      <w:r w:rsidRPr="006E4CDB">
        <w:t>in Australia</w:t>
      </w:r>
      <w:r>
        <w:t>;</w:t>
      </w:r>
      <w:r w:rsidRPr="006E4CDB">
        <w:t xml:space="preserve"> and </w:t>
      </w:r>
      <w:r w:rsidRPr="006E4CDB">
        <w:rPr>
          <w:i/>
          <w:iCs/>
        </w:rPr>
        <w:t>Private Lives 3</w:t>
      </w:r>
      <w:r>
        <w:t xml:space="preserve">, which focused on the </w:t>
      </w:r>
      <w:r w:rsidRPr="006E4CDB">
        <w:t xml:space="preserve">health and wellbeing </w:t>
      </w:r>
      <w:r>
        <w:t>of</w:t>
      </w:r>
      <w:r w:rsidRPr="006E4CDB">
        <w:t xml:space="preserve"> </w:t>
      </w:r>
      <w:r>
        <w:t>lesbian, gay, bisexual, trans, intersex and queer (</w:t>
      </w:r>
      <w:r w:rsidRPr="006E4CDB">
        <w:t>LGBTIQ</w:t>
      </w:r>
      <w:r>
        <w:t>)</w:t>
      </w:r>
      <w:r w:rsidRPr="006E4CDB">
        <w:t xml:space="preserve"> adults in Australia. </w:t>
      </w:r>
      <w:r>
        <w:t xml:space="preserve">Both surveys were conducted late 2019 and collected data relating to a range of health and social experiences and included questions relating to disability. </w:t>
      </w:r>
      <w:r w:rsidRPr="006E4CDB">
        <w:rPr>
          <w:rFonts w:cs="Arial"/>
        </w:rPr>
        <w:t>Further outputs relating to</w:t>
      </w:r>
      <w:r>
        <w:rPr>
          <w:rFonts w:cs="Arial"/>
        </w:rPr>
        <w:t xml:space="preserve"> these surveys can be found at:</w:t>
      </w:r>
    </w:p>
    <w:p w14:paraId="0C0AE616" w14:textId="77777777" w:rsidR="009D0006" w:rsidRPr="009425C3" w:rsidRDefault="00C9023A" w:rsidP="009D0006">
      <w:pPr>
        <w:rPr>
          <w:rStyle w:val="Hyperlink"/>
        </w:rPr>
      </w:pPr>
      <w:hyperlink r:id="rId11" w:history="1">
        <w:r w:rsidR="009D0006" w:rsidRPr="009425C3">
          <w:rPr>
            <w:rStyle w:val="Hyperlink"/>
          </w:rPr>
          <w:t>https://www.latrobe.edu.au/arcshs/publications/writing-themselves-in-publications</w:t>
        </w:r>
      </w:hyperlink>
      <w:r w:rsidR="009D0006" w:rsidRPr="009425C3">
        <w:rPr>
          <w:rStyle w:val="Hyperlink"/>
        </w:rPr>
        <w:t xml:space="preserve"> </w:t>
      </w:r>
    </w:p>
    <w:p w14:paraId="19299197" w14:textId="77777777" w:rsidR="009D0006" w:rsidRPr="009425C3" w:rsidRDefault="00C9023A" w:rsidP="009D0006">
      <w:pPr>
        <w:rPr>
          <w:rStyle w:val="Hyperlink"/>
        </w:rPr>
      </w:pPr>
      <w:hyperlink r:id="rId12" w:history="1">
        <w:r w:rsidR="009D0006" w:rsidRPr="009425C3">
          <w:rPr>
            <w:rStyle w:val="Hyperlink"/>
          </w:rPr>
          <w:t>https://www.latrobe.edu.au/arcshs/publications/private-lives/private-lives-3</w:t>
        </w:r>
      </w:hyperlink>
    </w:p>
    <w:p w14:paraId="6AC31F26" w14:textId="77777777" w:rsidR="009D0006" w:rsidRDefault="009D0006" w:rsidP="009425C3">
      <w:r>
        <w:t>In this report, C</w:t>
      </w:r>
      <w:r w:rsidRPr="006E4CDB">
        <w:t xml:space="preserve">hapters </w:t>
      </w:r>
      <w:r>
        <w:t>3 to 9</w:t>
      </w:r>
      <w:r w:rsidRPr="006E4CDB">
        <w:t xml:space="preserve"> </w:t>
      </w:r>
      <w:r>
        <w:t>present</w:t>
      </w:r>
      <w:r w:rsidRPr="006E4CDB">
        <w:t xml:space="preserve"> findings </w:t>
      </w:r>
      <w:r>
        <w:t xml:space="preserve">from </w:t>
      </w:r>
      <w:r w:rsidRPr="001C2DCF">
        <w:t>the above surveys</w:t>
      </w:r>
      <w:r>
        <w:rPr>
          <w:i/>
          <w:iCs/>
        </w:rPr>
        <w:t xml:space="preserve"> </w:t>
      </w:r>
      <w:r>
        <w:t xml:space="preserve">with a focus on LGBTQA+ young people and adults who reported a disability. They engage with issues of significant concern for LGBTQA+ people with disability, including experience of acceptance and support following sexuality or gender identity disclosure, experiences of </w:t>
      </w:r>
      <w:r>
        <w:lastRenderedPageBreak/>
        <w:t xml:space="preserve">harassment or abuse, family or domestic violence and mental health. Where possible, we break down responses according to the type or nature of disability that was reported. </w:t>
      </w:r>
    </w:p>
    <w:p w14:paraId="5A8EF814" w14:textId="77777777" w:rsidR="009D0006" w:rsidRPr="009425C3" w:rsidRDefault="009D0006" w:rsidP="009425C3">
      <w:r w:rsidRPr="009425C3">
        <w:t xml:space="preserve">In Chapters 10 to 13 we focus on intersectional populations to show how the responses of participants reporting disability to key questions vary by cultural background, area of residence, gender and sexual orientation. </w:t>
      </w:r>
    </w:p>
    <w:p w14:paraId="39CFFA19" w14:textId="77777777" w:rsidR="009D0006" w:rsidRPr="009425C3" w:rsidRDefault="009D0006" w:rsidP="009425C3">
      <w:r w:rsidRPr="009425C3">
        <w:t xml:space="preserve">Where possible, we have sought to situate the findings from this analysis within the broader literature on LGBTQA+ people with disability, noting that comparisons or related research is not always available. This is an emerging field of study and in the final chapter we make detailed recommendations regarding research that is required to better understand and meet the needs of LGBTIQ people with disability. </w:t>
      </w:r>
    </w:p>
    <w:p w14:paraId="5A406CF4" w14:textId="450C302E" w:rsidR="009D0006" w:rsidRDefault="009D0006" w:rsidP="009425C3">
      <w:r w:rsidRPr="009425C3">
        <w:t xml:space="preserve">As is the case for any research study, the data described in this report are imperfect. They were drawn from general LGBTQA+ population surveys that were limited in their ability to engage people with diverse forms of disability, particularly those with intellectual disability. However, the data also reflect the largest ever samples of LGBTQA+ people with disability ever recruited in Australia. The findings contribute significant new knowledge regarding health and social experiences for LGBTQA+ people with disability, particularly how widespread issues of significant concern can be (e.g., harassment, abuse, and mental ill-health). The findings will be of interest to policy makers and practitioners across the country and have implications for both the disability support sector in their efforts to be more LGBTQA+ inclusive as well as for the LGBTQA+ community-controlled sector in their efforts to be safer environments for people with disability. We are sincerely grateful to the thousands of LGBTQA+ people with disability who gave up their time to share their experiences, which enabled us to prepare this report. </w:t>
      </w:r>
      <w:r>
        <w:br w:type="page"/>
      </w:r>
    </w:p>
    <w:p w14:paraId="5161D6E4" w14:textId="77777777" w:rsidR="009D0006" w:rsidRPr="006E4CDB" w:rsidRDefault="009D0006" w:rsidP="009D0006">
      <w:pPr>
        <w:pStyle w:val="Heading1"/>
      </w:pPr>
      <w:bookmarkStart w:id="52" w:name="_Toc115968465"/>
      <w:bookmarkStart w:id="53" w:name="_Toc119662367"/>
      <w:r w:rsidRPr="006E4CDB">
        <w:lastRenderedPageBreak/>
        <w:t>Terminology</w:t>
      </w:r>
      <w:bookmarkEnd w:id="51"/>
      <w:bookmarkEnd w:id="52"/>
      <w:bookmarkEnd w:id="53"/>
    </w:p>
    <w:p w14:paraId="317DC5AA" w14:textId="77777777" w:rsidR="009D0006" w:rsidRPr="006E4CDB" w:rsidRDefault="009D0006" w:rsidP="00FC1B56">
      <w:pPr>
        <w:pStyle w:val="Heading2"/>
      </w:pPr>
      <w:bookmarkStart w:id="54" w:name="_Toc94627978"/>
      <w:bookmarkStart w:id="55" w:name="_Toc95318473"/>
      <w:bookmarkStart w:id="56" w:name="_Toc115968466"/>
      <w:bookmarkStart w:id="57" w:name="_Toc119662368"/>
      <w:bookmarkStart w:id="58" w:name="_Toc40192066"/>
      <w:r w:rsidRPr="006E4CDB">
        <w:t>LGBTQA+</w:t>
      </w:r>
      <w:bookmarkEnd w:id="54"/>
      <w:bookmarkEnd w:id="55"/>
      <w:bookmarkEnd w:id="56"/>
      <w:bookmarkEnd w:id="57"/>
      <w:r w:rsidRPr="006E4CDB">
        <w:t xml:space="preserve"> </w:t>
      </w:r>
    </w:p>
    <w:p w14:paraId="4114E69F" w14:textId="77777777" w:rsidR="009D0006" w:rsidRDefault="009D0006" w:rsidP="009D0006">
      <w:r w:rsidRPr="00D17652">
        <w:t>Within this report we use the term LGBTQA+ to refer to people who identify as lesbian, gay, bisexual, trans, queer or asexual. The ‘+’ reflects our engagement with other</w:t>
      </w:r>
      <w:r>
        <w:t xml:space="preserve">s </w:t>
      </w:r>
      <w:r w:rsidRPr="00D17652">
        <w:t>who identify as same or multi</w:t>
      </w:r>
      <w:r>
        <w:t>-</w:t>
      </w:r>
      <w:r w:rsidRPr="00D17652">
        <w:t>gender</w:t>
      </w:r>
      <w:r>
        <w:t xml:space="preserve"> attracted</w:t>
      </w:r>
      <w:r w:rsidRPr="00D17652">
        <w:t xml:space="preserve"> or gender diverse but who use a wide range of different identity terms. </w:t>
      </w:r>
    </w:p>
    <w:p w14:paraId="59E02FC3" w14:textId="77777777" w:rsidR="009D0006" w:rsidRPr="00D17652" w:rsidRDefault="009D0006" w:rsidP="009D0006">
      <w:r>
        <w:t xml:space="preserve">As discussed in Chapter 1, there was not a sufficient number of participants with disability with an intersex variation to enable analysis and disaggregation of the data to reflect their experiences. As such, this report refers only to LGBTQA+ people. To do otherwise would risk suggesting that the findings speak for people with an intersex variation or variations when this is not the case. Where we refer to our efforts to ensure inclusion in the survey (such as in the methods section) we use the term ‘LGBTIQA+’. Similarly, numerous questions within the surveys used the terms ‘LGBTIQA+’ or ‘LGBTIQ’ and wording for these have been retained or amended where appropriate when referring to responses to these questions in later chapters. </w:t>
      </w:r>
    </w:p>
    <w:p w14:paraId="0895290E" w14:textId="77777777" w:rsidR="009D0006" w:rsidRPr="00D17652" w:rsidRDefault="009D0006" w:rsidP="009D0006">
      <w:pPr>
        <w:rPr>
          <w:szCs w:val="12"/>
        </w:rPr>
      </w:pPr>
      <w:r w:rsidRPr="00D17652">
        <w:t>In a variety of places throughout this report we make comparisons to other relevant literature, the authors of which may not have used the same terminology or who may have focussed only on specific communities (e.g.</w:t>
      </w:r>
      <w:r>
        <w:t>,</w:t>
      </w:r>
      <w:r w:rsidRPr="00D17652">
        <w:t xml:space="preserve"> lesbian, gay or bisexual young people). We have reflected this in </w:t>
      </w:r>
      <w:r>
        <w:t>the</w:t>
      </w:r>
      <w:r w:rsidRPr="00D17652">
        <w:t xml:space="preserve"> report, which means in several sections we use terms such as LGB, LGBT or LGBTQ, depending upon the original terms used. The language used in relation to gender and sexuality in </w:t>
      </w:r>
      <w:r w:rsidRPr="00A42F97">
        <w:rPr>
          <w:i/>
          <w:iCs/>
        </w:rPr>
        <w:t>Writing Themselves In</w:t>
      </w:r>
      <w:r w:rsidRPr="00D17652">
        <w:t xml:space="preserve"> has itself developed over the past 22 years</w:t>
      </w:r>
      <w:r>
        <w:t>;</w:t>
      </w:r>
      <w:r w:rsidRPr="00D17652">
        <w:t xml:space="preserve"> in 1998 the term ‘same-sex attracted’ was used, while ‘gender questioning’ was </w:t>
      </w:r>
      <w:r>
        <w:t>used</w:t>
      </w:r>
      <w:r w:rsidRPr="00D17652">
        <w:t xml:space="preserve"> to reflect gender diversity in 2009. While we do not promote the use of such terms now, we retain reference to them where relevant in this report to reflect the populations who were included at the time.</w:t>
      </w:r>
    </w:p>
    <w:p w14:paraId="5D54B010" w14:textId="77777777" w:rsidR="009D0006" w:rsidRPr="006E4CDB" w:rsidRDefault="009D0006" w:rsidP="00FC1B56">
      <w:pPr>
        <w:pStyle w:val="Heading2"/>
      </w:pPr>
      <w:bookmarkStart w:id="59" w:name="_Toc94627979"/>
      <w:bookmarkStart w:id="60" w:name="_Toc95318474"/>
      <w:bookmarkStart w:id="61" w:name="_Toc115968467"/>
      <w:bookmarkStart w:id="62" w:name="_Toc119662369"/>
      <w:r>
        <w:t>Disability</w:t>
      </w:r>
      <w:bookmarkEnd w:id="59"/>
      <w:bookmarkEnd w:id="60"/>
      <w:bookmarkEnd w:id="61"/>
      <w:bookmarkEnd w:id="62"/>
    </w:p>
    <w:p w14:paraId="14F33593" w14:textId="77777777" w:rsidR="009D0006" w:rsidRPr="003804B6" w:rsidRDefault="009D0006" w:rsidP="009D0006">
      <w:r>
        <w:t xml:space="preserve">Data presented in this report are from two national surveys of LGBTQA+ young people and adults, </w:t>
      </w:r>
      <w:r w:rsidRPr="00275EA9">
        <w:rPr>
          <w:i/>
          <w:iCs/>
        </w:rPr>
        <w:t>Private Lives 3</w:t>
      </w:r>
      <w:r>
        <w:t xml:space="preserve"> and </w:t>
      </w:r>
      <w:r w:rsidRPr="00275EA9">
        <w:rPr>
          <w:i/>
          <w:iCs/>
        </w:rPr>
        <w:t>Writing Themselves In 4</w:t>
      </w:r>
      <w:r>
        <w:t xml:space="preserve">. In these surveys, questions about disability were based on participants self-identifying and reporting a disability or long-term health condition, whether existing at birth or acquired later in life. Many </w:t>
      </w:r>
      <w:r>
        <w:lastRenderedPageBreak/>
        <w:t xml:space="preserve">different circumstances were reported, such as physical, sensory, intellectual and psychosocial disabilities. Chapter 2 provides further detail on the methodologies and questions provided in the surveys. Reflecting this approach, when presenting data from the surveys that are the focus of this report, the term ‘disability’ refers to self-identified disability or long-term health condition, as reported by survey participants. When referring to this group of participants in this report, phrases such as ‘participants with disability’ are used for ease of reading. However, it is important to acknowledge that this group is entirely composed of people who </w:t>
      </w:r>
      <w:r>
        <w:rPr>
          <w:i/>
          <w:iCs/>
        </w:rPr>
        <w:t xml:space="preserve">self-reported </w:t>
      </w:r>
      <w:r>
        <w:t xml:space="preserve">a disability when completing the survey. </w:t>
      </w:r>
    </w:p>
    <w:p w14:paraId="515B011F" w14:textId="77777777" w:rsidR="009D0006" w:rsidRPr="006E4CDB" w:rsidRDefault="009D0006" w:rsidP="009D0006">
      <w:pPr>
        <w:rPr>
          <w:rFonts w:ascii="Roboto" w:hAnsi="Roboto" w:cs="Arial"/>
          <w:b/>
          <w:color w:val="565652"/>
          <w:spacing w:val="5"/>
          <w:sz w:val="22"/>
          <w:lang w:bidi="en-US"/>
        </w:rPr>
      </w:pPr>
      <w:r w:rsidRPr="006E4CDB">
        <w:rPr>
          <w:rFonts w:ascii="Roboto" w:hAnsi="Roboto"/>
          <w:sz w:val="22"/>
        </w:rPr>
        <w:br w:type="page"/>
      </w:r>
      <w:bookmarkStart w:id="63" w:name="_Toc58252031"/>
    </w:p>
    <w:bookmarkStart w:id="64" w:name="_Toc119662370" w:displacedByCustomXml="next"/>
    <w:sdt>
      <w:sdtPr>
        <w:rPr>
          <w:rFonts w:eastAsia="Calibri" w:cs="Calibri"/>
          <w:b w:val="0"/>
          <w:bCs w:val="0"/>
          <w:color w:val="auto"/>
          <w:kern w:val="40"/>
          <w:sz w:val="24"/>
          <w:szCs w:val="22"/>
        </w:rPr>
        <w:id w:val="-35893945"/>
        <w:docPartObj>
          <w:docPartGallery w:val="Table of Contents"/>
          <w:docPartUnique/>
        </w:docPartObj>
      </w:sdtPr>
      <w:sdtEndPr>
        <w:rPr>
          <w:noProof/>
        </w:rPr>
      </w:sdtEndPr>
      <w:sdtContent>
        <w:p w14:paraId="16FCBA90" w14:textId="6FC54B82" w:rsidR="0061231B" w:rsidRDefault="0061231B" w:rsidP="0061231B">
          <w:pPr>
            <w:pStyle w:val="Heading1"/>
          </w:pPr>
          <w:r>
            <w:t>Contents</w:t>
          </w:r>
          <w:bookmarkEnd w:id="64"/>
        </w:p>
        <w:p w14:paraId="0DD108C0" w14:textId="420E1E8D" w:rsidR="0061231B" w:rsidRDefault="0061231B">
          <w:pPr>
            <w:pStyle w:val="TOC1"/>
            <w:rPr>
              <w:rFonts w:asciiTheme="minorHAnsi" w:hAnsiTheme="minorHAnsi"/>
              <w:sz w:val="22"/>
            </w:rPr>
          </w:pPr>
          <w:r>
            <w:rPr>
              <w:w w:val="100"/>
              <w:kern w:val="0"/>
              <w:lang w:eastAsia="en-AU"/>
            </w:rPr>
            <w:fldChar w:fldCharType="begin"/>
          </w:r>
          <w:r>
            <w:rPr>
              <w:w w:val="100"/>
              <w:kern w:val="0"/>
              <w:lang w:eastAsia="en-AU"/>
            </w:rPr>
            <w:instrText xml:space="preserve"> TOC \o "1-2" \h \z \u </w:instrText>
          </w:r>
          <w:r>
            <w:rPr>
              <w:w w:val="100"/>
              <w:kern w:val="0"/>
              <w:lang w:eastAsia="en-AU"/>
            </w:rPr>
            <w:fldChar w:fldCharType="separate"/>
          </w:r>
          <w:hyperlink w:anchor="_Toc119662365" w:history="1">
            <w:r w:rsidRPr="00780A9D">
              <w:rPr>
                <w:rStyle w:val="Hyperlink"/>
              </w:rPr>
              <w:t>Funding</w:t>
            </w:r>
            <w:r>
              <w:rPr>
                <w:webHidden/>
              </w:rPr>
              <w:tab/>
            </w:r>
            <w:r>
              <w:rPr>
                <w:webHidden/>
              </w:rPr>
              <w:fldChar w:fldCharType="begin"/>
            </w:r>
            <w:r>
              <w:rPr>
                <w:webHidden/>
              </w:rPr>
              <w:instrText xml:space="preserve"> PAGEREF _Toc119662365 \h </w:instrText>
            </w:r>
            <w:r>
              <w:rPr>
                <w:webHidden/>
              </w:rPr>
            </w:r>
            <w:r>
              <w:rPr>
                <w:webHidden/>
              </w:rPr>
              <w:fldChar w:fldCharType="separate"/>
            </w:r>
            <w:r w:rsidR="00C75AC6">
              <w:rPr>
                <w:webHidden/>
              </w:rPr>
              <w:t>v</w:t>
            </w:r>
            <w:r>
              <w:rPr>
                <w:webHidden/>
              </w:rPr>
              <w:fldChar w:fldCharType="end"/>
            </w:r>
          </w:hyperlink>
        </w:p>
        <w:p w14:paraId="27496CEB" w14:textId="4C8DC799" w:rsidR="0061231B" w:rsidRDefault="00C9023A">
          <w:pPr>
            <w:pStyle w:val="TOC1"/>
            <w:rPr>
              <w:rFonts w:asciiTheme="minorHAnsi" w:hAnsiTheme="minorHAnsi"/>
              <w:sz w:val="22"/>
            </w:rPr>
          </w:pPr>
          <w:hyperlink w:anchor="_Toc119662366" w:history="1">
            <w:r w:rsidR="0061231B" w:rsidRPr="00780A9D">
              <w:rPr>
                <w:rStyle w:val="Hyperlink"/>
              </w:rPr>
              <w:t>About this report</w:t>
            </w:r>
            <w:r w:rsidR="0061231B">
              <w:rPr>
                <w:webHidden/>
              </w:rPr>
              <w:tab/>
            </w:r>
            <w:r w:rsidR="0061231B">
              <w:rPr>
                <w:webHidden/>
              </w:rPr>
              <w:fldChar w:fldCharType="begin"/>
            </w:r>
            <w:r w:rsidR="0061231B">
              <w:rPr>
                <w:webHidden/>
              </w:rPr>
              <w:instrText xml:space="preserve"> PAGEREF _Toc119662366 \h </w:instrText>
            </w:r>
            <w:r w:rsidR="0061231B">
              <w:rPr>
                <w:webHidden/>
              </w:rPr>
            </w:r>
            <w:r w:rsidR="0061231B">
              <w:rPr>
                <w:webHidden/>
              </w:rPr>
              <w:fldChar w:fldCharType="separate"/>
            </w:r>
            <w:r w:rsidR="00C75AC6">
              <w:rPr>
                <w:webHidden/>
              </w:rPr>
              <w:t>v</w:t>
            </w:r>
            <w:r w:rsidR="0061231B">
              <w:rPr>
                <w:webHidden/>
              </w:rPr>
              <w:fldChar w:fldCharType="end"/>
            </w:r>
          </w:hyperlink>
        </w:p>
        <w:p w14:paraId="46E42B91" w14:textId="23CECECE" w:rsidR="0061231B" w:rsidRDefault="00C9023A">
          <w:pPr>
            <w:pStyle w:val="TOC1"/>
            <w:rPr>
              <w:rFonts w:asciiTheme="minorHAnsi" w:hAnsiTheme="minorHAnsi"/>
              <w:sz w:val="22"/>
            </w:rPr>
          </w:pPr>
          <w:hyperlink w:anchor="_Toc119662367" w:history="1">
            <w:r w:rsidR="0061231B" w:rsidRPr="00780A9D">
              <w:rPr>
                <w:rStyle w:val="Hyperlink"/>
              </w:rPr>
              <w:t>Terminology</w:t>
            </w:r>
            <w:r w:rsidR="0061231B">
              <w:rPr>
                <w:webHidden/>
              </w:rPr>
              <w:tab/>
            </w:r>
            <w:r w:rsidR="0061231B">
              <w:rPr>
                <w:webHidden/>
              </w:rPr>
              <w:fldChar w:fldCharType="begin"/>
            </w:r>
            <w:r w:rsidR="0061231B">
              <w:rPr>
                <w:webHidden/>
              </w:rPr>
              <w:instrText xml:space="preserve"> PAGEREF _Toc119662367 \h </w:instrText>
            </w:r>
            <w:r w:rsidR="0061231B">
              <w:rPr>
                <w:webHidden/>
              </w:rPr>
            </w:r>
            <w:r w:rsidR="0061231B">
              <w:rPr>
                <w:webHidden/>
              </w:rPr>
              <w:fldChar w:fldCharType="separate"/>
            </w:r>
            <w:r w:rsidR="00C75AC6">
              <w:rPr>
                <w:webHidden/>
              </w:rPr>
              <w:t>vii</w:t>
            </w:r>
            <w:r w:rsidR="0061231B">
              <w:rPr>
                <w:webHidden/>
              </w:rPr>
              <w:fldChar w:fldCharType="end"/>
            </w:r>
          </w:hyperlink>
        </w:p>
        <w:p w14:paraId="3A683C5B" w14:textId="563799B7" w:rsidR="0061231B" w:rsidRDefault="00C9023A">
          <w:pPr>
            <w:pStyle w:val="TOC2"/>
            <w:rPr>
              <w:rFonts w:asciiTheme="minorHAnsi" w:hAnsiTheme="minorHAnsi"/>
              <w:sz w:val="22"/>
            </w:rPr>
          </w:pPr>
          <w:hyperlink w:anchor="_Toc119662368" w:history="1">
            <w:r w:rsidR="0061231B" w:rsidRPr="00780A9D">
              <w:rPr>
                <w:rStyle w:val="Hyperlink"/>
              </w:rPr>
              <w:t>LGBTQA+</w:t>
            </w:r>
            <w:r w:rsidR="0061231B">
              <w:rPr>
                <w:webHidden/>
              </w:rPr>
              <w:tab/>
            </w:r>
            <w:r w:rsidR="0061231B">
              <w:rPr>
                <w:webHidden/>
              </w:rPr>
              <w:fldChar w:fldCharType="begin"/>
            </w:r>
            <w:r w:rsidR="0061231B">
              <w:rPr>
                <w:webHidden/>
              </w:rPr>
              <w:instrText xml:space="preserve"> PAGEREF _Toc119662368 \h </w:instrText>
            </w:r>
            <w:r w:rsidR="0061231B">
              <w:rPr>
                <w:webHidden/>
              </w:rPr>
            </w:r>
            <w:r w:rsidR="0061231B">
              <w:rPr>
                <w:webHidden/>
              </w:rPr>
              <w:fldChar w:fldCharType="separate"/>
            </w:r>
            <w:r w:rsidR="00C75AC6">
              <w:rPr>
                <w:webHidden/>
              </w:rPr>
              <w:t>vii</w:t>
            </w:r>
            <w:r w:rsidR="0061231B">
              <w:rPr>
                <w:webHidden/>
              </w:rPr>
              <w:fldChar w:fldCharType="end"/>
            </w:r>
          </w:hyperlink>
        </w:p>
        <w:p w14:paraId="4BE0515D" w14:textId="3B101711" w:rsidR="0061231B" w:rsidRDefault="00C9023A">
          <w:pPr>
            <w:pStyle w:val="TOC2"/>
            <w:rPr>
              <w:rFonts w:asciiTheme="minorHAnsi" w:hAnsiTheme="minorHAnsi"/>
              <w:sz w:val="22"/>
            </w:rPr>
          </w:pPr>
          <w:hyperlink w:anchor="_Toc119662369" w:history="1">
            <w:r w:rsidR="0061231B" w:rsidRPr="00780A9D">
              <w:rPr>
                <w:rStyle w:val="Hyperlink"/>
              </w:rPr>
              <w:t>Disability</w:t>
            </w:r>
            <w:r w:rsidR="0061231B">
              <w:rPr>
                <w:webHidden/>
              </w:rPr>
              <w:tab/>
            </w:r>
            <w:r w:rsidR="0061231B">
              <w:rPr>
                <w:webHidden/>
              </w:rPr>
              <w:fldChar w:fldCharType="begin"/>
            </w:r>
            <w:r w:rsidR="0061231B">
              <w:rPr>
                <w:webHidden/>
              </w:rPr>
              <w:instrText xml:space="preserve"> PAGEREF _Toc119662369 \h </w:instrText>
            </w:r>
            <w:r w:rsidR="0061231B">
              <w:rPr>
                <w:webHidden/>
              </w:rPr>
            </w:r>
            <w:r w:rsidR="0061231B">
              <w:rPr>
                <w:webHidden/>
              </w:rPr>
              <w:fldChar w:fldCharType="separate"/>
            </w:r>
            <w:r w:rsidR="00C75AC6">
              <w:rPr>
                <w:webHidden/>
              </w:rPr>
              <w:t>vii</w:t>
            </w:r>
            <w:r w:rsidR="0061231B">
              <w:rPr>
                <w:webHidden/>
              </w:rPr>
              <w:fldChar w:fldCharType="end"/>
            </w:r>
          </w:hyperlink>
        </w:p>
        <w:p w14:paraId="779E429C" w14:textId="562FB81C" w:rsidR="0061231B" w:rsidRDefault="00C9023A">
          <w:pPr>
            <w:pStyle w:val="TOC1"/>
            <w:rPr>
              <w:rFonts w:asciiTheme="minorHAnsi" w:hAnsiTheme="minorHAnsi"/>
              <w:sz w:val="22"/>
            </w:rPr>
          </w:pPr>
          <w:hyperlink w:anchor="_Toc119662370" w:history="1">
            <w:r w:rsidR="0061231B" w:rsidRPr="00780A9D">
              <w:rPr>
                <w:rStyle w:val="Hyperlink"/>
              </w:rPr>
              <w:t>Contents</w:t>
            </w:r>
            <w:r w:rsidR="0061231B">
              <w:rPr>
                <w:webHidden/>
              </w:rPr>
              <w:tab/>
            </w:r>
            <w:r w:rsidR="0061231B">
              <w:rPr>
                <w:webHidden/>
              </w:rPr>
              <w:fldChar w:fldCharType="begin"/>
            </w:r>
            <w:r w:rsidR="0061231B">
              <w:rPr>
                <w:webHidden/>
              </w:rPr>
              <w:instrText xml:space="preserve"> PAGEREF _Toc119662370 \h </w:instrText>
            </w:r>
            <w:r w:rsidR="0061231B">
              <w:rPr>
                <w:webHidden/>
              </w:rPr>
            </w:r>
            <w:r w:rsidR="0061231B">
              <w:rPr>
                <w:webHidden/>
              </w:rPr>
              <w:fldChar w:fldCharType="separate"/>
            </w:r>
            <w:r w:rsidR="00C75AC6">
              <w:rPr>
                <w:webHidden/>
              </w:rPr>
              <w:t>ix</w:t>
            </w:r>
            <w:r w:rsidR="0061231B">
              <w:rPr>
                <w:webHidden/>
              </w:rPr>
              <w:fldChar w:fldCharType="end"/>
            </w:r>
          </w:hyperlink>
        </w:p>
        <w:p w14:paraId="0D6E551C" w14:textId="2088B42C" w:rsidR="0061231B" w:rsidRDefault="00C9023A">
          <w:pPr>
            <w:pStyle w:val="TOC1"/>
            <w:rPr>
              <w:rFonts w:asciiTheme="minorHAnsi" w:hAnsiTheme="minorHAnsi"/>
              <w:sz w:val="22"/>
            </w:rPr>
          </w:pPr>
          <w:hyperlink w:anchor="_Toc119662371" w:history="1">
            <w:r w:rsidR="0061231B" w:rsidRPr="00780A9D">
              <w:rPr>
                <w:rStyle w:val="Hyperlink"/>
              </w:rPr>
              <w:t>List of tables</w:t>
            </w:r>
            <w:r w:rsidR="0061231B">
              <w:rPr>
                <w:webHidden/>
              </w:rPr>
              <w:tab/>
            </w:r>
            <w:r w:rsidR="0061231B">
              <w:rPr>
                <w:webHidden/>
              </w:rPr>
              <w:fldChar w:fldCharType="begin"/>
            </w:r>
            <w:r w:rsidR="0061231B">
              <w:rPr>
                <w:webHidden/>
              </w:rPr>
              <w:instrText xml:space="preserve"> PAGEREF _Toc119662371 \h </w:instrText>
            </w:r>
            <w:r w:rsidR="0061231B">
              <w:rPr>
                <w:webHidden/>
              </w:rPr>
            </w:r>
            <w:r w:rsidR="0061231B">
              <w:rPr>
                <w:webHidden/>
              </w:rPr>
              <w:fldChar w:fldCharType="separate"/>
            </w:r>
            <w:r w:rsidR="00C75AC6">
              <w:rPr>
                <w:webHidden/>
              </w:rPr>
              <w:t>xv</w:t>
            </w:r>
            <w:r w:rsidR="0061231B">
              <w:rPr>
                <w:webHidden/>
              </w:rPr>
              <w:fldChar w:fldCharType="end"/>
            </w:r>
          </w:hyperlink>
        </w:p>
        <w:p w14:paraId="5CC3BF27" w14:textId="0DCC929A" w:rsidR="0061231B" w:rsidRDefault="00C9023A">
          <w:pPr>
            <w:pStyle w:val="TOC1"/>
            <w:rPr>
              <w:rFonts w:asciiTheme="minorHAnsi" w:hAnsiTheme="minorHAnsi"/>
              <w:sz w:val="22"/>
            </w:rPr>
          </w:pPr>
          <w:hyperlink w:anchor="_Toc119662372" w:history="1">
            <w:r w:rsidR="0061231B" w:rsidRPr="00780A9D">
              <w:rPr>
                <w:rStyle w:val="Hyperlink"/>
              </w:rPr>
              <w:t>List of figures</w:t>
            </w:r>
            <w:r w:rsidR="0061231B">
              <w:rPr>
                <w:webHidden/>
              </w:rPr>
              <w:tab/>
            </w:r>
            <w:r w:rsidR="0061231B">
              <w:rPr>
                <w:webHidden/>
              </w:rPr>
              <w:fldChar w:fldCharType="begin"/>
            </w:r>
            <w:r w:rsidR="0061231B">
              <w:rPr>
                <w:webHidden/>
              </w:rPr>
              <w:instrText xml:space="preserve"> PAGEREF _Toc119662372 \h </w:instrText>
            </w:r>
            <w:r w:rsidR="0061231B">
              <w:rPr>
                <w:webHidden/>
              </w:rPr>
            </w:r>
            <w:r w:rsidR="0061231B">
              <w:rPr>
                <w:webHidden/>
              </w:rPr>
              <w:fldChar w:fldCharType="separate"/>
            </w:r>
            <w:r w:rsidR="00C75AC6">
              <w:rPr>
                <w:webHidden/>
              </w:rPr>
              <w:t>xxv</w:t>
            </w:r>
            <w:r w:rsidR="0061231B">
              <w:rPr>
                <w:webHidden/>
              </w:rPr>
              <w:fldChar w:fldCharType="end"/>
            </w:r>
          </w:hyperlink>
        </w:p>
        <w:p w14:paraId="5C892CE8" w14:textId="3DDA1606" w:rsidR="0061231B" w:rsidRDefault="00C9023A">
          <w:pPr>
            <w:pStyle w:val="TOC1"/>
            <w:rPr>
              <w:rFonts w:asciiTheme="minorHAnsi" w:hAnsiTheme="minorHAnsi"/>
              <w:sz w:val="22"/>
            </w:rPr>
          </w:pPr>
          <w:hyperlink w:anchor="_Toc119662373" w:history="1">
            <w:r w:rsidR="0061231B" w:rsidRPr="00780A9D">
              <w:rPr>
                <w:rStyle w:val="Hyperlink"/>
              </w:rPr>
              <w:t>Executive summary</w:t>
            </w:r>
            <w:r w:rsidR="0061231B">
              <w:rPr>
                <w:webHidden/>
              </w:rPr>
              <w:tab/>
            </w:r>
            <w:r w:rsidR="0061231B">
              <w:rPr>
                <w:webHidden/>
              </w:rPr>
              <w:fldChar w:fldCharType="begin"/>
            </w:r>
            <w:r w:rsidR="0061231B">
              <w:rPr>
                <w:webHidden/>
              </w:rPr>
              <w:instrText xml:space="preserve"> PAGEREF _Toc119662373 \h </w:instrText>
            </w:r>
            <w:r w:rsidR="0061231B">
              <w:rPr>
                <w:webHidden/>
              </w:rPr>
            </w:r>
            <w:r w:rsidR="0061231B">
              <w:rPr>
                <w:webHidden/>
              </w:rPr>
              <w:fldChar w:fldCharType="separate"/>
            </w:r>
            <w:r w:rsidR="00C75AC6">
              <w:rPr>
                <w:webHidden/>
              </w:rPr>
              <w:t>1</w:t>
            </w:r>
            <w:r w:rsidR="0061231B">
              <w:rPr>
                <w:webHidden/>
              </w:rPr>
              <w:fldChar w:fldCharType="end"/>
            </w:r>
          </w:hyperlink>
        </w:p>
        <w:p w14:paraId="158CB625" w14:textId="3D999F8D" w:rsidR="0061231B" w:rsidRDefault="00C9023A">
          <w:pPr>
            <w:pStyle w:val="TOC2"/>
            <w:rPr>
              <w:rFonts w:asciiTheme="minorHAnsi" w:hAnsiTheme="minorHAnsi"/>
              <w:sz w:val="22"/>
            </w:rPr>
          </w:pPr>
          <w:hyperlink w:anchor="_Toc119662374" w:history="1">
            <w:r w:rsidR="0061231B" w:rsidRPr="00780A9D">
              <w:rPr>
                <w:rStyle w:val="Hyperlink"/>
              </w:rPr>
              <w:t>Background and context</w:t>
            </w:r>
            <w:r w:rsidR="0061231B">
              <w:rPr>
                <w:webHidden/>
              </w:rPr>
              <w:tab/>
            </w:r>
            <w:r w:rsidR="0061231B">
              <w:rPr>
                <w:webHidden/>
              </w:rPr>
              <w:fldChar w:fldCharType="begin"/>
            </w:r>
            <w:r w:rsidR="0061231B">
              <w:rPr>
                <w:webHidden/>
              </w:rPr>
              <w:instrText xml:space="preserve"> PAGEREF _Toc119662374 \h </w:instrText>
            </w:r>
            <w:r w:rsidR="0061231B">
              <w:rPr>
                <w:webHidden/>
              </w:rPr>
            </w:r>
            <w:r w:rsidR="0061231B">
              <w:rPr>
                <w:webHidden/>
              </w:rPr>
              <w:fldChar w:fldCharType="separate"/>
            </w:r>
            <w:r w:rsidR="00C75AC6">
              <w:rPr>
                <w:webHidden/>
              </w:rPr>
              <w:t>1</w:t>
            </w:r>
            <w:r w:rsidR="0061231B">
              <w:rPr>
                <w:webHidden/>
              </w:rPr>
              <w:fldChar w:fldCharType="end"/>
            </w:r>
          </w:hyperlink>
        </w:p>
        <w:p w14:paraId="52347891" w14:textId="72938278" w:rsidR="0061231B" w:rsidRDefault="00C9023A">
          <w:pPr>
            <w:pStyle w:val="TOC2"/>
            <w:rPr>
              <w:rFonts w:asciiTheme="minorHAnsi" w:hAnsiTheme="minorHAnsi"/>
              <w:sz w:val="22"/>
            </w:rPr>
          </w:pPr>
          <w:hyperlink w:anchor="_Toc119662375" w:history="1">
            <w:r w:rsidR="0061231B" w:rsidRPr="00780A9D">
              <w:rPr>
                <w:rStyle w:val="Hyperlink"/>
              </w:rPr>
              <w:t>Methodology</w:t>
            </w:r>
            <w:r w:rsidR="0061231B">
              <w:rPr>
                <w:webHidden/>
              </w:rPr>
              <w:tab/>
            </w:r>
            <w:r w:rsidR="0061231B">
              <w:rPr>
                <w:webHidden/>
              </w:rPr>
              <w:fldChar w:fldCharType="begin"/>
            </w:r>
            <w:r w:rsidR="0061231B">
              <w:rPr>
                <w:webHidden/>
              </w:rPr>
              <w:instrText xml:space="preserve"> PAGEREF _Toc119662375 \h </w:instrText>
            </w:r>
            <w:r w:rsidR="0061231B">
              <w:rPr>
                <w:webHidden/>
              </w:rPr>
            </w:r>
            <w:r w:rsidR="0061231B">
              <w:rPr>
                <w:webHidden/>
              </w:rPr>
              <w:fldChar w:fldCharType="separate"/>
            </w:r>
            <w:r w:rsidR="00C75AC6">
              <w:rPr>
                <w:webHidden/>
              </w:rPr>
              <w:t>2</w:t>
            </w:r>
            <w:r w:rsidR="0061231B">
              <w:rPr>
                <w:webHidden/>
              </w:rPr>
              <w:fldChar w:fldCharType="end"/>
            </w:r>
          </w:hyperlink>
        </w:p>
        <w:p w14:paraId="42022552" w14:textId="344C61E8" w:rsidR="0061231B" w:rsidRDefault="00C9023A">
          <w:pPr>
            <w:pStyle w:val="TOC2"/>
            <w:rPr>
              <w:rFonts w:asciiTheme="minorHAnsi" w:hAnsiTheme="minorHAnsi"/>
              <w:sz w:val="22"/>
            </w:rPr>
          </w:pPr>
          <w:hyperlink w:anchor="_Toc119662376" w:history="1">
            <w:r w:rsidR="0061231B" w:rsidRPr="00780A9D">
              <w:rPr>
                <w:rStyle w:val="Hyperlink"/>
              </w:rPr>
              <w:t>About the participants</w:t>
            </w:r>
            <w:r w:rsidR="0061231B">
              <w:rPr>
                <w:webHidden/>
              </w:rPr>
              <w:tab/>
            </w:r>
            <w:r w:rsidR="0061231B">
              <w:rPr>
                <w:webHidden/>
              </w:rPr>
              <w:fldChar w:fldCharType="begin"/>
            </w:r>
            <w:r w:rsidR="0061231B">
              <w:rPr>
                <w:webHidden/>
              </w:rPr>
              <w:instrText xml:space="preserve"> PAGEREF _Toc119662376 \h </w:instrText>
            </w:r>
            <w:r w:rsidR="0061231B">
              <w:rPr>
                <w:webHidden/>
              </w:rPr>
            </w:r>
            <w:r w:rsidR="0061231B">
              <w:rPr>
                <w:webHidden/>
              </w:rPr>
              <w:fldChar w:fldCharType="separate"/>
            </w:r>
            <w:r w:rsidR="00C75AC6">
              <w:rPr>
                <w:webHidden/>
              </w:rPr>
              <w:t>2</w:t>
            </w:r>
            <w:r w:rsidR="0061231B">
              <w:rPr>
                <w:webHidden/>
              </w:rPr>
              <w:fldChar w:fldCharType="end"/>
            </w:r>
          </w:hyperlink>
        </w:p>
        <w:p w14:paraId="675EA20A" w14:textId="5F02822F" w:rsidR="0061231B" w:rsidRDefault="00C9023A">
          <w:pPr>
            <w:pStyle w:val="TOC2"/>
            <w:rPr>
              <w:rFonts w:asciiTheme="minorHAnsi" w:hAnsiTheme="minorHAnsi"/>
              <w:sz w:val="22"/>
            </w:rPr>
          </w:pPr>
          <w:hyperlink w:anchor="_Toc119662377" w:history="1">
            <w:r w:rsidR="0061231B" w:rsidRPr="00780A9D">
              <w:rPr>
                <w:rStyle w:val="Hyperlink"/>
              </w:rPr>
              <w:t>Disclosure, support and acceptance</w:t>
            </w:r>
            <w:r w:rsidR="0061231B">
              <w:rPr>
                <w:webHidden/>
              </w:rPr>
              <w:tab/>
            </w:r>
            <w:r w:rsidR="0061231B">
              <w:rPr>
                <w:webHidden/>
              </w:rPr>
              <w:fldChar w:fldCharType="begin"/>
            </w:r>
            <w:r w:rsidR="0061231B">
              <w:rPr>
                <w:webHidden/>
              </w:rPr>
              <w:instrText xml:space="preserve"> PAGEREF _Toc119662377 \h </w:instrText>
            </w:r>
            <w:r w:rsidR="0061231B">
              <w:rPr>
                <w:webHidden/>
              </w:rPr>
            </w:r>
            <w:r w:rsidR="0061231B">
              <w:rPr>
                <w:webHidden/>
              </w:rPr>
              <w:fldChar w:fldCharType="separate"/>
            </w:r>
            <w:r w:rsidR="00C75AC6">
              <w:rPr>
                <w:webHidden/>
              </w:rPr>
              <w:t>3</w:t>
            </w:r>
            <w:r w:rsidR="0061231B">
              <w:rPr>
                <w:webHidden/>
              </w:rPr>
              <w:fldChar w:fldCharType="end"/>
            </w:r>
          </w:hyperlink>
        </w:p>
        <w:p w14:paraId="347B3F03" w14:textId="6A479A79" w:rsidR="0061231B" w:rsidRDefault="00C9023A">
          <w:pPr>
            <w:pStyle w:val="TOC2"/>
            <w:rPr>
              <w:rFonts w:asciiTheme="minorHAnsi" w:hAnsiTheme="minorHAnsi"/>
              <w:sz w:val="22"/>
            </w:rPr>
          </w:pPr>
          <w:hyperlink w:anchor="_Toc119662378" w:history="1">
            <w:r w:rsidR="0061231B" w:rsidRPr="00780A9D">
              <w:rPr>
                <w:rStyle w:val="Hyperlink"/>
              </w:rPr>
              <w:t>Safety in educational settings</w:t>
            </w:r>
            <w:r w:rsidR="0061231B">
              <w:rPr>
                <w:webHidden/>
              </w:rPr>
              <w:tab/>
            </w:r>
            <w:r w:rsidR="0061231B">
              <w:rPr>
                <w:webHidden/>
              </w:rPr>
              <w:fldChar w:fldCharType="begin"/>
            </w:r>
            <w:r w:rsidR="0061231B">
              <w:rPr>
                <w:webHidden/>
              </w:rPr>
              <w:instrText xml:space="preserve"> PAGEREF _Toc119662378 \h </w:instrText>
            </w:r>
            <w:r w:rsidR="0061231B">
              <w:rPr>
                <w:webHidden/>
              </w:rPr>
            </w:r>
            <w:r w:rsidR="0061231B">
              <w:rPr>
                <w:webHidden/>
              </w:rPr>
              <w:fldChar w:fldCharType="separate"/>
            </w:r>
            <w:r w:rsidR="00C75AC6">
              <w:rPr>
                <w:webHidden/>
              </w:rPr>
              <w:t>3</w:t>
            </w:r>
            <w:r w:rsidR="0061231B">
              <w:rPr>
                <w:webHidden/>
              </w:rPr>
              <w:fldChar w:fldCharType="end"/>
            </w:r>
          </w:hyperlink>
        </w:p>
        <w:p w14:paraId="772D26B6" w14:textId="200F55D3" w:rsidR="0061231B" w:rsidRDefault="00C9023A">
          <w:pPr>
            <w:pStyle w:val="TOC2"/>
            <w:rPr>
              <w:rFonts w:asciiTheme="minorHAnsi" w:hAnsiTheme="minorHAnsi"/>
              <w:sz w:val="22"/>
            </w:rPr>
          </w:pPr>
          <w:hyperlink w:anchor="_Toc119662379" w:history="1">
            <w:r w:rsidR="0061231B" w:rsidRPr="00780A9D">
              <w:rPr>
                <w:rStyle w:val="Hyperlink"/>
              </w:rPr>
              <w:t>Experiences of harassment, abuse and discrimination</w:t>
            </w:r>
            <w:r w:rsidR="0061231B">
              <w:rPr>
                <w:webHidden/>
              </w:rPr>
              <w:tab/>
            </w:r>
            <w:r w:rsidR="0061231B">
              <w:rPr>
                <w:webHidden/>
              </w:rPr>
              <w:fldChar w:fldCharType="begin"/>
            </w:r>
            <w:r w:rsidR="0061231B">
              <w:rPr>
                <w:webHidden/>
              </w:rPr>
              <w:instrText xml:space="preserve"> PAGEREF _Toc119662379 \h </w:instrText>
            </w:r>
            <w:r w:rsidR="0061231B">
              <w:rPr>
                <w:webHidden/>
              </w:rPr>
            </w:r>
            <w:r w:rsidR="0061231B">
              <w:rPr>
                <w:webHidden/>
              </w:rPr>
              <w:fldChar w:fldCharType="separate"/>
            </w:r>
            <w:r w:rsidR="00C75AC6">
              <w:rPr>
                <w:webHidden/>
              </w:rPr>
              <w:t>4</w:t>
            </w:r>
            <w:r w:rsidR="0061231B">
              <w:rPr>
                <w:webHidden/>
              </w:rPr>
              <w:fldChar w:fldCharType="end"/>
            </w:r>
          </w:hyperlink>
        </w:p>
        <w:p w14:paraId="1A32FF0B" w14:textId="3FC2B895" w:rsidR="0061231B" w:rsidRDefault="00C9023A">
          <w:pPr>
            <w:pStyle w:val="TOC2"/>
            <w:rPr>
              <w:rFonts w:asciiTheme="minorHAnsi" w:hAnsiTheme="minorHAnsi"/>
              <w:sz w:val="22"/>
            </w:rPr>
          </w:pPr>
          <w:hyperlink w:anchor="_Toc119662380" w:history="1">
            <w:r w:rsidR="0061231B" w:rsidRPr="00780A9D">
              <w:rPr>
                <w:rStyle w:val="Hyperlink"/>
              </w:rPr>
              <w:t>Family violence</w:t>
            </w:r>
            <w:r w:rsidR="0061231B">
              <w:rPr>
                <w:webHidden/>
              </w:rPr>
              <w:tab/>
            </w:r>
            <w:r w:rsidR="0061231B">
              <w:rPr>
                <w:webHidden/>
              </w:rPr>
              <w:fldChar w:fldCharType="begin"/>
            </w:r>
            <w:r w:rsidR="0061231B">
              <w:rPr>
                <w:webHidden/>
              </w:rPr>
              <w:instrText xml:space="preserve"> PAGEREF _Toc119662380 \h </w:instrText>
            </w:r>
            <w:r w:rsidR="0061231B">
              <w:rPr>
                <w:webHidden/>
              </w:rPr>
            </w:r>
            <w:r w:rsidR="0061231B">
              <w:rPr>
                <w:webHidden/>
              </w:rPr>
              <w:fldChar w:fldCharType="separate"/>
            </w:r>
            <w:r w:rsidR="00C75AC6">
              <w:rPr>
                <w:webHidden/>
              </w:rPr>
              <w:t>5</w:t>
            </w:r>
            <w:r w:rsidR="0061231B">
              <w:rPr>
                <w:webHidden/>
              </w:rPr>
              <w:fldChar w:fldCharType="end"/>
            </w:r>
          </w:hyperlink>
        </w:p>
        <w:p w14:paraId="316F0444" w14:textId="1D28D256" w:rsidR="0061231B" w:rsidRDefault="00C9023A">
          <w:pPr>
            <w:pStyle w:val="TOC2"/>
            <w:rPr>
              <w:rFonts w:asciiTheme="minorHAnsi" w:hAnsiTheme="minorHAnsi"/>
              <w:sz w:val="22"/>
            </w:rPr>
          </w:pPr>
          <w:hyperlink w:anchor="_Toc119662381" w:history="1">
            <w:r w:rsidR="0061231B" w:rsidRPr="00780A9D">
              <w:rPr>
                <w:rStyle w:val="Hyperlink"/>
              </w:rPr>
              <w:t>Mental health and suicidality</w:t>
            </w:r>
            <w:r w:rsidR="0061231B">
              <w:rPr>
                <w:webHidden/>
              </w:rPr>
              <w:tab/>
            </w:r>
            <w:r w:rsidR="0061231B">
              <w:rPr>
                <w:webHidden/>
              </w:rPr>
              <w:fldChar w:fldCharType="begin"/>
            </w:r>
            <w:r w:rsidR="0061231B">
              <w:rPr>
                <w:webHidden/>
              </w:rPr>
              <w:instrText xml:space="preserve"> PAGEREF _Toc119662381 \h </w:instrText>
            </w:r>
            <w:r w:rsidR="0061231B">
              <w:rPr>
                <w:webHidden/>
              </w:rPr>
            </w:r>
            <w:r w:rsidR="0061231B">
              <w:rPr>
                <w:webHidden/>
              </w:rPr>
              <w:fldChar w:fldCharType="separate"/>
            </w:r>
            <w:r w:rsidR="00C75AC6">
              <w:rPr>
                <w:webHidden/>
              </w:rPr>
              <w:t>6</w:t>
            </w:r>
            <w:r w:rsidR="0061231B">
              <w:rPr>
                <w:webHidden/>
              </w:rPr>
              <w:fldChar w:fldCharType="end"/>
            </w:r>
          </w:hyperlink>
        </w:p>
        <w:p w14:paraId="0B03722F" w14:textId="241C850C" w:rsidR="0061231B" w:rsidRDefault="00C9023A">
          <w:pPr>
            <w:pStyle w:val="TOC2"/>
            <w:rPr>
              <w:rFonts w:asciiTheme="minorHAnsi" w:hAnsiTheme="minorHAnsi"/>
              <w:sz w:val="22"/>
            </w:rPr>
          </w:pPr>
          <w:hyperlink w:anchor="_Toc119662382" w:history="1">
            <w:r w:rsidR="0061231B" w:rsidRPr="00780A9D">
              <w:rPr>
                <w:rStyle w:val="Hyperlink"/>
              </w:rPr>
              <w:t>Community connection</w:t>
            </w:r>
            <w:r w:rsidR="0061231B">
              <w:rPr>
                <w:webHidden/>
              </w:rPr>
              <w:tab/>
            </w:r>
            <w:r w:rsidR="0061231B">
              <w:rPr>
                <w:webHidden/>
              </w:rPr>
              <w:fldChar w:fldCharType="begin"/>
            </w:r>
            <w:r w:rsidR="0061231B">
              <w:rPr>
                <w:webHidden/>
              </w:rPr>
              <w:instrText xml:space="preserve"> PAGEREF _Toc119662382 \h </w:instrText>
            </w:r>
            <w:r w:rsidR="0061231B">
              <w:rPr>
                <w:webHidden/>
              </w:rPr>
            </w:r>
            <w:r w:rsidR="0061231B">
              <w:rPr>
                <w:webHidden/>
              </w:rPr>
              <w:fldChar w:fldCharType="separate"/>
            </w:r>
            <w:r w:rsidR="00C75AC6">
              <w:rPr>
                <w:webHidden/>
              </w:rPr>
              <w:t>6</w:t>
            </w:r>
            <w:r w:rsidR="0061231B">
              <w:rPr>
                <w:webHidden/>
              </w:rPr>
              <w:fldChar w:fldCharType="end"/>
            </w:r>
          </w:hyperlink>
        </w:p>
        <w:p w14:paraId="1E402182" w14:textId="52587050" w:rsidR="0061231B" w:rsidRDefault="00C9023A">
          <w:pPr>
            <w:pStyle w:val="TOC2"/>
            <w:rPr>
              <w:rFonts w:asciiTheme="minorHAnsi" w:hAnsiTheme="minorHAnsi"/>
              <w:sz w:val="22"/>
            </w:rPr>
          </w:pPr>
          <w:hyperlink w:anchor="_Toc119662383" w:history="1">
            <w:r w:rsidR="0061231B" w:rsidRPr="00780A9D">
              <w:rPr>
                <w:rStyle w:val="Hyperlink"/>
              </w:rPr>
              <w:t>Multicultural background and disability</w:t>
            </w:r>
            <w:r w:rsidR="0061231B">
              <w:rPr>
                <w:webHidden/>
              </w:rPr>
              <w:tab/>
            </w:r>
            <w:r w:rsidR="0061231B">
              <w:rPr>
                <w:webHidden/>
              </w:rPr>
              <w:fldChar w:fldCharType="begin"/>
            </w:r>
            <w:r w:rsidR="0061231B">
              <w:rPr>
                <w:webHidden/>
              </w:rPr>
              <w:instrText xml:space="preserve"> PAGEREF _Toc119662383 \h </w:instrText>
            </w:r>
            <w:r w:rsidR="0061231B">
              <w:rPr>
                <w:webHidden/>
              </w:rPr>
            </w:r>
            <w:r w:rsidR="0061231B">
              <w:rPr>
                <w:webHidden/>
              </w:rPr>
              <w:fldChar w:fldCharType="separate"/>
            </w:r>
            <w:r w:rsidR="00C75AC6">
              <w:rPr>
                <w:webHidden/>
              </w:rPr>
              <w:t>7</w:t>
            </w:r>
            <w:r w:rsidR="0061231B">
              <w:rPr>
                <w:webHidden/>
              </w:rPr>
              <w:fldChar w:fldCharType="end"/>
            </w:r>
          </w:hyperlink>
        </w:p>
        <w:p w14:paraId="1D52470E" w14:textId="54E8581D" w:rsidR="0061231B" w:rsidRDefault="00C9023A">
          <w:pPr>
            <w:pStyle w:val="TOC2"/>
            <w:rPr>
              <w:rFonts w:asciiTheme="minorHAnsi" w:hAnsiTheme="minorHAnsi"/>
              <w:sz w:val="22"/>
            </w:rPr>
          </w:pPr>
          <w:hyperlink w:anchor="_Toc119662384" w:history="1">
            <w:r w:rsidR="0061231B" w:rsidRPr="00780A9D">
              <w:rPr>
                <w:rStyle w:val="Hyperlink"/>
              </w:rPr>
              <w:t>Area of residence and disability</w:t>
            </w:r>
            <w:r w:rsidR="0061231B">
              <w:rPr>
                <w:webHidden/>
              </w:rPr>
              <w:tab/>
            </w:r>
            <w:r w:rsidR="0061231B">
              <w:rPr>
                <w:webHidden/>
              </w:rPr>
              <w:fldChar w:fldCharType="begin"/>
            </w:r>
            <w:r w:rsidR="0061231B">
              <w:rPr>
                <w:webHidden/>
              </w:rPr>
              <w:instrText xml:space="preserve"> PAGEREF _Toc119662384 \h </w:instrText>
            </w:r>
            <w:r w:rsidR="0061231B">
              <w:rPr>
                <w:webHidden/>
              </w:rPr>
            </w:r>
            <w:r w:rsidR="0061231B">
              <w:rPr>
                <w:webHidden/>
              </w:rPr>
              <w:fldChar w:fldCharType="separate"/>
            </w:r>
            <w:r w:rsidR="00C75AC6">
              <w:rPr>
                <w:webHidden/>
              </w:rPr>
              <w:t>7</w:t>
            </w:r>
            <w:r w:rsidR="0061231B">
              <w:rPr>
                <w:webHidden/>
              </w:rPr>
              <w:fldChar w:fldCharType="end"/>
            </w:r>
          </w:hyperlink>
        </w:p>
        <w:p w14:paraId="787C9ADB" w14:textId="2FDAADAA" w:rsidR="0061231B" w:rsidRDefault="00C9023A">
          <w:pPr>
            <w:pStyle w:val="TOC2"/>
            <w:rPr>
              <w:rFonts w:asciiTheme="minorHAnsi" w:hAnsiTheme="minorHAnsi"/>
              <w:sz w:val="22"/>
            </w:rPr>
          </w:pPr>
          <w:hyperlink w:anchor="_Toc119662385" w:history="1">
            <w:r w:rsidR="0061231B" w:rsidRPr="00780A9D">
              <w:rPr>
                <w:rStyle w:val="Hyperlink"/>
              </w:rPr>
              <w:t>Gender and disability</w:t>
            </w:r>
            <w:r w:rsidR="0061231B">
              <w:rPr>
                <w:webHidden/>
              </w:rPr>
              <w:tab/>
            </w:r>
            <w:r w:rsidR="0061231B">
              <w:rPr>
                <w:webHidden/>
              </w:rPr>
              <w:fldChar w:fldCharType="begin"/>
            </w:r>
            <w:r w:rsidR="0061231B">
              <w:rPr>
                <w:webHidden/>
              </w:rPr>
              <w:instrText xml:space="preserve"> PAGEREF _Toc119662385 \h </w:instrText>
            </w:r>
            <w:r w:rsidR="0061231B">
              <w:rPr>
                <w:webHidden/>
              </w:rPr>
            </w:r>
            <w:r w:rsidR="0061231B">
              <w:rPr>
                <w:webHidden/>
              </w:rPr>
              <w:fldChar w:fldCharType="separate"/>
            </w:r>
            <w:r w:rsidR="00C75AC6">
              <w:rPr>
                <w:webHidden/>
              </w:rPr>
              <w:t>8</w:t>
            </w:r>
            <w:r w:rsidR="0061231B">
              <w:rPr>
                <w:webHidden/>
              </w:rPr>
              <w:fldChar w:fldCharType="end"/>
            </w:r>
          </w:hyperlink>
        </w:p>
        <w:p w14:paraId="5F4DBB4B" w14:textId="018720EE" w:rsidR="0061231B" w:rsidRDefault="00C9023A">
          <w:pPr>
            <w:pStyle w:val="TOC2"/>
            <w:rPr>
              <w:rFonts w:asciiTheme="minorHAnsi" w:hAnsiTheme="minorHAnsi"/>
              <w:sz w:val="22"/>
            </w:rPr>
          </w:pPr>
          <w:hyperlink w:anchor="_Toc119662386" w:history="1">
            <w:r w:rsidR="0061231B" w:rsidRPr="00780A9D">
              <w:rPr>
                <w:rStyle w:val="Hyperlink"/>
              </w:rPr>
              <w:t>Sexual orientation and disability</w:t>
            </w:r>
            <w:r w:rsidR="0061231B">
              <w:rPr>
                <w:webHidden/>
              </w:rPr>
              <w:tab/>
            </w:r>
            <w:r w:rsidR="0061231B">
              <w:rPr>
                <w:webHidden/>
              </w:rPr>
              <w:fldChar w:fldCharType="begin"/>
            </w:r>
            <w:r w:rsidR="0061231B">
              <w:rPr>
                <w:webHidden/>
              </w:rPr>
              <w:instrText xml:space="preserve"> PAGEREF _Toc119662386 \h </w:instrText>
            </w:r>
            <w:r w:rsidR="0061231B">
              <w:rPr>
                <w:webHidden/>
              </w:rPr>
            </w:r>
            <w:r w:rsidR="0061231B">
              <w:rPr>
                <w:webHidden/>
              </w:rPr>
              <w:fldChar w:fldCharType="separate"/>
            </w:r>
            <w:r w:rsidR="00C75AC6">
              <w:rPr>
                <w:webHidden/>
              </w:rPr>
              <w:t>9</w:t>
            </w:r>
            <w:r w:rsidR="0061231B">
              <w:rPr>
                <w:webHidden/>
              </w:rPr>
              <w:fldChar w:fldCharType="end"/>
            </w:r>
          </w:hyperlink>
        </w:p>
        <w:p w14:paraId="44171047" w14:textId="3ED2E2D9" w:rsidR="0061231B" w:rsidRDefault="00C9023A">
          <w:pPr>
            <w:pStyle w:val="TOC2"/>
            <w:rPr>
              <w:rFonts w:asciiTheme="minorHAnsi" w:hAnsiTheme="minorHAnsi"/>
              <w:sz w:val="22"/>
            </w:rPr>
          </w:pPr>
          <w:hyperlink w:anchor="_Toc119662387" w:history="1">
            <w:r w:rsidR="0061231B" w:rsidRPr="00780A9D">
              <w:rPr>
                <w:rStyle w:val="Hyperlink"/>
              </w:rPr>
              <w:t>Summary and recommendations</w:t>
            </w:r>
            <w:r w:rsidR="0061231B">
              <w:rPr>
                <w:webHidden/>
              </w:rPr>
              <w:tab/>
            </w:r>
            <w:r w:rsidR="0061231B">
              <w:rPr>
                <w:webHidden/>
              </w:rPr>
              <w:fldChar w:fldCharType="begin"/>
            </w:r>
            <w:r w:rsidR="0061231B">
              <w:rPr>
                <w:webHidden/>
              </w:rPr>
              <w:instrText xml:space="preserve"> PAGEREF _Toc119662387 \h </w:instrText>
            </w:r>
            <w:r w:rsidR="0061231B">
              <w:rPr>
                <w:webHidden/>
              </w:rPr>
            </w:r>
            <w:r w:rsidR="0061231B">
              <w:rPr>
                <w:webHidden/>
              </w:rPr>
              <w:fldChar w:fldCharType="separate"/>
            </w:r>
            <w:r w:rsidR="00C75AC6">
              <w:rPr>
                <w:webHidden/>
              </w:rPr>
              <w:t>10</w:t>
            </w:r>
            <w:r w:rsidR="0061231B">
              <w:rPr>
                <w:webHidden/>
              </w:rPr>
              <w:fldChar w:fldCharType="end"/>
            </w:r>
          </w:hyperlink>
        </w:p>
        <w:p w14:paraId="43D83A13" w14:textId="220A7FD9" w:rsidR="0061231B" w:rsidRDefault="00C9023A">
          <w:pPr>
            <w:pStyle w:val="TOC1"/>
            <w:rPr>
              <w:rFonts w:asciiTheme="minorHAnsi" w:hAnsiTheme="minorHAnsi"/>
              <w:sz w:val="22"/>
            </w:rPr>
          </w:pPr>
          <w:hyperlink w:anchor="_Toc119662388" w:history="1">
            <w:r w:rsidR="0061231B" w:rsidRPr="00780A9D">
              <w:rPr>
                <w:rStyle w:val="Hyperlink"/>
              </w:rPr>
              <w:t>1 Background</w:t>
            </w:r>
            <w:r w:rsidR="0061231B">
              <w:rPr>
                <w:webHidden/>
              </w:rPr>
              <w:tab/>
            </w:r>
            <w:r w:rsidR="0061231B">
              <w:rPr>
                <w:webHidden/>
              </w:rPr>
              <w:fldChar w:fldCharType="begin"/>
            </w:r>
            <w:r w:rsidR="0061231B">
              <w:rPr>
                <w:webHidden/>
              </w:rPr>
              <w:instrText xml:space="preserve"> PAGEREF _Toc119662388 \h </w:instrText>
            </w:r>
            <w:r w:rsidR="0061231B">
              <w:rPr>
                <w:webHidden/>
              </w:rPr>
            </w:r>
            <w:r w:rsidR="0061231B">
              <w:rPr>
                <w:webHidden/>
              </w:rPr>
              <w:fldChar w:fldCharType="separate"/>
            </w:r>
            <w:r w:rsidR="00C75AC6">
              <w:rPr>
                <w:webHidden/>
              </w:rPr>
              <w:t>17</w:t>
            </w:r>
            <w:r w:rsidR="0061231B">
              <w:rPr>
                <w:webHidden/>
              </w:rPr>
              <w:fldChar w:fldCharType="end"/>
            </w:r>
          </w:hyperlink>
        </w:p>
        <w:p w14:paraId="5938D347" w14:textId="2C5EAB8F" w:rsidR="0061231B" w:rsidRDefault="00C9023A">
          <w:pPr>
            <w:pStyle w:val="TOC2"/>
            <w:rPr>
              <w:rFonts w:asciiTheme="minorHAnsi" w:hAnsiTheme="minorHAnsi"/>
              <w:sz w:val="22"/>
            </w:rPr>
          </w:pPr>
          <w:hyperlink w:anchor="_Toc119662389" w:history="1">
            <w:r w:rsidR="0061231B" w:rsidRPr="00780A9D">
              <w:rPr>
                <w:rStyle w:val="Hyperlink"/>
              </w:rPr>
              <w:t>1.1 LGBTQA+ people with disability</w:t>
            </w:r>
            <w:r w:rsidR="0061231B">
              <w:rPr>
                <w:webHidden/>
              </w:rPr>
              <w:tab/>
            </w:r>
            <w:r w:rsidR="0061231B">
              <w:rPr>
                <w:webHidden/>
              </w:rPr>
              <w:fldChar w:fldCharType="begin"/>
            </w:r>
            <w:r w:rsidR="0061231B">
              <w:rPr>
                <w:webHidden/>
              </w:rPr>
              <w:instrText xml:space="preserve"> PAGEREF _Toc119662389 \h </w:instrText>
            </w:r>
            <w:r w:rsidR="0061231B">
              <w:rPr>
                <w:webHidden/>
              </w:rPr>
            </w:r>
            <w:r w:rsidR="0061231B">
              <w:rPr>
                <w:webHidden/>
              </w:rPr>
              <w:fldChar w:fldCharType="separate"/>
            </w:r>
            <w:r w:rsidR="00C75AC6">
              <w:rPr>
                <w:webHidden/>
              </w:rPr>
              <w:t>17</w:t>
            </w:r>
            <w:r w:rsidR="0061231B">
              <w:rPr>
                <w:webHidden/>
              </w:rPr>
              <w:fldChar w:fldCharType="end"/>
            </w:r>
          </w:hyperlink>
        </w:p>
        <w:p w14:paraId="740E259A" w14:textId="36FF7F6A" w:rsidR="0061231B" w:rsidRDefault="00C9023A">
          <w:pPr>
            <w:pStyle w:val="TOC2"/>
            <w:rPr>
              <w:rFonts w:asciiTheme="minorHAnsi" w:hAnsiTheme="minorHAnsi"/>
              <w:sz w:val="22"/>
            </w:rPr>
          </w:pPr>
          <w:hyperlink w:anchor="_Toc119662390" w:history="1">
            <w:r w:rsidR="0061231B" w:rsidRPr="00780A9D">
              <w:rPr>
                <w:rStyle w:val="Hyperlink"/>
              </w:rPr>
              <w:t>1.2 Scope of this report</w:t>
            </w:r>
            <w:r w:rsidR="0061231B">
              <w:rPr>
                <w:webHidden/>
              </w:rPr>
              <w:tab/>
            </w:r>
            <w:r w:rsidR="0061231B">
              <w:rPr>
                <w:webHidden/>
              </w:rPr>
              <w:fldChar w:fldCharType="begin"/>
            </w:r>
            <w:r w:rsidR="0061231B">
              <w:rPr>
                <w:webHidden/>
              </w:rPr>
              <w:instrText xml:space="preserve"> PAGEREF _Toc119662390 \h </w:instrText>
            </w:r>
            <w:r w:rsidR="0061231B">
              <w:rPr>
                <w:webHidden/>
              </w:rPr>
            </w:r>
            <w:r w:rsidR="0061231B">
              <w:rPr>
                <w:webHidden/>
              </w:rPr>
              <w:fldChar w:fldCharType="separate"/>
            </w:r>
            <w:r w:rsidR="00C75AC6">
              <w:rPr>
                <w:webHidden/>
              </w:rPr>
              <w:t>18</w:t>
            </w:r>
            <w:r w:rsidR="0061231B">
              <w:rPr>
                <w:webHidden/>
              </w:rPr>
              <w:fldChar w:fldCharType="end"/>
            </w:r>
          </w:hyperlink>
        </w:p>
        <w:p w14:paraId="5DC58AD7" w14:textId="26EA0D63" w:rsidR="0061231B" w:rsidRDefault="00C9023A">
          <w:pPr>
            <w:pStyle w:val="TOC2"/>
            <w:rPr>
              <w:rFonts w:asciiTheme="minorHAnsi" w:hAnsiTheme="minorHAnsi"/>
              <w:sz w:val="22"/>
            </w:rPr>
          </w:pPr>
          <w:hyperlink w:anchor="_Toc119662391" w:history="1">
            <w:r w:rsidR="0061231B" w:rsidRPr="00780A9D">
              <w:rPr>
                <w:rStyle w:val="Hyperlink"/>
              </w:rPr>
              <w:t>1.3 A note on intersex populations</w:t>
            </w:r>
            <w:r w:rsidR="0061231B">
              <w:rPr>
                <w:webHidden/>
              </w:rPr>
              <w:tab/>
            </w:r>
            <w:r w:rsidR="0061231B">
              <w:rPr>
                <w:webHidden/>
              </w:rPr>
              <w:fldChar w:fldCharType="begin"/>
            </w:r>
            <w:r w:rsidR="0061231B">
              <w:rPr>
                <w:webHidden/>
              </w:rPr>
              <w:instrText xml:space="preserve"> PAGEREF _Toc119662391 \h </w:instrText>
            </w:r>
            <w:r w:rsidR="0061231B">
              <w:rPr>
                <w:webHidden/>
              </w:rPr>
            </w:r>
            <w:r w:rsidR="0061231B">
              <w:rPr>
                <w:webHidden/>
              </w:rPr>
              <w:fldChar w:fldCharType="separate"/>
            </w:r>
            <w:r w:rsidR="00C75AC6">
              <w:rPr>
                <w:webHidden/>
              </w:rPr>
              <w:t>19</w:t>
            </w:r>
            <w:r w:rsidR="0061231B">
              <w:rPr>
                <w:webHidden/>
              </w:rPr>
              <w:fldChar w:fldCharType="end"/>
            </w:r>
          </w:hyperlink>
        </w:p>
        <w:p w14:paraId="7E6C4AB8" w14:textId="20888541" w:rsidR="0061231B" w:rsidRDefault="00C9023A">
          <w:pPr>
            <w:pStyle w:val="TOC2"/>
            <w:rPr>
              <w:rFonts w:asciiTheme="minorHAnsi" w:hAnsiTheme="minorHAnsi"/>
              <w:sz w:val="22"/>
            </w:rPr>
          </w:pPr>
          <w:hyperlink w:anchor="_Toc119662392" w:history="1">
            <w:r w:rsidR="0061231B" w:rsidRPr="00780A9D">
              <w:rPr>
                <w:rStyle w:val="Hyperlink"/>
              </w:rPr>
              <w:t>1.4 Data from First Nations participants</w:t>
            </w:r>
            <w:r w:rsidR="0061231B">
              <w:rPr>
                <w:webHidden/>
              </w:rPr>
              <w:tab/>
            </w:r>
            <w:r w:rsidR="0061231B">
              <w:rPr>
                <w:webHidden/>
              </w:rPr>
              <w:fldChar w:fldCharType="begin"/>
            </w:r>
            <w:r w:rsidR="0061231B">
              <w:rPr>
                <w:webHidden/>
              </w:rPr>
              <w:instrText xml:space="preserve"> PAGEREF _Toc119662392 \h </w:instrText>
            </w:r>
            <w:r w:rsidR="0061231B">
              <w:rPr>
                <w:webHidden/>
              </w:rPr>
            </w:r>
            <w:r w:rsidR="0061231B">
              <w:rPr>
                <w:webHidden/>
              </w:rPr>
              <w:fldChar w:fldCharType="separate"/>
            </w:r>
            <w:r w:rsidR="00C75AC6">
              <w:rPr>
                <w:webHidden/>
              </w:rPr>
              <w:t>19</w:t>
            </w:r>
            <w:r w:rsidR="0061231B">
              <w:rPr>
                <w:webHidden/>
              </w:rPr>
              <w:fldChar w:fldCharType="end"/>
            </w:r>
          </w:hyperlink>
        </w:p>
        <w:p w14:paraId="1B7B7546" w14:textId="3380299B" w:rsidR="0061231B" w:rsidRDefault="00C9023A">
          <w:pPr>
            <w:pStyle w:val="TOC1"/>
            <w:rPr>
              <w:rFonts w:asciiTheme="minorHAnsi" w:hAnsiTheme="minorHAnsi"/>
              <w:sz w:val="22"/>
            </w:rPr>
          </w:pPr>
          <w:hyperlink w:anchor="_Toc119662393" w:history="1">
            <w:r w:rsidR="0061231B" w:rsidRPr="00780A9D">
              <w:rPr>
                <w:rStyle w:val="Hyperlink"/>
              </w:rPr>
              <w:t>2 Methods</w:t>
            </w:r>
            <w:r w:rsidR="0061231B">
              <w:rPr>
                <w:webHidden/>
              </w:rPr>
              <w:tab/>
            </w:r>
            <w:r w:rsidR="0061231B">
              <w:rPr>
                <w:webHidden/>
              </w:rPr>
              <w:fldChar w:fldCharType="begin"/>
            </w:r>
            <w:r w:rsidR="0061231B">
              <w:rPr>
                <w:webHidden/>
              </w:rPr>
              <w:instrText xml:space="preserve"> PAGEREF _Toc119662393 \h </w:instrText>
            </w:r>
            <w:r w:rsidR="0061231B">
              <w:rPr>
                <w:webHidden/>
              </w:rPr>
            </w:r>
            <w:r w:rsidR="0061231B">
              <w:rPr>
                <w:webHidden/>
              </w:rPr>
              <w:fldChar w:fldCharType="separate"/>
            </w:r>
            <w:r w:rsidR="00C75AC6">
              <w:rPr>
                <w:webHidden/>
              </w:rPr>
              <w:t>20</w:t>
            </w:r>
            <w:r w:rsidR="0061231B">
              <w:rPr>
                <w:webHidden/>
              </w:rPr>
              <w:fldChar w:fldCharType="end"/>
            </w:r>
          </w:hyperlink>
        </w:p>
        <w:p w14:paraId="6A4EBECA" w14:textId="2C695105" w:rsidR="0061231B" w:rsidRDefault="00C9023A">
          <w:pPr>
            <w:pStyle w:val="TOC2"/>
            <w:rPr>
              <w:rFonts w:asciiTheme="minorHAnsi" w:hAnsiTheme="minorHAnsi"/>
              <w:sz w:val="22"/>
            </w:rPr>
          </w:pPr>
          <w:hyperlink w:anchor="_Toc119662394" w:history="1">
            <w:r w:rsidR="0061231B" w:rsidRPr="00780A9D">
              <w:rPr>
                <w:rStyle w:val="Hyperlink"/>
              </w:rPr>
              <w:t xml:space="preserve">2.1 Overview of the </w:t>
            </w:r>
            <w:r w:rsidR="0061231B" w:rsidRPr="00780A9D">
              <w:rPr>
                <w:rStyle w:val="Hyperlink"/>
                <w:i/>
              </w:rPr>
              <w:t>Writing Themselves In 4</w:t>
            </w:r>
            <w:r w:rsidR="0061231B" w:rsidRPr="00780A9D">
              <w:rPr>
                <w:rStyle w:val="Hyperlink"/>
              </w:rPr>
              <w:t xml:space="preserve"> and </w:t>
            </w:r>
            <w:r w:rsidR="0061231B" w:rsidRPr="00780A9D">
              <w:rPr>
                <w:rStyle w:val="Hyperlink"/>
                <w:i/>
              </w:rPr>
              <w:t>Private Lives 3</w:t>
            </w:r>
            <w:r w:rsidR="0061231B" w:rsidRPr="00780A9D">
              <w:rPr>
                <w:rStyle w:val="Hyperlink"/>
              </w:rPr>
              <w:t xml:space="preserve"> surveys</w:t>
            </w:r>
            <w:r w:rsidR="0061231B">
              <w:rPr>
                <w:webHidden/>
              </w:rPr>
              <w:tab/>
            </w:r>
            <w:r w:rsidR="0061231B">
              <w:rPr>
                <w:webHidden/>
              </w:rPr>
              <w:fldChar w:fldCharType="begin"/>
            </w:r>
            <w:r w:rsidR="0061231B">
              <w:rPr>
                <w:webHidden/>
              </w:rPr>
              <w:instrText xml:space="preserve"> PAGEREF _Toc119662394 \h </w:instrText>
            </w:r>
            <w:r w:rsidR="0061231B">
              <w:rPr>
                <w:webHidden/>
              </w:rPr>
            </w:r>
            <w:r w:rsidR="0061231B">
              <w:rPr>
                <w:webHidden/>
              </w:rPr>
              <w:fldChar w:fldCharType="separate"/>
            </w:r>
            <w:r w:rsidR="00C75AC6">
              <w:rPr>
                <w:webHidden/>
              </w:rPr>
              <w:t>20</w:t>
            </w:r>
            <w:r w:rsidR="0061231B">
              <w:rPr>
                <w:webHidden/>
              </w:rPr>
              <w:fldChar w:fldCharType="end"/>
            </w:r>
          </w:hyperlink>
        </w:p>
        <w:p w14:paraId="69FA4CB5" w14:textId="2090582D" w:rsidR="0061231B" w:rsidRDefault="00C9023A">
          <w:pPr>
            <w:pStyle w:val="TOC2"/>
            <w:rPr>
              <w:rFonts w:asciiTheme="minorHAnsi" w:hAnsiTheme="minorHAnsi"/>
              <w:sz w:val="22"/>
            </w:rPr>
          </w:pPr>
          <w:hyperlink w:anchor="_Toc119662395" w:history="1">
            <w:r w:rsidR="0061231B" w:rsidRPr="00780A9D">
              <w:rPr>
                <w:rStyle w:val="Hyperlink"/>
              </w:rPr>
              <w:t>2.2 Survey participants</w:t>
            </w:r>
            <w:r w:rsidR="0061231B">
              <w:rPr>
                <w:webHidden/>
              </w:rPr>
              <w:tab/>
            </w:r>
            <w:r w:rsidR="0061231B">
              <w:rPr>
                <w:webHidden/>
              </w:rPr>
              <w:fldChar w:fldCharType="begin"/>
            </w:r>
            <w:r w:rsidR="0061231B">
              <w:rPr>
                <w:webHidden/>
              </w:rPr>
              <w:instrText xml:space="preserve"> PAGEREF _Toc119662395 \h </w:instrText>
            </w:r>
            <w:r w:rsidR="0061231B">
              <w:rPr>
                <w:webHidden/>
              </w:rPr>
            </w:r>
            <w:r w:rsidR="0061231B">
              <w:rPr>
                <w:webHidden/>
              </w:rPr>
              <w:fldChar w:fldCharType="separate"/>
            </w:r>
            <w:r w:rsidR="00C75AC6">
              <w:rPr>
                <w:webHidden/>
              </w:rPr>
              <w:t>20</w:t>
            </w:r>
            <w:r w:rsidR="0061231B">
              <w:rPr>
                <w:webHidden/>
              </w:rPr>
              <w:fldChar w:fldCharType="end"/>
            </w:r>
          </w:hyperlink>
        </w:p>
        <w:p w14:paraId="425DA939" w14:textId="30BC866D" w:rsidR="0061231B" w:rsidRDefault="00C9023A">
          <w:pPr>
            <w:pStyle w:val="TOC2"/>
            <w:rPr>
              <w:rFonts w:asciiTheme="minorHAnsi" w:hAnsiTheme="minorHAnsi"/>
              <w:sz w:val="22"/>
            </w:rPr>
          </w:pPr>
          <w:hyperlink w:anchor="_Toc119662396" w:history="1">
            <w:r w:rsidR="0061231B" w:rsidRPr="00780A9D">
              <w:rPr>
                <w:rStyle w:val="Hyperlink"/>
              </w:rPr>
              <w:t>2.3 Analysis and categorisation of data</w:t>
            </w:r>
            <w:r w:rsidR="0061231B">
              <w:rPr>
                <w:webHidden/>
              </w:rPr>
              <w:tab/>
            </w:r>
            <w:r w:rsidR="0061231B">
              <w:rPr>
                <w:webHidden/>
              </w:rPr>
              <w:fldChar w:fldCharType="begin"/>
            </w:r>
            <w:r w:rsidR="0061231B">
              <w:rPr>
                <w:webHidden/>
              </w:rPr>
              <w:instrText xml:space="preserve"> PAGEREF _Toc119662396 \h </w:instrText>
            </w:r>
            <w:r w:rsidR="0061231B">
              <w:rPr>
                <w:webHidden/>
              </w:rPr>
            </w:r>
            <w:r w:rsidR="0061231B">
              <w:rPr>
                <w:webHidden/>
              </w:rPr>
              <w:fldChar w:fldCharType="separate"/>
            </w:r>
            <w:r w:rsidR="00C75AC6">
              <w:rPr>
                <w:webHidden/>
              </w:rPr>
              <w:t>21</w:t>
            </w:r>
            <w:r w:rsidR="0061231B">
              <w:rPr>
                <w:webHidden/>
              </w:rPr>
              <w:fldChar w:fldCharType="end"/>
            </w:r>
          </w:hyperlink>
        </w:p>
        <w:p w14:paraId="1E31D802" w14:textId="5D75F821" w:rsidR="0061231B" w:rsidRDefault="00C9023A">
          <w:pPr>
            <w:pStyle w:val="TOC2"/>
            <w:rPr>
              <w:rFonts w:asciiTheme="minorHAnsi" w:hAnsiTheme="minorHAnsi"/>
              <w:sz w:val="22"/>
            </w:rPr>
          </w:pPr>
          <w:hyperlink w:anchor="_Toc119662397" w:history="1">
            <w:r w:rsidR="0061231B" w:rsidRPr="00780A9D">
              <w:rPr>
                <w:rStyle w:val="Hyperlink"/>
              </w:rPr>
              <w:t>2.4 Interpreting the data</w:t>
            </w:r>
            <w:r w:rsidR="0061231B">
              <w:rPr>
                <w:webHidden/>
              </w:rPr>
              <w:tab/>
            </w:r>
            <w:r w:rsidR="0061231B">
              <w:rPr>
                <w:webHidden/>
              </w:rPr>
              <w:fldChar w:fldCharType="begin"/>
            </w:r>
            <w:r w:rsidR="0061231B">
              <w:rPr>
                <w:webHidden/>
              </w:rPr>
              <w:instrText xml:space="preserve"> PAGEREF _Toc119662397 \h </w:instrText>
            </w:r>
            <w:r w:rsidR="0061231B">
              <w:rPr>
                <w:webHidden/>
              </w:rPr>
            </w:r>
            <w:r w:rsidR="0061231B">
              <w:rPr>
                <w:webHidden/>
              </w:rPr>
              <w:fldChar w:fldCharType="separate"/>
            </w:r>
            <w:r w:rsidR="00C75AC6">
              <w:rPr>
                <w:webHidden/>
              </w:rPr>
              <w:t>25</w:t>
            </w:r>
            <w:r w:rsidR="0061231B">
              <w:rPr>
                <w:webHidden/>
              </w:rPr>
              <w:fldChar w:fldCharType="end"/>
            </w:r>
          </w:hyperlink>
        </w:p>
        <w:p w14:paraId="79389891" w14:textId="622A84EC" w:rsidR="0061231B" w:rsidRDefault="00C9023A">
          <w:pPr>
            <w:pStyle w:val="TOC2"/>
            <w:rPr>
              <w:rFonts w:asciiTheme="minorHAnsi" w:hAnsiTheme="minorHAnsi"/>
              <w:sz w:val="22"/>
            </w:rPr>
          </w:pPr>
          <w:hyperlink w:anchor="_Toc119662398" w:history="1">
            <w:r w:rsidR="0061231B" w:rsidRPr="00780A9D">
              <w:rPr>
                <w:rStyle w:val="Hyperlink"/>
              </w:rPr>
              <w:t>2.5 Study limitations</w:t>
            </w:r>
            <w:r w:rsidR="0061231B">
              <w:rPr>
                <w:webHidden/>
              </w:rPr>
              <w:tab/>
            </w:r>
            <w:r w:rsidR="0061231B">
              <w:rPr>
                <w:webHidden/>
              </w:rPr>
              <w:fldChar w:fldCharType="begin"/>
            </w:r>
            <w:r w:rsidR="0061231B">
              <w:rPr>
                <w:webHidden/>
              </w:rPr>
              <w:instrText xml:space="preserve"> PAGEREF _Toc119662398 \h </w:instrText>
            </w:r>
            <w:r w:rsidR="0061231B">
              <w:rPr>
                <w:webHidden/>
              </w:rPr>
            </w:r>
            <w:r w:rsidR="0061231B">
              <w:rPr>
                <w:webHidden/>
              </w:rPr>
              <w:fldChar w:fldCharType="separate"/>
            </w:r>
            <w:r w:rsidR="00C75AC6">
              <w:rPr>
                <w:webHidden/>
              </w:rPr>
              <w:t>27</w:t>
            </w:r>
            <w:r w:rsidR="0061231B">
              <w:rPr>
                <w:webHidden/>
              </w:rPr>
              <w:fldChar w:fldCharType="end"/>
            </w:r>
          </w:hyperlink>
        </w:p>
        <w:p w14:paraId="0B41FCB2" w14:textId="00FD0A3A" w:rsidR="0061231B" w:rsidRDefault="00C9023A">
          <w:pPr>
            <w:pStyle w:val="TOC2"/>
            <w:rPr>
              <w:rFonts w:asciiTheme="minorHAnsi" w:hAnsiTheme="minorHAnsi"/>
              <w:sz w:val="22"/>
            </w:rPr>
          </w:pPr>
          <w:hyperlink w:anchor="_Toc119662399" w:history="1">
            <w:r w:rsidR="0061231B" w:rsidRPr="00780A9D">
              <w:rPr>
                <w:rStyle w:val="Hyperlink"/>
              </w:rPr>
              <w:t>2.6 Presentation of results in this report</w:t>
            </w:r>
            <w:r w:rsidR="0061231B">
              <w:rPr>
                <w:webHidden/>
              </w:rPr>
              <w:tab/>
            </w:r>
            <w:r w:rsidR="0061231B">
              <w:rPr>
                <w:webHidden/>
              </w:rPr>
              <w:fldChar w:fldCharType="begin"/>
            </w:r>
            <w:r w:rsidR="0061231B">
              <w:rPr>
                <w:webHidden/>
              </w:rPr>
              <w:instrText xml:space="preserve"> PAGEREF _Toc119662399 \h </w:instrText>
            </w:r>
            <w:r w:rsidR="0061231B">
              <w:rPr>
                <w:webHidden/>
              </w:rPr>
            </w:r>
            <w:r w:rsidR="0061231B">
              <w:rPr>
                <w:webHidden/>
              </w:rPr>
              <w:fldChar w:fldCharType="separate"/>
            </w:r>
            <w:r w:rsidR="00C75AC6">
              <w:rPr>
                <w:webHidden/>
              </w:rPr>
              <w:t>29</w:t>
            </w:r>
            <w:r w:rsidR="0061231B">
              <w:rPr>
                <w:webHidden/>
              </w:rPr>
              <w:fldChar w:fldCharType="end"/>
            </w:r>
          </w:hyperlink>
        </w:p>
        <w:p w14:paraId="7D88029D" w14:textId="05FA2ADE" w:rsidR="0061231B" w:rsidRDefault="00C9023A">
          <w:pPr>
            <w:pStyle w:val="TOC1"/>
            <w:rPr>
              <w:rFonts w:asciiTheme="minorHAnsi" w:hAnsiTheme="minorHAnsi"/>
              <w:sz w:val="22"/>
            </w:rPr>
          </w:pPr>
          <w:hyperlink w:anchor="_Toc119662400" w:history="1">
            <w:r w:rsidR="0061231B" w:rsidRPr="00780A9D">
              <w:rPr>
                <w:rStyle w:val="Hyperlink"/>
                <w:lang w:bidi="en-US"/>
              </w:rPr>
              <w:t>3 Demographics</w:t>
            </w:r>
            <w:r w:rsidR="0061231B">
              <w:rPr>
                <w:webHidden/>
              </w:rPr>
              <w:tab/>
            </w:r>
            <w:r w:rsidR="0061231B">
              <w:rPr>
                <w:webHidden/>
              </w:rPr>
              <w:fldChar w:fldCharType="begin"/>
            </w:r>
            <w:r w:rsidR="0061231B">
              <w:rPr>
                <w:webHidden/>
              </w:rPr>
              <w:instrText xml:space="preserve"> PAGEREF _Toc119662400 \h </w:instrText>
            </w:r>
            <w:r w:rsidR="0061231B">
              <w:rPr>
                <w:webHidden/>
              </w:rPr>
            </w:r>
            <w:r w:rsidR="0061231B">
              <w:rPr>
                <w:webHidden/>
              </w:rPr>
              <w:fldChar w:fldCharType="separate"/>
            </w:r>
            <w:r w:rsidR="00C75AC6">
              <w:rPr>
                <w:webHidden/>
              </w:rPr>
              <w:t>30</w:t>
            </w:r>
            <w:r w:rsidR="0061231B">
              <w:rPr>
                <w:webHidden/>
              </w:rPr>
              <w:fldChar w:fldCharType="end"/>
            </w:r>
          </w:hyperlink>
        </w:p>
        <w:p w14:paraId="65D94BF3" w14:textId="17AA2C93" w:rsidR="0061231B" w:rsidRDefault="00C9023A">
          <w:pPr>
            <w:pStyle w:val="TOC2"/>
            <w:rPr>
              <w:rFonts w:asciiTheme="minorHAnsi" w:hAnsiTheme="minorHAnsi"/>
              <w:sz w:val="22"/>
            </w:rPr>
          </w:pPr>
          <w:hyperlink w:anchor="_Toc119662401" w:history="1">
            <w:r w:rsidR="0061231B" w:rsidRPr="00780A9D">
              <w:rPr>
                <w:rStyle w:val="Hyperlink"/>
              </w:rPr>
              <w:t>3.1 Disability or long-term health condition</w:t>
            </w:r>
            <w:r w:rsidR="0061231B">
              <w:rPr>
                <w:webHidden/>
              </w:rPr>
              <w:tab/>
            </w:r>
            <w:r w:rsidR="0061231B">
              <w:rPr>
                <w:webHidden/>
              </w:rPr>
              <w:fldChar w:fldCharType="begin"/>
            </w:r>
            <w:r w:rsidR="0061231B">
              <w:rPr>
                <w:webHidden/>
              </w:rPr>
              <w:instrText xml:space="preserve"> PAGEREF _Toc119662401 \h </w:instrText>
            </w:r>
            <w:r w:rsidR="0061231B">
              <w:rPr>
                <w:webHidden/>
              </w:rPr>
            </w:r>
            <w:r w:rsidR="0061231B">
              <w:rPr>
                <w:webHidden/>
              </w:rPr>
              <w:fldChar w:fldCharType="separate"/>
            </w:r>
            <w:r w:rsidR="00C75AC6">
              <w:rPr>
                <w:webHidden/>
              </w:rPr>
              <w:t>30</w:t>
            </w:r>
            <w:r w:rsidR="0061231B">
              <w:rPr>
                <w:webHidden/>
              </w:rPr>
              <w:fldChar w:fldCharType="end"/>
            </w:r>
          </w:hyperlink>
        </w:p>
        <w:p w14:paraId="5C43A07D" w14:textId="23F1DA41" w:rsidR="0061231B" w:rsidRDefault="00C9023A">
          <w:pPr>
            <w:pStyle w:val="TOC2"/>
            <w:rPr>
              <w:rFonts w:asciiTheme="minorHAnsi" w:hAnsiTheme="minorHAnsi"/>
              <w:sz w:val="22"/>
            </w:rPr>
          </w:pPr>
          <w:hyperlink w:anchor="_Toc119662402" w:history="1">
            <w:r w:rsidR="0061231B" w:rsidRPr="00780A9D">
              <w:rPr>
                <w:rStyle w:val="Hyperlink"/>
              </w:rPr>
              <w:t>3.2 State or territory of residence</w:t>
            </w:r>
            <w:r w:rsidR="0061231B">
              <w:rPr>
                <w:webHidden/>
              </w:rPr>
              <w:tab/>
            </w:r>
            <w:r w:rsidR="0061231B">
              <w:rPr>
                <w:webHidden/>
              </w:rPr>
              <w:fldChar w:fldCharType="begin"/>
            </w:r>
            <w:r w:rsidR="0061231B">
              <w:rPr>
                <w:webHidden/>
              </w:rPr>
              <w:instrText xml:space="preserve"> PAGEREF _Toc119662402 \h </w:instrText>
            </w:r>
            <w:r w:rsidR="0061231B">
              <w:rPr>
                <w:webHidden/>
              </w:rPr>
            </w:r>
            <w:r w:rsidR="0061231B">
              <w:rPr>
                <w:webHidden/>
              </w:rPr>
              <w:fldChar w:fldCharType="separate"/>
            </w:r>
            <w:r w:rsidR="00C75AC6">
              <w:rPr>
                <w:webHidden/>
              </w:rPr>
              <w:t>32</w:t>
            </w:r>
            <w:r w:rsidR="0061231B">
              <w:rPr>
                <w:webHidden/>
              </w:rPr>
              <w:fldChar w:fldCharType="end"/>
            </w:r>
          </w:hyperlink>
        </w:p>
        <w:p w14:paraId="2970B4E0" w14:textId="6E5F9F5C" w:rsidR="0061231B" w:rsidRDefault="00C9023A">
          <w:pPr>
            <w:pStyle w:val="TOC2"/>
            <w:rPr>
              <w:rFonts w:asciiTheme="minorHAnsi" w:hAnsiTheme="minorHAnsi"/>
              <w:sz w:val="22"/>
            </w:rPr>
          </w:pPr>
          <w:hyperlink w:anchor="_Toc119662403" w:history="1">
            <w:r w:rsidR="0061231B" w:rsidRPr="00780A9D">
              <w:rPr>
                <w:rStyle w:val="Hyperlink"/>
              </w:rPr>
              <w:t>3.3 Age of participants</w:t>
            </w:r>
            <w:r w:rsidR="0061231B">
              <w:rPr>
                <w:webHidden/>
              </w:rPr>
              <w:tab/>
            </w:r>
            <w:r w:rsidR="0061231B">
              <w:rPr>
                <w:webHidden/>
              </w:rPr>
              <w:fldChar w:fldCharType="begin"/>
            </w:r>
            <w:r w:rsidR="0061231B">
              <w:rPr>
                <w:webHidden/>
              </w:rPr>
              <w:instrText xml:space="preserve"> PAGEREF _Toc119662403 \h </w:instrText>
            </w:r>
            <w:r w:rsidR="0061231B">
              <w:rPr>
                <w:webHidden/>
              </w:rPr>
            </w:r>
            <w:r w:rsidR="0061231B">
              <w:rPr>
                <w:webHidden/>
              </w:rPr>
              <w:fldChar w:fldCharType="separate"/>
            </w:r>
            <w:r w:rsidR="00C75AC6">
              <w:rPr>
                <w:webHidden/>
              </w:rPr>
              <w:t>33</w:t>
            </w:r>
            <w:r w:rsidR="0061231B">
              <w:rPr>
                <w:webHidden/>
              </w:rPr>
              <w:fldChar w:fldCharType="end"/>
            </w:r>
          </w:hyperlink>
        </w:p>
        <w:p w14:paraId="63D7CA91" w14:textId="06137D6D" w:rsidR="0061231B" w:rsidRDefault="00C9023A">
          <w:pPr>
            <w:pStyle w:val="TOC2"/>
            <w:rPr>
              <w:rFonts w:asciiTheme="minorHAnsi" w:hAnsiTheme="minorHAnsi"/>
              <w:sz w:val="22"/>
            </w:rPr>
          </w:pPr>
          <w:hyperlink w:anchor="_Toc119662404" w:history="1">
            <w:r w:rsidR="0061231B" w:rsidRPr="00780A9D">
              <w:rPr>
                <w:rStyle w:val="Hyperlink"/>
              </w:rPr>
              <w:t>3.4 Area of residence</w:t>
            </w:r>
            <w:r w:rsidR="0061231B">
              <w:rPr>
                <w:webHidden/>
              </w:rPr>
              <w:tab/>
            </w:r>
            <w:r w:rsidR="0061231B">
              <w:rPr>
                <w:webHidden/>
              </w:rPr>
              <w:fldChar w:fldCharType="begin"/>
            </w:r>
            <w:r w:rsidR="0061231B">
              <w:rPr>
                <w:webHidden/>
              </w:rPr>
              <w:instrText xml:space="preserve"> PAGEREF _Toc119662404 \h </w:instrText>
            </w:r>
            <w:r w:rsidR="0061231B">
              <w:rPr>
                <w:webHidden/>
              </w:rPr>
            </w:r>
            <w:r w:rsidR="0061231B">
              <w:rPr>
                <w:webHidden/>
              </w:rPr>
              <w:fldChar w:fldCharType="separate"/>
            </w:r>
            <w:r w:rsidR="00C75AC6">
              <w:rPr>
                <w:webHidden/>
              </w:rPr>
              <w:t>34</w:t>
            </w:r>
            <w:r w:rsidR="0061231B">
              <w:rPr>
                <w:webHidden/>
              </w:rPr>
              <w:fldChar w:fldCharType="end"/>
            </w:r>
          </w:hyperlink>
        </w:p>
        <w:p w14:paraId="68830AAB" w14:textId="14AF4313" w:rsidR="0061231B" w:rsidRDefault="00C9023A">
          <w:pPr>
            <w:pStyle w:val="TOC2"/>
            <w:rPr>
              <w:rFonts w:asciiTheme="minorHAnsi" w:hAnsiTheme="minorHAnsi"/>
              <w:sz w:val="22"/>
            </w:rPr>
          </w:pPr>
          <w:hyperlink w:anchor="_Toc119662405" w:history="1">
            <w:r w:rsidR="0061231B" w:rsidRPr="00780A9D">
              <w:rPr>
                <w:rStyle w:val="Hyperlink"/>
              </w:rPr>
              <w:t>3.5 Gender identity and sexual orientation</w:t>
            </w:r>
            <w:r w:rsidR="0061231B">
              <w:rPr>
                <w:webHidden/>
              </w:rPr>
              <w:tab/>
            </w:r>
            <w:r w:rsidR="0061231B">
              <w:rPr>
                <w:webHidden/>
              </w:rPr>
              <w:fldChar w:fldCharType="begin"/>
            </w:r>
            <w:r w:rsidR="0061231B">
              <w:rPr>
                <w:webHidden/>
              </w:rPr>
              <w:instrText xml:space="preserve"> PAGEREF _Toc119662405 \h </w:instrText>
            </w:r>
            <w:r w:rsidR="0061231B">
              <w:rPr>
                <w:webHidden/>
              </w:rPr>
            </w:r>
            <w:r w:rsidR="0061231B">
              <w:rPr>
                <w:webHidden/>
              </w:rPr>
              <w:fldChar w:fldCharType="separate"/>
            </w:r>
            <w:r w:rsidR="00C75AC6">
              <w:rPr>
                <w:webHidden/>
              </w:rPr>
              <w:t>35</w:t>
            </w:r>
            <w:r w:rsidR="0061231B">
              <w:rPr>
                <w:webHidden/>
              </w:rPr>
              <w:fldChar w:fldCharType="end"/>
            </w:r>
          </w:hyperlink>
        </w:p>
        <w:p w14:paraId="063D34D7" w14:textId="10BBF364" w:rsidR="0061231B" w:rsidRDefault="00C9023A">
          <w:pPr>
            <w:pStyle w:val="TOC2"/>
            <w:rPr>
              <w:rFonts w:asciiTheme="minorHAnsi" w:hAnsiTheme="minorHAnsi"/>
              <w:sz w:val="22"/>
            </w:rPr>
          </w:pPr>
          <w:hyperlink w:anchor="_Toc119662406" w:history="1">
            <w:r w:rsidR="0061231B" w:rsidRPr="00780A9D">
              <w:rPr>
                <w:rStyle w:val="Hyperlink"/>
              </w:rPr>
              <w:t>3.6 Sexual orientation</w:t>
            </w:r>
            <w:r w:rsidR="0061231B">
              <w:rPr>
                <w:webHidden/>
              </w:rPr>
              <w:tab/>
            </w:r>
            <w:r w:rsidR="0061231B">
              <w:rPr>
                <w:webHidden/>
              </w:rPr>
              <w:fldChar w:fldCharType="begin"/>
            </w:r>
            <w:r w:rsidR="0061231B">
              <w:rPr>
                <w:webHidden/>
              </w:rPr>
              <w:instrText xml:space="preserve"> PAGEREF _Toc119662406 \h </w:instrText>
            </w:r>
            <w:r w:rsidR="0061231B">
              <w:rPr>
                <w:webHidden/>
              </w:rPr>
            </w:r>
            <w:r w:rsidR="0061231B">
              <w:rPr>
                <w:webHidden/>
              </w:rPr>
              <w:fldChar w:fldCharType="separate"/>
            </w:r>
            <w:r w:rsidR="00C75AC6">
              <w:rPr>
                <w:webHidden/>
              </w:rPr>
              <w:t>37</w:t>
            </w:r>
            <w:r w:rsidR="0061231B">
              <w:rPr>
                <w:webHidden/>
              </w:rPr>
              <w:fldChar w:fldCharType="end"/>
            </w:r>
          </w:hyperlink>
        </w:p>
        <w:p w14:paraId="7520D31A" w14:textId="26302961" w:rsidR="0061231B" w:rsidRDefault="00C9023A">
          <w:pPr>
            <w:pStyle w:val="TOC2"/>
            <w:rPr>
              <w:rFonts w:asciiTheme="minorHAnsi" w:hAnsiTheme="minorHAnsi"/>
              <w:sz w:val="22"/>
            </w:rPr>
          </w:pPr>
          <w:hyperlink w:anchor="_Toc119662407" w:history="1">
            <w:r w:rsidR="0061231B" w:rsidRPr="00780A9D">
              <w:rPr>
                <w:rStyle w:val="Hyperlink"/>
              </w:rPr>
              <w:t>3.7 Intersections of gender and disability</w:t>
            </w:r>
            <w:r w:rsidR="0061231B">
              <w:rPr>
                <w:webHidden/>
              </w:rPr>
              <w:tab/>
            </w:r>
            <w:r w:rsidR="0061231B">
              <w:rPr>
                <w:webHidden/>
              </w:rPr>
              <w:fldChar w:fldCharType="begin"/>
            </w:r>
            <w:r w:rsidR="0061231B">
              <w:rPr>
                <w:webHidden/>
              </w:rPr>
              <w:instrText xml:space="preserve"> PAGEREF _Toc119662407 \h </w:instrText>
            </w:r>
            <w:r w:rsidR="0061231B">
              <w:rPr>
                <w:webHidden/>
              </w:rPr>
            </w:r>
            <w:r w:rsidR="0061231B">
              <w:rPr>
                <w:webHidden/>
              </w:rPr>
              <w:fldChar w:fldCharType="separate"/>
            </w:r>
            <w:r w:rsidR="00C75AC6">
              <w:rPr>
                <w:webHidden/>
              </w:rPr>
              <w:t>39</w:t>
            </w:r>
            <w:r w:rsidR="0061231B">
              <w:rPr>
                <w:webHidden/>
              </w:rPr>
              <w:fldChar w:fldCharType="end"/>
            </w:r>
          </w:hyperlink>
        </w:p>
        <w:p w14:paraId="074F72BA" w14:textId="27572D46" w:rsidR="0061231B" w:rsidRDefault="00C9023A">
          <w:pPr>
            <w:pStyle w:val="TOC2"/>
            <w:rPr>
              <w:rFonts w:asciiTheme="minorHAnsi" w:hAnsiTheme="minorHAnsi"/>
              <w:sz w:val="22"/>
            </w:rPr>
          </w:pPr>
          <w:hyperlink w:anchor="_Toc119662408" w:history="1">
            <w:r w:rsidR="0061231B" w:rsidRPr="00780A9D">
              <w:rPr>
                <w:rStyle w:val="Hyperlink"/>
              </w:rPr>
              <w:t>3.8 First Nations peoples</w:t>
            </w:r>
            <w:r w:rsidR="0061231B">
              <w:rPr>
                <w:webHidden/>
              </w:rPr>
              <w:tab/>
            </w:r>
            <w:r w:rsidR="0061231B">
              <w:rPr>
                <w:webHidden/>
              </w:rPr>
              <w:fldChar w:fldCharType="begin"/>
            </w:r>
            <w:r w:rsidR="0061231B">
              <w:rPr>
                <w:webHidden/>
              </w:rPr>
              <w:instrText xml:space="preserve"> PAGEREF _Toc119662408 \h </w:instrText>
            </w:r>
            <w:r w:rsidR="0061231B">
              <w:rPr>
                <w:webHidden/>
              </w:rPr>
            </w:r>
            <w:r w:rsidR="0061231B">
              <w:rPr>
                <w:webHidden/>
              </w:rPr>
              <w:fldChar w:fldCharType="separate"/>
            </w:r>
            <w:r w:rsidR="00C75AC6">
              <w:rPr>
                <w:webHidden/>
              </w:rPr>
              <w:t>42</w:t>
            </w:r>
            <w:r w:rsidR="0061231B">
              <w:rPr>
                <w:webHidden/>
              </w:rPr>
              <w:fldChar w:fldCharType="end"/>
            </w:r>
          </w:hyperlink>
        </w:p>
        <w:p w14:paraId="0DF0FACD" w14:textId="4AC6AE85" w:rsidR="0061231B" w:rsidRDefault="00C9023A">
          <w:pPr>
            <w:pStyle w:val="TOC2"/>
            <w:rPr>
              <w:rFonts w:asciiTheme="minorHAnsi" w:hAnsiTheme="minorHAnsi"/>
              <w:sz w:val="22"/>
            </w:rPr>
          </w:pPr>
          <w:hyperlink w:anchor="_Toc119662409" w:history="1">
            <w:r w:rsidR="0061231B" w:rsidRPr="00780A9D">
              <w:rPr>
                <w:rStyle w:val="Hyperlink"/>
              </w:rPr>
              <w:t>3.9 Cultural background and country of birth</w:t>
            </w:r>
            <w:r w:rsidR="0061231B">
              <w:rPr>
                <w:webHidden/>
              </w:rPr>
              <w:tab/>
            </w:r>
            <w:r w:rsidR="0061231B">
              <w:rPr>
                <w:webHidden/>
              </w:rPr>
              <w:fldChar w:fldCharType="begin"/>
            </w:r>
            <w:r w:rsidR="0061231B">
              <w:rPr>
                <w:webHidden/>
              </w:rPr>
              <w:instrText xml:space="preserve"> PAGEREF _Toc119662409 \h </w:instrText>
            </w:r>
            <w:r w:rsidR="0061231B">
              <w:rPr>
                <w:webHidden/>
              </w:rPr>
            </w:r>
            <w:r w:rsidR="0061231B">
              <w:rPr>
                <w:webHidden/>
              </w:rPr>
              <w:fldChar w:fldCharType="separate"/>
            </w:r>
            <w:r w:rsidR="00C75AC6">
              <w:rPr>
                <w:webHidden/>
              </w:rPr>
              <w:t>42</w:t>
            </w:r>
            <w:r w:rsidR="0061231B">
              <w:rPr>
                <w:webHidden/>
              </w:rPr>
              <w:fldChar w:fldCharType="end"/>
            </w:r>
          </w:hyperlink>
        </w:p>
        <w:p w14:paraId="70D24AE9" w14:textId="6E9F7992" w:rsidR="0061231B" w:rsidRDefault="00C9023A">
          <w:pPr>
            <w:pStyle w:val="TOC2"/>
            <w:rPr>
              <w:rFonts w:asciiTheme="minorHAnsi" w:hAnsiTheme="minorHAnsi"/>
              <w:sz w:val="22"/>
            </w:rPr>
          </w:pPr>
          <w:hyperlink w:anchor="_Toc119662410" w:history="1">
            <w:r w:rsidR="0061231B" w:rsidRPr="00780A9D">
              <w:rPr>
                <w:rStyle w:val="Hyperlink"/>
              </w:rPr>
              <w:t>3.10 Religious or spiritual identity</w:t>
            </w:r>
            <w:r w:rsidR="0061231B">
              <w:rPr>
                <w:webHidden/>
              </w:rPr>
              <w:tab/>
            </w:r>
            <w:r w:rsidR="0061231B">
              <w:rPr>
                <w:webHidden/>
              </w:rPr>
              <w:fldChar w:fldCharType="begin"/>
            </w:r>
            <w:r w:rsidR="0061231B">
              <w:rPr>
                <w:webHidden/>
              </w:rPr>
              <w:instrText xml:space="preserve"> PAGEREF _Toc119662410 \h </w:instrText>
            </w:r>
            <w:r w:rsidR="0061231B">
              <w:rPr>
                <w:webHidden/>
              </w:rPr>
            </w:r>
            <w:r w:rsidR="0061231B">
              <w:rPr>
                <w:webHidden/>
              </w:rPr>
              <w:fldChar w:fldCharType="separate"/>
            </w:r>
            <w:r w:rsidR="00C75AC6">
              <w:rPr>
                <w:webHidden/>
              </w:rPr>
              <w:t>44</w:t>
            </w:r>
            <w:r w:rsidR="0061231B">
              <w:rPr>
                <w:webHidden/>
              </w:rPr>
              <w:fldChar w:fldCharType="end"/>
            </w:r>
          </w:hyperlink>
        </w:p>
        <w:p w14:paraId="4E90AE93" w14:textId="57B848EF" w:rsidR="0061231B" w:rsidRDefault="00C9023A">
          <w:pPr>
            <w:pStyle w:val="TOC2"/>
            <w:rPr>
              <w:rFonts w:asciiTheme="minorHAnsi" w:hAnsiTheme="minorHAnsi"/>
              <w:sz w:val="22"/>
            </w:rPr>
          </w:pPr>
          <w:hyperlink w:anchor="_Toc119662411" w:history="1">
            <w:r w:rsidR="0061231B" w:rsidRPr="00780A9D">
              <w:rPr>
                <w:rStyle w:val="Hyperlink"/>
              </w:rPr>
              <w:t>3.11 Education</w:t>
            </w:r>
            <w:r w:rsidR="0061231B">
              <w:rPr>
                <w:webHidden/>
              </w:rPr>
              <w:tab/>
            </w:r>
            <w:r w:rsidR="0061231B">
              <w:rPr>
                <w:webHidden/>
              </w:rPr>
              <w:fldChar w:fldCharType="begin"/>
            </w:r>
            <w:r w:rsidR="0061231B">
              <w:rPr>
                <w:webHidden/>
              </w:rPr>
              <w:instrText xml:space="preserve"> PAGEREF _Toc119662411 \h </w:instrText>
            </w:r>
            <w:r w:rsidR="0061231B">
              <w:rPr>
                <w:webHidden/>
              </w:rPr>
            </w:r>
            <w:r w:rsidR="0061231B">
              <w:rPr>
                <w:webHidden/>
              </w:rPr>
              <w:fldChar w:fldCharType="separate"/>
            </w:r>
            <w:r w:rsidR="00C75AC6">
              <w:rPr>
                <w:webHidden/>
              </w:rPr>
              <w:t>46</w:t>
            </w:r>
            <w:r w:rsidR="0061231B">
              <w:rPr>
                <w:webHidden/>
              </w:rPr>
              <w:fldChar w:fldCharType="end"/>
            </w:r>
          </w:hyperlink>
        </w:p>
        <w:p w14:paraId="1F8626D4" w14:textId="7F4CAEA1" w:rsidR="0061231B" w:rsidRDefault="00C9023A">
          <w:pPr>
            <w:pStyle w:val="TOC2"/>
            <w:rPr>
              <w:rFonts w:asciiTheme="minorHAnsi" w:hAnsiTheme="minorHAnsi"/>
              <w:sz w:val="22"/>
            </w:rPr>
          </w:pPr>
          <w:hyperlink w:anchor="_Toc119662412" w:history="1">
            <w:r w:rsidR="0061231B" w:rsidRPr="00780A9D">
              <w:rPr>
                <w:rStyle w:val="Hyperlink"/>
              </w:rPr>
              <w:t>3.12 Employment status</w:t>
            </w:r>
            <w:r w:rsidR="0061231B">
              <w:rPr>
                <w:webHidden/>
              </w:rPr>
              <w:tab/>
            </w:r>
            <w:r w:rsidR="0061231B">
              <w:rPr>
                <w:webHidden/>
              </w:rPr>
              <w:fldChar w:fldCharType="begin"/>
            </w:r>
            <w:r w:rsidR="0061231B">
              <w:rPr>
                <w:webHidden/>
              </w:rPr>
              <w:instrText xml:space="preserve"> PAGEREF _Toc119662412 \h </w:instrText>
            </w:r>
            <w:r w:rsidR="0061231B">
              <w:rPr>
                <w:webHidden/>
              </w:rPr>
            </w:r>
            <w:r w:rsidR="0061231B">
              <w:rPr>
                <w:webHidden/>
              </w:rPr>
              <w:fldChar w:fldCharType="separate"/>
            </w:r>
            <w:r w:rsidR="00C75AC6">
              <w:rPr>
                <w:webHidden/>
              </w:rPr>
              <w:t>47</w:t>
            </w:r>
            <w:r w:rsidR="0061231B">
              <w:rPr>
                <w:webHidden/>
              </w:rPr>
              <w:fldChar w:fldCharType="end"/>
            </w:r>
          </w:hyperlink>
        </w:p>
        <w:p w14:paraId="788C5C4B" w14:textId="24AA3A44" w:rsidR="0061231B" w:rsidRDefault="00C9023A">
          <w:pPr>
            <w:pStyle w:val="TOC2"/>
            <w:rPr>
              <w:rFonts w:asciiTheme="minorHAnsi" w:hAnsiTheme="minorHAnsi"/>
              <w:sz w:val="22"/>
            </w:rPr>
          </w:pPr>
          <w:hyperlink w:anchor="_Toc119662413" w:history="1">
            <w:r w:rsidR="0061231B" w:rsidRPr="00780A9D">
              <w:rPr>
                <w:rStyle w:val="Hyperlink"/>
              </w:rPr>
              <w:t>3.13 Housing and household</w:t>
            </w:r>
            <w:r w:rsidR="0061231B">
              <w:rPr>
                <w:webHidden/>
              </w:rPr>
              <w:tab/>
            </w:r>
            <w:r w:rsidR="0061231B">
              <w:rPr>
                <w:webHidden/>
              </w:rPr>
              <w:fldChar w:fldCharType="begin"/>
            </w:r>
            <w:r w:rsidR="0061231B">
              <w:rPr>
                <w:webHidden/>
              </w:rPr>
              <w:instrText xml:space="preserve"> PAGEREF _Toc119662413 \h </w:instrText>
            </w:r>
            <w:r w:rsidR="0061231B">
              <w:rPr>
                <w:webHidden/>
              </w:rPr>
            </w:r>
            <w:r w:rsidR="0061231B">
              <w:rPr>
                <w:webHidden/>
              </w:rPr>
              <w:fldChar w:fldCharType="separate"/>
            </w:r>
            <w:r w:rsidR="00C75AC6">
              <w:rPr>
                <w:webHidden/>
              </w:rPr>
              <w:t>50</w:t>
            </w:r>
            <w:r w:rsidR="0061231B">
              <w:rPr>
                <w:webHidden/>
              </w:rPr>
              <w:fldChar w:fldCharType="end"/>
            </w:r>
          </w:hyperlink>
        </w:p>
        <w:p w14:paraId="3BBD9BD0" w14:textId="277E1E5A" w:rsidR="0061231B" w:rsidRDefault="00C9023A">
          <w:pPr>
            <w:pStyle w:val="TOC2"/>
            <w:rPr>
              <w:rFonts w:asciiTheme="minorHAnsi" w:hAnsiTheme="minorHAnsi"/>
              <w:sz w:val="22"/>
            </w:rPr>
          </w:pPr>
          <w:hyperlink w:anchor="_Toc119662414" w:history="1">
            <w:r w:rsidR="0061231B" w:rsidRPr="00780A9D">
              <w:rPr>
                <w:rStyle w:val="Hyperlink"/>
              </w:rPr>
              <w:t>3.14 Summary</w:t>
            </w:r>
            <w:r w:rsidR="0061231B">
              <w:rPr>
                <w:webHidden/>
              </w:rPr>
              <w:tab/>
            </w:r>
            <w:r w:rsidR="0061231B">
              <w:rPr>
                <w:webHidden/>
              </w:rPr>
              <w:fldChar w:fldCharType="begin"/>
            </w:r>
            <w:r w:rsidR="0061231B">
              <w:rPr>
                <w:webHidden/>
              </w:rPr>
              <w:instrText xml:space="preserve"> PAGEREF _Toc119662414 \h </w:instrText>
            </w:r>
            <w:r w:rsidR="0061231B">
              <w:rPr>
                <w:webHidden/>
              </w:rPr>
            </w:r>
            <w:r w:rsidR="0061231B">
              <w:rPr>
                <w:webHidden/>
              </w:rPr>
              <w:fldChar w:fldCharType="separate"/>
            </w:r>
            <w:r w:rsidR="00C75AC6">
              <w:rPr>
                <w:webHidden/>
              </w:rPr>
              <w:t>52</w:t>
            </w:r>
            <w:r w:rsidR="0061231B">
              <w:rPr>
                <w:webHidden/>
              </w:rPr>
              <w:fldChar w:fldCharType="end"/>
            </w:r>
          </w:hyperlink>
        </w:p>
        <w:p w14:paraId="740F4A0F" w14:textId="57EC931A" w:rsidR="0061231B" w:rsidRDefault="00C9023A">
          <w:pPr>
            <w:pStyle w:val="TOC1"/>
            <w:rPr>
              <w:rFonts w:asciiTheme="minorHAnsi" w:hAnsiTheme="minorHAnsi"/>
              <w:sz w:val="22"/>
            </w:rPr>
          </w:pPr>
          <w:hyperlink w:anchor="_Toc119662415" w:history="1">
            <w:r w:rsidR="0061231B" w:rsidRPr="00780A9D">
              <w:rPr>
                <w:rStyle w:val="Hyperlink"/>
                <w:lang w:val="en-US"/>
              </w:rPr>
              <w:t>4</w:t>
            </w:r>
            <w:r w:rsidR="0061231B" w:rsidRPr="00780A9D">
              <w:rPr>
                <w:rStyle w:val="Hyperlink"/>
              </w:rPr>
              <w:t xml:space="preserve"> Experiences of disclosure, support and acceptance</w:t>
            </w:r>
            <w:r w:rsidR="0061231B">
              <w:rPr>
                <w:webHidden/>
              </w:rPr>
              <w:tab/>
            </w:r>
            <w:r w:rsidR="0061231B">
              <w:rPr>
                <w:webHidden/>
              </w:rPr>
              <w:fldChar w:fldCharType="begin"/>
            </w:r>
            <w:r w:rsidR="0061231B">
              <w:rPr>
                <w:webHidden/>
              </w:rPr>
              <w:instrText xml:space="preserve"> PAGEREF _Toc119662415 \h </w:instrText>
            </w:r>
            <w:r w:rsidR="0061231B">
              <w:rPr>
                <w:webHidden/>
              </w:rPr>
            </w:r>
            <w:r w:rsidR="0061231B">
              <w:rPr>
                <w:webHidden/>
              </w:rPr>
              <w:fldChar w:fldCharType="separate"/>
            </w:r>
            <w:r w:rsidR="00C75AC6">
              <w:rPr>
                <w:webHidden/>
              </w:rPr>
              <w:t>54</w:t>
            </w:r>
            <w:r w:rsidR="0061231B">
              <w:rPr>
                <w:webHidden/>
              </w:rPr>
              <w:fldChar w:fldCharType="end"/>
            </w:r>
          </w:hyperlink>
        </w:p>
        <w:p w14:paraId="099916F1" w14:textId="43097C82" w:rsidR="0061231B" w:rsidRDefault="00C9023A">
          <w:pPr>
            <w:pStyle w:val="TOC2"/>
            <w:rPr>
              <w:rFonts w:asciiTheme="minorHAnsi" w:hAnsiTheme="minorHAnsi"/>
              <w:sz w:val="22"/>
            </w:rPr>
          </w:pPr>
          <w:hyperlink w:anchor="_Toc119662416" w:history="1">
            <w:r w:rsidR="0061231B" w:rsidRPr="00780A9D">
              <w:rPr>
                <w:rStyle w:val="Hyperlink"/>
              </w:rPr>
              <w:t xml:space="preserve">4.1 Disclosing sexual orientation or gender identity – young people aged </w:t>
            </w:r>
            <w:r w:rsidR="00C95758">
              <w:rPr>
                <w:rStyle w:val="Hyperlink"/>
              </w:rPr>
              <w:br/>
            </w:r>
            <w:r w:rsidR="0061231B" w:rsidRPr="00780A9D">
              <w:rPr>
                <w:rStyle w:val="Hyperlink"/>
              </w:rPr>
              <w:t>14-21 years</w:t>
            </w:r>
            <w:r w:rsidR="0061231B">
              <w:rPr>
                <w:webHidden/>
              </w:rPr>
              <w:tab/>
            </w:r>
            <w:r w:rsidR="0061231B">
              <w:rPr>
                <w:webHidden/>
              </w:rPr>
              <w:fldChar w:fldCharType="begin"/>
            </w:r>
            <w:r w:rsidR="0061231B">
              <w:rPr>
                <w:webHidden/>
              </w:rPr>
              <w:instrText xml:space="preserve"> PAGEREF _Toc119662416 \h </w:instrText>
            </w:r>
            <w:r w:rsidR="0061231B">
              <w:rPr>
                <w:webHidden/>
              </w:rPr>
            </w:r>
            <w:r w:rsidR="0061231B">
              <w:rPr>
                <w:webHidden/>
              </w:rPr>
              <w:fldChar w:fldCharType="separate"/>
            </w:r>
            <w:r w:rsidR="00C75AC6">
              <w:rPr>
                <w:webHidden/>
              </w:rPr>
              <w:t>54</w:t>
            </w:r>
            <w:r w:rsidR="0061231B">
              <w:rPr>
                <w:webHidden/>
              </w:rPr>
              <w:fldChar w:fldCharType="end"/>
            </w:r>
          </w:hyperlink>
        </w:p>
        <w:p w14:paraId="5111C7D5" w14:textId="3FD553BC" w:rsidR="0061231B" w:rsidRDefault="00C9023A">
          <w:pPr>
            <w:pStyle w:val="TOC2"/>
            <w:rPr>
              <w:rFonts w:asciiTheme="minorHAnsi" w:hAnsiTheme="minorHAnsi"/>
              <w:sz w:val="22"/>
            </w:rPr>
          </w:pPr>
          <w:hyperlink w:anchor="_Toc119662417" w:history="1">
            <w:r w:rsidR="0061231B" w:rsidRPr="00780A9D">
              <w:rPr>
                <w:rStyle w:val="Hyperlink"/>
              </w:rPr>
              <w:t xml:space="preserve">4.2 Feelings of support about sexuality or gender identity – young people </w:t>
            </w:r>
            <w:r w:rsidR="00C95758">
              <w:rPr>
                <w:rStyle w:val="Hyperlink"/>
              </w:rPr>
              <w:br/>
            </w:r>
            <w:r w:rsidR="0061231B" w:rsidRPr="00780A9D">
              <w:rPr>
                <w:rStyle w:val="Hyperlink"/>
              </w:rPr>
              <w:t>aged 14-21 years</w:t>
            </w:r>
            <w:r w:rsidR="0061231B">
              <w:rPr>
                <w:webHidden/>
              </w:rPr>
              <w:tab/>
            </w:r>
            <w:r w:rsidR="0061231B">
              <w:rPr>
                <w:webHidden/>
              </w:rPr>
              <w:fldChar w:fldCharType="begin"/>
            </w:r>
            <w:r w:rsidR="0061231B">
              <w:rPr>
                <w:webHidden/>
              </w:rPr>
              <w:instrText xml:space="preserve"> PAGEREF _Toc119662417 \h </w:instrText>
            </w:r>
            <w:r w:rsidR="0061231B">
              <w:rPr>
                <w:webHidden/>
              </w:rPr>
            </w:r>
            <w:r w:rsidR="0061231B">
              <w:rPr>
                <w:webHidden/>
              </w:rPr>
              <w:fldChar w:fldCharType="separate"/>
            </w:r>
            <w:r w:rsidR="00C75AC6">
              <w:rPr>
                <w:webHidden/>
              </w:rPr>
              <w:t>56</w:t>
            </w:r>
            <w:r w:rsidR="0061231B">
              <w:rPr>
                <w:webHidden/>
              </w:rPr>
              <w:fldChar w:fldCharType="end"/>
            </w:r>
          </w:hyperlink>
        </w:p>
        <w:p w14:paraId="322C1DA2" w14:textId="6D3D90E1" w:rsidR="0061231B" w:rsidRDefault="00C9023A">
          <w:pPr>
            <w:pStyle w:val="TOC2"/>
            <w:rPr>
              <w:rFonts w:asciiTheme="minorHAnsi" w:hAnsiTheme="minorHAnsi"/>
              <w:sz w:val="22"/>
            </w:rPr>
          </w:pPr>
          <w:hyperlink w:anchor="_Toc119662418" w:history="1">
            <w:r w:rsidR="0061231B" w:rsidRPr="00780A9D">
              <w:rPr>
                <w:rStyle w:val="Hyperlink"/>
              </w:rPr>
              <w:t>4.3 Feelings of acceptance – adults aged 18+ years</w:t>
            </w:r>
            <w:r w:rsidR="0061231B">
              <w:rPr>
                <w:webHidden/>
              </w:rPr>
              <w:tab/>
            </w:r>
            <w:r w:rsidR="0061231B">
              <w:rPr>
                <w:webHidden/>
              </w:rPr>
              <w:fldChar w:fldCharType="begin"/>
            </w:r>
            <w:r w:rsidR="0061231B">
              <w:rPr>
                <w:webHidden/>
              </w:rPr>
              <w:instrText xml:space="preserve"> PAGEREF _Toc119662418 \h </w:instrText>
            </w:r>
            <w:r w:rsidR="0061231B">
              <w:rPr>
                <w:webHidden/>
              </w:rPr>
            </w:r>
            <w:r w:rsidR="0061231B">
              <w:rPr>
                <w:webHidden/>
              </w:rPr>
              <w:fldChar w:fldCharType="separate"/>
            </w:r>
            <w:r w:rsidR="00C75AC6">
              <w:rPr>
                <w:webHidden/>
              </w:rPr>
              <w:t>60</w:t>
            </w:r>
            <w:r w:rsidR="0061231B">
              <w:rPr>
                <w:webHidden/>
              </w:rPr>
              <w:fldChar w:fldCharType="end"/>
            </w:r>
          </w:hyperlink>
        </w:p>
        <w:p w14:paraId="61798EDD" w14:textId="50C4CF85" w:rsidR="0061231B" w:rsidRDefault="00C9023A">
          <w:pPr>
            <w:pStyle w:val="TOC2"/>
            <w:rPr>
              <w:rFonts w:asciiTheme="minorHAnsi" w:hAnsiTheme="minorHAnsi"/>
              <w:sz w:val="22"/>
            </w:rPr>
          </w:pPr>
          <w:hyperlink w:anchor="_Toc119662419" w:history="1">
            <w:r w:rsidR="0061231B" w:rsidRPr="00780A9D">
              <w:rPr>
                <w:rStyle w:val="Hyperlink"/>
              </w:rPr>
              <w:t>4.4 Summary and relation to existing literature</w:t>
            </w:r>
            <w:r w:rsidR="0061231B">
              <w:rPr>
                <w:webHidden/>
              </w:rPr>
              <w:tab/>
            </w:r>
            <w:r w:rsidR="0061231B">
              <w:rPr>
                <w:webHidden/>
              </w:rPr>
              <w:fldChar w:fldCharType="begin"/>
            </w:r>
            <w:r w:rsidR="0061231B">
              <w:rPr>
                <w:webHidden/>
              </w:rPr>
              <w:instrText xml:space="preserve"> PAGEREF _Toc119662419 \h </w:instrText>
            </w:r>
            <w:r w:rsidR="0061231B">
              <w:rPr>
                <w:webHidden/>
              </w:rPr>
            </w:r>
            <w:r w:rsidR="0061231B">
              <w:rPr>
                <w:webHidden/>
              </w:rPr>
              <w:fldChar w:fldCharType="separate"/>
            </w:r>
            <w:r w:rsidR="00C75AC6">
              <w:rPr>
                <w:webHidden/>
              </w:rPr>
              <w:t>63</w:t>
            </w:r>
            <w:r w:rsidR="0061231B">
              <w:rPr>
                <w:webHidden/>
              </w:rPr>
              <w:fldChar w:fldCharType="end"/>
            </w:r>
          </w:hyperlink>
        </w:p>
        <w:p w14:paraId="0F6AAB46" w14:textId="48E1AA25" w:rsidR="0061231B" w:rsidRDefault="00C9023A">
          <w:pPr>
            <w:pStyle w:val="TOC1"/>
            <w:rPr>
              <w:rFonts w:asciiTheme="minorHAnsi" w:hAnsiTheme="minorHAnsi"/>
              <w:sz w:val="22"/>
            </w:rPr>
          </w:pPr>
          <w:hyperlink w:anchor="_Toc119662420" w:history="1">
            <w:r w:rsidR="0061231B" w:rsidRPr="00780A9D">
              <w:rPr>
                <w:rStyle w:val="Hyperlink"/>
              </w:rPr>
              <w:t>5 Safety in educational settings</w:t>
            </w:r>
            <w:r w:rsidR="0061231B">
              <w:rPr>
                <w:webHidden/>
              </w:rPr>
              <w:tab/>
            </w:r>
            <w:r w:rsidR="0061231B">
              <w:rPr>
                <w:webHidden/>
              </w:rPr>
              <w:fldChar w:fldCharType="begin"/>
            </w:r>
            <w:r w:rsidR="0061231B">
              <w:rPr>
                <w:webHidden/>
              </w:rPr>
              <w:instrText xml:space="preserve"> PAGEREF _Toc119662420 \h </w:instrText>
            </w:r>
            <w:r w:rsidR="0061231B">
              <w:rPr>
                <w:webHidden/>
              </w:rPr>
            </w:r>
            <w:r w:rsidR="0061231B">
              <w:rPr>
                <w:webHidden/>
              </w:rPr>
              <w:fldChar w:fldCharType="separate"/>
            </w:r>
            <w:r w:rsidR="00C75AC6">
              <w:rPr>
                <w:webHidden/>
              </w:rPr>
              <w:t>65</w:t>
            </w:r>
            <w:r w:rsidR="0061231B">
              <w:rPr>
                <w:webHidden/>
              </w:rPr>
              <w:fldChar w:fldCharType="end"/>
            </w:r>
          </w:hyperlink>
        </w:p>
        <w:p w14:paraId="0A3960FE" w14:textId="153295AA" w:rsidR="0061231B" w:rsidRDefault="00C9023A">
          <w:pPr>
            <w:pStyle w:val="TOC2"/>
            <w:rPr>
              <w:rFonts w:asciiTheme="minorHAnsi" w:hAnsiTheme="minorHAnsi"/>
              <w:sz w:val="22"/>
            </w:rPr>
          </w:pPr>
          <w:hyperlink w:anchor="_Toc119662421" w:history="1">
            <w:r w:rsidR="0061231B" w:rsidRPr="00780A9D">
              <w:rPr>
                <w:rStyle w:val="Hyperlink"/>
              </w:rPr>
              <w:t xml:space="preserve">5.1 Experiences of feeling unsafe or uncomfortable – young people aged </w:t>
            </w:r>
            <w:r w:rsidR="00C95758">
              <w:rPr>
                <w:rStyle w:val="Hyperlink"/>
              </w:rPr>
              <w:br/>
            </w:r>
            <w:r w:rsidR="0061231B" w:rsidRPr="00780A9D">
              <w:rPr>
                <w:rStyle w:val="Hyperlink"/>
              </w:rPr>
              <w:t>14-21 years</w:t>
            </w:r>
            <w:r w:rsidR="0061231B">
              <w:rPr>
                <w:webHidden/>
              </w:rPr>
              <w:tab/>
            </w:r>
            <w:r w:rsidR="0061231B">
              <w:rPr>
                <w:webHidden/>
              </w:rPr>
              <w:fldChar w:fldCharType="begin"/>
            </w:r>
            <w:r w:rsidR="0061231B">
              <w:rPr>
                <w:webHidden/>
              </w:rPr>
              <w:instrText xml:space="preserve"> PAGEREF _Toc119662421 \h </w:instrText>
            </w:r>
            <w:r w:rsidR="0061231B">
              <w:rPr>
                <w:webHidden/>
              </w:rPr>
            </w:r>
            <w:r w:rsidR="0061231B">
              <w:rPr>
                <w:webHidden/>
              </w:rPr>
              <w:fldChar w:fldCharType="separate"/>
            </w:r>
            <w:r w:rsidR="00C75AC6">
              <w:rPr>
                <w:webHidden/>
              </w:rPr>
              <w:t>65</w:t>
            </w:r>
            <w:r w:rsidR="0061231B">
              <w:rPr>
                <w:webHidden/>
              </w:rPr>
              <w:fldChar w:fldCharType="end"/>
            </w:r>
          </w:hyperlink>
        </w:p>
        <w:p w14:paraId="564AAB77" w14:textId="2BF48F34" w:rsidR="0061231B" w:rsidRDefault="00C9023A">
          <w:pPr>
            <w:pStyle w:val="TOC2"/>
            <w:rPr>
              <w:rFonts w:asciiTheme="minorHAnsi" w:hAnsiTheme="minorHAnsi"/>
              <w:sz w:val="22"/>
            </w:rPr>
          </w:pPr>
          <w:hyperlink w:anchor="_Toc119662422" w:history="1">
            <w:r w:rsidR="0061231B" w:rsidRPr="00780A9D">
              <w:rPr>
                <w:rStyle w:val="Hyperlink"/>
              </w:rPr>
              <w:t>5.2 Feeling safe to engage in activities – young people aged 14-21 years</w:t>
            </w:r>
            <w:r w:rsidR="0061231B">
              <w:rPr>
                <w:webHidden/>
              </w:rPr>
              <w:tab/>
            </w:r>
            <w:r w:rsidR="0061231B">
              <w:rPr>
                <w:webHidden/>
              </w:rPr>
              <w:fldChar w:fldCharType="begin"/>
            </w:r>
            <w:r w:rsidR="0061231B">
              <w:rPr>
                <w:webHidden/>
              </w:rPr>
              <w:instrText xml:space="preserve"> PAGEREF _Toc119662422 \h </w:instrText>
            </w:r>
            <w:r w:rsidR="0061231B">
              <w:rPr>
                <w:webHidden/>
              </w:rPr>
            </w:r>
            <w:r w:rsidR="0061231B">
              <w:rPr>
                <w:webHidden/>
              </w:rPr>
              <w:fldChar w:fldCharType="separate"/>
            </w:r>
            <w:r w:rsidR="00C75AC6">
              <w:rPr>
                <w:webHidden/>
              </w:rPr>
              <w:t>68</w:t>
            </w:r>
            <w:r w:rsidR="0061231B">
              <w:rPr>
                <w:webHidden/>
              </w:rPr>
              <w:fldChar w:fldCharType="end"/>
            </w:r>
          </w:hyperlink>
        </w:p>
        <w:p w14:paraId="09A0E11B" w14:textId="14B3EEA8" w:rsidR="0061231B" w:rsidRDefault="00C9023A">
          <w:pPr>
            <w:pStyle w:val="TOC2"/>
            <w:rPr>
              <w:rFonts w:asciiTheme="minorHAnsi" w:hAnsiTheme="minorHAnsi"/>
              <w:sz w:val="22"/>
            </w:rPr>
          </w:pPr>
          <w:hyperlink w:anchor="_Toc119662423" w:history="1">
            <w:r w:rsidR="0061231B" w:rsidRPr="00780A9D">
              <w:rPr>
                <w:rStyle w:val="Hyperlink"/>
              </w:rPr>
              <w:t>5.3 Any missed days in the past 12 months – young people aged 14-21 years</w:t>
            </w:r>
            <w:r w:rsidR="0061231B">
              <w:rPr>
                <w:webHidden/>
              </w:rPr>
              <w:tab/>
            </w:r>
            <w:r w:rsidR="0061231B">
              <w:rPr>
                <w:webHidden/>
              </w:rPr>
              <w:fldChar w:fldCharType="begin"/>
            </w:r>
            <w:r w:rsidR="0061231B">
              <w:rPr>
                <w:webHidden/>
              </w:rPr>
              <w:instrText xml:space="preserve"> PAGEREF _Toc119662423 \h </w:instrText>
            </w:r>
            <w:r w:rsidR="0061231B">
              <w:rPr>
                <w:webHidden/>
              </w:rPr>
            </w:r>
            <w:r w:rsidR="0061231B">
              <w:rPr>
                <w:webHidden/>
              </w:rPr>
              <w:fldChar w:fldCharType="separate"/>
            </w:r>
            <w:r w:rsidR="00C75AC6">
              <w:rPr>
                <w:webHidden/>
              </w:rPr>
              <w:t>70</w:t>
            </w:r>
            <w:r w:rsidR="0061231B">
              <w:rPr>
                <w:webHidden/>
              </w:rPr>
              <w:fldChar w:fldCharType="end"/>
            </w:r>
          </w:hyperlink>
        </w:p>
        <w:p w14:paraId="7BE8795C" w14:textId="3D996AC0" w:rsidR="0061231B" w:rsidRDefault="00C9023A">
          <w:pPr>
            <w:pStyle w:val="TOC2"/>
            <w:rPr>
              <w:rFonts w:asciiTheme="minorHAnsi" w:hAnsiTheme="minorHAnsi"/>
              <w:sz w:val="22"/>
            </w:rPr>
          </w:pPr>
          <w:hyperlink w:anchor="_Toc119662424" w:history="1">
            <w:r w:rsidR="0061231B" w:rsidRPr="00780A9D">
              <w:rPr>
                <w:rStyle w:val="Hyperlink"/>
                <w:lang w:val="en-GB"/>
              </w:rPr>
              <w:t>5.4 Summary and relation to existing literature</w:t>
            </w:r>
            <w:r w:rsidR="0061231B">
              <w:rPr>
                <w:webHidden/>
              </w:rPr>
              <w:tab/>
            </w:r>
            <w:r w:rsidR="0061231B">
              <w:rPr>
                <w:webHidden/>
              </w:rPr>
              <w:fldChar w:fldCharType="begin"/>
            </w:r>
            <w:r w:rsidR="0061231B">
              <w:rPr>
                <w:webHidden/>
              </w:rPr>
              <w:instrText xml:space="preserve"> PAGEREF _Toc119662424 \h </w:instrText>
            </w:r>
            <w:r w:rsidR="0061231B">
              <w:rPr>
                <w:webHidden/>
              </w:rPr>
            </w:r>
            <w:r w:rsidR="0061231B">
              <w:rPr>
                <w:webHidden/>
              </w:rPr>
              <w:fldChar w:fldCharType="separate"/>
            </w:r>
            <w:r w:rsidR="00C75AC6">
              <w:rPr>
                <w:webHidden/>
              </w:rPr>
              <w:t>73</w:t>
            </w:r>
            <w:r w:rsidR="0061231B">
              <w:rPr>
                <w:webHidden/>
              </w:rPr>
              <w:fldChar w:fldCharType="end"/>
            </w:r>
          </w:hyperlink>
        </w:p>
        <w:p w14:paraId="2084B33D" w14:textId="30B1915D" w:rsidR="0061231B" w:rsidRDefault="00C9023A">
          <w:pPr>
            <w:pStyle w:val="TOC1"/>
            <w:rPr>
              <w:rFonts w:asciiTheme="minorHAnsi" w:hAnsiTheme="minorHAnsi"/>
              <w:sz w:val="22"/>
            </w:rPr>
          </w:pPr>
          <w:hyperlink w:anchor="_Toc119662425" w:history="1">
            <w:r w:rsidR="0061231B" w:rsidRPr="00780A9D">
              <w:rPr>
                <w:rStyle w:val="Hyperlink"/>
              </w:rPr>
              <w:t>6 Experiences of harassment, abuse and discrimination</w:t>
            </w:r>
            <w:r w:rsidR="0061231B">
              <w:rPr>
                <w:webHidden/>
              </w:rPr>
              <w:tab/>
            </w:r>
            <w:r w:rsidR="0061231B">
              <w:rPr>
                <w:webHidden/>
              </w:rPr>
              <w:fldChar w:fldCharType="begin"/>
            </w:r>
            <w:r w:rsidR="0061231B">
              <w:rPr>
                <w:webHidden/>
              </w:rPr>
              <w:instrText xml:space="preserve"> PAGEREF _Toc119662425 \h </w:instrText>
            </w:r>
            <w:r w:rsidR="0061231B">
              <w:rPr>
                <w:webHidden/>
              </w:rPr>
            </w:r>
            <w:r w:rsidR="0061231B">
              <w:rPr>
                <w:webHidden/>
              </w:rPr>
              <w:fldChar w:fldCharType="separate"/>
            </w:r>
            <w:r w:rsidR="00C75AC6">
              <w:rPr>
                <w:webHidden/>
              </w:rPr>
              <w:t>75</w:t>
            </w:r>
            <w:r w:rsidR="0061231B">
              <w:rPr>
                <w:webHidden/>
              </w:rPr>
              <w:fldChar w:fldCharType="end"/>
            </w:r>
          </w:hyperlink>
        </w:p>
        <w:p w14:paraId="1DDCE588" w14:textId="3E521524" w:rsidR="0061231B" w:rsidRDefault="00C9023A">
          <w:pPr>
            <w:pStyle w:val="TOC2"/>
            <w:rPr>
              <w:rFonts w:asciiTheme="minorHAnsi" w:hAnsiTheme="minorHAnsi"/>
              <w:sz w:val="22"/>
            </w:rPr>
          </w:pPr>
          <w:hyperlink w:anchor="_Toc119662426" w:history="1">
            <w:r w:rsidR="0061231B" w:rsidRPr="00780A9D">
              <w:rPr>
                <w:rStyle w:val="Hyperlink"/>
              </w:rPr>
              <w:t>6.1 Experiences of harassment based on sexuality or gender identity among participants with disability – young people aged 14-21 years</w:t>
            </w:r>
            <w:r w:rsidR="0061231B">
              <w:rPr>
                <w:webHidden/>
              </w:rPr>
              <w:tab/>
            </w:r>
            <w:r w:rsidR="0061231B">
              <w:rPr>
                <w:webHidden/>
              </w:rPr>
              <w:fldChar w:fldCharType="begin"/>
            </w:r>
            <w:r w:rsidR="0061231B">
              <w:rPr>
                <w:webHidden/>
              </w:rPr>
              <w:instrText xml:space="preserve"> PAGEREF _Toc119662426 \h </w:instrText>
            </w:r>
            <w:r w:rsidR="0061231B">
              <w:rPr>
                <w:webHidden/>
              </w:rPr>
            </w:r>
            <w:r w:rsidR="0061231B">
              <w:rPr>
                <w:webHidden/>
              </w:rPr>
              <w:fldChar w:fldCharType="separate"/>
            </w:r>
            <w:r w:rsidR="00C75AC6">
              <w:rPr>
                <w:webHidden/>
              </w:rPr>
              <w:t>75</w:t>
            </w:r>
            <w:r w:rsidR="0061231B">
              <w:rPr>
                <w:webHidden/>
              </w:rPr>
              <w:fldChar w:fldCharType="end"/>
            </w:r>
          </w:hyperlink>
        </w:p>
        <w:p w14:paraId="3E5E58FD" w14:textId="6040E97A" w:rsidR="0061231B" w:rsidRDefault="00C9023A">
          <w:pPr>
            <w:pStyle w:val="TOC2"/>
            <w:rPr>
              <w:rFonts w:asciiTheme="minorHAnsi" w:hAnsiTheme="minorHAnsi"/>
              <w:sz w:val="22"/>
            </w:rPr>
          </w:pPr>
          <w:hyperlink w:anchor="_Toc119662427" w:history="1">
            <w:r w:rsidR="0061231B" w:rsidRPr="00780A9D">
              <w:rPr>
                <w:rStyle w:val="Hyperlink"/>
              </w:rPr>
              <w:t xml:space="preserve">6.2 Experiences of harassment or assault based on sexuality or gender identity </w:t>
            </w:r>
            <w:r w:rsidR="00C95758">
              <w:rPr>
                <w:rStyle w:val="Hyperlink"/>
              </w:rPr>
              <w:br/>
            </w:r>
            <w:r w:rsidR="0061231B" w:rsidRPr="00780A9D">
              <w:rPr>
                <w:rStyle w:val="Hyperlink"/>
              </w:rPr>
              <w:t>in the past 12 months by location – young people aged 14-21 years</w:t>
            </w:r>
            <w:r w:rsidR="0061231B">
              <w:rPr>
                <w:webHidden/>
              </w:rPr>
              <w:tab/>
            </w:r>
            <w:r w:rsidR="0061231B">
              <w:rPr>
                <w:webHidden/>
              </w:rPr>
              <w:fldChar w:fldCharType="begin"/>
            </w:r>
            <w:r w:rsidR="0061231B">
              <w:rPr>
                <w:webHidden/>
              </w:rPr>
              <w:instrText xml:space="preserve"> PAGEREF _Toc119662427 \h </w:instrText>
            </w:r>
            <w:r w:rsidR="0061231B">
              <w:rPr>
                <w:webHidden/>
              </w:rPr>
            </w:r>
            <w:r w:rsidR="0061231B">
              <w:rPr>
                <w:webHidden/>
              </w:rPr>
              <w:fldChar w:fldCharType="separate"/>
            </w:r>
            <w:r w:rsidR="00C75AC6">
              <w:rPr>
                <w:webHidden/>
              </w:rPr>
              <w:t>81</w:t>
            </w:r>
            <w:r w:rsidR="0061231B">
              <w:rPr>
                <w:webHidden/>
              </w:rPr>
              <w:fldChar w:fldCharType="end"/>
            </w:r>
          </w:hyperlink>
        </w:p>
        <w:p w14:paraId="4488BFCC" w14:textId="7D9B815C" w:rsidR="0061231B" w:rsidRDefault="00C9023A">
          <w:pPr>
            <w:pStyle w:val="TOC2"/>
            <w:rPr>
              <w:rFonts w:asciiTheme="minorHAnsi" w:hAnsiTheme="minorHAnsi"/>
              <w:sz w:val="22"/>
            </w:rPr>
          </w:pPr>
          <w:hyperlink w:anchor="_Toc119662428" w:history="1">
            <w:r w:rsidR="0061231B" w:rsidRPr="00780A9D">
              <w:rPr>
                <w:rStyle w:val="Hyperlink"/>
              </w:rPr>
              <w:t>6.3 Harassment or assault perpetrators – young people aged 14-21 years</w:t>
            </w:r>
            <w:r w:rsidR="0061231B">
              <w:rPr>
                <w:webHidden/>
              </w:rPr>
              <w:tab/>
            </w:r>
            <w:r w:rsidR="0061231B">
              <w:rPr>
                <w:webHidden/>
              </w:rPr>
              <w:fldChar w:fldCharType="begin"/>
            </w:r>
            <w:r w:rsidR="0061231B">
              <w:rPr>
                <w:webHidden/>
              </w:rPr>
              <w:instrText xml:space="preserve"> PAGEREF _Toc119662428 \h </w:instrText>
            </w:r>
            <w:r w:rsidR="0061231B">
              <w:rPr>
                <w:webHidden/>
              </w:rPr>
            </w:r>
            <w:r w:rsidR="0061231B">
              <w:rPr>
                <w:webHidden/>
              </w:rPr>
              <w:fldChar w:fldCharType="separate"/>
            </w:r>
            <w:r w:rsidR="00C75AC6">
              <w:rPr>
                <w:webHidden/>
              </w:rPr>
              <w:t>84</w:t>
            </w:r>
            <w:r w:rsidR="0061231B">
              <w:rPr>
                <w:webHidden/>
              </w:rPr>
              <w:fldChar w:fldCharType="end"/>
            </w:r>
          </w:hyperlink>
        </w:p>
        <w:p w14:paraId="4D32BF70" w14:textId="3768D4CC" w:rsidR="0061231B" w:rsidRDefault="00C9023A">
          <w:pPr>
            <w:pStyle w:val="TOC2"/>
            <w:rPr>
              <w:rFonts w:asciiTheme="minorHAnsi" w:hAnsiTheme="minorHAnsi"/>
              <w:sz w:val="22"/>
            </w:rPr>
          </w:pPr>
          <w:hyperlink w:anchor="_Toc119662429" w:history="1">
            <w:r w:rsidR="0061231B" w:rsidRPr="00780A9D">
              <w:rPr>
                <w:rStyle w:val="Hyperlink"/>
              </w:rPr>
              <w:t xml:space="preserve">6.4 Experiences of accessing support regarding harassment or assault – young </w:t>
            </w:r>
            <w:r w:rsidR="00C95758">
              <w:rPr>
                <w:rStyle w:val="Hyperlink"/>
              </w:rPr>
              <w:br/>
            </w:r>
            <w:r w:rsidR="0061231B" w:rsidRPr="00780A9D">
              <w:rPr>
                <w:rStyle w:val="Hyperlink"/>
              </w:rPr>
              <w:t>people aged 14-21 years</w:t>
            </w:r>
            <w:r w:rsidR="0061231B">
              <w:rPr>
                <w:webHidden/>
              </w:rPr>
              <w:tab/>
            </w:r>
            <w:r w:rsidR="0061231B">
              <w:rPr>
                <w:webHidden/>
              </w:rPr>
              <w:fldChar w:fldCharType="begin"/>
            </w:r>
            <w:r w:rsidR="0061231B">
              <w:rPr>
                <w:webHidden/>
              </w:rPr>
              <w:instrText xml:space="preserve"> PAGEREF _Toc119662429 \h </w:instrText>
            </w:r>
            <w:r w:rsidR="0061231B">
              <w:rPr>
                <w:webHidden/>
              </w:rPr>
            </w:r>
            <w:r w:rsidR="0061231B">
              <w:rPr>
                <w:webHidden/>
              </w:rPr>
              <w:fldChar w:fldCharType="separate"/>
            </w:r>
            <w:r w:rsidR="00C75AC6">
              <w:rPr>
                <w:webHidden/>
              </w:rPr>
              <w:t>87</w:t>
            </w:r>
            <w:r w:rsidR="0061231B">
              <w:rPr>
                <w:webHidden/>
              </w:rPr>
              <w:fldChar w:fldCharType="end"/>
            </w:r>
          </w:hyperlink>
        </w:p>
        <w:p w14:paraId="2EE70CB9" w14:textId="6CBE9AD2" w:rsidR="0061231B" w:rsidRDefault="00C9023A">
          <w:pPr>
            <w:pStyle w:val="TOC2"/>
            <w:rPr>
              <w:rFonts w:asciiTheme="minorHAnsi" w:hAnsiTheme="minorHAnsi"/>
              <w:sz w:val="22"/>
            </w:rPr>
          </w:pPr>
          <w:hyperlink w:anchor="_Toc119662430" w:history="1">
            <w:r w:rsidR="0061231B" w:rsidRPr="00780A9D">
              <w:rPr>
                <w:rStyle w:val="Hyperlink"/>
              </w:rPr>
              <w:t xml:space="preserve">6.5 Unfair treatment due to sexual orientation and/or gender identity - adults </w:t>
            </w:r>
            <w:r w:rsidR="00C95758">
              <w:rPr>
                <w:rStyle w:val="Hyperlink"/>
              </w:rPr>
              <w:br/>
            </w:r>
            <w:r w:rsidR="0061231B" w:rsidRPr="00780A9D">
              <w:rPr>
                <w:rStyle w:val="Hyperlink"/>
              </w:rPr>
              <w:t>aged 18+ years</w:t>
            </w:r>
            <w:r w:rsidR="0061231B">
              <w:rPr>
                <w:webHidden/>
              </w:rPr>
              <w:tab/>
            </w:r>
            <w:r w:rsidR="0061231B">
              <w:rPr>
                <w:webHidden/>
              </w:rPr>
              <w:fldChar w:fldCharType="begin"/>
            </w:r>
            <w:r w:rsidR="0061231B">
              <w:rPr>
                <w:webHidden/>
              </w:rPr>
              <w:instrText xml:space="preserve"> PAGEREF _Toc119662430 \h </w:instrText>
            </w:r>
            <w:r w:rsidR="0061231B">
              <w:rPr>
                <w:webHidden/>
              </w:rPr>
            </w:r>
            <w:r w:rsidR="0061231B">
              <w:rPr>
                <w:webHidden/>
              </w:rPr>
              <w:fldChar w:fldCharType="separate"/>
            </w:r>
            <w:r w:rsidR="00C75AC6">
              <w:rPr>
                <w:webHidden/>
              </w:rPr>
              <w:t>89</w:t>
            </w:r>
            <w:r w:rsidR="0061231B">
              <w:rPr>
                <w:webHidden/>
              </w:rPr>
              <w:fldChar w:fldCharType="end"/>
            </w:r>
          </w:hyperlink>
        </w:p>
        <w:p w14:paraId="70DFD14C" w14:textId="7C28224C" w:rsidR="0061231B" w:rsidRDefault="00C9023A">
          <w:pPr>
            <w:pStyle w:val="TOC2"/>
            <w:rPr>
              <w:rFonts w:asciiTheme="minorHAnsi" w:hAnsiTheme="minorHAnsi"/>
              <w:sz w:val="22"/>
            </w:rPr>
          </w:pPr>
          <w:hyperlink w:anchor="_Toc119662431" w:history="1">
            <w:r w:rsidR="0061231B" w:rsidRPr="00780A9D">
              <w:rPr>
                <w:rStyle w:val="Hyperlink"/>
              </w:rPr>
              <w:t xml:space="preserve">6.6 Experiences of violence based on sexual orientation and/or gender identity </w:t>
            </w:r>
            <w:r w:rsidR="00C95758">
              <w:rPr>
                <w:rStyle w:val="Hyperlink"/>
              </w:rPr>
              <w:br/>
            </w:r>
            <w:r w:rsidR="0061231B" w:rsidRPr="00780A9D">
              <w:rPr>
                <w:rStyle w:val="Hyperlink"/>
              </w:rPr>
              <w:t>- adults aged 18+ years</w:t>
            </w:r>
            <w:r w:rsidR="0061231B">
              <w:rPr>
                <w:webHidden/>
              </w:rPr>
              <w:tab/>
            </w:r>
            <w:r w:rsidR="0061231B">
              <w:rPr>
                <w:webHidden/>
              </w:rPr>
              <w:fldChar w:fldCharType="begin"/>
            </w:r>
            <w:r w:rsidR="0061231B">
              <w:rPr>
                <w:webHidden/>
              </w:rPr>
              <w:instrText xml:space="preserve"> PAGEREF _Toc119662431 \h </w:instrText>
            </w:r>
            <w:r w:rsidR="0061231B">
              <w:rPr>
                <w:webHidden/>
              </w:rPr>
            </w:r>
            <w:r w:rsidR="0061231B">
              <w:rPr>
                <w:webHidden/>
              </w:rPr>
              <w:fldChar w:fldCharType="separate"/>
            </w:r>
            <w:r w:rsidR="00C75AC6">
              <w:rPr>
                <w:webHidden/>
              </w:rPr>
              <w:t>90</w:t>
            </w:r>
            <w:r w:rsidR="0061231B">
              <w:rPr>
                <w:webHidden/>
              </w:rPr>
              <w:fldChar w:fldCharType="end"/>
            </w:r>
          </w:hyperlink>
        </w:p>
        <w:p w14:paraId="556D445F" w14:textId="4C728523" w:rsidR="0061231B" w:rsidRDefault="00C9023A">
          <w:pPr>
            <w:pStyle w:val="TOC2"/>
            <w:rPr>
              <w:rFonts w:asciiTheme="minorHAnsi" w:hAnsiTheme="minorHAnsi"/>
              <w:sz w:val="22"/>
            </w:rPr>
          </w:pPr>
          <w:hyperlink w:anchor="_Toc119662432" w:history="1">
            <w:r w:rsidR="0061231B" w:rsidRPr="00780A9D">
              <w:rPr>
                <w:rStyle w:val="Hyperlink"/>
                <w:lang w:val="en-US"/>
              </w:rPr>
              <w:t>6.7</w:t>
            </w:r>
            <w:r w:rsidR="0061231B" w:rsidRPr="00780A9D">
              <w:rPr>
                <w:rStyle w:val="Hyperlink"/>
              </w:rPr>
              <w:t xml:space="preserve"> Unfair treatment as a result of disability or long-term health condition - adults </w:t>
            </w:r>
            <w:r w:rsidR="00C95758">
              <w:rPr>
                <w:rStyle w:val="Hyperlink"/>
              </w:rPr>
              <w:br/>
            </w:r>
            <w:r w:rsidR="0061231B" w:rsidRPr="00780A9D">
              <w:rPr>
                <w:rStyle w:val="Hyperlink"/>
              </w:rPr>
              <w:t>aged 18+ years</w:t>
            </w:r>
            <w:r w:rsidR="0061231B">
              <w:rPr>
                <w:webHidden/>
              </w:rPr>
              <w:tab/>
            </w:r>
            <w:r w:rsidR="0061231B">
              <w:rPr>
                <w:webHidden/>
              </w:rPr>
              <w:fldChar w:fldCharType="begin"/>
            </w:r>
            <w:r w:rsidR="0061231B">
              <w:rPr>
                <w:webHidden/>
              </w:rPr>
              <w:instrText xml:space="preserve"> PAGEREF _Toc119662432 \h </w:instrText>
            </w:r>
            <w:r w:rsidR="0061231B">
              <w:rPr>
                <w:webHidden/>
              </w:rPr>
            </w:r>
            <w:r w:rsidR="0061231B">
              <w:rPr>
                <w:webHidden/>
              </w:rPr>
              <w:fldChar w:fldCharType="separate"/>
            </w:r>
            <w:r w:rsidR="00C75AC6">
              <w:rPr>
                <w:webHidden/>
              </w:rPr>
              <w:t>94</w:t>
            </w:r>
            <w:r w:rsidR="0061231B">
              <w:rPr>
                <w:webHidden/>
              </w:rPr>
              <w:fldChar w:fldCharType="end"/>
            </w:r>
          </w:hyperlink>
        </w:p>
        <w:p w14:paraId="5BE4E2C7" w14:textId="1BF706D0" w:rsidR="0061231B" w:rsidRDefault="00C9023A">
          <w:pPr>
            <w:pStyle w:val="TOC2"/>
            <w:rPr>
              <w:rFonts w:asciiTheme="minorHAnsi" w:hAnsiTheme="minorHAnsi"/>
              <w:sz w:val="22"/>
            </w:rPr>
          </w:pPr>
          <w:hyperlink w:anchor="_Toc119662433" w:history="1">
            <w:r w:rsidR="0061231B" w:rsidRPr="00780A9D">
              <w:rPr>
                <w:rStyle w:val="Hyperlink"/>
              </w:rPr>
              <w:t>6.8 Summary and relation to existing literature</w:t>
            </w:r>
            <w:r w:rsidR="0061231B">
              <w:rPr>
                <w:webHidden/>
              </w:rPr>
              <w:tab/>
            </w:r>
            <w:r w:rsidR="0061231B">
              <w:rPr>
                <w:webHidden/>
              </w:rPr>
              <w:fldChar w:fldCharType="begin"/>
            </w:r>
            <w:r w:rsidR="0061231B">
              <w:rPr>
                <w:webHidden/>
              </w:rPr>
              <w:instrText xml:space="preserve"> PAGEREF _Toc119662433 \h </w:instrText>
            </w:r>
            <w:r w:rsidR="0061231B">
              <w:rPr>
                <w:webHidden/>
              </w:rPr>
            </w:r>
            <w:r w:rsidR="0061231B">
              <w:rPr>
                <w:webHidden/>
              </w:rPr>
              <w:fldChar w:fldCharType="separate"/>
            </w:r>
            <w:r w:rsidR="00C75AC6">
              <w:rPr>
                <w:webHidden/>
              </w:rPr>
              <w:t>95</w:t>
            </w:r>
            <w:r w:rsidR="0061231B">
              <w:rPr>
                <w:webHidden/>
              </w:rPr>
              <w:fldChar w:fldCharType="end"/>
            </w:r>
          </w:hyperlink>
        </w:p>
        <w:p w14:paraId="76DCC634" w14:textId="2B4781C5" w:rsidR="0061231B" w:rsidRDefault="00C9023A">
          <w:pPr>
            <w:pStyle w:val="TOC1"/>
            <w:rPr>
              <w:rFonts w:asciiTheme="minorHAnsi" w:hAnsiTheme="minorHAnsi"/>
              <w:sz w:val="22"/>
            </w:rPr>
          </w:pPr>
          <w:hyperlink w:anchor="_Toc119662434" w:history="1">
            <w:r w:rsidR="0061231B" w:rsidRPr="00780A9D">
              <w:rPr>
                <w:rStyle w:val="Hyperlink"/>
              </w:rPr>
              <w:t>7 Family violence</w:t>
            </w:r>
            <w:r w:rsidR="0061231B">
              <w:rPr>
                <w:webHidden/>
              </w:rPr>
              <w:tab/>
            </w:r>
            <w:r w:rsidR="0061231B">
              <w:rPr>
                <w:webHidden/>
              </w:rPr>
              <w:fldChar w:fldCharType="begin"/>
            </w:r>
            <w:r w:rsidR="0061231B">
              <w:rPr>
                <w:webHidden/>
              </w:rPr>
              <w:instrText xml:space="preserve"> PAGEREF _Toc119662434 \h </w:instrText>
            </w:r>
            <w:r w:rsidR="0061231B">
              <w:rPr>
                <w:webHidden/>
              </w:rPr>
            </w:r>
            <w:r w:rsidR="0061231B">
              <w:rPr>
                <w:webHidden/>
              </w:rPr>
              <w:fldChar w:fldCharType="separate"/>
            </w:r>
            <w:r w:rsidR="00C75AC6">
              <w:rPr>
                <w:webHidden/>
              </w:rPr>
              <w:t>98</w:t>
            </w:r>
            <w:r w:rsidR="0061231B">
              <w:rPr>
                <w:webHidden/>
              </w:rPr>
              <w:fldChar w:fldCharType="end"/>
            </w:r>
          </w:hyperlink>
        </w:p>
        <w:p w14:paraId="0EACB7E6" w14:textId="6B03FBB3" w:rsidR="0061231B" w:rsidRDefault="00C9023A">
          <w:pPr>
            <w:pStyle w:val="TOC2"/>
            <w:rPr>
              <w:rFonts w:asciiTheme="minorHAnsi" w:hAnsiTheme="minorHAnsi"/>
              <w:sz w:val="22"/>
            </w:rPr>
          </w:pPr>
          <w:hyperlink w:anchor="_Toc119662435" w:history="1">
            <w:r w:rsidR="0061231B" w:rsidRPr="00780A9D">
              <w:rPr>
                <w:rStyle w:val="Hyperlink"/>
              </w:rPr>
              <w:t>7.1 Experiences of family violence - adults aged 18+ years</w:t>
            </w:r>
            <w:r w:rsidR="0061231B">
              <w:rPr>
                <w:webHidden/>
              </w:rPr>
              <w:tab/>
            </w:r>
            <w:r w:rsidR="0061231B">
              <w:rPr>
                <w:webHidden/>
              </w:rPr>
              <w:fldChar w:fldCharType="begin"/>
            </w:r>
            <w:r w:rsidR="0061231B">
              <w:rPr>
                <w:webHidden/>
              </w:rPr>
              <w:instrText xml:space="preserve"> PAGEREF _Toc119662435 \h </w:instrText>
            </w:r>
            <w:r w:rsidR="0061231B">
              <w:rPr>
                <w:webHidden/>
              </w:rPr>
            </w:r>
            <w:r w:rsidR="0061231B">
              <w:rPr>
                <w:webHidden/>
              </w:rPr>
              <w:fldChar w:fldCharType="separate"/>
            </w:r>
            <w:r w:rsidR="00C75AC6">
              <w:rPr>
                <w:webHidden/>
              </w:rPr>
              <w:t>98</w:t>
            </w:r>
            <w:r w:rsidR="0061231B">
              <w:rPr>
                <w:webHidden/>
              </w:rPr>
              <w:fldChar w:fldCharType="end"/>
            </w:r>
          </w:hyperlink>
        </w:p>
        <w:p w14:paraId="1317A18A" w14:textId="7534AC85" w:rsidR="0061231B" w:rsidRDefault="00C9023A">
          <w:pPr>
            <w:pStyle w:val="TOC2"/>
            <w:rPr>
              <w:rFonts w:asciiTheme="minorHAnsi" w:hAnsiTheme="minorHAnsi"/>
              <w:sz w:val="22"/>
            </w:rPr>
          </w:pPr>
          <w:hyperlink w:anchor="_Toc119662436" w:history="1">
            <w:r w:rsidR="0061231B" w:rsidRPr="00780A9D">
              <w:rPr>
                <w:rStyle w:val="Hyperlink"/>
              </w:rPr>
              <w:t>7.2 Forms of family violence experienced - adults aged 18+ years</w:t>
            </w:r>
            <w:r w:rsidR="0061231B">
              <w:rPr>
                <w:webHidden/>
              </w:rPr>
              <w:tab/>
            </w:r>
            <w:r w:rsidR="0061231B">
              <w:rPr>
                <w:webHidden/>
              </w:rPr>
              <w:fldChar w:fldCharType="begin"/>
            </w:r>
            <w:r w:rsidR="0061231B">
              <w:rPr>
                <w:webHidden/>
              </w:rPr>
              <w:instrText xml:space="preserve"> PAGEREF _Toc119662436 \h </w:instrText>
            </w:r>
            <w:r w:rsidR="0061231B">
              <w:rPr>
                <w:webHidden/>
              </w:rPr>
            </w:r>
            <w:r w:rsidR="0061231B">
              <w:rPr>
                <w:webHidden/>
              </w:rPr>
              <w:fldChar w:fldCharType="separate"/>
            </w:r>
            <w:r w:rsidR="00C75AC6">
              <w:rPr>
                <w:webHidden/>
              </w:rPr>
              <w:t>101</w:t>
            </w:r>
            <w:r w:rsidR="0061231B">
              <w:rPr>
                <w:webHidden/>
              </w:rPr>
              <w:fldChar w:fldCharType="end"/>
            </w:r>
          </w:hyperlink>
        </w:p>
        <w:p w14:paraId="0C9CDA57" w14:textId="5775FCC1" w:rsidR="0061231B" w:rsidRDefault="00C9023A">
          <w:pPr>
            <w:pStyle w:val="TOC2"/>
            <w:rPr>
              <w:rFonts w:asciiTheme="minorHAnsi" w:hAnsiTheme="minorHAnsi"/>
              <w:sz w:val="22"/>
            </w:rPr>
          </w:pPr>
          <w:hyperlink w:anchor="_Toc119662437" w:history="1">
            <w:r w:rsidR="0061231B" w:rsidRPr="00780A9D">
              <w:rPr>
                <w:rStyle w:val="Hyperlink"/>
              </w:rPr>
              <w:t>7.3 Perpetrators of intimate partner violence - adults aged 18+ years</w:t>
            </w:r>
            <w:r w:rsidR="0061231B">
              <w:rPr>
                <w:webHidden/>
              </w:rPr>
              <w:tab/>
            </w:r>
            <w:r w:rsidR="0061231B">
              <w:rPr>
                <w:webHidden/>
              </w:rPr>
              <w:fldChar w:fldCharType="begin"/>
            </w:r>
            <w:r w:rsidR="0061231B">
              <w:rPr>
                <w:webHidden/>
              </w:rPr>
              <w:instrText xml:space="preserve"> PAGEREF _Toc119662437 \h </w:instrText>
            </w:r>
            <w:r w:rsidR="0061231B">
              <w:rPr>
                <w:webHidden/>
              </w:rPr>
            </w:r>
            <w:r w:rsidR="0061231B">
              <w:rPr>
                <w:webHidden/>
              </w:rPr>
              <w:fldChar w:fldCharType="separate"/>
            </w:r>
            <w:r w:rsidR="00C75AC6">
              <w:rPr>
                <w:webHidden/>
              </w:rPr>
              <w:t>104</w:t>
            </w:r>
            <w:r w:rsidR="0061231B">
              <w:rPr>
                <w:webHidden/>
              </w:rPr>
              <w:fldChar w:fldCharType="end"/>
            </w:r>
          </w:hyperlink>
        </w:p>
        <w:p w14:paraId="7870FFB6" w14:textId="061E218A" w:rsidR="0061231B" w:rsidRDefault="00C9023A">
          <w:pPr>
            <w:pStyle w:val="TOC2"/>
            <w:rPr>
              <w:rFonts w:asciiTheme="minorHAnsi" w:hAnsiTheme="minorHAnsi"/>
              <w:sz w:val="22"/>
            </w:rPr>
          </w:pPr>
          <w:hyperlink w:anchor="_Toc119662438" w:history="1">
            <w:r w:rsidR="0061231B" w:rsidRPr="00780A9D">
              <w:rPr>
                <w:rStyle w:val="Hyperlink"/>
              </w:rPr>
              <w:t>7.4 Perpetrators of family member violence - adults aged 18+ years</w:t>
            </w:r>
            <w:r w:rsidR="0061231B">
              <w:rPr>
                <w:webHidden/>
              </w:rPr>
              <w:tab/>
            </w:r>
            <w:r w:rsidR="0061231B">
              <w:rPr>
                <w:webHidden/>
              </w:rPr>
              <w:fldChar w:fldCharType="begin"/>
            </w:r>
            <w:r w:rsidR="0061231B">
              <w:rPr>
                <w:webHidden/>
              </w:rPr>
              <w:instrText xml:space="preserve"> PAGEREF _Toc119662438 \h </w:instrText>
            </w:r>
            <w:r w:rsidR="0061231B">
              <w:rPr>
                <w:webHidden/>
              </w:rPr>
            </w:r>
            <w:r w:rsidR="0061231B">
              <w:rPr>
                <w:webHidden/>
              </w:rPr>
              <w:fldChar w:fldCharType="separate"/>
            </w:r>
            <w:r w:rsidR="00C75AC6">
              <w:rPr>
                <w:webHidden/>
              </w:rPr>
              <w:t>105</w:t>
            </w:r>
            <w:r w:rsidR="0061231B">
              <w:rPr>
                <w:webHidden/>
              </w:rPr>
              <w:fldChar w:fldCharType="end"/>
            </w:r>
          </w:hyperlink>
        </w:p>
        <w:p w14:paraId="220EED98" w14:textId="7CEA1AF3" w:rsidR="0061231B" w:rsidRDefault="00C9023A">
          <w:pPr>
            <w:pStyle w:val="TOC2"/>
            <w:rPr>
              <w:rFonts w:asciiTheme="minorHAnsi" w:hAnsiTheme="minorHAnsi"/>
              <w:sz w:val="22"/>
            </w:rPr>
          </w:pPr>
          <w:hyperlink w:anchor="_Toc119662439" w:history="1">
            <w:r w:rsidR="0061231B" w:rsidRPr="00780A9D">
              <w:rPr>
                <w:rStyle w:val="Hyperlink"/>
              </w:rPr>
              <w:t>7.5 Reporting violence and experiences of support - adults aged 18+ years</w:t>
            </w:r>
            <w:r w:rsidR="0061231B">
              <w:rPr>
                <w:webHidden/>
              </w:rPr>
              <w:tab/>
            </w:r>
            <w:r w:rsidR="0061231B">
              <w:rPr>
                <w:webHidden/>
              </w:rPr>
              <w:fldChar w:fldCharType="begin"/>
            </w:r>
            <w:r w:rsidR="0061231B">
              <w:rPr>
                <w:webHidden/>
              </w:rPr>
              <w:instrText xml:space="preserve"> PAGEREF _Toc119662439 \h </w:instrText>
            </w:r>
            <w:r w:rsidR="0061231B">
              <w:rPr>
                <w:webHidden/>
              </w:rPr>
            </w:r>
            <w:r w:rsidR="0061231B">
              <w:rPr>
                <w:webHidden/>
              </w:rPr>
              <w:fldChar w:fldCharType="separate"/>
            </w:r>
            <w:r w:rsidR="00C75AC6">
              <w:rPr>
                <w:webHidden/>
              </w:rPr>
              <w:t>106</w:t>
            </w:r>
            <w:r w:rsidR="0061231B">
              <w:rPr>
                <w:webHidden/>
              </w:rPr>
              <w:fldChar w:fldCharType="end"/>
            </w:r>
          </w:hyperlink>
        </w:p>
        <w:p w14:paraId="31BD9917" w14:textId="648A9B1C" w:rsidR="0061231B" w:rsidRDefault="00C9023A">
          <w:pPr>
            <w:pStyle w:val="TOC2"/>
            <w:rPr>
              <w:rFonts w:asciiTheme="minorHAnsi" w:hAnsiTheme="minorHAnsi"/>
              <w:sz w:val="22"/>
            </w:rPr>
          </w:pPr>
          <w:hyperlink w:anchor="_Toc119662440" w:history="1">
            <w:r w:rsidR="0061231B" w:rsidRPr="00780A9D">
              <w:rPr>
                <w:rStyle w:val="Hyperlink"/>
              </w:rPr>
              <w:t>7.6 Preferences for future support - adults aged 18+ years</w:t>
            </w:r>
            <w:r w:rsidR="0061231B">
              <w:rPr>
                <w:webHidden/>
              </w:rPr>
              <w:tab/>
            </w:r>
            <w:r w:rsidR="0061231B">
              <w:rPr>
                <w:webHidden/>
              </w:rPr>
              <w:fldChar w:fldCharType="begin"/>
            </w:r>
            <w:r w:rsidR="0061231B">
              <w:rPr>
                <w:webHidden/>
              </w:rPr>
              <w:instrText xml:space="preserve"> PAGEREF _Toc119662440 \h </w:instrText>
            </w:r>
            <w:r w:rsidR="0061231B">
              <w:rPr>
                <w:webHidden/>
              </w:rPr>
            </w:r>
            <w:r w:rsidR="0061231B">
              <w:rPr>
                <w:webHidden/>
              </w:rPr>
              <w:fldChar w:fldCharType="separate"/>
            </w:r>
            <w:r w:rsidR="00C75AC6">
              <w:rPr>
                <w:webHidden/>
              </w:rPr>
              <w:t>108</w:t>
            </w:r>
            <w:r w:rsidR="0061231B">
              <w:rPr>
                <w:webHidden/>
              </w:rPr>
              <w:fldChar w:fldCharType="end"/>
            </w:r>
          </w:hyperlink>
        </w:p>
        <w:p w14:paraId="51A6DC06" w14:textId="2C2C52D3" w:rsidR="0061231B" w:rsidRDefault="00C9023A">
          <w:pPr>
            <w:pStyle w:val="TOC2"/>
            <w:rPr>
              <w:rFonts w:asciiTheme="minorHAnsi" w:hAnsiTheme="minorHAnsi"/>
              <w:sz w:val="22"/>
            </w:rPr>
          </w:pPr>
          <w:hyperlink w:anchor="_Toc119662441" w:history="1">
            <w:r w:rsidR="0061231B" w:rsidRPr="00780A9D">
              <w:rPr>
                <w:rStyle w:val="Hyperlink"/>
              </w:rPr>
              <w:t>7.7 Experiences of sexual assault - adults aged 18+ years</w:t>
            </w:r>
            <w:r w:rsidR="0061231B">
              <w:rPr>
                <w:webHidden/>
              </w:rPr>
              <w:tab/>
            </w:r>
            <w:r w:rsidR="0061231B">
              <w:rPr>
                <w:webHidden/>
              </w:rPr>
              <w:fldChar w:fldCharType="begin"/>
            </w:r>
            <w:r w:rsidR="0061231B">
              <w:rPr>
                <w:webHidden/>
              </w:rPr>
              <w:instrText xml:space="preserve"> PAGEREF _Toc119662441 \h </w:instrText>
            </w:r>
            <w:r w:rsidR="0061231B">
              <w:rPr>
                <w:webHidden/>
              </w:rPr>
            </w:r>
            <w:r w:rsidR="0061231B">
              <w:rPr>
                <w:webHidden/>
              </w:rPr>
              <w:fldChar w:fldCharType="separate"/>
            </w:r>
            <w:r w:rsidR="00C75AC6">
              <w:rPr>
                <w:webHidden/>
              </w:rPr>
              <w:t>108</w:t>
            </w:r>
            <w:r w:rsidR="0061231B">
              <w:rPr>
                <w:webHidden/>
              </w:rPr>
              <w:fldChar w:fldCharType="end"/>
            </w:r>
          </w:hyperlink>
        </w:p>
        <w:p w14:paraId="0953B5C3" w14:textId="0D432ABA" w:rsidR="0061231B" w:rsidRDefault="00C9023A">
          <w:pPr>
            <w:pStyle w:val="TOC2"/>
            <w:rPr>
              <w:rFonts w:asciiTheme="minorHAnsi" w:hAnsiTheme="minorHAnsi"/>
              <w:sz w:val="22"/>
            </w:rPr>
          </w:pPr>
          <w:hyperlink w:anchor="_Toc119662442" w:history="1">
            <w:r w:rsidR="0061231B" w:rsidRPr="00780A9D">
              <w:rPr>
                <w:rStyle w:val="Hyperlink"/>
              </w:rPr>
              <w:t>7.8 Summary and relation to existing literature</w:t>
            </w:r>
            <w:r w:rsidR="0061231B">
              <w:rPr>
                <w:webHidden/>
              </w:rPr>
              <w:tab/>
            </w:r>
            <w:r w:rsidR="0061231B">
              <w:rPr>
                <w:webHidden/>
              </w:rPr>
              <w:fldChar w:fldCharType="begin"/>
            </w:r>
            <w:r w:rsidR="0061231B">
              <w:rPr>
                <w:webHidden/>
              </w:rPr>
              <w:instrText xml:space="preserve"> PAGEREF _Toc119662442 \h </w:instrText>
            </w:r>
            <w:r w:rsidR="0061231B">
              <w:rPr>
                <w:webHidden/>
              </w:rPr>
            </w:r>
            <w:r w:rsidR="0061231B">
              <w:rPr>
                <w:webHidden/>
              </w:rPr>
              <w:fldChar w:fldCharType="separate"/>
            </w:r>
            <w:r w:rsidR="00C75AC6">
              <w:rPr>
                <w:webHidden/>
              </w:rPr>
              <w:t>111</w:t>
            </w:r>
            <w:r w:rsidR="0061231B">
              <w:rPr>
                <w:webHidden/>
              </w:rPr>
              <w:fldChar w:fldCharType="end"/>
            </w:r>
          </w:hyperlink>
        </w:p>
        <w:p w14:paraId="6B70BCAC" w14:textId="44A248DD" w:rsidR="0061231B" w:rsidRDefault="00C9023A">
          <w:pPr>
            <w:pStyle w:val="TOC1"/>
            <w:rPr>
              <w:rFonts w:asciiTheme="minorHAnsi" w:hAnsiTheme="minorHAnsi"/>
              <w:sz w:val="22"/>
            </w:rPr>
          </w:pPr>
          <w:hyperlink w:anchor="_Toc119662443" w:history="1">
            <w:r w:rsidR="0061231B" w:rsidRPr="00780A9D">
              <w:rPr>
                <w:rStyle w:val="Hyperlink"/>
              </w:rPr>
              <w:t>8 Mental health and suicidality</w:t>
            </w:r>
            <w:r w:rsidR="0061231B">
              <w:rPr>
                <w:webHidden/>
              </w:rPr>
              <w:tab/>
            </w:r>
            <w:r w:rsidR="0061231B">
              <w:rPr>
                <w:webHidden/>
              </w:rPr>
              <w:fldChar w:fldCharType="begin"/>
            </w:r>
            <w:r w:rsidR="0061231B">
              <w:rPr>
                <w:webHidden/>
              </w:rPr>
              <w:instrText xml:space="preserve"> PAGEREF _Toc119662443 \h </w:instrText>
            </w:r>
            <w:r w:rsidR="0061231B">
              <w:rPr>
                <w:webHidden/>
              </w:rPr>
            </w:r>
            <w:r w:rsidR="0061231B">
              <w:rPr>
                <w:webHidden/>
              </w:rPr>
              <w:fldChar w:fldCharType="separate"/>
            </w:r>
            <w:r w:rsidR="00C75AC6">
              <w:rPr>
                <w:webHidden/>
              </w:rPr>
              <w:t>113</w:t>
            </w:r>
            <w:r w:rsidR="0061231B">
              <w:rPr>
                <w:webHidden/>
              </w:rPr>
              <w:fldChar w:fldCharType="end"/>
            </w:r>
          </w:hyperlink>
        </w:p>
        <w:p w14:paraId="5F031396" w14:textId="507A80C3" w:rsidR="0061231B" w:rsidRDefault="00C9023A">
          <w:pPr>
            <w:pStyle w:val="TOC2"/>
            <w:rPr>
              <w:rFonts w:asciiTheme="minorHAnsi" w:hAnsiTheme="minorHAnsi"/>
              <w:sz w:val="22"/>
            </w:rPr>
          </w:pPr>
          <w:hyperlink w:anchor="_Toc119662444" w:history="1">
            <w:r w:rsidR="0061231B" w:rsidRPr="00780A9D">
              <w:rPr>
                <w:rStyle w:val="Hyperlink"/>
              </w:rPr>
              <w:t>8.1 Psychological distress (K10)</w:t>
            </w:r>
            <w:r w:rsidR="0061231B">
              <w:rPr>
                <w:webHidden/>
              </w:rPr>
              <w:tab/>
            </w:r>
            <w:r w:rsidR="0061231B">
              <w:rPr>
                <w:webHidden/>
              </w:rPr>
              <w:fldChar w:fldCharType="begin"/>
            </w:r>
            <w:r w:rsidR="0061231B">
              <w:rPr>
                <w:webHidden/>
              </w:rPr>
              <w:instrText xml:space="preserve"> PAGEREF _Toc119662444 \h </w:instrText>
            </w:r>
            <w:r w:rsidR="0061231B">
              <w:rPr>
                <w:webHidden/>
              </w:rPr>
            </w:r>
            <w:r w:rsidR="0061231B">
              <w:rPr>
                <w:webHidden/>
              </w:rPr>
              <w:fldChar w:fldCharType="separate"/>
            </w:r>
            <w:r w:rsidR="00C75AC6">
              <w:rPr>
                <w:webHidden/>
              </w:rPr>
              <w:t>113</w:t>
            </w:r>
            <w:r w:rsidR="0061231B">
              <w:rPr>
                <w:webHidden/>
              </w:rPr>
              <w:fldChar w:fldCharType="end"/>
            </w:r>
          </w:hyperlink>
        </w:p>
        <w:p w14:paraId="14133A23" w14:textId="0A6F5E4A" w:rsidR="0061231B" w:rsidRDefault="00C9023A">
          <w:pPr>
            <w:pStyle w:val="TOC2"/>
            <w:rPr>
              <w:rFonts w:asciiTheme="minorHAnsi" w:hAnsiTheme="minorHAnsi"/>
              <w:sz w:val="22"/>
            </w:rPr>
          </w:pPr>
          <w:hyperlink w:anchor="_Toc119662445" w:history="1">
            <w:r w:rsidR="0061231B" w:rsidRPr="00780A9D">
              <w:rPr>
                <w:rStyle w:val="Hyperlink"/>
              </w:rPr>
              <w:t>8.2 Suicidal ideation and attempts</w:t>
            </w:r>
            <w:r w:rsidR="0061231B">
              <w:rPr>
                <w:webHidden/>
              </w:rPr>
              <w:tab/>
            </w:r>
            <w:r w:rsidR="0061231B">
              <w:rPr>
                <w:webHidden/>
              </w:rPr>
              <w:fldChar w:fldCharType="begin"/>
            </w:r>
            <w:r w:rsidR="0061231B">
              <w:rPr>
                <w:webHidden/>
              </w:rPr>
              <w:instrText xml:space="preserve"> PAGEREF _Toc119662445 \h </w:instrText>
            </w:r>
            <w:r w:rsidR="0061231B">
              <w:rPr>
                <w:webHidden/>
              </w:rPr>
            </w:r>
            <w:r w:rsidR="0061231B">
              <w:rPr>
                <w:webHidden/>
              </w:rPr>
              <w:fldChar w:fldCharType="separate"/>
            </w:r>
            <w:r w:rsidR="00C75AC6">
              <w:rPr>
                <w:webHidden/>
              </w:rPr>
              <w:t>119</w:t>
            </w:r>
            <w:r w:rsidR="0061231B">
              <w:rPr>
                <w:webHidden/>
              </w:rPr>
              <w:fldChar w:fldCharType="end"/>
            </w:r>
          </w:hyperlink>
        </w:p>
        <w:p w14:paraId="40A9FF9F" w14:textId="3DE1B00A" w:rsidR="0061231B" w:rsidRDefault="00C9023A">
          <w:pPr>
            <w:pStyle w:val="TOC2"/>
            <w:rPr>
              <w:rFonts w:asciiTheme="minorHAnsi" w:hAnsiTheme="minorHAnsi"/>
              <w:sz w:val="22"/>
            </w:rPr>
          </w:pPr>
          <w:hyperlink w:anchor="_Toc119662446" w:history="1">
            <w:r w:rsidR="0061231B" w:rsidRPr="00780A9D">
              <w:rPr>
                <w:rStyle w:val="Hyperlink"/>
              </w:rPr>
              <w:t>8.3 Support for those in distress – young people aged 14-21 years</w:t>
            </w:r>
            <w:r w:rsidR="0061231B">
              <w:rPr>
                <w:webHidden/>
              </w:rPr>
              <w:tab/>
            </w:r>
            <w:r w:rsidR="0061231B">
              <w:rPr>
                <w:webHidden/>
              </w:rPr>
              <w:fldChar w:fldCharType="begin"/>
            </w:r>
            <w:r w:rsidR="0061231B">
              <w:rPr>
                <w:webHidden/>
              </w:rPr>
              <w:instrText xml:space="preserve"> PAGEREF _Toc119662446 \h </w:instrText>
            </w:r>
            <w:r w:rsidR="0061231B">
              <w:rPr>
                <w:webHidden/>
              </w:rPr>
            </w:r>
            <w:r w:rsidR="0061231B">
              <w:rPr>
                <w:webHidden/>
              </w:rPr>
              <w:fldChar w:fldCharType="separate"/>
            </w:r>
            <w:r w:rsidR="00C75AC6">
              <w:rPr>
                <w:webHidden/>
              </w:rPr>
              <w:t>135</w:t>
            </w:r>
            <w:r w:rsidR="0061231B">
              <w:rPr>
                <w:webHidden/>
              </w:rPr>
              <w:fldChar w:fldCharType="end"/>
            </w:r>
          </w:hyperlink>
        </w:p>
        <w:p w14:paraId="54C0455C" w14:textId="43B72EF5" w:rsidR="0061231B" w:rsidRDefault="00C9023A">
          <w:pPr>
            <w:pStyle w:val="TOC2"/>
            <w:rPr>
              <w:rFonts w:asciiTheme="minorHAnsi" w:hAnsiTheme="minorHAnsi"/>
              <w:sz w:val="22"/>
            </w:rPr>
          </w:pPr>
          <w:hyperlink w:anchor="_Toc119662447" w:history="1">
            <w:r w:rsidR="0061231B" w:rsidRPr="00780A9D">
              <w:rPr>
                <w:rStyle w:val="Hyperlink"/>
              </w:rPr>
              <w:t xml:space="preserve">8.4 Most recent experience accessing professional support services regarding </w:t>
            </w:r>
            <w:r w:rsidR="00C95758">
              <w:rPr>
                <w:rStyle w:val="Hyperlink"/>
              </w:rPr>
              <w:br/>
            </w:r>
            <w:r w:rsidR="0061231B" w:rsidRPr="00780A9D">
              <w:rPr>
                <w:rStyle w:val="Hyperlink"/>
              </w:rPr>
              <w:t>suicide or self-harm – young people aged 14-21 years</w:t>
            </w:r>
            <w:r w:rsidR="0061231B">
              <w:rPr>
                <w:webHidden/>
              </w:rPr>
              <w:tab/>
            </w:r>
            <w:r w:rsidR="0061231B">
              <w:rPr>
                <w:webHidden/>
              </w:rPr>
              <w:fldChar w:fldCharType="begin"/>
            </w:r>
            <w:r w:rsidR="0061231B">
              <w:rPr>
                <w:webHidden/>
              </w:rPr>
              <w:instrText xml:space="preserve"> PAGEREF _Toc119662447 \h </w:instrText>
            </w:r>
            <w:r w:rsidR="0061231B">
              <w:rPr>
                <w:webHidden/>
              </w:rPr>
            </w:r>
            <w:r w:rsidR="0061231B">
              <w:rPr>
                <w:webHidden/>
              </w:rPr>
              <w:fldChar w:fldCharType="separate"/>
            </w:r>
            <w:r w:rsidR="00C75AC6">
              <w:rPr>
                <w:webHidden/>
              </w:rPr>
              <w:t>136</w:t>
            </w:r>
            <w:r w:rsidR="0061231B">
              <w:rPr>
                <w:webHidden/>
              </w:rPr>
              <w:fldChar w:fldCharType="end"/>
            </w:r>
          </w:hyperlink>
        </w:p>
        <w:p w14:paraId="6F31C903" w14:textId="109B98D1" w:rsidR="0061231B" w:rsidRDefault="00C9023A">
          <w:pPr>
            <w:pStyle w:val="TOC2"/>
            <w:rPr>
              <w:rFonts w:asciiTheme="minorHAnsi" w:hAnsiTheme="minorHAnsi"/>
              <w:sz w:val="22"/>
            </w:rPr>
          </w:pPr>
          <w:hyperlink w:anchor="_Toc119662448" w:history="1">
            <w:r w:rsidR="0061231B" w:rsidRPr="00780A9D">
              <w:rPr>
                <w:rStyle w:val="Hyperlink"/>
              </w:rPr>
              <w:t xml:space="preserve">8.5 Preferences for accessing professional suicide or self-harm support services </w:t>
            </w:r>
            <w:r w:rsidR="00C95758">
              <w:rPr>
                <w:rStyle w:val="Hyperlink"/>
              </w:rPr>
              <w:br/>
            </w:r>
            <w:r w:rsidR="0061231B" w:rsidRPr="00780A9D">
              <w:rPr>
                <w:rStyle w:val="Hyperlink"/>
              </w:rPr>
              <w:t>– young people aged 14-21 years</w:t>
            </w:r>
            <w:r w:rsidR="0061231B">
              <w:rPr>
                <w:webHidden/>
              </w:rPr>
              <w:tab/>
            </w:r>
            <w:r w:rsidR="0061231B">
              <w:rPr>
                <w:webHidden/>
              </w:rPr>
              <w:fldChar w:fldCharType="begin"/>
            </w:r>
            <w:r w:rsidR="0061231B">
              <w:rPr>
                <w:webHidden/>
              </w:rPr>
              <w:instrText xml:space="preserve"> PAGEREF _Toc119662448 \h </w:instrText>
            </w:r>
            <w:r w:rsidR="0061231B">
              <w:rPr>
                <w:webHidden/>
              </w:rPr>
            </w:r>
            <w:r w:rsidR="0061231B">
              <w:rPr>
                <w:webHidden/>
              </w:rPr>
              <w:fldChar w:fldCharType="separate"/>
            </w:r>
            <w:r w:rsidR="00C75AC6">
              <w:rPr>
                <w:webHidden/>
              </w:rPr>
              <w:t>137</w:t>
            </w:r>
            <w:r w:rsidR="0061231B">
              <w:rPr>
                <w:webHidden/>
              </w:rPr>
              <w:fldChar w:fldCharType="end"/>
            </w:r>
          </w:hyperlink>
        </w:p>
        <w:p w14:paraId="63F97C30" w14:textId="5FA7766C" w:rsidR="0061231B" w:rsidRDefault="00C9023A">
          <w:pPr>
            <w:pStyle w:val="TOC2"/>
            <w:rPr>
              <w:rFonts w:asciiTheme="minorHAnsi" w:hAnsiTheme="minorHAnsi"/>
              <w:sz w:val="22"/>
            </w:rPr>
          </w:pPr>
          <w:hyperlink w:anchor="_Toc119662449" w:history="1">
            <w:r w:rsidR="0061231B" w:rsidRPr="00780A9D">
              <w:rPr>
                <w:rStyle w:val="Hyperlink"/>
              </w:rPr>
              <w:t>8.6 Summary and relation to existing literature</w:t>
            </w:r>
            <w:r w:rsidR="0061231B">
              <w:rPr>
                <w:webHidden/>
              </w:rPr>
              <w:tab/>
            </w:r>
            <w:r w:rsidR="0061231B">
              <w:rPr>
                <w:webHidden/>
              </w:rPr>
              <w:fldChar w:fldCharType="begin"/>
            </w:r>
            <w:r w:rsidR="0061231B">
              <w:rPr>
                <w:webHidden/>
              </w:rPr>
              <w:instrText xml:space="preserve"> PAGEREF _Toc119662449 \h </w:instrText>
            </w:r>
            <w:r w:rsidR="0061231B">
              <w:rPr>
                <w:webHidden/>
              </w:rPr>
            </w:r>
            <w:r w:rsidR="0061231B">
              <w:rPr>
                <w:webHidden/>
              </w:rPr>
              <w:fldChar w:fldCharType="separate"/>
            </w:r>
            <w:r w:rsidR="00C75AC6">
              <w:rPr>
                <w:webHidden/>
              </w:rPr>
              <w:t>138</w:t>
            </w:r>
            <w:r w:rsidR="0061231B">
              <w:rPr>
                <w:webHidden/>
              </w:rPr>
              <w:fldChar w:fldCharType="end"/>
            </w:r>
          </w:hyperlink>
        </w:p>
        <w:p w14:paraId="751E2044" w14:textId="54AD681D" w:rsidR="0061231B" w:rsidRDefault="00C9023A">
          <w:pPr>
            <w:pStyle w:val="TOC1"/>
            <w:rPr>
              <w:rFonts w:asciiTheme="minorHAnsi" w:hAnsiTheme="minorHAnsi"/>
              <w:sz w:val="22"/>
            </w:rPr>
          </w:pPr>
          <w:hyperlink w:anchor="_Toc119662450" w:history="1">
            <w:r w:rsidR="0061231B" w:rsidRPr="00780A9D">
              <w:rPr>
                <w:rStyle w:val="Hyperlink"/>
              </w:rPr>
              <w:t>9 Community connection</w:t>
            </w:r>
            <w:r w:rsidR="0061231B">
              <w:rPr>
                <w:webHidden/>
              </w:rPr>
              <w:tab/>
            </w:r>
            <w:r w:rsidR="0061231B">
              <w:rPr>
                <w:webHidden/>
              </w:rPr>
              <w:fldChar w:fldCharType="begin"/>
            </w:r>
            <w:r w:rsidR="0061231B">
              <w:rPr>
                <w:webHidden/>
              </w:rPr>
              <w:instrText xml:space="preserve"> PAGEREF _Toc119662450 \h </w:instrText>
            </w:r>
            <w:r w:rsidR="0061231B">
              <w:rPr>
                <w:webHidden/>
              </w:rPr>
            </w:r>
            <w:r w:rsidR="0061231B">
              <w:rPr>
                <w:webHidden/>
              </w:rPr>
              <w:fldChar w:fldCharType="separate"/>
            </w:r>
            <w:r w:rsidR="00C75AC6">
              <w:rPr>
                <w:webHidden/>
              </w:rPr>
              <w:t>141</w:t>
            </w:r>
            <w:r w:rsidR="0061231B">
              <w:rPr>
                <w:webHidden/>
              </w:rPr>
              <w:fldChar w:fldCharType="end"/>
            </w:r>
          </w:hyperlink>
        </w:p>
        <w:p w14:paraId="1FC8C0F3" w14:textId="181454C8" w:rsidR="0061231B" w:rsidRDefault="00C9023A">
          <w:pPr>
            <w:pStyle w:val="TOC2"/>
            <w:rPr>
              <w:rFonts w:asciiTheme="minorHAnsi" w:hAnsiTheme="minorHAnsi"/>
              <w:sz w:val="22"/>
            </w:rPr>
          </w:pPr>
          <w:hyperlink w:anchor="_Toc119662451" w:history="1">
            <w:r w:rsidR="0061231B" w:rsidRPr="00780A9D">
              <w:rPr>
                <w:rStyle w:val="Hyperlink"/>
              </w:rPr>
              <w:t xml:space="preserve">9.1 Engagement with LGBTIQA+ support groups or organisations – young people </w:t>
            </w:r>
            <w:r w:rsidR="00C95758">
              <w:rPr>
                <w:rStyle w:val="Hyperlink"/>
              </w:rPr>
              <w:br/>
            </w:r>
            <w:r w:rsidR="0061231B" w:rsidRPr="00780A9D">
              <w:rPr>
                <w:rStyle w:val="Hyperlink"/>
              </w:rPr>
              <w:t>aged 14-21 years</w:t>
            </w:r>
            <w:r w:rsidR="0061231B">
              <w:rPr>
                <w:webHidden/>
              </w:rPr>
              <w:tab/>
            </w:r>
            <w:r w:rsidR="0061231B">
              <w:rPr>
                <w:webHidden/>
              </w:rPr>
              <w:fldChar w:fldCharType="begin"/>
            </w:r>
            <w:r w:rsidR="0061231B">
              <w:rPr>
                <w:webHidden/>
              </w:rPr>
              <w:instrText xml:space="preserve"> PAGEREF _Toc119662451 \h </w:instrText>
            </w:r>
            <w:r w:rsidR="0061231B">
              <w:rPr>
                <w:webHidden/>
              </w:rPr>
            </w:r>
            <w:r w:rsidR="0061231B">
              <w:rPr>
                <w:webHidden/>
              </w:rPr>
              <w:fldChar w:fldCharType="separate"/>
            </w:r>
            <w:r w:rsidR="00C75AC6">
              <w:rPr>
                <w:webHidden/>
              </w:rPr>
              <w:t>141</w:t>
            </w:r>
            <w:r w:rsidR="0061231B">
              <w:rPr>
                <w:webHidden/>
              </w:rPr>
              <w:fldChar w:fldCharType="end"/>
            </w:r>
          </w:hyperlink>
        </w:p>
        <w:p w14:paraId="739EE1A6" w14:textId="7429991A" w:rsidR="0061231B" w:rsidRDefault="00C9023A">
          <w:pPr>
            <w:pStyle w:val="TOC2"/>
            <w:rPr>
              <w:rFonts w:asciiTheme="minorHAnsi" w:hAnsiTheme="minorHAnsi"/>
              <w:sz w:val="22"/>
            </w:rPr>
          </w:pPr>
          <w:hyperlink w:anchor="_Toc119662452" w:history="1">
            <w:r w:rsidR="0061231B" w:rsidRPr="00780A9D">
              <w:rPr>
                <w:rStyle w:val="Hyperlink"/>
              </w:rPr>
              <w:t>9.2 Community belonging – adults aged 18+ years</w:t>
            </w:r>
            <w:r w:rsidR="0061231B">
              <w:rPr>
                <w:webHidden/>
              </w:rPr>
              <w:tab/>
            </w:r>
            <w:r w:rsidR="0061231B">
              <w:rPr>
                <w:webHidden/>
              </w:rPr>
              <w:fldChar w:fldCharType="begin"/>
            </w:r>
            <w:r w:rsidR="0061231B">
              <w:rPr>
                <w:webHidden/>
              </w:rPr>
              <w:instrText xml:space="preserve"> PAGEREF _Toc119662452 \h </w:instrText>
            </w:r>
            <w:r w:rsidR="0061231B">
              <w:rPr>
                <w:webHidden/>
              </w:rPr>
            </w:r>
            <w:r w:rsidR="0061231B">
              <w:rPr>
                <w:webHidden/>
              </w:rPr>
              <w:fldChar w:fldCharType="separate"/>
            </w:r>
            <w:r w:rsidR="00C75AC6">
              <w:rPr>
                <w:webHidden/>
              </w:rPr>
              <w:t>142</w:t>
            </w:r>
            <w:r w:rsidR="0061231B">
              <w:rPr>
                <w:webHidden/>
              </w:rPr>
              <w:fldChar w:fldCharType="end"/>
            </w:r>
          </w:hyperlink>
        </w:p>
        <w:p w14:paraId="31438010" w14:textId="3B2E07A2" w:rsidR="0061231B" w:rsidRDefault="00C9023A">
          <w:pPr>
            <w:pStyle w:val="TOC2"/>
            <w:rPr>
              <w:rFonts w:asciiTheme="minorHAnsi" w:hAnsiTheme="minorHAnsi"/>
              <w:sz w:val="22"/>
            </w:rPr>
          </w:pPr>
          <w:hyperlink w:anchor="_Toc119662453" w:history="1">
            <w:r w:rsidR="0061231B" w:rsidRPr="00780A9D">
              <w:rPr>
                <w:rStyle w:val="Hyperlink"/>
              </w:rPr>
              <w:t>9.3 Service accessibility – young people aged 14-21 years</w:t>
            </w:r>
            <w:r w:rsidR="0061231B">
              <w:rPr>
                <w:webHidden/>
              </w:rPr>
              <w:tab/>
            </w:r>
            <w:r w:rsidR="0061231B">
              <w:rPr>
                <w:webHidden/>
              </w:rPr>
              <w:fldChar w:fldCharType="begin"/>
            </w:r>
            <w:r w:rsidR="0061231B">
              <w:rPr>
                <w:webHidden/>
              </w:rPr>
              <w:instrText xml:space="preserve"> PAGEREF _Toc119662453 \h </w:instrText>
            </w:r>
            <w:r w:rsidR="0061231B">
              <w:rPr>
                <w:webHidden/>
              </w:rPr>
            </w:r>
            <w:r w:rsidR="0061231B">
              <w:rPr>
                <w:webHidden/>
              </w:rPr>
              <w:fldChar w:fldCharType="separate"/>
            </w:r>
            <w:r w:rsidR="00C75AC6">
              <w:rPr>
                <w:webHidden/>
              </w:rPr>
              <w:t>143</w:t>
            </w:r>
            <w:r w:rsidR="0061231B">
              <w:rPr>
                <w:webHidden/>
              </w:rPr>
              <w:fldChar w:fldCharType="end"/>
            </w:r>
          </w:hyperlink>
        </w:p>
        <w:p w14:paraId="0594A8E1" w14:textId="581B85FF" w:rsidR="0061231B" w:rsidRDefault="00C9023A">
          <w:pPr>
            <w:pStyle w:val="TOC2"/>
            <w:rPr>
              <w:rFonts w:asciiTheme="minorHAnsi" w:hAnsiTheme="minorHAnsi"/>
              <w:sz w:val="22"/>
            </w:rPr>
          </w:pPr>
          <w:hyperlink w:anchor="_Toc119662454" w:history="1">
            <w:r w:rsidR="0061231B" w:rsidRPr="00780A9D">
              <w:rPr>
                <w:rStyle w:val="Hyperlink"/>
              </w:rPr>
              <w:t>9.4 Perceptions of community inclusion – young people aged 14-21 years</w:t>
            </w:r>
            <w:r w:rsidR="0061231B">
              <w:rPr>
                <w:webHidden/>
              </w:rPr>
              <w:tab/>
            </w:r>
            <w:r w:rsidR="0061231B">
              <w:rPr>
                <w:webHidden/>
              </w:rPr>
              <w:fldChar w:fldCharType="begin"/>
            </w:r>
            <w:r w:rsidR="0061231B">
              <w:rPr>
                <w:webHidden/>
              </w:rPr>
              <w:instrText xml:space="preserve"> PAGEREF _Toc119662454 \h </w:instrText>
            </w:r>
            <w:r w:rsidR="0061231B">
              <w:rPr>
                <w:webHidden/>
              </w:rPr>
            </w:r>
            <w:r w:rsidR="0061231B">
              <w:rPr>
                <w:webHidden/>
              </w:rPr>
              <w:fldChar w:fldCharType="separate"/>
            </w:r>
            <w:r w:rsidR="00C75AC6">
              <w:rPr>
                <w:webHidden/>
              </w:rPr>
              <w:t>146</w:t>
            </w:r>
            <w:r w:rsidR="0061231B">
              <w:rPr>
                <w:webHidden/>
              </w:rPr>
              <w:fldChar w:fldCharType="end"/>
            </w:r>
          </w:hyperlink>
        </w:p>
        <w:p w14:paraId="331F62A8" w14:textId="2D3044B8" w:rsidR="0061231B" w:rsidRDefault="00C9023A">
          <w:pPr>
            <w:pStyle w:val="TOC2"/>
            <w:rPr>
              <w:rFonts w:asciiTheme="minorHAnsi" w:hAnsiTheme="minorHAnsi"/>
              <w:sz w:val="22"/>
            </w:rPr>
          </w:pPr>
          <w:hyperlink w:anchor="_Toc119662455" w:history="1">
            <w:r w:rsidR="0061231B" w:rsidRPr="00780A9D">
              <w:rPr>
                <w:rStyle w:val="Hyperlink"/>
              </w:rPr>
              <w:t>9.5 Summary and relation to existing literature</w:t>
            </w:r>
            <w:r w:rsidR="0061231B">
              <w:rPr>
                <w:webHidden/>
              </w:rPr>
              <w:tab/>
            </w:r>
            <w:r w:rsidR="0061231B">
              <w:rPr>
                <w:webHidden/>
              </w:rPr>
              <w:fldChar w:fldCharType="begin"/>
            </w:r>
            <w:r w:rsidR="0061231B">
              <w:rPr>
                <w:webHidden/>
              </w:rPr>
              <w:instrText xml:space="preserve"> PAGEREF _Toc119662455 \h </w:instrText>
            </w:r>
            <w:r w:rsidR="0061231B">
              <w:rPr>
                <w:webHidden/>
              </w:rPr>
            </w:r>
            <w:r w:rsidR="0061231B">
              <w:rPr>
                <w:webHidden/>
              </w:rPr>
              <w:fldChar w:fldCharType="separate"/>
            </w:r>
            <w:r w:rsidR="00C75AC6">
              <w:rPr>
                <w:webHidden/>
              </w:rPr>
              <w:t>150</w:t>
            </w:r>
            <w:r w:rsidR="0061231B">
              <w:rPr>
                <w:webHidden/>
              </w:rPr>
              <w:fldChar w:fldCharType="end"/>
            </w:r>
          </w:hyperlink>
        </w:p>
        <w:p w14:paraId="5618933B" w14:textId="1E524D73" w:rsidR="0061231B" w:rsidRDefault="00C9023A">
          <w:pPr>
            <w:pStyle w:val="TOC1"/>
            <w:rPr>
              <w:rFonts w:asciiTheme="minorHAnsi" w:hAnsiTheme="minorHAnsi"/>
              <w:sz w:val="22"/>
            </w:rPr>
          </w:pPr>
          <w:hyperlink w:anchor="_Toc119662456" w:history="1">
            <w:r w:rsidR="0061231B" w:rsidRPr="00780A9D">
              <w:rPr>
                <w:rStyle w:val="Hyperlink"/>
              </w:rPr>
              <w:t>10 Intersections: multicultural background and disability</w:t>
            </w:r>
            <w:r w:rsidR="0061231B">
              <w:rPr>
                <w:webHidden/>
              </w:rPr>
              <w:tab/>
            </w:r>
            <w:r w:rsidR="0061231B">
              <w:rPr>
                <w:webHidden/>
              </w:rPr>
              <w:fldChar w:fldCharType="begin"/>
            </w:r>
            <w:r w:rsidR="0061231B">
              <w:rPr>
                <w:webHidden/>
              </w:rPr>
              <w:instrText xml:space="preserve"> PAGEREF _Toc119662456 \h </w:instrText>
            </w:r>
            <w:r w:rsidR="0061231B">
              <w:rPr>
                <w:webHidden/>
              </w:rPr>
            </w:r>
            <w:r w:rsidR="0061231B">
              <w:rPr>
                <w:webHidden/>
              </w:rPr>
              <w:fldChar w:fldCharType="separate"/>
            </w:r>
            <w:r w:rsidR="00C75AC6">
              <w:rPr>
                <w:webHidden/>
              </w:rPr>
              <w:t>151</w:t>
            </w:r>
            <w:r w:rsidR="0061231B">
              <w:rPr>
                <w:webHidden/>
              </w:rPr>
              <w:fldChar w:fldCharType="end"/>
            </w:r>
          </w:hyperlink>
        </w:p>
        <w:p w14:paraId="07D5343A" w14:textId="332024D1" w:rsidR="0061231B" w:rsidRDefault="00C9023A">
          <w:pPr>
            <w:pStyle w:val="TOC2"/>
            <w:rPr>
              <w:rFonts w:asciiTheme="minorHAnsi" w:hAnsiTheme="minorHAnsi"/>
              <w:sz w:val="22"/>
            </w:rPr>
          </w:pPr>
          <w:hyperlink w:anchor="_Toc119662457" w:history="1">
            <w:r w:rsidR="0061231B" w:rsidRPr="00780A9D">
              <w:rPr>
                <w:rStyle w:val="Hyperlink"/>
              </w:rPr>
              <w:t xml:space="preserve">10.1 Measuring multicultural background among young people aged 14-21 years </w:t>
            </w:r>
            <w:r w:rsidR="00C95758">
              <w:rPr>
                <w:rStyle w:val="Hyperlink"/>
              </w:rPr>
              <w:br/>
            </w:r>
            <w:r w:rsidR="0061231B" w:rsidRPr="00780A9D">
              <w:rPr>
                <w:rStyle w:val="Hyperlink"/>
              </w:rPr>
              <w:t>with disability</w:t>
            </w:r>
            <w:r w:rsidR="0061231B">
              <w:rPr>
                <w:webHidden/>
              </w:rPr>
              <w:tab/>
            </w:r>
            <w:r w:rsidR="0061231B">
              <w:rPr>
                <w:webHidden/>
              </w:rPr>
              <w:fldChar w:fldCharType="begin"/>
            </w:r>
            <w:r w:rsidR="0061231B">
              <w:rPr>
                <w:webHidden/>
              </w:rPr>
              <w:instrText xml:space="preserve"> PAGEREF _Toc119662457 \h </w:instrText>
            </w:r>
            <w:r w:rsidR="0061231B">
              <w:rPr>
                <w:webHidden/>
              </w:rPr>
            </w:r>
            <w:r w:rsidR="0061231B">
              <w:rPr>
                <w:webHidden/>
              </w:rPr>
              <w:fldChar w:fldCharType="separate"/>
            </w:r>
            <w:r w:rsidR="00C75AC6">
              <w:rPr>
                <w:webHidden/>
              </w:rPr>
              <w:t>151</w:t>
            </w:r>
            <w:r w:rsidR="0061231B">
              <w:rPr>
                <w:webHidden/>
              </w:rPr>
              <w:fldChar w:fldCharType="end"/>
            </w:r>
          </w:hyperlink>
        </w:p>
        <w:p w14:paraId="194136DE" w14:textId="26E52818" w:rsidR="0061231B" w:rsidRDefault="00C9023A">
          <w:pPr>
            <w:pStyle w:val="TOC2"/>
            <w:rPr>
              <w:rFonts w:asciiTheme="minorHAnsi" w:hAnsiTheme="minorHAnsi"/>
              <w:sz w:val="22"/>
            </w:rPr>
          </w:pPr>
          <w:hyperlink w:anchor="_Toc119662458" w:history="1">
            <w:r w:rsidR="0061231B" w:rsidRPr="00780A9D">
              <w:rPr>
                <w:rStyle w:val="Hyperlink"/>
              </w:rPr>
              <w:t xml:space="preserve">10.2 Measuring multicultural background among adults aged 18+ years with </w:t>
            </w:r>
            <w:r w:rsidR="00C95758">
              <w:rPr>
                <w:rStyle w:val="Hyperlink"/>
              </w:rPr>
              <w:br/>
            </w:r>
            <w:r w:rsidR="0061231B" w:rsidRPr="00780A9D">
              <w:rPr>
                <w:rStyle w:val="Hyperlink"/>
              </w:rPr>
              <w:t>disability</w:t>
            </w:r>
            <w:r w:rsidR="0061231B">
              <w:rPr>
                <w:webHidden/>
              </w:rPr>
              <w:tab/>
            </w:r>
            <w:r w:rsidR="0061231B">
              <w:rPr>
                <w:webHidden/>
              </w:rPr>
              <w:fldChar w:fldCharType="begin"/>
            </w:r>
            <w:r w:rsidR="0061231B">
              <w:rPr>
                <w:webHidden/>
              </w:rPr>
              <w:instrText xml:space="preserve"> PAGEREF _Toc119662458 \h </w:instrText>
            </w:r>
            <w:r w:rsidR="0061231B">
              <w:rPr>
                <w:webHidden/>
              </w:rPr>
            </w:r>
            <w:r w:rsidR="0061231B">
              <w:rPr>
                <w:webHidden/>
              </w:rPr>
              <w:fldChar w:fldCharType="separate"/>
            </w:r>
            <w:r w:rsidR="00C75AC6">
              <w:rPr>
                <w:webHidden/>
              </w:rPr>
              <w:t>152</w:t>
            </w:r>
            <w:r w:rsidR="0061231B">
              <w:rPr>
                <w:webHidden/>
              </w:rPr>
              <w:fldChar w:fldCharType="end"/>
            </w:r>
          </w:hyperlink>
        </w:p>
        <w:p w14:paraId="75E2930D" w14:textId="40586BB0" w:rsidR="0061231B" w:rsidRDefault="00C9023A">
          <w:pPr>
            <w:pStyle w:val="TOC2"/>
            <w:rPr>
              <w:rFonts w:asciiTheme="minorHAnsi" w:hAnsiTheme="minorHAnsi"/>
              <w:sz w:val="22"/>
            </w:rPr>
          </w:pPr>
          <w:hyperlink w:anchor="_Toc119662459" w:history="1">
            <w:r w:rsidR="0061231B" w:rsidRPr="00780A9D">
              <w:rPr>
                <w:rStyle w:val="Hyperlink"/>
              </w:rPr>
              <w:t>10.3 Community belonging</w:t>
            </w:r>
            <w:r w:rsidR="0061231B">
              <w:rPr>
                <w:webHidden/>
              </w:rPr>
              <w:tab/>
            </w:r>
            <w:r w:rsidR="0061231B">
              <w:rPr>
                <w:webHidden/>
              </w:rPr>
              <w:fldChar w:fldCharType="begin"/>
            </w:r>
            <w:r w:rsidR="0061231B">
              <w:rPr>
                <w:webHidden/>
              </w:rPr>
              <w:instrText xml:space="preserve"> PAGEREF _Toc119662459 \h </w:instrText>
            </w:r>
            <w:r w:rsidR="0061231B">
              <w:rPr>
                <w:webHidden/>
              </w:rPr>
            </w:r>
            <w:r w:rsidR="0061231B">
              <w:rPr>
                <w:webHidden/>
              </w:rPr>
              <w:fldChar w:fldCharType="separate"/>
            </w:r>
            <w:r w:rsidR="00C75AC6">
              <w:rPr>
                <w:webHidden/>
              </w:rPr>
              <w:t>152</w:t>
            </w:r>
            <w:r w:rsidR="0061231B">
              <w:rPr>
                <w:webHidden/>
              </w:rPr>
              <w:fldChar w:fldCharType="end"/>
            </w:r>
          </w:hyperlink>
        </w:p>
        <w:p w14:paraId="1030409A" w14:textId="06F6FECD" w:rsidR="0061231B" w:rsidRDefault="00C9023A">
          <w:pPr>
            <w:pStyle w:val="TOC2"/>
            <w:rPr>
              <w:rFonts w:asciiTheme="minorHAnsi" w:hAnsiTheme="minorHAnsi"/>
              <w:sz w:val="22"/>
            </w:rPr>
          </w:pPr>
          <w:hyperlink w:anchor="_Toc119662460" w:history="1">
            <w:r w:rsidR="0061231B" w:rsidRPr="00780A9D">
              <w:rPr>
                <w:rStyle w:val="Hyperlink"/>
              </w:rPr>
              <w:t>10.4 Feelings of acceptance – adults aged 18+ years</w:t>
            </w:r>
            <w:r w:rsidR="0061231B">
              <w:rPr>
                <w:webHidden/>
              </w:rPr>
              <w:tab/>
            </w:r>
            <w:r w:rsidR="0061231B">
              <w:rPr>
                <w:webHidden/>
              </w:rPr>
              <w:fldChar w:fldCharType="begin"/>
            </w:r>
            <w:r w:rsidR="0061231B">
              <w:rPr>
                <w:webHidden/>
              </w:rPr>
              <w:instrText xml:space="preserve"> PAGEREF _Toc119662460 \h </w:instrText>
            </w:r>
            <w:r w:rsidR="0061231B">
              <w:rPr>
                <w:webHidden/>
              </w:rPr>
            </w:r>
            <w:r w:rsidR="0061231B">
              <w:rPr>
                <w:webHidden/>
              </w:rPr>
              <w:fldChar w:fldCharType="separate"/>
            </w:r>
            <w:r w:rsidR="00C75AC6">
              <w:rPr>
                <w:webHidden/>
              </w:rPr>
              <w:t>154</w:t>
            </w:r>
            <w:r w:rsidR="0061231B">
              <w:rPr>
                <w:webHidden/>
              </w:rPr>
              <w:fldChar w:fldCharType="end"/>
            </w:r>
          </w:hyperlink>
        </w:p>
        <w:p w14:paraId="262B168F" w14:textId="50774410" w:rsidR="0061231B" w:rsidRDefault="00C9023A">
          <w:pPr>
            <w:pStyle w:val="TOC2"/>
            <w:rPr>
              <w:rFonts w:asciiTheme="minorHAnsi" w:hAnsiTheme="minorHAnsi"/>
              <w:sz w:val="22"/>
            </w:rPr>
          </w:pPr>
          <w:hyperlink w:anchor="_Toc119662461" w:history="1">
            <w:r w:rsidR="0061231B" w:rsidRPr="00780A9D">
              <w:rPr>
                <w:rStyle w:val="Hyperlink"/>
              </w:rPr>
              <w:t>10.5 Psychological distress (K10)</w:t>
            </w:r>
            <w:r w:rsidR="0061231B">
              <w:rPr>
                <w:webHidden/>
              </w:rPr>
              <w:tab/>
            </w:r>
            <w:r w:rsidR="0061231B">
              <w:rPr>
                <w:webHidden/>
              </w:rPr>
              <w:fldChar w:fldCharType="begin"/>
            </w:r>
            <w:r w:rsidR="0061231B">
              <w:rPr>
                <w:webHidden/>
              </w:rPr>
              <w:instrText xml:space="preserve"> PAGEREF _Toc119662461 \h </w:instrText>
            </w:r>
            <w:r w:rsidR="0061231B">
              <w:rPr>
                <w:webHidden/>
              </w:rPr>
            </w:r>
            <w:r w:rsidR="0061231B">
              <w:rPr>
                <w:webHidden/>
              </w:rPr>
              <w:fldChar w:fldCharType="separate"/>
            </w:r>
            <w:r w:rsidR="00C75AC6">
              <w:rPr>
                <w:webHidden/>
              </w:rPr>
              <w:t>155</w:t>
            </w:r>
            <w:r w:rsidR="0061231B">
              <w:rPr>
                <w:webHidden/>
              </w:rPr>
              <w:fldChar w:fldCharType="end"/>
            </w:r>
          </w:hyperlink>
        </w:p>
        <w:p w14:paraId="5E0D31C8" w14:textId="54CE3AE8" w:rsidR="0061231B" w:rsidRDefault="00C9023A">
          <w:pPr>
            <w:pStyle w:val="TOC2"/>
            <w:rPr>
              <w:rFonts w:asciiTheme="minorHAnsi" w:hAnsiTheme="minorHAnsi"/>
              <w:sz w:val="22"/>
            </w:rPr>
          </w:pPr>
          <w:hyperlink w:anchor="_Toc119662462" w:history="1">
            <w:r w:rsidR="0061231B" w:rsidRPr="00780A9D">
              <w:rPr>
                <w:rStyle w:val="Hyperlink"/>
              </w:rPr>
              <w:t>10.6 Experiences of discrimination, harassment and assault</w:t>
            </w:r>
            <w:r w:rsidR="0061231B">
              <w:rPr>
                <w:webHidden/>
              </w:rPr>
              <w:tab/>
            </w:r>
            <w:r w:rsidR="0061231B">
              <w:rPr>
                <w:webHidden/>
              </w:rPr>
              <w:fldChar w:fldCharType="begin"/>
            </w:r>
            <w:r w:rsidR="0061231B">
              <w:rPr>
                <w:webHidden/>
              </w:rPr>
              <w:instrText xml:space="preserve"> PAGEREF _Toc119662462 \h </w:instrText>
            </w:r>
            <w:r w:rsidR="0061231B">
              <w:rPr>
                <w:webHidden/>
              </w:rPr>
            </w:r>
            <w:r w:rsidR="0061231B">
              <w:rPr>
                <w:webHidden/>
              </w:rPr>
              <w:fldChar w:fldCharType="separate"/>
            </w:r>
            <w:r w:rsidR="00C75AC6">
              <w:rPr>
                <w:webHidden/>
              </w:rPr>
              <w:t>157</w:t>
            </w:r>
            <w:r w:rsidR="0061231B">
              <w:rPr>
                <w:webHidden/>
              </w:rPr>
              <w:fldChar w:fldCharType="end"/>
            </w:r>
          </w:hyperlink>
        </w:p>
        <w:p w14:paraId="3B3BAA96" w14:textId="65C03BB2" w:rsidR="0061231B" w:rsidRDefault="00C9023A">
          <w:pPr>
            <w:pStyle w:val="TOC2"/>
            <w:rPr>
              <w:rFonts w:asciiTheme="minorHAnsi" w:hAnsiTheme="minorHAnsi"/>
              <w:sz w:val="22"/>
            </w:rPr>
          </w:pPr>
          <w:hyperlink w:anchor="_Toc119662463" w:history="1">
            <w:r w:rsidR="0061231B" w:rsidRPr="00780A9D">
              <w:rPr>
                <w:rStyle w:val="Hyperlink"/>
              </w:rPr>
              <w:t>10.7 Experiences of family violence – adults aged 18+ years</w:t>
            </w:r>
            <w:r w:rsidR="0061231B">
              <w:rPr>
                <w:webHidden/>
              </w:rPr>
              <w:tab/>
            </w:r>
            <w:r w:rsidR="0061231B">
              <w:rPr>
                <w:webHidden/>
              </w:rPr>
              <w:fldChar w:fldCharType="begin"/>
            </w:r>
            <w:r w:rsidR="0061231B">
              <w:rPr>
                <w:webHidden/>
              </w:rPr>
              <w:instrText xml:space="preserve"> PAGEREF _Toc119662463 \h </w:instrText>
            </w:r>
            <w:r w:rsidR="0061231B">
              <w:rPr>
                <w:webHidden/>
              </w:rPr>
            </w:r>
            <w:r w:rsidR="0061231B">
              <w:rPr>
                <w:webHidden/>
              </w:rPr>
              <w:fldChar w:fldCharType="separate"/>
            </w:r>
            <w:r w:rsidR="00C75AC6">
              <w:rPr>
                <w:webHidden/>
              </w:rPr>
              <w:t>161</w:t>
            </w:r>
            <w:r w:rsidR="0061231B">
              <w:rPr>
                <w:webHidden/>
              </w:rPr>
              <w:fldChar w:fldCharType="end"/>
            </w:r>
          </w:hyperlink>
        </w:p>
        <w:p w14:paraId="7B0C09AA" w14:textId="5315C88D" w:rsidR="0061231B" w:rsidRDefault="00C9023A">
          <w:pPr>
            <w:pStyle w:val="TOC2"/>
            <w:rPr>
              <w:rFonts w:asciiTheme="minorHAnsi" w:hAnsiTheme="minorHAnsi"/>
              <w:sz w:val="22"/>
            </w:rPr>
          </w:pPr>
          <w:hyperlink w:anchor="_Toc119662464" w:history="1">
            <w:r w:rsidR="0061231B" w:rsidRPr="00780A9D">
              <w:rPr>
                <w:rStyle w:val="Hyperlink"/>
              </w:rPr>
              <w:t>10.8 Suicidal ideation and suicide attempts</w:t>
            </w:r>
            <w:r w:rsidR="0061231B">
              <w:rPr>
                <w:webHidden/>
              </w:rPr>
              <w:tab/>
            </w:r>
            <w:r w:rsidR="0061231B">
              <w:rPr>
                <w:webHidden/>
              </w:rPr>
              <w:fldChar w:fldCharType="begin"/>
            </w:r>
            <w:r w:rsidR="0061231B">
              <w:rPr>
                <w:webHidden/>
              </w:rPr>
              <w:instrText xml:space="preserve"> PAGEREF _Toc119662464 \h </w:instrText>
            </w:r>
            <w:r w:rsidR="0061231B">
              <w:rPr>
                <w:webHidden/>
              </w:rPr>
            </w:r>
            <w:r w:rsidR="0061231B">
              <w:rPr>
                <w:webHidden/>
              </w:rPr>
              <w:fldChar w:fldCharType="separate"/>
            </w:r>
            <w:r w:rsidR="00C75AC6">
              <w:rPr>
                <w:webHidden/>
              </w:rPr>
              <w:t>164</w:t>
            </w:r>
            <w:r w:rsidR="0061231B">
              <w:rPr>
                <w:webHidden/>
              </w:rPr>
              <w:fldChar w:fldCharType="end"/>
            </w:r>
          </w:hyperlink>
        </w:p>
        <w:p w14:paraId="17DBC269" w14:textId="77A95544" w:rsidR="0061231B" w:rsidRDefault="00C9023A">
          <w:pPr>
            <w:pStyle w:val="TOC2"/>
            <w:rPr>
              <w:rFonts w:asciiTheme="minorHAnsi" w:hAnsiTheme="minorHAnsi"/>
              <w:sz w:val="22"/>
            </w:rPr>
          </w:pPr>
          <w:hyperlink w:anchor="_Toc119662465" w:history="1">
            <w:r w:rsidR="0061231B" w:rsidRPr="00780A9D">
              <w:rPr>
                <w:rStyle w:val="Hyperlink"/>
              </w:rPr>
              <w:t xml:space="preserve">10.9 Unfair treatment as a result of ethnicity, cultural identity or heritage – adults </w:t>
            </w:r>
            <w:r w:rsidR="00C95758">
              <w:rPr>
                <w:rStyle w:val="Hyperlink"/>
              </w:rPr>
              <w:br/>
            </w:r>
            <w:r w:rsidR="0061231B" w:rsidRPr="00780A9D">
              <w:rPr>
                <w:rStyle w:val="Hyperlink"/>
              </w:rPr>
              <w:t>aged 18+ years</w:t>
            </w:r>
            <w:r w:rsidR="0061231B">
              <w:rPr>
                <w:webHidden/>
              </w:rPr>
              <w:tab/>
            </w:r>
            <w:r w:rsidR="0061231B">
              <w:rPr>
                <w:webHidden/>
              </w:rPr>
              <w:fldChar w:fldCharType="begin"/>
            </w:r>
            <w:r w:rsidR="0061231B">
              <w:rPr>
                <w:webHidden/>
              </w:rPr>
              <w:instrText xml:space="preserve"> PAGEREF _Toc119662465 \h </w:instrText>
            </w:r>
            <w:r w:rsidR="0061231B">
              <w:rPr>
                <w:webHidden/>
              </w:rPr>
            </w:r>
            <w:r w:rsidR="0061231B">
              <w:rPr>
                <w:webHidden/>
              </w:rPr>
              <w:fldChar w:fldCharType="separate"/>
            </w:r>
            <w:r w:rsidR="00C75AC6">
              <w:rPr>
                <w:webHidden/>
              </w:rPr>
              <w:t>167</w:t>
            </w:r>
            <w:r w:rsidR="0061231B">
              <w:rPr>
                <w:webHidden/>
              </w:rPr>
              <w:fldChar w:fldCharType="end"/>
            </w:r>
          </w:hyperlink>
        </w:p>
        <w:p w14:paraId="64BDEF2A" w14:textId="436B9300" w:rsidR="0061231B" w:rsidRDefault="00C9023A">
          <w:pPr>
            <w:pStyle w:val="TOC2"/>
            <w:rPr>
              <w:rFonts w:asciiTheme="minorHAnsi" w:hAnsiTheme="minorHAnsi"/>
              <w:sz w:val="22"/>
            </w:rPr>
          </w:pPr>
          <w:hyperlink w:anchor="_Toc119662466" w:history="1">
            <w:r w:rsidR="0061231B" w:rsidRPr="00780A9D">
              <w:rPr>
                <w:rStyle w:val="Hyperlink"/>
              </w:rPr>
              <w:t>10.10 Summary</w:t>
            </w:r>
            <w:r w:rsidR="0061231B">
              <w:rPr>
                <w:webHidden/>
              </w:rPr>
              <w:tab/>
            </w:r>
            <w:r w:rsidR="0061231B">
              <w:rPr>
                <w:webHidden/>
              </w:rPr>
              <w:fldChar w:fldCharType="begin"/>
            </w:r>
            <w:r w:rsidR="0061231B">
              <w:rPr>
                <w:webHidden/>
              </w:rPr>
              <w:instrText xml:space="preserve"> PAGEREF _Toc119662466 \h </w:instrText>
            </w:r>
            <w:r w:rsidR="0061231B">
              <w:rPr>
                <w:webHidden/>
              </w:rPr>
            </w:r>
            <w:r w:rsidR="0061231B">
              <w:rPr>
                <w:webHidden/>
              </w:rPr>
              <w:fldChar w:fldCharType="separate"/>
            </w:r>
            <w:r w:rsidR="00C75AC6">
              <w:rPr>
                <w:webHidden/>
              </w:rPr>
              <w:t>167</w:t>
            </w:r>
            <w:r w:rsidR="0061231B">
              <w:rPr>
                <w:webHidden/>
              </w:rPr>
              <w:fldChar w:fldCharType="end"/>
            </w:r>
          </w:hyperlink>
        </w:p>
        <w:p w14:paraId="658D00DD" w14:textId="72CB971D" w:rsidR="0061231B" w:rsidRDefault="00C9023A">
          <w:pPr>
            <w:pStyle w:val="TOC1"/>
            <w:rPr>
              <w:rFonts w:asciiTheme="minorHAnsi" w:hAnsiTheme="minorHAnsi"/>
              <w:sz w:val="22"/>
            </w:rPr>
          </w:pPr>
          <w:hyperlink w:anchor="_Toc119662467" w:history="1">
            <w:r w:rsidR="0061231B" w:rsidRPr="00780A9D">
              <w:rPr>
                <w:rStyle w:val="Hyperlink"/>
              </w:rPr>
              <w:t>11 Intersections: area of residence and disability</w:t>
            </w:r>
            <w:r w:rsidR="0061231B">
              <w:rPr>
                <w:webHidden/>
              </w:rPr>
              <w:tab/>
            </w:r>
            <w:r w:rsidR="0061231B">
              <w:rPr>
                <w:webHidden/>
              </w:rPr>
              <w:fldChar w:fldCharType="begin"/>
            </w:r>
            <w:r w:rsidR="0061231B">
              <w:rPr>
                <w:webHidden/>
              </w:rPr>
              <w:instrText xml:space="preserve"> PAGEREF _Toc119662467 \h </w:instrText>
            </w:r>
            <w:r w:rsidR="0061231B">
              <w:rPr>
                <w:webHidden/>
              </w:rPr>
            </w:r>
            <w:r w:rsidR="0061231B">
              <w:rPr>
                <w:webHidden/>
              </w:rPr>
              <w:fldChar w:fldCharType="separate"/>
            </w:r>
            <w:r w:rsidR="00C75AC6">
              <w:rPr>
                <w:webHidden/>
              </w:rPr>
              <w:t>169</w:t>
            </w:r>
            <w:r w:rsidR="0061231B">
              <w:rPr>
                <w:webHidden/>
              </w:rPr>
              <w:fldChar w:fldCharType="end"/>
            </w:r>
          </w:hyperlink>
        </w:p>
        <w:p w14:paraId="6D66F99F" w14:textId="06946067" w:rsidR="0061231B" w:rsidRDefault="00C9023A">
          <w:pPr>
            <w:pStyle w:val="TOC2"/>
            <w:rPr>
              <w:rFonts w:asciiTheme="minorHAnsi" w:hAnsiTheme="minorHAnsi"/>
              <w:sz w:val="22"/>
            </w:rPr>
          </w:pPr>
          <w:hyperlink w:anchor="_Toc119662468" w:history="1">
            <w:r w:rsidR="0061231B" w:rsidRPr="00780A9D">
              <w:rPr>
                <w:rStyle w:val="Hyperlink"/>
              </w:rPr>
              <w:t>11.1 Community belonging</w:t>
            </w:r>
            <w:r w:rsidR="0061231B">
              <w:rPr>
                <w:webHidden/>
              </w:rPr>
              <w:tab/>
            </w:r>
            <w:r w:rsidR="0061231B">
              <w:rPr>
                <w:webHidden/>
              </w:rPr>
              <w:fldChar w:fldCharType="begin"/>
            </w:r>
            <w:r w:rsidR="0061231B">
              <w:rPr>
                <w:webHidden/>
              </w:rPr>
              <w:instrText xml:space="preserve"> PAGEREF _Toc119662468 \h </w:instrText>
            </w:r>
            <w:r w:rsidR="0061231B">
              <w:rPr>
                <w:webHidden/>
              </w:rPr>
            </w:r>
            <w:r w:rsidR="0061231B">
              <w:rPr>
                <w:webHidden/>
              </w:rPr>
              <w:fldChar w:fldCharType="separate"/>
            </w:r>
            <w:r w:rsidR="00C75AC6">
              <w:rPr>
                <w:webHidden/>
              </w:rPr>
              <w:t>169</w:t>
            </w:r>
            <w:r w:rsidR="0061231B">
              <w:rPr>
                <w:webHidden/>
              </w:rPr>
              <w:fldChar w:fldCharType="end"/>
            </w:r>
          </w:hyperlink>
        </w:p>
        <w:p w14:paraId="228332B6" w14:textId="59947653" w:rsidR="0061231B" w:rsidRDefault="00C9023A">
          <w:pPr>
            <w:pStyle w:val="TOC2"/>
            <w:rPr>
              <w:rFonts w:asciiTheme="minorHAnsi" w:hAnsiTheme="minorHAnsi"/>
              <w:sz w:val="22"/>
            </w:rPr>
          </w:pPr>
          <w:hyperlink w:anchor="_Toc119662469" w:history="1">
            <w:r w:rsidR="0061231B" w:rsidRPr="00780A9D">
              <w:rPr>
                <w:rStyle w:val="Hyperlink"/>
              </w:rPr>
              <w:t>11.2 Feelings of acceptance – adults aged 18+ years</w:t>
            </w:r>
            <w:r w:rsidR="0061231B">
              <w:rPr>
                <w:webHidden/>
              </w:rPr>
              <w:tab/>
            </w:r>
            <w:r w:rsidR="0061231B">
              <w:rPr>
                <w:webHidden/>
              </w:rPr>
              <w:fldChar w:fldCharType="begin"/>
            </w:r>
            <w:r w:rsidR="0061231B">
              <w:rPr>
                <w:webHidden/>
              </w:rPr>
              <w:instrText xml:space="preserve"> PAGEREF _Toc119662469 \h </w:instrText>
            </w:r>
            <w:r w:rsidR="0061231B">
              <w:rPr>
                <w:webHidden/>
              </w:rPr>
            </w:r>
            <w:r w:rsidR="0061231B">
              <w:rPr>
                <w:webHidden/>
              </w:rPr>
              <w:fldChar w:fldCharType="separate"/>
            </w:r>
            <w:r w:rsidR="00C75AC6">
              <w:rPr>
                <w:webHidden/>
              </w:rPr>
              <w:t>171</w:t>
            </w:r>
            <w:r w:rsidR="0061231B">
              <w:rPr>
                <w:webHidden/>
              </w:rPr>
              <w:fldChar w:fldCharType="end"/>
            </w:r>
          </w:hyperlink>
        </w:p>
        <w:p w14:paraId="1E3D43F7" w14:textId="17EB3370" w:rsidR="0061231B" w:rsidRDefault="00C9023A">
          <w:pPr>
            <w:pStyle w:val="TOC2"/>
            <w:rPr>
              <w:rFonts w:asciiTheme="minorHAnsi" w:hAnsiTheme="minorHAnsi"/>
              <w:sz w:val="22"/>
            </w:rPr>
          </w:pPr>
          <w:hyperlink w:anchor="_Toc119662470" w:history="1">
            <w:r w:rsidR="0061231B" w:rsidRPr="00780A9D">
              <w:rPr>
                <w:rStyle w:val="Hyperlink"/>
                <w:lang w:val="en-GB"/>
              </w:rPr>
              <w:t>11.3 Psychological distress (K10)</w:t>
            </w:r>
            <w:r w:rsidR="0061231B">
              <w:rPr>
                <w:webHidden/>
              </w:rPr>
              <w:tab/>
            </w:r>
            <w:r w:rsidR="0061231B">
              <w:rPr>
                <w:webHidden/>
              </w:rPr>
              <w:fldChar w:fldCharType="begin"/>
            </w:r>
            <w:r w:rsidR="0061231B">
              <w:rPr>
                <w:webHidden/>
              </w:rPr>
              <w:instrText xml:space="preserve"> PAGEREF _Toc119662470 \h </w:instrText>
            </w:r>
            <w:r w:rsidR="0061231B">
              <w:rPr>
                <w:webHidden/>
              </w:rPr>
            </w:r>
            <w:r w:rsidR="0061231B">
              <w:rPr>
                <w:webHidden/>
              </w:rPr>
              <w:fldChar w:fldCharType="separate"/>
            </w:r>
            <w:r w:rsidR="00C75AC6">
              <w:rPr>
                <w:webHidden/>
              </w:rPr>
              <w:t>174</w:t>
            </w:r>
            <w:r w:rsidR="0061231B">
              <w:rPr>
                <w:webHidden/>
              </w:rPr>
              <w:fldChar w:fldCharType="end"/>
            </w:r>
          </w:hyperlink>
        </w:p>
        <w:p w14:paraId="2F651806" w14:textId="0C03C872" w:rsidR="0061231B" w:rsidRDefault="00C9023A">
          <w:pPr>
            <w:pStyle w:val="TOC2"/>
            <w:rPr>
              <w:rFonts w:asciiTheme="minorHAnsi" w:hAnsiTheme="minorHAnsi"/>
              <w:sz w:val="22"/>
            </w:rPr>
          </w:pPr>
          <w:hyperlink w:anchor="_Toc119662471" w:history="1">
            <w:r w:rsidR="0061231B" w:rsidRPr="00780A9D">
              <w:rPr>
                <w:rStyle w:val="Hyperlink"/>
              </w:rPr>
              <w:t>11.4 Experiences of discrimination, harassment and assault</w:t>
            </w:r>
            <w:r w:rsidR="0061231B">
              <w:rPr>
                <w:webHidden/>
              </w:rPr>
              <w:tab/>
            </w:r>
            <w:r w:rsidR="0061231B">
              <w:rPr>
                <w:webHidden/>
              </w:rPr>
              <w:fldChar w:fldCharType="begin"/>
            </w:r>
            <w:r w:rsidR="0061231B">
              <w:rPr>
                <w:webHidden/>
              </w:rPr>
              <w:instrText xml:space="preserve"> PAGEREF _Toc119662471 \h </w:instrText>
            </w:r>
            <w:r w:rsidR="0061231B">
              <w:rPr>
                <w:webHidden/>
              </w:rPr>
            </w:r>
            <w:r w:rsidR="0061231B">
              <w:rPr>
                <w:webHidden/>
              </w:rPr>
              <w:fldChar w:fldCharType="separate"/>
            </w:r>
            <w:r w:rsidR="00C75AC6">
              <w:rPr>
                <w:webHidden/>
              </w:rPr>
              <w:t>176</w:t>
            </w:r>
            <w:r w:rsidR="0061231B">
              <w:rPr>
                <w:webHidden/>
              </w:rPr>
              <w:fldChar w:fldCharType="end"/>
            </w:r>
          </w:hyperlink>
        </w:p>
        <w:p w14:paraId="545767FC" w14:textId="48CFC2BB" w:rsidR="0061231B" w:rsidRDefault="00C9023A">
          <w:pPr>
            <w:pStyle w:val="TOC2"/>
            <w:rPr>
              <w:rFonts w:asciiTheme="minorHAnsi" w:hAnsiTheme="minorHAnsi"/>
              <w:sz w:val="22"/>
            </w:rPr>
          </w:pPr>
          <w:hyperlink w:anchor="_Toc119662472" w:history="1">
            <w:r w:rsidR="0061231B" w:rsidRPr="00780A9D">
              <w:rPr>
                <w:rStyle w:val="Hyperlink"/>
              </w:rPr>
              <w:t>11.5 Experiences of family violence – adults aged 18+ years</w:t>
            </w:r>
            <w:r w:rsidR="0061231B">
              <w:rPr>
                <w:webHidden/>
              </w:rPr>
              <w:tab/>
            </w:r>
            <w:r w:rsidR="0061231B">
              <w:rPr>
                <w:webHidden/>
              </w:rPr>
              <w:fldChar w:fldCharType="begin"/>
            </w:r>
            <w:r w:rsidR="0061231B">
              <w:rPr>
                <w:webHidden/>
              </w:rPr>
              <w:instrText xml:space="preserve"> PAGEREF _Toc119662472 \h </w:instrText>
            </w:r>
            <w:r w:rsidR="0061231B">
              <w:rPr>
                <w:webHidden/>
              </w:rPr>
            </w:r>
            <w:r w:rsidR="0061231B">
              <w:rPr>
                <w:webHidden/>
              </w:rPr>
              <w:fldChar w:fldCharType="separate"/>
            </w:r>
            <w:r w:rsidR="00C75AC6">
              <w:rPr>
                <w:webHidden/>
              </w:rPr>
              <w:t>179</w:t>
            </w:r>
            <w:r w:rsidR="0061231B">
              <w:rPr>
                <w:webHidden/>
              </w:rPr>
              <w:fldChar w:fldCharType="end"/>
            </w:r>
          </w:hyperlink>
        </w:p>
        <w:p w14:paraId="383D052A" w14:textId="12EA1C85" w:rsidR="0061231B" w:rsidRDefault="00C9023A">
          <w:pPr>
            <w:pStyle w:val="TOC2"/>
            <w:rPr>
              <w:rFonts w:asciiTheme="minorHAnsi" w:hAnsiTheme="minorHAnsi"/>
              <w:sz w:val="22"/>
            </w:rPr>
          </w:pPr>
          <w:hyperlink w:anchor="_Toc119662473" w:history="1">
            <w:r w:rsidR="0061231B" w:rsidRPr="00780A9D">
              <w:rPr>
                <w:rStyle w:val="Hyperlink"/>
              </w:rPr>
              <w:t>11.6 Suicidal ideation and suicide attempts</w:t>
            </w:r>
            <w:r w:rsidR="0061231B">
              <w:rPr>
                <w:webHidden/>
              </w:rPr>
              <w:tab/>
            </w:r>
            <w:r w:rsidR="0061231B">
              <w:rPr>
                <w:webHidden/>
              </w:rPr>
              <w:fldChar w:fldCharType="begin"/>
            </w:r>
            <w:r w:rsidR="0061231B">
              <w:rPr>
                <w:webHidden/>
              </w:rPr>
              <w:instrText xml:space="preserve"> PAGEREF _Toc119662473 \h </w:instrText>
            </w:r>
            <w:r w:rsidR="0061231B">
              <w:rPr>
                <w:webHidden/>
              </w:rPr>
            </w:r>
            <w:r w:rsidR="0061231B">
              <w:rPr>
                <w:webHidden/>
              </w:rPr>
              <w:fldChar w:fldCharType="separate"/>
            </w:r>
            <w:r w:rsidR="00C75AC6">
              <w:rPr>
                <w:webHidden/>
              </w:rPr>
              <w:t>180</w:t>
            </w:r>
            <w:r w:rsidR="0061231B">
              <w:rPr>
                <w:webHidden/>
              </w:rPr>
              <w:fldChar w:fldCharType="end"/>
            </w:r>
          </w:hyperlink>
        </w:p>
        <w:p w14:paraId="17FBF533" w14:textId="4BB3CD12" w:rsidR="0061231B" w:rsidRDefault="00C9023A">
          <w:pPr>
            <w:pStyle w:val="TOC2"/>
            <w:rPr>
              <w:rFonts w:asciiTheme="minorHAnsi" w:hAnsiTheme="minorHAnsi"/>
              <w:sz w:val="22"/>
            </w:rPr>
          </w:pPr>
          <w:hyperlink w:anchor="_Toc119662474" w:history="1">
            <w:r w:rsidR="0061231B" w:rsidRPr="00780A9D">
              <w:rPr>
                <w:rStyle w:val="Hyperlink"/>
              </w:rPr>
              <w:t>11.7 Summary</w:t>
            </w:r>
            <w:r w:rsidR="0061231B">
              <w:rPr>
                <w:webHidden/>
              </w:rPr>
              <w:tab/>
            </w:r>
            <w:r w:rsidR="0061231B">
              <w:rPr>
                <w:webHidden/>
              </w:rPr>
              <w:fldChar w:fldCharType="begin"/>
            </w:r>
            <w:r w:rsidR="0061231B">
              <w:rPr>
                <w:webHidden/>
              </w:rPr>
              <w:instrText xml:space="preserve"> PAGEREF _Toc119662474 \h </w:instrText>
            </w:r>
            <w:r w:rsidR="0061231B">
              <w:rPr>
                <w:webHidden/>
              </w:rPr>
            </w:r>
            <w:r w:rsidR="0061231B">
              <w:rPr>
                <w:webHidden/>
              </w:rPr>
              <w:fldChar w:fldCharType="separate"/>
            </w:r>
            <w:r w:rsidR="00C75AC6">
              <w:rPr>
                <w:webHidden/>
              </w:rPr>
              <w:t>185</w:t>
            </w:r>
            <w:r w:rsidR="0061231B">
              <w:rPr>
                <w:webHidden/>
              </w:rPr>
              <w:fldChar w:fldCharType="end"/>
            </w:r>
          </w:hyperlink>
        </w:p>
        <w:p w14:paraId="37FA704E" w14:textId="1E660E0F" w:rsidR="0061231B" w:rsidRDefault="00C9023A">
          <w:pPr>
            <w:pStyle w:val="TOC1"/>
            <w:rPr>
              <w:rFonts w:asciiTheme="minorHAnsi" w:hAnsiTheme="minorHAnsi"/>
              <w:sz w:val="22"/>
            </w:rPr>
          </w:pPr>
          <w:hyperlink w:anchor="_Toc119662475" w:history="1">
            <w:r w:rsidR="0061231B" w:rsidRPr="00780A9D">
              <w:rPr>
                <w:rStyle w:val="Hyperlink"/>
                <w:iCs/>
                <w:lang w:bidi="en-US"/>
              </w:rPr>
              <w:t>12</w:t>
            </w:r>
            <w:r w:rsidR="0061231B" w:rsidRPr="00780A9D">
              <w:rPr>
                <w:rStyle w:val="Hyperlink"/>
              </w:rPr>
              <w:t xml:space="preserve"> Intersections</w:t>
            </w:r>
            <w:r w:rsidR="0061231B" w:rsidRPr="00780A9D">
              <w:rPr>
                <w:rStyle w:val="Hyperlink"/>
                <w:lang w:bidi="en-US"/>
              </w:rPr>
              <w:t>: gender and disability</w:t>
            </w:r>
            <w:r w:rsidR="0061231B">
              <w:rPr>
                <w:webHidden/>
              </w:rPr>
              <w:tab/>
            </w:r>
            <w:r w:rsidR="0061231B">
              <w:rPr>
                <w:webHidden/>
              </w:rPr>
              <w:fldChar w:fldCharType="begin"/>
            </w:r>
            <w:r w:rsidR="0061231B">
              <w:rPr>
                <w:webHidden/>
              </w:rPr>
              <w:instrText xml:space="preserve"> PAGEREF _Toc119662475 \h </w:instrText>
            </w:r>
            <w:r w:rsidR="0061231B">
              <w:rPr>
                <w:webHidden/>
              </w:rPr>
            </w:r>
            <w:r w:rsidR="0061231B">
              <w:rPr>
                <w:webHidden/>
              </w:rPr>
              <w:fldChar w:fldCharType="separate"/>
            </w:r>
            <w:r w:rsidR="00C75AC6">
              <w:rPr>
                <w:webHidden/>
              </w:rPr>
              <w:t>186</w:t>
            </w:r>
            <w:r w:rsidR="0061231B">
              <w:rPr>
                <w:webHidden/>
              </w:rPr>
              <w:fldChar w:fldCharType="end"/>
            </w:r>
          </w:hyperlink>
        </w:p>
        <w:p w14:paraId="1DB344D1" w14:textId="1B9EF9FE" w:rsidR="0061231B" w:rsidRDefault="00C9023A">
          <w:pPr>
            <w:pStyle w:val="TOC2"/>
            <w:rPr>
              <w:rFonts w:asciiTheme="minorHAnsi" w:hAnsiTheme="minorHAnsi"/>
              <w:sz w:val="22"/>
            </w:rPr>
          </w:pPr>
          <w:hyperlink w:anchor="_Toc119662476" w:history="1">
            <w:r w:rsidR="0061231B" w:rsidRPr="00780A9D">
              <w:rPr>
                <w:rStyle w:val="Hyperlink"/>
              </w:rPr>
              <w:t>12.1 Community belonging</w:t>
            </w:r>
            <w:r w:rsidR="0061231B">
              <w:rPr>
                <w:webHidden/>
              </w:rPr>
              <w:tab/>
            </w:r>
            <w:r w:rsidR="0061231B">
              <w:rPr>
                <w:webHidden/>
              </w:rPr>
              <w:fldChar w:fldCharType="begin"/>
            </w:r>
            <w:r w:rsidR="0061231B">
              <w:rPr>
                <w:webHidden/>
              </w:rPr>
              <w:instrText xml:space="preserve"> PAGEREF _Toc119662476 \h </w:instrText>
            </w:r>
            <w:r w:rsidR="0061231B">
              <w:rPr>
                <w:webHidden/>
              </w:rPr>
            </w:r>
            <w:r w:rsidR="0061231B">
              <w:rPr>
                <w:webHidden/>
              </w:rPr>
              <w:fldChar w:fldCharType="separate"/>
            </w:r>
            <w:r w:rsidR="00C75AC6">
              <w:rPr>
                <w:webHidden/>
              </w:rPr>
              <w:t>187</w:t>
            </w:r>
            <w:r w:rsidR="0061231B">
              <w:rPr>
                <w:webHidden/>
              </w:rPr>
              <w:fldChar w:fldCharType="end"/>
            </w:r>
          </w:hyperlink>
        </w:p>
        <w:p w14:paraId="0163CFA9" w14:textId="6F36F8BA" w:rsidR="0061231B" w:rsidRDefault="00C9023A">
          <w:pPr>
            <w:pStyle w:val="TOC2"/>
            <w:rPr>
              <w:rFonts w:asciiTheme="minorHAnsi" w:hAnsiTheme="minorHAnsi"/>
              <w:sz w:val="22"/>
            </w:rPr>
          </w:pPr>
          <w:hyperlink w:anchor="_Toc119662477" w:history="1">
            <w:r w:rsidR="0061231B" w:rsidRPr="00780A9D">
              <w:rPr>
                <w:rStyle w:val="Hyperlink"/>
              </w:rPr>
              <w:t>12.2 Feelings of acceptance – adults aged 18+ years</w:t>
            </w:r>
            <w:r w:rsidR="0061231B">
              <w:rPr>
                <w:webHidden/>
              </w:rPr>
              <w:tab/>
            </w:r>
            <w:r w:rsidR="0061231B">
              <w:rPr>
                <w:webHidden/>
              </w:rPr>
              <w:fldChar w:fldCharType="begin"/>
            </w:r>
            <w:r w:rsidR="0061231B">
              <w:rPr>
                <w:webHidden/>
              </w:rPr>
              <w:instrText xml:space="preserve"> PAGEREF _Toc119662477 \h </w:instrText>
            </w:r>
            <w:r w:rsidR="0061231B">
              <w:rPr>
                <w:webHidden/>
              </w:rPr>
            </w:r>
            <w:r w:rsidR="0061231B">
              <w:rPr>
                <w:webHidden/>
              </w:rPr>
              <w:fldChar w:fldCharType="separate"/>
            </w:r>
            <w:r w:rsidR="00C75AC6">
              <w:rPr>
                <w:webHidden/>
              </w:rPr>
              <w:t>189</w:t>
            </w:r>
            <w:r w:rsidR="0061231B">
              <w:rPr>
                <w:webHidden/>
              </w:rPr>
              <w:fldChar w:fldCharType="end"/>
            </w:r>
          </w:hyperlink>
        </w:p>
        <w:p w14:paraId="6D222FAD" w14:textId="777E61B4" w:rsidR="0061231B" w:rsidRDefault="00C9023A">
          <w:pPr>
            <w:pStyle w:val="TOC2"/>
            <w:rPr>
              <w:rFonts w:asciiTheme="minorHAnsi" w:hAnsiTheme="minorHAnsi"/>
              <w:sz w:val="22"/>
            </w:rPr>
          </w:pPr>
          <w:hyperlink w:anchor="_Toc119662478" w:history="1">
            <w:r w:rsidR="0061231B" w:rsidRPr="00780A9D">
              <w:rPr>
                <w:rStyle w:val="Hyperlink"/>
              </w:rPr>
              <w:t>12.3 Psychological distress (K10)</w:t>
            </w:r>
            <w:r w:rsidR="0061231B">
              <w:rPr>
                <w:webHidden/>
              </w:rPr>
              <w:tab/>
            </w:r>
            <w:r w:rsidR="0061231B">
              <w:rPr>
                <w:webHidden/>
              </w:rPr>
              <w:fldChar w:fldCharType="begin"/>
            </w:r>
            <w:r w:rsidR="0061231B">
              <w:rPr>
                <w:webHidden/>
              </w:rPr>
              <w:instrText xml:space="preserve"> PAGEREF _Toc119662478 \h </w:instrText>
            </w:r>
            <w:r w:rsidR="0061231B">
              <w:rPr>
                <w:webHidden/>
              </w:rPr>
            </w:r>
            <w:r w:rsidR="0061231B">
              <w:rPr>
                <w:webHidden/>
              </w:rPr>
              <w:fldChar w:fldCharType="separate"/>
            </w:r>
            <w:r w:rsidR="00C75AC6">
              <w:rPr>
                <w:webHidden/>
              </w:rPr>
              <w:t>192</w:t>
            </w:r>
            <w:r w:rsidR="0061231B">
              <w:rPr>
                <w:webHidden/>
              </w:rPr>
              <w:fldChar w:fldCharType="end"/>
            </w:r>
          </w:hyperlink>
        </w:p>
        <w:p w14:paraId="538C0346" w14:textId="32F3A756" w:rsidR="0061231B" w:rsidRDefault="00C9023A">
          <w:pPr>
            <w:pStyle w:val="TOC2"/>
            <w:rPr>
              <w:rFonts w:asciiTheme="minorHAnsi" w:hAnsiTheme="minorHAnsi"/>
              <w:sz w:val="22"/>
            </w:rPr>
          </w:pPr>
          <w:hyperlink w:anchor="_Toc119662479" w:history="1">
            <w:r w:rsidR="0061231B" w:rsidRPr="00780A9D">
              <w:rPr>
                <w:rStyle w:val="Hyperlink"/>
              </w:rPr>
              <w:t>12.4 Experiences of discrimination, harassment and assault</w:t>
            </w:r>
            <w:r w:rsidR="0061231B">
              <w:rPr>
                <w:webHidden/>
              </w:rPr>
              <w:tab/>
            </w:r>
            <w:r w:rsidR="0061231B">
              <w:rPr>
                <w:webHidden/>
              </w:rPr>
              <w:fldChar w:fldCharType="begin"/>
            </w:r>
            <w:r w:rsidR="0061231B">
              <w:rPr>
                <w:webHidden/>
              </w:rPr>
              <w:instrText xml:space="preserve"> PAGEREF _Toc119662479 \h </w:instrText>
            </w:r>
            <w:r w:rsidR="0061231B">
              <w:rPr>
                <w:webHidden/>
              </w:rPr>
            </w:r>
            <w:r w:rsidR="0061231B">
              <w:rPr>
                <w:webHidden/>
              </w:rPr>
              <w:fldChar w:fldCharType="separate"/>
            </w:r>
            <w:r w:rsidR="00C75AC6">
              <w:rPr>
                <w:webHidden/>
              </w:rPr>
              <w:t>194</w:t>
            </w:r>
            <w:r w:rsidR="0061231B">
              <w:rPr>
                <w:webHidden/>
              </w:rPr>
              <w:fldChar w:fldCharType="end"/>
            </w:r>
          </w:hyperlink>
        </w:p>
        <w:p w14:paraId="3D666A5F" w14:textId="4C956B95" w:rsidR="0061231B" w:rsidRDefault="00C9023A">
          <w:pPr>
            <w:pStyle w:val="TOC2"/>
            <w:rPr>
              <w:rFonts w:asciiTheme="minorHAnsi" w:hAnsiTheme="minorHAnsi"/>
              <w:sz w:val="22"/>
            </w:rPr>
          </w:pPr>
          <w:hyperlink w:anchor="_Toc119662480" w:history="1">
            <w:r w:rsidR="0061231B" w:rsidRPr="00780A9D">
              <w:rPr>
                <w:rStyle w:val="Hyperlink"/>
              </w:rPr>
              <w:t>12.5 Experiences of family violence – adults aged 18+ years</w:t>
            </w:r>
            <w:r w:rsidR="0061231B">
              <w:rPr>
                <w:webHidden/>
              </w:rPr>
              <w:tab/>
            </w:r>
            <w:r w:rsidR="0061231B">
              <w:rPr>
                <w:webHidden/>
              </w:rPr>
              <w:fldChar w:fldCharType="begin"/>
            </w:r>
            <w:r w:rsidR="0061231B">
              <w:rPr>
                <w:webHidden/>
              </w:rPr>
              <w:instrText xml:space="preserve"> PAGEREF _Toc119662480 \h </w:instrText>
            </w:r>
            <w:r w:rsidR="0061231B">
              <w:rPr>
                <w:webHidden/>
              </w:rPr>
            </w:r>
            <w:r w:rsidR="0061231B">
              <w:rPr>
                <w:webHidden/>
              </w:rPr>
              <w:fldChar w:fldCharType="separate"/>
            </w:r>
            <w:r w:rsidR="00C75AC6">
              <w:rPr>
                <w:webHidden/>
              </w:rPr>
              <w:t>198</w:t>
            </w:r>
            <w:r w:rsidR="0061231B">
              <w:rPr>
                <w:webHidden/>
              </w:rPr>
              <w:fldChar w:fldCharType="end"/>
            </w:r>
          </w:hyperlink>
        </w:p>
        <w:p w14:paraId="1D0BA577" w14:textId="7190F0A5" w:rsidR="0061231B" w:rsidRDefault="00C9023A">
          <w:pPr>
            <w:pStyle w:val="TOC2"/>
            <w:rPr>
              <w:rFonts w:asciiTheme="minorHAnsi" w:hAnsiTheme="minorHAnsi"/>
              <w:sz w:val="22"/>
            </w:rPr>
          </w:pPr>
          <w:hyperlink w:anchor="_Toc119662481" w:history="1">
            <w:r w:rsidR="0061231B" w:rsidRPr="00780A9D">
              <w:rPr>
                <w:rStyle w:val="Hyperlink"/>
              </w:rPr>
              <w:t>12.6 Suicidal ideation and suicide attempts</w:t>
            </w:r>
            <w:r w:rsidR="0061231B">
              <w:rPr>
                <w:webHidden/>
              </w:rPr>
              <w:tab/>
            </w:r>
            <w:r w:rsidR="0061231B">
              <w:rPr>
                <w:webHidden/>
              </w:rPr>
              <w:fldChar w:fldCharType="begin"/>
            </w:r>
            <w:r w:rsidR="0061231B">
              <w:rPr>
                <w:webHidden/>
              </w:rPr>
              <w:instrText xml:space="preserve"> PAGEREF _Toc119662481 \h </w:instrText>
            </w:r>
            <w:r w:rsidR="0061231B">
              <w:rPr>
                <w:webHidden/>
              </w:rPr>
            </w:r>
            <w:r w:rsidR="0061231B">
              <w:rPr>
                <w:webHidden/>
              </w:rPr>
              <w:fldChar w:fldCharType="separate"/>
            </w:r>
            <w:r w:rsidR="00C75AC6">
              <w:rPr>
                <w:webHidden/>
              </w:rPr>
              <w:t>199</w:t>
            </w:r>
            <w:r w:rsidR="0061231B">
              <w:rPr>
                <w:webHidden/>
              </w:rPr>
              <w:fldChar w:fldCharType="end"/>
            </w:r>
          </w:hyperlink>
        </w:p>
        <w:p w14:paraId="62D78FBC" w14:textId="57B478F7" w:rsidR="0061231B" w:rsidRDefault="00C9023A">
          <w:pPr>
            <w:pStyle w:val="TOC2"/>
            <w:rPr>
              <w:rFonts w:asciiTheme="minorHAnsi" w:hAnsiTheme="minorHAnsi"/>
              <w:sz w:val="22"/>
            </w:rPr>
          </w:pPr>
          <w:hyperlink w:anchor="_Toc119662482" w:history="1">
            <w:r w:rsidR="0061231B" w:rsidRPr="00780A9D">
              <w:rPr>
                <w:rStyle w:val="Hyperlink"/>
              </w:rPr>
              <w:t>12.7 Summary</w:t>
            </w:r>
            <w:r w:rsidR="0061231B">
              <w:rPr>
                <w:webHidden/>
              </w:rPr>
              <w:tab/>
            </w:r>
            <w:r w:rsidR="0061231B">
              <w:rPr>
                <w:webHidden/>
              </w:rPr>
              <w:fldChar w:fldCharType="begin"/>
            </w:r>
            <w:r w:rsidR="0061231B">
              <w:rPr>
                <w:webHidden/>
              </w:rPr>
              <w:instrText xml:space="preserve"> PAGEREF _Toc119662482 \h </w:instrText>
            </w:r>
            <w:r w:rsidR="0061231B">
              <w:rPr>
                <w:webHidden/>
              </w:rPr>
            </w:r>
            <w:r w:rsidR="0061231B">
              <w:rPr>
                <w:webHidden/>
              </w:rPr>
              <w:fldChar w:fldCharType="separate"/>
            </w:r>
            <w:r w:rsidR="00C75AC6">
              <w:rPr>
                <w:webHidden/>
              </w:rPr>
              <w:t>204</w:t>
            </w:r>
            <w:r w:rsidR="0061231B">
              <w:rPr>
                <w:webHidden/>
              </w:rPr>
              <w:fldChar w:fldCharType="end"/>
            </w:r>
          </w:hyperlink>
        </w:p>
        <w:p w14:paraId="02B20068" w14:textId="6D89266C" w:rsidR="0061231B" w:rsidRDefault="00C9023A">
          <w:pPr>
            <w:pStyle w:val="TOC1"/>
            <w:rPr>
              <w:rFonts w:asciiTheme="minorHAnsi" w:hAnsiTheme="minorHAnsi"/>
              <w:sz w:val="22"/>
            </w:rPr>
          </w:pPr>
          <w:hyperlink w:anchor="_Toc119662483" w:history="1">
            <w:r w:rsidR="0061231B" w:rsidRPr="00780A9D">
              <w:rPr>
                <w:rStyle w:val="Hyperlink"/>
                <w:lang w:bidi="en-US"/>
              </w:rPr>
              <w:t>13</w:t>
            </w:r>
            <w:r w:rsidR="0061231B" w:rsidRPr="00780A9D">
              <w:rPr>
                <w:rStyle w:val="Hyperlink"/>
              </w:rPr>
              <w:t xml:space="preserve"> Intersections:</w:t>
            </w:r>
            <w:r w:rsidR="0061231B" w:rsidRPr="00780A9D">
              <w:rPr>
                <w:rStyle w:val="Hyperlink"/>
                <w:lang w:bidi="en-US"/>
              </w:rPr>
              <w:t xml:space="preserve"> sexual orientation and disability</w:t>
            </w:r>
            <w:r w:rsidR="0061231B">
              <w:rPr>
                <w:webHidden/>
              </w:rPr>
              <w:tab/>
            </w:r>
            <w:r w:rsidR="0061231B">
              <w:rPr>
                <w:webHidden/>
              </w:rPr>
              <w:fldChar w:fldCharType="begin"/>
            </w:r>
            <w:r w:rsidR="0061231B">
              <w:rPr>
                <w:webHidden/>
              </w:rPr>
              <w:instrText xml:space="preserve"> PAGEREF _Toc119662483 \h </w:instrText>
            </w:r>
            <w:r w:rsidR="0061231B">
              <w:rPr>
                <w:webHidden/>
              </w:rPr>
            </w:r>
            <w:r w:rsidR="0061231B">
              <w:rPr>
                <w:webHidden/>
              </w:rPr>
              <w:fldChar w:fldCharType="separate"/>
            </w:r>
            <w:r w:rsidR="00C75AC6">
              <w:rPr>
                <w:webHidden/>
              </w:rPr>
              <w:t>205</w:t>
            </w:r>
            <w:r w:rsidR="0061231B">
              <w:rPr>
                <w:webHidden/>
              </w:rPr>
              <w:fldChar w:fldCharType="end"/>
            </w:r>
          </w:hyperlink>
        </w:p>
        <w:p w14:paraId="01C658D9" w14:textId="32710409" w:rsidR="0061231B" w:rsidRDefault="00C9023A">
          <w:pPr>
            <w:pStyle w:val="TOC2"/>
            <w:rPr>
              <w:rFonts w:asciiTheme="minorHAnsi" w:hAnsiTheme="minorHAnsi"/>
              <w:sz w:val="22"/>
            </w:rPr>
          </w:pPr>
          <w:hyperlink w:anchor="_Toc119662484" w:history="1">
            <w:r w:rsidR="0061231B" w:rsidRPr="00780A9D">
              <w:rPr>
                <w:rStyle w:val="Hyperlink"/>
              </w:rPr>
              <w:t>13.1 Community belonging</w:t>
            </w:r>
            <w:r w:rsidR="0061231B">
              <w:rPr>
                <w:webHidden/>
              </w:rPr>
              <w:tab/>
            </w:r>
            <w:r w:rsidR="0061231B">
              <w:rPr>
                <w:webHidden/>
              </w:rPr>
              <w:fldChar w:fldCharType="begin"/>
            </w:r>
            <w:r w:rsidR="0061231B">
              <w:rPr>
                <w:webHidden/>
              </w:rPr>
              <w:instrText xml:space="preserve"> PAGEREF _Toc119662484 \h </w:instrText>
            </w:r>
            <w:r w:rsidR="0061231B">
              <w:rPr>
                <w:webHidden/>
              </w:rPr>
            </w:r>
            <w:r w:rsidR="0061231B">
              <w:rPr>
                <w:webHidden/>
              </w:rPr>
              <w:fldChar w:fldCharType="separate"/>
            </w:r>
            <w:r w:rsidR="00C75AC6">
              <w:rPr>
                <w:webHidden/>
              </w:rPr>
              <w:t>205</w:t>
            </w:r>
            <w:r w:rsidR="0061231B">
              <w:rPr>
                <w:webHidden/>
              </w:rPr>
              <w:fldChar w:fldCharType="end"/>
            </w:r>
          </w:hyperlink>
        </w:p>
        <w:p w14:paraId="314B1FC1" w14:textId="687CCD44" w:rsidR="0061231B" w:rsidRDefault="00C9023A">
          <w:pPr>
            <w:pStyle w:val="TOC2"/>
            <w:rPr>
              <w:rFonts w:asciiTheme="minorHAnsi" w:hAnsiTheme="minorHAnsi"/>
              <w:sz w:val="22"/>
            </w:rPr>
          </w:pPr>
          <w:hyperlink w:anchor="_Toc119662485" w:history="1">
            <w:r w:rsidR="0061231B" w:rsidRPr="00780A9D">
              <w:rPr>
                <w:rStyle w:val="Hyperlink"/>
              </w:rPr>
              <w:t>13.2 Feelings of acceptance – adults aged 18+ years</w:t>
            </w:r>
            <w:r w:rsidR="0061231B">
              <w:rPr>
                <w:webHidden/>
              </w:rPr>
              <w:tab/>
            </w:r>
            <w:r w:rsidR="0061231B">
              <w:rPr>
                <w:webHidden/>
              </w:rPr>
              <w:fldChar w:fldCharType="begin"/>
            </w:r>
            <w:r w:rsidR="0061231B">
              <w:rPr>
                <w:webHidden/>
              </w:rPr>
              <w:instrText xml:space="preserve"> PAGEREF _Toc119662485 \h </w:instrText>
            </w:r>
            <w:r w:rsidR="0061231B">
              <w:rPr>
                <w:webHidden/>
              </w:rPr>
            </w:r>
            <w:r w:rsidR="0061231B">
              <w:rPr>
                <w:webHidden/>
              </w:rPr>
              <w:fldChar w:fldCharType="separate"/>
            </w:r>
            <w:r w:rsidR="00C75AC6">
              <w:rPr>
                <w:webHidden/>
              </w:rPr>
              <w:t>208</w:t>
            </w:r>
            <w:r w:rsidR="0061231B">
              <w:rPr>
                <w:webHidden/>
              </w:rPr>
              <w:fldChar w:fldCharType="end"/>
            </w:r>
          </w:hyperlink>
        </w:p>
        <w:p w14:paraId="2A0DEBF4" w14:textId="652233FF" w:rsidR="0061231B" w:rsidRDefault="00C9023A">
          <w:pPr>
            <w:pStyle w:val="TOC2"/>
            <w:rPr>
              <w:rFonts w:asciiTheme="minorHAnsi" w:hAnsiTheme="minorHAnsi"/>
              <w:sz w:val="22"/>
            </w:rPr>
          </w:pPr>
          <w:hyperlink w:anchor="_Toc119662486" w:history="1">
            <w:r w:rsidR="0061231B" w:rsidRPr="00780A9D">
              <w:rPr>
                <w:rStyle w:val="Hyperlink"/>
              </w:rPr>
              <w:t>13.3 Psychological distress (K10)</w:t>
            </w:r>
            <w:r w:rsidR="0061231B">
              <w:rPr>
                <w:webHidden/>
              </w:rPr>
              <w:tab/>
            </w:r>
            <w:r w:rsidR="0061231B">
              <w:rPr>
                <w:webHidden/>
              </w:rPr>
              <w:fldChar w:fldCharType="begin"/>
            </w:r>
            <w:r w:rsidR="0061231B">
              <w:rPr>
                <w:webHidden/>
              </w:rPr>
              <w:instrText xml:space="preserve"> PAGEREF _Toc119662486 \h </w:instrText>
            </w:r>
            <w:r w:rsidR="0061231B">
              <w:rPr>
                <w:webHidden/>
              </w:rPr>
            </w:r>
            <w:r w:rsidR="0061231B">
              <w:rPr>
                <w:webHidden/>
              </w:rPr>
              <w:fldChar w:fldCharType="separate"/>
            </w:r>
            <w:r w:rsidR="00C75AC6">
              <w:rPr>
                <w:webHidden/>
              </w:rPr>
              <w:t>212</w:t>
            </w:r>
            <w:r w:rsidR="0061231B">
              <w:rPr>
                <w:webHidden/>
              </w:rPr>
              <w:fldChar w:fldCharType="end"/>
            </w:r>
          </w:hyperlink>
        </w:p>
        <w:p w14:paraId="7321AE5A" w14:textId="7CA130B0" w:rsidR="0061231B" w:rsidRDefault="00C9023A">
          <w:pPr>
            <w:pStyle w:val="TOC2"/>
            <w:rPr>
              <w:rFonts w:asciiTheme="minorHAnsi" w:hAnsiTheme="minorHAnsi"/>
              <w:sz w:val="22"/>
            </w:rPr>
          </w:pPr>
          <w:hyperlink w:anchor="_Toc119662487" w:history="1">
            <w:r w:rsidR="0061231B" w:rsidRPr="00780A9D">
              <w:rPr>
                <w:rStyle w:val="Hyperlink"/>
              </w:rPr>
              <w:t>13.4 Experiences of discrimination, harassment and assault</w:t>
            </w:r>
            <w:r w:rsidR="0061231B">
              <w:rPr>
                <w:webHidden/>
              </w:rPr>
              <w:tab/>
            </w:r>
            <w:r w:rsidR="0061231B">
              <w:rPr>
                <w:webHidden/>
              </w:rPr>
              <w:fldChar w:fldCharType="begin"/>
            </w:r>
            <w:r w:rsidR="0061231B">
              <w:rPr>
                <w:webHidden/>
              </w:rPr>
              <w:instrText xml:space="preserve"> PAGEREF _Toc119662487 \h </w:instrText>
            </w:r>
            <w:r w:rsidR="0061231B">
              <w:rPr>
                <w:webHidden/>
              </w:rPr>
            </w:r>
            <w:r w:rsidR="0061231B">
              <w:rPr>
                <w:webHidden/>
              </w:rPr>
              <w:fldChar w:fldCharType="separate"/>
            </w:r>
            <w:r w:rsidR="00C75AC6">
              <w:rPr>
                <w:webHidden/>
              </w:rPr>
              <w:t>215</w:t>
            </w:r>
            <w:r w:rsidR="0061231B">
              <w:rPr>
                <w:webHidden/>
              </w:rPr>
              <w:fldChar w:fldCharType="end"/>
            </w:r>
          </w:hyperlink>
        </w:p>
        <w:p w14:paraId="6E2AB42B" w14:textId="57FC85DE" w:rsidR="0061231B" w:rsidRDefault="00C9023A">
          <w:pPr>
            <w:pStyle w:val="TOC2"/>
            <w:rPr>
              <w:rFonts w:asciiTheme="minorHAnsi" w:hAnsiTheme="minorHAnsi"/>
              <w:sz w:val="22"/>
            </w:rPr>
          </w:pPr>
          <w:hyperlink w:anchor="_Toc119662488" w:history="1">
            <w:r w:rsidR="0061231B" w:rsidRPr="00780A9D">
              <w:rPr>
                <w:rStyle w:val="Hyperlink"/>
              </w:rPr>
              <w:t>13.5 Experiences of family violence – adults aged 18+ years</w:t>
            </w:r>
            <w:r w:rsidR="0061231B">
              <w:rPr>
                <w:webHidden/>
              </w:rPr>
              <w:tab/>
            </w:r>
            <w:r w:rsidR="0061231B">
              <w:rPr>
                <w:webHidden/>
              </w:rPr>
              <w:fldChar w:fldCharType="begin"/>
            </w:r>
            <w:r w:rsidR="0061231B">
              <w:rPr>
                <w:webHidden/>
              </w:rPr>
              <w:instrText xml:space="preserve"> PAGEREF _Toc119662488 \h </w:instrText>
            </w:r>
            <w:r w:rsidR="0061231B">
              <w:rPr>
                <w:webHidden/>
              </w:rPr>
            </w:r>
            <w:r w:rsidR="0061231B">
              <w:rPr>
                <w:webHidden/>
              </w:rPr>
              <w:fldChar w:fldCharType="separate"/>
            </w:r>
            <w:r w:rsidR="00C75AC6">
              <w:rPr>
                <w:webHidden/>
              </w:rPr>
              <w:t>220</w:t>
            </w:r>
            <w:r w:rsidR="0061231B">
              <w:rPr>
                <w:webHidden/>
              </w:rPr>
              <w:fldChar w:fldCharType="end"/>
            </w:r>
          </w:hyperlink>
        </w:p>
        <w:p w14:paraId="774ED106" w14:textId="0BF7B2B9" w:rsidR="0061231B" w:rsidRDefault="00C9023A">
          <w:pPr>
            <w:pStyle w:val="TOC2"/>
            <w:rPr>
              <w:rFonts w:asciiTheme="minorHAnsi" w:hAnsiTheme="minorHAnsi"/>
              <w:sz w:val="22"/>
            </w:rPr>
          </w:pPr>
          <w:hyperlink w:anchor="_Toc119662489" w:history="1">
            <w:r w:rsidR="0061231B" w:rsidRPr="00780A9D">
              <w:rPr>
                <w:rStyle w:val="Hyperlink"/>
              </w:rPr>
              <w:t>13.6 Suicidal ideation and suicide attempts</w:t>
            </w:r>
            <w:r w:rsidR="0061231B">
              <w:rPr>
                <w:webHidden/>
              </w:rPr>
              <w:tab/>
            </w:r>
            <w:r w:rsidR="0061231B">
              <w:rPr>
                <w:webHidden/>
              </w:rPr>
              <w:fldChar w:fldCharType="begin"/>
            </w:r>
            <w:r w:rsidR="0061231B">
              <w:rPr>
                <w:webHidden/>
              </w:rPr>
              <w:instrText xml:space="preserve"> PAGEREF _Toc119662489 \h </w:instrText>
            </w:r>
            <w:r w:rsidR="0061231B">
              <w:rPr>
                <w:webHidden/>
              </w:rPr>
            </w:r>
            <w:r w:rsidR="0061231B">
              <w:rPr>
                <w:webHidden/>
              </w:rPr>
              <w:fldChar w:fldCharType="separate"/>
            </w:r>
            <w:r w:rsidR="00C75AC6">
              <w:rPr>
                <w:webHidden/>
              </w:rPr>
              <w:t>222</w:t>
            </w:r>
            <w:r w:rsidR="0061231B">
              <w:rPr>
                <w:webHidden/>
              </w:rPr>
              <w:fldChar w:fldCharType="end"/>
            </w:r>
          </w:hyperlink>
        </w:p>
        <w:p w14:paraId="25B5D9AE" w14:textId="1CBFBCAB" w:rsidR="0061231B" w:rsidRDefault="00C9023A">
          <w:pPr>
            <w:pStyle w:val="TOC2"/>
            <w:rPr>
              <w:rFonts w:asciiTheme="minorHAnsi" w:hAnsiTheme="minorHAnsi"/>
              <w:sz w:val="22"/>
            </w:rPr>
          </w:pPr>
          <w:hyperlink w:anchor="_Toc119662490" w:history="1">
            <w:r w:rsidR="0061231B" w:rsidRPr="00780A9D">
              <w:rPr>
                <w:rStyle w:val="Hyperlink"/>
              </w:rPr>
              <w:t>13.7 Summary</w:t>
            </w:r>
            <w:r w:rsidR="0061231B">
              <w:rPr>
                <w:webHidden/>
              </w:rPr>
              <w:tab/>
            </w:r>
            <w:r w:rsidR="0061231B">
              <w:rPr>
                <w:webHidden/>
              </w:rPr>
              <w:fldChar w:fldCharType="begin"/>
            </w:r>
            <w:r w:rsidR="0061231B">
              <w:rPr>
                <w:webHidden/>
              </w:rPr>
              <w:instrText xml:space="preserve"> PAGEREF _Toc119662490 \h </w:instrText>
            </w:r>
            <w:r w:rsidR="0061231B">
              <w:rPr>
                <w:webHidden/>
              </w:rPr>
            </w:r>
            <w:r w:rsidR="0061231B">
              <w:rPr>
                <w:webHidden/>
              </w:rPr>
              <w:fldChar w:fldCharType="separate"/>
            </w:r>
            <w:r w:rsidR="00C75AC6">
              <w:rPr>
                <w:webHidden/>
              </w:rPr>
              <w:t>228</w:t>
            </w:r>
            <w:r w:rsidR="0061231B">
              <w:rPr>
                <w:webHidden/>
              </w:rPr>
              <w:fldChar w:fldCharType="end"/>
            </w:r>
          </w:hyperlink>
        </w:p>
        <w:p w14:paraId="4C6C9D7C" w14:textId="20F95EEC" w:rsidR="0061231B" w:rsidRDefault="00C9023A">
          <w:pPr>
            <w:pStyle w:val="TOC1"/>
            <w:rPr>
              <w:rFonts w:asciiTheme="minorHAnsi" w:hAnsiTheme="minorHAnsi"/>
              <w:sz w:val="22"/>
            </w:rPr>
          </w:pPr>
          <w:hyperlink w:anchor="_Toc119662491" w:history="1">
            <w:r w:rsidR="0061231B" w:rsidRPr="00780A9D">
              <w:rPr>
                <w:rStyle w:val="Hyperlink"/>
                <w:lang w:bidi="en-US"/>
              </w:rPr>
              <w:t>14 Summary and recommendations</w:t>
            </w:r>
            <w:r w:rsidR="0061231B">
              <w:rPr>
                <w:webHidden/>
              </w:rPr>
              <w:tab/>
            </w:r>
            <w:r w:rsidR="0061231B">
              <w:rPr>
                <w:webHidden/>
              </w:rPr>
              <w:fldChar w:fldCharType="begin"/>
            </w:r>
            <w:r w:rsidR="0061231B">
              <w:rPr>
                <w:webHidden/>
              </w:rPr>
              <w:instrText xml:space="preserve"> PAGEREF _Toc119662491 \h </w:instrText>
            </w:r>
            <w:r w:rsidR="0061231B">
              <w:rPr>
                <w:webHidden/>
              </w:rPr>
            </w:r>
            <w:r w:rsidR="0061231B">
              <w:rPr>
                <w:webHidden/>
              </w:rPr>
              <w:fldChar w:fldCharType="separate"/>
            </w:r>
            <w:r w:rsidR="00C75AC6">
              <w:rPr>
                <w:webHidden/>
              </w:rPr>
              <w:t>230</w:t>
            </w:r>
            <w:r w:rsidR="0061231B">
              <w:rPr>
                <w:webHidden/>
              </w:rPr>
              <w:fldChar w:fldCharType="end"/>
            </w:r>
          </w:hyperlink>
        </w:p>
        <w:p w14:paraId="7DE27D81" w14:textId="72D4D92E" w:rsidR="0061231B" w:rsidRDefault="00C9023A">
          <w:pPr>
            <w:pStyle w:val="TOC2"/>
            <w:rPr>
              <w:rFonts w:asciiTheme="minorHAnsi" w:hAnsiTheme="minorHAnsi"/>
              <w:sz w:val="22"/>
            </w:rPr>
          </w:pPr>
          <w:hyperlink w:anchor="_Toc119662492" w:history="1">
            <w:r w:rsidR="0061231B" w:rsidRPr="00780A9D">
              <w:rPr>
                <w:rStyle w:val="Hyperlink"/>
              </w:rPr>
              <w:t>14.1 Findings of significant concern</w:t>
            </w:r>
            <w:r w:rsidR="0061231B">
              <w:rPr>
                <w:webHidden/>
              </w:rPr>
              <w:tab/>
            </w:r>
            <w:r w:rsidR="0061231B">
              <w:rPr>
                <w:webHidden/>
              </w:rPr>
              <w:fldChar w:fldCharType="begin"/>
            </w:r>
            <w:r w:rsidR="0061231B">
              <w:rPr>
                <w:webHidden/>
              </w:rPr>
              <w:instrText xml:space="preserve"> PAGEREF _Toc119662492 \h </w:instrText>
            </w:r>
            <w:r w:rsidR="0061231B">
              <w:rPr>
                <w:webHidden/>
              </w:rPr>
            </w:r>
            <w:r w:rsidR="0061231B">
              <w:rPr>
                <w:webHidden/>
              </w:rPr>
              <w:fldChar w:fldCharType="separate"/>
            </w:r>
            <w:r w:rsidR="00C75AC6">
              <w:rPr>
                <w:webHidden/>
              </w:rPr>
              <w:t>230</w:t>
            </w:r>
            <w:r w:rsidR="0061231B">
              <w:rPr>
                <w:webHidden/>
              </w:rPr>
              <w:fldChar w:fldCharType="end"/>
            </w:r>
          </w:hyperlink>
        </w:p>
        <w:p w14:paraId="74F5A76F" w14:textId="70138AD3" w:rsidR="0061231B" w:rsidRDefault="00C9023A">
          <w:pPr>
            <w:pStyle w:val="TOC2"/>
            <w:rPr>
              <w:rFonts w:asciiTheme="minorHAnsi" w:hAnsiTheme="minorHAnsi"/>
              <w:sz w:val="22"/>
            </w:rPr>
          </w:pPr>
          <w:hyperlink w:anchor="_Toc119662493" w:history="1">
            <w:r w:rsidR="0061231B" w:rsidRPr="00780A9D">
              <w:rPr>
                <w:rStyle w:val="Hyperlink"/>
              </w:rPr>
              <w:t>14.2 Recommendations for structural and policy-level intervention</w:t>
            </w:r>
            <w:r w:rsidR="0061231B">
              <w:rPr>
                <w:webHidden/>
              </w:rPr>
              <w:tab/>
            </w:r>
            <w:r w:rsidR="0061231B">
              <w:rPr>
                <w:webHidden/>
              </w:rPr>
              <w:fldChar w:fldCharType="begin"/>
            </w:r>
            <w:r w:rsidR="0061231B">
              <w:rPr>
                <w:webHidden/>
              </w:rPr>
              <w:instrText xml:space="preserve"> PAGEREF _Toc119662493 \h </w:instrText>
            </w:r>
            <w:r w:rsidR="0061231B">
              <w:rPr>
                <w:webHidden/>
              </w:rPr>
            </w:r>
            <w:r w:rsidR="0061231B">
              <w:rPr>
                <w:webHidden/>
              </w:rPr>
              <w:fldChar w:fldCharType="separate"/>
            </w:r>
            <w:r w:rsidR="00C75AC6">
              <w:rPr>
                <w:webHidden/>
              </w:rPr>
              <w:t>231</w:t>
            </w:r>
            <w:r w:rsidR="0061231B">
              <w:rPr>
                <w:webHidden/>
              </w:rPr>
              <w:fldChar w:fldCharType="end"/>
            </w:r>
          </w:hyperlink>
        </w:p>
        <w:p w14:paraId="0F254AFB" w14:textId="7E7C7C17" w:rsidR="0061231B" w:rsidRDefault="00C9023A">
          <w:pPr>
            <w:pStyle w:val="TOC2"/>
            <w:rPr>
              <w:rFonts w:asciiTheme="minorHAnsi" w:hAnsiTheme="minorHAnsi"/>
              <w:sz w:val="22"/>
            </w:rPr>
          </w:pPr>
          <w:hyperlink w:anchor="_Toc119662494" w:history="1">
            <w:r w:rsidR="0061231B" w:rsidRPr="00780A9D">
              <w:rPr>
                <w:rStyle w:val="Hyperlink"/>
              </w:rPr>
              <w:t>14.3 Recommendations for service-level intervention</w:t>
            </w:r>
            <w:r w:rsidR="0061231B">
              <w:rPr>
                <w:webHidden/>
              </w:rPr>
              <w:tab/>
            </w:r>
            <w:r w:rsidR="0061231B">
              <w:rPr>
                <w:webHidden/>
              </w:rPr>
              <w:fldChar w:fldCharType="begin"/>
            </w:r>
            <w:r w:rsidR="0061231B">
              <w:rPr>
                <w:webHidden/>
              </w:rPr>
              <w:instrText xml:space="preserve"> PAGEREF _Toc119662494 \h </w:instrText>
            </w:r>
            <w:r w:rsidR="0061231B">
              <w:rPr>
                <w:webHidden/>
              </w:rPr>
            </w:r>
            <w:r w:rsidR="0061231B">
              <w:rPr>
                <w:webHidden/>
              </w:rPr>
              <w:fldChar w:fldCharType="separate"/>
            </w:r>
            <w:r w:rsidR="00C75AC6">
              <w:rPr>
                <w:webHidden/>
              </w:rPr>
              <w:t>233</w:t>
            </w:r>
            <w:r w:rsidR="0061231B">
              <w:rPr>
                <w:webHidden/>
              </w:rPr>
              <w:fldChar w:fldCharType="end"/>
            </w:r>
          </w:hyperlink>
        </w:p>
        <w:p w14:paraId="24BA4A30" w14:textId="7CEED705" w:rsidR="0061231B" w:rsidRDefault="00C9023A">
          <w:pPr>
            <w:pStyle w:val="TOC2"/>
            <w:rPr>
              <w:rFonts w:asciiTheme="minorHAnsi" w:hAnsiTheme="minorHAnsi"/>
              <w:sz w:val="22"/>
            </w:rPr>
          </w:pPr>
          <w:hyperlink w:anchor="_Toc119662495" w:history="1">
            <w:r w:rsidR="0061231B" w:rsidRPr="00780A9D">
              <w:rPr>
                <w:rStyle w:val="Hyperlink"/>
              </w:rPr>
              <w:t>14.4 Recommendations for community-level intervention</w:t>
            </w:r>
            <w:r w:rsidR="0061231B">
              <w:rPr>
                <w:webHidden/>
              </w:rPr>
              <w:tab/>
            </w:r>
            <w:r w:rsidR="0061231B">
              <w:rPr>
                <w:webHidden/>
              </w:rPr>
              <w:fldChar w:fldCharType="begin"/>
            </w:r>
            <w:r w:rsidR="0061231B">
              <w:rPr>
                <w:webHidden/>
              </w:rPr>
              <w:instrText xml:space="preserve"> PAGEREF _Toc119662495 \h </w:instrText>
            </w:r>
            <w:r w:rsidR="0061231B">
              <w:rPr>
                <w:webHidden/>
              </w:rPr>
            </w:r>
            <w:r w:rsidR="0061231B">
              <w:rPr>
                <w:webHidden/>
              </w:rPr>
              <w:fldChar w:fldCharType="separate"/>
            </w:r>
            <w:r w:rsidR="00C75AC6">
              <w:rPr>
                <w:webHidden/>
              </w:rPr>
              <w:t>235</w:t>
            </w:r>
            <w:r w:rsidR="0061231B">
              <w:rPr>
                <w:webHidden/>
              </w:rPr>
              <w:fldChar w:fldCharType="end"/>
            </w:r>
          </w:hyperlink>
        </w:p>
        <w:p w14:paraId="19BCE676" w14:textId="370594B8" w:rsidR="0061231B" w:rsidRDefault="00C9023A">
          <w:pPr>
            <w:pStyle w:val="TOC2"/>
            <w:rPr>
              <w:rFonts w:asciiTheme="minorHAnsi" w:hAnsiTheme="minorHAnsi"/>
              <w:sz w:val="22"/>
            </w:rPr>
          </w:pPr>
          <w:hyperlink w:anchor="_Toc119662496" w:history="1">
            <w:r w:rsidR="0061231B" w:rsidRPr="00780A9D">
              <w:rPr>
                <w:rStyle w:val="Hyperlink"/>
              </w:rPr>
              <w:t>14.5 Recommendations for future research</w:t>
            </w:r>
            <w:r w:rsidR="0061231B">
              <w:rPr>
                <w:webHidden/>
              </w:rPr>
              <w:tab/>
            </w:r>
            <w:r w:rsidR="0061231B">
              <w:rPr>
                <w:webHidden/>
              </w:rPr>
              <w:fldChar w:fldCharType="begin"/>
            </w:r>
            <w:r w:rsidR="0061231B">
              <w:rPr>
                <w:webHidden/>
              </w:rPr>
              <w:instrText xml:space="preserve"> PAGEREF _Toc119662496 \h </w:instrText>
            </w:r>
            <w:r w:rsidR="0061231B">
              <w:rPr>
                <w:webHidden/>
              </w:rPr>
            </w:r>
            <w:r w:rsidR="0061231B">
              <w:rPr>
                <w:webHidden/>
              </w:rPr>
              <w:fldChar w:fldCharType="separate"/>
            </w:r>
            <w:r w:rsidR="00C75AC6">
              <w:rPr>
                <w:webHidden/>
              </w:rPr>
              <w:t>236</w:t>
            </w:r>
            <w:r w:rsidR="0061231B">
              <w:rPr>
                <w:webHidden/>
              </w:rPr>
              <w:fldChar w:fldCharType="end"/>
            </w:r>
          </w:hyperlink>
        </w:p>
        <w:p w14:paraId="7EE1FA3B" w14:textId="14486B96" w:rsidR="0061231B" w:rsidRDefault="00C9023A">
          <w:pPr>
            <w:pStyle w:val="TOC1"/>
            <w:rPr>
              <w:rFonts w:asciiTheme="minorHAnsi" w:hAnsiTheme="minorHAnsi"/>
              <w:sz w:val="22"/>
            </w:rPr>
          </w:pPr>
          <w:hyperlink w:anchor="_Toc119662497" w:history="1">
            <w:r w:rsidR="0061231B" w:rsidRPr="00780A9D">
              <w:rPr>
                <w:rStyle w:val="Hyperlink"/>
                <w:lang w:bidi="en-US"/>
              </w:rPr>
              <w:t>15 References</w:t>
            </w:r>
            <w:r w:rsidR="0061231B">
              <w:rPr>
                <w:webHidden/>
              </w:rPr>
              <w:tab/>
            </w:r>
            <w:r w:rsidR="0061231B">
              <w:rPr>
                <w:webHidden/>
              </w:rPr>
              <w:fldChar w:fldCharType="begin"/>
            </w:r>
            <w:r w:rsidR="0061231B">
              <w:rPr>
                <w:webHidden/>
              </w:rPr>
              <w:instrText xml:space="preserve"> PAGEREF _Toc119662497 \h </w:instrText>
            </w:r>
            <w:r w:rsidR="0061231B">
              <w:rPr>
                <w:webHidden/>
              </w:rPr>
            </w:r>
            <w:r w:rsidR="0061231B">
              <w:rPr>
                <w:webHidden/>
              </w:rPr>
              <w:fldChar w:fldCharType="separate"/>
            </w:r>
            <w:r w:rsidR="00C75AC6">
              <w:rPr>
                <w:webHidden/>
              </w:rPr>
              <w:t>239</w:t>
            </w:r>
            <w:r w:rsidR="0061231B">
              <w:rPr>
                <w:webHidden/>
              </w:rPr>
              <w:fldChar w:fldCharType="end"/>
            </w:r>
          </w:hyperlink>
        </w:p>
        <w:p w14:paraId="788DDC2F" w14:textId="4215E702" w:rsidR="0061231B" w:rsidRDefault="0061231B">
          <w:r>
            <w:rPr>
              <w:rFonts w:eastAsiaTheme="minorEastAsia" w:cstheme="minorBidi"/>
              <w:noProof/>
              <w:w w:val="100"/>
              <w:kern w:val="0"/>
              <w:lang w:eastAsia="en-AU"/>
            </w:rPr>
            <w:fldChar w:fldCharType="end"/>
          </w:r>
        </w:p>
      </w:sdtContent>
    </w:sdt>
    <w:p w14:paraId="14B917E5" w14:textId="44640A64" w:rsidR="009D0006" w:rsidRPr="009A6790" w:rsidRDefault="009D0006" w:rsidP="009A6790">
      <w:pPr>
        <w:ind w:left="142" w:right="622" w:hanging="142"/>
      </w:pPr>
      <w:r>
        <w:br w:type="page"/>
      </w:r>
    </w:p>
    <w:p w14:paraId="1BD662AB" w14:textId="77777777" w:rsidR="009D0006" w:rsidRPr="00683740" w:rsidRDefault="009D0006" w:rsidP="009D0006">
      <w:pPr>
        <w:pStyle w:val="Heading1"/>
        <w:ind w:left="142" w:hanging="142"/>
      </w:pPr>
      <w:bookmarkStart w:id="65" w:name="_Toc115968469"/>
      <w:bookmarkStart w:id="66" w:name="_Toc119662371"/>
      <w:r w:rsidRPr="00683740">
        <w:lastRenderedPageBreak/>
        <w:t xml:space="preserve">List of </w:t>
      </w:r>
      <w:bookmarkEnd w:id="18"/>
      <w:bookmarkEnd w:id="19"/>
      <w:bookmarkEnd w:id="58"/>
      <w:bookmarkEnd w:id="63"/>
      <w:r>
        <w:t>t</w:t>
      </w:r>
      <w:r w:rsidRPr="00683740">
        <w:t>ables</w:t>
      </w:r>
      <w:bookmarkEnd w:id="65"/>
      <w:bookmarkEnd w:id="66"/>
    </w:p>
    <w:bookmarkStart w:id="67" w:name="_Toc40192067"/>
    <w:p w14:paraId="16103A5B" w14:textId="7714359B" w:rsidR="007F672C" w:rsidRDefault="007F672C">
      <w:pPr>
        <w:pStyle w:val="TableofFigures"/>
        <w:tabs>
          <w:tab w:val="right" w:leader="dot" w:pos="9968"/>
        </w:tabs>
        <w:rPr>
          <w:rFonts w:asciiTheme="minorHAnsi" w:eastAsiaTheme="minorEastAsia" w:hAnsiTheme="minorHAnsi" w:cstheme="minorBidi"/>
          <w:noProof/>
          <w:sz w:val="22"/>
          <w:szCs w:val="22"/>
          <w:lang w:eastAsia="en-AU"/>
        </w:rPr>
      </w:pPr>
      <w:r>
        <w:rPr>
          <w:rFonts w:ascii="Roboto" w:hAnsi="Roboto"/>
          <w:sz w:val="22"/>
        </w:rPr>
        <w:fldChar w:fldCharType="begin"/>
      </w:r>
      <w:r>
        <w:rPr>
          <w:rFonts w:ascii="Roboto" w:hAnsi="Roboto"/>
          <w:sz w:val="22"/>
        </w:rPr>
        <w:instrText xml:space="preserve"> TOC \h \z \c "Table" </w:instrText>
      </w:r>
      <w:r>
        <w:rPr>
          <w:rFonts w:ascii="Roboto" w:hAnsi="Roboto"/>
          <w:sz w:val="22"/>
        </w:rPr>
        <w:fldChar w:fldCharType="separate"/>
      </w:r>
      <w:hyperlink w:anchor="_Toc119651404" w:history="1">
        <w:r w:rsidRPr="001975F6">
          <w:rPr>
            <w:rStyle w:val="Hyperlink"/>
            <w:noProof/>
          </w:rPr>
          <w:t xml:space="preserve">Table 1: Disability or long-term health condition among young people with disability </w:t>
        </w:r>
        <w:r w:rsidR="00C90BA5">
          <w:rPr>
            <w:rStyle w:val="Hyperlink"/>
            <w:noProof/>
          </w:rPr>
          <w:br/>
        </w:r>
        <w:r w:rsidRPr="001975F6">
          <w:rPr>
            <w:rStyle w:val="Hyperlink"/>
            <w:noProof/>
          </w:rPr>
          <w:t>aged 14-21 years (n = 2500)</w:t>
        </w:r>
        <w:r>
          <w:rPr>
            <w:noProof/>
            <w:webHidden/>
          </w:rPr>
          <w:tab/>
        </w:r>
        <w:r>
          <w:rPr>
            <w:noProof/>
            <w:webHidden/>
          </w:rPr>
          <w:fldChar w:fldCharType="begin"/>
        </w:r>
        <w:r>
          <w:rPr>
            <w:noProof/>
            <w:webHidden/>
          </w:rPr>
          <w:instrText xml:space="preserve"> PAGEREF _Toc119651404 \h </w:instrText>
        </w:r>
        <w:r>
          <w:rPr>
            <w:noProof/>
            <w:webHidden/>
          </w:rPr>
        </w:r>
        <w:r>
          <w:rPr>
            <w:noProof/>
            <w:webHidden/>
          </w:rPr>
          <w:fldChar w:fldCharType="separate"/>
        </w:r>
        <w:r w:rsidR="00C75AC6">
          <w:rPr>
            <w:noProof/>
            <w:webHidden/>
          </w:rPr>
          <w:t>22</w:t>
        </w:r>
        <w:r>
          <w:rPr>
            <w:noProof/>
            <w:webHidden/>
          </w:rPr>
          <w:fldChar w:fldCharType="end"/>
        </w:r>
      </w:hyperlink>
    </w:p>
    <w:p w14:paraId="079B6E15" w14:textId="1807C07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05" w:history="1">
        <w:r w:rsidR="007F672C" w:rsidRPr="001975F6">
          <w:rPr>
            <w:rStyle w:val="Hyperlink"/>
            <w:noProof/>
          </w:rPr>
          <w:t xml:space="preserve">Table 2: Disability or long-term health condition among adults aged 18+ years as </w:t>
        </w:r>
        <w:r w:rsidR="00C90BA5">
          <w:rPr>
            <w:rStyle w:val="Hyperlink"/>
            <w:noProof/>
          </w:rPr>
          <w:br/>
        </w:r>
        <w:r w:rsidR="007F672C" w:rsidRPr="001975F6">
          <w:rPr>
            <w:rStyle w:val="Hyperlink"/>
            <w:noProof/>
          </w:rPr>
          <w:t>categorised by the Disability Flag (n = 2629)</w:t>
        </w:r>
        <w:r w:rsidR="007F672C">
          <w:rPr>
            <w:noProof/>
            <w:webHidden/>
          </w:rPr>
          <w:tab/>
        </w:r>
        <w:r w:rsidR="007F672C">
          <w:rPr>
            <w:noProof/>
            <w:webHidden/>
          </w:rPr>
          <w:fldChar w:fldCharType="begin"/>
        </w:r>
        <w:r w:rsidR="007F672C">
          <w:rPr>
            <w:noProof/>
            <w:webHidden/>
          </w:rPr>
          <w:instrText xml:space="preserve"> PAGEREF _Toc119651405 \h </w:instrText>
        </w:r>
        <w:r w:rsidR="007F672C">
          <w:rPr>
            <w:noProof/>
            <w:webHidden/>
          </w:rPr>
        </w:r>
        <w:r w:rsidR="007F672C">
          <w:rPr>
            <w:noProof/>
            <w:webHidden/>
          </w:rPr>
          <w:fldChar w:fldCharType="separate"/>
        </w:r>
        <w:r w:rsidR="00C75AC6">
          <w:rPr>
            <w:noProof/>
            <w:webHidden/>
          </w:rPr>
          <w:t>24</w:t>
        </w:r>
        <w:r w:rsidR="007F672C">
          <w:rPr>
            <w:noProof/>
            <w:webHidden/>
          </w:rPr>
          <w:fldChar w:fldCharType="end"/>
        </w:r>
      </w:hyperlink>
    </w:p>
    <w:p w14:paraId="70DAD7DE" w14:textId="2C81B56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06" w:history="1">
        <w:r w:rsidR="007F672C" w:rsidRPr="001975F6">
          <w:rPr>
            <w:rStyle w:val="Hyperlink"/>
            <w:noProof/>
          </w:rPr>
          <w:t xml:space="preserve">Table 3: Disability or long-term health condition among young people with disability </w:t>
        </w:r>
        <w:r w:rsidR="00C90BA5">
          <w:rPr>
            <w:rStyle w:val="Hyperlink"/>
            <w:noProof/>
          </w:rPr>
          <w:br/>
        </w:r>
        <w:r w:rsidR="007F672C" w:rsidRPr="001975F6">
          <w:rPr>
            <w:rStyle w:val="Hyperlink"/>
            <w:noProof/>
          </w:rPr>
          <w:t>aged 14-21 years, grouped by disability (n = 2500)</w:t>
        </w:r>
        <w:r w:rsidR="007F672C">
          <w:rPr>
            <w:noProof/>
            <w:webHidden/>
          </w:rPr>
          <w:tab/>
        </w:r>
        <w:r w:rsidR="007F672C">
          <w:rPr>
            <w:noProof/>
            <w:webHidden/>
          </w:rPr>
          <w:fldChar w:fldCharType="begin"/>
        </w:r>
        <w:r w:rsidR="007F672C">
          <w:rPr>
            <w:noProof/>
            <w:webHidden/>
          </w:rPr>
          <w:instrText xml:space="preserve"> PAGEREF _Toc119651406 \h </w:instrText>
        </w:r>
        <w:r w:rsidR="007F672C">
          <w:rPr>
            <w:noProof/>
            <w:webHidden/>
          </w:rPr>
        </w:r>
        <w:r w:rsidR="007F672C">
          <w:rPr>
            <w:noProof/>
            <w:webHidden/>
          </w:rPr>
          <w:fldChar w:fldCharType="separate"/>
        </w:r>
        <w:r w:rsidR="00C75AC6">
          <w:rPr>
            <w:noProof/>
            <w:webHidden/>
          </w:rPr>
          <w:t>30</w:t>
        </w:r>
        <w:r w:rsidR="007F672C">
          <w:rPr>
            <w:noProof/>
            <w:webHidden/>
          </w:rPr>
          <w:fldChar w:fldCharType="end"/>
        </w:r>
      </w:hyperlink>
    </w:p>
    <w:p w14:paraId="1698615A" w14:textId="15F4C85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07" w:history="1">
        <w:r w:rsidR="007F672C" w:rsidRPr="001975F6">
          <w:rPr>
            <w:rStyle w:val="Hyperlink"/>
            <w:noProof/>
          </w:rPr>
          <w:t xml:space="preserve">Table 4: Disability or long-term health condition among adults aged 18+ years, </w:t>
        </w:r>
        <w:r w:rsidR="00C90BA5">
          <w:rPr>
            <w:rStyle w:val="Hyperlink"/>
            <w:noProof/>
          </w:rPr>
          <w:br/>
        </w:r>
        <w:r w:rsidR="007F672C" w:rsidRPr="001975F6">
          <w:rPr>
            <w:rStyle w:val="Hyperlink"/>
            <w:noProof/>
          </w:rPr>
          <w:t>grouped by Disability Flag category (n = 6533)</w:t>
        </w:r>
        <w:r w:rsidR="007F672C">
          <w:rPr>
            <w:noProof/>
            <w:webHidden/>
          </w:rPr>
          <w:tab/>
        </w:r>
        <w:r w:rsidR="007F672C">
          <w:rPr>
            <w:noProof/>
            <w:webHidden/>
          </w:rPr>
          <w:fldChar w:fldCharType="begin"/>
        </w:r>
        <w:r w:rsidR="007F672C">
          <w:rPr>
            <w:noProof/>
            <w:webHidden/>
          </w:rPr>
          <w:instrText xml:space="preserve"> PAGEREF _Toc119651407 \h </w:instrText>
        </w:r>
        <w:r w:rsidR="007F672C">
          <w:rPr>
            <w:noProof/>
            <w:webHidden/>
          </w:rPr>
        </w:r>
        <w:r w:rsidR="007F672C">
          <w:rPr>
            <w:noProof/>
            <w:webHidden/>
          </w:rPr>
          <w:fldChar w:fldCharType="separate"/>
        </w:r>
        <w:r w:rsidR="00C75AC6">
          <w:rPr>
            <w:noProof/>
            <w:webHidden/>
          </w:rPr>
          <w:t>31</w:t>
        </w:r>
        <w:r w:rsidR="007F672C">
          <w:rPr>
            <w:noProof/>
            <w:webHidden/>
          </w:rPr>
          <w:fldChar w:fldCharType="end"/>
        </w:r>
      </w:hyperlink>
    </w:p>
    <w:p w14:paraId="6EDB7D5A" w14:textId="1467F04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08" w:history="1">
        <w:r w:rsidR="007F672C" w:rsidRPr="001975F6">
          <w:rPr>
            <w:rStyle w:val="Hyperlink"/>
            <w:noProof/>
          </w:rPr>
          <w:t xml:space="preserve">Table 5: Distribution by state and territory of young people with disability aged </w:t>
        </w:r>
        <w:r w:rsidR="00C90BA5">
          <w:rPr>
            <w:rStyle w:val="Hyperlink"/>
            <w:noProof/>
          </w:rPr>
          <w:br/>
        </w:r>
        <w:r w:rsidR="007F672C" w:rsidRPr="001975F6">
          <w:rPr>
            <w:rStyle w:val="Hyperlink"/>
            <w:noProof/>
          </w:rPr>
          <w:t>14-21 years (n = 2500)</w:t>
        </w:r>
        <w:r w:rsidR="007F672C">
          <w:rPr>
            <w:noProof/>
            <w:webHidden/>
          </w:rPr>
          <w:tab/>
        </w:r>
        <w:r w:rsidR="007F672C">
          <w:rPr>
            <w:noProof/>
            <w:webHidden/>
          </w:rPr>
          <w:fldChar w:fldCharType="begin"/>
        </w:r>
        <w:r w:rsidR="007F672C">
          <w:rPr>
            <w:noProof/>
            <w:webHidden/>
          </w:rPr>
          <w:instrText xml:space="preserve"> PAGEREF _Toc119651408 \h </w:instrText>
        </w:r>
        <w:r w:rsidR="007F672C">
          <w:rPr>
            <w:noProof/>
            <w:webHidden/>
          </w:rPr>
        </w:r>
        <w:r w:rsidR="007F672C">
          <w:rPr>
            <w:noProof/>
            <w:webHidden/>
          </w:rPr>
          <w:fldChar w:fldCharType="separate"/>
        </w:r>
        <w:r w:rsidR="00C75AC6">
          <w:rPr>
            <w:noProof/>
            <w:webHidden/>
          </w:rPr>
          <w:t>32</w:t>
        </w:r>
        <w:r w:rsidR="007F672C">
          <w:rPr>
            <w:noProof/>
            <w:webHidden/>
          </w:rPr>
          <w:fldChar w:fldCharType="end"/>
        </w:r>
      </w:hyperlink>
    </w:p>
    <w:p w14:paraId="7564E6B8" w14:textId="73B745C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09" w:history="1">
        <w:r w:rsidR="007F672C" w:rsidRPr="001975F6">
          <w:rPr>
            <w:rStyle w:val="Hyperlink"/>
            <w:noProof/>
          </w:rPr>
          <w:t xml:space="preserve">Table 6: Distribution by state and territory of adults with disability aged 18+ years </w:t>
        </w:r>
        <w:r w:rsidR="00C90BA5">
          <w:rPr>
            <w:rStyle w:val="Hyperlink"/>
            <w:noProof/>
          </w:rPr>
          <w:br/>
        </w:r>
        <w:r w:rsidR="007F672C" w:rsidRPr="001975F6">
          <w:rPr>
            <w:rStyle w:val="Hyperlink"/>
            <w:noProof/>
          </w:rPr>
          <w:t>(n = 2628)</w:t>
        </w:r>
        <w:r w:rsidR="007F672C">
          <w:rPr>
            <w:noProof/>
            <w:webHidden/>
          </w:rPr>
          <w:tab/>
        </w:r>
        <w:r w:rsidR="007F672C">
          <w:rPr>
            <w:noProof/>
            <w:webHidden/>
          </w:rPr>
          <w:fldChar w:fldCharType="begin"/>
        </w:r>
        <w:r w:rsidR="007F672C">
          <w:rPr>
            <w:noProof/>
            <w:webHidden/>
          </w:rPr>
          <w:instrText xml:space="preserve"> PAGEREF _Toc119651409 \h </w:instrText>
        </w:r>
        <w:r w:rsidR="007F672C">
          <w:rPr>
            <w:noProof/>
            <w:webHidden/>
          </w:rPr>
        </w:r>
        <w:r w:rsidR="007F672C">
          <w:rPr>
            <w:noProof/>
            <w:webHidden/>
          </w:rPr>
          <w:fldChar w:fldCharType="separate"/>
        </w:r>
        <w:r w:rsidR="00C75AC6">
          <w:rPr>
            <w:noProof/>
            <w:webHidden/>
          </w:rPr>
          <w:t>33</w:t>
        </w:r>
        <w:r w:rsidR="007F672C">
          <w:rPr>
            <w:noProof/>
            <w:webHidden/>
          </w:rPr>
          <w:fldChar w:fldCharType="end"/>
        </w:r>
      </w:hyperlink>
    </w:p>
    <w:p w14:paraId="3AF418F4" w14:textId="37D6975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0" w:history="1">
        <w:r w:rsidR="007F672C" w:rsidRPr="001975F6">
          <w:rPr>
            <w:rStyle w:val="Hyperlink"/>
            <w:noProof/>
          </w:rPr>
          <w:t>Table 7: Distribution by age of young people with disability (n = 2500)</w:t>
        </w:r>
        <w:r w:rsidR="007F672C">
          <w:rPr>
            <w:noProof/>
            <w:webHidden/>
          </w:rPr>
          <w:tab/>
        </w:r>
        <w:r w:rsidR="007F672C">
          <w:rPr>
            <w:noProof/>
            <w:webHidden/>
          </w:rPr>
          <w:fldChar w:fldCharType="begin"/>
        </w:r>
        <w:r w:rsidR="007F672C">
          <w:rPr>
            <w:noProof/>
            <w:webHidden/>
          </w:rPr>
          <w:instrText xml:space="preserve"> PAGEREF _Toc119651410 \h </w:instrText>
        </w:r>
        <w:r w:rsidR="007F672C">
          <w:rPr>
            <w:noProof/>
            <w:webHidden/>
          </w:rPr>
        </w:r>
        <w:r w:rsidR="007F672C">
          <w:rPr>
            <w:noProof/>
            <w:webHidden/>
          </w:rPr>
          <w:fldChar w:fldCharType="separate"/>
        </w:r>
        <w:r w:rsidR="00C75AC6">
          <w:rPr>
            <w:noProof/>
            <w:webHidden/>
          </w:rPr>
          <w:t>33</w:t>
        </w:r>
        <w:r w:rsidR="007F672C">
          <w:rPr>
            <w:noProof/>
            <w:webHidden/>
          </w:rPr>
          <w:fldChar w:fldCharType="end"/>
        </w:r>
      </w:hyperlink>
    </w:p>
    <w:p w14:paraId="416E2913" w14:textId="458E7D9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1" w:history="1">
        <w:r w:rsidR="007F672C" w:rsidRPr="001975F6">
          <w:rPr>
            <w:rStyle w:val="Hyperlink"/>
            <w:noProof/>
          </w:rPr>
          <w:t>Table 8: Distribution by age of adults with disability (n = 2629)</w:t>
        </w:r>
        <w:r w:rsidR="007F672C">
          <w:rPr>
            <w:noProof/>
            <w:webHidden/>
          </w:rPr>
          <w:tab/>
        </w:r>
        <w:r w:rsidR="007F672C">
          <w:rPr>
            <w:noProof/>
            <w:webHidden/>
          </w:rPr>
          <w:fldChar w:fldCharType="begin"/>
        </w:r>
        <w:r w:rsidR="007F672C">
          <w:rPr>
            <w:noProof/>
            <w:webHidden/>
          </w:rPr>
          <w:instrText xml:space="preserve"> PAGEREF _Toc119651411 \h </w:instrText>
        </w:r>
        <w:r w:rsidR="007F672C">
          <w:rPr>
            <w:noProof/>
            <w:webHidden/>
          </w:rPr>
        </w:r>
        <w:r w:rsidR="007F672C">
          <w:rPr>
            <w:noProof/>
            <w:webHidden/>
          </w:rPr>
          <w:fldChar w:fldCharType="separate"/>
        </w:r>
        <w:r w:rsidR="00C75AC6">
          <w:rPr>
            <w:noProof/>
            <w:webHidden/>
          </w:rPr>
          <w:t>34</w:t>
        </w:r>
        <w:r w:rsidR="007F672C">
          <w:rPr>
            <w:noProof/>
            <w:webHidden/>
          </w:rPr>
          <w:fldChar w:fldCharType="end"/>
        </w:r>
      </w:hyperlink>
    </w:p>
    <w:p w14:paraId="3A2A8EFA" w14:textId="60EEB50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2" w:history="1">
        <w:r w:rsidR="007F672C" w:rsidRPr="001975F6">
          <w:rPr>
            <w:rStyle w:val="Hyperlink"/>
            <w:noProof/>
          </w:rPr>
          <w:t xml:space="preserve">Table 9: Area of residence among young people with disability aged 14-21 years </w:t>
        </w:r>
        <w:r w:rsidR="00C90BA5">
          <w:rPr>
            <w:rStyle w:val="Hyperlink"/>
            <w:noProof/>
          </w:rPr>
          <w:br/>
        </w:r>
        <w:r w:rsidR="007F672C" w:rsidRPr="001975F6">
          <w:rPr>
            <w:rStyle w:val="Hyperlink"/>
            <w:noProof/>
          </w:rPr>
          <w:t>(n = 2498)</w:t>
        </w:r>
        <w:r w:rsidR="007F672C">
          <w:rPr>
            <w:noProof/>
            <w:webHidden/>
          </w:rPr>
          <w:tab/>
        </w:r>
        <w:r w:rsidR="007F672C">
          <w:rPr>
            <w:noProof/>
            <w:webHidden/>
          </w:rPr>
          <w:fldChar w:fldCharType="begin"/>
        </w:r>
        <w:r w:rsidR="007F672C">
          <w:rPr>
            <w:noProof/>
            <w:webHidden/>
          </w:rPr>
          <w:instrText xml:space="preserve"> PAGEREF _Toc119651412 \h </w:instrText>
        </w:r>
        <w:r w:rsidR="007F672C">
          <w:rPr>
            <w:noProof/>
            <w:webHidden/>
          </w:rPr>
        </w:r>
        <w:r w:rsidR="007F672C">
          <w:rPr>
            <w:noProof/>
            <w:webHidden/>
          </w:rPr>
          <w:fldChar w:fldCharType="separate"/>
        </w:r>
        <w:r w:rsidR="00C75AC6">
          <w:rPr>
            <w:noProof/>
            <w:webHidden/>
          </w:rPr>
          <w:t>34</w:t>
        </w:r>
        <w:r w:rsidR="007F672C">
          <w:rPr>
            <w:noProof/>
            <w:webHidden/>
          </w:rPr>
          <w:fldChar w:fldCharType="end"/>
        </w:r>
      </w:hyperlink>
    </w:p>
    <w:p w14:paraId="0DBBD4D4" w14:textId="140702B9"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3" w:history="1">
        <w:r w:rsidR="007F672C" w:rsidRPr="001975F6">
          <w:rPr>
            <w:rStyle w:val="Hyperlink"/>
            <w:noProof/>
          </w:rPr>
          <w:t>Table 10: Area of residence among adults with disability aged 18+ years (n = 2498)</w:t>
        </w:r>
        <w:r w:rsidR="007F672C">
          <w:rPr>
            <w:noProof/>
            <w:webHidden/>
          </w:rPr>
          <w:tab/>
        </w:r>
        <w:r w:rsidR="007F672C">
          <w:rPr>
            <w:noProof/>
            <w:webHidden/>
          </w:rPr>
          <w:fldChar w:fldCharType="begin"/>
        </w:r>
        <w:r w:rsidR="007F672C">
          <w:rPr>
            <w:noProof/>
            <w:webHidden/>
          </w:rPr>
          <w:instrText xml:space="preserve"> PAGEREF _Toc119651413 \h </w:instrText>
        </w:r>
        <w:r w:rsidR="007F672C">
          <w:rPr>
            <w:noProof/>
            <w:webHidden/>
          </w:rPr>
        </w:r>
        <w:r w:rsidR="007F672C">
          <w:rPr>
            <w:noProof/>
            <w:webHidden/>
          </w:rPr>
          <w:fldChar w:fldCharType="separate"/>
        </w:r>
        <w:r w:rsidR="00C75AC6">
          <w:rPr>
            <w:noProof/>
            <w:webHidden/>
          </w:rPr>
          <w:t>35</w:t>
        </w:r>
        <w:r w:rsidR="007F672C">
          <w:rPr>
            <w:noProof/>
            <w:webHidden/>
          </w:rPr>
          <w:fldChar w:fldCharType="end"/>
        </w:r>
      </w:hyperlink>
    </w:p>
    <w:p w14:paraId="79E091D8" w14:textId="350EC11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4" w:history="1">
        <w:r w:rsidR="007F672C" w:rsidRPr="001975F6">
          <w:rPr>
            <w:rStyle w:val="Hyperlink"/>
            <w:noProof/>
          </w:rPr>
          <w:t>Table 11: Gender of young people with disability aged 14-21 years (n = 2406)</w:t>
        </w:r>
        <w:r w:rsidR="007F672C">
          <w:rPr>
            <w:noProof/>
            <w:webHidden/>
          </w:rPr>
          <w:tab/>
        </w:r>
        <w:r w:rsidR="007F672C">
          <w:rPr>
            <w:noProof/>
            <w:webHidden/>
          </w:rPr>
          <w:fldChar w:fldCharType="begin"/>
        </w:r>
        <w:r w:rsidR="007F672C">
          <w:rPr>
            <w:noProof/>
            <w:webHidden/>
          </w:rPr>
          <w:instrText xml:space="preserve"> PAGEREF _Toc119651414 \h </w:instrText>
        </w:r>
        <w:r w:rsidR="007F672C">
          <w:rPr>
            <w:noProof/>
            <w:webHidden/>
          </w:rPr>
        </w:r>
        <w:r w:rsidR="007F672C">
          <w:rPr>
            <w:noProof/>
            <w:webHidden/>
          </w:rPr>
          <w:fldChar w:fldCharType="separate"/>
        </w:r>
        <w:r w:rsidR="00C75AC6">
          <w:rPr>
            <w:noProof/>
            <w:webHidden/>
          </w:rPr>
          <w:t>36</w:t>
        </w:r>
        <w:r w:rsidR="007F672C">
          <w:rPr>
            <w:noProof/>
            <w:webHidden/>
          </w:rPr>
          <w:fldChar w:fldCharType="end"/>
        </w:r>
      </w:hyperlink>
    </w:p>
    <w:p w14:paraId="3747FA97" w14:textId="56AB8A4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5" w:history="1">
        <w:r w:rsidR="007F672C" w:rsidRPr="001975F6">
          <w:rPr>
            <w:rStyle w:val="Hyperlink"/>
            <w:noProof/>
          </w:rPr>
          <w:t>Table 12: Gender of adults with disability aged 18+ years (n = 2600)</w:t>
        </w:r>
        <w:r w:rsidR="007F672C">
          <w:rPr>
            <w:noProof/>
            <w:webHidden/>
          </w:rPr>
          <w:tab/>
        </w:r>
        <w:r w:rsidR="007F672C">
          <w:rPr>
            <w:noProof/>
            <w:webHidden/>
          </w:rPr>
          <w:fldChar w:fldCharType="begin"/>
        </w:r>
        <w:r w:rsidR="007F672C">
          <w:rPr>
            <w:noProof/>
            <w:webHidden/>
          </w:rPr>
          <w:instrText xml:space="preserve"> PAGEREF _Toc119651415 \h </w:instrText>
        </w:r>
        <w:r w:rsidR="007F672C">
          <w:rPr>
            <w:noProof/>
            <w:webHidden/>
          </w:rPr>
        </w:r>
        <w:r w:rsidR="007F672C">
          <w:rPr>
            <w:noProof/>
            <w:webHidden/>
          </w:rPr>
          <w:fldChar w:fldCharType="separate"/>
        </w:r>
        <w:r w:rsidR="00C75AC6">
          <w:rPr>
            <w:noProof/>
            <w:webHidden/>
          </w:rPr>
          <w:t>36</w:t>
        </w:r>
        <w:r w:rsidR="007F672C">
          <w:rPr>
            <w:noProof/>
            <w:webHidden/>
          </w:rPr>
          <w:fldChar w:fldCharType="end"/>
        </w:r>
      </w:hyperlink>
    </w:p>
    <w:p w14:paraId="5F6534B7" w14:textId="47C4408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6" w:history="1">
        <w:r w:rsidR="007F672C" w:rsidRPr="001975F6">
          <w:rPr>
            <w:rStyle w:val="Hyperlink"/>
            <w:noProof/>
          </w:rPr>
          <w:t xml:space="preserve">Table 13: Sexual orientation of young people with disability aged 14-21 years  </w:t>
        </w:r>
        <w:r w:rsidR="00C90BA5">
          <w:rPr>
            <w:rStyle w:val="Hyperlink"/>
            <w:noProof/>
          </w:rPr>
          <w:br/>
        </w:r>
        <w:r w:rsidR="007F672C" w:rsidRPr="001975F6">
          <w:rPr>
            <w:rStyle w:val="Hyperlink"/>
            <w:noProof/>
          </w:rPr>
          <w:t>(n = 2497)</w:t>
        </w:r>
        <w:r w:rsidR="007F672C">
          <w:rPr>
            <w:noProof/>
            <w:webHidden/>
          </w:rPr>
          <w:tab/>
        </w:r>
        <w:r w:rsidR="007F672C">
          <w:rPr>
            <w:noProof/>
            <w:webHidden/>
          </w:rPr>
          <w:fldChar w:fldCharType="begin"/>
        </w:r>
        <w:r w:rsidR="007F672C">
          <w:rPr>
            <w:noProof/>
            <w:webHidden/>
          </w:rPr>
          <w:instrText xml:space="preserve"> PAGEREF _Toc119651416 \h </w:instrText>
        </w:r>
        <w:r w:rsidR="007F672C">
          <w:rPr>
            <w:noProof/>
            <w:webHidden/>
          </w:rPr>
        </w:r>
        <w:r w:rsidR="007F672C">
          <w:rPr>
            <w:noProof/>
            <w:webHidden/>
          </w:rPr>
          <w:fldChar w:fldCharType="separate"/>
        </w:r>
        <w:r w:rsidR="00C75AC6">
          <w:rPr>
            <w:noProof/>
            <w:webHidden/>
          </w:rPr>
          <w:t>37</w:t>
        </w:r>
        <w:r w:rsidR="007F672C">
          <w:rPr>
            <w:noProof/>
            <w:webHidden/>
          </w:rPr>
          <w:fldChar w:fldCharType="end"/>
        </w:r>
      </w:hyperlink>
    </w:p>
    <w:p w14:paraId="48A443B8" w14:textId="6C73D86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7" w:history="1">
        <w:r w:rsidR="007F672C" w:rsidRPr="001975F6">
          <w:rPr>
            <w:rStyle w:val="Hyperlink"/>
            <w:noProof/>
          </w:rPr>
          <w:t>Table 14: Sexual orientation of adults with disability aged 18+ years (n = 2621)</w:t>
        </w:r>
        <w:r w:rsidR="007F672C">
          <w:rPr>
            <w:noProof/>
            <w:webHidden/>
          </w:rPr>
          <w:tab/>
        </w:r>
        <w:r w:rsidR="007F672C">
          <w:rPr>
            <w:noProof/>
            <w:webHidden/>
          </w:rPr>
          <w:fldChar w:fldCharType="begin"/>
        </w:r>
        <w:r w:rsidR="007F672C">
          <w:rPr>
            <w:noProof/>
            <w:webHidden/>
          </w:rPr>
          <w:instrText xml:space="preserve"> PAGEREF _Toc119651417 \h </w:instrText>
        </w:r>
        <w:r w:rsidR="007F672C">
          <w:rPr>
            <w:noProof/>
            <w:webHidden/>
          </w:rPr>
        </w:r>
        <w:r w:rsidR="007F672C">
          <w:rPr>
            <w:noProof/>
            <w:webHidden/>
          </w:rPr>
          <w:fldChar w:fldCharType="separate"/>
        </w:r>
        <w:r w:rsidR="00C75AC6">
          <w:rPr>
            <w:noProof/>
            <w:webHidden/>
          </w:rPr>
          <w:t>38</w:t>
        </w:r>
        <w:r w:rsidR="007F672C">
          <w:rPr>
            <w:noProof/>
            <w:webHidden/>
          </w:rPr>
          <w:fldChar w:fldCharType="end"/>
        </w:r>
      </w:hyperlink>
    </w:p>
    <w:p w14:paraId="60C6D19E" w14:textId="13117B2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8" w:history="1">
        <w:r w:rsidR="007F672C" w:rsidRPr="001975F6">
          <w:rPr>
            <w:rStyle w:val="Hyperlink"/>
            <w:noProof/>
          </w:rPr>
          <w:t xml:space="preserve">Table 15: Cultural background of young people with disability aged 14-21 years  </w:t>
        </w:r>
        <w:r w:rsidR="00C90BA5">
          <w:rPr>
            <w:rStyle w:val="Hyperlink"/>
            <w:noProof/>
          </w:rPr>
          <w:br/>
        </w:r>
        <w:r w:rsidR="007F672C" w:rsidRPr="001975F6">
          <w:rPr>
            <w:rStyle w:val="Hyperlink"/>
            <w:noProof/>
          </w:rPr>
          <w:t>(n = 2407)</w:t>
        </w:r>
        <w:r w:rsidR="007F672C">
          <w:rPr>
            <w:noProof/>
            <w:webHidden/>
          </w:rPr>
          <w:tab/>
        </w:r>
        <w:r w:rsidR="007F672C">
          <w:rPr>
            <w:noProof/>
            <w:webHidden/>
          </w:rPr>
          <w:fldChar w:fldCharType="begin"/>
        </w:r>
        <w:r w:rsidR="007F672C">
          <w:rPr>
            <w:noProof/>
            <w:webHidden/>
          </w:rPr>
          <w:instrText xml:space="preserve"> PAGEREF _Toc119651418 \h </w:instrText>
        </w:r>
        <w:r w:rsidR="007F672C">
          <w:rPr>
            <w:noProof/>
            <w:webHidden/>
          </w:rPr>
        </w:r>
        <w:r w:rsidR="007F672C">
          <w:rPr>
            <w:noProof/>
            <w:webHidden/>
          </w:rPr>
          <w:fldChar w:fldCharType="separate"/>
        </w:r>
        <w:r w:rsidR="00C75AC6">
          <w:rPr>
            <w:noProof/>
            <w:webHidden/>
          </w:rPr>
          <w:t>43</w:t>
        </w:r>
        <w:r w:rsidR="007F672C">
          <w:rPr>
            <w:noProof/>
            <w:webHidden/>
          </w:rPr>
          <w:fldChar w:fldCharType="end"/>
        </w:r>
      </w:hyperlink>
    </w:p>
    <w:p w14:paraId="46648A31" w14:textId="73605AC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19" w:history="1">
        <w:r w:rsidR="007F672C" w:rsidRPr="001975F6">
          <w:rPr>
            <w:rStyle w:val="Hyperlink"/>
            <w:noProof/>
          </w:rPr>
          <w:t>Table 16: Cultural background of adults with disability aged 18+ years (n = 2269)</w:t>
        </w:r>
        <w:r w:rsidR="007F672C">
          <w:rPr>
            <w:noProof/>
            <w:webHidden/>
          </w:rPr>
          <w:tab/>
        </w:r>
        <w:r w:rsidR="007F672C">
          <w:rPr>
            <w:noProof/>
            <w:webHidden/>
          </w:rPr>
          <w:fldChar w:fldCharType="begin"/>
        </w:r>
        <w:r w:rsidR="007F672C">
          <w:rPr>
            <w:noProof/>
            <w:webHidden/>
          </w:rPr>
          <w:instrText xml:space="preserve"> PAGEREF _Toc119651419 \h </w:instrText>
        </w:r>
        <w:r w:rsidR="007F672C">
          <w:rPr>
            <w:noProof/>
            <w:webHidden/>
          </w:rPr>
        </w:r>
        <w:r w:rsidR="007F672C">
          <w:rPr>
            <w:noProof/>
            <w:webHidden/>
          </w:rPr>
          <w:fldChar w:fldCharType="separate"/>
        </w:r>
        <w:r w:rsidR="00C75AC6">
          <w:rPr>
            <w:noProof/>
            <w:webHidden/>
          </w:rPr>
          <w:t>44</w:t>
        </w:r>
        <w:r w:rsidR="007F672C">
          <w:rPr>
            <w:noProof/>
            <w:webHidden/>
          </w:rPr>
          <w:fldChar w:fldCharType="end"/>
        </w:r>
      </w:hyperlink>
    </w:p>
    <w:p w14:paraId="1A1653F1" w14:textId="12DC228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0" w:history="1">
        <w:r w:rsidR="007F672C" w:rsidRPr="001975F6">
          <w:rPr>
            <w:rStyle w:val="Hyperlink"/>
            <w:noProof/>
          </w:rPr>
          <w:t xml:space="preserve">Table 17: Religious or spiritual identity among young people with disability aged </w:t>
        </w:r>
        <w:r w:rsidR="00C90BA5">
          <w:rPr>
            <w:rStyle w:val="Hyperlink"/>
            <w:noProof/>
          </w:rPr>
          <w:br/>
        </w:r>
        <w:r w:rsidR="007F672C" w:rsidRPr="001975F6">
          <w:rPr>
            <w:rStyle w:val="Hyperlink"/>
            <w:noProof/>
          </w:rPr>
          <w:t>14-21 years (n = 2491)</w:t>
        </w:r>
        <w:r w:rsidR="007F672C">
          <w:rPr>
            <w:noProof/>
            <w:webHidden/>
          </w:rPr>
          <w:tab/>
        </w:r>
        <w:r w:rsidR="007F672C">
          <w:rPr>
            <w:noProof/>
            <w:webHidden/>
          </w:rPr>
          <w:fldChar w:fldCharType="begin"/>
        </w:r>
        <w:r w:rsidR="007F672C">
          <w:rPr>
            <w:noProof/>
            <w:webHidden/>
          </w:rPr>
          <w:instrText xml:space="preserve"> PAGEREF _Toc119651420 \h </w:instrText>
        </w:r>
        <w:r w:rsidR="007F672C">
          <w:rPr>
            <w:noProof/>
            <w:webHidden/>
          </w:rPr>
        </w:r>
        <w:r w:rsidR="007F672C">
          <w:rPr>
            <w:noProof/>
            <w:webHidden/>
          </w:rPr>
          <w:fldChar w:fldCharType="separate"/>
        </w:r>
        <w:r w:rsidR="00C75AC6">
          <w:rPr>
            <w:noProof/>
            <w:webHidden/>
          </w:rPr>
          <w:t>44</w:t>
        </w:r>
        <w:r w:rsidR="007F672C">
          <w:rPr>
            <w:noProof/>
            <w:webHidden/>
          </w:rPr>
          <w:fldChar w:fldCharType="end"/>
        </w:r>
      </w:hyperlink>
    </w:p>
    <w:p w14:paraId="659F0BBB" w14:textId="16F1A8D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1" w:history="1">
        <w:r w:rsidR="007F672C" w:rsidRPr="001975F6">
          <w:rPr>
            <w:rStyle w:val="Hyperlink"/>
            <w:noProof/>
          </w:rPr>
          <w:t xml:space="preserve">Table 18: Religious or spiritual identity among adults with disability aged 18+ years </w:t>
        </w:r>
        <w:r w:rsidR="00C90BA5">
          <w:rPr>
            <w:rStyle w:val="Hyperlink"/>
            <w:noProof/>
          </w:rPr>
          <w:br/>
        </w:r>
        <w:r w:rsidR="007F672C" w:rsidRPr="001975F6">
          <w:rPr>
            <w:rStyle w:val="Hyperlink"/>
            <w:noProof/>
          </w:rPr>
          <w:t>(n = 2618)</w:t>
        </w:r>
        <w:r w:rsidR="007F672C">
          <w:rPr>
            <w:noProof/>
            <w:webHidden/>
          </w:rPr>
          <w:tab/>
        </w:r>
        <w:r w:rsidR="007F672C">
          <w:rPr>
            <w:noProof/>
            <w:webHidden/>
          </w:rPr>
          <w:fldChar w:fldCharType="begin"/>
        </w:r>
        <w:r w:rsidR="007F672C">
          <w:rPr>
            <w:noProof/>
            <w:webHidden/>
          </w:rPr>
          <w:instrText xml:space="preserve"> PAGEREF _Toc119651421 \h </w:instrText>
        </w:r>
        <w:r w:rsidR="007F672C">
          <w:rPr>
            <w:noProof/>
            <w:webHidden/>
          </w:rPr>
        </w:r>
        <w:r w:rsidR="007F672C">
          <w:rPr>
            <w:noProof/>
            <w:webHidden/>
          </w:rPr>
          <w:fldChar w:fldCharType="separate"/>
        </w:r>
        <w:r w:rsidR="00C75AC6">
          <w:rPr>
            <w:noProof/>
            <w:webHidden/>
          </w:rPr>
          <w:t>45</w:t>
        </w:r>
        <w:r w:rsidR="007F672C">
          <w:rPr>
            <w:noProof/>
            <w:webHidden/>
          </w:rPr>
          <w:fldChar w:fldCharType="end"/>
        </w:r>
      </w:hyperlink>
    </w:p>
    <w:p w14:paraId="2191F434" w14:textId="47330D1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2" w:history="1">
        <w:r w:rsidR="007F672C" w:rsidRPr="001975F6">
          <w:rPr>
            <w:rStyle w:val="Hyperlink"/>
            <w:noProof/>
          </w:rPr>
          <w:t xml:space="preserve">Table 19: Educational institution attended in past 12 months by young people with </w:t>
        </w:r>
        <w:r w:rsidR="00C90BA5">
          <w:rPr>
            <w:rStyle w:val="Hyperlink"/>
            <w:noProof/>
          </w:rPr>
          <w:br/>
        </w:r>
        <w:r w:rsidR="007F672C" w:rsidRPr="001975F6">
          <w:rPr>
            <w:rStyle w:val="Hyperlink"/>
            <w:noProof/>
          </w:rPr>
          <w:t>disability aged 14-21 years (n = 2500)</w:t>
        </w:r>
        <w:r w:rsidR="007F672C">
          <w:rPr>
            <w:noProof/>
            <w:webHidden/>
          </w:rPr>
          <w:tab/>
        </w:r>
        <w:r w:rsidR="007F672C">
          <w:rPr>
            <w:noProof/>
            <w:webHidden/>
          </w:rPr>
          <w:fldChar w:fldCharType="begin"/>
        </w:r>
        <w:r w:rsidR="007F672C">
          <w:rPr>
            <w:noProof/>
            <w:webHidden/>
          </w:rPr>
          <w:instrText xml:space="preserve"> PAGEREF _Toc119651422 \h </w:instrText>
        </w:r>
        <w:r w:rsidR="007F672C">
          <w:rPr>
            <w:noProof/>
            <w:webHidden/>
          </w:rPr>
        </w:r>
        <w:r w:rsidR="007F672C">
          <w:rPr>
            <w:noProof/>
            <w:webHidden/>
          </w:rPr>
          <w:fldChar w:fldCharType="separate"/>
        </w:r>
        <w:r w:rsidR="00C75AC6">
          <w:rPr>
            <w:noProof/>
            <w:webHidden/>
          </w:rPr>
          <w:t>46</w:t>
        </w:r>
        <w:r w:rsidR="007F672C">
          <w:rPr>
            <w:noProof/>
            <w:webHidden/>
          </w:rPr>
          <w:fldChar w:fldCharType="end"/>
        </w:r>
      </w:hyperlink>
    </w:p>
    <w:p w14:paraId="77523E9C" w14:textId="55AF79E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3" w:history="1">
        <w:r w:rsidR="007F672C" w:rsidRPr="001975F6">
          <w:rPr>
            <w:rStyle w:val="Hyperlink"/>
            <w:noProof/>
          </w:rPr>
          <w:t xml:space="preserve">Table 20: Highest educational qualification of adults with disability aged 18+ years </w:t>
        </w:r>
        <w:r w:rsidR="00C90BA5">
          <w:rPr>
            <w:rStyle w:val="Hyperlink"/>
            <w:noProof/>
          </w:rPr>
          <w:br/>
        </w:r>
        <w:r w:rsidR="007F672C" w:rsidRPr="001975F6">
          <w:rPr>
            <w:rStyle w:val="Hyperlink"/>
            <w:noProof/>
          </w:rPr>
          <w:t>(n = 2628)</w:t>
        </w:r>
        <w:r w:rsidR="007F672C">
          <w:rPr>
            <w:noProof/>
            <w:webHidden/>
          </w:rPr>
          <w:tab/>
        </w:r>
        <w:r w:rsidR="007F672C">
          <w:rPr>
            <w:noProof/>
            <w:webHidden/>
          </w:rPr>
          <w:fldChar w:fldCharType="begin"/>
        </w:r>
        <w:r w:rsidR="007F672C">
          <w:rPr>
            <w:noProof/>
            <w:webHidden/>
          </w:rPr>
          <w:instrText xml:space="preserve"> PAGEREF _Toc119651423 \h </w:instrText>
        </w:r>
        <w:r w:rsidR="007F672C">
          <w:rPr>
            <w:noProof/>
            <w:webHidden/>
          </w:rPr>
        </w:r>
        <w:r w:rsidR="007F672C">
          <w:rPr>
            <w:noProof/>
            <w:webHidden/>
          </w:rPr>
          <w:fldChar w:fldCharType="separate"/>
        </w:r>
        <w:r w:rsidR="00C75AC6">
          <w:rPr>
            <w:noProof/>
            <w:webHidden/>
          </w:rPr>
          <w:t>47</w:t>
        </w:r>
        <w:r w:rsidR="007F672C">
          <w:rPr>
            <w:noProof/>
            <w:webHidden/>
          </w:rPr>
          <w:fldChar w:fldCharType="end"/>
        </w:r>
      </w:hyperlink>
    </w:p>
    <w:p w14:paraId="2938F111" w14:textId="27540F9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4" w:history="1">
        <w:r w:rsidR="007F672C" w:rsidRPr="001975F6">
          <w:rPr>
            <w:rStyle w:val="Hyperlink"/>
            <w:noProof/>
          </w:rPr>
          <w:t xml:space="preserve">Table 21: Employment status in past 12 months of young people with disability aged </w:t>
        </w:r>
        <w:r w:rsidR="00C90BA5">
          <w:rPr>
            <w:rStyle w:val="Hyperlink"/>
            <w:noProof/>
          </w:rPr>
          <w:br/>
        </w:r>
        <w:r w:rsidR="007F672C" w:rsidRPr="001975F6">
          <w:rPr>
            <w:rStyle w:val="Hyperlink"/>
            <w:noProof/>
          </w:rPr>
          <w:t>14-21 years (n = 2498)</w:t>
        </w:r>
        <w:r w:rsidR="007F672C">
          <w:rPr>
            <w:noProof/>
            <w:webHidden/>
          </w:rPr>
          <w:tab/>
        </w:r>
        <w:r w:rsidR="007F672C">
          <w:rPr>
            <w:noProof/>
            <w:webHidden/>
          </w:rPr>
          <w:fldChar w:fldCharType="begin"/>
        </w:r>
        <w:r w:rsidR="007F672C">
          <w:rPr>
            <w:noProof/>
            <w:webHidden/>
          </w:rPr>
          <w:instrText xml:space="preserve"> PAGEREF _Toc119651424 \h </w:instrText>
        </w:r>
        <w:r w:rsidR="007F672C">
          <w:rPr>
            <w:noProof/>
            <w:webHidden/>
          </w:rPr>
        </w:r>
        <w:r w:rsidR="007F672C">
          <w:rPr>
            <w:noProof/>
            <w:webHidden/>
          </w:rPr>
          <w:fldChar w:fldCharType="separate"/>
        </w:r>
        <w:r w:rsidR="00C75AC6">
          <w:rPr>
            <w:noProof/>
            <w:webHidden/>
          </w:rPr>
          <w:t>47</w:t>
        </w:r>
        <w:r w:rsidR="007F672C">
          <w:rPr>
            <w:noProof/>
            <w:webHidden/>
          </w:rPr>
          <w:fldChar w:fldCharType="end"/>
        </w:r>
      </w:hyperlink>
    </w:p>
    <w:p w14:paraId="0884DF8A" w14:textId="5272E79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5" w:history="1">
        <w:r w:rsidR="007F672C" w:rsidRPr="001975F6">
          <w:rPr>
            <w:rStyle w:val="Hyperlink"/>
            <w:noProof/>
          </w:rPr>
          <w:t>Table 22: Current employment status of adults with disability aged 18+ years (n = 2622)</w:t>
        </w:r>
        <w:r w:rsidR="007F672C">
          <w:rPr>
            <w:noProof/>
            <w:webHidden/>
          </w:rPr>
          <w:tab/>
        </w:r>
        <w:r w:rsidR="007F672C">
          <w:rPr>
            <w:noProof/>
            <w:webHidden/>
          </w:rPr>
          <w:fldChar w:fldCharType="begin"/>
        </w:r>
        <w:r w:rsidR="007F672C">
          <w:rPr>
            <w:noProof/>
            <w:webHidden/>
          </w:rPr>
          <w:instrText xml:space="preserve"> PAGEREF _Toc119651425 \h </w:instrText>
        </w:r>
        <w:r w:rsidR="007F672C">
          <w:rPr>
            <w:noProof/>
            <w:webHidden/>
          </w:rPr>
        </w:r>
        <w:r w:rsidR="007F672C">
          <w:rPr>
            <w:noProof/>
            <w:webHidden/>
          </w:rPr>
          <w:fldChar w:fldCharType="separate"/>
        </w:r>
        <w:r w:rsidR="00C75AC6">
          <w:rPr>
            <w:noProof/>
            <w:webHidden/>
          </w:rPr>
          <w:t>48</w:t>
        </w:r>
        <w:r w:rsidR="007F672C">
          <w:rPr>
            <w:noProof/>
            <w:webHidden/>
          </w:rPr>
          <w:fldChar w:fldCharType="end"/>
        </w:r>
      </w:hyperlink>
    </w:p>
    <w:p w14:paraId="6C8053BF" w14:textId="55CADB5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6" w:history="1">
        <w:r w:rsidR="007F672C" w:rsidRPr="001975F6">
          <w:rPr>
            <w:rStyle w:val="Hyperlink"/>
            <w:noProof/>
          </w:rPr>
          <w:t xml:space="preserve">Table 23: Total weekly income before tax of all wages/salaries, government benefits, pensions, allowances and other income among adults with disability aged 18+ years </w:t>
        </w:r>
        <w:r w:rsidR="00C90BA5">
          <w:rPr>
            <w:rStyle w:val="Hyperlink"/>
            <w:noProof/>
          </w:rPr>
          <w:br/>
        </w:r>
        <w:r w:rsidR="007F672C" w:rsidRPr="001975F6">
          <w:rPr>
            <w:rStyle w:val="Hyperlink"/>
            <w:noProof/>
          </w:rPr>
          <w:t>(n = 2604)</w:t>
        </w:r>
        <w:r w:rsidR="007F672C">
          <w:rPr>
            <w:noProof/>
            <w:webHidden/>
          </w:rPr>
          <w:tab/>
        </w:r>
        <w:r w:rsidR="007F672C">
          <w:rPr>
            <w:noProof/>
            <w:webHidden/>
          </w:rPr>
          <w:fldChar w:fldCharType="begin"/>
        </w:r>
        <w:r w:rsidR="007F672C">
          <w:rPr>
            <w:noProof/>
            <w:webHidden/>
          </w:rPr>
          <w:instrText xml:space="preserve"> PAGEREF _Toc119651426 \h </w:instrText>
        </w:r>
        <w:r w:rsidR="007F672C">
          <w:rPr>
            <w:noProof/>
            <w:webHidden/>
          </w:rPr>
        </w:r>
        <w:r w:rsidR="007F672C">
          <w:rPr>
            <w:noProof/>
            <w:webHidden/>
          </w:rPr>
          <w:fldChar w:fldCharType="separate"/>
        </w:r>
        <w:r w:rsidR="00C75AC6">
          <w:rPr>
            <w:noProof/>
            <w:webHidden/>
          </w:rPr>
          <w:t>49</w:t>
        </w:r>
        <w:r w:rsidR="007F672C">
          <w:rPr>
            <w:noProof/>
            <w:webHidden/>
          </w:rPr>
          <w:fldChar w:fldCharType="end"/>
        </w:r>
      </w:hyperlink>
    </w:p>
    <w:p w14:paraId="1219C372" w14:textId="6C45E76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7" w:history="1">
        <w:r w:rsidR="007F672C" w:rsidRPr="001975F6">
          <w:rPr>
            <w:rStyle w:val="Hyperlink"/>
            <w:noProof/>
          </w:rPr>
          <w:t xml:space="preserve">Table 24: Current housing situation of young people with disability aged 14-21 years </w:t>
        </w:r>
        <w:r w:rsidR="00C90BA5">
          <w:rPr>
            <w:rStyle w:val="Hyperlink"/>
            <w:noProof/>
          </w:rPr>
          <w:br/>
        </w:r>
        <w:r w:rsidR="007F672C" w:rsidRPr="001975F6">
          <w:rPr>
            <w:rStyle w:val="Hyperlink"/>
            <w:noProof/>
          </w:rPr>
          <w:t>(n = 2625)</w:t>
        </w:r>
        <w:r w:rsidR="007F672C">
          <w:rPr>
            <w:noProof/>
            <w:webHidden/>
          </w:rPr>
          <w:tab/>
        </w:r>
        <w:r w:rsidR="007F672C">
          <w:rPr>
            <w:noProof/>
            <w:webHidden/>
          </w:rPr>
          <w:fldChar w:fldCharType="begin"/>
        </w:r>
        <w:r w:rsidR="007F672C">
          <w:rPr>
            <w:noProof/>
            <w:webHidden/>
          </w:rPr>
          <w:instrText xml:space="preserve"> PAGEREF _Toc119651427 \h </w:instrText>
        </w:r>
        <w:r w:rsidR="007F672C">
          <w:rPr>
            <w:noProof/>
            <w:webHidden/>
          </w:rPr>
        </w:r>
        <w:r w:rsidR="007F672C">
          <w:rPr>
            <w:noProof/>
            <w:webHidden/>
          </w:rPr>
          <w:fldChar w:fldCharType="separate"/>
        </w:r>
        <w:r w:rsidR="00C75AC6">
          <w:rPr>
            <w:noProof/>
            <w:webHidden/>
          </w:rPr>
          <w:t>50</w:t>
        </w:r>
        <w:r w:rsidR="007F672C">
          <w:rPr>
            <w:noProof/>
            <w:webHidden/>
          </w:rPr>
          <w:fldChar w:fldCharType="end"/>
        </w:r>
      </w:hyperlink>
    </w:p>
    <w:p w14:paraId="016BA60A" w14:textId="213C0A0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8" w:history="1">
        <w:r w:rsidR="007F672C" w:rsidRPr="001975F6">
          <w:rPr>
            <w:rStyle w:val="Hyperlink"/>
            <w:noProof/>
          </w:rPr>
          <w:t>Table 25: Current housing situation of adults with disability aged 18+ years (n = 2624)</w:t>
        </w:r>
        <w:r w:rsidR="007F672C">
          <w:rPr>
            <w:noProof/>
            <w:webHidden/>
          </w:rPr>
          <w:tab/>
        </w:r>
        <w:r w:rsidR="007F672C">
          <w:rPr>
            <w:noProof/>
            <w:webHidden/>
          </w:rPr>
          <w:fldChar w:fldCharType="begin"/>
        </w:r>
        <w:r w:rsidR="007F672C">
          <w:rPr>
            <w:noProof/>
            <w:webHidden/>
          </w:rPr>
          <w:instrText xml:space="preserve"> PAGEREF _Toc119651428 \h </w:instrText>
        </w:r>
        <w:r w:rsidR="007F672C">
          <w:rPr>
            <w:noProof/>
            <w:webHidden/>
          </w:rPr>
        </w:r>
        <w:r w:rsidR="007F672C">
          <w:rPr>
            <w:noProof/>
            <w:webHidden/>
          </w:rPr>
          <w:fldChar w:fldCharType="separate"/>
        </w:r>
        <w:r w:rsidR="00C75AC6">
          <w:rPr>
            <w:noProof/>
            <w:webHidden/>
          </w:rPr>
          <w:t>50</w:t>
        </w:r>
        <w:r w:rsidR="007F672C">
          <w:rPr>
            <w:noProof/>
            <w:webHidden/>
          </w:rPr>
          <w:fldChar w:fldCharType="end"/>
        </w:r>
      </w:hyperlink>
    </w:p>
    <w:p w14:paraId="19CD74E6" w14:textId="0ABB2B4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29" w:history="1">
        <w:r w:rsidR="007F672C" w:rsidRPr="001975F6">
          <w:rPr>
            <w:rStyle w:val="Hyperlink"/>
            <w:noProof/>
          </w:rPr>
          <w:t xml:space="preserve">Table 26: Household members of young people with disability aged 14-21 years </w:t>
        </w:r>
        <w:r w:rsidR="00C90BA5">
          <w:rPr>
            <w:rStyle w:val="Hyperlink"/>
            <w:noProof/>
          </w:rPr>
          <w:br/>
        </w:r>
        <w:r w:rsidR="007F672C" w:rsidRPr="001975F6">
          <w:rPr>
            <w:rStyle w:val="Hyperlink"/>
            <w:noProof/>
          </w:rPr>
          <w:t>(n = 2497)</w:t>
        </w:r>
        <w:r w:rsidR="007F672C">
          <w:rPr>
            <w:noProof/>
            <w:webHidden/>
          </w:rPr>
          <w:tab/>
        </w:r>
        <w:r w:rsidR="007F672C">
          <w:rPr>
            <w:noProof/>
            <w:webHidden/>
          </w:rPr>
          <w:fldChar w:fldCharType="begin"/>
        </w:r>
        <w:r w:rsidR="007F672C">
          <w:rPr>
            <w:noProof/>
            <w:webHidden/>
          </w:rPr>
          <w:instrText xml:space="preserve"> PAGEREF _Toc119651429 \h </w:instrText>
        </w:r>
        <w:r w:rsidR="007F672C">
          <w:rPr>
            <w:noProof/>
            <w:webHidden/>
          </w:rPr>
        </w:r>
        <w:r w:rsidR="007F672C">
          <w:rPr>
            <w:noProof/>
            <w:webHidden/>
          </w:rPr>
          <w:fldChar w:fldCharType="separate"/>
        </w:r>
        <w:r w:rsidR="00C75AC6">
          <w:rPr>
            <w:noProof/>
            <w:webHidden/>
          </w:rPr>
          <w:t>51</w:t>
        </w:r>
        <w:r w:rsidR="007F672C">
          <w:rPr>
            <w:noProof/>
            <w:webHidden/>
          </w:rPr>
          <w:fldChar w:fldCharType="end"/>
        </w:r>
      </w:hyperlink>
    </w:p>
    <w:p w14:paraId="7A0A55EC" w14:textId="22120B42"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0" w:history="1">
        <w:r w:rsidR="007F672C" w:rsidRPr="001975F6">
          <w:rPr>
            <w:rStyle w:val="Hyperlink"/>
            <w:noProof/>
          </w:rPr>
          <w:t>Table 27: Household members of adults with disability aged 18+ years (n = 2331)</w:t>
        </w:r>
        <w:r w:rsidR="007F672C">
          <w:rPr>
            <w:noProof/>
            <w:webHidden/>
          </w:rPr>
          <w:tab/>
        </w:r>
        <w:r w:rsidR="007F672C">
          <w:rPr>
            <w:noProof/>
            <w:webHidden/>
          </w:rPr>
          <w:fldChar w:fldCharType="begin"/>
        </w:r>
        <w:r w:rsidR="007F672C">
          <w:rPr>
            <w:noProof/>
            <w:webHidden/>
          </w:rPr>
          <w:instrText xml:space="preserve"> PAGEREF _Toc119651430 \h </w:instrText>
        </w:r>
        <w:r w:rsidR="007F672C">
          <w:rPr>
            <w:noProof/>
            <w:webHidden/>
          </w:rPr>
        </w:r>
        <w:r w:rsidR="007F672C">
          <w:rPr>
            <w:noProof/>
            <w:webHidden/>
          </w:rPr>
          <w:fldChar w:fldCharType="separate"/>
        </w:r>
        <w:r w:rsidR="00C75AC6">
          <w:rPr>
            <w:noProof/>
            <w:webHidden/>
          </w:rPr>
          <w:t>52</w:t>
        </w:r>
        <w:r w:rsidR="007F672C">
          <w:rPr>
            <w:noProof/>
            <w:webHidden/>
          </w:rPr>
          <w:fldChar w:fldCharType="end"/>
        </w:r>
      </w:hyperlink>
    </w:p>
    <w:p w14:paraId="798F372E" w14:textId="4D8B2A4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1" w:history="1">
        <w:r w:rsidR="007F672C" w:rsidRPr="001975F6">
          <w:rPr>
            <w:rStyle w:val="Hyperlink"/>
            <w:bCs/>
            <w:noProof/>
          </w:rPr>
          <w:t>Tables 28.1-28.6</w:t>
        </w:r>
        <w:r w:rsidR="007F672C" w:rsidRPr="001975F6">
          <w:rPr>
            <w:rStyle w:val="Hyperlink"/>
            <w:noProof/>
          </w:rPr>
          <w:t xml:space="preserve">: Proportion of young people with disability aged 14-21 years who </w:t>
        </w:r>
        <w:r w:rsidR="00C90BA5">
          <w:rPr>
            <w:rStyle w:val="Hyperlink"/>
            <w:noProof/>
          </w:rPr>
          <w:br/>
        </w:r>
        <w:r w:rsidR="007F672C" w:rsidRPr="001975F6">
          <w:rPr>
            <w:rStyle w:val="Hyperlink"/>
            <w:noProof/>
          </w:rPr>
          <w:t>feel supported about their sexuality, gender identity or gender expression</w:t>
        </w:r>
        <w:r w:rsidR="007F672C">
          <w:rPr>
            <w:noProof/>
            <w:webHidden/>
          </w:rPr>
          <w:tab/>
        </w:r>
        <w:r w:rsidR="007F672C">
          <w:rPr>
            <w:noProof/>
            <w:webHidden/>
          </w:rPr>
          <w:fldChar w:fldCharType="begin"/>
        </w:r>
        <w:r w:rsidR="007F672C">
          <w:rPr>
            <w:noProof/>
            <w:webHidden/>
          </w:rPr>
          <w:instrText xml:space="preserve"> PAGEREF _Toc119651431 \h </w:instrText>
        </w:r>
        <w:r w:rsidR="007F672C">
          <w:rPr>
            <w:noProof/>
            <w:webHidden/>
          </w:rPr>
        </w:r>
        <w:r w:rsidR="007F672C">
          <w:rPr>
            <w:noProof/>
            <w:webHidden/>
          </w:rPr>
          <w:fldChar w:fldCharType="separate"/>
        </w:r>
        <w:r w:rsidR="00C75AC6">
          <w:rPr>
            <w:noProof/>
            <w:webHidden/>
          </w:rPr>
          <w:t>56</w:t>
        </w:r>
        <w:r w:rsidR="007F672C">
          <w:rPr>
            <w:noProof/>
            <w:webHidden/>
          </w:rPr>
          <w:fldChar w:fldCharType="end"/>
        </w:r>
      </w:hyperlink>
    </w:p>
    <w:p w14:paraId="0644CC49" w14:textId="5343A1F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2" w:history="1">
        <w:r w:rsidR="007F672C" w:rsidRPr="001975F6">
          <w:rPr>
            <w:rStyle w:val="Hyperlink"/>
            <w:noProof/>
          </w:rPr>
          <w:t xml:space="preserve">Tables 29.1-29.6: Proportion of young people aged 14-21 years who feel supported </w:t>
        </w:r>
        <w:r w:rsidR="00C90BA5">
          <w:rPr>
            <w:rStyle w:val="Hyperlink"/>
            <w:noProof/>
          </w:rPr>
          <w:br/>
        </w:r>
        <w:r w:rsidR="007F672C" w:rsidRPr="001975F6">
          <w:rPr>
            <w:rStyle w:val="Hyperlink"/>
            <w:noProof/>
          </w:rPr>
          <w:t>about their sexuality or gender identity, grouped by disability</w:t>
        </w:r>
        <w:r w:rsidR="007F672C">
          <w:rPr>
            <w:noProof/>
            <w:webHidden/>
          </w:rPr>
          <w:tab/>
        </w:r>
        <w:r w:rsidR="007F672C">
          <w:rPr>
            <w:noProof/>
            <w:webHidden/>
          </w:rPr>
          <w:fldChar w:fldCharType="begin"/>
        </w:r>
        <w:r w:rsidR="007F672C">
          <w:rPr>
            <w:noProof/>
            <w:webHidden/>
          </w:rPr>
          <w:instrText xml:space="preserve"> PAGEREF _Toc119651432 \h </w:instrText>
        </w:r>
        <w:r w:rsidR="007F672C">
          <w:rPr>
            <w:noProof/>
            <w:webHidden/>
          </w:rPr>
        </w:r>
        <w:r w:rsidR="007F672C">
          <w:rPr>
            <w:noProof/>
            <w:webHidden/>
          </w:rPr>
          <w:fldChar w:fldCharType="separate"/>
        </w:r>
        <w:r w:rsidR="00C75AC6">
          <w:rPr>
            <w:noProof/>
            <w:webHidden/>
          </w:rPr>
          <w:t>57</w:t>
        </w:r>
        <w:r w:rsidR="007F672C">
          <w:rPr>
            <w:noProof/>
            <w:webHidden/>
          </w:rPr>
          <w:fldChar w:fldCharType="end"/>
        </w:r>
      </w:hyperlink>
    </w:p>
    <w:p w14:paraId="185DC7A4" w14:textId="564E35A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3" w:history="1">
        <w:r w:rsidR="007F672C" w:rsidRPr="001975F6">
          <w:rPr>
            <w:rStyle w:val="Hyperlink"/>
            <w:noProof/>
          </w:rPr>
          <w:t xml:space="preserve">Table 30: Proportion of adults with disability aged 18+ years who currently feel accepted </w:t>
        </w:r>
        <w:r w:rsidR="00C90BA5">
          <w:rPr>
            <w:rStyle w:val="Hyperlink"/>
            <w:noProof/>
          </w:rPr>
          <w:br/>
        </w:r>
        <w:r w:rsidR="007F672C" w:rsidRPr="001975F6">
          <w:rPr>
            <w:rStyle w:val="Hyperlink"/>
            <w:noProof/>
          </w:rPr>
          <w:t>‘a lot’ or ‘always’ in the following situations</w:t>
        </w:r>
        <w:r w:rsidR="007F672C">
          <w:rPr>
            <w:noProof/>
            <w:webHidden/>
          </w:rPr>
          <w:tab/>
        </w:r>
        <w:r w:rsidR="007F672C">
          <w:rPr>
            <w:noProof/>
            <w:webHidden/>
          </w:rPr>
          <w:fldChar w:fldCharType="begin"/>
        </w:r>
        <w:r w:rsidR="007F672C">
          <w:rPr>
            <w:noProof/>
            <w:webHidden/>
          </w:rPr>
          <w:instrText xml:space="preserve"> PAGEREF _Toc119651433 \h </w:instrText>
        </w:r>
        <w:r w:rsidR="007F672C">
          <w:rPr>
            <w:noProof/>
            <w:webHidden/>
          </w:rPr>
        </w:r>
        <w:r w:rsidR="007F672C">
          <w:rPr>
            <w:noProof/>
            <w:webHidden/>
          </w:rPr>
          <w:fldChar w:fldCharType="separate"/>
        </w:r>
        <w:r w:rsidR="00C75AC6">
          <w:rPr>
            <w:noProof/>
            <w:webHidden/>
          </w:rPr>
          <w:t>60</w:t>
        </w:r>
        <w:r w:rsidR="007F672C">
          <w:rPr>
            <w:noProof/>
            <w:webHidden/>
          </w:rPr>
          <w:fldChar w:fldCharType="end"/>
        </w:r>
      </w:hyperlink>
    </w:p>
    <w:p w14:paraId="60C09E1E" w14:textId="5C55BBB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4" w:history="1">
        <w:r w:rsidR="007F672C" w:rsidRPr="001975F6">
          <w:rPr>
            <w:rStyle w:val="Hyperlink"/>
            <w:noProof/>
          </w:rPr>
          <w:t>Tables 31.1-31.4: Proportion of adults with disability aged 18+ years who currently feel accepted ‘a lot’ or ‘always’, grouped by Disability Flag category</w:t>
        </w:r>
        <w:r w:rsidR="007F672C">
          <w:rPr>
            <w:noProof/>
            <w:webHidden/>
          </w:rPr>
          <w:tab/>
        </w:r>
        <w:r w:rsidR="007F672C">
          <w:rPr>
            <w:noProof/>
            <w:webHidden/>
          </w:rPr>
          <w:fldChar w:fldCharType="begin"/>
        </w:r>
        <w:r w:rsidR="007F672C">
          <w:rPr>
            <w:noProof/>
            <w:webHidden/>
          </w:rPr>
          <w:instrText xml:space="preserve"> PAGEREF _Toc119651434 \h </w:instrText>
        </w:r>
        <w:r w:rsidR="007F672C">
          <w:rPr>
            <w:noProof/>
            <w:webHidden/>
          </w:rPr>
        </w:r>
        <w:r w:rsidR="007F672C">
          <w:rPr>
            <w:noProof/>
            <w:webHidden/>
          </w:rPr>
          <w:fldChar w:fldCharType="separate"/>
        </w:r>
        <w:r w:rsidR="00C75AC6">
          <w:rPr>
            <w:noProof/>
            <w:webHidden/>
          </w:rPr>
          <w:t>61</w:t>
        </w:r>
        <w:r w:rsidR="007F672C">
          <w:rPr>
            <w:noProof/>
            <w:webHidden/>
          </w:rPr>
          <w:fldChar w:fldCharType="end"/>
        </w:r>
      </w:hyperlink>
    </w:p>
    <w:p w14:paraId="587EBFEF" w14:textId="5223AB6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5" w:history="1">
        <w:r w:rsidR="007F672C" w:rsidRPr="001975F6">
          <w:rPr>
            <w:rStyle w:val="Hyperlink"/>
            <w:bCs/>
            <w:noProof/>
          </w:rPr>
          <w:t>Tables 32.1-32.4</w:t>
        </w:r>
        <w:r w:rsidR="007F672C" w:rsidRPr="001975F6">
          <w:rPr>
            <w:rStyle w:val="Hyperlink"/>
            <w:noProof/>
          </w:rPr>
          <w:t xml:space="preserve">: Proportion of young people with disability aged 14-21 years who </w:t>
        </w:r>
        <w:r w:rsidR="00C90BA5">
          <w:rPr>
            <w:rStyle w:val="Hyperlink"/>
            <w:noProof/>
          </w:rPr>
          <w:br/>
        </w:r>
        <w:r w:rsidR="007F672C" w:rsidRPr="001975F6">
          <w:rPr>
            <w:rStyle w:val="Hyperlink"/>
            <w:noProof/>
          </w:rPr>
          <w:t xml:space="preserve">reported feeling unsafe or uncomfortable in their educational setting due to their </w:t>
        </w:r>
        <w:r w:rsidR="00C90BA5">
          <w:rPr>
            <w:rStyle w:val="Hyperlink"/>
            <w:noProof/>
          </w:rPr>
          <w:br/>
        </w:r>
        <w:r w:rsidR="007F672C" w:rsidRPr="001975F6">
          <w:rPr>
            <w:rStyle w:val="Hyperlink"/>
            <w:noProof/>
          </w:rPr>
          <w:t>sexuality or gender identity in the past 12 months</w:t>
        </w:r>
        <w:r w:rsidR="007F672C">
          <w:rPr>
            <w:noProof/>
            <w:webHidden/>
          </w:rPr>
          <w:tab/>
        </w:r>
        <w:r w:rsidR="007F672C">
          <w:rPr>
            <w:noProof/>
            <w:webHidden/>
          </w:rPr>
          <w:fldChar w:fldCharType="begin"/>
        </w:r>
        <w:r w:rsidR="007F672C">
          <w:rPr>
            <w:noProof/>
            <w:webHidden/>
          </w:rPr>
          <w:instrText xml:space="preserve"> PAGEREF _Toc119651435 \h </w:instrText>
        </w:r>
        <w:r w:rsidR="007F672C">
          <w:rPr>
            <w:noProof/>
            <w:webHidden/>
          </w:rPr>
        </w:r>
        <w:r w:rsidR="007F672C">
          <w:rPr>
            <w:noProof/>
            <w:webHidden/>
          </w:rPr>
          <w:fldChar w:fldCharType="separate"/>
        </w:r>
        <w:r w:rsidR="00C75AC6">
          <w:rPr>
            <w:noProof/>
            <w:webHidden/>
          </w:rPr>
          <w:t>65</w:t>
        </w:r>
        <w:r w:rsidR="007F672C">
          <w:rPr>
            <w:noProof/>
            <w:webHidden/>
          </w:rPr>
          <w:fldChar w:fldCharType="end"/>
        </w:r>
      </w:hyperlink>
    </w:p>
    <w:p w14:paraId="11962844" w14:textId="022A91E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6" w:history="1">
        <w:r w:rsidR="007F672C" w:rsidRPr="001975F6">
          <w:rPr>
            <w:rStyle w:val="Hyperlink"/>
            <w:bCs/>
            <w:noProof/>
          </w:rPr>
          <w:t>Tables 33.1-33.7</w:t>
        </w:r>
        <w:r w:rsidR="007F672C" w:rsidRPr="001975F6">
          <w:rPr>
            <w:rStyle w:val="Hyperlink"/>
            <w:noProof/>
          </w:rPr>
          <w:t xml:space="preserve">: Proportion of young people aged 14-21 years who reported feeling </w:t>
        </w:r>
        <w:r w:rsidR="00C90BA5">
          <w:rPr>
            <w:rStyle w:val="Hyperlink"/>
            <w:noProof/>
          </w:rPr>
          <w:br/>
        </w:r>
        <w:r w:rsidR="007F672C" w:rsidRPr="001975F6">
          <w:rPr>
            <w:rStyle w:val="Hyperlink"/>
            <w:noProof/>
          </w:rPr>
          <w:t xml:space="preserve">unsafe or uncomfortable in their educational setting due to their sexuality or gender </w:t>
        </w:r>
        <w:r w:rsidR="00C90BA5">
          <w:rPr>
            <w:rStyle w:val="Hyperlink"/>
            <w:noProof/>
          </w:rPr>
          <w:br/>
        </w:r>
        <w:r w:rsidR="007F672C" w:rsidRPr="001975F6">
          <w:rPr>
            <w:rStyle w:val="Hyperlink"/>
            <w:noProof/>
          </w:rPr>
          <w:t>identity in the past 12 months, grouped by disability</w:t>
        </w:r>
        <w:r w:rsidR="007F672C">
          <w:rPr>
            <w:noProof/>
            <w:webHidden/>
          </w:rPr>
          <w:tab/>
        </w:r>
        <w:r w:rsidR="007F672C">
          <w:rPr>
            <w:noProof/>
            <w:webHidden/>
          </w:rPr>
          <w:fldChar w:fldCharType="begin"/>
        </w:r>
        <w:r w:rsidR="007F672C">
          <w:rPr>
            <w:noProof/>
            <w:webHidden/>
          </w:rPr>
          <w:instrText xml:space="preserve"> PAGEREF _Toc119651436 \h </w:instrText>
        </w:r>
        <w:r w:rsidR="007F672C">
          <w:rPr>
            <w:noProof/>
            <w:webHidden/>
          </w:rPr>
        </w:r>
        <w:r w:rsidR="007F672C">
          <w:rPr>
            <w:noProof/>
            <w:webHidden/>
          </w:rPr>
          <w:fldChar w:fldCharType="separate"/>
        </w:r>
        <w:r w:rsidR="00C75AC6">
          <w:rPr>
            <w:noProof/>
            <w:webHidden/>
          </w:rPr>
          <w:t>66</w:t>
        </w:r>
        <w:r w:rsidR="007F672C">
          <w:rPr>
            <w:noProof/>
            <w:webHidden/>
          </w:rPr>
          <w:fldChar w:fldCharType="end"/>
        </w:r>
      </w:hyperlink>
    </w:p>
    <w:p w14:paraId="48937685" w14:textId="15E960C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7" w:history="1">
        <w:r w:rsidR="007F672C" w:rsidRPr="001975F6">
          <w:rPr>
            <w:rStyle w:val="Hyperlink"/>
            <w:bCs/>
            <w:noProof/>
          </w:rPr>
          <w:t>Table 34</w:t>
        </w:r>
        <w:r w:rsidR="007F672C" w:rsidRPr="001975F6">
          <w:rPr>
            <w:rStyle w:val="Hyperlink"/>
            <w:noProof/>
          </w:rPr>
          <w:t xml:space="preserve">: Perceived safety when engaging in LGBTIQA+ affirming practices among </w:t>
        </w:r>
        <w:r w:rsidR="00C90BA5">
          <w:rPr>
            <w:rStyle w:val="Hyperlink"/>
            <w:noProof/>
          </w:rPr>
          <w:br/>
        </w:r>
        <w:r w:rsidR="007F672C" w:rsidRPr="001975F6">
          <w:rPr>
            <w:rStyle w:val="Hyperlink"/>
            <w:noProof/>
          </w:rPr>
          <w:t>young people with disability aged 14-21 years</w:t>
        </w:r>
        <w:r w:rsidR="007F672C">
          <w:rPr>
            <w:noProof/>
            <w:webHidden/>
          </w:rPr>
          <w:tab/>
        </w:r>
        <w:r w:rsidR="007F672C">
          <w:rPr>
            <w:noProof/>
            <w:webHidden/>
          </w:rPr>
          <w:fldChar w:fldCharType="begin"/>
        </w:r>
        <w:r w:rsidR="007F672C">
          <w:rPr>
            <w:noProof/>
            <w:webHidden/>
          </w:rPr>
          <w:instrText xml:space="preserve"> PAGEREF _Toc119651437 \h </w:instrText>
        </w:r>
        <w:r w:rsidR="007F672C">
          <w:rPr>
            <w:noProof/>
            <w:webHidden/>
          </w:rPr>
        </w:r>
        <w:r w:rsidR="007F672C">
          <w:rPr>
            <w:noProof/>
            <w:webHidden/>
          </w:rPr>
          <w:fldChar w:fldCharType="separate"/>
        </w:r>
        <w:r w:rsidR="00C75AC6">
          <w:rPr>
            <w:noProof/>
            <w:webHidden/>
          </w:rPr>
          <w:t>68</w:t>
        </w:r>
        <w:r w:rsidR="007F672C">
          <w:rPr>
            <w:noProof/>
            <w:webHidden/>
          </w:rPr>
          <w:fldChar w:fldCharType="end"/>
        </w:r>
      </w:hyperlink>
    </w:p>
    <w:p w14:paraId="5C36A089" w14:textId="4F22C48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8" w:history="1">
        <w:r w:rsidR="007F672C" w:rsidRPr="001975F6">
          <w:rPr>
            <w:rStyle w:val="Hyperlink"/>
            <w:bCs/>
            <w:noProof/>
          </w:rPr>
          <w:t>Tables 35.1-35.4</w:t>
        </w:r>
        <w:r w:rsidR="007F672C" w:rsidRPr="001975F6">
          <w:rPr>
            <w:rStyle w:val="Hyperlink"/>
            <w:noProof/>
          </w:rPr>
          <w:t xml:space="preserve">: Perceived safety engaging in gender affirming acts in educational </w:t>
        </w:r>
        <w:r w:rsidR="00C90BA5">
          <w:rPr>
            <w:rStyle w:val="Hyperlink"/>
            <w:noProof/>
          </w:rPr>
          <w:br/>
        </w:r>
        <w:r w:rsidR="007F672C" w:rsidRPr="001975F6">
          <w:rPr>
            <w:rStyle w:val="Hyperlink"/>
            <w:noProof/>
          </w:rPr>
          <w:t>settings among young people with disability aged 14-21 years</w:t>
        </w:r>
        <w:r w:rsidR="007F672C">
          <w:rPr>
            <w:noProof/>
            <w:webHidden/>
          </w:rPr>
          <w:tab/>
        </w:r>
        <w:r w:rsidR="007F672C">
          <w:rPr>
            <w:noProof/>
            <w:webHidden/>
          </w:rPr>
          <w:fldChar w:fldCharType="begin"/>
        </w:r>
        <w:r w:rsidR="007F672C">
          <w:rPr>
            <w:noProof/>
            <w:webHidden/>
          </w:rPr>
          <w:instrText xml:space="preserve"> PAGEREF _Toc119651438 \h </w:instrText>
        </w:r>
        <w:r w:rsidR="007F672C">
          <w:rPr>
            <w:noProof/>
            <w:webHidden/>
          </w:rPr>
        </w:r>
        <w:r w:rsidR="007F672C">
          <w:rPr>
            <w:noProof/>
            <w:webHidden/>
          </w:rPr>
          <w:fldChar w:fldCharType="separate"/>
        </w:r>
        <w:r w:rsidR="00C75AC6">
          <w:rPr>
            <w:noProof/>
            <w:webHidden/>
          </w:rPr>
          <w:t>69</w:t>
        </w:r>
        <w:r w:rsidR="007F672C">
          <w:rPr>
            <w:noProof/>
            <w:webHidden/>
          </w:rPr>
          <w:fldChar w:fldCharType="end"/>
        </w:r>
      </w:hyperlink>
    </w:p>
    <w:p w14:paraId="36B987E7" w14:textId="729F2E9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39" w:history="1">
        <w:r w:rsidR="007F672C" w:rsidRPr="001975F6">
          <w:rPr>
            <w:rStyle w:val="Hyperlink"/>
            <w:bCs/>
            <w:noProof/>
          </w:rPr>
          <w:t>Tables 36.1-36.4</w:t>
        </w:r>
        <w:r w:rsidR="007F672C" w:rsidRPr="001975F6">
          <w:rPr>
            <w:rStyle w:val="Hyperlink"/>
            <w:noProof/>
          </w:rPr>
          <w:t xml:space="preserve">: Any missed days due to feeling unsafe or uncomfortable at their educational setting in the past 12 months among young people with disability aged </w:t>
        </w:r>
        <w:r w:rsidR="00C90BA5">
          <w:rPr>
            <w:rStyle w:val="Hyperlink"/>
            <w:noProof/>
          </w:rPr>
          <w:br/>
        </w:r>
        <w:r w:rsidR="007F672C" w:rsidRPr="001975F6">
          <w:rPr>
            <w:rStyle w:val="Hyperlink"/>
            <w:noProof/>
          </w:rPr>
          <w:t>14-21 years</w:t>
        </w:r>
        <w:r w:rsidR="007F672C">
          <w:rPr>
            <w:noProof/>
            <w:webHidden/>
          </w:rPr>
          <w:tab/>
        </w:r>
        <w:r w:rsidR="007F672C">
          <w:rPr>
            <w:noProof/>
            <w:webHidden/>
          </w:rPr>
          <w:fldChar w:fldCharType="begin"/>
        </w:r>
        <w:r w:rsidR="007F672C">
          <w:rPr>
            <w:noProof/>
            <w:webHidden/>
          </w:rPr>
          <w:instrText xml:space="preserve"> PAGEREF _Toc119651439 \h </w:instrText>
        </w:r>
        <w:r w:rsidR="007F672C">
          <w:rPr>
            <w:noProof/>
            <w:webHidden/>
          </w:rPr>
        </w:r>
        <w:r w:rsidR="007F672C">
          <w:rPr>
            <w:noProof/>
            <w:webHidden/>
          </w:rPr>
          <w:fldChar w:fldCharType="separate"/>
        </w:r>
        <w:r w:rsidR="00C75AC6">
          <w:rPr>
            <w:noProof/>
            <w:webHidden/>
          </w:rPr>
          <w:t>70</w:t>
        </w:r>
        <w:r w:rsidR="007F672C">
          <w:rPr>
            <w:noProof/>
            <w:webHidden/>
          </w:rPr>
          <w:fldChar w:fldCharType="end"/>
        </w:r>
      </w:hyperlink>
    </w:p>
    <w:p w14:paraId="069F847C" w14:textId="411F752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0" w:history="1">
        <w:r w:rsidR="007F672C" w:rsidRPr="001975F6">
          <w:rPr>
            <w:rStyle w:val="Hyperlink"/>
            <w:bCs/>
            <w:noProof/>
          </w:rPr>
          <w:t>Table 37</w:t>
        </w:r>
        <w:r w:rsidR="007F672C" w:rsidRPr="001975F6">
          <w:rPr>
            <w:rStyle w:val="Hyperlink"/>
            <w:noProof/>
          </w:rPr>
          <w:t xml:space="preserve">: Any missed days due to feeling unsafe or uncomfortable at their educational </w:t>
        </w:r>
        <w:r w:rsidR="00C90BA5">
          <w:rPr>
            <w:rStyle w:val="Hyperlink"/>
            <w:noProof/>
          </w:rPr>
          <w:br/>
        </w:r>
        <w:r w:rsidR="007F672C" w:rsidRPr="001975F6">
          <w:rPr>
            <w:rStyle w:val="Hyperlink"/>
            <w:noProof/>
          </w:rPr>
          <w:t xml:space="preserve">setting in the past 12 months among young people aged 14-21 years, grouped by </w:t>
        </w:r>
        <w:r w:rsidR="00C90BA5">
          <w:rPr>
            <w:rStyle w:val="Hyperlink"/>
            <w:noProof/>
          </w:rPr>
          <w:br/>
        </w:r>
        <w:r w:rsidR="007F672C" w:rsidRPr="001975F6">
          <w:rPr>
            <w:rStyle w:val="Hyperlink"/>
            <w:noProof/>
          </w:rPr>
          <w:t>disability</w:t>
        </w:r>
        <w:r w:rsidR="007F672C">
          <w:rPr>
            <w:noProof/>
            <w:webHidden/>
          </w:rPr>
          <w:tab/>
        </w:r>
        <w:r w:rsidR="007F672C">
          <w:rPr>
            <w:noProof/>
            <w:webHidden/>
          </w:rPr>
          <w:fldChar w:fldCharType="begin"/>
        </w:r>
        <w:r w:rsidR="007F672C">
          <w:rPr>
            <w:noProof/>
            <w:webHidden/>
          </w:rPr>
          <w:instrText xml:space="preserve"> PAGEREF _Toc119651440 \h </w:instrText>
        </w:r>
        <w:r w:rsidR="007F672C">
          <w:rPr>
            <w:noProof/>
            <w:webHidden/>
          </w:rPr>
        </w:r>
        <w:r w:rsidR="007F672C">
          <w:rPr>
            <w:noProof/>
            <w:webHidden/>
          </w:rPr>
          <w:fldChar w:fldCharType="separate"/>
        </w:r>
        <w:r w:rsidR="00C75AC6">
          <w:rPr>
            <w:noProof/>
            <w:webHidden/>
          </w:rPr>
          <w:t>71</w:t>
        </w:r>
        <w:r w:rsidR="007F672C">
          <w:rPr>
            <w:noProof/>
            <w:webHidden/>
          </w:rPr>
          <w:fldChar w:fldCharType="end"/>
        </w:r>
      </w:hyperlink>
    </w:p>
    <w:p w14:paraId="30AA3B2D" w14:textId="741BEBC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1" w:history="1">
        <w:r w:rsidR="007F672C" w:rsidRPr="001975F6">
          <w:rPr>
            <w:rStyle w:val="Hyperlink"/>
            <w:bCs/>
            <w:noProof/>
          </w:rPr>
          <w:t>Tables 38</w:t>
        </w:r>
        <w:r w:rsidR="007F672C" w:rsidRPr="001975F6">
          <w:rPr>
            <w:rStyle w:val="Hyperlink"/>
            <w:noProof/>
          </w:rPr>
          <w:t xml:space="preserve">.1-38.7: Experiences of verbal, physical and sexual harassment or assault </w:t>
        </w:r>
        <w:r w:rsidR="00C90BA5">
          <w:rPr>
            <w:rStyle w:val="Hyperlink"/>
            <w:noProof/>
          </w:rPr>
          <w:br/>
        </w:r>
        <w:r w:rsidR="007F672C" w:rsidRPr="001975F6">
          <w:rPr>
            <w:rStyle w:val="Hyperlink"/>
            <w:noProof/>
          </w:rPr>
          <w:t xml:space="preserve">based on sexual orientation or gender identity in the past 12 months among young </w:t>
        </w:r>
        <w:r w:rsidR="00C90BA5">
          <w:rPr>
            <w:rStyle w:val="Hyperlink"/>
            <w:noProof/>
          </w:rPr>
          <w:br/>
        </w:r>
        <w:r w:rsidR="007F672C" w:rsidRPr="001975F6">
          <w:rPr>
            <w:rStyle w:val="Hyperlink"/>
            <w:noProof/>
          </w:rPr>
          <w:t>people aged 14-21 years, grouped by disability</w:t>
        </w:r>
        <w:r w:rsidR="007F672C">
          <w:rPr>
            <w:noProof/>
            <w:webHidden/>
          </w:rPr>
          <w:tab/>
        </w:r>
        <w:r w:rsidR="007F672C">
          <w:rPr>
            <w:noProof/>
            <w:webHidden/>
          </w:rPr>
          <w:fldChar w:fldCharType="begin"/>
        </w:r>
        <w:r w:rsidR="007F672C">
          <w:rPr>
            <w:noProof/>
            <w:webHidden/>
          </w:rPr>
          <w:instrText xml:space="preserve"> PAGEREF _Toc119651441 \h </w:instrText>
        </w:r>
        <w:r w:rsidR="007F672C">
          <w:rPr>
            <w:noProof/>
            <w:webHidden/>
          </w:rPr>
        </w:r>
        <w:r w:rsidR="007F672C">
          <w:rPr>
            <w:noProof/>
            <w:webHidden/>
          </w:rPr>
          <w:fldChar w:fldCharType="separate"/>
        </w:r>
        <w:r w:rsidR="00C75AC6">
          <w:rPr>
            <w:noProof/>
            <w:webHidden/>
          </w:rPr>
          <w:t>76</w:t>
        </w:r>
        <w:r w:rsidR="007F672C">
          <w:rPr>
            <w:noProof/>
            <w:webHidden/>
          </w:rPr>
          <w:fldChar w:fldCharType="end"/>
        </w:r>
      </w:hyperlink>
    </w:p>
    <w:p w14:paraId="0DACF4AF" w14:textId="0E21992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2" w:history="1">
        <w:r w:rsidR="007F672C" w:rsidRPr="001975F6">
          <w:rPr>
            <w:rStyle w:val="Hyperlink"/>
            <w:noProof/>
          </w:rPr>
          <w:t xml:space="preserve">Tables 39.1-39.7 Ever experienced verbal, physical or sexual harassment or assault </w:t>
        </w:r>
        <w:r w:rsidR="00C90BA5">
          <w:rPr>
            <w:rStyle w:val="Hyperlink"/>
            <w:noProof/>
          </w:rPr>
          <w:br/>
        </w:r>
        <w:r w:rsidR="007F672C" w:rsidRPr="001975F6">
          <w:rPr>
            <w:rStyle w:val="Hyperlink"/>
            <w:noProof/>
          </w:rPr>
          <w:t>based on sexual orientation or gender identity among young people aged 14-21 years, grouped by disability</w:t>
        </w:r>
        <w:r w:rsidR="007F672C">
          <w:rPr>
            <w:noProof/>
            <w:webHidden/>
          </w:rPr>
          <w:tab/>
        </w:r>
        <w:r w:rsidR="007F672C">
          <w:rPr>
            <w:noProof/>
            <w:webHidden/>
          </w:rPr>
          <w:fldChar w:fldCharType="begin"/>
        </w:r>
        <w:r w:rsidR="007F672C">
          <w:rPr>
            <w:noProof/>
            <w:webHidden/>
          </w:rPr>
          <w:instrText xml:space="preserve"> PAGEREF _Toc119651442 \h </w:instrText>
        </w:r>
        <w:r w:rsidR="007F672C">
          <w:rPr>
            <w:noProof/>
            <w:webHidden/>
          </w:rPr>
        </w:r>
        <w:r w:rsidR="007F672C">
          <w:rPr>
            <w:noProof/>
            <w:webHidden/>
          </w:rPr>
          <w:fldChar w:fldCharType="separate"/>
        </w:r>
        <w:r w:rsidR="00C75AC6">
          <w:rPr>
            <w:noProof/>
            <w:webHidden/>
          </w:rPr>
          <w:t>79</w:t>
        </w:r>
        <w:r w:rsidR="007F672C">
          <w:rPr>
            <w:noProof/>
            <w:webHidden/>
          </w:rPr>
          <w:fldChar w:fldCharType="end"/>
        </w:r>
      </w:hyperlink>
    </w:p>
    <w:p w14:paraId="3F338E0E" w14:textId="335F29B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3" w:history="1">
        <w:r w:rsidR="007F672C" w:rsidRPr="001975F6">
          <w:rPr>
            <w:rStyle w:val="Hyperlink"/>
            <w:bCs/>
            <w:noProof/>
          </w:rPr>
          <w:t>Tables 40.1-40.3:</w:t>
        </w:r>
        <w:r w:rsidR="007F672C" w:rsidRPr="001975F6">
          <w:rPr>
            <w:rStyle w:val="Hyperlink"/>
            <w:noProof/>
          </w:rPr>
          <w:t xml:space="preserve"> Experiences of verbal, physical and sexual harassment or assault </w:t>
        </w:r>
        <w:r w:rsidR="00C90BA5">
          <w:rPr>
            <w:rStyle w:val="Hyperlink"/>
            <w:noProof/>
          </w:rPr>
          <w:br/>
        </w:r>
        <w:r w:rsidR="007F672C" w:rsidRPr="001975F6">
          <w:rPr>
            <w:rStyle w:val="Hyperlink"/>
            <w:noProof/>
          </w:rPr>
          <w:t xml:space="preserve">based on sexuality or gender identity in the past 12 months by setting among young </w:t>
        </w:r>
        <w:r w:rsidR="00C90BA5">
          <w:rPr>
            <w:rStyle w:val="Hyperlink"/>
            <w:noProof/>
          </w:rPr>
          <w:br/>
        </w:r>
        <w:r w:rsidR="007F672C" w:rsidRPr="001975F6">
          <w:rPr>
            <w:rStyle w:val="Hyperlink"/>
            <w:noProof/>
          </w:rPr>
          <w:t>people with disability aged 14-21 years</w:t>
        </w:r>
        <w:r w:rsidR="007F672C">
          <w:rPr>
            <w:noProof/>
            <w:webHidden/>
          </w:rPr>
          <w:tab/>
        </w:r>
        <w:r w:rsidR="007F672C">
          <w:rPr>
            <w:noProof/>
            <w:webHidden/>
          </w:rPr>
          <w:fldChar w:fldCharType="begin"/>
        </w:r>
        <w:r w:rsidR="007F672C">
          <w:rPr>
            <w:noProof/>
            <w:webHidden/>
          </w:rPr>
          <w:instrText xml:space="preserve"> PAGEREF _Toc119651443 \h </w:instrText>
        </w:r>
        <w:r w:rsidR="007F672C">
          <w:rPr>
            <w:noProof/>
            <w:webHidden/>
          </w:rPr>
        </w:r>
        <w:r w:rsidR="007F672C">
          <w:rPr>
            <w:noProof/>
            <w:webHidden/>
          </w:rPr>
          <w:fldChar w:fldCharType="separate"/>
        </w:r>
        <w:r w:rsidR="00C75AC6">
          <w:rPr>
            <w:noProof/>
            <w:webHidden/>
          </w:rPr>
          <w:t>82</w:t>
        </w:r>
        <w:r w:rsidR="007F672C">
          <w:rPr>
            <w:noProof/>
            <w:webHidden/>
          </w:rPr>
          <w:fldChar w:fldCharType="end"/>
        </w:r>
      </w:hyperlink>
    </w:p>
    <w:p w14:paraId="37DD7691" w14:textId="36F06012"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4" w:history="1">
        <w:r w:rsidR="007F672C" w:rsidRPr="001975F6">
          <w:rPr>
            <w:rStyle w:val="Hyperlink"/>
            <w:bCs/>
            <w:noProof/>
          </w:rPr>
          <w:t>Table 41</w:t>
        </w:r>
        <w:r w:rsidR="007F672C" w:rsidRPr="001975F6">
          <w:rPr>
            <w:rStyle w:val="Hyperlink"/>
            <w:noProof/>
          </w:rPr>
          <w:t xml:space="preserve">: Perpetrators of harassment or assault in education settings among young </w:t>
        </w:r>
        <w:r w:rsidR="00C90BA5">
          <w:rPr>
            <w:rStyle w:val="Hyperlink"/>
            <w:noProof/>
          </w:rPr>
          <w:br/>
        </w:r>
        <w:r w:rsidR="007F672C" w:rsidRPr="001975F6">
          <w:rPr>
            <w:rStyle w:val="Hyperlink"/>
            <w:noProof/>
          </w:rPr>
          <w:t>people with disability aged 14-21 years (n = 942)</w:t>
        </w:r>
        <w:r w:rsidR="007F672C">
          <w:rPr>
            <w:noProof/>
            <w:webHidden/>
          </w:rPr>
          <w:tab/>
        </w:r>
        <w:r w:rsidR="007F672C">
          <w:rPr>
            <w:noProof/>
            <w:webHidden/>
          </w:rPr>
          <w:fldChar w:fldCharType="begin"/>
        </w:r>
        <w:r w:rsidR="007F672C">
          <w:rPr>
            <w:noProof/>
            <w:webHidden/>
          </w:rPr>
          <w:instrText xml:space="preserve"> PAGEREF _Toc119651444 \h </w:instrText>
        </w:r>
        <w:r w:rsidR="007F672C">
          <w:rPr>
            <w:noProof/>
            <w:webHidden/>
          </w:rPr>
        </w:r>
        <w:r w:rsidR="007F672C">
          <w:rPr>
            <w:noProof/>
            <w:webHidden/>
          </w:rPr>
          <w:fldChar w:fldCharType="separate"/>
        </w:r>
        <w:r w:rsidR="00C75AC6">
          <w:rPr>
            <w:noProof/>
            <w:webHidden/>
          </w:rPr>
          <w:t>84</w:t>
        </w:r>
        <w:r w:rsidR="007F672C">
          <w:rPr>
            <w:noProof/>
            <w:webHidden/>
          </w:rPr>
          <w:fldChar w:fldCharType="end"/>
        </w:r>
      </w:hyperlink>
    </w:p>
    <w:p w14:paraId="461A7D74" w14:textId="7D9D820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5" w:history="1">
        <w:r w:rsidR="007F672C" w:rsidRPr="001975F6">
          <w:rPr>
            <w:rStyle w:val="Hyperlink"/>
            <w:bCs/>
            <w:noProof/>
          </w:rPr>
          <w:t>Table 42</w:t>
        </w:r>
        <w:r w:rsidR="007F672C" w:rsidRPr="001975F6">
          <w:rPr>
            <w:rStyle w:val="Hyperlink"/>
            <w:noProof/>
          </w:rPr>
          <w:t xml:space="preserve">: Perpetrators of harassment or assault at work among young people with </w:t>
        </w:r>
        <w:r w:rsidR="00C90BA5">
          <w:rPr>
            <w:rStyle w:val="Hyperlink"/>
            <w:noProof/>
          </w:rPr>
          <w:br/>
        </w:r>
        <w:r w:rsidR="007F672C" w:rsidRPr="001975F6">
          <w:rPr>
            <w:rStyle w:val="Hyperlink"/>
            <w:noProof/>
          </w:rPr>
          <w:t>disability aged 14-21 years (n = 140)</w:t>
        </w:r>
        <w:r w:rsidR="007F672C">
          <w:rPr>
            <w:noProof/>
            <w:webHidden/>
          </w:rPr>
          <w:tab/>
        </w:r>
        <w:r w:rsidR="007F672C">
          <w:rPr>
            <w:noProof/>
            <w:webHidden/>
          </w:rPr>
          <w:fldChar w:fldCharType="begin"/>
        </w:r>
        <w:r w:rsidR="007F672C">
          <w:rPr>
            <w:noProof/>
            <w:webHidden/>
          </w:rPr>
          <w:instrText xml:space="preserve"> PAGEREF _Toc119651445 \h </w:instrText>
        </w:r>
        <w:r w:rsidR="007F672C">
          <w:rPr>
            <w:noProof/>
            <w:webHidden/>
          </w:rPr>
        </w:r>
        <w:r w:rsidR="007F672C">
          <w:rPr>
            <w:noProof/>
            <w:webHidden/>
          </w:rPr>
          <w:fldChar w:fldCharType="separate"/>
        </w:r>
        <w:r w:rsidR="00C75AC6">
          <w:rPr>
            <w:noProof/>
            <w:webHidden/>
          </w:rPr>
          <w:t>85</w:t>
        </w:r>
        <w:r w:rsidR="007F672C">
          <w:rPr>
            <w:noProof/>
            <w:webHidden/>
          </w:rPr>
          <w:fldChar w:fldCharType="end"/>
        </w:r>
      </w:hyperlink>
    </w:p>
    <w:p w14:paraId="014BB0BF" w14:textId="3AD6DA9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6" w:history="1">
        <w:r w:rsidR="007F672C" w:rsidRPr="001975F6">
          <w:rPr>
            <w:rStyle w:val="Hyperlink"/>
            <w:bCs/>
            <w:noProof/>
          </w:rPr>
          <w:t>Table 43</w:t>
        </w:r>
        <w:r w:rsidR="007F672C" w:rsidRPr="001975F6">
          <w:rPr>
            <w:rStyle w:val="Hyperlink"/>
            <w:noProof/>
          </w:rPr>
          <w:t>: Perpetrators of harassment or assault in the home among young people with disability aged 14-21 years (n = 563)</w:t>
        </w:r>
        <w:r w:rsidR="007F672C">
          <w:rPr>
            <w:noProof/>
            <w:webHidden/>
          </w:rPr>
          <w:tab/>
        </w:r>
        <w:r w:rsidR="007F672C">
          <w:rPr>
            <w:noProof/>
            <w:webHidden/>
          </w:rPr>
          <w:fldChar w:fldCharType="begin"/>
        </w:r>
        <w:r w:rsidR="007F672C">
          <w:rPr>
            <w:noProof/>
            <w:webHidden/>
          </w:rPr>
          <w:instrText xml:space="preserve"> PAGEREF _Toc119651446 \h </w:instrText>
        </w:r>
        <w:r w:rsidR="007F672C">
          <w:rPr>
            <w:noProof/>
            <w:webHidden/>
          </w:rPr>
        </w:r>
        <w:r w:rsidR="007F672C">
          <w:rPr>
            <w:noProof/>
            <w:webHidden/>
          </w:rPr>
          <w:fldChar w:fldCharType="separate"/>
        </w:r>
        <w:r w:rsidR="00C75AC6">
          <w:rPr>
            <w:noProof/>
            <w:webHidden/>
          </w:rPr>
          <w:t>86</w:t>
        </w:r>
        <w:r w:rsidR="007F672C">
          <w:rPr>
            <w:noProof/>
            <w:webHidden/>
          </w:rPr>
          <w:fldChar w:fldCharType="end"/>
        </w:r>
      </w:hyperlink>
    </w:p>
    <w:p w14:paraId="4FC84E8D" w14:textId="25D3C3B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7" w:history="1">
        <w:r w:rsidR="007F672C" w:rsidRPr="001975F6">
          <w:rPr>
            <w:rStyle w:val="Hyperlink"/>
            <w:bCs/>
            <w:noProof/>
          </w:rPr>
          <w:t>Table 44</w:t>
        </w:r>
        <w:r w:rsidR="007F672C" w:rsidRPr="001975F6">
          <w:rPr>
            <w:rStyle w:val="Hyperlink"/>
            <w:noProof/>
          </w:rPr>
          <w:t xml:space="preserve">: Perpetrators of harassment or assault in sporting contexts among young </w:t>
        </w:r>
        <w:r w:rsidR="00C90BA5">
          <w:rPr>
            <w:rStyle w:val="Hyperlink"/>
            <w:noProof/>
          </w:rPr>
          <w:br/>
        </w:r>
        <w:r w:rsidR="007F672C" w:rsidRPr="001975F6">
          <w:rPr>
            <w:rStyle w:val="Hyperlink"/>
            <w:noProof/>
          </w:rPr>
          <w:t>people with disability aged 14-21 years (n = 60)</w:t>
        </w:r>
        <w:r w:rsidR="007F672C">
          <w:rPr>
            <w:noProof/>
            <w:webHidden/>
          </w:rPr>
          <w:tab/>
        </w:r>
        <w:r w:rsidR="007F672C">
          <w:rPr>
            <w:noProof/>
            <w:webHidden/>
          </w:rPr>
          <w:fldChar w:fldCharType="begin"/>
        </w:r>
        <w:r w:rsidR="007F672C">
          <w:rPr>
            <w:noProof/>
            <w:webHidden/>
          </w:rPr>
          <w:instrText xml:space="preserve"> PAGEREF _Toc119651447 \h </w:instrText>
        </w:r>
        <w:r w:rsidR="007F672C">
          <w:rPr>
            <w:noProof/>
            <w:webHidden/>
          </w:rPr>
        </w:r>
        <w:r w:rsidR="007F672C">
          <w:rPr>
            <w:noProof/>
            <w:webHidden/>
          </w:rPr>
          <w:fldChar w:fldCharType="separate"/>
        </w:r>
        <w:r w:rsidR="00C75AC6">
          <w:rPr>
            <w:noProof/>
            <w:webHidden/>
          </w:rPr>
          <w:t>87</w:t>
        </w:r>
        <w:r w:rsidR="007F672C">
          <w:rPr>
            <w:noProof/>
            <w:webHidden/>
          </w:rPr>
          <w:fldChar w:fldCharType="end"/>
        </w:r>
      </w:hyperlink>
    </w:p>
    <w:p w14:paraId="527A55C8" w14:textId="7DDAE07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8" w:history="1">
        <w:r w:rsidR="007F672C" w:rsidRPr="001975F6">
          <w:rPr>
            <w:rStyle w:val="Hyperlink"/>
            <w:bCs/>
            <w:noProof/>
          </w:rPr>
          <w:t>Table 45</w:t>
        </w:r>
        <w:r w:rsidR="007F672C" w:rsidRPr="001975F6">
          <w:rPr>
            <w:rStyle w:val="Hyperlink"/>
            <w:noProof/>
          </w:rPr>
          <w:t xml:space="preserve">: Received any help or support in dealing with harassment or assault based </w:t>
        </w:r>
        <w:r w:rsidR="00C90BA5">
          <w:rPr>
            <w:rStyle w:val="Hyperlink"/>
            <w:noProof/>
          </w:rPr>
          <w:br/>
        </w:r>
        <w:r w:rsidR="007F672C" w:rsidRPr="001975F6">
          <w:rPr>
            <w:rStyle w:val="Hyperlink"/>
            <w:noProof/>
          </w:rPr>
          <w:t xml:space="preserve">on sexuality or gender identity in the past 12 months among young people with disability </w:t>
        </w:r>
        <w:r w:rsidR="00C90BA5">
          <w:rPr>
            <w:rStyle w:val="Hyperlink"/>
            <w:noProof/>
          </w:rPr>
          <w:br/>
        </w:r>
        <w:r w:rsidR="007F672C" w:rsidRPr="001975F6">
          <w:rPr>
            <w:rStyle w:val="Hyperlink"/>
            <w:noProof/>
          </w:rPr>
          <w:t>aged 14-21 years (n = 1344)</w:t>
        </w:r>
        <w:r w:rsidR="007F672C">
          <w:rPr>
            <w:noProof/>
            <w:webHidden/>
          </w:rPr>
          <w:tab/>
        </w:r>
        <w:r w:rsidR="007F672C">
          <w:rPr>
            <w:noProof/>
            <w:webHidden/>
          </w:rPr>
          <w:fldChar w:fldCharType="begin"/>
        </w:r>
        <w:r w:rsidR="007F672C">
          <w:rPr>
            <w:noProof/>
            <w:webHidden/>
          </w:rPr>
          <w:instrText xml:space="preserve"> PAGEREF _Toc119651448 \h </w:instrText>
        </w:r>
        <w:r w:rsidR="007F672C">
          <w:rPr>
            <w:noProof/>
            <w:webHidden/>
          </w:rPr>
        </w:r>
        <w:r w:rsidR="007F672C">
          <w:rPr>
            <w:noProof/>
            <w:webHidden/>
          </w:rPr>
          <w:fldChar w:fldCharType="separate"/>
        </w:r>
        <w:r w:rsidR="00C75AC6">
          <w:rPr>
            <w:noProof/>
            <w:webHidden/>
          </w:rPr>
          <w:t>88</w:t>
        </w:r>
        <w:r w:rsidR="007F672C">
          <w:rPr>
            <w:noProof/>
            <w:webHidden/>
          </w:rPr>
          <w:fldChar w:fldCharType="end"/>
        </w:r>
      </w:hyperlink>
    </w:p>
    <w:p w14:paraId="3A39C7CD" w14:textId="78B5BB3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49" w:history="1">
        <w:r w:rsidR="007F672C" w:rsidRPr="001975F6">
          <w:rPr>
            <w:rStyle w:val="Hyperlink"/>
            <w:bCs/>
            <w:noProof/>
          </w:rPr>
          <w:t>Tables 46</w:t>
        </w:r>
        <w:r w:rsidR="007F672C" w:rsidRPr="001975F6">
          <w:rPr>
            <w:rStyle w:val="Hyperlink"/>
            <w:noProof/>
          </w:rPr>
          <w:t xml:space="preserve">.1-46.4: Extent to which you feel you have been unfairly treated due to sexual orientation (n = 6320) and gender identity (n = 1539) among adults with disability aged </w:t>
        </w:r>
        <w:r w:rsidR="00C90BA5">
          <w:rPr>
            <w:rStyle w:val="Hyperlink"/>
            <w:noProof/>
          </w:rPr>
          <w:br/>
        </w:r>
        <w:r w:rsidR="007F672C" w:rsidRPr="001975F6">
          <w:rPr>
            <w:rStyle w:val="Hyperlink"/>
            <w:noProof/>
          </w:rPr>
          <w:t>18+ years</w:t>
        </w:r>
        <w:r w:rsidR="007F672C">
          <w:rPr>
            <w:noProof/>
            <w:webHidden/>
          </w:rPr>
          <w:tab/>
        </w:r>
        <w:r w:rsidR="007F672C">
          <w:rPr>
            <w:noProof/>
            <w:webHidden/>
          </w:rPr>
          <w:fldChar w:fldCharType="begin"/>
        </w:r>
        <w:r w:rsidR="007F672C">
          <w:rPr>
            <w:noProof/>
            <w:webHidden/>
          </w:rPr>
          <w:instrText xml:space="preserve"> PAGEREF _Toc119651449 \h </w:instrText>
        </w:r>
        <w:r w:rsidR="007F672C">
          <w:rPr>
            <w:noProof/>
            <w:webHidden/>
          </w:rPr>
        </w:r>
        <w:r w:rsidR="007F672C">
          <w:rPr>
            <w:noProof/>
            <w:webHidden/>
          </w:rPr>
          <w:fldChar w:fldCharType="separate"/>
        </w:r>
        <w:r w:rsidR="00C75AC6">
          <w:rPr>
            <w:noProof/>
            <w:webHidden/>
          </w:rPr>
          <w:t>89</w:t>
        </w:r>
        <w:r w:rsidR="007F672C">
          <w:rPr>
            <w:noProof/>
            <w:webHidden/>
          </w:rPr>
          <w:fldChar w:fldCharType="end"/>
        </w:r>
      </w:hyperlink>
    </w:p>
    <w:p w14:paraId="55B2DDC3" w14:textId="5A66B25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0" w:history="1">
        <w:r w:rsidR="007F672C" w:rsidRPr="001975F6">
          <w:rPr>
            <w:rStyle w:val="Hyperlink"/>
            <w:bCs/>
            <w:noProof/>
          </w:rPr>
          <w:t>Table 47</w:t>
        </w:r>
        <w:r w:rsidR="007F672C" w:rsidRPr="001975F6">
          <w:rPr>
            <w:rStyle w:val="Hyperlink"/>
            <w:noProof/>
          </w:rPr>
          <w:t>: Experiences of violence and harassment due to sexual orientation or gender identity in the past 12 months among adults with disability aged 18+ years</w:t>
        </w:r>
        <w:r w:rsidR="007F672C">
          <w:rPr>
            <w:noProof/>
            <w:webHidden/>
          </w:rPr>
          <w:tab/>
        </w:r>
        <w:r w:rsidR="007F672C">
          <w:rPr>
            <w:noProof/>
            <w:webHidden/>
          </w:rPr>
          <w:fldChar w:fldCharType="begin"/>
        </w:r>
        <w:r w:rsidR="007F672C">
          <w:rPr>
            <w:noProof/>
            <w:webHidden/>
          </w:rPr>
          <w:instrText xml:space="preserve"> PAGEREF _Toc119651450 \h </w:instrText>
        </w:r>
        <w:r w:rsidR="007F672C">
          <w:rPr>
            <w:noProof/>
            <w:webHidden/>
          </w:rPr>
        </w:r>
        <w:r w:rsidR="007F672C">
          <w:rPr>
            <w:noProof/>
            <w:webHidden/>
          </w:rPr>
          <w:fldChar w:fldCharType="separate"/>
        </w:r>
        <w:r w:rsidR="00C75AC6">
          <w:rPr>
            <w:noProof/>
            <w:webHidden/>
          </w:rPr>
          <w:t>90</w:t>
        </w:r>
        <w:r w:rsidR="007F672C">
          <w:rPr>
            <w:noProof/>
            <w:webHidden/>
          </w:rPr>
          <w:fldChar w:fldCharType="end"/>
        </w:r>
      </w:hyperlink>
    </w:p>
    <w:p w14:paraId="49F256F5" w14:textId="05E42A8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1" w:history="1">
        <w:r w:rsidR="007F672C" w:rsidRPr="001975F6">
          <w:rPr>
            <w:rStyle w:val="Hyperlink"/>
            <w:bCs/>
            <w:noProof/>
          </w:rPr>
          <w:t>Table 48.1-48.4</w:t>
        </w:r>
        <w:r w:rsidR="007F672C" w:rsidRPr="001975F6">
          <w:rPr>
            <w:rStyle w:val="Hyperlink"/>
            <w:noProof/>
          </w:rPr>
          <w:t xml:space="preserve">: Experiences of violence and harassment due to sexual orientation </w:t>
        </w:r>
        <w:r w:rsidR="00C90BA5">
          <w:rPr>
            <w:rStyle w:val="Hyperlink"/>
            <w:noProof/>
          </w:rPr>
          <w:br/>
        </w:r>
        <w:r w:rsidR="007F672C" w:rsidRPr="001975F6">
          <w:rPr>
            <w:rStyle w:val="Hyperlink"/>
            <w:noProof/>
          </w:rPr>
          <w:t xml:space="preserve">or gender identity in the past 12 months </w:t>
        </w:r>
        <w:r w:rsidR="007F672C" w:rsidRPr="001975F6">
          <w:rPr>
            <w:rStyle w:val="Hyperlink"/>
            <w:bCs/>
            <w:noProof/>
          </w:rPr>
          <w:t xml:space="preserve">among adults aged 18+ years, grouped by </w:t>
        </w:r>
        <w:r w:rsidR="00C90BA5">
          <w:rPr>
            <w:rStyle w:val="Hyperlink"/>
            <w:bCs/>
            <w:noProof/>
          </w:rPr>
          <w:br/>
        </w:r>
        <w:r w:rsidR="007F672C" w:rsidRPr="001975F6">
          <w:rPr>
            <w:rStyle w:val="Hyperlink"/>
            <w:bCs/>
            <w:noProof/>
          </w:rPr>
          <w:t>Disability Flag category</w:t>
        </w:r>
        <w:r w:rsidR="007F672C">
          <w:rPr>
            <w:noProof/>
            <w:webHidden/>
          </w:rPr>
          <w:tab/>
        </w:r>
        <w:r w:rsidR="007F672C">
          <w:rPr>
            <w:noProof/>
            <w:webHidden/>
          </w:rPr>
          <w:fldChar w:fldCharType="begin"/>
        </w:r>
        <w:r w:rsidR="007F672C">
          <w:rPr>
            <w:noProof/>
            <w:webHidden/>
          </w:rPr>
          <w:instrText xml:space="preserve"> PAGEREF _Toc119651451 \h </w:instrText>
        </w:r>
        <w:r w:rsidR="007F672C">
          <w:rPr>
            <w:noProof/>
            <w:webHidden/>
          </w:rPr>
        </w:r>
        <w:r w:rsidR="007F672C">
          <w:rPr>
            <w:noProof/>
            <w:webHidden/>
          </w:rPr>
          <w:fldChar w:fldCharType="separate"/>
        </w:r>
        <w:r w:rsidR="00C75AC6">
          <w:rPr>
            <w:noProof/>
            <w:webHidden/>
          </w:rPr>
          <w:t>92</w:t>
        </w:r>
        <w:r w:rsidR="007F672C">
          <w:rPr>
            <w:noProof/>
            <w:webHidden/>
          </w:rPr>
          <w:fldChar w:fldCharType="end"/>
        </w:r>
      </w:hyperlink>
    </w:p>
    <w:p w14:paraId="70FEDC07" w14:textId="0E1CB30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2" w:history="1">
        <w:r w:rsidR="007F672C" w:rsidRPr="001975F6">
          <w:rPr>
            <w:rStyle w:val="Hyperlink"/>
            <w:noProof/>
          </w:rPr>
          <w:t xml:space="preserve">Tables 49.1-49.3: Treated unfairly by others in the past 12 months due to a disability </w:t>
        </w:r>
        <w:r w:rsidR="00C90BA5">
          <w:rPr>
            <w:rStyle w:val="Hyperlink"/>
            <w:noProof/>
          </w:rPr>
          <w:br/>
        </w:r>
        <w:r w:rsidR="007F672C" w:rsidRPr="001975F6">
          <w:rPr>
            <w:rStyle w:val="Hyperlink"/>
            <w:noProof/>
          </w:rPr>
          <w:t>or long-term health condition among adults with disability aged 18+ years, grouped by Disability Flag category (n = 2609)</w:t>
        </w:r>
        <w:r w:rsidR="007F672C">
          <w:rPr>
            <w:noProof/>
            <w:webHidden/>
          </w:rPr>
          <w:tab/>
        </w:r>
        <w:r w:rsidR="007F672C">
          <w:rPr>
            <w:noProof/>
            <w:webHidden/>
          </w:rPr>
          <w:fldChar w:fldCharType="begin"/>
        </w:r>
        <w:r w:rsidR="007F672C">
          <w:rPr>
            <w:noProof/>
            <w:webHidden/>
          </w:rPr>
          <w:instrText xml:space="preserve"> PAGEREF _Toc119651452 \h </w:instrText>
        </w:r>
        <w:r w:rsidR="007F672C">
          <w:rPr>
            <w:noProof/>
            <w:webHidden/>
          </w:rPr>
        </w:r>
        <w:r w:rsidR="007F672C">
          <w:rPr>
            <w:noProof/>
            <w:webHidden/>
          </w:rPr>
          <w:fldChar w:fldCharType="separate"/>
        </w:r>
        <w:r w:rsidR="00C75AC6">
          <w:rPr>
            <w:noProof/>
            <w:webHidden/>
          </w:rPr>
          <w:t>94</w:t>
        </w:r>
        <w:r w:rsidR="007F672C">
          <w:rPr>
            <w:noProof/>
            <w:webHidden/>
          </w:rPr>
          <w:fldChar w:fldCharType="end"/>
        </w:r>
      </w:hyperlink>
    </w:p>
    <w:p w14:paraId="7C4BEF60" w14:textId="07FC6B1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3" w:history="1">
        <w:r w:rsidR="007F672C" w:rsidRPr="001975F6">
          <w:rPr>
            <w:rStyle w:val="Hyperlink"/>
            <w:bCs/>
            <w:noProof/>
          </w:rPr>
          <w:t>Tables 50</w:t>
        </w:r>
        <w:r w:rsidR="007F672C" w:rsidRPr="001975F6">
          <w:rPr>
            <w:rStyle w:val="Hyperlink"/>
            <w:noProof/>
          </w:rPr>
          <w:t xml:space="preserve">.1-50.4: Proportion of adults aged 18+ years ever experiencing violence from </w:t>
        </w:r>
        <w:r w:rsidR="00C90BA5">
          <w:rPr>
            <w:rStyle w:val="Hyperlink"/>
            <w:noProof/>
          </w:rPr>
          <w:br/>
        </w:r>
        <w:r w:rsidR="007F672C" w:rsidRPr="001975F6">
          <w:rPr>
            <w:rStyle w:val="Hyperlink"/>
            <w:noProof/>
          </w:rPr>
          <w:t>an intimate partner or family member, grouped by Disability Flag category (n = 5853)</w:t>
        </w:r>
        <w:r w:rsidR="007F672C">
          <w:rPr>
            <w:noProof/>
            <w:webHidden/>
          </w:rPr>
          <w:tab/>
        </w:r>
        <w:r w:rsidR="007F672C">
          <w:rPr>
            <w:noProof/>
            <w:webHidden/>
          </w:rPr>
          <w:fldChar w:fldCharType="begin"/>
        </w:r>
        <w:r w:rsidR="007F672C">
          <w:rPr>
            <w:noProof/>
            <w:webHidden/>
          </w:rPr>
          <w:instrText xml:space="preserve"> PAGEREF _Toc119651453 \h </w:instrText>
        </w:r>
        <w:r w:rsidR="007F672C">
          <w:rPr>
            <w:noProof/>
            <w:webHidden/>
          </w:rPr>
        </w:r>
        <w:r w:rsidR="007F672C">
          <w:rPr>
            <w:noProof/>
            <w:webHidden/>
          </w:rPr>
          <w:fldChar w:fldCharType="separate"/>
        </w:r>
        <w:r w:rsidR="00C75AC6">
          <w:rPr>
            <w:noProof/>
            <w:webHidden/>
          </w:rPr>
          <w:t>100</w:t>
        </w:r>
        <w:r w:rsidR="007F672C">
          <w:rPr>
            <w:noProof/>
            <w:webHidden/>
          </w:rPr>
          <w:fldChar w:fldCharType="end"/>
        </w:r>
      </w:hyperlink>
    </w:p>
    <w:p w14:paraId="082B3961" w14:textId="1418370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4" w:history="1">
        <w:r w:rsidR="007F672C" w:rsidRPr="001975F6">
          <w:rPr>
            <w:rStyle w:val="Hyperlink"/>
            <w:bCs/>
            <w:noProof/>
          </w:rPr>
          <w:t>Tables 51</w:t>
        </w:r>
        <w:r w:rsidR="007F672C" w:rsidRPr="001975F6">
          <w:rPr>
            <w:rStyle w:val="Hyperlink"/>
            <w:noProof/>
          </w:rPr>
          <w:t xml:space="preserve">.1-51.4: Proportion of adults aged 18+ years ever experiencing, verbal, </w:t>
        </w:r>
        <w:r w:rsidR="00C90BA5">
          <w:rPr>
            <w:rStyle w:val="Hyperlink"/>
            <w:noProof/>
          </w:rPr>
          <w:br/>
        </w:r>
        <w:r w:rsidR="007F672C" w:rsidRPr="001975F6">
          <w:rPr>
            <w:rStyle w:val="Hyperlink"/>
            <w:noProof/>
          </w:rPr>
          <w:t xml:space="preserve">physical and sexual violence from an intimate partner, grouped by Disability Flag </w:t>
        </w:r>
        <w:r w:rsidR="00C90BA5">
          <w:rPr>
            <w:rStyle w:val="Hyperlink"/>
            <w:noProof/>
          </w:rPr>
          <w:br/>
        </w:r>
        <w:r w:rsidR="007F672C" w:rsidRPr="001975F6">
          <w:rPr>
            <w:rStyle w:val="Hyperlink"/>
            <w:noProof/>
          </w:rPr>
          <w:t>category (n = 5853)</w:t>
        </w:r>
        <w:r w:rsidR="007F672C">
          <w:rPr>
            <w:noProof/>
            <w:webHidden/>
          </w:rPr>
          <w:tab/>
        </w:r>
        <w:r w:rsidR="007F672C">
          <w:rPr>
            <w:noProof/>
            <w:webHidden/>
          </w:rPr>
          <w:fldChar w:fldCharType="begin"/>
        </w:r>
        <w:r w:rsidR="007F672C">
          <w:rPr>
            <w:noProof/>
            <w:webHidden/>
          </w:rPr>
          <w:instrText xml:space="preserve"> PAGEREF _Toc119651454 \h </w:instrText>
        </w:r>
        <w:r w:rsidR="007F672C">
          <w:rPr>
            <w:noProof/>
            <w:webHidden/>
          </w:rPr>
        </w:r>
        <w:r w:rsidR="007F672C">
          <w:rPr>
            <w:noProof/>
            <w:webHidden/>
          </w:rPr>
          <w:fldChar w:fldCharType="separate"/>
        </w:r>
        <w:r w:rsidR="00C75AC6">
          <w:rPr>
            <w:noProof/>
            <w:webHidden/>
          </w:rPr>
          <w:t>102</w:t>
        </w:r>
        <w:r w:rsidR="007F672C">
          <w:rPr>
            <w:noProof/>
            <w:webHidden/>
          </w:rPr>
          <w:fldChar w:fldCharType="end"/>
        </w:r>
      </w:hyperlink>
    </w:p>
    <w:p w14:paraId="7D44E952" w14:textId="3764F55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5" w:history="1">
        <w:r w:rsidR="007F672C" w:rsidRPr="001975F6">
          <w:rPr>
            <w:rStyle w:val="Hyperlink"/>
            <w:bCs/>
            <w:noProof/>
          </w:rPr>
          <w:t>Tables 52</w:t>
        </w:r>
        <w:r w:rsidR="007F672C" w:rsidRPr="001975F6">
          <w:rPr>
            <w:rStyle w:val="Hyperlink"/>
            <w:noProof/>
          </w:rPr>
          <w:t xml:space="preserve">.1-52.4: Proportion of adults aged 18+ years ever experiencing verbal, </w:t>
        </w:r>
        <w:r w:rsidR="00C90BA5">
          <w:rPr>
            <w:rStyle w:val="Hyperlink"/>
            <w:noProof/>
          </w:rPr>
          <w:br/>
        </w:r>
        <w:r w:rsidR="007F672C" w:rsidRPr="001975F6">
          <w:rPr>
            <w:rStyle w:val="Hyperlink"/>
            <w:noProof/>
          </w:rPr>
          <w:t xml:space="preserve">physical and sexual violence from a family member, grouped by Disability Flag </w:t>
        </w:r>
        <w:r w:rsidR="00C90BA5">
          <w:rPr>
            <w:rStyle w:val="Hyperlink"/>
            <w:noProof/>
          </w:rPr>
          <w:br/>
        </w:r>
        <w:r w:rsidR="007F672C" w:rsidRPr="001975F6">
          <w:rPr>
            <w:rStyle w:val="Hyperlink"/>
            <w:noProof/>
          </w:rPr>
          <w:t>category (n = 5918)</w:t>
        </w:r>
        <w:r w:rsidR="007F672C">
          <w:rPr>
            <w:noProof/>
            <w:webHidden/>
          </w:rPr>
          <w:tab/>
        </w:r>
        <w:r w:rsidR="007F672C">
          <w:rPr>
            <w:noProof/>
            <w:webHidden/>
          </w:rPr>
          <w:fldChar w:fldCharType="begin"/>
        </w:r>
        <w:r w:rsidR="007F672C">
          <w:rPr>
            <w:noProof/>
            <w:webHidden/>
          </w:rPr>
          <w:instrText xml:space="preserve"> PAGEREF _Toc119651455 \h </w:instrText>
        </w:r>
        <w:r w:rsidR="007F672C">
          <w:rPr>
            <w:noProof/>
            <w:webHidden/>
          </w:rPr>
        </w:r>
        <w:r w:rsidR="007F672C">
          <w:rPr>
            <w:noProof/>
            <w:webHidden/>
          </w:rPr>
          <w:fldChar w:fldCharType="separate"/>
        </w:r>
        <w:r w:rsidR="00C75AC6">
          <w:rPr>
            <w:noProof/>
            <w:webHidden/>
          </w:rPr>
          <w:t>103</w:t>
        </w:r>
        <w:r w:rsidR="007F672C">
          <w:rPr>
            <w:noProof/>
            <w:webHidden/>
          </w:rPr>
          <w:fldChar w:fldCharType="end"/>
        </w:r>
      </w:hyperlink>
    </w:p>
    <w:p w14:paraId="57B7D9A3" w14:textId="436DCB0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6" w:history="1">
        <w:r w:rsidR="007F672C" w:rsidRPr="001975F6">
          <w:rPr>
            <w:rStyle w:val="Hyperlink"/>
            <w:noProof/>
          </w:rPr>
          <w:t xml:space="preserve">Table 53: Gender of the intimate partner who perpetrated the violence among adults </w:t>
        </w:r>
        <w:r w:rsidR="00C90BA5">
          <w:rPr>
            <w:rStyle w:val="Hyperlink"/>
            <w:noProof/>
          </w:rPr>
          <w:br/>
        </w:r>
        <w:r w:rsidR="007F672C" w:rsidRPr="001975F6">
          <w:rPr>
            <w:rStyle w:val="Hyperlink"/>
            <w:noProof/>
          </w:rPr>
          <w:t>with disability aged 18+ years (n = 1696)</w:t>
        </w:r>
        <w:r w:rsidR="007F672C">
          <w:rPr>
            <w:noProof/>
            <w:webHidden/>
          </w:rPr>
          <w:tab/>
        </w:r>
        <w:r w:rsidR="007F672C">
          <w:rPr>
            <w:noProof/>
            <w:webHidden/>
          </w:rPr>
          <w:fldChar w:fldCharType="begin"/>
        </w:r>
        <w:r w:rsidR="007F672C">
          <w:rPr>
            <w:noProof/>
            <w:webHidden/>
          </w:rPr>
          <w:instrText xml:space="preserve"> PAGEREF _Toc119651456 \h </w:instrText>
        </w:r>
        <w:r w:rsidR="007F672C">
          <w:rPr>
            <w:noProof/>
            <w:webHidden/>
          </w:rPr>
        </w:r>
        <w:r w:rsidR="007F672C">
          <w:rPr>
            <w:noProof/>
            <w:webHidden/>
          </w:rPr>
          <w:fldChar w:fldCharType="separate"/>
        </w:r>
        <w:r w:rsidR="00C75AC6">
          <w:rPr>
            <w:noProof/>
            <w:webHidden/>
          </w:rPr>
          <w:t>105</w:t>
        </w:r>
        <w:r w:rsidR="007F672C">
          <w:rPr>
            <w:noProof/>
            <w:webHidden/>
          </w:rPr>
          <w:fldChar w:fldCharType="end"/>
        </w:r>
      </w:hyperlink>
    </w:p>
    <w:p w14:paraId="43251CF4" w14:textId="14F1D042"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7" w:history="1">
        <w:r w:rsidR="007F672C" w:rsidRPr="001975F6">
          <w:rPr>
            <w:rStyle w:val="Hyperlink"/>
            <w:noProof/>
          </w:rPr>
          <w:t xml:space="preserve">Table 54: Gender of the family member who perpetrated the violence among adults </w:t>
        </w:r>
        <w:r w:rsidR="00C90BA5">
          <w:rPr>
            <w:rStyle w:val="Hyperlink"/>
            <w:noProof/>
          </w:rPr>
          <w:br/>
        </w:r>
        <w:r w:rsidR="007F672C" w:rsidRPr="001975F6">
          <w:rPr>
            <w:rStyle w:val="Hyperlink"/>
            <w:noProof/>
          </w:rPr>
          <w:t>with disability aged 18+ years (n = 1922)</w:t>
        </w:r>
        <w:r w:rsidR="007F672C">
          <w:rPr>
            <w:noProof/>
            <w:webHidden/>
          </w:rPr>
          <w:tab/>
        </w:r>
        <w:r w:rsidR="007F672C">
          <w:rPr>
            <w:noProof/>
            <w:webHidden/>
          </w:rPr>
          <w:fldChar w:fldCharType="begin"/>
        </w:r>
        <w:r w:rsidR="007F672C">
          <w:rPr>
            <w:noProof/>
            <w:webHidden/>
          </w:rPr>
          <w:instrText xml:space="preserve"> PAGEREF _Toc119651457 \h </w:instrText>
        </w:r>
        <w:r w:rsidR="007F672C">
          <w:rPr>
            <w:noProof/>
            <w:webHidden/>
          </w:rPr>
        </w:r>
        <w:r w:rsidR="007F672C">
          <w:rPr>
            <w:noProof/>
            <w:webHidden/>
          </w:rPr>
          <w:fldChar w:fldCharType="separate"/>
        </w:r>
        <w:r w:rsidR="00C75AC6">
          <w:rPr>
            <w:noProof/>
            <w:webHidden/>
          </w:rPr>
          <w:t>105</w:t>
        </w:r>
        <w:r w:rsidR="007F672C">
          <w:rPr>
            <w:noProof/>
            <w:webHidden/>
          </w:rPr>
          <w:fldChar w:fldCharType="end"/>
        </w:r>
      </w:hyperlink>
    </w:p>
    <w:p w14:paraId="01D49536" w14:textId="5A90835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8" w:history="1">
        <w:r w:rsidR="007F672C" w:rsidRPr="001975F6">
          <w:rPr>
            <w:rStyle w:val="Hyperlink"/>
            <w:noProof/>
          </w:rPr>
          <w:t xml:space="preserve">Table 55: Service or person to which intimate partner or family violence was reported </w:t>
        </w:r>
        <w:r w:rsidR="00C90BA5">
          <w:rPr>
            <w:rStyle w:val="Hyperlink"/>
            <w:noProof/>
          </w:rPr>
          <w:br/>
        </w:r>
        <w:r w:rsidR="007F672C" w:rsidRPr="001975F6">
          <w:rPr>
            <w:rStyle w:val="Hyperlink"/>
            <w:noProof/>
          </w:rPr>
          <w:t xml:space="preserve">the most recent time it occurred and proportion reporting feeling supported, among </w:t>
        </w:r>
        <w:r w:rsidR="00C90BA5">
          <w:rPr>
            <w:rStyle w:val="Hyperlink"/>
            <w:noProof/>
          </w:rPr>
          <w:br/>
        </w:r>
        <w:r w:rsidR="007F672C" w:rsidRPr="001975F6">
          <w:rPr>
            <w:rStyle w:val="Hyperlink"/>
            <w:noProof/>
          </w:rPr>
          <w:t>adults with disability aged 18+ years (n = 2139)</w:t>
        </w:r>
        <w:r w:rsidR="007F672C">
          <w:rPr>
            <w:noProof/>
            <w:webHidden/>
          </w:rPr>
          <w:tab/>
        </w:r>
        <w:r w:rsidR="007F672C">
          <w:rPr>
            <w:noProof/>
            <w:webHidden/>
          </w:rPr>
          <w:fldChar w:fldCharType="begin"/>
        </w:r>
        <w:r w:rsidR="007F672C">
          <w:rPr>
            <w:noProof/>
            <w:webHidden/>
          </w:rPr>
          <w:instrText xml:space="preserve"> PAGEREF _Toc119651458 \h </w:instrText>
        </w:r>
        <w:r w:rsidR="007F672C">
          <w:rPr>
            <w:noProof/>
            <w:webHidden/>
          </w:rPr>
        </w:r>
        <w:r w:rsidR="007F672C">
          <w:rPr>
            <w:noProof/>
            <w:webHidden/>
          </w:rPr>
          <w:fldChar w:fldCharType="separate"/>
        </w:r>
        <w:r w:rsidR="00C75AC6">
          <w:rPr>
            <w:noProof/>
            <w:webHidden/>
          </w:rPr>
          <w:t>107</w:t>
        </w:r>
        <w:r w:rsidR="007F672C">
          <w:rPr>
            <w:noProof/>
            <w:webHidden/>
          </w:rPr>
          <w:fldChar w:fldCharType="end"/>
        </w:r>
      </w:hyperlink>
    </w:p>
    <w:p w14:paraId="536CE08E" w14:textId="0683891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59" w:history="1">
        <w:r w:rsidR="007F672C" w:rsidRPr="001975F6">
          <w:rPr>
            <w:rStyle w:val="Hyperlink"/>
            <w:bCs/>
            <w:noProof/>
          </w:rPr>
          <w:t>Tables 56</w:t>
        </w:r>
        <w:r w:rsidR="007F672C" w:rsidRPr="001975F6">
          <w:rPr>
            <w:rStyle w:val="Hyperlink"/>
            <w:noProof/>
          </w:rPr>
          <w:t xml:space="preserve">.1-56.4 Proportion of adults aged 18+ years experiencing sexual assault in </w:t>
        </w:r>
        <w:r w:rsidR="00C90BA5">
          <w:rPr>
            <w:rStyle w:val="Hyperlink"/>
            <w:noProof/>
          </w:rPr>
          <w:br/>
        </w:r>
        <w:r w:rsidR="007F672C" w:rsidRPr="001975F6">
          <w:rPr>
            <w:rStyle w:val="Hyperlink"/>
            <w:noProof/>
          </w:rPr>
          <w:t>the past 12 months and ever, grouped by Disability Flag category (n = 6518)</w:t>
        </w:r>
        <w:r w:rsidR="007F672C">
          <w:rPr>
            <w:noProof/>
            <w:webHidden/>
          </w:rPr>
          <w:tab/>
        </w:r>
        <w:r w:rsidR="007F672C">
          <w:rPr>
            <w:noProof/>
            <w:webHidden/>
          </w:rPr>
          <w:fldChar w:fldCharType="begin"/>
        </w:r>
        <w:r w:rsidR="007F672C">
          <w:rPr>
            <w:noProof/>
            <w:webHidden/>
          </w:rPr>
          <w:instrText xml:space="preserve"> PAGEREF _Toc119651459 \h </w:instrText>
        </w:r>
        <w:r w:rsidR="007F672C">
          <w:rPr>
            <w:noProof/>
            <w:webHidden/>
          </w:rPr>
        </w:r>
        <w:r w:rsidR="007F672C">
          <w:rPr>
            <w:noProof/>
            <w:webHidden/>
          </w:rPr>
          <w:fldChar w:fldCharType="separate"/>
        </w:r>
        <w:r w:rsidR="00C75AC6">
          <w:rPr>
            <w:noProof/>
            <w:webHidden/>
          </w:rPr>
          <w:t>108</w:t>
        </w:r>
        <w:r w:rsidR="007F672C">
          <w:rPr>
            <w:noProof/>
            <w:webHidden/>
          </w:rPr>
          <w:fldChar w:fldCharType="end"/>
        </w:r>
      </w:hyperlink>
    </w:p>
    <w:p w14:paraId="12EF7A50" w14:textId="4EB89BB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0" w:history="1">
        <w:r w:rsidR="007F672C" w:rsidRPr="001975F6">
          <w:rPr>
            <w:rStyle w:val="Hyperlink"/>
            <w:bCs/>
            <w:noProof/>
          </w:rPr>
          <w:t>Table 57</w:t>
        </w:r>
        <w:r w:rsidR="007F672C" w:rsidRPr="001975F6">
          <w:rPr>
            <w:rStyle w:val="Hyperlink"/>
            <w:noProof/>
          </w:rPr>
          <w:t xml:space="preserve">: Relation of sexual assault perpetrator to participants among adults with </w:t>
        </w:r>
        <w:r w:rsidR="00C90BA5">
          <w:rPr>
            <w:rStyle w:val="Hyperlink"/>
            <w:noProof/>
          </w:rPr>
          <w:br/>
        </w:r>
        <w:r w:rsidR="007F672C" w:rsidRPr="001975F6">
          <w:rPr>
            <w:rStyle w:val="Hyperlink"/>
            <w:noProof/>
          </w:rPr>
          <w:t>disability aged 18+ years (n = 1629)</w:t>
        </w:r>
        <w:r w:rsidR="007F672C">
          <w:rPr>
            <w:noProof/>
            <w:webHidden/>
          </w:rPr>
          <w:tab/>
        </w:r>
        <w:r w:rsidR="007F672C">
          <w:rPr>
            <w:noProof/>
            <w:webHidden/>
          </w:rPr>
          <w:fldChar w:fldCharType="begin"/>
        </w:r>
        <w:r w:rsidR="007F672C">
          <w:rPr>
            <w:noProof/>
            <w:webHidden/>
          </w:rPr>
          <w:instrText xml:space="preserve"> PAGEREF _Toc119651460 \h </w:instrText>
        </w:r>
        <w:r w:rsidR="007F672C">
          <w:rPr>
            <w:noProof/>
            <w:webHidden/>
          </w:rPr>
        </w:r>
        <w:r w:rsidR="007F672C">
          <w:rPr>
            <w:noProof/>
            <w:webHidden/>
          </w:rPr>
          <w:fldChar w:fldCharType="separate"/>
        </w:r>
        <w:r w:rsidR="00C75AC6">
          <w:rPr>
            <w:noProof/>
            <w:webHidden/>
          </w:rPr>
          <w:t>110</w:t>
        </w:r>
        <w:r w:rsidR="007F672C">
          <w:rPr>
            <w:noProof/>
            <w:webHidden/>
          </w:rPr>
          <w:fldChar w:fldCharType="end"/>
        </w:r>
      </w:hyperlink>
    </w:p>
    <w:p w14:paraId="08340790" w14:textId="0F25B5A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1" w:history="1">
        <w:r w:rsidR="007F672C" w:rsidRPr="001975F6">
          <w:rPr>
            <w:rStyle w:val="Hyperlink"/>
            <w:noProof/>
          </w:rPr>
          <w:t xml:space="preserve">Table 58: Proportion of young people with disability aged 14-21 years who were </w:t>
        </w:r>
        <w:r w:rsidR="00C90BA5">
          <w:rPr>
            <w:rStyle w:val="Hyperlink"/>
            <w:noProof/>
          </w:rPr>
          <w:br/>
        </w:r>
        <w:r w:rsidR="007F672C" w:rsidRPr="001975F6">
          <w:rPr>
            <w:rStyle w:val="Hyperlink"/>
            <w:noProof/>
          </w:rPr>
          <w:t>experiencing psychological distress (n = 2486)</w:t>
        </w:r>
        <w:r w:rsidR="007F672C">
          <w:rPr>
            <w:noProof/>
            <w:webHidden/>
          </w:rPr>
          <w:tab/>
        </w:r>
        <w:r w:rsidR="007F672C">
          <w:rPr>
            <w:noProof/>
            <w:webHidden/>
          </w:rPr>
          <w:fldChar w:fldCharType="begin"/>
        </w:r>
        <w:r w:rsidR="007F672C">
          <w:rPr>
            <w:noProof/>
            <w:webHidden/>
          </w:rPr>
          <w:instrText xml:space="preserve"> PAGEREF _Toc119651461 \h </w:instrText>
        </w:r>
        <w:r w:rsidR="007F672C">
          <w:rPr>
            <w:noProof/>
            <w:webHidden/>
          </w:rPr>
        </w:r>
        <w:r w:rsidR="007F672C">
          <w:rPr>
            <w:noProof/>
            <w:webHidden/>
          </w:rPr>
          <w:fldChar w:fldCharType="separate"/>
        </w:r>
        <w:r w:rsidR="00C75AC6">
          <w:rPr>
            <w:noProof/>
            <w:webHidden/>
          </w:rPr>
          <w:t>113</w:t>
        </w:r>
        <w:r w:rsidR="007F672C">
          <w:rPr>
            <w:noProof/>
            <w:webHidden/>
          </w:rPr>
          <w:fldChar w:fldCharType="end"/>
        </w:r>
      </w:hyperlink>
    </w:p>
    <w:p w14:paraId="4F12D124" w14:textId="4EF7587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2" w:history="1">
        <w:r w:rsidR="007F672C" w:rsidRPr="001975F6">
          <w:rPr>
            <w:rStyle w:val="Hyperlink"/>
            <w:bCs/>
            <w:noProof/>
          </w:rPr>
          <w:t>Table 59</w:t>
        </w:r>
        <w:r w:rsidR="007F672C" w:rsidRPr="001975F6">
          <w:rPr>
            <w:rStyle w:val="Hyperlink"/>
            <w:noProof/>
          </w:rPr>
          <w:t>: Proportion of adults with disability aged 18+ years who were experiencing psychological distress (n = 2569)</w:t>
        </w:r>
        <w:r w:rsidR="007F672C">
          <w:rPr>
            <w:noProof/>
            <w:webHidden/>
          </w:rPr>
          <w:tab/>
        </w:r>
        <w:r w:rsidR="007F672C">
          <w:rPr>
            <w:noProof/>
            <w:webHidden/>
          </w:rPr>
          <w:fldChar w:fldCharType="begin"/>
        </w:r>
        <w:r w:rsidR="007F672C">
          <w:rPr>
            <w:noProof/>
            <w:webHidden/>
          </w:rPr>
          <w:instrText xml:space="preserve"> PAGEREF _Toc119651462 \h </w:instrText>
        </w:r>
        <w:r w:rsidR="007F672C">
          <w:rPr>
            <w:noProof/>
            <w:webHidden/>
          </w:rPr>
        </w:r>
        <w:r w:rsidR="007F672C">
          <w:rPr>
            <w:noProof/>
            <w:webHidden/>
          </w:rPr>
          <w:fldChar w:fldCharType="separate"/>
        </w:r>
        <w:r w:rsidR="00C75AC6">
          <w:rPr>
            <w:noProof/>
            <w:webHidden/>
          </w:rPr>
          <w:t>114</w:t>
        </w:r>
        <w:r w:rsidR="007F672C">
          <w:rPr>
            <w:noProof/>
            <w:webHidden/>
          </w:rPr>
          <w:fldChar w:fldCharType="end"/>
        </w:r>
      </w:hyperlink>
    </w:p>
    <w:p w14:paraId="1FEE23E7" w14:textId="02974B8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3" w:history="1">
        <w:r w:rsidR="007F672C" w:rsidRPr="001975F6">
          <w:rPr>
            <w:rStyle w:val="Hyperlink"/>
            <w:bCs/>
            <w:noProof/>
          </w:rPr>
          <w:t>Tables 60</w:t>
        </w:r>
        <w:r w:rsidR="007F672C" w:rsidRPr="001975F6">
          <w:rPr>
            <w:rStyle w:val="Hyperlink"/>
            <w:noProof/>
          </w:rPr>
          <w:t xml:space="preserve">.1-60.7: Proportion of young people aged 14-21 years experiencing </w:t>
        </w:r>
        <w:r w:rsidR="00C90BA5">
          <w:rPr>
            <w:rStyle w:val="Hyperlink"/>
            <w:noProof/>
          </w:rPr>
          <w:br/>
        </w:r>
        <w:r w:rsidR="007F672C" w:rsidRPr="001975F6">
          <w:rPr>
            <w:rStyle w:val="Hyperlink"/>
            <w:noProof/>
          </w:rPr>
          <w:t>psychological distress, grouped by disability (n = 5737)</w:t>
        </w:r>
        <w:r w:rsidR="007F672C">
          <w:rPr>
            <w:noProof/>
            <w:webHidden/>
          </w:rPr>
          <w:tab/>
        </w:r>
        <w:r w:rsidR="007F672C">
          <w:rPr>
            <w:noProof/>
            <w:webHidden/>
          </w:rPr>
          <w:fldChar w:fldCharType="begin"/>
        </w:r>
        <w:r w:rsidR="007F672C">
          <w:rPr>
            <w:noProof/>
            <w:webHidden/>
          </w:rPr>
          <w:instrText xml:space="preserve"> PAGEREF _Toc119651463 \h </w:instrText>
        </w:r>
        <w:r w:rsidR="007F672C">
          <w:rPr>
            <w:noProof/>
            <w:webHidden/>
          </w:rPr>
        </w:r>
        <w:r w:rsidR="007F672C">
          <w:rPr>
            <w:noProof/>
            <w:webHidden/>
          </w:rPr>
          <w:fldChar w:fldCharType="separate"/>
        </w:r>
        <w:r w:rsidR="00C75AC6">
          <w:rPr>
            <w:noProof/>
            <w:webHidden/>
          </w:rPr>
          <w:t>114</w:t>
        </w:r>
        <w:r w:rsidR="007F672C">
          <w:rPr>
            <w:noProof/>
            <w:webHidden/>
          </w:rPr>
          <w:fldChar w:fldCharType="end"/>
        </w:r>
      </w:hyperlink>
    </w:p>
    <w:p w14:paraId="0DE415E2" w14:textId="7B4297C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4" w:history="1">
        <w:r w:rsidR="007F672C" w:rsidRPr="001975F6">
          <w:rPr>
            <w:rStyle w:val="Hyperlink"/>
            <w:bCs/>
            <w:noProof/>
          </w:rPr>
          <w:t>Tables 61</w:t>
        </w:r>
        <w:r w:rsidR="007F672C" w:rsidRPr="001975F6">
          <w:rPr>
            <w:rStyle w:val="Hyperlink"/>
            <w:noProof/>
          </w:rPr>
          <w:t xml:space="preserve">.1-61.4 Proportion of adults aged 18+ years experiencing psychological </w:t>
        </w:r>
        <w:r w:rsidR="00C90BA5">
          <w:rPr>
            <w:rStyle w:val="Hyperlink"/>
            <w:noProof/>
          </w:rPr>
          <w:br/>
        </w:r>
        <w:r w:rsidR="007F672C" w:rsidRPr="001975F6">
          <w:rPr>
            <w:rStyle w:val="Hyperlink"/>
            <w:noProof/>
          </w:rPr>
          <w:t>distress, grouped by Disability Flag category (n = 6385)</w:t>
        </w:r>
        <w:r w:rsidR="007F672C">
          <w:rPr>
            <w:noProof/>
            <w:webHidden/>
          </w:rPr>
          <w:tab/>
        </w:r>
        <w:r w:rsidR="007F672C">
          <w:rPr>
            <w:noProof/>
            <w:webHidden/>
          </w:rPr>
          <w:fldChar w:fldCharType="begin"/>
        </w:r>
        <w:r w:rsidR="007F672C">
          <w:rPr>
            <w:noProof/>
            <w:webHidden/>
          </w:rPr>
          <w:instrText xml:space="preserve"> PAGEREF _Toc119651464 \h </w:instrText>
        </w:r>
        <w:r w:rsidR="007F672C">
          <w:rPr>
            <w:noProof/>
            <w:webHidden/>
          </w:rPr>
        </w:r>
        <w:r w:rsidR="007F672C">
          <w:rPr>
            <w:noProof/>
            <w:webHidden/>
          </w:rPr>
          <w:fldChar w:fldCharType="separate"/>
        </w:r>
        <w:r w:rsidR="00C75AC6">
          <w:rPr>
            <w:noProof/>
            <w:webHidden/>
          </w:rPr>
          <w:t>116</w:t>
        </w:r>
        <w:r w:rsidR="007F672C">
          <w:rPr>
            <w:noProof/>
            <w:webHidden/>
          </w:rPr>
          <w:fldChar w:fldCharType="end"/>
        </w:r>
      </w:hyperlink>
    </w:p>
    <w:p w14:paraId="02284517" w14:textId="2B59653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5" w:history="1">
        <w:r w:rsidR="007F672C" w:rsidRPr="001975F6">
          <w:rPr>
            <w:rStyle w:val="Hyperlink"/>
            <w:bCs/>
            <w:noProof/>
          </w:rPr>
          <w:t>Tables 62</w:t>
        </w:r>
        <w:r w:rsidR="007F672C" w:rsidRPr="001975F6">
          <w:rPr>
            <w:rStyle w:val="Hyperlink"/>
            <w:noProof/>
          </w:rPr>
          <w:t xml:space="preserve">.1-62.6 Psychological distress according to experiences of harassment </w:t>
        </w:r>
        <w:r w:rsidR="00C90BA5">
          <w:rPr>
            <w:rStyle w:val="Hyperlink"/>
            <w:noProof/>
          </w:rPr>
          <w:br/>
        </w:r>
        <w:r w:rsidR="007F672C" w:rsidRPr="001975F6">
          <w:rPr>
            <w:rStyle w:val="Hyperlink"/>
            <w:noProof/>
          </w:rPr>
          <w:t>or assault among young people with disability aged 14-21 years</w:t>
        </w:r>
        <w:r w:rsidR="007F672C">
          <w:rPr>
            <w:noProof/>
            <w:webHidden/>
          </w:rPr>
          <w:tab/>
        </w:r>
        <w:r w:rsidR="007F672C">
          <w:rPr>
            <w:noProof/>
            <w:webHidden/>
          </w:rPr>
          <w:fldChar w:fldCharType="begin"/>
        </w:r>
        <w:r w:rsidR="007F672C">
          <w:rPr>
            <w:noProof/>
            <w:webHidden/>
          </w:rPr>
          <w:instrText xml:space="preserve"> PAGEREF _Toc119651465 \h </w:instrText>
        </w:r>
        <w:r w:rsidR="007F672C">
          <w:rPr>
            <w:noProof/>
            <w:webHidden/>
          </w:rPr>
        </w:r>
        <w:r w:rsidR="007F672C">
          <w:rPr>
            <w:noProof/>
            <w:webHidden/>
          </w:rPr>
          <w:fldChar w:fldCharType="separate"/>
        </w:r>
        <w:r w:rsidR="00C75AC6">
          <w:rPr>
            <w:noProof/>
            <w:webHidden/>
          </w:rPr>
          <w:t>117</w:t>
        </w:r>
        <w:r w:rsidR="007F672C">
          <w:rPr>
            <w:noProof/>
            <w:webHidden/>
          </w:rPr>
          <w:fldChar w:fldCharType="end"/>
        </w:r>
      </w:hyperlink>
    </w:p>
    <w:p w14:paraId="5DEF297E" w14:textId="40EC745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6" w:history="1">
        <w:r w:rsidR="007F672C" w:rsidRPr="001975F6">
          <w:rPr>
            <w:rStyle w:val="Hyperlink"/>
            <w:noProof/>
          </w:rPr>
          <w:t xml:space="preserve">Tables 63.1-63.6: Psychological distress according to experiences of harassment </w:t>
        </w:r>
        <w:r w:rsidR="00C90BA5">
          <w:rPr>
            <w:rStyle w:val="Hyperlink"/>
            <w:noProof/>
          </w:rPr>
          <w:br/>
        </w:r>
        <w:r w:rsidR="007F672C" w:rsidRPr="001975F6">
          <w:rPr>
            <w:rStyle w:val="Hyperlink"/>
            <w:noProof/>
          </w:rPr>
          <w:t>and assault among adults with disability aged 18+ years</w:t>
        </w:r>
        <w:r w:rsidR="007F672C">
          <w:rPr>
            <w:noProof/>
            <w:webHidden/>
          </w:rPr>
          <w:tab/>
        </w:r>
        <w:r w:rsidR="007F672C">
          <w:rPr>
            <w:noProof/>
            <w:webHidden/>
          </w:rPr>
          <w:fldChar w:fldCharType="begin"/>
        </w:r>
        <w:r w:rsidR="007F672C">
          <w:rPr>
            <w:noProof/>
            <w:webHidden/>
          </w:rPr>
          <w:instrText xml:space="preserve"> PAGEREF _Toc119651466 \h </w:instrText>
        </w:r>
        <w:r w:rsidR="007F672C">
          <w:rPr>
            <w:noProof/>
            <w:webHidden/>
          </w:rPr>
        </w:r>
        <w:r w:rsidR="007F672C">
          <w:rPr>
            <w:noProof/>
            <w:webHidden/>
          </w:rPr>
          <w:fldChar w:fldCharType="separate"/>
        </w:r>
        <w:r w:rsidR="00C75AC6">
          <w:rPr>
            <w:noProof/>
            <w:webHidden/>
          </w:rPr>
          <w:t>118</w:t>
        </w:r>
        <w:r w:rsidR="007F672C">
          <w:rPr>
            <w:noProof/>
            <w:webHidden/>
          </w:rPr>
          <w:fldChar w:fldCharType="end"/>
        </w:r>
      </w:hyperlink>
    </w:p>
    <w:p w14:paraId="3B17B213" w14:textId="370E3CF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7" w:history="1">
        <w:r w:rsidR="007F672C" w:rsidRPr="001975F6">
          <w:rPr>
            <w:rStyle w:val="Hyperlink"/>
            <w:bCs/>
            <w:noProof/>
          </w:rPr>
          <w:t>Tables 64</w:t>
        </w:r>
        <w:r w:rsidR="007F672C" w:rsidRPr="001975F6">
          <w:rPr>
            <w:rStyle w:val="Hyperlink"/>
            <w:noProof/>
          </w:rPr>
          <w:t xml:space="preserve">.1-64.2: Proportion of young people with disability aged 14-21 years </w:t>
        </w:r>
        <w:r w:rsidR="00C90BA5">
          <w:rPr>
            <w:rStyle w:val="Hyperlink"/>
            <w:noProof/>
          </w:rPr>
          <w:br/>
        </w:r>
        <w:r w:rsidR="007F672C" w:rsidRPr="001975F6">
          <w:rPr>
            <w:rStyle w:val="Hyperlink"/>
            <w:noProof/>
          </w:rPr>
          <w:t>experiencing suicidal ideation or suicide attempt in the past 12 months or ever</w:t>
        </w:r>
        <w:r w:rsidR="007F672C">
          <w:rPr>
            <w:noProof/>
            <w:webHidden/>
          </w:rPr>
          <w:tab/>
        </w:r>
        <w:r w:rsidR="007F672C">
          <w:rPr>
            <w:noProof/>
            <w:webHidden/>
          </w:rPr>
          <w:fldChar w:fldCharType="begin"/>
        </w:r>
        <w:r w:rsidR="007F672C">
          <w:rPr>
            <w:noProof/>
            <w:webHidden/>
          </w:rPr>
          <w:instrText xml:space="preserve"> PAGEREF _Toc119651467 \h </w:instrText>
        </w:r>
        <w:r w:rsidR="007F672C">
          <w:rPr>
            <w:noProof/>
            <w:webHidden/>
          </w:rPr>
        </w:r>
        <w:r w:rsidR="007F672C">
          <w:rPr>
            <w:noProof/>
            <w:webHidden/>
          </w:rPr>
          <w:fldChar w:fldCharType="separate"/>
        </w:r>
        <w:r w:rsidR="00C75AC6">
          <w:rPr>
            <w:noProof/>
            <w:webHidden/>
          </w:rPr>
          <w:t>120</w:t>
        </w:r>
        <w:r w:rsidR="007F672C">
          <w:rPr>
            <w:noProof/>
            <w:webHidden/>
          </w:rPr>
          <w:fldChar w:fldCharType="end"/>
        </w:r>
      </w:hyperlink>
    </w:p>
    <w:p w14:paraId="17175194" w14:textId="3237397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8" w:history="1">
        <w:r w:rsidR="007F672C" w:rsidRPr="001975F6">
          <w:rPr>
            <w:rStyle w:val="Hyperlink"/>
            <w:bCs/>
            <w:noProof/>
          </w:rPr>
          <w:t>Tables 65</w:t>
        </w:r>
        <w:r w:rsidR="007F672C" w:rsidRPr="001975F6">
          <w:rPr>
            <w:rStyle w:val="Hyperlink"/>
            <w:noProof/>
          </w:rPr>
          <w:t>.1-65.4 Proportion of participants with disability and the general population experiencing suicidal ideation or suicide attempt among young people aged 16-17 years</w:t>
        </w:r>
        <w:r w:rsidR="007F672C">
          <w:rPr>
            <w:noProof/>
            <w:webHidden/>
          </w:rPr>
          <w:tab/>
        </w:r>
        <w:r w:rsidR="007F672C">
          <w:rPr>
            <w:noProof/>
            <w:webHidden/>
          </w:rPr>
          <w:fldChar w:fldCharType="begin"/>
        </w:r>
        <w:r w:rsidR="007F672C">
          <w:rPr>
            <w:noProof/>
            <w:webHidden/>
          </w:rPr>
          <w:instrText xml:space="preserve"> PAGEREF _Toc119651468 \h </w:instrText>
        </w:r>
        <w:r w:rsidR="007F672C">
          <w:rPr>
            <w:noProof/>
            <w:webHidden/>
          </w:rPr>
        </w:r>
        <w:r w:rsidR="007F672C">
          <w:rPr>
            <w:noProof/>
            <w:webHidden/>
          </w:rPr>
          <w:fldChar w:fldCharType="separate"/>
        </w:r>
        <w:r w:rsidR="00C75AC6">
          <w:rPr>
            <w:noProof/>
            <w:webHidden/>
          </w:rPr>
          <w:t>121</w:t>
        </w:r>
        <w:r w:rsidR="007F672C">
          <w:rPr>
            <w:noProof/>
            <w:webHidden/>
          </w:rPr>
          <w:fldChar w:fldCharType="end"/>
        </w:r>
      </w:hyperlink>
    </w:p>
    <w:p w14:paraId="74A169F6" w14:textId="0B869F1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69" w:history="1">
        <w:r w:rsidR="007F672C" w:rsidRPr="001975F6">
          <w:rPr>
            <w:rStyle w:val="Hyperlink"/>
            <w:bCs/>
            <w:noProof/>
          </w:rPr>
          <w:t>Tables 66</w:t>
        </w:r>
        <w:r w:rsidR="007F672C" w:rsidRPr="001975F6">
          <w:rPr>
            <w:rStyle w:val="Hyperlink"/>
            <w:noProof/>
          </w:rPr>
          <w:t>.1-66.4: Proportion of participants with disability and the general population experiencing suicidal ideation or suicide attempt among adults aged 18+ years</w:t>
        </w:r>
        <w:r w:rsidR="007F672C">
          <w:rPr>
            <w:noProof/>
            <w:webHidden/>
          </w:rPr>
          <w:tab/>
        </w:r>
        <w:r w:rsidR="007F672C">
          <w:rPr>
            <w:noProof/>
            <w:webHidden/>
          </w:rPr>
          <w:fldChar w:fldCharType="begin"/>
        </w:r>
        <w:r w:rsidR="007F672C">
          <w:rPr>
            <w:noProof/>
            <w:webHidden/>
          </w:rPr>
          <w:instrText xml:space="preserve"> PAGEREF _Toc119651469 \h </w:instrText>
        </w:r>
        <w:r w:rsidR="007F672C">
          <w:rPr>
            <w:noProof/>
            <w:webHidden/>
          </w:rPr>
        </w:r>
        <w:r w:rsidR="007F672C">
          <w:rPr>
            <w:noProof/>
            <w:webHidden/>
          </w:rPr>
          <w:fldChar w:fldCharType="separate"/>
        </w:r>
        <w:r w:rsidR="00C75AC6">
          <w:rPr>
            <w:noProof/>
            <w:webHidden/>
          </w:rPr>
          <w:t>122</w:t>
        </w:r>
        <w:r w:rsidR="007F672C">
          <w:rPr>
            <w:noProof/>
            <w:webHidden/>
          </w:rPr>
          <w:fldChar w:fldCharType="end"/>
        </w:r>
      </w:hyperlink>
    </w:p>
    <w:p w14:paraId="6F6B0258" w14:textId="69AA8DB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0" w:history="1">
        <w:r w:rsidR="007F672C" w:rsidRPr="001975F6">
          <w:rPr>
            <w:rStyle w:val="Hyperlink"/>
            <w:noProof/>
          </w:rPr>
          <w:t xml:space="preserve">Tables 67.1-67.7: Suicidal ideation in the past 12 months and ever among young </w:t>
        </w:r>
        <w:r w:rsidR="00C90BA5">
          <w:rPr>
            <w:rStyle w:val="Hyperlink"/>
            <w:noProof/>
          </w:rPr>
          <w:br/>
        </w:r>
        <w:r w:rsidR="007F672C" w:rsidRPr="001975F6">
          <w:rPr>
            <w:rStyle w:val="Hyperlink"/>
            <w:noProof/>
          </w:rPr>
          <w:t>people aged 14-21 years, grouped by disability (n = 5721)</w:t>
        </w:r>
        <w:r w:rsidR="007F672C">
          <w:rPr>
            <w:noProof/>
            <w:webHidden/>
          </w:rPr>
          <w:tab/>
        </w:r>
        <w:r w:rsidR="007F672C">
          <w:rPr>
            <w:noProof/>
            <w:webHidden/>
          </w:rPr>
          <w:fldChar w:fldCharType="begin"/>
        </w:r>
        <w:r w:rsidR="007F672C">
          <w:rPr>
            <w:noProof/>
            <w:webHidden/>
          </w:rPr>
          <w:instrText xml:space="preserve"> PAGEREF _Toc119651470 \h </w:instrText>
        </w:r>
        <w:r w:rsidR="007F672C">
          <w:rPr>
            <w:noProof/>
            <w:webHidden/>
          </w:rPr>
        </w:r>
        <w:r w:rsidR="007F672C">
          <w:rPr>
            <w:noProof/>
            <w:webHidden/>
          </w:rPr>
          <w:fldChar w:fldCharType="separate"/>
        </w:r>
        <w:r w:rsidR="00C75AC6">
          <w:rPr>
            <w:noProof/>
            <w:webHidden/>
          </w:rPr>
          <w:t>123</w:t>
        </w:r>
        <w:r w:rsidR="007F672C">
          <w:rPr>
            <w:noProof/>
            <w:webHidden/>
          </w:rPr>
          <w:fldChar w:fldCharType="end"/>
        </w:r>
      </w:hyperlink>
    </w:p>
    <w:p w14:paraId="7745CD19" w14:textId="138614B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1" w:history="1">
        <w:r w:rsidR="007F672C" w:rsidRPr="001975F6">
          <w:rPr>
            <w:rStyle w:val="Hyperlink"/>
            <w:bCs/>
            <w:noProof/>
          </w:rPr>
          <w:t>Tables 68</w:t>
        </w:r>
        <w:r w:rsidR="007F672C" w:rsidRPr="001975F6">
          <w:rPr>
            <w:rStyle w:val="Hyperlink"/>
            <w:noProof/>
          </w:rPr>
          <w:t xml:space="preserve">.1-68.4: Suicidal ideation in the past 12 months and ever among adults </w:t>
        </w:r>
        <w:r w:rsidR="00C90BA5">
          <w:rPr>
            <w:rStyle w:val="Hyperlink"/>
            <w:noProof/>
          </w:rPr>
          <w:br/>
        </w:r>
        <w:r w:rsidR="007F672C" w:rsidRPr="001975F6">
          <w:rPr>
            <w:rStyle w:val="Hyperlink"/>
            <w:noProof/>
          </w:rPr>
          <w:t>aged 18+ years, grouped by Disability Flag category (n = 6499)</w:t>
        </w:r>
        <w:r w:rsidR="007F672C">
          <w:rPr>
            <w:noProof/>
            <w:webHidden/>
          </w:rPr>
          <w:tab/>
        </w:r>
        <w:r w:rsidR="007F672C">
          <w:rPr>
            <w:noProof/>
            <w:webHidden/>
          </w:rPr>
          <w:fldChar w:fldCharType="begin"/>
        </w:r>
        <w:r w:rsidR="007F672C">
          <w:rPr>
            <w:noProof/>
            <w:webHidden/>
          </w:rPr>
          <w:instrText xml:space="preserve"> PAGEREF _Toc119651471 \h </w:instrText>
        </w:r>
        <w:r w:rsidR="007F672C">
          <w:rPr>
            <w:noProof/>
            <w:webHidden/>
          </w:rPr>
        </w:r>
        <w:r w:rsidR="007F672C">
          <w:rPr>
            <w:noProof/>
            <w:webHidden/>
          </w:rPr>
          <w:fldChar w:fldCharType="separate"/>
        </w:r>
        <w:r w:rsidR="00C75AC6">
          <w:rPr>
            <w:noProof/>
            <w:webHidden/>
          </w:rPr>
          <w:t>125</w:t>
        </w:r>
        <w:r w:rsidR="007F672C">
          <w:rPr>
            <w:noProof/>
            <w:webHidden/>
          </w:rPr>
          <w:fldChar w:fldCharType="end"/>
        </w:r>
      </w:hyperlink>
    </w:p>
    <w:p w14:paraId="4BDA1DE9" w14:textId="6FA0ACE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2" w:history="1">
        <w:r w:rsidR="007F672C" w:rsidRPr="001975F6">
          <w:rPr>
            <w:rStyle w:val="Hyperlink"/>
            <w:bCs/>
            <w:noProof/>
          </w:rPr>
          <w:t>Table 69</w:t>
        </w:r>
        <w:r w:rsidR="007F672C" w:rsidRPr="001975F6">
          <w:rPr>
            <w:rStyle w:val="Hyperlink"/>
            <w:noProof/>
          </w:rPr>
          <w:t xml:space="preserve">.1-69.7: Suicide attempt in the past 12 months and ever among young people </w:t>
        </w:r>
        <w:r w:rsidR="00C90BA5">
          <w:rPr>
            <w:rStyle w:val="Hyperlink"/>
            <w:noProof/>
          </w:rPr>
          <w:br/>
        </w:r>
        <w:r w:rsidR="007F672C" w:rsidRPr="001975F6">
          <w:rPr>
            <w:rStyle w:val="Hyperlink"/>
            <w:noProof/>
          </w:rPr>
          <w:t>aged 14-21 years, grouped by disability (n = 5630)</w:t>
        </w:r>
        <w:r w:rsidR="007F672C">
          <w:rPr>
            <w:noProof/>
            <w:webHidden/>
          </w:rPr>
          <w:tab/>
        </w:r>
        <w:r w:rsidR="007F672C">
          <w:rPr>
            <w:noProof/>
            <w:webHidden/>
          </w:rPr>
          <w:fldChar w:fldCharType="begin"/>
        </w:r>
        <w:r w:rsidR="007F672C">
          <w:rPr>
            <w:noProof/>
            <w:webHidden/>
          </w:rPr>
          <w:instrText xml:space="preserve"> PAGEREF _Toc119651472 \h </w:instrText>
        </w:r>
        <w:r w:rsidR="007F672C">
          <w:rPr>
            <w:noProof/>
            <w:webHidden/>
          </w:rPr>
        </w:r>
        <w:r w:rsidR="007F672C">
          <w:rPr>
            <w:noProof/>
            <w:webHidden/>
          </w:rPr>
          <w:fldChar w:fldCharType="separate"/>
        </w:r>
        <w:r w:rsidR="00C75AC6">
          <w:rPr>
            <w:noProof/>
            <w:webHidden/>
          </w:rPr>
          <w:t>127</w:t>
        </w:r>
        <w:r w:rsidR="007F672C">
          <w:rPr>
            <w:noProof/>
            <w:webHidden/>
          </w:rPr>
          <w:fldChar w:fldCharType="end"/>
        </w:r>
      </w:hyperlink>
    </w:p>
    <w:p w14:paraId="09BA47CB" w14:textId="6E6A8F9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3" w:history="1">
        <w:r w:rsidR="007F672C" w:rsidRPr="001975F6">
          <w:rPr>
            <w:rStyle w:val="Hyperlink"/>
            <w:bCs/>
            <w:noProof/>
          </w:rPr>
          <w:t>Tables 70</w:t>
        </w:r>
        <w:r w:rsidR="007F672C" w:rsidRPr="001975F6">
          <w:rPr>
            <w:rStyle w:val="Hyperlink"/>
            <w:noProof/>
          </w:rPr>
          <w:t xml:space="preserve">.1-70.4: Suicide attempt in the past 12 months and ever among adults </w:t>
        </w:r>
        <w:r w:rsidR="00C90BA5">
          <w:rPr>
            <w:rStyle w:val="Hyperlink"/>
            <w:noProof/>
          </w:rPr>
          <w:br/>
        </w:r>
        <w:r w:rsidR="007F672C" w:rsidRPr="001975F6">
          <w:rPr>
            <w:rStyle w:val="Hyperlink"/>
            <w:noProof/>
          </w:rPr>
          <w:t>aged 18+ years, grouped by Disability Flag category – (n = 5043)</w:t>
        </w:r>
        <w:r w:rsidR="007F672C">
          <w:rPr>
            <w:noProof/>
            <w:webHidden/>
          </w:rPr>
          <w:tab/>
        </w:r>
        <w:r w:rsidR="007F672C">
          <w:rPr>
            <w:noProof/>
            <w:webHidden/>
          </w:rPr>
          <w:fldChar w:fldCharType="begin"/>
        </w:r>
        <w:r w:rsidR="007F672C">
          <w:rPr>
            <w:noProof/>
            <w:webHidden/>
          </w:rPr>
          <w:instrText xml:space="preserve"> PAGEREF _Toc119651473 \h </w:instrText>
        </w:r>
        <w:r w:rsidR="007F672C">
          <w:rPr>
            <w:noProof/>
            <w:webHidden/>
          </w:rPr>
        </w:r>
        <w:r w:rsidR="007F672C">
          <w:rPr>
            <w:noProof/>
            <w:webHidden/>
          </w:rPr>
          <w:fldChar w:fldCharType="separate"/>
        </w:r>
        <w:r w:rsidR="00C75AC6">
          <w:rPr>
            <w:noProof/>
            <w:webHidden/>
          </w:rPr>
          <w:t>129</w:t>
        </w:r>
        <w:r w:rsidR="007F672C">
          <w:rPr>
            <w:noProof/>
            <w:webHidden/>
          </w:rPr>
          <w:fldChar w:fldCharType="end"/>
        </w:r>
      </w:hyperlink>
    </w:p>
    <w:p w14:paraId="4A60E98C" w14:textId="081629D9"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4" w:history="1">
        <w:r w:rsidR="007F672C" w:rsidRPr="001975F6">
          <w:rPr>
            <w:rStyle w:val="Hyperlink"/>
            <w:bCs/>
            <w:noProof/>
          </w:rPr>
          <w:t>Tables 71</w:t>
        </w:r>
        <w:r w:rsidR="007F672C" w:rsidRPr="001975F6">
          <w:rPr>
            <w:rStyle w:val="Hyperlink"/>
            <w:noProof/>
          </w:rPr>
          <w:t>.1-71.6: Suicidal ideation in the past 12 months according to experiences of harassment or assault among young people with disability aged 14-21 years</w:t>
        </w:r>
        <w:r w:rsidR="007F672C">
          <w:rPr>
            <w:noProof/>
            <w:webHidden/>
          </w:rPr>
          <w:tab/>
        </w:r>
        <w:r w:rsidR="007F672C">
          <w:rPr>
            <w:noProof/>
            <w:webHidden/>
          </w:rPr>
          <w:fldChar w:fldCharType="begin"/>
        </w:r>
        <w:r w:rsidR="007F672C">
          <w:rPr>
            <w:noProof/>
            <w:webHidden/>
          </w:rPr>
          <w:instrText xml:space="preserve"> PAGEREF _Toc119651474 \h </w:instrText>
        </w:r>
        <w:r w:rsidR="007F672C">
          <w:rPr>
            <w:noProof/>
            <w:webHidden/>
          </w:rPr>
        </w:r>
        <w:r w:rsidR="007F672C">
          <w:rPr>
            <w:noProof/>
            <w:webHidden/>
          </w:rPr>
          <w:fldChar w:fldCharType="separate"/>
        </w:r>
        <w:r w:rsidR="00C75AC6">
          <w:rPr>
            <w:noProof/>
            <w:webHidden/>
          </w:rPr>
          <w:t>130</w:t>
        </w:r>
        <w:r w:rsidR="007F672C">
          <w:rPr>
            <w:noProof/>
            <w:webHidden/>
          </w:rPr>
          <w:fldChar w:fldCharType="end"/>
        </w:r>
      </w:hyperlink>
    </w:p>
    <w:p w14:paraId="02EC7F8C" w14:textId="258D917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5" w:history="1">
        <w:r w:rsidR="007F672C" w:rsidRPr="001975F6">
          <w:rPr>
            <w:rStyle w:val="Hyperlink"/>
            <w:bCs/>
            <w:noProof/>
          </w:rPr>
          <w:t>Tables 72</w:t>
        </w:r>
        <w:r w:rsidR="007F672C" w:rsidRPr="001975F6">
          <w:rPr>
            <w:rStyle w:val="Hyperlink"/>
            <w:noProof/>
          </w:rPr>
          <w:t>.1-72.6: Suicidal ideation in the past 12 months according to experiences of harassment or abuse among adults with disability aged 18+ years</w:t>
        </w:r>
        <w:r w:rsidR="007F672C">
          <w:rPr>
            <w:noProof/>
            <w:webHidden/>
          </w:rPr>
          <w:tab/>
        </w:r>
        <w:r w:rsidR="007F672C">
          <w:rPr>
            <w:noProof/>
            <w:webHidden/>
          </w:rPr>
          <w:fldChar w:fldCharType="begin"/>
        </w:r>
        <w:r w:rsidR="007F672C">
          <w:rPr>
            <w:noProof/>
            <w:webHidden/>
          </w:rPr>
          <w:instrText xml:space="preserve"> PAGEREF _Toc119651475 \h </w:instrText>
        </w:r>
        <w:r w:rsidR="007F672C">
          <w:rPr>
            <w:noProof/>
            <w:webHidden/>
          </w:rPr>
        </w:r>
        <w:r w:rsidR="007F672C">
          <w:rPr>
            <w:noProof/>
            <w:webHidden/>
          </w:rPr>
          <w:fldChar w:fldCharType="separate"/>
        </w:r>
        <w:r w:rsidR="00C75AC6">
          <w:rPr>
            <w:noProof/>
            <w:webHidden/>
          </w:rPr>
          <w:t>131</w:t>
        </w:r>
        <w:r w:rsidR="007F672C">
          <w:rPr>
            <w:noProof/>
            <w:webHidden/>
          </w:rPr>
          <w:fldChar w:fldCharType="end"/>
        </w:r>
      </w:hyperlink>
    </w:p>
    <w:p w14:paraId="45E5CF9D" w14:textId="031D16F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6" w:history="1">
        <w:r w:rsidR="007F672C" w:rsidRPr="001975F6">
          <w:rPr>
            <w:rStyle w:val="Hyperlink"/>
            <w:bCs/>
            <w:noProof/>
          </w:rPr>
          <w:t>Tables 73</w:t>
        </w:r>
        <w:r w:rsidR="007F672C" w:rsidRPr="001975F6">
          <w:rPr>
            <w:rStyle w:val="Hyperlink"/>
            <w:noProof/>
          </w:rPr>
          <w:t>.1-73.6: Suicide attempts in the past 12 months according to experiences of harassment or assault among young people with disability aged 14-21 years</w:t>
        </w:r>
        <w:r w:rsidR="007F672C">
          <w:rPr>
            <w:noProof/>
            <w:webHidden/>
          </w:rPr>
          <w:tab/>
        </w:r>
        <w:r w:rsidR="007F672C">
          <w:rPr>
            <w:noProof/>
            <w:webHidden/>
          </w:rPr>
          <w:fldChar w:fldCharType="begin"/>
        </w:r>
        <w:r w:rsidR="007F672C">
          <w:rPr>
            <w:noProof/>
            <w:webHidden/>
          </w:rPr>
          <w:instrText xml:space="preserve"> PAGEREF _Toc119651476 \h </w:instrText>
        </w:r>
        <w:r w:rsidR="007F672C">
          <w:rPr>
            <w:noProof/>
            <w:webHidden/>
          </w:rPr>
        </w:r>
        <w:r w:rsidR="007F672C">
          <w:rPr>
            <w:noProof/>
            <w:webHidden/>
          </w:rPr>
          <w:fldChar w:fldCharType="separate"/>
        </w:r>
        <w:r w:rsidR="00C75AC6">
          <w:rPr>
            <w:noProof/>
            <w:webHidden/>
          </w:rPr>
          <w:t>132</w:t>
        </w:r>
        <w:r w:rsidR="007F672C">
          <w:rPr>
            <w:noProof/>
            <w:webHidden/>
          </w:rPr>
          <w:fldChar w:fldCharType="end"/>
        </w:r>
      </w:hyperlink>
    </w:p>
    <w:p w14:paraId="1C5A84E5" w14:textId="0A549B6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7" w:history="1">
        <w:r w:rsidR="007F672C" w:rsidRPr="001975F6">
          <w:rPr>
            <w:rStyle w:val="Hyperlink"/>
            <w:bCs/>
            <w:noProof/>
          </w:rPr>
          <w:t>Tables 74</w:t>
        </w:r>
        <w:r w:rsidR="007F672C" w:rsidRPr="001975F6">
          <w:rPr>
            <w:rStyle w:val="Hyperlink"/>
            <w:noProof/>
          </w:rPr>
          <w:t>.1-74.6: Suicide attempts in the past 12 months according to experiences of harassment or abuse among adults with disability aged 18+ years</w:t>
        </w:r>
        <w:r w:rsidR="007F672C">
          <w:rPr>
            <w:noProof/>
            <w:webHidden/>
          </w:rPr>
          <w:tab/>
        </w:r>
        <w:r w:rsidR="007F672C">
          <w:rPr>
            <w:noProof/>
            <w:webHidden/>
          </w:rPr>
          <w:fldChar w:fldCharType="begin"/>
        </w:r>
        <w:r w:rsidR="007F672C">
          <w:rPr>
            <w:noProof/>
            <w:webHidden/>
          </w:rPr>
          <w:instrText xml:space="preserve"> PAGEREF _Toc119651477 \h </w:instrText>
        </w:r>
        <w:r w:rsidR="007F672C">
          <w:rPr>
            <w:noProof/>
            <w:webHidden/>
          </w:rPr>
        </w:r>
        <w:r w:rsidR="007F672C">
          <w:rPr>
            <w:noProof/>
            <w:webHidden/>
          </w:rPr>
          <w:fldChar w:fldCharType="separate"/>
        </w:r>
        <w:r w:rsidR="00C75AC6">
          <w:rPr>
            <w:noProof/>
            <w:webHidden/>
          </w:rPr>
          <w:t>133</w:t>
        </w:r>
        <w:r w:rsidR="007F672C">
          <w:rPr>
            <w:noProof/>
            <w:webHidden/>
          </w:rPr>
          <w:fldChar w:fldCharType="end"/>
        </w:r>
      </w:hyperlink>
    </w:p>
    <w:p w14:paraId="57A8FAEA" w14:textId="011390F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8" w:history="1">
        <w:r w:rsidR="007F672C" w:rsidRPr="001975F6">
          <w:rPr>
            <w:rStyle w:val="Hyperlink"/>
            <w:noProof/>
          </w:rPr>
          <w:t xml:space="preserve">Table 75: Ever accessed professional suicide or self-harm support services among </w:t>
        </w:r>
        <w:r w:rsidR="00C90BA5">
          <w:rPr>
            <w:rStyle w:val="Hyperlink"/>
            <w:noProof/>
          </w:rPr>
          <w:br/>
        </w:r>
        <w:r w:rsidR="007F672C" w:rsidRPr="001975F6">
          <w:rPr>
            <w:rStyle w:val="Hyperlink"/>
            <w:noProof/>
          </w:rPr>
          <w:t>young people with disability who reported ever experiencing suicidal ideation, planning, attempts or self-harm (n = 2307)</w:t>
        </w:r>
        <w:r w:rsidR="007F672C">
          <w:rPr>
            <w:noProof/>
            <w:webHidden/>
          </w:rPr>
          <w:tab/>
        </w:r>
        <w:r w:rsidR="007F672C">
          <w:rPr>
            <w:noProof/>
            <w:webHidden/>
          </w:rPr>
          <w:fldChar w:fldCharType="begin"/>
        </w:r>
        <w:r w:rsidR="007F672C">
          <w:rPr>
            <w:noProof/>
            <w:webHidden/>
          </w:rPr>
          <w:instrText xml:space="preserve"> PAGEREF _Toc119651478 \h </w:instrText>
        </w:r>
        <w:r w:rsidR="007F672C">
          <w:rPr>
            <w:noProof/>
            <w:webHidden/>
          </w:rPr>
        </w:r>
        <w:r w:rsidR="007F672C">
          <w:rPr>
            <w:noProof/>
            <w:webHidden/>
          </w:rPr>
          <w:fldChar w:fldCharType="separate"/>
        </w:r>
        <w:r w:rsidR="00C75AC6">
          <w:rPr>
            <w:noProof/>
            <w:webHidden/>
          </w:rPr>
          <w:t>135</w:t>
        </w:r>
        <w:r w:rsidR="007F672C">
          <w:rPr>
            <w:noProof/>
            <w:webHidden/>
          </w:rPr>
          <w:fldChar w:fldCharType="end"/>
        </w:r>
      </w:hyperlink>
    </w:p>
    <w:p w14:paraId="08AEC5EB" w14:textId="5A084C0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79" w:history="1">
        <w:r w:rsidR="007F672C" w:rsidRPr="001975F6">
          <w:rPr>
            <w:rStyle w:val="Hyperlink"/>
            <w:noProof/>
          </w:rPr>
          <w:t xml:space="preserve">Table 76: Professional suicide or self-harm support service most recently accessed </w:t>
        </w:r>
        <w:r w:rsidR="00C90BA5">
          <w:rPr>
            <w:rStyle w:val="Hyperlink"/>
            <w:noProof/>
          </w:rPr>
          <w:br/>
        </w:r>
        <w:r w:rsidR="007F672C" w:rsidRPr="001975F6">
          <w:rPr>
            <w:rStyle w:val="Hyperlink"/>
            <w:noProof/>
          </w:rPr>
          <w:t>(n = 1579)</w:t>
        </w:r>
        <w:r w:rsidR="007F672C">
          <w:rPr>
            <w:noProof/>
            <w:webHidden/>
          </w:rPr>
          <w:tab/>
        </w:r>
        <w:r w:rsidR="007F672C">
          <w:rPr>
            <w:noProof/>
            <w:webHidden/>
          </w:rPr>
          <w:fldChar w:fldCharType="begin"/>
        </w:r>
        <w:r w:rsidR="007F672C">
          <w:rPr>
            <w:noProof/>
            <w:webHidden/>
          </w:rPr>
          <w:instrText xml:space="preserve"> PAGEREF _Toc119651479 \h </w:instrText>
        </w:r>
        <w:r w:rsidR="007F672C">
          <w:rPr>
            <w:noProof/>
            <w:webHidden/>
          </w:rPr>
        </w:r>
        <w:r w:rsidR="007F672C">
          <w:rPr>
            <w:noProof/>
            <w:webHidden/>
          </w:rPr>
          <w:fldChar w:fldCharType="separate"/>
        </w:r>
        <w:r w:rsidR="00C75AC6">
          <w:rPr>
            <w:noProof/>
            <w:webHidden/>
          </w:rPr>
          <w:t>136</w:t>
        </w:r>
        <w:r w:rsidR="007F672C">
          <w:rPr>
            <w:noProof/>
            <w:webHidden/>
          </w:rPr>
          <w:fldChar w:fldCharType="end"/>
        </w:r>
      </w:hyperlink>
    </w:p>
    <w:p w14:paraId="33EB72DB" w14:textId="5549810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0" w:history="1">
        <w:r w:rsidR="007F672C" w:rsidRPr="001975F6">
          <w:rPr>
            <w:rStyle w:val="Hyperlink"/>
            <w:noProof/>
          </w:rPr>
          <w:t xml:space="preserve">Table 77: Professional suicide or self-harm support service and whether the situation </w:t>
        </w:r>
        <w:r w:rsidR="00C90BA5">
          <w:rPr>
            <w:rStyle w:val="Hyperlink"/>
            <w:noProof/>
          </w:rPr>
          <w:br/>
        </w:r>
        <w:r w:rsidR="007F672C" w:rsidRPr="001975F6">
          <w:rPr>
            <w:rStyle w:val="Hyperlink"/>
            <w:noProof/>
          </w:rPr>
          <w:t>was made better or much better (n = 1579)</w:t>
        </w:r>
        <w:r w:rsidR="007F672C">
          <w:rPr>
            <w:noProof/>
            <w:webHidden/>
          </w:rPr>
          <w:tab/>
        </w:r>
        <w:r w:rsidR="007F672C">
          <w:rPr>
            <w:noProof/>
            <w:webHidden/>
          </w:rPr>
          <w:fldChar w:fldCharType="begin"/>
        </w:r>
        <w:r w:rsidR="007F672C">
          <w:rPr>
            <w:noProof/>
            <w:webHidden/>
          </w:rPr>
          <w:instrText xml:space="preserve"> PAGEREF _Toc119651480 \h </w:instrText>
        </w:r>
        <w:r w:rsidR="007F672C">
          <w:rPr>
            <w:noProof/>
            <w:webHidden/>
          </w:rPr>
        </w:r>
        <w:r w:rsidR="007F672C">
          <w:rPr>
            <w:noProof/>
            <w:webHidden/>
          </w:rPr>
          <w:fldChar w:fldCharType="separate"/>
        </w:r>
        <w:r w:rsidR="00C75AC6">
          <w:rPr>
            <w:noProof/>
            <w:webHidden/>
          </w:rPr>
          <w:t>137</w:t>
        </w:r>
        <w:r w:rsidR="007F672C">
          <w:rPr>
            <w:noProof/>
            <w:webHidden/>
          </w:rPr>
          <w:fldChar w:fldCharType="end"/>
        </w:r>
      </w:hyperlink>
    </w:p>
    <w:p w14:paraId="6AA21505" w14:textId="4BB691D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1" w:history="1">
        <w:r w:rsidR="007F672C" w:rsidRPr="001975F6">
          <w:rPr>
            <w:rStyle w:val="Hyperlink"/>
            <w:noProof/>
          </w:rPr>
          <w:t>Table 78: Participant preferences for future access to professional suicide or self-harm support services (n = 2497)</w:t>
        </w:r>
        <w:r w:rsidR="007F672C">
          <w:rPr>
            <w:noProof/>
            <w:webHidden/>
          </w:rPr>
          <w:tab/>
        </w:r>
        <w:r w:rsidR="007F672C">
          <w:rPr>
            <w:noProof/>
            <w:webHidden/>
          </w:rPr>
          <w:fldChar w:fldCharType="begin"/>
        </w:r>
        <w:r w:rsidR="007F672C">
          <w:rPr>
            <w:noProof/>
            <w:webHidden/>
          </w:rPr>
          <w:instrText xml:space="preserve"> PAGEREF _Toc119651481 \h </w:instrText>
        </w:r>
        <w:r w:rsidR="007F672C">
          <w:rPr>
            <w:noProof/>
            <w:webHidden/>
          </w:rPr>
        </w:r>
        <w:r w:rsidR="007F672C">
          <w:rPr>
            <w:noProof/>
            <w:webHidden/>
          </w:rPr>
          <w:fldChar w:fldCharType="separate"/>
        </w:r>
        <w:r w:rsidR="00C75AC6">
          <w:rPr>
            <w:noProof/>
            <w:webHidden/>
          </w:rPr>
          <w:t>138</w:t>
        </w:r>
        <w:r w:rsidR="007F672C">
          <w:rPr>
            <w:noProof/>
            <w:webHidden/>
          </w:rPr>
          <w:fldChar w:fldCharType="end"/>
        </w:r>
      </w:hyperlink>
    </w:p>
    <w:p w14:paraId="670D5C5F" w14:textId="77382CC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2" w:history="1">
        <w:r w:rsidR="007F672C" w:rsidRPr="001975F6">
          <w:rPr>
            <w:rStyle w:val="Hyperlink"/>
            <w:bCs/>
            <w:noProof/>
          </w:rPr>
          <w:t>Table 79</w:t>
        </w:r>
        <w:r w:rsidR="007F672C" w:rsidRPr="001975F6">
          <w:rPr>
            <w:rStyle w:val="Hyperlink"/>
            <w:noProof/>
          </w:rPr>
          <w:t>:</w:t>
        </w:r>
        <w:r w:rsidR="007F672C" w:rsidRPr="001975F6">
          <w:rPr>
            <w:rStyle w:val="Hyperlink"/>
            <w:bCs/>
            <w:noProof/>
          </w:rPr>
          <w:t xml:space="preserve"> </w:t>
        </w:r>
        <w:r w:rsidR="007F672C" w:rsidRPr="001975F6">
          <w:rPr>
            <w:rStyle w:val="Hyperlink"/>
            <w:noProof/>
          </w:rPr>
          <w:t>Proportion of participants attending an LGBTIQA+ event in the past 12 months among young people aged 14-21 years with disability (n = 2441)</w:t>
        </w:r>
        <w:r w:rsidR="007F672C">
          <w:rPr>
            <w:noProof/>
            <w:webHidden/>
          </w:rPr>
          <w:tab/>
        </w:r>
        <w:r w:rsidR="007F672C">
          <w:rPr>
            <w:noProof/>
            <w:webHidden/>
          </w:rPr>
          <w:fldChar w:fldCharType="begin"/>
        </w:r>
        <w:r w:rsidR="007F672C">
          <w:rPr>
            <w:noProof/>
            <w:webHidden/>
          </w:rPr>
          <w:instrText xml:space="preserve"> PAGEREF _Toc119651482 \h </w:instrText>
        </w:r>
        <w:r w:rsidR="007F672C">
          <w:rPr>
            <w:noProof/>
            <w:webHidden/>
          </w:rPr>
        </w:r>
        <w:r w:rsidR="007F672C">
          <w:rPr>
            <w:noProof/>
            <w:webHidden/>
          </w:rPr>
          <w:fldChar w:fldCharType="separate"/>
        </w:r>
        <w:r w:rsidR="00C75AC6">
          <w:rPr>
            <w:noProof/>
            <w:webHidden/>
          </w:rPr>
          <w:t>141</w:t>
        </w:r>
        <w:r w:rsidR="007F672C">
          <w:rPr>
            <w:noProof/>
            <w:webHidden/>
          </w:rPr>
          <w:fldChar w:fldCharType="end"/>
        </w:r>
      </w:hyperlink>
    </w:p>
    <w:p w14:paraId="069D9683" w14:textId="21B6155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3" w:history="1">
        <w:r w:rsidR="007F672C" w:rsidRPr="001975F6">
          <w:rPr>
            <w:rStyle w:val="Hyperlink"/>
            <w:bCs/>
            <w:noProof/>
          </w:rPr>
          <w:t>Tables 80</w:t>
        </w:r>
        <w:r w:rsidR="007F672C" w:rsidRPr="001975F6">
          <w:rPr>
            <w:rStyle w:val="Hyperlink"/>
            <w:noProof/>
          </w:rPr>
          <w:t xml:space="preserve">.1-80.4: You feel you’re part of Australia’s LGBTIQ community among adults </w:t>
        </w:r>
        <w:r w:rsidR="00C90BA5">
          <w:rPr>
            <w:rStyle w:val="Hyperlink"/>
            <w:noProof/>
          </w:rPr>
          <w:br/>
        </w:r>
        <w:r w:rsidR="007F672C" w:rsidRPr="001975F6">
          <w:rPr>
            <w:rStyle w:val="Hyperlink"/>
            <w:noProof/>
          </w:rPr>
          <w:t>aged 18+ years, grouped by Disability Flag category (n = 6,524)</w:t>
        </w:r>
        <w:r w:rsidR="007F672C">
          <w:rPr>
            <w:noProof/>
            <w:webHidden/>
          </w:rPr>
          <w:tab/>
        </w:r>
        <w:r w:rsidR="007F672C">
          <w:rPr>
            <w:noProof/>
            <w:webHidden/>
          </w:rPr>
          <w:fldChar w:fldCharType="begin"/>
        </w:r>
        <w:r w:rsidR="007F672C">
          <w:rPr>
            <w:noProof/>
            <w:webHidden/>
          </w:rPr>
          <w:instrText xml:space="preserve"> PAGEREF _Toc119651483 \h </w:instrText>
        </w:r>
        <w:r w:rsidR="007F672C">
          <w:rPr>
            <w:noProof/>
            <w:webHidden/>
          </w:rPr>
        </w:r>
        <w:r w:rsidR="007F672C">
          <w:rPr>
            <w:noProof/>
            <w:webHidden/>
          </w:rPr>
          <w:fldChar w:fldCharType="separate"/>
        </w:r>
        <w:r w:rsidR="00C75AC6">
          <w:rPr>
            <w:noProof/>
            <w:webHidden/>
          </w:rPr>
          <w:t>142</w:t>
        </w:r>
        <w:r w:rsidR="007F672C">
          <w:rPr>
            <w:noProof/>
            <w:webHidden/>
          </w:rPr>
          <w:fldChar w:fldCharType="end"/>
        </w:r>
      </w:hyperlink>
    </w:p>
    <w:p w14:paraId="66A3C594" w14:textId="5ED2630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4" w:history="1">
        <w:r w:rsidR="007F672C" w:rsidRPr="001975F6">
          <w:rPr>
            <w:rStyle w:val="Hyperlink"/>
            <w:noProof/>
          </w:rPr>
          <w:t xml:space="preserve">Tables 82.1-82.6: </w:t>
        </w:r>
        <w:r w:rsidR="007F672C" w:rsidRPr="001975F6">
          <w:rPr>
            <w:rStyle w:val="Hyperlink"/>
            <w:noProof/>
            <w:lang w:val="en-US"/>
          </w:rPr>
          <w:t>Perception of inclusion within LGBTIQA+ communities among young people with disability aged 14-21 years</w:t>
        </w:r>
        <w:r w:rsidR="007F672C">
          <w:rPr>
            <w:noProof/>
            <w:webHidden/>
          </w:rPr>
          <w:tab/>
        </w:r>
        <w:r w:rsidR="007F672C">
          <w:rPr>
            <w:noProof/>
            <w:webHidden/>
          </w:rPr>
          <w:fldChar w:fldCharType="begin"/>
        </w:r>
        <w:r w:rsidR="007F672C">
          <w:rPr>
            <w:noProof/>
            <w:webHidden/>
          </w:rPr>
          <w:instrText xml:space="preserve"> PAGEREF _Toc119651484 \h </w:instrText>
        </w:r>
        <w:r w:rsidR="007F672C">
          <w:rPr>
            <w:noProof/>
            <w:webHidden/>
          </w:rPr>
        </w:r>
        <w:r w:rsidR="007F672C">
          <w:rPr>
            <w:noProof/>
            <w:webHidden/>
          </w:rPr>
          <w:fldChar w:fldCharType="separate"/>
        </w:r>
        <w:r w:rsidR="00C75AC6">
          <w:rPr>
            <w:noProof/>
            <w:webHidden/>
          </w:rPr>
          <w:t>147</w:t>
        </w:r>
        <w:r w:rsidR="007F672C">
          <w:rPr>
            <w:noProof/>
            <w:webHidden/>
          </w:rPr>
          <w:fldChar w:fldCharType="end"/>
        </w:r>
      </w:hyperlink>
    </w:p>
    <w:p w14:paraId="33DF9C21" w14:textId="59E55D0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5" w:history="1">
        <w:r w:rsidR="007F672C" w:rsidRPr="001975F6">
          <w:rPr>
            <w:rStyle w:val="Hyperlink"/>
            <w:bCs/>
            <w:noProof/>
          </w:rPr>
          <w:t>Tables 83.1-83.2</w:t>
        </w:r>
        <w:r w:rsidR="007F672C" w:rsidRPr="001975F6">
          <w:rPr>
            <w:rStyle w:val="Hyperlink"/>
            <w:noProof/>
          </w:rPr>
          <w:t xml:space="preserve">: You feel you’re part of Australia’s LGBTIQ community among adults </w:t>
        </w:r>
        <w:r w:rsidR="00C90BA5">
          <w:rPr>
            <w:rStyle w:val="Hyperlink"/>
            <w:noProof/>
          </w:rPr>
          <w:br/>
        </w:r>
        <w:r w:rsidR="007F672C" w:rsidRPr="001975F6">
          <w:rPr>
            <w:rStyle w:val="Hyperlink"/>
            <w:noProof/>
          </w:rPr>
          <w:t>with disability aged 18+ years, grouped by cultural background (n = 2269)</w:t>
        </w:r>
        <w:r w:rsidR="007F672C">
          <w:rPr>
            <w:noProof/>
            <w:webHidden/>
          </w:rPr>
          <w:tab/>
        </w:r>
        <w:r w:rsidR="007F672C">
          <w:rPr>
            <w:noProof/>
            <w:webHidden/>
          </w:rPr>
          <w:fldChar w:fldCharType="begin"/>
        </w:r>
        <w:r w:rsidR="007F672C">
          <w:rPr>
            <w:noProof/>
            <w:webHidden/>
          </w:rPr>
          <w:instrText xml:space="preserve"> PAGEREF _Toc119651485 \h </w:instrText>
        </w:r>
        <w:r w:rsidR="007F672C">
          <w:rPr>
            <w:noProof/>
            <w:webHidden/>
          </w:rPr>
        </w:r>
        <w:r w:rsidR="007F672C">
          <w:rPr>
            <w:noProof/>
            <w:webHidden/>
          </w:rPr>
          <w:fldChar w:fldCharType="separate"/>
        </w:r>
        <w:r w:rsidR="00C75AC6">
          <w:rPr>
            <w:noProof/>
            <w:webHidden/>
          </w:rPr>
          <w:t>153</w:t>
        </w:r>
        <w:r w:rsidR="007F672C">
          <w:rPr>
            <w:noProof/>
            <w:webHidden/>
          </w:rPr>
          <w:fldChar w:fldCharType="end"/>
        </w:r>
      </w:hyperlink>
    </w:p>
    <w:p w14:paraId="24755DE7" w14:textId="4DB72AF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6" w:history="1">
        <w:r w:rsidR="007F672C" w:rsidRPr="001975F6">
          <w:rPr>
            <w:rStyle w:val="Hyperlink"/>
            <w:bCs/>
            <w:noProof/>
          </w:rPr>
          <w:t xml:space="preserve">Tables 84.1-84.2: </w:t>
        </w:r>
        <w:r w:rsidR="007F672C" w:rsidRPr="001975F6">
          <w:rPr>
            <w:rStyle w:val="Hyperlink"/>
            <w:noProof/>
          </w:rPr>
          <w:t>Attended an LGBTIQA+ youth event in the past 12 months among young people with disability aged 14-21 years, grouped by cultural background (n = 2295)</w:t>
        </w:r>
        <w:r w:rsidR="007F672C">
          <w:rPr>
            <w:noProof/>
            <w:webHidden/>
          </w:rPr>
          <w:tab/>
        </w:r>
        <w:r w:rsidR="007F672C">
          <w:rPr>
            <w:noProof/>
            <w:webHidden/>
          </w:rPr>
          <w:fldChar w:fldCharType="begin"/>
        </w:r>
        <w:r w:rsidR="007F672C">
          <w:rPr>
            <w:noProof/>
            <w:webHidden/>
          </w:rPr>
          <w:instrText xml:space="preserve"> PAGEREF _Toc119651486 \h </w:instrText>
        </w:r>
        <w:r w:rsidR="007F672C">
          <w:rPr>
            <w:noProof/>
            <w:webHidden/>
          </w:rPr>
        </w:r>
        <w:r w:rsidR="007F672C">
          <w:rPr>
            <w:noProof/>
            <w:webHidden/>
          </w:rPr>
          <w:fldChar w:fldCharType="separate"/>
        </w:r>
        <w:r w:rsidR="00C75AC6">
          <w:rPr>
            <w:noProof/>
            <w:webHidden/>
          </w:rPr>
          <w:t>153</w:t>
        </w:r>
        <w:r w:rsidR="007F672C">
          <w:rPr>
            <w:noProof/>
            <w:webHidden/>
          </w:rPr>
          <w:fldChar w:fldCharType="end"/>
        </w:r>
      </w:hyperlink>
    </w:p>
    <w:p w14:paraId="45A03E6F" w14:textId="3444EC1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7" w:history="1">
        <w:r w:rsidR="007F672C" w:rsidRPr="001975F6">
          <w:rPr>
            <w:rStyle w:val="Hyperlink"/>
            <w:noProof/>
          </w:rPr>
          <w:t>Tables 85.1-85.2: Proportion of adults with disability aged 18+ years who currently feel accepted ‘a lot’ or ‘always’, grouped by cultural background</w:t>
        </w:r>
        <w:r w:rsidR="007F672C">
          <w:rPr>
            <w:noProof/>
            <w:webHidden/>
          </w:rPr>
          <w:tab/>
        </w:r>
        <w:r w:rsidR="007F672C">
          <w:rPr>
            <w:noProof/>
            <w:webHidden/>
          </w:rPr>
          <w:fldChar w:fldCharType="begin"/>
        </w:r>
        <w:r w:rsidR="007F672C">
          <w:rPr>
            <w:noProof/>
            <w:webHidden/>
          </w:rPr>
          <w:instrText xml:space="preserve"> PAGEREF _Toc119651487 \h </w:instrText>
        </w:r>
        <w:r w:rsidR="007F672C">
          <w:rPr>
            <w:noProof/>
            <w:webHidden/>
          </w:rPr>
        </w:r>
        <w:r w:rsidR="007F672C">
          <w:rPr>
            <w:noProof/>
            <w:webHidden/>
          </w:rPr>
          <w:fldChar w:fldCharType="separate"/>
        </w:r>
        <w:r w:rsidR="00C75AC6">
          <w:rPr>
            <w:noProof/>
            <w:webHidden/>
          </w:rPr>
          <w:t>154</w:t>
        </w:r>
        <w:r w:rsidR="007F672C">
          <w:rPr>
            <w:noProof/>
            <w:webHidden/>
          </w:rPr>
          <w:fldChar w:fldCharType="end"/>
        </w:r>
      </w:hyperlink>
    </w:p>
    <w:p w14:paraId="2F880829" w14:textId="65ECCEC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8" w:history="1">
        <w:r w:rsidR="007F672C" w:rsidRPr="001975F6">
          <w:rPr>
            <w:rStyle w:val="Hyperlink"/>
            <w:noProof/>
          </w:rPr>
          <w:t xml:space="preserve">Tables 86.1-86.2: Psychological distress among young people with disability aged </w:t>
        </w:r>
        <w:r w:rsidR="00C90BA5">
          <w:rPr>
            <w:rStyle w:val="Hyperlink"/>
            <w:noProof/>
          </w:rPr>
          <w:br/>
        </w:r>
        <w:r w:rsidR="007F672C" w:rsidRPr="001975F6">
          <w:rPr>
            <w:rStyle w:val="Hyperlink"/>
            <w:noProof/>
          </w:rPr>
          <w:t>14-21 years, grouped by cultural background (n = 2334)</w:t>
        </w:r>
        <w:r w:rsidR="007F672C">
          <w:rPr>
            <w:noProof/>
            <w:webHidden/>
          </w:rPr>
          <w:tab/>
        </w:r>
        <w:r w:rsidR="007F672C">
          <w:rPr>
            <w:noProof/>
            <w:webHidden/>
          </w:rPr>
          <w:fldChar w:fldCharType="begin"/>
        </w:r>
        <w:r w:rsidR="007F672C">
          <w:rPr>
            <w:noProof/>
            <w:webHidden/>
          </w:rPr>
          <w:instrText xml:space="preserve"> PAGEREF _Toc119651488 \h </w:instrText>
        </w:r>
        <w:r w:rsidR="007F672C">
          <w:rPr>
            <w:noProof/>
            <w:webHidden/>
          </w:rPr>
        </w:r>
        <w:r w:rsidR="007F672C">
          <w:rPr>
            <w:noProof/>
            <w:webHidden/>
          </w:rPr>
          <w:fldChar w:fldCharType="separate"/>
        </w:r>
        <w:r w:rsidR="00C75AC6">
          <w:rPr>
            <w:noProof/>
            <w:webHidden/>
          </w:rPr>
          <w:t>156</w:t>
        </w:r>
        <w:r w:rsidR="007F672C">
          <w:rPr>
            <w:noProof/>
            <w:webHidden/>
          </w:rPr>
          <w:fldChar w:fldCharType="end"/>
        </w:r>
      </w:hyperlink>
    </w:p>
    <w:p w14:paraId="10ADCC96" w14:textId="65AC599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89" w:history="1">
        <w:r w:rsidR="007F672C" w:rsidRPr="001975F6">
          <w:rPr>
            <w:rStyle w:val="Hyperlink"/>
            <w:noProof/>
          </w:rPr>
          <w:t>Tables 87.1-87.2: Psychological distress among adults with disability aged 18+ years, grouped by cultural background (n = 2269)</w:t>
        </w:r>
        <w:r w:rsidR="007F672C">
          <w:rPr>
            <w:noProof/>
            <w:webHidden/>
          </w:rPr>
          <w:tab/>
        </w:r>
        <w:r w:rsidR="007F672C">
          <w:rPr>
            <w:noProof/>
            <w:webHidden/>
          </w:rPr>
          <w:fldChar w:fldCharType="begin"/>
        </w:r>
        <w:r w:rsidR="007F672C">
          <w:rPr>
            <w:noProof/>
            <w:webHidden/>
          </w:rPr>
          <w:instrText xml:space="preserve"> PAGEREF _Toc119651489 \h </w:instrText>
        </w:r>
        <w:r w:rsidR="007F672C">
          <w:rPr>
            <w:noProof/>
            <w:webHidden/>
          </w:rPr>
        </w:r>
        <w:r w:rsidR="007F672C">
          <w:rPr>
            <w:noProof/>
            <w:webHidden/>
          </w:rPr>
          <w:fldChar w:fldCharType="separate"/>
        </w:r>
        <w:r w:rsidR="00C75AC6">
          <w:rPr>
            <w:noProof/>
            <w:webHidden/>
          </w:rPr>
          <w:t>156</w:t>
        </w:r>
        <w:r w:rsidR="007F672C">
          <w:rPr>
            <w:noProof/>
            <w:webHidden/>
          </w:rPr>
          <w:fldChar w:fldCharType="end"/>
        </w:r>
      </w:hyperlink>
    </w:p>
    <w:p w14:paraId="768E591A" w14:textId="1761431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0" w:history="1">
        <w:r w:rsidR="007F672C" w:rsidRPr="001975F6">
          <w:rPr>
            <w:rStyle w:val="Hyperlink"/>
            <w:bCs/>
            <w:noProof/>
          </w:rPr>
          <w:t>Tables 88.1.88.2</w:t>
        </w:r>
        <w:r w:rsidR="007F672C" w:rsidRPr="001975F6">
          <w:rPr>
            <w:rStyle w:val="Hyperlink"/>
            <w:noProof/>
          </w:rPr>
          <w:t xml:space="preserve">: Experiences of verbal (n = 2272), physical (n = 2019) or sexual </w:t>
        </w:r>
        <w:r w:rsidR="00C90BA5">
          <w:rPr>
            <w:rStyle w:val="Hyperlink"/>
            <w:noProof/>
          </w:rPr>
          <w:br/>
        </w:r>
        <w:r w:rsidR="007F672C" w:rsidRPr="001975F6">
          <w:rPr>
            <w:rStyle w:val="Hyperlink"/>
            <w:noProof/>
          </w:rPr>
          <w:t xml:space="preserve">harassment or assault (n = 2089) in the past 12 months relating to sexuality or </w:t>
        </w:r>
        <w:r w:rsidR="00C90BA5">
          <w:rPr>
            <w:rStyle w:val="Hyperlink"/>
            <w:noProof/>
          </w:rPr>
          <w:br/>
        </w:r>
        <w:r w:rsidR="007F672C" w:rsidRPr="001975F6">
          <w:rPr>
            <w:rStyle w:val="Hyperlink"/>
            <w:noProof/>
          </w:rPr>
          <w:t xml:space="preserve">gender identity among young people with disability aged 14-21 years, grouped </w:t>
        </w:r>
        <w:r w:rsidR="00C90BA5">
          <w:rPr>
            <w:rStyle w:val="Hyperlink"/>
            <w:noProof/>
          </w:rPr>
          <w:br/>
        </w:r>
        <w:r w:rsidR="007F672C" w:rsidRPr="001975F6">
          <w:rPr>
            <w:rStyle w:val="Hyperlink"/>
            <w:noProof/>
          </w:rPr>
          <w:t>by cultural background</w:t>
        </w:r>
        <w:r w:rsidR="007F672C">
          <w:rPr>
            <w:noProof/>
            <w:webHidden/>
          </w:rPr>
          <w:tab/>
        </w:r>
        <w:r w:rsidR="007F672C">
          <w:rPr>
            <w:noProof/>
            <w:webHidden/>
          </w:rPr>
          <w:fldChar w:fldCharType="begin"/>
        </w:r>
        <w:r w:rsidR="007F672C">
          <w:rPr>
            <w:noProof/>
            <w:webHidden/>
          </w:rPr>
          <w:instrText xml:space="preserve"> PAGEREF _Toc119651490 \h </w:instrText>
        </w:r>
        <w:r w:rsidR="007F672C">
          <w:rPr>
            <w:noProof/>
            <w:webHidden/>
          </w:rPr>
        </w:r>
        <w:r w:rsidR="007F672C">
          <w:rPr>
            <w:noProof/>
            <w:webHidden/>
          </w:rPr>
          <w:fldChar w:fldCharType="separate"/>
        </w:r>
        <w:r w:rsidR="00C75AC6">
          <w:rPr>
            <w:noProof/>
            <w:webHidden/>
          </w:rPr>
          <w:t>157</w:t>
        </w:r>
        <w:r w:rsidR="007F672C">
          <w:rPr>
            <w:noProof/>
            <w:webHidden/>
          </w:rPr>
          <w:fldChar w:fldCharType="end"/>
        </w:r>
      </w:hyperlink>
    </w:p>
    <w:p w14:paraId="4DFD26A4" w14:textId="1FD6F2C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1" w:history="1">
        <w:r w:rsidR="007F672C" w:rsidRPr="001975F6">
          <w:rPr>
            <w:rStyle w:val="Hyperlink"/>
            <w:bCs/>
            <w:noProof/>
          </w:rPr>
          <w:t>Tables 89.1-89.2</w:t>
        </w:r>
        <w:r w:rsidR="007F672C" w:rsidRPr="001975F6">
          <w:rPr>
            <w:rStyle w:val="Hyperlink"/>
            <w:noProof/>
          </w:rPr>
          <w:t xml:space="preserve">: Received any help or support in dealing with harassment or </w:t>
        </w:r>
        <w:r w:rsidR="00C90BA5">
          <w:rPr>
            <w:rStyle w:val="Hyperlink"/>
            <w:noProof/>
          </w:rPr>
          <w:br/>
        </w:r>
        <w:r w:rsidR="007F672C" w:rsidRPr="001975F6">
          <w:rPr>
            <w:rStyle w:val="Hyperlink"/>
            <w:noProof/>
          </w:rPr>
          <w:t xml:space="preserve">assault based on sexuality or gender identity in the past 12 months among young </w:t>
        </w:r>
        <w:r w:rsidR="00C90BA5">
          <w:rPr>
            <w:rStyle w:val="Hyperlink"/>
            <w:noProof/>
          </w:rPr>
          <w:br/>
        </w:r>
        <w:r w:rsidR="007F672C" w:rsidRPr="001975F6">
          <w:rPr>
            <w:rStyle w:val="Hyperlink"/>
            <w:noProof/>
          </w:rPr>
          <w:t>people with disability aged 14-21 years (n = 1344), grouped by cultural background</w:t>
        </w:r>
        <w:r w:rsidR="007F672C">
          <w:rPr>
            <w:noProof/>
            <w:webHidden/>
          </w:rPr>
          <w:tab/>
        </w:r>
        <w:r w:rsidR="007F672C">
          <w:rPr>
            <w:noProof/>
            <w:webHidden/>
          </w:rPr>
          <w:fldChar w:fldCharType="begin"/>
        </w:r>
        <w:r w:rsidR="007F672C">
          <w:rPr>
            <w:noProof/>
            <w:webHidden/>
          </w:rPr>
          <w:instrText xml:space="preserve"> PAGEREF _Toc119651491 \h </w:instrText>
        </w:r>
        <w:r w:rsidR="007F672C">
          <w:rPr>
            <w:noProof/>
            <w:webHidden/>
          </w:rPr>
        </w:r>
        <w:r w:rsidR="007F672C">
          <w:rPr>
            <w:noProof/>
            <w:webHidden/>
          </w:rPr>
          <w:fldChar w:fldCharType="separate"/>
        </w:r>
        <w:r w:rsidR="00C75AC6">
          <w:rPr>
            <w:noProof/>
            <w:webHidden/>
          </w:rPr>
          <w:t>158</w:t>
        </w:r>
        <w:r w:rsidR="007F672C">
          <w:rPr>
            <w:noProof/>
            <w:webHidden/>
          </w:rPr>
          <w:fldChar w:fldCharType="end"/>
        </w:r>
      </w:hyperlink>
    </w:p>
    <w:p w14:paraId="03C04683" w14:textId="7042A2F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2" w:history="1">
        <w:r w:rsidR="007F672C" w:rsidRPr="001975F6">
          <w:rPr>
            <w:rStyle w:val="Hyperlink"/>
            <w:bCs/>
            <w:noProof/>
          </w:rPr>
          <w:t>Tables 90.1-90.2</w:t>
        </w:r>
        <w:r w:rsidR="007F672C" w:rsidRPr="001975F6">
          <w:rPr>
            <w:rStyle w:val="Hyperlink"/>
            <w:noProof/>
          </w:rPr>
          <w:t xml:space="preserve">: Experiences of harassment, assault and social exclusion due to </w:t>
        </w:r>
        <w:r w:rsidR="00C90BA5">
          <w:rPr>
            <w:rStyle w:val="Hyperlink"/>
            <w:noProof/>
          </w:rPr>
          <w:br/>
        </w:r>
        <w:r w:rsidR="007F672C" w:rsidRPr="001975F6">
          <w:rPr>
            <w:rStyle w:val="Hyperlink"/>
            <w:noProof/>
          </w:rPr>
          <w:t xml:space="preserve">sexual orientation or gender identity in the past 12 months among adults with disability </w:t>
        </w:r>
        <w:r w:rsidR="00C90BA5">
          <w:rPr>
            <w:rStyle w:val="Hyperlink"/>
            <w:noProof/>
          </w:rPr>
          <w:br/>
        </w:r>
        <w:r w:rsidR="007F672C" w:rsidRPr="001975F6">
          <w:rPr>
            <w:rStyle w:val="Hyperlink"/>
            <w:noProof/>
          </w:rPr>
          <w:t>aged 18+ years, grouped by cultural background</w:t>
        </w:r>
        <w:r w:rsidR="007F672C">
          <w:rPr>
            <w:noProof/>
            <w:webHidden/>
          </w:rPr>
          <w:tab/>
        </w:r>
        <w:r w:rsidR="007F672C">
          <w:rPr>
            <w:noProof/>
            <w:webHidden/>
          </w:rPr>
          <w:fldChar w:fldCharType="begin"/>
        </w:r>
        <w:r w:rsidR="007F672C">
          <w:rPr>
            <w:noProof/>
            <w:webHidden/>
          </w:rPr>
          <w:instrText xml:space="preserve"> PAGEREF _Toc119651492 \h </w:instrText>
        </w:r>
        <w:r w:rsidR="007F672C">
          <w:rPr>
            <w:noProof/>
            <w:webHidden/>
          </w:rPr>
        </w:r>
        <w:r w:rsidR="007F672C">
          <w:rPr>
            <w:noProof/>
            <w:webHidden/>
          </w:rPr>
          <w:fldChar w:fldCharType="separate"/>
        </w:r>
        <w:r w:rsidR="00C75AC6">
          <w:rPr>
            <w:noProof/>
            <w:webHidden/>
          </w:rPr>
          <w:t>160</w:t>
        </w:r>
        <w:r w:rsidR="007F672C">
          <w:rPr>
            <w:noProof/>
            <w:webHidden/>
          </w:rPr>
          <w:fldChar w:fldCharType="end"/>
        </w:r>
      </w:hyperlink>
    </w:p>
    <w:p w14:paraId="025DB668" w14:textId="766D7C0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3" w:history="1">
        <w:r w:rsidR="007F672C" w:rsidRPr="001975F6">
          <w:rPr>
            <w:rStyle w:val="Hyperlink"/>
            <w:noProof/>
          </w:rPr>
          <w:t xml:space="preserve">Tables 91.1-91.2: Ever experienced violence from an intimate partner (n = 2101) </w:t>
        </w:r>
        <w:r w:rsidR="00C90BA5">
          <w:rPr>
            <w:rStyle w:val="Hyperlink"/>
            <w:noProof/>
          </w:rPr>
          <w:br/>
        </w:r>
        <w:r w:rsidR="007F672C" w:rsidRPr="001975F6">
          <w:rPr>
            <w:rStyle w:val="Hyperlink"/>
            <w:noProof/>
          </w:rPr>
          <w:t xml:space="preserve">or family member (n = 2128) among adults with disability aged 18+ years, grouped </w:t>
        </w:r>
        <w:r w:rsidR="00C90BA5">
          <w:rPr>
            <w:rStyle w:val="Hyperlink"/>
            <w:noProof/>
          </w:rPr>
          <w:br/>
        </w:r>
        <w:r w:rsidR="007F672C" w:rsidRPr="001975F6">
          <w:rPr>
            <w:rStyle w:val="Hyperlink"/>
            <w:noProof/>
          </w:rPr>
          <w:t>by cultural background</w:t>
        </w:r>
        <w:r w:rsidR="007F672C">
          <w:rPr>
            <w:noProof/>
            <w:webHidden/>
          </w:rPr>
          <w:tab/>
        </w:r>
        <w:r w:rsidR="007F672C">
          <w:rPr>
            <w:noProof/>
            <w:webHidden/>
          </w:rPr>
          <w:fldChar w:fldCharType="begin"/>
        </w:r>
        <w:r w:rsidR="007F672C">
          <w:rPr>
            <w:noProof/>
            <w:webHidden/>
          </w:rPr>
          <w:instrText xml:space="preserve"> PAGEREF _Toc119651493 \h </w:instrText>
        </w:r>
        <w:r w:rsidR="007F672C">
          <w:rPr>
            <w:noProof/>
            <w:webHidden/>
          </w:rPr>
        </w:r>
        <w:r w:rsidR="007F672C">
          <w:rPr>
            <w:noProof/>
            <w:webHidden/>
          </w:rPr>
          <w:fldChar w:fldCharType="separate"/>
        </w:r>
        <w:r w:rsidR="00C75AC6">
          <w:rPr>
            <w:noProof/>
            <w:webHidden/>
          </w:rPr>
          <w:t>161</w:t>
        </w:r>
        <w:r w:rsidR="007F672C">
          <w:rPr>
            <w:noProof/>
            <w:webHidden/>
          </w:rPr>
          <w:fldChar w:fldCharType="end"/>
        </w:r>
      </w:hyperlink>
    </w:p>
    <w:p w14:paraId="602B6AB4" w14:textId="7DDD422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4" w:history="1">
        <w:r w:rsidR="007F672C" w:rsidRPr="001975F6">
          <w:rPr>
            <w:rStyle w:val="Hyperlink"/>
            <w:noProof/>
          </w:rPr>
          <w:t xml:space="preserve">Tables 92.1-92.2: Service or person to which intimate partner or family violence was </w:t>
        </w:r>
        <w:r w:rsidR="00C90BA5">
          <w:rPr>
            <w:rStyle w:val="Hyperlink"/>
            <w:noProof/>
          </w:rPr>
          <w:br/>
        </w:r>
        <w:r w:rsidR="007F672C" w:rsidRPr="001975F6">
          <w:rPr>
            <w:rStyle w:val="Hyperlink"/>
            <w:noProof/>
          </w:rPr>
          <w:t xml:space="preserve">reported the most recent time it occurred and proportion reporting feeling supported, </w:t>
        </w:r>
        <w:r w:rsidR="00C90BA5">
          <w:rPr>
            <w:rStyle w:val="Hyperlink"/>
            <w:noProof/>
          </w:rPr>
          <w:br/>
        </w:r>
        <w:r w:rsidR="007F672C" w:rsidRPr="001975F6">
          <w:rPr>
            <w:rStyle w:val="Hyperlink"/>
            <w:noProof/>
          </w:rPr>
          <w:t>among adults with disability aged 18+ years (n = 2139), grouped by cultural background</w:t>
        </w:r>
        <w:r w:rsidR="007F672C">
          <w:rPr>
            <w:noProof/>
            <w:webHidden/>
          </w:rPr>
          <w:tab/>
        </w:r>
        <w:r w:rsidR="007F672C">
          <w:rPr>
            <w:noProof/>
            <w:webHidden/>
          </w:rPr>
          <w:fldChar w:fldCharType="begin"/>
        </w:r>
        <w:r w:rsidR="007F672C">
          <w:rPr>
            <w:noProof/>
            <w:webHidden/>
          </w:rPr>
          <w:instrText xml:space="preserve"> PAGEREF _Toc119651494 \h </w:instrText>
        </w:r>
        <w:r w:rsidR="007F672C">
          <w:rPr>
            <w:noProof/>
            <w:webHidden/>
          </w:rPr>
        </w:r>
        <w:r w:rsidR="007F672C">
          <w:rPr>
            <w:noProof/>
            <w:webHidden/>
          </w:rPr>
          <w:fldChar w:fldCharType="separate"/>
        </w:r>
        <w:r w:rsidR="00C75AC6">
          <w:rPr>
            <w:noProof/>
            <w:webHidden/>
          </w:rPr>
          <w:t>162</w:t>
        </w:r>
        <w:r w:rsidR="007F672C">
          <w:rPr>
            <w:noProof/>
            <w:webHidden/>
          </w:rPr>
          <w:fldChar w:fldCharType="end"/>
        </w:r>
      </w:hyperlink>
    </w:p>
    <w:p w14:paraId="7CA95AB3" w14:textId="66E70612"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5" w:history="1">
        <w:r w:rsidR="007F672C" w:rsidRPr="001975F6">
          <w:rPr>
            <w:rStyle w:val="Hyperlink"/>
            <w:noProof/>
          </w:rPr>
          <w:t xml:space="preserve">Tables 93.1-93.2: Suicidal ideation among young people with disability aged 14-21 </w:t>
        </w:r>
        <w:r w:rsidR="00C90BA5">
          <w:rPr>
            <w:rStyle w:val="Hyperlink"/>
            <w:noProof/>
          </w:rPr>
          <w:br/>
        </w:r>
        <w:r w:rsidR="007F672C" w:rsidRPr="001975F6">
          <w:rPr>
            <w:rStyle w:val="Hyperlink"/>
            <w:noProof/>
          </w:rPr>
          <w:t>years, grouped by cultural background (n = 2337)</w:t>
        </w:r>
        <w:r w:rsidR="007F672C">
          <w:rPr>
            <w:noProof/>
            <w:webHidden/>
          </w:rPr>
          <w:tab/>
        </w:r>
        <w:r w:rsidR="007F672C">
          <w:rPr>
            <w:noProof/>
            <w:webHidden/>
          </w:rPr>
          <w:fldChar w:fldCharType="begin"/>
        </w:r>
        <w:r w:rsidR="007F672C">
          <w:rPr>
            <w:noProof/>
            <w:webHidden/>
          </w:rPr>
          <w:instrText xml:space="preserve"> PAGEREF _Toc119651495 \h </w:instrText>
        </w:r>
        <w:r w:rsidR="007F672C">
          <w:rPr>
            <w:noProof/>
            <w:webHidden/>
          </w:rPr>
        </w:r>
        <w:r w:rsidR="007F672C">
          <w:rPr>
            <w:noProof/>
            <w:webHidden/>
          </w:rPr>
          <w:fldChar w:fldCharType="separate"/>
        </w:r>
        <w:r w:rsidR="00C75AC6">
          <w:rPr>
            <w:noProof/>
            <w:webHidden/>
          </w:rPr>
          <w:t>164</w:t>
        </w:r>
        <w:r w:rsidR="007F672C">
          <w:rPr>
            <w:noProof/>
            <w:webHidden/>
          </w:rPr>
          <w:fldChar w:fldCharType="end"/>
        </w:r>
      </w:hyperlink>
    </w:p>
    <w:p w14:paraId="080977AC" w14:textId="3D1E332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6" w:history="1">
        <w:r w:rsidR="007F672C" w:rsidRPr="001975F6">
          <w:rPr>
            <w:rStyle w:val="Hyperlink"/>
            <w:noProof/>
          </w:rPr>
          <w:t xml:space="preserve">Tables 94.1-94.2: Suicidal ideation among adults with disability aged 18+ years, </w:t>
        </w:r>
        <w:r w:rsidR="00C90BA5">
          <w:rPr>
            <w:rStyle w:val="Hyperlink"/>
            <w:noProof/>
          </w:rPr>
          <w:br/>
        </w:r>
        <w:r w:rsidR="007F672C" w:rsidRPr="001975F6">
          <w:rPr>
            <w:rStyle w:val="Hyperlink"/>
            <w:noProof/>
          </w:rPr>
          <w:t>grouped by cultural background (n = 2268)</w:t>
        </w:r>
        <w:r w:rsidR="007F672C">
          <w:rPr>
            <w:noProof/>
            <w:webHidden/>
          </w:rPr>
          <w:tab/>
        </w:r>
        <w:r w:rsidR="007F672C">
          <w:rPr>
            <w:noProof/>
            <w:webHidden/>
          </w:rPr>
          <w:fldChar w:fldCharType="begin"/>
        </w:r>
        <w:r w:rsidR="007F672C">
          <w:rPr>
            <w:noProof/>
            <w:webHidden/>
          </w:rPr>
          <w:instrText xml:space="preserve"> PAGEREF _Toc119651496 \h </w:instrText>
        </w:r>
        <w:r w:rsidR="007F672C">
          <w:rPr>
            <w:noProof/>
            <w:webHidden/>
          </w:rPr>
        </w:r>
        <w:r w:rsidR="007F672C">
          <w:rPr>
            <w:noProof/>
            <w:webHidden/>
          </w:rPr>
          <w:fldChar w:fldCharType="separate"/>
        </w:r>
        <w:r w:rsidR="00C75AC6">
          <w:rPr>
            <w:noProof/>
            <w:webHidden/>
          </w:rPr>
          <w:t>165</w:t>
        </w:r>
        <w:r w:rsidR="007F672C">
          <w:rPr>
            <w:noProof/>
            <w:webHidden/>
          </w:rPr>
          <w:fldChar w:fldCharType="end"/>
        </w:r>
      </w:hyperlink>
    </w:p>
    <w:p w14:paraId="6E40B1A9" w14:textId="059B7BD1"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7" w:history="1">
        <w:r w:rsidR="007F672C" w:rsidRPr="001975F6">
          <w:rPr>
            <w:rStyle w:val="Hyperlink"/>
            <w:bCs/>
            <w:noProof/>
          </w:rPr>
          <w:t>Tables 95.1-95.2</w:t>
        </w:r>
        <w:r w:rsidR="007F672C" w:rsidRPr="001975F6">
          <w:rPr>
            <w:rStyle w:val="Hyperlink"/>
            <w:noProof/>
          </w:rPr>
          <w:t xml:space="preserve">: Suicide attempt among young people with disability aged 14-21 </w:t>
        </w:r>
        <w:r w:rsidR="00C90BA5">
          <w:rPr>
            <w:rStyle w:val="Hyperlink"/>
            <w:noProof/>
          </w:rPr>
          <w:br/>
        </w:r>
        <w:r w:rsidR="007F672C" w:rsidRPr="001975F6">
          <w:rPr>
            <w:rStyle w:val="Hyperlink"/>
            <w:noProof/>
          </w:rPr>
          <w:t>years, grouped by cultural background (n = 2317)</w:t>
        </w:r>
        <w:r w:rsidR="007F672C">
          <w:rPr>
            <w:noProof/>
            <w:webHidden/>
          </w:rPr>
          <w:tab/>
        </w:r>
        <w:r w:rsidR="007F672C">
          <w:rPr>
            <w:noProof/>
            <w:webHidden/>
          </w:rPr>
          <w:fldChar w:fldCharType="begin"/>
        </w:r>
        <w:r w:rsidR="007F672C">
          <w:rPr>
            <w:noProof/>
            <w:webHidden/>
          </w:rPr>
          <w:instrText xml:space="preserve"> PAGEREF _Toc119651497 \h </w:instrText>
        </w:r>
        <w:r w:rsidR="007F672C">
          <w:rPr>
            <w:noProof/>
            <w:webHidden/>
          </w:rPr>
        </w:r>
        <w:r w:rsidR="007F672C">
          <w:rPr>
            <w:noProof/>
            <w:webHidden/>
          </w:rPr>
          <w:fldChar w:fldCharType="separate"/>
        </w:r>
        <w:r w:rsidR="00C75AC6">
          <w:rPr>
            <w:noProof/>
            <w:webHidden/>
          </w:rPr>
          <w:t>165</w:t>
        </w:r>
        <w:r w:rsidR="007F672C">
          <w:rPr>
            <w:noProof/>
            <w:webHidden/>
          </w:rPr>
          <w:fldChar w:fldCharType="end"/>
        </w:r>
      </w:hyperlink>
    </w:p>
    <w:p w14:paraId="42EC98BB" w14:textId="62128BD0"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8" w:history="1">
        <w:r w:rsidR="007F672C" w:rsidRPr="001975F6">
          <w:rPr>
            <w:rStyle w:val="Hyperlink"/>
            <w:bCs/>
            <w:noProof/>
          </w:rPr>
          <w:t>Tables 96.1-96.2</w:t>
        </w:r>
        <w:r w:rsidR="007F672C" w:rsidRPr="001975F6">
          <w:rPr>
            <w:rStyle w:val="Hyperlink"/>
            <w:noProof/>
          </w:rPr>
          <w:t xml:space="preserve">: Suicide attempt among adults with disability aged 18+ years, grouped </w:t>
        </w:r>
        <w:r w:rsidR="00C90BA5">
          <w:rPr>
            <w:rStyle w:val="Hyperlink"/>
            <w:noProof/>
          </w:rPr>
          <w:br/>
        </w:r>
        <w:r w:rsidR="007F672C" w:rsidRPr="001975F6">
          <w:rPr>
            <w:rStyle w:val="Hyperlink"/>
            <w:noProof/>
          </w:rPr>
          <w:t>by cultural background (n = 1910)</w:t>
        </w:r>
        <w:r w:rsidR="007F672C">
          <w:rPr>
            <w:noProof/>
            <w:webHidden/>
          </w:rPr>
          <w:tab/>
        </w:r>
        <w:r w:rsidR="007F672C">
          <w:rPr>
            <w:noProof/>
            <w:webHidden/>
          </w:rPr>
          <w:fldChar w:fldCharType="begin"/>
        </w:r>
        <w:r w:rsidR="007F672C">
          <w:rPr>
            <w:noProof/>
            <w:webHidden/>
          </w:rPr>
          <w:instrText xml:space="preserve"> PAGEREF _Toc119651498 \h </w:instrText>
        </w:r>
        <w:r w:rsidR="007F672C">
          <w:rPr>
            <w:noProof/>
            <w:webHidden/>
          </w:rPr>
        </w:r>
        <w:r w:rsidR="007F672C">
          <w:rPr>
            <w:noProof/>
            <w:webHidden/>
          </w:rPr>
          <w:fldChar w:fldCharType="separate"/>
        </w:r>
        <w:r w:rsidR="00C75AC6">
          <w:rPr>
            <w:noProof/>
            <w:webHidden/>
          </w:rPr>
          <w:t>166</w:t>
        </w:r>
        <w:r w:rsidR="007F672C">
          <w:rPr>
            <w:noProof/>
            <w:webHidden/>
          </w:rPr>
          <w:fldChar w:fldCharType="end"/>
        </w:r>
      </w:hyperlink>
    </w:p>
    <w:p w14:paraId="09AC0CFD" w14:textId="5C8F9CE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499" w:history="1">
        <w:r w:rsidR="007F672C" w:rsidRPr="001975F6">
          <w:rPr>
            <w:rStyle w:val="Hyperlink"/>
            <w:bCs/>
            <w:noProof/>
          </w:rPr>
          <w:t>Tables 97.1-97.2</w:t>
        </w:r>
        <w:r w:rsidR="007F672C" w:rsidRPr="001975F6">
          <w:rPr>
            <w:rStyle w:val="Hyperlink"/>
            <w:noProof/>
          </w:rPr>
          <w:t xml:space="preserve">: Treated unfairly by others due to ethnicity, cultural identity or heritage </w:t>
        </w:r>
        <w:r w:rsidR="00C90BA5">
          <w:rPr>
            <w:rStyle w:val="Hyperlink"/>
            <w:noProof/>
          </w:rPr>
          <w:br/>
        </w:r>
        <w:r w:rsidR="007F672C" w:rsidRPr="001975F6">
          <w:rPr>
            <w:rStyle w:val="Hyperlink"/>
            <w:noProof/>
          </w:rPr>
          <w:t>in the past 12 months among adults with disability aged 18+ years, grouped by cultural background (n = 1935)</w:t>
        </w:r>
        <w:r w:rsidR="007F672C">
          <w:rPr>
            <w:noProof/>
            <w:webHidden/>
          </w:rPr>
          <w:tab/>
        </w:r>
        <w:r w:rsidR="007F672C">
          <w:rPr>
            <w:noProof/>
            <w:webHidden/>
          </w:rPr>
          <w:fldChar w:fldCharType="begin"/>
        </w:r>
        <w:r w:rsidR="007F672C">
          <w:rPr>
            <w:noProof/>
            <w:webHidden/>
          </w:rPr>
          <w:instrText xml:space="preserve"> PAGEREF _Toc119651499 \h </w:instrText>
        </w:r>
        <w:r w:rsidR="007F672C">
          <w:rPr>
            <w:noProof/>
            <w:webHidden/>
          </w:rPr>
        </w:r>
        <w:r w:rsidR="007F672C">
          <w:rPr>
            <w:noProof/>
            <w:webHidden/>
          </w:rPr>
          <w:fldChar w:fldCharType="separate"/>
        </w:r>
        <w:r w:rsidR="00C75AC6">
          <w:rPr>
            <w:noProof/>
            <w:webHidden/>
          </w:rPr>
          <w:t>167</w:t>
        </w:r>
        <w:r w:rsidR="007F672C">
          <w:rPr>
            <w:noProof/>
            <w:webHidden/>
          </w:rPr>
          <w:fldChar w:fldCharType="end"/>
        </w:r>
      </w:hyperlink>
    </w:p>
    <w:p w14:paraId="287AEB3A" w14:textId="037477E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0" w:history="1">
        <w:r w:rsidR="007F672C" w:rsidRPr="001975F6">
          <w:rPr>
            <w:rStyle w:val="Hyperlink"/>
            <w:noProof/>
          </w:rPr>
          <w:t xml:space="preserve">Tables 98.1-98.4: You feel you’re part of Australia’s LGBTIQ community among adults </w:t>
        </w:r>
        <w:r w:rsidR="00C90BA5">
          <w:rPr>
            <w:rStyle w:val="Hyperlink"/>
            <w:noProof/>
          </w:rPr>
          <w:br/>
        </w:r>
        <w:r w:rsidR="007F672C" w:rsidRPr="001975F6">
          <w:rPr>
            <w:rStyle w:val="Hyperlink"/>
            <w:noProof/>
          </w:rPr>
          <w:t>with disability aged 18+ years, grouped by area of residence (n = 2602)</w:t>
        </w:r>
        <w:r w:rsidR="007F672C">
          <w:rPr>
            <w:noProof/>
            <w:webHidden/>
          </w:rPr>
          <w:tab/>
        </w:r>
        <w:r w:rsidR="007F672C">
          <w:rPr>
            <w:noProof/>
            <w:webHidden/>
          </w:rPr>
          <w:fldChar w:fldCharType="begin"/>
        </w:r>
        <w:r w:rsidR="007F672C">
          <w:rPr>
            <w:noProof/>
            <w:webHidden/>
          </w:rPr>
          <w:instrText xml:space="preserve"> PAGEREF _Toc119651500 \h </w:instrText>
        </w:r>
        <w:r w:rsidR="007F672C">
          <w:rPr>
            <w:noProof/>
            <w:webHidden/>
          </w:rPr>
        </w:r>
        <w:r w:rsidR="007F672C">
          <w:rPr>
            <w:noProof/>
            <w:webHidden/>
          </w:rPr>
          <w:fldChar w:fldCharType="separate"/>
        </w:r>
        <w:r w:rsidR="00C75AC6">
          <w:rPr>
            <w:noProof/>
            <w:webHidden/>
          </w:rPr>
          <w:t>170</w:t>
        </w:r>
        <w:r w:rsidR="007F672C">
          <w:rPr>
            <w:noProof/>
            <w:webHidden/>
          </w:rPr>
          <w:fldChar w:fldCharType="end"/>
        </w:r>
      </w:hyperlink>
    </w:p>
    <w:p w14:paraId="0E9ED515" w14:textId="0615B04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1" w:history="1">
        <w:r w:rsidR="007F672C" w:rsidRPr="001975F6">
          <w:rPr>
            <w:rStyle w:val="Hyperlink"/>
            <w:bCs/>
            <w:noProof/>
          </w:rPr>
          <w:t>Tables 99.1-99.4: Attended</w:t>
        </w:r>
        <w:r w:rsidR="007F672C" w:rsidRPr="001975F6">
          <w:rPr>
            <w:rStyle w:val="Hyperlink"/>
            <w:noProof/>
          </w:rPr>
          <w:t xml:space="preserve"> an LGBTIQA+ youth event in the past 12 months among </w:t>
        </w:r>
        <w:r w:rsidR="00C90BA5">
          <w:rPr>
            <w:rStyle w:val="Hyperlink"/>
            <w:noProof/>
          </w:rPr>
          <w:br/>
        </w:r>
        <w:r w:rsidR="007F672C" w:rsidRPr="001975F6">
          <w:rPr>
            <w:rStyle w:val="Hyperlink"/>
            <w:noProof/>
          </w:rPr>
          <w:t>young people with disability aged 14-21 years, grouped by area of residence (n = 2439)</w:t>
        </w:r>
        <w:r w:rsidR="007F672C">
          <w:rPr>
            <w:noProof/>
            <w:webHidden/>
          </w:rPr>
          <w:tab/>
        </w:r>
        <w:r w:rsidR="007F672C">
          <w:rPr>
            <w:noProof/>
            <w:webHidden/>
          </w:rPr>
          <w:fldChar w:fldCharType="begin"/>
        </w:r>
        <w:r w:rsidR="007F672C">
          <w:rPr>
            <w:noProof/>
            <w:webHidden/>
          </w:rPr>
          <w:instrText xml:space="preserve"> PAGEREF _Toc119651501 \h </w:instrText>
        </w:r>
        <w:r w:rsidR="007F672C">
          <w:rPr>
            <w:noProof/>
            <w:webHidden/>
          </w:rPr>
        </w:r>
        <w:r w:rsidR="007F672C">
          <w:rPr>
            <w:noProof/>
            <w:webHidden/>
          </w:rPr>
          <w:fldChar w:fldCharType="separate"/>
        </w:r>
        <w:r w:rsidR="00C75AC6">
          <w:rPr>
            <w:noProof/>
            <w:webHidden/>
          </w:rPr>
          <w:t>171</w:t>
        </w:r>
        <w:r w:rsidR="007F672C">
          <w:rPr>
            <w:noProof/>
            <w:webHidden/>
          </w:rPr>
          <w:fldChar w:fldCharType="end"/>
        </w:r>
      </w:hyperlink>
    </w:p>
    <w:p w14:paraId="7E614544" w14:textId="4347216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2" w:history="1">
        <w:r w:rsidR="007F672C" w:rsidRPr="001975F6">
          <w:rPr>
            <w:rStyle w:val="Hyperlink"/>
            <w:noProof/>
          </w:rPr>
          <w:t xml:space="preserve">Tables 100.1-100.4: Proportion of adults with disability aged 18+ years who currently </w:t>
        </w:r>
        <w:r w:rsidR="00C90BA5">
          <w:rPr>
            <w:rStyle w:val="Hyperlink"/>
            <w:noProof/>
          </w:rPr>
          <w:br/>
        </w:r>
        <w:r w:rsidR="007F672C" w:rsidRPr="001975F6">
          <w:rPr>
            <w:rStyle w:val="Hyperlink"/>
            <w:noProof/>
          </w:rPr>
          <w:t>feel accepted ‘a lot’ or ‘always’, grouped by area of residence</w:t>
        </w:r>
        <w:r w:rsidR="007F672C">
          <w:rPr>
            <w:noProof/>
            <w:webHidden/>
          </w:rPr>
          <w:tab/>
        </w:r>
        <w:r w:rsidR="007F672C">
          <w:rPr>
            <w:noProof/>
            <w:webHidden/>
          </w:rPr>
          <w:fldChar w:fldCharType="begin"/>
        </w:r>
        <w:r w:rsidR="007F672C">
          <w:rPr>
            <w:noProof/>
            <w:webHidden/>
          </w:rPr>
          <w:instrText xml:space="preserve"> PAGEREF _Toc119651502 \h </w:instrText>
        </w:r>
        <w:r w:rsidR="007F672C">
          <w:rPr>
            <w:noProof/>
            <w:webHidden/>
          </w:rPr>
        </w:r>
        <w:r w:rsidR="007F672C">
          <w:rPr>
            <w:noProof/>
            <w:webHidden/>
          </w:rPr>
          <w:fldChar w:fldCharType="separate"/>
        </w:r>
        <w:r w:rsidR="00C75AC6">
          <w:rPr>
            <w:noProof/>
            <w:webHidden/>
          </w:rPr>
          <w:t>172</w:t>
        </w:r>
        <w:r w:rsidR="007F672C">
          <w:rPr>
            <w:noProof/>
            <w:webHidden/>
          </w:rPr>
          <w:fldChar w:fldCharType="end"/>
        </w:r>
      </w:hyperlink>
    </w:p>
    <w:p w14:paraId="74AB3C35" w14:textId="5EB02B7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3" w:history="1">
        <w:r w:rsidR="007F672C" w:rsidRPr="001975F6">
          <w:rPr>
            <w:rStyle w:val="Hyperlink"/>
            <w:bCs/>
            <w:noProof/>
          </w:rPr>
          <w:t>Tables 101.1-101.4</w:t>
        </w:r>
        <w:r w:rsidR="007F672C" w:rsidRPr="001975F6">
          <w:rPr>
            <w:rStyle w:val="Hyperlink"/>
            <w:noProof/>
          </w:rPr>
          <w:t xml:space="preserve">: Psychological distress among young people with disability aged </w:t>
        </w:r>
        <w:r w:rsidR="00C90BA5">
          <w:rPr>
            <w:rStyle w:val="Hyperlink"/>
            <w:noProof/>
          </w:rPr>
          <w:br/>
        </w:r>
        <w:r w:rsidR="007F672C" w:rsidRPr="001975F6">
          <w:rPr>
            <w:rStyle w:val="Hyperlink"/>
            <w:noProof/>
          </w:rPr>
          <w:t>14-21 years, grouped by area of residence (n = 2484)</w:t>
        </w:r>
        <w:r w:rsidR="007F672C">
          <w:rPr>
            <w:noProof/>
            <w:webHidden/>
          </w:rPr>
          <w:tab/>
        </w:r>
        <w:r w:rsidR="007F672C">
          <w:rPr>
            <w:noProof/>
            <w:webHidden/>
          </w:rPr>
          <w:fldChar w:fldCharType="begin"/>
        </w:r>
        <w:r w:rsidR="007F672C">
          <w:rPr>
            <w:noProof/>
            <w:webHidden/>
          </w:rPr>
          <w:instrText xml:space="preserve"> PAGEREF _Toc119651503 \h </w:instrText>
        </w:r>
        <w:r w:rsidR="007F672C">
          <w:rPr>
            <w:noProof/>
            <w:webHidden/>
          </w:rPr>
        </w:r>
        <w:r w:rsidR="007F672C">
          <w:rPr>
            <w:noProof/>
            <w:webHidden/>
          </w:rPr>
          <w:fldChar w:fldCharType="separate"/>
        </w:r>
        <w:r w:rsidR="00C75AC6">
          <w:rPr>
            <w:noProof/>
            <w:webHidden/>
          </w:rPr>
          <w:t>174</w:t>
        </w:r>
        <w:r w:rsidR="007F672C">
          <w:rPr>
            <w:noProof/>
            <w:webHidden/>
          </w:rPr>
          <w:fldChar w:fldCharType="end"/>
        </w:r>
      </w:hyperlink>
    </w:p>
    <w:p w14:paraId="6831BCDB" w14:textId="5614234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4" w:history="1">
        <w:r w:rsidR="007F672C" w:rsidRPr="001975F6">
          <w:rPr>
            <w:rStyle w:val="Hyperlink"/>
            <w:bCs/>
            <w:noProof/>
          </w:rPr>
          <w:t>Tables 102.1-102.4</w:t>
        </w:r>
        <w:r w:rsidR="007F672C" w:rsidRPr="001975F6">
          <w:rPr>
            <w:rStyle w:val="Hyperlink"/>
            <w:noProof/>
          </w:rPr>
          <w:t>: Psychological distress among adults with disability aged 18+ years, grouped by area of residence (n = 2547)</w:t>
        </w:r>
        <w:r w:rsidR="007F672C">
          <w:rPr>
            <w:noProof/>
            <w:webHidden/>
          </w:rPr>
          <w:tab/>
        </w:r>
        <w:r w:rsidR="007F672C">
          <w:rPr>
            <w:noProof/>
            <w:webHidden/>
          </w:rPr>
          <w:fldChar w:fldCharType="begin"/>
        </w:r>
        <w:r w:rsidR="007F672C">
          <w:rPr>
            <w:noProof/>
            <w:webHidden/>
          </w:rPr>
          <w:instrText xml:space="preserve"> PAGEREF _Toc119651504 \h </w:instrText>
        </w:r>
        <w:r w:rsidR="007F672C">
          <w:rPr>
            <w:noProof/>
            <w:webHidden/>
          </w:rPr>
        </w:r>
        <w:r w:rsidR="007F672C">
          <w:rPr>
            <w:noProof/>
            <w:webHidden/>
          </w:rPr>
          <w:fldChar w:fldCharType="separate"/>
        </w:r>
        <w:r w:rsidR="00C75AC6">
          <w:rPr>
            <w:noProof/>
            <w:webHidden/>
          </w:rPr>
          <w:t>175</w:t>
        </w:r>
        <w:r w:rsidR="007F672C">
          <w:rPr>
            <w:noProof/>
            <w:webHidden/>
          </w:rPr>
          <w:fldChar w:fldCharType="end"/>
        </w:r>
      </w:hyperlink>
    </w:p>
    <w:p w14:paraId="57270449" w14:textId="2194607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5" w:history="1">
        <w:r w:rsidR="007F672C" w:rsidRPr="001975F6">
          <w:rPr>
            <w:rStyle w:val="Hyperlink"/>
            <w:noProof/>
          </w:rPr>
          <w:t xml:space="preserve">Tables 103.1-103.4: Experiences of verbal (n = 2414), physical (n = 2144) and sexual </w:t>
        </w:r>
        <w:r w:rsidR="00C90BA5">
          <w:rPr>
            <w:rStyle w:val="Hyperlink"/>
            <w:noProof/>
          </w:rPr>
          <w:br/>
        </w:r>
        <w:r w:rsidR="007F672C" w:rsidRPr="001975F6">
          <w:rPr>
            <w:rStyle w:val="Hyperlink"/>
            <w:noProof/>
          </w:rPr>
          <w:t>(n = 2218) harassment or assault in past 12 months relating to sexuality or gender identity among young people with disability aged 14-21 years, grouped by area of residence</w:t>
        </w:r>
        <w:r w:rsidR="007F672C">
          <w:rPr>
            <w:noProof/>
            <w:webHidden/>
          </w:rPr>
          <w:tab/>
        </w:r>
        <w:r w:rsidR="007F672C">
          <w:rPr>
            <w:noProof/>
            <w:webHidden/>
          </w:rPr>
          <w:fldChar w:fldCharType="begin"/>
        </w:r>
        <w:r w:rsidR="007F672C">
          <w:rPr>
            <w:noProof/>
            <w:webHidden/>
          </w:rPr>
          <w:instrText xml:space="preserve"> PAGEREF _Toc119651505 \h </w:instrText>
        </w:r>
        <w:r w:rsidR="007F672C">
          <w:rPr>
            <w:noProof/>
            <w:webHidden/>
          </w:rPr>
        </w:r>
        <w:r w:rsidR="007F672C">
          <w:rPr>
            <w:noProof/>
            <w:webHidden/>
          </w:rPr>
          <w:fldChar w:fldCharType="separate"/>
        </w:r>
        <w:r w:rsidR="00C75AC6">
          <w:rPr>
            <w:noProof/>
            <w:webHidden/>
          </w:rPr>
          <w:t>176</w:t>
        </w:r>
        <w:r w:rsidR="007F672C">
          <w:rPr>
            <w:noProof/>
            <w:webHidden/>
          </w:rPr>
          <w:fldChar w:fldCharType="end"/>
        </w:r>
      </w:hyperlink>
    </w:p>
    <w:p w14:paraId="0EDC3F7C" w14:textId="615E50E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6" w:history="1">
        <w:r w:rsidR="007F672C" w:rsidRPr="001975F6">
          <w:rPr>
            <w:rStyle w:val="Hyperlink"/>
            <w:bCs/>
            <w:noProof/>
          </w:rPr>
          <w:t>Tables 104.1-104.4</w:t>
        </w:r>
        <w:r w:rsidR="007F672C" w:rsidRPr="001975F6">
          <w:rPr>
            <w:rStyle w:val="Hyperlink"/>
            <w:noProof/>
          </w:rPr>
          <w:t xml:space="preserve">: Experiences of harassment, assault and social exclusion due to </w:t>
        </w:r>
        <w:r w:rsidR="00C90BA5">
          <w:rPr>
            <w:rStyle w:val="Hyperlink"/>
            <w:noProof/>
          </w:rPr>
          <w:br/>
        </w:r>
        <w:r w:rsidR="007F672C" w:rsidRPr="001975F6">
          <w:rPr>
            <w:rStyle w:val="Hyperlink"/>
            <w:noProof/>
          </w:rPr>
          <w:t xml:space="preserve">sexual orientation or gender identity in the past 12 months among adults with disability </w:t>
        </w:r>
        <w:r w:rsidR="00C90BA5">
          <w:rPr>
            <w:rStyle w:val="Hyperlink"/>
            <w:noProof/>
          </w:rPr>
          <w:br/>
        </w:r>
        <w:r w:rsidR="007F672C" w:rsidRPr="001975F6">
          <w:rPr>
            <w:rStyle w:val="Hyperlink"/>
            <w:noProof/>
          </w:rPr>
          <w:t>aged 18+ years, grouped by area of residence</w:t>
        </w:r>
        <w:r w:rsidR="007F672C">
          <w:rPr>
            <w:noProof/>
            <w:webHidden/>
          </w:rPr>
          <w:tab/>
        </w:r>
        <w:r w:rsidR="007F672C">
          <w:rPr>
            <w:noProof/>
            <w:webHidden/>
          </w:rPr>
          <w:fldChar w:fldCharType="begin"/>
        </w:r>
        <w:r w:rsidR="007F672C">
          <w:rPr>
            <w:noProof/>
            <w:webHidden/>
          </w:rPr>
          <w:instrText xml:space="preserve"> PAGEREF _Toc119651506 \h </w:instrText>
        </w:r>
        <w:r w:rsidR="007F672C">
          <w:rPr>
            <w:noProof/>
            <w:webHidden/>
          </w:rPr>
        </w:r>
        <w:r w:rsidR="007F672C">
          <w:rPr>
            <w:noProof/>
            <w:webHidden/>
          </w:rPr>
          <w:fldChar w:fldCharType="separate"/>
        </w:r>
        <w:r w:rsidR="00C75AC6">
          <w:rPr>
            <w:noProof/>
            <w:webHidden/>
          </w:rPr>
          <w:t>178</w:t>
        </w:r>
        <w:r w:rsidR="007F672C">
          <w:rPr>
            <w:noProof/>
            <w:webHidden/>
          </w:rPr>
          <w:fldChar w:fldCharType="end"/>
        </w:r>
      </w:hyperlink>
    </w:p>
    <w:p w14:paraId="327C3F28" w14:textId="032B11B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7" w:history="1">
        <w:r w:rsidR="007F672C" w:rsidRPr="001975F6">
          <w:rPr>
            <w:rStyle w:val="Hyperlink"/>
            <w:bCs/>
            <w:noProof/>
          </w:rPr>
          <w:t>Tables 105.1-105.4</w:t>
        </w:r>
        <w:r w:rsidR="007F672C" w:rsidRPr="001975F6">
          <w:rPr>
            <w:rStyle w:val="Hyperlink"/>
            <w:noProof/>
          </w:rPr>
          <w:t xml:space="preserve">: Ever experienced violence from an intimate partner (n = 2394) </w:t>
        </w:r>
        <w:r w:rsidR="00C90BA5">
          <w:rPr>
            <w:rStyle w:val="Hyperlink"/>
            <w:noProof/>
          </w:rPr>
          <w:br/>
        </w:r>
        <w:r w:rsidR="007F672C" w:rsidRPr="001975F6">
          <w:rPr>
            <w:rStyle w:val="Hyperlink"/>
            <w:noProof/>
          </w:rPr>
          <w:t xml:space="preserve">or family member (n = 2437) among adults with disability aged 18+ years, grouped </w:t>
        </w:r>
        <w:r w:rsidR="00C90BA5">
          <w:rPr>
            <w:rStyle w:val="Hyperlink"/>
            <w:noProof/>
          </w:rPr>
          <w:br/>
        </w:r>
        <w:r w:rsidR="007F672C" w:rsidRPr="001975F6">
          <w:rPr>
            <w:rStyle w:val="Hyperlink"/>
            <w:noProof/>
          </w:rPr>
          <w:t>by area of residence</w:t>
        </w:r>
        <w:r w:rsidR="007F672C">
          <w:rPr>
            <w:noProof/>
            <w:webHidden/>
          </w:rPr>
          <w:tab/>
        </w:r>
        <w:r w:rsidR="007F672C">
          <w:rPr>
            <w:noProof/>
            <w:webHidden/>
          </w:rPr>
          <w:fldChar w:fldCharType="begin"/>
        </w:r>
        <w:r w:rsidR="007F672C">
          <w:rPr>
            <w:noProof/>
            <w:webHidden/>
          </w:rPr>
          <w:instrText xml:space="preserve"> PAGEREF _Toc119651507 \h </w:instrText>
        </w:r>
        <w:r w:rsidR="007F672C">
          <w:rPr>
            <w:noProof/>
            <w:webHidden/>
          </w:rPr>
        </w:r>
        <w:r w:rsidR="007F672C">
          <w:rPr>
            <w:noProof/>
            <w:webHidden/>
          </w:rPr>
          <w:fldChar w:fldCharType="separate"/>
        </w:r>
        <w:r w:rsidR="00C75AC6">
          <w:rPr>
            <w:noProof/>
            <w:webHidden/>
          </w:rPr>
          <w:t>179</w:t>
        </w:r>
        <w:r w:rsidR="007F672C">
          <w:rPr>
            <w:noProof/>
            <w:webHidden/>
          </w:rPr>
          <w:fldChar w:fldCharType="end"/>
        </w:r>
      </w:hyperlink>
    </w:p>
    <w:p w14:paraId="638FA377" w14:textId="08EB8EA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8" w:history="1">
        <w:r w:rsidR="007F672C" w:rsidRPr="001975F6">
          <w:rPr>
            <w:rStyle w:val="Hyperlink"/>
            <w:bCs/>
            <w:noProof/>
          </w:rPr>
          <w:t>Tables 106.1-106.4</w:t>
        </w:r>
        <w:r w:rsidR="007F672C" w:rsidRPr="001975F6">
          <w:rPr>
            <w:rStyle w:val="Hyperlink"/>
            <w:noProof/>
          </w:rPr>
          <w:t xml:space="preserve">: Suicidal ideation among young people with disability aged </w:t>
        </w:r>
        <w:r w:rsidR="00C90BA5">
          <w:rPr>
            <w:rStyle w:val="Hyperlink"/>
            <w:noProof/>
          </w:rPr>
          <w:br/>
        </w:r>
        <w:r w:rsidR="007F672C" w:rsidRPr="001975F6">
          <w:rPr>
            <w:rStyle w:val="Hyperlink"/>
            <w:noProof/>
          </w:rPr>
          <w:t>14-21 years, grouped by area of residence (n = 2337)</w:t>
        </w:r>
        <w:r w:rsidR="007F672C">
          <w:rPr>
            <w:noProof/>
            <w:webHidden/>
          </w:rPr>
          <w:tab/>
        </w:r>
        <w:r w:rsidR="007F672C">
          <w:rPr>
            <w:noProof/>
            <w:webHidden/>
          </w:rPr>
          <w:fldChar w:fldCharType="begin"/>
        </w:r>
        <w:r w:rsidR="007F672C">
          <w:rPr>
            <w:noProof/>
            <w:webHidden/>
          </w:rPr>
          <w:instrText xml:space="preserve"> PAGEREF _Toc119651508 \h </w:instrText>
        </w:r>
        <w:r w:rsidR="007F672C">
          <w:rPr>
            <w:noProof/>
            <w:webHidden/>
          </w:rPr>
        </w:r>
        <w:r w:rsidR="007F672C">
          <w:rPr>
            <w:noProof/>
            <w:webHidden/>
          </w:rPr>
          <w:fldChar w:fldCharType="separate"/>
        </w:r>
        <w:r w:rsidR="00C75AC6">
          <w:rPr>
            <w:noProof/>
            <w:webHidden/>
          </w:rPr>
          <w:t>180</w:t>
        </w:r>
        <w:r w:rsidR="007F672C">
          <w:rPr>
            <w:noProof/>
            <w:webHidden/>
          </w:rPr>
          <w:fldChar w:fldCharType="end"/>
        </w:r>
      </w:hyperlink>
    </w:p>
    <w:p w14:paraId="187F0671" w14:textId="49A2F3D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09" w:history="1">
        <w:r w:rsidR="007F672C" w:rsidRPr="001975F6">
          <w:rPr>
            <w:rStyle w:val="Hyperlink"/>
            <w:bCs/>
            <w:noProof/>
          </w:rPr>
          <w:t>Tables 107.1-107.4</w:t>
        </w:r>
        <w:r w:rsidR="007F672C" w:rsidRPr="001975F6">
          <w:rPr>
            <w:rStyle w:val="Hyperlink"/>
            <w:noProof/>
          </w:rPr>
          <w:t xml:space="preserve">: Suicidal ideation among adults with disability aged 18+ years, </w:t>
        </w:r>
        <w:r w:rsidR="00C90BA5">
          <w:rPr>
            <w:rStyle w:val="Hyperlink"/>
            <w:noProof/>
          </w:rPr>
          <w:br/>
        </w:r>
        <w:r w:rsidR="007F672C" w:rsidRPr="001975F6">
          <w:rPr>
            <w:rStyle w:val="Hyperlink"/>
            <w:noProof/>
          </w:rPr>
          <w:t>grouped by area of residence (n = 2596)</w:t>
        </w:r>
        <w:r w:rsidR="007F672C">
          <w:rPr>
            <w:noProof/>
            <w:webHidden/>
          </w:rPr>
          <w:tab/>
        </w:r>
        <w:r w:rsidR="007F672C">
          <w:rPr>
            <w:noProof/>
            <w:webHidden/>
          </w:rPr>
          <w:fldChar w:fldCharType="begin"/>
        </w:r>
        <w:r w:rsidR="007F672C">
          <w:rPr>
            <w:noProof/>
            <w:webHidden/>
          </w:rPr>
          <w:instrText xml:space="preserve"> PAGEREF _Toc119651509 \h </w:instrText>
        </w:r>
        <w:r w:rsidR="007F672C">
          <w:rPr>
            <w:noProof/>
            <w:webHidden/>
          </w:rPr>
        </w:r>
        <w:r w:rsidR="007F672C">
          <w:rPr>
            <w:noProof/>
            <w:webHidden/>
          </w:rPr>
          <w:fldChar w:fldCharType="separate"/>
        </w:r>
        <w:r w:rsidR="00C75AC6">
          <w:rPr>
            <w:noProof/>
            <w:webHidden/>
          </w:rPr>
          <w:t>182</w:t>
        </w:r>
        <w:r w:rsidR="007F672C">
          <w:rPr>
            <w:noProof/>
            <w:webHidden/>
          </w:rPr>
          <w:fldChar w:fldCharType="end"/>
        </w:r>
      </w:hyperlink>
    </w:p>
    <w:p w14:paraId="5C26DA57" w14:textId="6ABCEB8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0" w:history="1">
        <w:r w:rsidR="007F672C" w:rsidRPr="001975F6">
          <w:rPr>
            <w:rStyle w:val="Hyperlink"/>
            <w:bCs/>
            <w:noProof/>
          </w:rPr>
          <w:t>Tables 108.1-108.4</w:t>
        </w:r>
        <w:r w:rsidR="007F672C" w:rsidRPr="001975F6">
          <w:rPr>
            <w:rStyle w:val="Hyperlink"/>
            <w:noProof/>
          </w:rPr>
          <w:t xml:space="preserve">: Suicide attempt among young people with disability aged </w:t>
        </w:r>
        <w:r w:rsidR="00C90BA5">
          <w:rPr>
            <w:rStyle w:val="Hyperlink"/>
            <w:noProof/>
          </w:rPr>
          <w:br/>
        </w:r>
        <w:r w:rsidR="007F672C" w:rsidRPr="001975F6">
          <w:rPr>
            <w:rStyle w:val="Hyperlink"/>
            <w:noProof/>
          </w:rPr>
          <w:t>14-21 years, grouped by area of residence (n = 2317)</w:t>
        </w:r>
        <w:r w:rsidR="007F672C">
          <w:rPr>
            <w:noProof/>
            <w:webHidden/>
          </w:rPr>
          <w:tab/>
        </w:r>
        <w:r w:rsidR="007F672C">
          <w:rPr>
            <w:noProof/>
            <w:webHidden/>
          </w:rPr>
          <w:fldChar w:fldCharType="begin"/>
        </w:r>
        <w:r w:rsidR="007F672C">
          <w:rPr>
            <w:noProof/>
            <w:webHidden/>
          </w:rPr>
          <w:instrText xml:space="preserve"> PAGEREF _Toc119651510 \h </w:instrText>
        </w:r>
        <w:r w:rsidR="007F672C">
          <w:rPr>
            <w:noProof/>
            <w:webHidden/>
          </w:rPr>
        </w:r>
        <w:r w:rsidR="007F672C">
          <w:rPr>
            <w:noProof/>
            <w:webHidden/>
          </w:rPr>
          <w:fldChar w:fldCharType="separate"/>
        </w:r>
        <w:r w:rsidR="00C75AC6">
          <w:rPr>
            <w:noProof/>
            <w:webHidden/>
          </w:rPr>
          <w:t>183</w:t>
        </w:r>
        <w:r w:rsidR="007F672C">
          <w:rPr>
            <w:noProof/>
            <w:webHidden/>
          </w:rPr>
          <w:fldChar w:fldCharType="end"/>
        </w:r>
      </w:hyperlink>
    </w:p>
    <w:p w14:paraId="59932BC6" w14:textId="0A5A57C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1" w:history="1">
        <w:r w:rsidR="007F672C" w:rsidRPr="001975F6">
          <w:rPr>
            <w:rStyle w:val="Hyperlink"/>
            <w:bCs/>
            <w:noProof/>
          </w:rPr>
          <w:t>Tables 109.1-109.4</w:t>
        </w:r>
        <w:r w:rsidR="007F672C" w:rsidRPr="001975F6">
          <w:rPr>
            <w:rStyle w:val="Hyperlink"/>
            <w:noProof/>
          </w:rPr>
          <w:t xml:space="preserve">: Suicide attempt among adults with disability aged 18+ years, </w:t>
        </w:r>
        <w:r w:rsidR="00C90BA5">
          <w:rPr>
            <w:rStyle w:val="Hyperlink"/>
            <w:noProof/>
          </w:rPr>
          <w:br/>
        </w:r>
        <w:r w:rsidR="007F672C" w:rsidRPr="001975F6">
          <w:rPr>
            <w:rStyle w:val="Hyperlink"/>
            <w:noProof/>
          </w:rPr>
          <w:t>grouped by area of residence (n = 2170)</w:t>
        </w:r>
        <w:r w:rsidR="007F672C">
          <w:rPr>
            <w:noProof/>
            <w:webHidden/>
          </w:rPr>
          <w:tab/>
        </w:r>
        <w:r w:rsidR="007F672C">
          <w:rPr>
            <w:noProof/>
            <w:webHidden/>
          </w:rPr>
          <w:fldChar w:fldCharType="begin"/>
        </w:r>
        <w:r w:rsidR="007F672C">
          <w:rPr>
            <w:noProof/>
            <w:webHidden/>
          </w:rPr>
          <w:instrText xml:space="preserve"> PAGEREF _Toc119651511 \h </w:instrText>
        </w:r>
        <w:r w:rsidR="007F672C">
          <w:rPr>
            <w:noProof/>
            <w:webHidden/>
          </w:rPr>
        </w:r>
        <w:r w:rsidR="007F672C">
          <w:rPr>
            <w:noProof/>
            <w:webHidden/>
          </w:rPr>
          <w:fldChar w:fldCharType="separate"/>
        </w:r>
        <w:r w:rsidR="00C75AC6">
          <w:rPr>
            <w:noProof/>
            <w:webHidden/>
          </w:rPr>
          <w:t>184</w:t>
        </w:r>
        <w:r w:rsidR="007F672C">
          <w:rPr>
            <w:noProof/>
            <w:webHidden/>
          </w:rPr>
          <w:fldChar w:fldCharType="end"/>
        </w:r>
      </w:hyperlink>
    </w:p>
    <w:p w14:paraId="7E03218B" w14:textId="26CAEBBE"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2" w:history="1">
        <w:r w:rsidR="007F672C" w:rsidRPr="001975F6">
          <w:rPr>
            <w:rStyle w:val="Hyperlink"/>
            <w:bCs/>
            <w:noProof/>
          </w:rPr>
          <w:t>Tables 110.1-110.5</w:t>
        </w:r>
        <w:r w:rsidR="007F672C" w:rsidRPr="001975F6">
          <w:rPr>
            <w:rStyle w:val="Hyperlink"/>
            <w:noProof/>
          </w:rPr>
          <w:t xml:space="preserve">: You feel you’re part of Australia’s LGBTIQ community among </w:t>
        </w:r>
        <w:r w:rsidR="00C90BA5">
          <w:rPr>
            <w:rStyle w:val="Hyperlink"/>
            <w:noProof/>
          </w:rPr>
          <w:br/>
        </w:r>
        <w:r w:rsidR="007F672C" w:rsidRPr="001975F6">
          <w:rPr>
            <w:rStyle w:val="Hyperlink"/>
            <w:noProof/>
          </w:rPr>
          <w:t>adults with disability aged 18+ years, grouped by gender (n = 2596)</w:t>
        </w:r>
        <w:r w:rsidR="007F672C">
          <w:rPr>
            <w:noProof/>
            <w:webHidden/>
          </w:rPr>
          <w:tab/>
        </w:r>
        <w:r w:rsidR="007F672C">
          <w:rPr>
            <w:noProof/>
            <w:webHidden/>
          </w:rPr>
          <w:fldChar w:fldCharType="begin"/>
        </w:r>
        <w:r w:rsidR="007F672C">
          <w:rPr>
            <w:noProof/>
            <w:webHidden/>
          </w:rPr>
          <w:instrText xml:space="preserve"> PAGEREF _Toc119651512 \h </w:instrText>
        </w:r>
        <w:r w:rsidR="007F672C">
          <w:rPr>
            <w:noProof/>
            <w:webHidden/>
          </w:rPr>
        </w:r>
        <w:r w:rsidR="007F672C">
          <w:rPr>
            <w:noProof/>
            <w:webHidden/>
          </w:rPr>
          <w:fldChar w:fldCharType="separate"/>
        </w:r>
        <w:r w:rsidR="00C75AC6">
          <w:rPr>
            <w:noProof/>
            <w:webHidden/>
          </w:rPr>
          <w:t>187</w:t>
        </w:r>
        <w:r w:rsidR="007F672C">
          <w:rPr>
            <w:noProof/>
            <w:webHidden/>
          </w:rPr>
          <w:fldChar w:fldCharType="end"/>
        </w:r>
      </w:hyperlink>
    </w:p>
    <w:p w14:paraId="592AD0CC" w14:textId="3CF27744"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3" w:history="1">
        <w:r w:rsidR="007F672C" w:rsidRPr="001975F6">
          <w:rPr>
            <w:rStyle w:val="Hyperlink"/>
            <w:bCs/>
            <w:noProof/>
          </w:rPr>
          <w:t>Tables 111.1-111.5</w:t>
        </w:r>
        <w:r w:rsidR="007F672C" w:rsidRPr="001975F6">
          <w:rPr>
            <w:rStyle w:val="Hyperlink"/>
            <w:noProof/>
          </w:rPr>
          <w:t xml:space="preserve">: Attended an LGBTIQA+ youth event in the past 12 months </w:t>
        </w:r>
        <w:r w:rsidR="00C90BA5">
          <w:rPr>
            <w:rStyle w:val="Hyperlink"/>
            <w:noProof/>
          </w:rPr>
          <w:br/>
        </w:r>
        <w:r w:rsidR="007F672C" w:rsidRPr="001975F6">
          <w:rPr>
            <w:rStyle w:val="Hyperlink"/>
            <w:noProof/>
          </w:rPr>
          <w:t>among young people with disability aged 14-21 years, grouped by gender (n = 2347)</w:t>
        </w:r>
        <w:r w:rsidR="007F672C">
          <w:rPr>
            <w:noProof/>
            <w:webHidden/>
          </w:rPr>
          <w:tab/>
        </w:r>
        <w:r w:rsidR="007F672C">
          <w:rPr>
            <w:noProof/>
            <w:webHidden/>
          </w:rPr>
          <w:fldChar w:fldCharType="begin"/>
        </w:r>
        <w:r w:rsidR="007F672C">
          <w:rPr>
            <w:noProof/>
            <w:webHidden/>
          </w:rPr>
          <w:instrText xml:space="preserve"> PAGEREF _Toc119651513 \h </w:instrText>
        </w:r>
        <w:r w:rsidR="007F672C">
          <w:rPr>
            <w:noProof/>
            <w:webHidden/>
          </w:rPr>
        </w:r>
        <w:r w:rsidR="007F672C">
          <w:rPr>
            <w:noProof/>
            <w:webHidden/>
          </w:rPr>
          <w:fldChar w:fldCharType="separate"/>
        </w:r>
        <w:r w:rsidR="00C75AC6">
          <w:rPr>
            <w:noProof/>
            <w:webHidden/>
          </w:rPr>
          <w:t>188</w:t>
        </w:r>
        <w:r w:rsidR="007F672C">
          <w:rPr>
            <w:noProof/>
            <w:webHidden/>
          </w:rPr>
          <w:fldChar w:fldCharType="end"/>
        </w:r>
      </w:hyperlink>
    </w:p>
    <w:p w14:paraId="5A991353" w14:textId="1FE0176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4" w:history="1">
        <w:r w:rsidR="007F672C" w:rsidRPr="001975F6">
          <w:rPr>
            <w:rStyle w:val="Hyperlink"/>
            <w:noProof/>
          </w:rPr>
          <w:t xml:space="preserve">Tables 112.1-112.5: Proportion of adults with disability aged 18+ years who currently </w:t>
        </w:r>
        <w:r w:rsidR="00C90BA5">
          <w:rPr>
            <w:rStyle w:val="Hyperlink"/>
            <w:noProof/>
          </w:rPr>
          <w:br/>
        </w:r>
        <w:r w:rsidR="007F672C" w:rsidRPr="001975F6">
          <w:rPr>
            <w:rStyle w:val="Hyperlink"/>
            <w:noProof/>
          </w:rPr>
          <w:t>feel accepted ‘a lot’ or ‘always’, grouped by gender</w:t>
        </w:r>
        <w:r w:rsidR="007F672C">
          <w:rPr>
            <w:noProof/>
            <w:webHidden/>
          </w:rPr>
          <w:tab/>
        </w:r>
        <w:r w:rsidR="007F672C">
          <w:rPr>
            <w:noProof/>
            <w:webHidden/>
          </w:rPr>
          <w:fldChar w:fldCharType="begin"/>
        </w:r>
        <w:r w:rsidR="007F672C">
          <w:rPr>
            <w:noProof/>
            <w:webHidden/>
          </w:rPr>
          <w:instrText xml:space="preserve"> PAGEREF _Toc119651514 \h </w:instrText>
        </w:r>
        <w:r w:rsidR="007F672C">
          <w:rPr>
            <w:noProof/>
            <w:webHidden/>
          </w:rPr>
        </w:r>
        <w:r w:rsidR="007F672C">
          <w:rPr>
            <w:noProof/>
            <w:webHidden/>
          </w:rPr>
          <w:fldChar w:fldCharType="separate"/>
        </w:r>
        <w:r w:rsidR="00C75AC6">
          <w:rPr>
            <w:noProof/>
            <w:webHidden/>
          </w:rPr>
          <w:t>189</w:t>
        </w:r>
        <w:r w:rsidR="007F672C">
          <w:rPr>
            <w:noProof/>
            <w:webHidden/>
          </w:rPr>
          <w:fldChar w:fldCharType="end"/>
        </w:r>
      </w:hyperlink>
    </w:p>
    <w:p w14:paraId="3D87429A" w14:textId="2E2ED8D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5" w:history="1">
        <w:r w:rsidR="007F672C" w:rsidRPr="001975F6">
          <w:rPr>
            <w:rStyle w:val="Hyperlink"/>
            <w:noProof/>
          </w:rPr>
          <w:t xml:space="preserve">Tables 113.1-113.5: Psychological distress among young people with disability aged </w:t>
        </w:r>
        <w:r w:rsidR="00C90BA5">
          <w:rPr>
            <w:rStyle w:val="Hyperlink"/>
            <w:noProof/>
          </w:rPr>
          <w:br/>
        </w:r>
        <w:r w:rsidR="007F672C" w:rsidRPr="001975F6">
          <w:rPr>
            <w:rStyle w:val="Hyperlink"/>
            <w:noProof/>
          </w:rPr>
          <w:t>14-21 years, grouped by gender (n = 2392)</w:t>
        </w:r>
        <w:r w:rsidR="007F672C">
          <w:rPr>
            <w:noProof/>
            <w:webHidden/>
          </w:rPr>
          <w:tab/>
        </w:r>
        <w:r w:rsidR="007F672C">
          <w:rPr>
            <w:noProof/>
            <w:webHidden/>
          </w:rPr>
          <w:fldChar w:fldCharType="begin"/>
        </w:r>
        <w:r w:rsidR="007F672C">
          <w:rPr>
            <w:noProof/>
            <w:webHidden/>
          </w:rPr>
          <w:instrText xml:space="preserve"> PAGEREF _Toc119651515 \h </w:instrText>
        </w:r>
        <w:r w:rsidR="007F672C">
          <w:rPr>
            <w:noProof/>
            <w:webHidden/>
          </w:rPr>
        </w:r>
        <w:r w:rsidR="007F672C">
          <w:rPr>
            <w:noProof/>
            <w:webHidden/>
          </w:rPr>
          <w:fldChar w:fldCharType="separate"/>
        </w:r>
        <w:r w:rsidR="00C75AC6">
          <w:rPr>
            <w:noProof/>
            <w:webHidden/>
          </w:rPr>
          <w:t>192</w:t>
        </w:r>
        <w:r w:rsidR="007F672C">
          <w:rPr>
            <w:noProof/>
            <w:webHidden/>
          </w:rPr>
          <w:fldChar w:fldCharType="end"/>
        </w:r>
      </w:hyperlink>
    </w:p>
    <w:p w14:paraId="0912D38F" w14:textId="2EC9B2AD"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6" w:history="1">
        <w:r w:rsidR="007F672C" w:rsidRPr="001975F6">
          <w:rPr>
            <w:rStyle w:val="Hyperlink"/>
            <w:noProof/>
          </w:rPr>
          <w:t xml:space="preserve">Tables 114.1-114.5: Psychological distress among adults with disability aged </w:t>
        </w:r>
        <w:r w:rsidR="00C90BA5">
          <w:rPr>
            <w:rStyle w:val="Hyperlink"/>
            <w:noProof/>
          </w:rPr>
          <w:br/>
        </w:r>
        <w:r w:rsidR="007F672C" w:rsidRPr="001975F6">
          <w:rPr>
            <w:rStyle w:val="Hyperlink"/>
            <w:noProof/>
          </w:rPr>
          <w:t>18+ years, grouped by gender (n = 2542)</w:t>
        </w:r>
        <w:r w:rsidR="007F672C">
          <w:rPr>
            <w:noProof/>
            <w:webHidden/>
          </w:rPr>
          <w:tab/>
        </w:r>
        <w:r w:rsidR="007F672C">
          <w:rPr>
            <w:noProof/>
            <w:webHidden/>
          </w:rPr>
          <w:fldChar w:fldCharType="begin"/>
        </w:r>
        <w:r w:rsidR="007F672C">
          <w:rPr>
            <w:noProof/>
            <w:webHidden/>
          </w:rPr>
          <w:instrText xml:space="preserve"> PAGEREF _Toc119651516 \h </w:instrText>
        </w:r>
        <w:r w:rsidR="007F672C">
          <w:rPr>
            <w:noProof/>
            <w:webHidden/>
          </w:rPr>
        </w:r>
        <w:r w:rsidR="007F672C">
          <w:rPr>
            <w:noProof/>
            <w:webHidden/>
          </w:rPr>
          <w:fldChar w:fldCharType="separate"/>
        </w:r>
        <w:r w:rsidR="00C75AC6">
          <w:rPr>
            <w:noProof/>
            <w:webHidden/>
          </w:rPr>
          <w:t>193</w:t>
        </w:r>
        <w:r w:rsidR="007F672C">
          <w:rPr>
            <w:noProof/>
            <w:webHidden/>
          </w:rPr>
          <w:fldChar w:fldCharType="end"/>
        </w:r>
      </w:hyperlink>
    </w:p>
    <w:p w14:paraId="324ABE9C" w14:textId="3020C18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7" w:history="1">
        <w:r w:rsidR="007F672C" w:rsidRPr="001975F6">
          <w:rPr>
            <w:rStyle w:val="Hyperlink"/>
            <w:bCs/>
            <w:noProof/>
          </w:rPr>
          <w:t>Table 115.1-115.5</w:t>
        </w:r>
        <w:r w:rsidR="007F672C" w:rsidRPr="001975F6">
          <w:rPr>
            <w:rStyle w:val="Hyperlink"/>
            <w:noProof/>
          </w:rPr>
          <w:t xml:space="preserve">: Experiences of verbal (n = 2325), physical (n = 2066) or sexual </w:t>
        </w:r>
        <w:r w:rsidR="00C90BA5">
          <w:rPr>
            <w:rStyle w:val="Hyperlink"/>
            <w:noProof/>
          </w:rPr>
          <w:br/>
        </w:r>
        <w:r w:rsidR="007F672C" w:rsidRPr="001975F6">
          <w:rPr>
            <w:rStyle w:val="Hyperlink"/>
            <w:noProof/>
          </w:rPr>
          <w:t xml:space="preserve">(n = 2139) harassment or assault relating to sexuality or gender identity among young </w:t>
        </w:r>
        <w:r w:rsidR="00C90BA5">
          <w:rPr>
            <w:rStyle w:val="Hyperlink"/>
            <w:noProof/>
          </w:rPr>
          <w:br/>
        </w:r>
        <w:r w:rsidR="007F672C" w:rsidRPr="001975F6">
          <w:rPr>
            <w:rStyle w:val="Hyperlink"/>
            <w:noProof/>
          </w:rPr>
          <w:t>people with disability aged 14-21 years, grouped by gender</w:t>
        </w:r>
        <w:r w:rsidR="007F672C">
          <w:rPr>
            <w:noProof/>
            <w:webHidden/>
          </w:rPr>
          <w:tab/>
        </w:r>
        <w:r w:rsidR="007F672C">
          <w:rPr>
            <w:noProof/>
            <w:webHidden/>
          </w:rPr>
          <w:fldChar w:fldCharType="begin"/>
        </w:r>
        <w:r w:rsidR="007F672C">
          <w:rPr>
            <w:noProof/>
            <w:webHidden/>
          </w:rPr>
          <w:instrText xml:space="preserve"> PAGEREF _Toc119651517 \h </w:instrText>
        </w:r>
        <w:r w:rsidR="007F672C">
          <w:rPr>
            <w:noProof/>
            <w:webHidden/>
          </w:rPr>
        </w:r>
        <w:r w:rsidR="007F672C">
          <w:rPr>
            <w:noProof/>
            <w:webHidden/>
          </w:rPr>
          <w:fldChar w:fldCharType="separate"/>
        </w:r>
        <w:r w:rsidR="00C75AC6">
          <w:rPr>
            <w:noProof/>
            <w:webHidden/>
          </w:rPr>
          <w:t>195</w:t>
        </w:r>
        <w:r w:rsidR="007F672C">
          <w:rPr>
            <w:noProof/>
            <w:webHidden/>
          </w:rPr>
          <w:fldChar w:fldCharType="end"/>
        </w:r>
      </w:hyperlink>
    </w:p>
    <w:p w14:paraId="787F4035" w14:textId="17B530B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8" w:history="1">
        <w:r w:rsidR="007F672C" w:rsidRPr="001975F6">
          <w:rPr>
            <w:rStyle w:val="Hyperlink"/>
            <w:noProof/>
          </w:rPr>
          <w:t xml:space="preserve">Tables 116.1-116.5: Experiences of harassment, assault and social exclusion due </w:t>
        </w:r>
        <w:r w:rsidR="00C90BA5">
          <w:rPr>
            <w:rStyle w:val="Hyperlink"/>
            <w:noProof/>
          </w:rPr>
          <w:br/>
        </w:r>
        <w:r w:rsidR="007F672C" w:rsidRPr="001975F6">
          <w:rPr>
            <w:rStyle w:val="Hyperlink"/>
            <w:noProof/>
          </w:rPr>
          <w:t xml:space="preserve">to sexual orientation or gender identity in the past 12 months among adults with </w:t>
        </w:r>
        <w:r w:rsidR="00C90BA5">
          <w:rPr>
            <w:rStyle w:val="Hyperlink"/>
            <w:noProof/>
          </w:rPr>
          <w:br/>
        </w:r>
        <w:r w:rsidR="007F672C" w:rsidRPr="001975F6">
          <w:rPr>
            <w:rStyle w:val="Hyperlink"/>
            <w:noProof/>
          </w:rPr>
          <w:t>disability aged 18+ years, grouped by gender</w:t>
        </w:r>
        <w:r w:rsidR="007F672C">
          <w:rPr>
            <w:noProof/>
            <w:webHidden/>
          </w:rPr>
          <w:tab/>
        </w:r>
        <w:r w:rsidR="007F672C">
          <w:rPr>
            <w:noProof/>
            <w:webHidden/>
          </w:rPr>
          <w:fldChar w:fldCharType="begin"/>
        </w:r>
        <w:r w:rsidR="007F672C">
          <w:rPr>
            <w:noProof/>
            <w:webHidden/>
          </w:rPr>
          <w:instrText xml:space="preserve"> PAGEREF _Toc119651518 \h </w:instrText>
        </w:r>
        <w:r w:rsidR="007F672C">
          <w:rPr>
            <w:noProof/>
            <w:webHidden/>
          </w:rPr>
        </w:r>
        <w:r w:rsidR="007F672C">
          <w:rPr>
            <w:noProof/>
            <w:webHidden/>
          </w:rPr>
          <w:fldChar w:fldCharType="separate"/>
        </w:r>
        <w:r w:rsidR="00C75AC6">
          <w:rPr>
            <w:noProof/>
            <w:webHidden/>
          </w:rPr>
          <w:t>196</w:t>
        </w:r>
        <w:r w:rsidR="007F672C">
          <w:rPr>
            <w:noProof/>
            <w:webHidden/>
          </w:rPr>
          <w:fldChar w:fldCharType="end"/>
        </w:r>
      </w:hyperlink>
    </w:p>
    <w:p w14:paraId="44CF33C7" w14:textId="34CF047C"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19" w:history="1">
        <w:r w:rsidR="007F672C" w:rsidRPr="001975F6">
          <w:rPr>
            <w:rStyle w:val="Hyperlink"/>
            <w:noProof/>
          </w:rPr>
          <w:t xml:space="preserve">Tables 117.1-117.5: Ever experienced violence from an intimate partner (n = 2594) </w:t>
        </w:r>
        <w:r w:rsidR="00C90BA5">
          <w:rPr>
            <w:rStyle w:val="Hyperlink"/>
            <w:noProof/>
          </w:rPr>
          <w:br/>
        </w:r>
        <w:r w:rsidR="007F672C" w:rsidRPr="001975F6">
          <w:rPr>
            <w:rStyle w:val="Hyperlink"/>
            <w:noProof/>
          </w:rPr>
          <w:t xml:space="preserve">or family member (n = 2594) among adults with disability aged 18+ years, grouped </w:t>
        </w:r>
        <w:r w:rsidR="00C90BA5">
          <w:rPr>
            <w:rStyle w:val="Hyperlink"/>
            <w:noProof/>
          </w:rPr>
          <w:br/>
        </w:r>
        <w:r w:rsidR="007F672C" w:rsidRPr="001975F6">
          <w:rPr>
            <w:rStyle w:val="Hyperlink"/>
            <w:noProof/>
          </w:rPr>
          <w:t>by gender</w:t>
        </w:r>
        <w:r w:rsidR="007F672C">
          <w:rPr>
            <w:noProof/>
            <w:webHidden/>
          </w:rPr>
          <w:tab/>
        </w:r>
        <w:r w:rsidR="007F672C">
          <w:rPr>
            <w:noProof/>
            <w:webHidden/>
          </w:rPr>
          <w:fldChar w:fldCharType="begin"/>
        </w:r>
        <w:r w:rsidR="007F672C">
          <w:rPr>
            <w:noProof/>
            <w:webHidden/>
          </w:rPr>
          <w:instrText xml:space="preserve"> PAGEREF _Toc119651519 \h </w:instrText>
        </w:r>
        <w:r w:rsidR="007F672C">
          <w:rPr>
            <w:noProof/>
            <w:webHidden/>
          </w:rPr>
        </w:r>
        <w:r w:rsidR="007F672C">
          <w:rPr>
            <w:noProof/>
            <w:webHidden/>
          </w:rPr>
          <w:fldChar w:fldCharType="separate"/>
        </w:r>
        <w:r w:rsidR="00C75AC6">
          <w:rPr>
            <w:noProof/>
            <w:webHidden/>
          </w:rPr>
          <w:t>198</w:t>
        </w:r>
        <w:r w:rsidR="007F672C">
          <w:rPr>
            <w:noProof/>
            <w:webHidden/>
          </w:rPr>
          <w:fldChar w:fldCharType="end"/>
        </w:r>
      </w:hyperlink>
    </w:p>
    <w:p w14:paraId="5C024351" w14:textId="23A7DF6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0" w:history="1">
        <w:r w:rsidR="007F672C" w:rsidRPr="001975F6">
          <w:rPr>
            <w:rStyle w:val="Hyperlink"/>
            <w:bCs/>
            <w:noProof/>
          </w:rPr>
          <w:t>Tables 118.1-118.5</w:t>
        </w:r>
        <w:r w:rsidR="007F672C" w:rsidRPr="001975F6">
          <w:rPr>
            <w:rStyle w:val="Hyperlink"/>
            <w:noProof/>
          </w:rPr>
          <w:t xml:space="preserve">: Suicidal ideation among young people with disability aged </w:t>
        </w:r>
        <w:r w:rsidR="00C90BA5">
          <w:rPr>
            <w:rStyle w:val="Hyperlink"/>
            <w:noProof/>
          </w:rPr>
          <w:br/>
        </w:r>
        <w:r w:rsidR="007F672C" w:rsidRPr="001975F6">
          <w:rPr>
            <w:rStyle w:val="Hyperlink"/>
            <w:noProof/>
          </w:rPr>
          <w:t>14-21 years, grouped by gender (n = 2394)</w:t>
        </w:r>
        <w:r w:rsidR="007F672C">
          <w:rPr>
            <w:noProof/>
            <w:webHidden/>
          </w:rPr>
          <w:tab/>
        </w:r>
        <w:r w:rsidR="007F672C">
          <w:rPr>
            <w:noProof/>
            <w:webHidden/>
          </w:rPr>
          <w:fldChar w:fldCharType="begin"/>
        </w:r>
        <w:r w:rsidR="007F672C">
          <w:rPr>
            <w:noProof/>
            <w:webHidden/>
          </w:rPr>
          <w:instrText xml:space="preserve"> PAGEREF _Toc119651520 \h </w:instrText>
        </w:r>
        <w:r w:rsidR="007F672C">
          <w:rPr>
            <w:noProof/>
            <w:webHidden/>
          </w:rPr>
        </w:r>
        <w:r w:rsidR="007F672C">
          <w:rPr>
            <w:noProof/>
            <w:webHidden/>
          </w:rPr>
          <w:fldChar w:fldCharType="separate"/>
        </w:r>
        <w:r w:rsidR="00C75AC6">
          <w:rPr>
            <w:noProof/>
            <w:webHidden/>
          </w:rPr>
          <w:t>199</w:t>
        </w:r>
        <w:r w:rsidR="007F672C">
          <w:rPr>
            <w:noProof/>
            <w:webHidden/>
          </w:rPr>
          <w:fldChar w:fldCharType="end"/>
        </w:r>
      </w:hyperlink>
    </w:p>
    <w:p w14:paraId="5DDD5516" w14:textId="03A9DE0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1" w:history="1">
        <w:r w:rsidR="007F672C" w:rsidRPr="001975F6">
          <w:rPr>
            <w:rStyle w:val="Hyperlink"/>
            <w:bCs/>
            <w:noProof/>
          </w:rPr>
          <w:t>Tables 119.1-119.5</w:t>
        </w:r>
        <w:r w:rsidR="007F672C" w:rsidRPr="001975F6">
          <w:rPr>
            <w:rStyle w:val="Hyperlink"/>
            <w:noProof/>
          </w:rPr>
          <w:t xml:space="preserve">: Suicidal ideation among adults with disability aged 18+ years, </w:t>
        </w:r>
        <w:r w:rsidR="00C90BA5">
          <w:rPr>
            <w:rStyle w:val="Hyperlink"/>
            <w:noProof/>
          </w:rPr>
          <w:br/>
        </w:r>
        <w:r w:rsidR="007F672C" w:rsidRPr="001975F6">
          <w:rPr>
            <w:rStyle w:val="Hyperlink"/>
            <w:noProof/>
          </w:rPr>
          <w:t>grouped by gender (n = 2590)</w:t>
        </w:r>
        <w:r w:rsidR="007F672C">
          <w:rPr>
            <w:noProof/>
            <w:webHidden/>
          </w:rPr>
          <w:tab/>
        </w:r>
        <w:r w:rsidR="007F672C">
          <w:rPr>
            <w:noProof/>
            <w:webHidden/>
          </w:rPr>
          <w:fldChar w:fldCharType="begin"/>
        </w:r>
        <w:r w:rsidR="007F672C">
          <w:rPr>
            <w:noProof/>
            <w:webHidden/>
          </w:rPr>
          <w:instrText xml:space="preserve"> PAGEREF _Toc119651521 \h </w:instrText>
        </w:r>
        <w:r w:rsidR="007F672C">
          <w:rPr>
            <w:noProof/>
            <w:webHidden/>
          </w:rPr>
        </w:r>
        <w:r w:rsidR="007F672C">
          <w:rPr>
            <w:noProof/>
            <w:webHidden/>
          </w:rPr>
          <w:fldChar w:fldCharType="separate"/>
        </w:r>
        <w:r w:rsidR="00C75AC6">
          <w:rPr>
            <w:noProof/>
            <w:webHidden/>
          </w:rPr>
          <w:t>200</w:t>
        </w:r>
        <w:r w:rsidR="007F672C">
          <w:rPr>
            <w:noProof/>
            <w:webHidden/>
          </w:rPr>
          <w:fldChar w:fldCharType="end"/>
        </w:r>
      </w:hyperlink>
    </w:p>
    <w:p w14:paraId="0F1624F5" w14:textId="14285F7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2" w:history="1">
        <w:r w:rsidR="007F672C" w:rsidRPr="001975F6">
          <w:rPr>
            <w:rStyle w:val="Hyperlink"/>
            <w:bCs/>
            <w:noProof/>
          </w:rPr>
          <w:t>Tables 120.1-120.5</w:t>
        </w:r>
        <w:r w:rsidR="007F672C" w:rsidRPr="001975F6">
          <w:rPr>
            <w:rStyle w:val="Hyperlink"/>
            <w:noProof/>
          </w:rPr>
          <w:t xml:space="preserve">: Suicide attempt among young people with disability aged </w:t>
        </w:r>
        <w:r w:rsidR="00C90BA5">
          <w:rPr>
            <w:rStyle w:val="Hyperlink"/>
            <w:noProof/>
          </w:rPr>
          <w:br/>
        </w:r>
        <w:r w:rsidR="007F672C" w:rsidRPr="001975F6">
          <w:rPr>
            <w:rStyle w:val="Hyperlink"/>
            <w:noProof/>
          </w:rPr>
          <w:t>14-21 years, grouped by gender (n = 2373)</w:t>
        </w:r>
        <w:r w:rsidR="007F672C">
          <w:rPr>
            <w:noProof/>
            <w:webHidden/>
          </w:rPr>
          <w:tab/>
        </w:r>
        <w:r w:rsidR="007F672C">
          <w:rPr>
            <w:noProof/>
            <w:webHidden/>
          </w:rPr>
          <w:fldChar w:fldCharType="begin"/>
        </w:r>
        <w:r w:rsidR="007F672C">
          <w:rPr>
            <w:noProof/>
            <w:webHidden/>
          </w:rPr>
          <w:instrText xml:space="preserve"> PAGEREF _Toc119651522 \h </w:instrText>
        </w:r>
        <w:r w:rsidR="007F672C">
          <w:rPr>
            <w:noProof/>
            <w:webHidden/>
          </w:rPr>
        </w:r>
        <w:r w:rsidR="007F672C">
          <w:rPr>
            <w:noProof/>
            <w:webHidden/>
          </w:rPr>
          <w:fldChar w:fldCharType="separate"/>
        </w:r>
        <w:r w:rsidR="00C75AC6">
          <w:rPr>
            <w:noProof/>
            <w:webHidden/>
          </w:rPr>
          <w:t>201</w:t>
        </w:r>
        <w:r w:rsidR="007F672C">
          <w:rPr>
            <w:noProof/>
            <w:webHidden/>
          </w:rPr>
          <w:fldChar w:fldCharType="end"/>
        </w:r>
      </w:hyperlink>
    </w:p>
    <w:p w14:paraId="5F94770F" w14:textId="22BBD3BB"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3" w:history="1">
        <w:r w:rsidR="007F672C" w:rsidRPr="001975F6">
          <w:rPr>
            <w:rStyle w:val="Hyperlink"/>
            <w:bCs/>
            <w:noProof/>
          </w:rPr>
          <w:t>Tables 121.1-121.5</w:t>
        </w:r>
        <w:r w:rsidR="007F672C" w:rsidRPr="001975F6">
          <w:rPr>
            <w:rStyle w:val="Hyperlink"/>
            <w:noProof/>
          </w:rPr>
          <w:t xml:space="preserve">: Suicide attempt among adults with disability aged 18+ years, </w:t>
        </w:r>
        <w:r w:rsidR="00C90BA5">
          <w:rPr>
            <w:rStyle w:val="Hyperlink"/>
            <w:noProof/>
          </w:rPr>
          <w:br/>
        </w:r>
        <w:r w:rsidR="007F672C" w:rsidRPr="001975F6">
          <w:rPr>
            <w:rStyle w:val="Hyperlink"/>
            <w:noProof/>
          </w:rPr>
          <w:t>grouped by gender (n = 2163)</w:t>
        </w:r>
        <w:r w:rsidR="007F672C">
          <w:rPr>
            <w:noProof/>
            <w:webHidden/>
          </w:rPr>
          <w:tab/>
        </w:r>
        <w:r w:rsidR="007F672C">
          <w:rPr>
            <w:noProof/>
            <w:webHidden/>
          </w:rPr>
          <w:fldChar w:fldCharType="begin"/>
        </w:r>
        <w:r w:rsidR="007F672C">
          <w:rPr>
            <w:noProof/>
            <w:webHidden/>
          </w:rPr>
          <w:instrText xml:space="preserve"> PAGEREF _Toc119651523 \h </w:instrText>
        </w:r>
        <w:r w:rsidR="007F672C">
          <w:rPr>
            <w:noProof/>
            <w:webHidden/>
          </w:rPr>
        </w:r>
        <w:r w:rsidR="007F672C">
          <w:rPr>
            <w:noProof/>
            <w:webHidden/>
          </w:rPr>
          <w:fldChar w:fldCharType="separate"/>
        </w:r>
        <w:r w:rsidR="00C75AC6">
          <w:rPr>
            <w:noProof/>
            <w:webHidden/>
          </w:rPr>
          <w:t>202</w:t>
        </w:r>
        <w:r w:rsidR="007F672C">
          <w:rPr>
            <w:noProof/>
            <w:webHidden/>
          </w:rPr>
          <w:fldChar w:fldCharType="end"/>
        </w:r>
      </w:hyperlink>
    </w:p>
    <w:p w14:paraId="5DA87328" w14:textId="2A8B4FF2"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4" w:history="1">
        <w:r w:rsidR="007F672C" w:rsidRPr="001975F6">
          <w:rPr>
            <w:rStyle w:val="Hyperlink"/>
            <w:noProof/>
          </w:rPr>
          <w:t xml:space="preserve">Tables 122.1-122.7: You feel you’re part of Australia’s LGBTIQ community among </w:t>
        </w:r>
        <w:r w:rsidR="00C90BA5">
          <w:rPr>
            <w:rStyle w:val="Hyperlink"/>
            <w:noProof/>
          </w:rPr>
          <w:br/>
        </w:r>
        <w:r w:rsidR="007F672C" w:rsidRPr="001975F6">
          <w:rPr>
            <w:rStyle w:val="Hyperlink"/>
            <w:noProof/>
          </w:rPr>
          <w:t>adults with disability aged 18+ years, grouped by sexual orientation (n = 2617)</w:t>
        </w:r>
        <w:r w:rsidR="007F672C">
          <w:rPr>
            <w:noProof/>
            <w:webHidden/>
          </w:rPr>
          <w:tab/>
        </w:r>
        <w:r w:rsidR="007F672C">
          <w:rPr>
            <w:noProof/>
            <w:webHidden/>
          </w:rPr>
          <w:fldChar w:fldCharType="begin"/>
        </w:r>
        <w:r w:rsidR="007F672C">
          <w:rPr>
            <w:noProof/>
            <w:webHidden/>
          </w:rPr>
          <w:instrText xml:space="preserve"> PAGEREF _Toc119651524 \h </w:instrText>
        </w:r>
        <w:r w:rsidR="007F672C">
          <w:rPr>
            <w:noProof/>
            <w:webHidden/>
          </w:rPr>
        </w:r>
        <w:r w:rsidR="007F672C">
          <w:rPr>
            <w:noProof/>
            <w:webHidden/>
          </w:rPr>
          <w:fldChar w:fldCharType="separate"/>
        </w:r>
        <w:r w:rsidR="00C75AC6">
          <w:rPr>
            <w:noProof/>
            <w:webHidden/>
          </w:rPr>
          <w:t>205</w:t>
        </w:r>
        <w:r w:rsidR="007F672C">
          <w:rPr>
            <w:noProof/>
            <w:webHidden/>
          </w:rPr>
          <w:fldChar w:fldCharType="end"/>
        </w:r>
      </w:hyperlink>
    </w:p>
    <w:p w14:paraId="2256B746" w14:textId="0758C679"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5" w:history="1">
        <w:r w:rsidR="007F672C" w:rsidRPr="001975F6">
          <w:rPr>
            <w:rStyle w:val="Hyperlink"/>
            <w:bCs/>
            <w:noProof/>
          </w:rPr>
          <w:t>Tables 123.1-123.7</w:t>
        </w:r>
        <w:r w:rsidR="007F672C" w:rsidRPr="001975F6">
          <w:rPr>
            <w:rStyle w:val="Hyperlink"/>
            <w:noProof/>
          </w:rPr>
          <w:t>: Attended an LGBTIQA+ youth event in the past 12 months among young people with disability aged 14-21 years, grouped by sexual orientation (n = 2439)</w:t>
        </w:r>
        <w:r w:rsidR="007F672C">
          <w:rPr>
            <w:noProof/>
            <w:webHidden/>
          </w:rPr>
          <w:tab/>
        </w:r>
        <w:r w:rsidR="007F672C">
          <w:rPr>
            <w:noProof/>
            <w:webHidden/>
          </w:rPr>
          <w:fldChar w:fldCharType="begin"/>
        </w:r>
        <w:r w:rsidR="007F672C">
          <w:rPr>
            <w:noProof/>
            <w:webHidden/>
          </w:rPr>
          <w:instrText xml:space="preserve"> PAGEREF _Toc119651525 \h </w:instrText>
        </w:r>
        <w:r w:rsidR="007F672C">
          <w:rPr>
            <w:noProof/>
            <w:webHidden/>
          </w:rPr>
        </w:r>
        <w:r w:rsidR="007F672C">
          <w:rPr>
            <w:noProof/>
            <w:webHidden/>
          </w:rPr>
          <w:fldChar w:fldCharType="separate"/>
        </w:r>
        <w:r w:rsidR="00C75AC6">
          <w:rPr>
            <w:noProof/>
            <w:webHidden/>
          </w:rPr>
          <w:t>207</w:t>
        </w:r>
        <w:r w:rsidR="007F672C">
          <w:rPr>
            <w:noProof/>
            <w:webHidden/>
          </w:rPr>
          <w:fldChar w:fldCharType="end"/>
        </w:r>
      </w:hyperlink>
    </w:p>
    <w:p w14:paraId="73C1C7ED" w14:textId="02A7BA4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6" w:history="1">
        <w:r w:rsidR="007F672C" w:rsidRPr="001975F6">
          <w:rPr>
            <w:rStyle w:val="Hyperlink"/>
            <w:noProof/>
          </w:rPr>
          <w:t xml:space="preserve">Tables 124.1-124.7: Proportion of adults with disability aged 18+ years who currently </w:t>
        </w:r>
        <w:r w:rsidR="00C90BA5">
          <w:rPr>
            <w:rStyle w:val="Hyperlink"/>
            <w:noProof/>
          </w:rPr>
          <w:br/>
        </w:r>
        <w:r w:rsidR="007F672C" w:rsidRPr="001975F6">
          <w:rPr>
            <w:rStyle w:val="Hyperlink"/>
            <w:noProof/>
          </w:rPr>
          <w:t>feel accepted ‘a lot’ or ‘always’, grouped by sexual orientation</w:t>
        </w:r>
        <w:r w:rsidR="007F672C">
          <w:rPr>
            <w:noProof/>
            <w:webHidden/>
          </w:rPr>
          <w:tab/>
        </w:r>
        <w:r w:rsidR="007F672C">
          <w:rPr>
            <w:noProof/>
            <w:webHidden/>
          </w:rPr>
          <w:fldChar w:fldCharType="begin"/>
        </w:r>
        <w:r w:rsidR="007F672C">
          <w:rPr>
            <w:noProof/>
            <w:webHidden/>
          </w:rPr>
          <w:instrText xml:space="preserve"> PAGEREF _Toc119651526 \h </w:instrText>
        </w:r>
        <w:r w:rsidR="007F672C">
          <w:rPr>
            <w:noProof/>
            <w:webHidden/>
          </w:rPr>
        </w:r>
        <w:r w:rsidR="007F672C">
          <w:rPr>
            <w:noProof/>
            <w:webHidden/>
          </w:rPr>
          <w:fldChar w:fldCharType="separate"/>
        </w:r>
        <w:r w:rsidR="00C75AC6">
          <w:rPr>
            <w:noProof/>
            <w:webHidden/>
          </w:rPr>
          <w:t>208</w:t>
        </w:r>
        <w:r w:rsidR="007F672C">
          <w:rPr>
            <w:noProof/>
            <w:webHidden/>
          </w:rPr>
          <w:fldChar w:fldCharType="end"/>
        </w:r>
      </w:hyperlink>
    </w:p>
    <w:p w14:paraId="6C1FC495" w14:textId="77FDEF6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7" w:history="1">
        <w:r w:rsidR="007F672C" w:rsidRPr="001975F6">
          <w:rPr>
            <w:rStyle w:val="Hyperlink"/>
            <w:noProof/>
          </w:rPr>
          <w:t xml:space="preserve">Tables 125.1-125.7: Psychological distress among young people with disability aged </w:t>
        </w:r>
        <w:r w:rsidR="00C90BA5">
          <w:rPr>
            <w:rStyle w:val="Hyperlink"/>
            <w:noProof/>
          </w:rPr>
          <w:br/>
        </w:r>
        <w:r w:rsidR="007F672C" w:rsidRPr="001975F6">
          <w:rPr>
            <w:rStyle w:val="Hyperlink"/>
            <w:noProof/>
          </w:rPr>
          <w:t>14-21 years, grouped by sexual orientation (n = 2483)</w:t>
        </w:r>
        <w:r w:rsidR="007F672C">
          <w:rPr>
            <w:noProof/>
            <w:webHidden/>
          </w:rPr>
          <w:tab/>
        </w:r>
        <w:r w:rsidR="007F672C">
          <w:rPr>
            <w:noProof/>
            <w:webHidden/>
          </w:rPr>
          <w:fldChar w:fldCharType="begin"/>
        </w:r>
        <w:r w:rsidR="007F672C">
          <w:rPr>
            <w:noProof/>
            <w:webHidden/>
          </w:rPr>
          <w:instrText xml:space="preserve"> PAGEREF _Toc119651527 \h </w:instrText>
        </w:r>
        <w:r w:rsidR="007F672C">
          <w:rPr>
            <w:noProof/>
            <w:webHidden/>
          </w:rPr>
        </w:r>
        <w:r w:rsidR="007F672C">
          <w:rPr>
            <w:noProof/>
            <w:webHidden/>
          </w:rPr>
          <w:fldChar w:fldCharType="separate"/>
        </w:r>
        <w:r w:rsidR="00C75AC6">
          <w:rPr>
            <w:noProof/>
            <w:webHidden/>
          </w:rPr>
          <w:t>212</w:t>
        </w:r>
        <w:r w:rsidR="007F672C">
          <w:rPr>
            <w:noProof/>
            <w:webHidden/>
          </w:rPr>
          <w:fldChar w:fldCharType="end"/>
        </w:r>
      </w:hyperlink>
    </w:p>
    <w:p w14:paraId="19C58124" w14:textId="37D864FA"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8" w:history="1">
        <w:r w:rsidR="007F672C" w:rsidRPr="001975F6">
          <w:rPr>
            <w:rStyle w:val="Hyperlink"/>
            <w:noProof/>
          </w:rPr>
          <w:t xml:space="preserve">Tables 126.1-126.7: Psychological distress among people with disability aged </w:t>
        </w:r>
        <w:r w:rsidR="00C90BA5">
          <w:rPr>
            <w:rStyle w:val="Hyperlink"/>
            <w:noProof/>
          </w:rPr>
          <w:br/>
        </w:r>
        <w:r w:rsidR="007F672C" w:rsidRPr="001975F6">
          <w:rPr>
            <w:rStyle w:val="Hyperlink"/>
            <w:noProof/>
          </w:rPr>
          <w:t>18+ years, grouped by sexual orientation (n = 2563)</w:t>
        </w:r>
        <w:r w:rsidR="007F672C">
          <w:rPr>
            <w:noProof/>
            <w:webHidden/>
          </w:rPr>
          <w:tab/>
        </w:r>
        <w:r w:rsidR="007F672C">
          <w:rPr>
            <w:noProof/>
            <w:webHidden/>
          </w:rPr>
          <w:fldChar w:fldCharType="begin"/>
        </w:r>
        <w:r w:rsidR="007F672C">
          <w:rPr>
            <w:noProof/>
            <w:webHidden/>
          </w:rPr>
          <w:instrText xml:space="preserve"> PAGEREF _Toc119651528 \h </w:instrText>
        </w:r>
        <w:r w:rsidR="007F672C">
          <w:rPr>
            <w:noProof/>
            <w:webHidden/>
          </w:rPr>
        </w:r>
        <w:r w:rsidR="007F672C">
          <w:rPr>
            <w:noProof/>
            <w:webHidden/>
          </w:rPr>
          <w:fldChar w:fldCharType="separate"/>
        </w:r>
        <w:r w:rsidR="00C75AC6">
          <w:rPr>
            <w:noProof/>
            <w:webHidden/>
          </w:rPr>
          <w:t>214</w:t>
        </w:r>
        <w:r w:rsidR="007F672C">
          <w:rPr>
            <w:noProof/>
            <w:webHidden/>
          </w:rPr>
          <w:fldChar w:fldCharType="end"/>
        </w:r>
      </w:hyperlink>
    </w:p>
    <w:p w14:paraId="48F8030A" w14:textId="2D45F558"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29" w:history="1">
        <w:r w:rsidR="007F672C" w:rsidRPr="001975F6">
          <w:rPr>
            <w:rStyle w:val="Hyperlink"/>
            <w:bCs/>
            <w:noProof/>
          </w:rPr>
          <w:t>Tables 127.1-127.7</w:t>
        </w:r>
        <w:r w:rsidR="007F672C" w:rsidRPr="001975F6">
          <w:rPr>
            <w:rStyle w:val="Hyperlink"/>
            <w:noProof/>
          </w:rPr>
          <w:t xml:space="preserve">: Experiences of verbal (n = 2413), physical (n = 2142) or sexual </w:t>
        </w:r>
        <w:r w:rsidR="00C90BA5">
          <w:rPr>
            <w:rStyle w:val="Hyperlink"/>
            <w:noProof/>
          </w:rPr>
          <w:br/>
        </w:r>
        <w:r w:rsidR="007F672C" w:rsidRPr="001975F6">
          <w:rPr>
            <w:rStyle w:val="Hyperlink"/>
            <w:noProof/>
          </w:rPr>
          <w:t xml:space="preserve">(n = 2216) harassment or assault relating to sexuality or gender identity among young </w:t>
        </w:r>
        <w:r w:rsidR="00C90BA5">
          <w:rPr>
            <w:rStyle w:val="Hyperlink"/>
            <w:noProof/>
          </w:rPr>
          <w:br/>
        </w:r>
        <w:r w:rsidR="007F672C" w:rsidRPr="001975F6">
          <w:rPr>
            <w:rStyle w:val="Hyperlink"/>
            <w:noProof/>
          </w:rPr>
          <w:t>people with disability aged 14-21 years, grouped by sexual orientation</w:t>
        </w:r>
        <w:r w:rsidR="007F672C">
          <w:rPr>
            <w:noProof/>
            <w:webHidden/>
          </w:rPr>
          <w:tab/>
        </w:r>
        <w:r w:rsidR="007F672C">
          <w:rPr>
            <w:noProof/>
            <w:webHidden/>
          </w:rPr>
          <w:fldChar w:fldCharType="begin"/>
        </w:r>
        <w:r w:rsidR="007F672C">
          <w:rPr>
            <w:noProof/>
            <w:webHidden/>
          </w:rPr>
          <w:instrText xml:space="preserve"> PAGEREF _Toc119651529 \h </w:instrText>
        </w:r>
        <w:r w:rsidR="007F672C">
          <w:rPr>
            <w:noProof/>
            <w:webHidden/>
          </w:rPr>
        </w:r>
        <w:r w:rsidR="007F672C">
          <w:rPr>
            <w:noProof/>
            <w:webHidden/>
          </w:rPr>
          <w:fldChar w:fldCharType="separate"/>
        </w:r>
        <w:r w:rsidR="00C75AC6">
          <w:rPr>
            <w:noProof/>
            <w:webHidden/>
          </w:rPr>
          <w:t>216</w:t>
        </w:r>
        <w:r w:rsidR="007F672C">
          <w:rPr>
            <w:noProof/>
            <w:webHidden/>
          </w:rPr>
          <w:fldChar w:fldCharType="end"/>
        </w:r>
      </w:hyperlink>
    </w:p>
    <w:p w14:paraId="6D9982FA" w14:textId="6AA84D56"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0" w:history="1">
        <w:r w:rsidR="007F672C" w:rsidRPr="001975F6">
          <w:rPr>
            <w:rStyle w:val="Hyperlink"/>
            <w:noProof/>
          </w:rPr>
          <w:t xml:space="preserve">Tables 128.1-128.7: Experiences of harassment, assault and social exclusion due </w:t>
        </w:r>
        <w:r w:rsidR="00C90BA5">
          <w:rPr>
            <w:rStyle w:val="Hyperlink"/>
            <w:noProof/>
          </w:rPr>
          <w:br/>
        </w:r>
        <w:r w:rsidR="007F672C" w:rsidRPr="001975F6">
          <w:rPr>
            <w:rStyle w:val="Hyperlink"/>
            <w:noProof/>
          </w:rPr>
          <w:t xml:space="preserve">to sexual orientation or gender identity in the past 12 months among adults with </w:t>
        </w:r>
        <w:r w:rsidR="00C90BA5">
          <w:rPr>
            <w:rStyle w:val="Hyperlink"/>
            <w:noProof/>
          </w:rPr>
          <w:br/>
        </w:r>
        <w:r w:rsidR="007F672C" w:rsidRPr="001975F6">
          <w:rPr>
            <w:rStyle w:val="Hyperlink"/>
            <w:noProof/>
          </w:rPr>
          <w:t>disability aged 18+ years, grouped by sexual orientation</w:t>
        </w:r>
        <w:r w:rsidR="007F672C">
          <w:rPr>
            <w:noProof/>
            <w:webHidden/>
          </w:rPr>
          <w:tab/>
        </w:r>
        <w:r w:rsidR="007F672C">
          <w:rPr>
            <w:noProof/>
            <w:webHidden/>
          </w:rPr>
          <w:fldChar w:fldCharType="begin"/>
        </w:r>
        <w:r w:rsidR="007F672C">
          <w:rPr>
            <w:noProof/>
            <w:webHidden/>
          </w:rPr>
          <w:instrText xml:space="preserve"> PAGEREF _Toc119651530 \h </w:instrText>
        </w:r>
        <w:r w:rsidR="007F672C">
          <w:rPr>
            <w:noProof/>
            <w:webHidden/>
          </w:rPr>
        </w:r>
        <w:r w:rsidR="007F672C">
          <w:rPr>
            <w:noProof/>
            <w:webHidden/>
          </w:rPr>
          <w:fldChar w:fldCharType="separate"/>
        </w:r>
        <w:r w:rsidR="00C75AC6">
          <w:rPr>
            <w:noProof/>
            <w:webHidden/>
          </w:rPr>
          <w:t>218</w:t>
        </w:r>
        <w:r w:rsidR="007F672C">
          <w:rPr>
            <w:noProof/>
            <w:webHidden/>
          </w:rPr>
          <w:fldChar w:fldCharType="end"/>
        </w:r>
      </w:hyperlink>
    </w:p>
    <w:p w14:paraId="3542A3B0" w14:textId="2754937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1" w:history="1">
        <w:r w:rsidR="007F672C" w:rsidRPr="001975F6">
          <w:rPr>
            <w:rStyle w:val="Hyperlink"/>
            <w:noProof/>
          </w:rPr>
          <w:t xml:space="preserve">Tables 129.1-129.7: Ever experienced violence from an intimate partner (n = 2409) </w:t>
        </w:r>
        <w:r w:rsidR="00C90BA5">
          <w:rPr>
            <w:rStyle w:val="Hyperlink"/>
            <w:noProof/>
          </w:rPr>
          <w:br/>
        </w:r>
        <w:r w:rsidR="007F672C" w:rsidRPr="001975F6">
          <w:rPr>
            <w:rStyle w:val="Hyperlink"/>
            <w:noProof/>
          </w:rPr>
          <w:t xml:space="preserve">or family member (n = 2452) among adults with disability aged 18+ years, grouped </w:t>
        </w:r>
        <w:r w:rsidR="00C90BA5">
          <w:rPr>
            <w:rStyle w:val="Hyperlink"/>
            <w:noProof/>
          </w:rPr>
          <w:br/>
        </w:r>
        <w:r w:rsidR="007F672C" w:rsidRPr="001975F6">
          <w:rPr>
            <w:rStyle w:val="Hyperlink"/>
            <w:noProof/>
          </w:rPr>
          <w:t>by sexual orientation</w:t>
        </w:r>
        <w:r w:rsidR="007F672C">
          <w:rPr>
            <w:noProof/>
            <w:webHidden/>
          </w:rPr>
          <w:tab/>
        </w:r>
        <w:r w:rsidR="007F672C">
          <w:rPr>
            <w:noProof/>
            <w:webHidden/>
          </w:rPr>
          <w:fldChar w:fldCharType="begin"/>
        </w:r>
        <w:r w:rsidR="007F672C">
          <w:rPr>
            <w:noProof/>
            <w:webHidden/>
          </w:rPr>
          <w:instrText xml:space="preserve"> PAGEREF _Toc119651531 \h </w:instrText>
        </w:r>
        <w:r w:rsidR="007F672C">
          <w:rPr>
            <w:noProof/>
            <w:webHidden/>
          </w:rPr>
        </w:r>
        <w:r w:rsidR="007F672C">
          <w:rPr>
            <w:noProof/>
            <w:webHidden/>
          </w:rPr>
          <w:fldChar w:fldCharType="separate"/>
        </w:r>
        <w:r w:rsidR="00C75AC6">
          <w:rPr>
            <w:noProof/>
            <w:webHidden/>
          </w:rPr>
          <w:t>220</w:t>
        </w:r>
        <w:r w:rsidR="007F672C">
          <w:rPr>
            <w:noProof/>
            <w:webHidden/>
          </w:rPr>
          <w:fldChar w:fldCharType="end"/>
        </w:r>
      </w:hyperlink>
    </w:p>
    <w:p w14:paraId="588E5BF2" w14:textId="4B6C2943"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2" w:history="1">
        <w:r w:rsidR="007F672C" w:rsidRPr="001975F6">
          <w:rPr>
            <w:rStyle w:val="Hyperlink"/>
            <w:bCs/>
            <w:noProof/>
          </w:rPr>
          <w:t>Tables 130.1-130.7</w:t>
        </w:r>
        <w:r w:rsidR="007F672C" w:rsidRPr="001975F6">
          <w:rPr>
            <w:rStyle w:val="Hyperlink"/>
            <w:noProof/>
          </w:rPr>
          <w:t xml:space="preserve">: Suicidal ideation among young people with disability aged </w:t>
        </w:r>
        <w:r w:rsidR="00C90BA5">
          <w:rPr>
            <w:rStyle w:val="Hyperlink"/>
            <w:noProof/>
          </w:rPr>
          <w:br/>
        </w:r>
        <w:r w:rsidR="007F672C" w:rsidRPr="001975F6">
          <w:rPr>
            <w:rStyle w:val="Hyperlink"/>
            <w:noProof/>
          </w:rPr>
          <w:t>14-21 years, grouped by sexual orientation (n = 2485)</w:t>
        </w:r>
        <w:r w:rsidR="007F672C">
          <w:rPr>
            <w:noProof/>
            <w:webHidden/>
          </w:rPr>
          <w:tab/>
        </w:r>
        <w:r w:rsidR="007F672C">
          <w:rPr>
            <w:noProof/>
            <w:webHidden/>
          </w:rPr>
          <w:fldChar w:fldCharType="begin"/>
        </w:r>
        <w:r w:rsidR="007F672C">
          <w:rPr>
            <w:noProof/>
            <w:webHidden/>
          </w:rPr>
          <w:instrText xml:space="preserve"> PAGEREF _Toc119651532 \h </w:instrText>
        </w:r>
        <w:r w:rsidR="007F672C">
          <w:rPr>
            <w:noProof/>
            <w:webHidden/>
          </w:rPr>
        </w:r>
        <w:r w:rsidR="007F672C">
          <w:rPr>
            <w:noProof/>
            <w:webHidden/>
          </w:rPr>
          <w:fldChar w:fldCharType="separate"/>
        </w:r>
        <w:r w:rsidR="00C75AC6">
          <w:rPr>
            <w:noProof/>
            <w:webHidden/>
          </w:rPr>
          <w:t>222</w:t>
        </w:r>
        <w:r w:rsidR="007F672C">
          <w:rPr>
            <w:noProof/>
            <w:webHidden/>
          </w:rPr>
          <w:fldChar w:fldCharType="end"/>
        </w:r>
      </w:hyperlink>
    </w:p>
    <w:p w14:paraId="686A37EA" w14:textId="7FBE4AA7"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3" w:history="1">
        <w:r w:rsidR="007F672C" w:rsidRPr="001975F6">
          <w:rPr>
            <w:rStyle w:val="Hyperlink"/>
            <w:bCs/>
            <w:noProof/>
          </w:rPr>
          <w:t>Tables 131.1-131.7</w:t>
        </w:r>
        <w:r w:rsidR="007F672C" w:rsidRPr="001975F6">
          <w:rPr>
            <w:rStyle w:val="Hyperlink"/>
            <w:noProof/>
          </w:rPr>
          <w:t xml:space="preserve">: Suicidal ideation among adults with disability aged 18+ years, </w:t>
        </w:r>
        <w:r w:rsidR="00C90BA5">
          <w:rPr>
            <w:rStyle w:val="Hyperlink"/>
            <w:noProof/>
          </w:rPr>
          <w:br/>
        </w:r>
        <w:r w:rsidR="007F672C" w:rsidRPr="001975F6">
          <w:rPr>
            <w:rStyle w:val="Hyperlink"/>
            <w:noProof/>
          </w:rPr>
          <w:t>grouped by sexual orientation (n = 2611)</w:t>
        </w:r>
        <w:r w:rsidR="007F672C">
          <w:rPr>
            <w:noProof/>
            <w:webHidden/>
          </w:rPr>
          <w:tab/>
        </w:r>
        <w:r w:rsidR="007F672C">
          <w:rPr>
            <w:noProof/>
            <w:webHidden/>
          </w:rPr>
          <w:fldChar w:fldCharType="begin"/>
        </w:r>
        <w:r w:rsidR="007F672C">
          <w:rPr>
            <w:noProof/>
            <w:webHidden/>
          </w:rPr>
          <w:instrText xml:space="preserve"> PAGEREF _Toc119651533 \h </w:instrText>
        </w:r>
        <w:r w:rsidR="007F672C">
          <w:rPr>
            <w:noProof/>
            <w:webHidden/>
          </w:rPr>
        </w:r>
        <w:r w:rsidR="007F672C">
          <w:rPr>
            <w:noProof/>
            <w:webHidden/>
          </w:rPr>
          <w:fldChar w:fldCharType="separate"/>
        </w:r>
        <w:r w:rsidR="00C75AC6">
          <w:rPr>
            <w:noProof/>
            <w:webHidden/>
          </w:rPr>
          <w:t>224</w:t>
        </w:r>
        <w:r w:rsidR="007F672C">
          <w:rPr>
            <w:noProof/>
            <w:webHidden/>
          </w:rPr>
          <w:fldChar w:fldCharType="end"/>
        </w:r>
      </w:hyperlink>
    </w:p>
    <w:p w14:paraId="4DF00684" w14:textId="1EC67725"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4" w:history="1">
        <w:r w:rsidR="007F672C" w:rsidRPr="001975F6">
          <w:rPr>
            <w:rStyle w:val="Hyperlink"/>
            <w:bCs/>
            <w:noProof/>
          </w:rPr>
          <w:t>Tables 132.1-132.7</w:t>
        </w:r>
        <w:r w:rsidR="007F672C" w:rsidRPr="001975F6">
          <w:rPr>
            <w:rStyle w:val="Hyperlink"/>
            <w:noProof/>
          </w:rPr>
          <w:t xml:space="preserve">: Suicide attempts among young people with disability aged </w:t>
        </w:r>
        <w:r w:rsidR="00C90BA5">
          <w:rPr>
            <w:rStyle w:val="Hyperlink"/>
            <w:noProof/>
          </w:rPr>
          <w:br/>
        </w:r>
        <w:r w:rsidR="007F672C" w:rsidRPr="001975F6">
          <w:rPr>
            <w:rStyle w:val="Hyperlink"/>
            <w:noProof/>
          </w:rPr>
          <w:t>14-21 years, grouped by sexual orientation (n = 2463)</w:t>
        </w:r>
        <w:r w:rsidR="007F672C">
          <w:rPr>
            <w:noProof/>
            <w:webHidden/>
          </w:rPr>
          <w:tab/>
        </w:r>
        <w:r w:rsidR="007F672C">
          <w:rPr>
            <w:noProof/>
            <w:webHidden/>
          </w:rPr>
          <w:fldChar w:fldCharType="begin"/>
        </w:r>
        <w:r w:rsidR="007F672C">
          <w:rPr>
            <w:noProof/>
            <w:webHidden/>
          </w:rPr>
          <w:instrText xml:space="preserve"> PAGEREF _Toc119651534 \h </w:instrText>
        </w:r>
        <w:r w:rsidR="007F672C">
          <w:rPr>
            <w:noProof/>
            <w:webHidden/>
          </w:rPr>
        </w:r>
        <w:r w:rsidR="007F672C">
          <w:rPr>
            <w:noProof/>
            <w:webHidden/>
          </w:rPr>
          <w:fldChar w:fldCharType="separate"/>
        </w:r>
        <w:r w:rsidR="00C75AC6">
          <w:rPr>
            <w:noProof/>
            <w:webHidden/>
          </w:rPr>
          <w:t>225</w:t>
        </w:r>
        <w:r w:rsidR="007F672C">
          <w:rPr>
            <w:noProof/>
            <w:webHidden/>
          </w:rPr>
          <w:fldChar w:fldCharType="end"/>
        </w:r>
      </w:hyperlink>
    </w:p>
    <w:p w14:paraId="0C36CF1F" w14:textId="472849EF" w:rsidR="007F672C"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1535" w:history="1">
        <w:r w:rsidR="007F672C" w:rsidRPr="001975F6">
          <w:rPr>
            <w:rStyle w:val="Hyperlink"/>
            <w:bCs/>
            <w:noProof/>
          </w:rPr>
          <w:t>Tables 133.1-133.7</w:t>
        </w:r>
        <w:r w:rsidR="007F672C" w:rsidRPr="001975F6">
          <w:rPr>
            <w:rStyle w:val="Hyperlink"/>
            <w:noProof/>
          </w:rPr>
          <w:t>: Suicide attempts among adults with disability aged 18+ years, grouped by sexual orientation (n = 2183)</w:t>
        </w:r>
        <w:r w:rsidR="007F672C">
          <w:rPr>
            <w:noProof/>
            <w:webHidden/>
          </w:rPr>
          <w:tab/>
        </w:r>
        <w:r w:rsidR="007F672C">
          <w:rPr>
            <w:noProof/>
            <w:webHidden/>
          </w:rPr>
          <w:fldChar w:fldCharType="begin"/>
        </w:r>
        <w:r w:rsidR="007F672C">
          <w:rPr>
            <w:noProof/>
            <w:webHidden/>
          </w:rPr>
          <w:instrText xml:space="preserve"> PAGEREF _Toc119651535 \h </w:instrText>
        </w:r>
        <w:r w:rsidR="007F672C">
          <w:rPr>
            <w:noProof/>
            <w:webHidden/>
          </w:rPr>
        </w:r>
        <w:r w:rsidR="007F672C">
          <w:rPr>
            <w:noProof/>
            <w:webHidden/>
          </w:rPr>
          <w:fldChar w:fldCharType="separate"/>
        </w:r>
        <w:r w:rsidR="00C75AC6">
          <w:rPr>
            <w:noProof/>
            <w:webHidden/>
          </w:rPr>
          <w:t>227</w:t>
        </w:r>
        <w:r w:rsidR="007F672C">
          <w:rPr>
            <w:noProof/>
            <w:webHidden/>
          </w:rPr>
          <w:fldChar w:fldCharType="end"/>
        </w:r>
      </w:hyperlink>
    </w:p>
    <w:p w14:paraId="4276189A" w14:textId="77777777" w:rsidR="009A6790" w:rsidRDefault="007F672C" w:rsidP="009D0006">
      <w:pPr>
        <w:ind w:left="142" w:hanging="142"/>
        <w:rPr>
          <w:rFonts w:ascii="Roboto" w:hAnsi="Roboto"/>
          <w:sz w:val="22"/>
        </w:rPr>
      </w:pPr>
      <w:r>
        <w:rPr>
          <w:rFonts w:ascii="Roboto" w:hAnsi="Roboto"/>
          <w:sz w:val="22"/>
        </w:rPr>
        <w:fldChar w:fldCharType="end"/>
      </w:r>
    </w:p>
    <w:p w14:paraId="0B2DCCF1" w14:textId="479AAA81" w:rsidR="009D0006" w:rsidRPr="006E4CDB" w:rsidRDefault="009D0006" w:rsidP="009A6790">
      <w:pPr>
        <w:rPr>
          <w:rFonts w:ascii="Roboto" w:hAnsi="Roboto" w:cs="Arial"/>
          <w:b/>
          <w:color w:val="565652"/>
          <w:spacing w:val="5"/>
          <w:sz w:val="22"/>
          <w:lang w:bidi="en-US"/>
        </w:rPr>
      </w:pPr>
      <w:r w:rsidRPr="006E4CDB">
        <w:rPr>
          <w:rFonts w:ascii="Roboto" w:hAnsi="Roboto"/>
          <w:sz w:val="22"/>
        </w:rPr>
        <w:br w:type="page"/>
      </w:r>
    </w:p>
    <w:p w14:paraId="771BF6FD" w14:textId="7414F51F" w:rsidR="009D0006" w:rsidRPr="00FB6007" w:rsidRDefault="009D0006" w:rsidP="009D0006">
      <w:pPr>
        <w:pStyle w:val="Heading1"/>
        <w:ind w:left="142" w:hanging="142"/>
      </w:pPr>
      <w:bookmarkStart w:id="68" w:name="_Toc58252032"/>
      <w:bookmarkStart w:id="69" w:name="_Toc115968470"/>
      <w:bookmarkStart w:id="70" w:name="_Toc119662372"/>
      <w:r w:rsidRPr="00FB6007">
        <w:lastRenderedPageBreak/>
        <w:t xml:space="preserve">List of </w:t>
      </w:r>
      <w:bookmarkEnd w:id="67"/>
      <w:bookmarkEnd w:id="68"/>
      <w:r w:rsidRPr="00FB6007">
        <w:t>figures</w:t>
      </w:r>
      <w:bookmarkEnd w:id="69"/>
      <w:bookmarkEnd w:id="70"/>
    </w:p>
    <w:p w14:paraId="1837A76C" w14:textId="149DD509" w:rsidR="00C90BA5" w:rsidRDefault="00C90BA5">
      <w:pPr>
        <w:pStyle w:val="TableofFigures"/>
        <w:tabs>
          <w:tab w:val="right" w:leader="dot" w:pos="9968"/>
        </w:tabs>
        <w:rPr>
          <w:rFonts w:asciiTheme="minorHAnsi" w:eastAsiaTheme="minorEastAsia" w:hAnsiTheme="minorHAnsi" w:cstheme="minorBidi"/>
          <w:noProof/>
          <w:sz w:val="22"/>
          <w:szCs w:val="22"/>
          <w:lang w:eastAsia="en-AU"/>
        </w:rPr>
      </w:pPr>
      <w:r>
        <w:rPr>
          <w:rFonts w:ascii="Roboto" w:hAnsi="Roboto"/>
          <w:sz w:val="22"/>
        </w:rPr>
        <w:fldChar w:fldCharType="begin"/>
      </w:r>
      <w:r>
        <w:rPr>
          <w:rFonts w:ascii="Roboto" w:hAnsi="Roboto"/>
          <w:sz w:val="22"/>
        </w:rPr>
        <w:instrText xml:space="preserve"> TOC \h \z \c "Figure" </w:instrText>
      </w:r>
      <w:r>
        <w:rPr>
          <w:rFonts w:ascii="Roboto" w:hAnsi="Roboto"/>
          <w:sz w:val="22"/>
        </w:rPr>
        <w:fldChar w:fldCharType="separate"/>
      </w:r>
      <w:hyperlink w:anchor="_Toc119657407" w:history="1">
        <w:r w:rsidRPr="00F76701">
          <w:rPr>
            <w:rStyle w:val="Hyperlink"/>
            <w:noProof/>
          </w:rPr>
          <w:t xml:space="preserve">Figure 1: Intersections of gender identity and disability among young people aged </w:t>
        </w:r>
        <w:r>
          <w:rPr>
            <w:rStyle w:val="Hyperlink"/>
            <w:noProof/>
          </w:rPr>
          <w:br/>
        </w:r>
        <w:r w:rsidRPr="00F76701">
          <w:rPr>
            <w:rStyle w:val="Hyperlink"/>
            <w:noProof/>
          </w:rPr>
          <w:t>14-21 years</w:t>
        </w:r>
        <w:r>
          <w:rPr>
            <w:noProof/>
            <w:webHidden/>
          </w:rPr>
          <w:tab/>
        </w:r>
        <w:r>
          <w:rPr>
            <w:noProof/>
            <w:webHidden/>
          </w:rPr>
          <w:fldChar w:fldCharType="begin"/>
        </w:r>
        <w:r>
          <w:rPr>
            <w:noProof/>
            <w:webHidden/>
          </w:rPr>
          <w:instrText xml:space="preserve"> PAGEREF _Toc119657407 \h </w:instrText>
        </w:r>
        <w:r>
          <w:rPr>
            <w:noProof/>
            <w:webHidden/>
          </w:rPr>
        </w:r>
        <w:r>
          <w:rPr>
            <w:noProof/>
            <w:webHidden/>
          </w:rPr>
          <w:fldChar w:fldCharType="separate"/>
        </w:r>
        <w:r w:rsidR="00C75AC6">
          <w:rPr>
            <w:noProof/>
            <w:webHidden/>
          </w:rPr>
          <w:t>40</w:t>
        </w:r>
        <w:r>
          <w:rPr>
            <w:noProof/>
            <w:webHidden/>
          </w:rPr>
          <w:fldChar w:fldCharType="end"/>
        </w:r>
      </w:hyperlink>
    </w:p>
    <w:p w14:paraId="2A1E8CF7" w14:textId="39A79DAE" w:rsidR="00C90BA5"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7408" w:history="1">
        <w:r w:rsidR="00C90BA5" w:rsidRPr="00F76701">
          <w:rPr>
            <w:rStyle w:val="Hyperlink"/>
            <w:noProof/>
          </w:rPr>
          <w:t>Figure 2: Intersections of gender and disability among adults aged 18+ years</w:t>
        </w:r>
        <w:r w:rsidR="00C90BA5">
          <w:rPr>
            <w:noProof/>
            <w:webHidden/>
          </w:rPr>
          <w:tab/>
        </w:r>
        <w:r w:rsidR="00C90BA5">
          <w:rPr>
            <w:noProof/>
            <w:webHidden/>
          </w:rPr>
          <w:fldChar w:fldCharType="begin"/>
        </w:r>
        <w:r w:rsidR="00C90BA5">
          <w:rPr>
            <w:noProof/>
            <w:webHidden/>
          </w:rPr>
          <w:instrText xml:space="preserve"> PAGEREF _Toc119657408 \h </w:instrText>
        </w:r>
        <w:r w:rsidR="00C90BA5">
          <w:rPr>
            <w:noProof/>
            <w:webHidden/>
          </w:rPr>
        </w:r>
        <w:r w:rsidR="00C90BA5">
          <w:rPr>
            <w:noProof/>
            <w:webHidden/>
          </w:rPr>
          <w:fldChar w:fldCharType="separate"/>
        </w:r>
        <w:r w:rsidR="00C75AC6">
          <w:rPr>
            <w:noProof/>
            <w:webHidden/>
          </w:rPr>
          <w:t>41</w:t>
        </w:r>
        <w:r w:rsidR="00C90BA5">
          <w:rPr>
            <w:noProof/>
            <w:webHidden/>
          </w:rPr>
          <w:fldChar w:fldCharType="end"/>
        </w:r>
      </w:hyperlink>
    </w:p>
    <w:p w14:paraId="7112A915" w14:textId="66DE4F2A" w:rsidR="00C90BA5"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7409" w:history="1">
        <w:r w:rsidR="00C90BA5" w:rsidRPr="00F76701">
          <w:rPr>
            <w:rStyle w:val="Hyperlink"/>
            <w:noProof/>
          </w:rPr>
          <w:t xml:space="preserve">Figure 3: Proportion of young people with disability aged 14-21 years disclosing </w:t>
        </w:r>
        <w:r w:rsidR="00C90BA5">
          <w:rPr>
            <w:rStyle w:val="Hyperlink"/>
            <w:noProof/>
          </w:rPr>
          <w:br/>
        </w:r>
        <w:r w:rsidR="00C90BA5" w:rsidRPr="00F76701">
          <w:rPr>
            <w:rStyle w:val="Hyperlink"/>
            <w:noProof/>
          </w:rPr>
          <w:t>their sexual orientation or gender identity to different groups of people</w:t>
        </w:r>
        <w:r w:rsidR="00C90BA5">
          <w:rPr>
            <w:noProof/>
            <w:webHidden/>
          </w:rPr>
          <w:tab/>
        </w:r>
        <w:r w:rsidR="00C90BA5">
          <w:rPr>
            <w:noProof/>
            <w:webHidden/>
          </w:rPr>
          <w:fldChar w:fldCharType="begin"/>
        </w:r>
        <w:r w:rsidR="00C90BA5">
          <w:rPr>
            <w:noProof/>
            <w:webHidden/>
          </w:rPr>
          <w:instrText xml:space="preserve"> PAGEREF _Toc119657409 \h </w:instrText>
        </w:r>
        <w:r w:rsidR="00C90BA5">
          <w:rPr>
            <w:noProof/>
            <w:webHidden/>
          </w:rPr>
        </w:r>
        <w:r w:rsidR="00C90BA5">
          <w:rPr>
            <w:noProof/>
            <w:webHidden/>
          </w:rPr>
          <w:fldChar w:fldCharType="separate"/>
        </w:r>
        <w:r w:rsidR="00C75AC6">
          <w:rPr>
            <w:noProof/>
            <w:webHidden/>
          </w:rPr>
          <w:t>55</w:t>
        </w:r>
        <w:r w:rsidR="00C90BA5">
          <w:rPr>
            <w:noProof/>
            <w:webHidden/>
          </w:rPr>
          <w:fldChar w:fldCharType="end"/>
        </w:r>
      </w:hyperlink>
    </w:p>
    <w:p w14:paraId="73ED8429" w14:textId="29FDC601" w:rsidR="00C90BA5"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7410" w:history="1">
        <w:r w:rsidR="00C90BA5" w:rsidRPr="00F76701">
          <w:rPr>
            <w:rStyle w:val="Hyperlink"/>
            <w:bCs/>
            <w:noProof/>
          </w:rPr>
          <w:t>Figure 4</w:t>
        </w:r>
        <w:r w:rsidR="00C90BA5" w:rsidRPr="00F76701">
          <w:rPr>
            <w:rStyle w:val="Hyperlink"/>
            <w:noProof/>
          </w:rPr>
          <w:t xml:space="preserve">: Experiences of verbal, physical and sexual harassment or assault based </w:t>
        </w:r>
        <w:r w:rsidR="00C90BA5">
          <w:rPr>
            <w:rStyle w:val="Hyperlink"/>
            <w:noProof/>
          </w:rPr>
          <w:br/>
        </w:r>
        <w:r w:rsidR="00C90BA5" w:rsidRPr="00F76701">
          <w:rPr>
            <w:rStyle w:val="Hyperlink"/>
            <w:noProof/>
          </w:rPr>
          <w:t xml:space="preserve">on sexual orientation or gender identity among young people with disability aged </w:t>
        </w:r>
        <w:r w:rsidR="00C90BA5">
          <w:rPr>
            <w:rStyle w:val="Hyperlink"/>
            <w:noProof/>
          </w:rPr>
          <w:br/>
        </w:r>
        <w:r w:rsidR="00C90BA5" w:rsidRPr="00F76701">
          <w:rPr>
            <w:rStyle w:val="Hyperlink"/>
            <w:noProof/>
          </w:rPr>
          <w:t>14-21 years</w:t>
        </w:r>
        <w:r w:rsidR="00C90BA5">
          <w:rPr>
            <w:noProof/>
            <w:webHidden/>
          </w:rPr>
          <w:tab/>
        </w:r>
        <w:r w:rsidR="00C90BA5">
          <w:rPr>
            <w:noProof/>
            <w:webHidden/>
          </w:rPr>
          <w:fldChar w:fldCharType="begin"/>
        </w:r>
        <w:r w:rsidR="00C90BA5">
          <w:rPr>
            <w:noProof/>
            <w:webHidden/>
          </w:rPr>
          <w:instrText xml:space="preserve"> PAGEREF _Toc119657410 \h </w:instrText>
        </w:r>
        <w:r w:rsidR="00C90BA5">
          <w:rPr>
            <w:noProof/>
            <w:webHidden/>
          </w:rPr>
        </w:r>
        <w:r w:rsidR="00C90BA5">
          <w:rPr>
            <w:noProof/>
            <w:webHidden/>
          </w:rPr>
          <w:fldChar w:fldCharType="separate"/>
        </w:r>
        <w:r w:rsidR="00C75AC6">
          <w:rPr>
            <w:noProof/>
            <w:webHidden/>
          </w:rPr>
          <w:t>76</w:t>
        </w:r>
        <w:r w:rsidR="00C90BA5">
          <w:rPr>
            <w:noProof/>
            <w:webHidden/>
          </w:rPr>
          <w:fldChar w:fldCharType="end"/>
        </w:r>
      </w:hyperlink>
    </w:p>
    <w:p w14:paraId="79F40AB5" w14:textId="33E30495" w:rsidR="00C90BA5" w:rsidRDefault="00C9023A">
      <w:pPr>
        <w:pStyle w:val="TableofFigures"/>
        <w:tabs>
          <w:tab w:val="right" w:leader="dot" w:pos="9968"/>
        </w:tabs>
        <w:rPr>
          <w:rFonts w:asciiTheme="minorHAnsi" w:eastAsiaTheme="minorEastAsia" w:hAnsiTheme="minorHAnsi" w:cstheme="minorBidi"/>
          <w:noProof/>
          <w:sz w:val="22"/>
          <w:szCs w:val="22"/>
          <w:lang w:eastAsia="en-AU"/>
        </w:rPr>
      </w:pPr>
      <w:hyperlink w:anchor="_Toc119657411" w:history="1">
        <w:r w:rsidR="00C90BA5" w:rsidRPr="00F76701">
          <w:rPr>
            <w:rStyle w:val="Hyperlink"/>
            <w:noProof/>
          </w:rPr>
          <w:t xml:space="preserve">Figure 5: Proportion of adults with disability aged 18+ years ever experiencing </w:t>
        </w:r>
        <w:r w:rsidR="00C90BA5">
          <w:rPr>
            <w:rStyle w:val="Hyperlink"/>
            <w:noProof/>
          </w:rPr>
          <w:br/>
        </w:r>
        <w:r w:rsidR="00C90BA5" w:rsidRPr="00F76701">
          <w:rPr>
            <w:rStyle w:val="Hyperlink"/>
            <w:noProof/>
          </w:rPr>
          <w:t>violence from an intimate partner (n = 2416) or family member (n = 2458)</w:t>
        </w:r>
        <w:r w:rsidR="00C90BA5">
          <w:rPr>
            <w:noProof/>
            <w:webHidden/>
          </w:rPr>
          <w:tab/>
        </w:r>
        <w:r w:rsidR="00C90BA5">
          <w:rPr>
            <w:noProof/>
            <w:webHidden/>
          </w:rPr>
          <w:fldChar w:fldCharType="begin"/>
        </w:r>
        <w:r w:rsidR="00C90BA5">
          <w:rPr>
            <w:noProof/>
            <w:webHidden/>
          </w:rPr>
          <w:instrText xml:space="preserve"> PAGEREF _Toc119657411 \h </w:instrText>
        </w:r>
        <w:r w:rsidR="00C90BA5">
          <w:rPr>
            <w:noProof/>
            <w:webHidden/>
          </w:rPr>
        </w:r>
        <w:r w:rsidR="00C90BA5">
          <w:rPr>
            <w:noProof/>
            <w:webHidden/>
          </w:rPr>
          <w:fldChar w:fldCharType="separate"/>
        </w:r>
        <w:r w:rsidR="00C75AC6">
          <w:rPr>
            <w:noProof/>
            <w:webHidden/>
          </w:rPr>
          <w:t>101</w:t>
        </w:r>
        <w:r w:rsidR="00C90BA5">
          <w:rPr>
            <w:noProof/>
            <w:webHidden/>
          </w:rPr>
          <w:fldChar w:fldCharType="end"/>
        </w:r>
      </w:hyperlink>
    </w:p>
    <w:p w14:paraId="50D4F999" w14:textId="03CA3320" w:rsidR="009A6790" w:rsidRDefault="00C90BA5" w:rsidP="00C90BA5">
      <w:pPr>
        <w:ind w:left="142" w:hanging="142"/>
        <w:jc w:val="both"/>
        <w:rPr>
          <w:rFonts w:ascii="Roboto" w:hAnsi="Roboto"/>
          <w:sz w:val="22"/>
        </w:rPr>
      </w:pPr>
      <w:r>
        <w:rPr>
          <w:rFonts w:ascii="Roboto" w:eastAsia="MS Mincho" w:hAnsi="Roboto" w:cs="Times New Roman"/>
          <w:w w:val="100"/>
          <w:kern w:val="0"/>
          <w:sz w:val="22"/>
          <w:szCs w:val="18"/>
        </w:rPr>
        <w:fldChar w:fldCharType="end"/>
      </w:r>
    </w:p>
    <w:p w14:paraId="64E22503" w14:textId="0FDBDD41" w:rsidR="0018219B" w:rsidRDefault="0018219B" w:rsidP="009A6790">
      <w:pPr>
        <w:jc w:val="both"/>
        <w:rPr>
          <w:rFonts w:ascii="Roboto" w:hAnsi="Roboto"/>
          <w:sz w:val="22"/>
        </w:rPr>
        <w:sectPr w:rsidR="0018219B" w:rsidSect="00172963">
          <w:headerReference w:type="even" r:id="rId13"/>
          <w:footerReference w:type="even" r:id="rId14"/>
          <w:footerReference w:type="default" r:id="rId15"/>
          <w:headerReference w:type="first" r:id="rId16"/>
          <w:footerReference w:type="first" r:id="rId17"/>
          <w:endnotePr>
            <w:numFmt w:val="decimal"/>
          </w:endnotePr>
          <w:type w:val="continuous"/>
          <w:pgSz w:w="11906" w:h="16838" w:code="9"/>
          <w:pgMar w:top="1412" w:right="964" w:bottom="1134" w:left="964" w:header="0" w:footer="312" w:gutter="0"/>
          <w:pgNumType w:fmt="lowerRoman"/>
          <w:cols w:space="708"/>
          <w:titlePg/>
          <w:docGrid w:linePitch="360"/>
        </w:sectPr>
      </w:pPr>
    </w:p>
    <w:p w14:paraId="6C474B52" w14:textId="77777777" w:rsidR="009D0006" w:rsidRPr="00683740" w:rsidRDefault="009D0006" w:rsidP="009D0006">
      <w:pPr>
        <w:pStyle w:val="Heading1"/>
      </w:pPr>
      <w:bookmarkStart w:id="71" w:name="_Toc40192068"/>
      <w:bookmarkStart w:id="72" w:name="_Toc58252033"/>
      <w:bookmarkStart w:id="73" w:name="_Toc115968471"/>
      <w:bookmarkStart w:id="74" w:name="_Toc119662373"/>
      <w:bookmarkStart w:id="75" w:name="_Hlk46513203"/>
      <w:r w:rsidRPr="00683740">
        <w:lastRenderedPageBreak/>
        <w:t xml:space="preserve">Executive </w:t>
      </w:r>
      <w:r>
        <w:t>s</w:t>
      </w:r>
      <w:r w:rsidRPr="00683740">
        <w:t>ummary</w:t>
      </w:r>
      <w:bookmarkEnd w:id="71"/>
      <w:bookmarkEnd w:id="72"/>
      <w:bookmarkEnd w:id="73"/>
      <w:bookmarkEnd w:id="74"/>
      <w:r w:rsidRPr="00683740">
        <w:t xml:space="preserve"> </w:t>
      </w:r>
    </w:p>
    <w:p w14:paraId="0621760A" w14:textId="77777777" w:rsidR="009D0006" w:rsidRDefault="009D0006" w:rsidP="009D0006">
      <w:pPr>
        <w:pStyle w:val="Heading2"/>
      </w:pPr>
      <w:bookmarkStart w:id="76" w:name="_Toc88231067"/>
      <w:bookmarkStart w:id="77" w:name="_Toc94627984"/>
      <w:bookmarkStart w:id="78" w:name="_Toc95318479"/>
      <w:bookmarkStart w:id="79" w:name="_Toc115968472"/>
      <w:bookmarkStart w:id="80" w:name="_Toc119662374"/>
      <w:bookmarkEnd w:id="75"/>
      <w:r>
        <w:t>Background</w:t>
      </w:r>
      <w:bookmarkEnd w:id="76"/>
      <w:bookmarkEnd w:id="77"/>
      <w:r>
        <w:t xml:space="preserve"> and context</w:t>
      </w:r>
      <w:bookmarkEnd w:id="78"/>
      <w:bookmarkEnd w:id="79"/>
      <w:bookmarkEnd w:id="80"/>
    </w:p>
    <w:p w14:paraId="4CBA0AD0" w14:textId="77777777" w:rsidR="009D0006" w:rsidRDefault="009D0006" w:rsidP="009D0006">
      <w:r w:rsidRPr="00CF5B24">
        <w:t xml:space="preserve">This </w:t>
      </w:r>
      <w:r>
        <w:t xml:space="preserve">report was compiled to inform the Royal Commission into Violence, Abuse, Neglect and Exploitation of People with Disability. It presents data on the experiences of lesbian, gay, bisexual, trans and gender diverse, queer and asexual (LGBTQA+) people with disability in Australia. These data are from two large national online surveys, </w:t>
      </w:r>
      <w:r w:rsidRPr="00F77C35">
        <w:rPr>
          <w:i/>
        </w:rPr>
        <w:t>Writing Themselves In 4</w:t>
      </w:r>
      <w:r>
        <w:fldChar w:fldCharType="begin"/>
      </w:r>
      <w:r>
        <w:instrText xml:space="preserve"> ADDIN ZOTERO_ITEM CSL_CITATION {"citationID":"UavP2aG3","properties":{"formattedCitation":"(1)","plainCitation":"(1)","noteIndex":0},"citationItems":[{"id":"hc6yy1rM/ZY4LR28S","uris":["http://zotero.org/users/4948307/items/7BM38QY5"],"itemData":{"id":3331,"type":"report","abstract":"The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57VyPerD","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t xml:space="preserve">, which were conducted in 2019. </w:t>
      </w:r>
      <w:r w:rsidRPr="00CC796D">
        <w:rPr>
          <w:i/>
          <w:iCs/>
        </w:rPr>
        <w:t>Writing Themselves In 4</w:t>
      </w:r>
      <w:r>
        <w:t xml:space="preserve"> focused on young people aged 14-21 years</w:t>
      </w:r>
      <w:r w:rsidRPr="00CC796D">
        <w:rPr>
          <w:i/>
          <w:iCs/>
        </w:rPr>
        <w:t xml:space="preserve"> </w:t>
      </w:r>
      <w:r>
        <w:t xml:space="preserve">and </w:t>
      </w:r>
      <w:r w:rsidRPr="00CC796D">
        <w:rPr>
          <w:i/>
          <w:iCs/>
        </w:rPr>
        <w:t>Private Lives 3</w:t>
      </w:r>
      <w:r>
        <w:t xml:space="preserve"> focused on adults aged 18 years and older. </w:t>
      </w:r>
    </w:p>
    <w:p w14:paraId="183DBBB6" w14:textId="77777777" w:rsidR="009D0006" w:rsidRPr="00C93BE2" w:rsidRDefault="009D0006" w:rsidP="009D0006">
      <w:pPr>
        <w:rPr>
          <w:lang w:eastAsia="en-GB"/>
        </w:rPr>
      </w:pPr>
      <w:r>
        <w:t>In this report, as well as the surveys from which the data described in the report are drawn, we attend to the principle of intersectionality. Living with disability is only one aspect of life and the experiences and needs of people with disability can also be shaped by a variety of other identities or characteristics that they may hold (for example, gender, sexual orientation, ethnic or cultural background, migration history, faith etc.). Intersectionality is a means of recognising how these can overlap or interconnect and, in some instances, contribute to complex forms of discrimination or disadvantage. For example, research indicates that people with disability are often subject to an experience of ableism; attitudes that centre the non-disabled experience as ‘the norm’, discrimination in favour of non-disabled people and a limiting of equity in access or failure to acknowledge, or facilitate, the unique and valuable contributions that can be made by people with disability.</w:t>
      </w:r>
      <w:r>
        <w:fldChar w:fldCharType="begin"/>
      </w:r>
      <w:r>
        <w:instrText xml:space="preserve"> ADDIN ZOTERO_ITEM CSL_CITATION {"citationID":"a1qe81894qt","properties":{"formattedCitation":"(3)","plainCitation":"(3)","noteIndex":0},"citationItems":[{"id":5800,"uris":["http://zotero.org/groups/2463045/items/XJMG4IP5"],"itemData":{"id":5800,"type":"book","abstract":"In this ground-breaking new work, Dan Goodley makes the case for a novel, distinct, intellectual, and political project – dis/ability studies – an orientation that might encourage us to think again about the phenomena of disability and ability. \nDrawing on a range of interdisciplinary areas, including sociology, psychology, education, policy and cultural studies, this much needed text takes the most topical and important issues in critical disability theory, and pushes them into new theoretical territory. Goodley argues that we are entering a time of dis/ability studies, when both categories of disability and ability require expanding upon as a response to the global politics of neoliberal capitalism. Divided into two parts, the first section traces the dual processes of ableism and disablism, suggesting that one cannot exist without the other, and makes the case for a research-driven and intersectional analysis of dis/ability. The second section applies this new analytical framework to a range of critical topics, including:\n\n\n\nThe biopolitics of dis/ability and debility \n\n\n\nInclusive education \n\n\n\nPsychopathology \n\n\n\nMarkets, communities and civil society. \n\n\nDis/ability Studies provides much needed depth, texture and analysis in this emerging discipline. This accessible text will appeal to students and researchers of disability across a range of disciplines, as well as disability activists, policymakers, and practitioners working directly with disabled people.","event-place":"London","ISBN":"978-0-203-36697-4","note":"DOI: 10.4324/9780203366974","publisher":"Routledge","publisher-place":"London","title":"Dis/ability studies: Theorising disablism and ableism","title-short":"Dis/ability Studies","URL":"https://doi.org/10.4324/9780203366974","author":[{"family":"Goodley","given":"Dan"}],"issued":{"date-parts":[["2014"]]},"citation-key":"goodleyDisAbilityStudies2014"}}],"schema":"https://github.com/citation-style-language/schema/raw/master/csl-citation.json"} </w:instrText>
      </w:r>
      <w:r>
        <w:fldChar w:fldCharType="separate"/>
      </w:r>
      <w:r>
        <w:rPr>
          <w:lang w:val="en-GB"/>
        </w:rPr>
        <w:t>(3)</w:t>
      </w:r>
      <w:r>
        <w:fldChar w:fldCharType="end"/>
      </w:r>
      <w:r>
        <w:t xml:space="preserve"> Such ableism can be overt, subtle, internal or externalised. It is, however, also the case that people with disability who identity as part of LGBTIQ communities can be subject to discrimination and violence that is driven by heteronormativity</w:t>
      </w:r>
      <w:r>
        <w:fldChar w:fldCharType="begin"/>
      </w:r>
      <w:r>
        <w:instrText xml:space="preserve"> ADDIN ZOTERO_ITEM CSL_CITATION {"citationID":"a1k6i55p80","properties":{"formattedCitation":"(4)","plainCitation":"(4)","noteIndex":0},"citationItems":[{"id":5799,"uris":["http://zotero.org/groups/2463045/items/562JLBUQ"],"itemData":{"id":5799,"type":"chapter","abstract":"The Wiley Blackwell Encyclopedia of Social Theory presents a comprehensive, interdisciplinary compendium of original entries focusing on the origins, evolution, and global development of contemporary social theory.  Presents a comprehensive, interdisciplinary overview and analysis of all aspects of social theory Features more than 850 in-depth, original entries contributed by international experts Includes all major theories, theorists, schools of thought, disciplines, debates, doctrines, developments, epistemologies, and methodologies relating to the development of modern social theory Brings in concepts from contemporary cultural studies, feminism, post-secularism, and postmodernism  Explores controversial contemporary debates relating to the clash of civilization, environmentalism, post-colonialism, post-humanism, cyborgs, and the life-extension project","archive":"Chang Kyung-Sup, Cynthia F. Epstein, Peter Kivisto, William Outhwaite, J. Michael Ryan","container-title":"The Wiley Blackwell encyclopedia of social theory","event-place":"Chichester, UK","ISBN":"978-1-118-43086-6","language":"en","note":"Google-Books-ID: dsJVDwAAQBAJ","publisher":"John Wiley &amp; Sons","publisher-place":"Chichester, UK","source":"Google Books","title":"Heterosexism and homophobia","URL":"https://doi.org/10.1002/9781118430873.est0162","volume":"I (A-C)","author":[{"family":"Moore","given":"Laura M."},{"family":"Kyung-Sup","given":"Chang"},{"family":"Epstein","given":"Cynthia"},{"family":"Kivisto","given":"Peter"},{"family":"Outhwaite","given":"William"},{"family":"Ryan","given":"Michael"}],"container-author":[{"family":"Turner","given":"Bryan S."}],"issued":{"date-parts":[["2017"]]},"citation-key":"mooreHeterosexismHomophobia2017"}}],"schema":"https://github.com/citation-style-language/schema/raw/master/csl-citation.json"} </w:instrText>
      </w:r>
      <w:r>
        <w:fldChar w:fldCharType="separate"/>
      </w:r>
      <w:r>
        <w:rPr>
          <w:lang w:val="en-GB"/>
        </w:rPr>
        <w:t>(4)</w:t>
      </w:r>
      <w:r>
        <w:fldChar w:fldCharType="end"/>
      </w:r>
      <w:r>
        <w:t xml:space="preserve"> or cisnormativity</w:t>
      </w:r>
      <w:r>
        <w:fldChar w:fldCharType="begin"/>
      </w:r>
      <w:r>
        <w:instrText xml:space="preserve"> ADDIN ZOTERO_ITEM CSL_CITATION {"citationID":"asdvrt913q","properties":{"formattedCitation":"(5)","plainCitation":"(5)","noteIndex":0},"citationItems":[{"id":5798,"uris":["http://zotero.org/groups/2463045/items/YAA9MABR"],"itemData":{"id":5798,"type":"article-journal","abstract":"Whilst trans people are gaining recognition and positive attention in some respects, many continue to experience discrimination and social exclusion in everyday life. This paper will illuminate violence outside the home – in the form of hate crime – and the interplay with transphobia (the irrational dislike of trans people) and cisgenderism (a prejudicial ideology based on notions of gender normativity). To-date, there is a rather limited body of work detailing trans people’s experiences of hate crime, with the tendency to subsume trans people’s narratives under the lesbian, gay, bisexual and trans (LGBT) umbrella. This invisibility results in problems with detailing and examining the specificity of trans people’s hate crime experiences. Findings from a qualitative study that explored trans people’s experiences of domestic abuse, using narrative interviewing, will be presented. A total of twenty-four interviews were undertaken with trans people (n = 15) and domestic abuse practitioners (n = 9). Data was examined using a voice-centred relational technique. Whilst trans people were asked about domestic abuse, each participant provided narratives about their experience of abuse in public; with each constituting hate crime. Four narratives have been purposely selected to illuminate the workings of cisgenderism in relation to hate crime. This paper adds new insight and problematizes the entrenched nature of normative and dominant discourses about gender identity and practice.","container-title":"Journal of Family Strengths","DOI":"https://digitalcommons.library.tmc.edu/jfs/vol17/iss2/5","issue":"2","language":"en","note":"number: 2\npublisher: Texas Medical Center","page":"1-24","source":"eprints.whiterose.ac.uk","title":"The intersection of cisgenderism and hate crime: Learning from trans people's narratives","title-short":"The intersection of cisgenderism and hate crime","volume":"17","author":[{"family":"Rogers","given":"Michaela M."}],"issued":{"date-parts":[["2017"]]},"citation-key":"rogersIntersectionCisgenderismHate2017"}}],"schema":"https://github.com/citation-style-language/schema/raw/master/csl-citation.json"} </w:instrText>
      </w:r>
      <w:r>
        <w:fldChar w:fldCharType="separate"/>
      </w:r>
      <w:r>
        <w:rPr>
          <w:lang w:val="en-GB"/>
        </w:rPr>
        <w:t>(5)</w:t>
      </w:r>
      <w:r>
        <w:fldChar w:fldCharType="end"/>
      </w:r>
      <w:r>
        <w:t>; which can facilitate a stigmatising environment for those who are LGBTIQ. As the report seeks to examine the complexity experiences of v</w:t>
      </w:r>
      <w:r w:rsidRPr="00D755D1">
        <w:t>iolence, abuse, neglect and exploitation of LGBTQA+ people with disability</w:t>
      </w:r>
      <w:r>
        <w:t>,</w:t>
      </w:r>
      <w:r w:rsidRPr="00D755D1">
        <w:t xml:space="preserve"> </w:t>
      </w:r>
      <w:r>
        <w:t xml:space="preserve">readers of this report should acknowledge how these social and cultural drivers of violence are understood differently within violence prevention, LGBTIQ affirming, or disability discourses and consider how they may have collectively shaped the findings described below and in the chapters of the report. </w:t>
      </w:r>
    </w:p>
    <w:p w14:paraId="1356E90C" w14:textId="77777777" w:rsidR="009D0006" w:rsidRDefault="009D0006" w:rsidP="009D0006">
      <w:pPr>
        <w:pStyle w:val="Heading2"/>
      </w:pPr>
      <w:bookmarkStart w:id="81" w:name="_Toc88231068"/>
      <w:bookmarkStart w:id="82" w:name="_Toc94627985"/>
      <w:bookmarkStart w:id="83" w:name="_Toc95318480"/>
      <w:bookmarkStart w:id="84" w:name="_Toc115968473"/>
      <w:bookmarkStart w:id="85" w:name="_Toc119662375"/>
      <w:r>
        <w:lastRenderedPageBreak/>
        <w:t>Methodology</w:t>
      </w:r>
      <w:bookmarkEnd w:id="81"/>
      <w:bookmarkEnd w:id="82"/>
      <w:bookmarkEnd w:id="83"/>
      <w:bookmarkEnd w:id="84"/>
      <w:bookmarkEnd w:id="85"/>
    </w:p>
    <w:p w14:paraId="0837201E" w14:textId="77777777" w:rsidR="009D0006" w:rsidRPr="00A32AA2" w:rsidRDefault="009D0006" w:rsidP="009D0006">
      <w:r w:rsidRPr="00CF5B24">
        <w:t xml:space="preserve">This </w:t>
      </w:r>
      <w:r>
        <w:t xml:space="preserve">report presents results from a secondary analysis of </w:t>
      </w:r>
      <w:r w:rsidRPr="00E551ED">
        <w:rPr>
          <w:i/>
          <w:iCs/>
        </w:rPr>
        <w:t>Writing Themselves In 4</w:t>
      </w:r>
      <w:r>
        <w:t xml:space="preserve"> and </w:t>
      </w:r>
      <w:r w:rsidRPr="00A32AA2">
        <w:rPr>
          <w:i/>
          <w:iCs/>
        </w:rPr>
        <w:t>Private Lives 3</w:t>
      </w:r>
      <w:r>
        <w:t xml:space="preserve">. These surveys focused on a broad LGBTQA+ population and covered a wide range of topics related to health and wellbeing, with some survey questions also asking about disability as well as experiences and challenges related to violence, harassment and abuse. Results from the secondary analysis therefore focused primarily on these and other questions that were relevant to this topic. For further details of the methodology of the original surveys, please see </w:t>
      </w:r>
      <w:r w:rsidRPr="00102EFD">
        <w:rPr>
          <w:color w:val="000000" w:themeColor="text1"/>
        </w:rPr>
        <w:t xml:space="preserve">the </w:t>
      </w:r>
      <w:hyperlink r:id="rId18" w:history="1">
        <w:r w:rsidRPr="009425C3">
          <w:rPr>
            <w:rStyle w:val="Hyperlink"/>
            <w:i/>
          </w:rPr>
          <w:t>Writing Themselves In 4</w:t>
        </w:r>
      </w:hyperlink>
      <w:r w:rsidRPr="00102EFD">
        <w:rPr>
          <w:color w:val="000000" w:themeColor="text1"/>
        </w:rPr>
        <w:t xml:space="preserve"> </w:t>
      </w:r>
      <w:r w:rsidRPr="00102EFD">
        <w:rPr>
          <w:color w:val="000000" w:themeColor="text1"/>
        </w:rPr>
        <w:fldChar w:fldCharType="begin"/>
      </w:r>
      <w:r>
        <w:rPr>
          <w:color w:val="000000" w:themeColor="text1"/>
        </w:rPr>
        <w:instrText xml:space="preserve"> ADDIN ZOTERO_ITEM CSL_CITATION {"citationID":"9ljiNEwK","properties":{"formattedCitation":"(1)","plainCitation":"(1)","noteIndex":0},"citationItems":[{"id":"hc6yy1rM/ZY4LR28S","uris":["http://zotero.org/users/4948307/items/7BM38QY5"],"itemData":{"id":3331,"type":"report","abstract":"The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102EFD">
        <w:rPr>
          <w:color w:val="000000" w:themeColor="text1"/>
        </w:rPr>
        <w:fldChar w:fldCharType="separate"/>
      </w:r>
      <w:r>
        <w:rPr>
          <w:lang w:val="en-GB"/>
        </w:rPr>
        <w:t>(1)</w:t>
      </w:r>
      <w:r w:rsidRPr="00102EFD">
        <w:rPr>
          <w:color w:val="000000" w:themeColor="text1"/>
        </w:rPr>
        <w:fldChar w:fldCharType="end"/>
      </w:r>
      <w:r w:rsidRPr="00102EFD">
        <w:rPr>
          <w:color w:val="000000" w:themeColor="text1"/>
        </w:rPr>
        <w:t xml:space="preserve"> and </w:t>
      </w:r>
      <w:hyperlink r:id="rId19" w:history="1">
        <w:r w:rsidRPr="009425C3">
          <w:rPr>
            <w:rStyle w:val="Hyperlink"/>
            <w:i/>
          </w:rPr>
          <w:t>Private Lives 3</w:t>
        </w:r>
      </w:hyperlink>
      <w:r w:rsidRPr="00102EFD">
        <w:rPr>
          <w:color w:val="000000" w:themeColor="text1"/>
        </w:rPr>
        <w:t xml:space="preserve"> </w:t>
      </w:r>
      <w:r w:rsidRPr="00102EFD">
        <w:rPr>
          <w:color w:val="000000" w:themeColor="text1"/>
        </w:rPr>
        <w:fldChar w:fldCharType="begin"/>
      </w:r>
      <w:r>
        <w:rPr>
          <w:color w:val="000000" w:themeColor="text1"/>
        </w:rPr>
        <w:instrText xml:space="preserve"> ADDIN ZOTERO_ITEM CSL_CITATION {"citationID":"WWT1N90F","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102EFD">
        <w:rPr>
          <w:color w:val="000000" w:themeColor="text1"/>
        </w:rPr>
        <w:fldChar w:fldCharType="separate"/>
      </w:r>
      <w:r>
        <w:rPr>
          <w:lang w:val="en-GB"/>
        </w:rPr>
        <w:t>(2)</w:t>
      </w:r>
      <w:r w:rsidRPr="00102EFD">
        <w:rPr>
          <w:color w:val="000000" w:themeColor="text1"/>
        </w:rPr>
        <w:fldChar w:fldCharType="end"/>
      </w:r>
      <w:r w:rsidRPr="00102EFD">
        <w:rPr>
          <w:color w:val="000000" w:themeColor="text1"/>
        </w:rPr>
        <w:t xml:space="preserve"> national reports. </w:t>
      </w:r>
    </w:p>
    <w:p w14:paraId="45D7DF90" w14:textId="77777777" w:rsidR="009D0006" w:rsidRDefault="009D0006" w:rsidP="009D0006">
      <w:pPr>
        <w:pStyle w:val="Heading2"/>
      </w:pPr>
      <w:bookmarkStart w:id="86" w:name="_Toc88231069"/>
      <w:bookmarkStart w:id="87" w:name="_Toc94627986"/>
      <w:bookmarkStart w:id="88" w:name="_Toc95318481"/>
      <w:bookmarkStart w:id="89" w:name="_Toc115968474"/>
      <w:bookmarkStart w:id="90" w:name="_Toc119662376"/>
      <w:r>
        <w:t>About the participants</w:t>
      </w:r>
      <w:bookmarkEnd w:id="86"/>
      <w:bookmarkEnd w:id="87"/>
      <w:bookmarkEnd w:id="88"/>
      <w:bookmarkEnd w:id="89"/>
      <w:bookmarkEnd w:id="90"/>
    </w:p>
    <w:p w14:paraId="05A867CA" w14:textId="77777777" w:rsidR="009D0006" w:rsidRDefault="009D0006" w:rsidP="009425C3">
      <w:pPr>
        <w:pStyle w:val="Bulletlist"/>
        <w:rPr>
          <w:lang w:val="en-GB"/>
        </w:rPr>
      </w:pPr>
      <w:r>
        <w:rPr>
          <w:lang w:val="en-GB"/>
        </w:rPr>
        <w:t xml:space="preserve">In total, 6418 participants completed the </w:t>
      </w:r>
      <w:r w:rsidRPr="00F03953">
        <w:rPr>
          <w:i/>
          <w:iCs/>
          <w:lang w:val="en-GB"/>
        </w:rPr>
        <w:t>Writing Themselves In 4</w:t>
      </w:r>
      <w:r>
        <w:rPr>
          <w:lang w:val="en-GB"/>
        </w:rPr>
        <w:t xml:space="preserve"> survey and 6835 completed the </w:t>
      </w:r>
      <w:r w:rsidRPr="00F03953">
        <w:rPr>
          <w:i/>
          <w:iCs/>
          <w:lang w:val="en-GB"/>
        </w:rPr>
        <w:t>Private Lives 3</w:t>
      </w:r>
      <w:r>
        <w:rPr>
          <w:lang w:val="en-GB"/>
        </w:rPr>
        <w:t xml:space="preserve"> survey. Of these samples, there were 2500 </w:t>
      </w:r>
      <w:r w:rsidRPr="005D64E7">
        <w:rPr>
          <w:b/>
          <w:bCs/>
          <w:lang w:val="en-GB"/>
        </w:rPr>
        <w:t xml:space="preserve">young people </w:t>
      </w:r>
      <w:r>
        <w:rPr>
          <w:lang w:val="en-GB"/>
        </w:rPr>
        <w:t xml:space="preserve">aged 14-21 years who reported a disability in </w:t>
      </w:r>
      <w:r w:rsidRPr="00F03953">
        <w:rPr>
          <w:i/>
          <w:iCs/>
          <w:lang w:val="en-GB"/>
        </w:rPr>
        <w:t>Writing Themselves In 4</w:t>
      </w:r>
      <w:r>
        <w:rPr>
          <w:i/>
          <w:iCs/>
          <w:lang w:val="en-GB"/>
        </w:rPr>
        <w:t xml:space="preserve"> </w:t>
      </w:r>
      <w:r>
        <w:rPr>
          <w:lang w:val="en-GB"/>
        </w:rPr>
        <w:t xml:space="preserve">and 2629 </w:t>
      </w:r>
      <w:r w:rsidRPr="005D64E7">
        <w:rPr>
          <w:b/>
          <w:bCs/>
          <w:lang w:val="en-GB"/>
        </w:rPr>
        <w:t>adults</w:t>
      </w:r>
      <w:r>
        <w:rPr>
          <w:lang w:val="en-GB"/>
        </w:rPr>
        <w:t xml:space="preserve"> aged 18+ years who reported a disability in </w:t>
      </w:r>
      <w:r w:rsidRPr="00F03953">
        <w:rPr>
          <w:i/>
          <w:iCs/>
          <w:lang w:val="en-GB"/>
        </w:rPr>
        <w:t>Private Lives 3</w:t>
      </w:r>
      <w:r>
        <w:rPr>
          <w:lang w:val="en-GB"/>
        </w:rPr>
        <w:t xml:space="preserve">. </w:t>
      </w:r>
    </w:p>
    <w:p w14:paraId="28A26702" w14:textId="77777777" w:rsidR="009D0006" w:rsidRDefault="009D0006" w:rsidP="009425C3">
      <w:pPr>
        <w:pStyle w:val="Bulletlist"/>
        <w:rPr>
          <w:lang w:val="en-GB"/>
        </w:rPr>
      </w:pPr>
      <w:r>
        <w:rPr>
          <w:lang w:val="en-GB"/>
        </w:rPr>
        <w:t>Participants with disability were from all states and territories and from across urban, regional and rural areas.</w:t>
      </w:r>
    </w:p>
    <w:p w14:paraId="79567B29" w14:textId="77777777" w:rsidR="009D0006" w:rsidRPr="003D73C1" w:rsidRDefault="009D0006" w:rsidP="009425C3">
      <w:pPr>
        <w:pStyle w:val="Bulletlist"/>
        <w:rPr>
          <w:lang w:val="en-GB"/>
        </w:rPr>
      </w:pPr>
      <w:r>
        <w:rPr>
          <w:lang w:val="en-GB"/>
        </w:rPr>
        <w:t xml:space="preserve">The mean age of </w:t>
      </w:r>
      <w:r w:rsidRPr="001B0B3E">
        <w:rPr>
          <w:b/>
          <w:bCs/>
          <w:lang w:val="en-GB"/>
        </w:rPr>
        <w:t>young people</w:t>
      </w:r>
      <w:r>
        <w:rPr>
          <w:lang w:val="en-GB"/>
        </w:rPr>
        <w:t xml:space="preserve"> with disability in </w:t>
      </w:r>
      <w:r w:rsidRPr="00F03953">
        <w:rPr>
          <w:i/>
          <w:iCs/>
          <w:lang w:val="en-GB"/>
        </w:rPr>
        <w:t>Writing Themselves In 4</w:t>
      </w:r>
      <w:r>
        <w:rPr>
          <w:i/>
          <w:iCs/>
          <w:lang w:val="en-GB"/>
        </w:rPr>
        <w:t xml:space="preserve"> </w:t>
      </w:r>
      <w:r>
        <w:rPr>
          <w:lang w:val="en-GB"/>
        </w:rPr>
        <w:t xml:space="preserve">was 17.6 years with ages ranging from 14 to 21 years. The mean age of </w:t>
      </w:r>
      <w:r w:rsidRPr="001B0B3E">
        <w:rPr>
          <w:b/>
          <w:bCs/>
          <w:lang w:val="en-GB"/>
        </w:rPr>
        <w:t>adults</w:t>
      </w:r>
      <w:r>
        <w:rPr>
          <w:lang w:val="en-GB"/>
        </w:rPr>
        <w:t xml:space="preserve"> with disability in in </w:t>
      </w:r>
      <w:r w:rsidRPr="00F03953">
        <w:rPr>
          <w:i/>
          <w:iCs/>
          <w:lang w:val="en-GB"/>
        </w:rPr>
        <w:t>Private Lives 3</w:t>
      </w:r>
      <w:r>
        <w:rPr>
          <w:lang w:val="en-GB"/>
        </w:rPr>
        <w:t xml:space="preserve"> was 32.9 years with ages ranging from 18 to 85 years. </w:t>
      </w:r>
    </w:p>
    <w:p w14:paraId="05BFC005" w14:textId="77777777" w:rsidR="009D0006" w:rsidRPr="00B13151" w:rsidRDefault="009D0006" w:rsidP="009425C3">
      <w:pPr>
        <w:pStyle w:val="Bulletlist"/>
      </w:pPr>
      <w:r w:rsidRPr="00B13151">
        <w:t xml:space="preserve">In </w:t>
      </w:r>
      <w:r w:rsidRPr="00B13151">
        <w:rPr>
          <w:i/>
          <w:iCs/>
        </w:rPr>
        <w:t>Writing Themselves In 4</w:t>
      </w:r>
      <w:r w:rsidRPr="00B13151">
        <w:t xml:space="preserve">, participants were categorised by </w:t>
      </w:r>
      <w:r>
        <w:t xml:space="preserve">the following disability groupings informed by the </w:t>
      </w:r>
      <w:r>
        <w:rPr>
          <w:i/>
          <w:iCs/>
        </w:rPr>
        <w:t xml:space="preserve">Writing Themselves In 4 </w:t>
      </w:r>
      <w:r w:rsidRPr="001B0B3E">
        <w:t>Disability A</w:t>
      </w:r>
      <w:r>
        <w:t>dvisory Group</w:t>
      </w:r>
      <w:r w:rsidRPr="006A15B8">
        <w:t>.</w:t>
      </w:r>
      <w:r w:rsidRPr="00B13151">
        <w:t xml:space="preserve"> Among </w:t>
      </w:r>
      <w:r w:rsidRPr="00083BBF">
        <w:rPr>
          <w:b/>
          <w:bCs/>
        </w:rPr>
        <w:t>young people</w:t>
      </w:r>
      <w:r w:rsidRPr="00B13151">
        <w:t xml:space="preserve"> with disability, approximately one-third (34.6%) reported </w:t>
      </w:r>
      <w:r>
        <w:t>autism/neurodiversity</w:t>
      </w:r>
      <w:r w:rsidRPr="00B13151">
        <w:t xml:space="preserve">, 16.9% physical disability, 16.8% sensory disability and 13.9% intellectual disability. </w:t>
      </w:r>
    </w:p>
    <w:p w14:paraId="2836377D" w14:textId="77777777" w:rsidR="009D0006" w:rsidRPr="00B13151" w:rsidRDefault="009D0006" w:rsidP="009425C3">
      <w:pPr>
        <w:pStyle w:val="Bulletlist"/>
      </w:pPr>
      <w:r w:rsidRPr="00B13151">
        <w:t xml:space="preserve">In </w:t>
      </w:r>
      <w:r w:rsidRPr="00B13151">
        <w:rPr>
          <w:i/>
          <w:iCs/>
        </w:rPr>
        <w:t>Private Lives 3</w:t>
      </w:r>
      <w:r w:rsidRPr="00B13151">
        <w:t xml:space="preserve">, participants were categorised according to the classifications provided by the Australian Institute of Health and Welfare’s </w:t>
      </w:r>
      <w:r w:rsidRPr="00B13151">
        <w:rPr>
          <w:i/>
          <w:iCs/>
        </w:rPr>
        <w:t>Standardised Disability Flag Module</w:t>
      </w:r>
      <w:r>
        <w:rPr>
          <w:i/>
          <w:iCs/>
        </w:rPr>
        <w:t xml:space="preserve"> </w:t>
      </w:r>
      <w:r w:rsidRPr="00222E85">
        <w:t>(</w:t>
      </w:r>
      <w:r>
        <w:t>hereafter the ‘Disability Flag’</w:t>
      </w:r>
      <w:r w:rsidRPr="00222E85">
        <w:t>)</w:t>
      </w:r>
      <w:r w:rsidRPr="00B13151">
        <w:t xml:space="preserve">. </w:t>
      </w:r>
      <w:r w:rsidRPr="00814E49">
        <w:t xml:space="preserve">In total, almost </w:t>
      </w:r>
      <w:r>
        <w:t>two-fifths</w:t>
      </w:r>
      <w:r w:rsidRPr="00814E49">
        <w:t xml:space="preserve"> (38.5%) </w:t>
      </w:r>
      <w:r>
        <w:t xml:space="preserve">of </w:t>
      </w:r>
      <w:r w:rsidRPr="001B0B3E">
        <w:rPr>
          <w:b/>
          <w:bCs/>
        </w:rPr>
        <w:t>adults</w:t>
      </w:r>
      <w:r>
        <w:t xml:space="preserve"> aged 18+ years </w:t>
      </w:r>
      <w:r w:rsidRPr="00814E49">
        <w:t xml:space="preserve">reported experiences categorised by the </w:t>
      </w:r>
      <w:r>
        <w:t>Disability Flag</w:t>
      </w:r>
      <w:r w:rsidRPr="00814E49">
        <w:t xml:space="preserve"> as having disability</w:t>
      </w:r>
      <w:r>
        <w:t>.</w:t>
      </w:r>
      <w:r w:rsidRPr="00814E49">
        <w:t xml:space="preserve"> </w:t>
      </w:r>
      <w:r>
        <w:t>According to the Disability Flag</w:t>
      </w:r>
      <w:r w:rsidRPr="00814E49">
        <w:t xml:space="preserve"> </w:t>
      </w:r>
      <w:r>
        <w:t>categories, o</w:t>
      </w:r>
      <w:r w:rsidRPr="00814E49">
        <w:t>ne</w:t>
      </w:r>
      <w:r>
        <w:t xml:space="preserve">-tenth </w:t>
      </w:r>
      <w:r w:rsidRPr="00814E49">
        <w:t>(11.8</w:t>
      </w:r>
      <w:r>
        <w:t>%</w:t>
      </w:r>
      <w:r w:rsidRPr="00814E49">
        <w:t xml:space="preserve">) reported severe disability, 20.4% moderate disability and 6.4% mild disability. </w:t>
      </w:r>
    </w:p>
    <w:p w14:paraId="42FB8EAD" w14:textId="77777777" w:rsidR="009D0006" w:rsidRPr="00EB0D2E" w:rsidRDefault="009D0006" w:rsidP="009D0006">
      <w:bookmarkStart w:id="91" w:name="_Toc88231070"/>
      <w:bookmarkStart w:id="92" w:name="_Toc94627987"/>
      <w:r w:rsidRPr="005D64E7">
        <w:rPr>
          <w:b/>
          <w:bCs/>
          <w:u w:val="single"/>
        </w:rPr>
        <w:lastRenderedPageBreak/>
        <w:t>Note</w:t>
      </w:r>
      <w:r>
        <w:t xml:space="preserve">. </w:t>
      </w:r>
      <w:r w:rsidRPr="006E4CDB">
        <w:t xml:space="preserve">The Disability Flag is based on the International Classification of Functioning, Disability and Health, a classification of health domains put forward by the World Health Organisation. It is intended for use across a wide range of sectors, enabling nationally consistent collection of information used to identify people with disabilities or long-term health conditions who experience difficulties or need assistance in various areas of their life. </w:t>
      </w:r>
      <w:r>
        <w:t xml:space="preserve">However, the categorisation that arises from using the tool </w:t>
      </w:r>
      <w:r w:rsidRPr="006E4CDB">
        <w:t xml:space="preserve">may not </w:t>
      </w:r>
      <w:r>
        <w:t>reflect</w:t>
      </w:r>
      <w:r w:rsidRPr="006E4CDB">
        <w:t xml:space="preserve"> how </w:t>
      </w:r>
      <w:r>
        <w:t>people with disability</w:t>
      </w:r>
      <w:r w:rsidRPr="006E4CDB">
        <w:t xml:space="preserve"> would describe their own disability in </w:t>
      </w:r>
      <w:r>
        <w:t>their own words</w:t>
      </w:r>
      <w:r w:rsidRPr="006E4CDB">
        <w:t xml:space="preserve">. As such, it may not accurately reflect or correspond with </w:t>
      </w:r>
      <w:r w:rsidRPr="003C38A3">
        <w:t>how structural and systemic barriers influence, impact or cause some of the limitations and restrictions reported by people with disabilities or long-term health conditions through the Disability Flag.</w:t>
      </w:r>
      <w:r w:rsidRPr="006E4CDB">
        <w:t xml:space="preserve"> </w:t>
      </w:r>
      <w:r>
        <w:t xml:space="preserve">For further discussion of this point, see Chapter 2. </w:t>
      </w:r>
    </w:p>
    <w:p w14:paraId="479D5BA3" w14:textId="77777777" w:rsidR="009D0006" w:rsidRDefault="009D0006" w:rsidP="009D0006">
      <w:pPr>
        <w:pStyle w:val="Heading2"/>
      </w:pPr>
      <w:bookmarkStart w:id="93" w:name="_Toc95318482"/>
      <w:bookmarkStart w:id="94" w:name="_Toc115968475"/>
      <w:bookmarkStart w:id="95" w:name="_Toc119662377"/>
      <w:r>
        <w:t>Disclosure, support and acceptance</w:t>
      </w:r>
      <w:bookmarkEnd w:id="91"/>
      <w:bookmarkEnd w:id="92"/>
      <w:bookmarkEnd w:id="93"/>
      <w:bookmarkEnd w:id="94"/>
      <w:bookmarkEnd w:id="95"/>
    </w:p>
    <w:p w14:paraId="7AD15F6B" w14:textId="77777777" w:rsidR="009D0006" w:rsidRDefault="009D0006" w:rsidP="009425C3">
      <w:pPr>
        <w:pStyle w:val="Bulletlist"/>
        <w:rPr>
          <w:lang w:val="en-GB"/>
        </w:rPr>
      </w:pPr>
      <w:r>
        <w:rPr>
          <w:lang w:val="en-GB"/>
        </w:rPr>
        <w:t xml:space="preserve">Among </w:t>
      </w:r>
      <w:r w:rsidRPr="001B0B3E">
        <w:rPr>
          <w:b/>
          <w:bCs/>
          <w:lang w:val="en-GB"/>
        </w:rPr>
        <w:t>young people</w:t>
      </w:r>
      <w:r>
        <w:rPr>
          <w:lang w:val="en-GB"/>
        </w:rPr>
        <w:t xml:space="preserve"> with disability, relatively small proportions had fully disclosed their sexual orientation or gender identity to people in their lives. Overall, 31.1% had disclosed to most or all of their family</w:t>
      </w:r>
      <w:r>
        <w:rPr>
          <w:rStyle w:val="FootnoteReference"/>
          <w:lang w:val="en-GB"/>
        </w:rPr>
        <w:footnoteReference w:id="1"/>
      </w:r>
      <w:r>
        <w:rPr>
          <w:lang w:val="en-GB"/>
        </w:rPr>
        <w:t xml:space="preserve"> and 70.7% to most or all of their friends. Of those who disclosed to family or friends, 56.7% felt that their families were supportive and 89.8% said that their friends were supportive.</w:t>
      </w:r>
    </w:p>
    <w:p w14:paraId="4D467897" w14:textId="77777777" w:rsidR="009D0006" w:rsidRDefault="009D0006" w:rsidP="009425C3">
      <w:pPr>
        <w:pStyle w:val="Bulletlist"/>
        <w:rPr>
          <w:lang w:val="en-GB"/>
        </w:rPr>
      </w:pPr>
      <w:r>
        <w:rPr>
          <w:lang w:val="en-GB"/>
        </w:rPr>
        <w:t xml:space="preserve">Among </w:t>
      </w:r>
      <w:r w:rsidRPr="001B0B3E">
        <w:rPr>
          <w:b/>
          <w:lang w:val="en-GB"/>
        </w:rPr>
        <w:t>adults</w:t>
      </w:r>
      <w:r>
        <w:rPr>
          <w:lang w:val="en-GB"/>
        </w:rPr>
        <w:t xml:space="preserve"> with disability, 59.5% </w:t>
      </w:r>
      <w:r>
        <w:t xml:space="preserve">felt accepted at an LGBTIQ event or venue. Less than half felt accepted in a range of other settings, including 45.9% at work, 46.2% at an education institution, 43.2% with family members and 34.5% when accessing a health or support service. </w:t>
      </w:r>
    </w:p>
    <w:p w14:paraId="238D2847" w14:textId="77777777" w:rsidR="009D0006" w:rsidRDefault="009D0006" w:rsidP="009D0006">
      <w:pPr>
        <w:pStyle w:val="Heading2"/>
      </w:pPr>
      <w:bookmarkStart w:id="96" w:name="_Toc88231071"/>
      <w:bookmarkStart w:id="97" w:name="_Toc94627988"/>
      <w:bookmarkStart w:id="98" w:name="_Toc95318483"/>
      <w:bookmarkStart w:id="99" w:name="_Toc115968476"/>
      <w:bookmarkStart w:id="100" w:name="_Toc119662378"/>
      <w:r>
        <w:t>Safety in educational settings</w:t>
      </w:r>
      <w:bookmarkEnd w:id="96"/>
      <w:bookmarkEnd w:id="97"/>
      <w:bookmarkEnd w:id="98"/>
      <w:bookmarkEnd w:id="99"/>
      <w:bookmarkEnd w:id="100"/>
    </w:p>
    <w:p w14:paraId="794EE316" w14:textId="77777777" w:rsidR="009D0006" w:rsidRDefault="009D0006" w:rsidP="009425C3">
      <w:pPr>
        <w:pStyle w:val="Bulletlist"/>
        <w:rPr>
          <w:lang w:val="en-GB"/>
        </w:rPr>
      </w:pPr>
      <w:r>
        <w:rPr>
          <w:lang w:val="en-GB"/>
        </w:rPr>
        <w:t xml:space="preserve">Of the </w:t>
      </w:r>
      <w:r w:rsidRPr="001B0B3E">
        <w:rPr>
          <w:b/>
          <w:bCs/>
          <w:lang w:val="en-GB"/>
        </w:rPr>
        <w:t>young people</w:t>
      </w:r>
      <w:r>
        <w:rPr>
          <w:lang w:val="en-GB"/>
        </w:rPr>
        <w:t xml:space="preserve"> with disability who were involved in education, 56.7% reported feeling unsafe or uncomfortable in their educational setting (secondary school, TAFE or university) due to their sexuality or gender identity. This compared to 45.1% of those without disability. Young people who reported </w:t>
      </w:r>
      <w:r>
        <w:rPr>
          <w:lang w:val="en-GB"/>
        </w:rPr>
        <w:lastRenderedPageBreak/>
        <w:t xml:space="preserve">autism/neurodiversity with intellectual disability felt the least safe or comfortable, with 67.9% feeling this way. </w:t>
      </w:r>
    </w:p>
    <w:p w14:paraId="626AC524" w14:textId="77777777" w:rsidR="009D0006" w:rsidRPr="00AD0940" w:rsidRDefault="009D0006" w:rsidP="009425C3">
      <w:pPr>
        <w:pStyle w:val="Bulletlist"/>
        <w:rPr>
          <w:lang w:val="en-GB"/>
        </w:rPr>
      </w:pPr>
      <w:r w:rsidRPr="00AD0940">
        <w:rPr>
          <w:lang w:val="en-GB"/>
        </w:rPr>
        <w:t>Feeling unsafe or uncomfortable was more common at secondary school than TAFE or university.</w:t>
      </w:r>
      <w:r>
        <w:rPr>
          <w:lang w:val="en-GB"/>
        </w:rPr>
        <w:t xml:space="preserve"> </w:t>
      </w:r>
      <w:r w:rsidRPr="00AD0940">
        <w:rPr>
          <w:lang w:val="en-GB"/>
        </w:rPr>
        <w:t xml:space="preserve">Overall, of </w:t>
      </w:r>
      <w:r>
        <w:rPr>
          <w:lang w:val="en-GB"/>
        </w:rPr>
        <w:t xml:space="preserve">the </w:t>
      </w:r>
      <w:r w:rsidRPr="001B0B3E">
        <w:rPr>
          <w:b/>
          <w:bCs/>
          <w:lang w:val="en-GB"/>
        </w:rPr>
        <w:t>young people</w:t>
      </w:r>
      <w:r>
        <w:rPr>
          <w:lang w:val="en-GB"/>
        </w:rPr>
        <w:t xml:space="preserve"> with disability, 50.9</w:t>
      </w:r>
      <w:r w:rsidRPr="00AD0940">
        <w:rPr>
          <w:lang w:val="en-GB"/>
        </w:rPr>
        <w:t xml:space="preserve">% </w:t>
      </w:r>
      <w:r>
        <w:rPr>
          <w:lang w:val="en-GB"/>
        </w:rPr>
        <w:t xml:space="preserve">of those at secondary school, 41.0% of those at TAFE and 26.6% of those at university missed </w:t>
      </w:r>
      <w:r w:rsidRPr="00AD0940">
        <w:rPr>
          <w:lang w:val="en-GB"/>
        </w:rPr>
        <w:t xml:space="preserve">at least one day </w:t>
      </w:r>
      <w:r>
        <w:rPr>
          <w:lang w:val="en-GB"/>
        </w:rPr>
        <w:t xml:space="preserve">at their educational setting </w:t>
      </w:r>
      <w:r w:rsidRPr="00AD0940">
        <w:rPr>
          <w:lang w:val="en-GB"/>
        </w:rPr>
        <w:t xml:space="preserve">in the past 12 months due to feeling unsafe or uncomfortable. </w:t>
      </w:r>
      <w:r>
        <w:rPr>
          <w:lang w:val="en-GB"/>
        </w:rPr>
        <w:t xml:space="preserve">Across educational settings, 25.4% of those without disability reported missing at least one day </w:t>
      </w:r>
      <w:r w:rsidRPr="00AD0940">
        <w:rPr>
          <w:lang w:val="en-GB"/>
        </w:rPr>
        <w:t>due to feeling unsafe or uncomfortable</w:t>
      </w:r>
      <w:r>
        <w:rPr>
          <w:lang w:val="en-GB"/>
        </w:rPr>
        <w:t>.</w:t>
      </w:r>
    </w:p>
    <w:p w14:paraId="3519E38D" w14:textId="77777777" w:rsidR="009D0006" w:rsidRDefault="009D0006" w:rsidP="009D0006">
      <w:pPr>
        <w:pStyle w:val="Heading2"/>
      </w:pPr>
      <w:bookmarkStart w:id="101" w:name="_Toc88231072"/>
      <w:bookmarkStart w:id="102" w:name="_Toc94627989"/>
      <w:bookmarkStart w:id="103" w:name="_Toc95318484"/>
      <w:bookmarkStart w:id="104" w:name="_Toc115968477"/>
      <w:bookmarkStart w:id="105" w:name="_Toc119662379"/>
      <w:r>
        <w:t>Experiences of harassment, abuse and discrimination</w:t>
      </w:r>
      <w:bookmarkEnd w:id="101"/>
      <w:bookmarkEnd w:id="102"/>
      <w:bookmarkEnd w:id="103"/>
      <w:bookmarkEnd w:id="104"/>
      <w:bookmarkEnd w:id="105"/>
    </w:p>
    <w:p w14:paraId="3D3B5A29" w14:textId="77777777" w:rsidR="009D0006" w:rsidRDefault="009D0006" w:rsidP="009425C3">
      <w:pPr>
        <w:pStyle w:val="Bulletlist"/>
      </w:pPr>
      <w:r>
        <w:t xml:space="preserve">More than half, or 52.7%, of the </w:t>
      </w:r>
      <w:r w:rsidRPr="001B0B3E">
        <w:rPr>
          <w:b/>
          <w:bCs/>
        </w:rPr>
        <w:t>young people</w:t>
      </w:r>
      <w:r>
        <w:t xml:space="preserve"> with disability reported experiencing verbal harassment due to their sexuality or gender identity in the past 12 months. This compared to 34.7% of the young people without disability. </w:t>
      </w:r>
    </w:p>
    <w:p w14:paraId="28FEAABE" w14:textId="77777777" w:rsidR="009D0006" w:rsidRDefault="009D0006" w:rsidP="009425C3">
      <w:pPr>
        <w:pStyle w:val="Bulletlist"/>
      </w:pPr>
      <w:r>
        <w:t xml:space="preserve">Likewise, 15.0% of the </w:t>
      </w:r>
      <w:r w:rsidRPr="001B0B3E">
        <w:rPr>
          <w:b/>
          <w:bCs/>
        </w:rPr>
        <w:t>young people</w:t>
      </w:r>
      <w:r>
        <w:t xml:space="preserve"> with disability reported physical harassment due to their sexuality or gender identity in the past 12 month compared to 7.5% of those without disability. </w:t>
      </w:r>
    </w:p>
    <w:p w14:paraId="4CE8F850" w14:textId="77777777" w:rsidR="009D0006" w:rsidRDefault="009D0006" w:rsidP="009425C3">
      <w:pPr>
        <w:pStyle w:val="Bulletlist"/>
      </w:pPr>
      <w:r>
        <w:t xml:space="preserve">Almost one-third, or 31.7%, of the </w:t>
      </w:r>
      <w:r w:rsidRPr="001B0B3E">
        <w:rPr>
          <w:b/>
          <w:bCs/>
        </w:rPr>
        <w:t>young people</w:t>
      </w:r>
      <w:r>
        <w:t xml:space="preserve"> with disability reported sexual harassment or assault compared to 18.5% of those without disability. </w:t>
      </w:r>
    </w:p>
    <w:p w14:paraId="208B053B" w14:textId="77777777" w:rsidR="009D0006" w:rsidRDefault="009D0006" w:rsidP="009425C3">
      <w:pPr>
        <w:pStyle w:val="Bulletlist"/>
      </w:pPr>
      <w:r>
        <w:t xml:space="preserve">Among </w:t>
      </w:r>
      <w:r w:rsidRPr="001B0B3E">
        <w:rPr>
          <w:b/>
          <w:bCs/>
        </w:rPr>
        <w:t>adults</w:t>
      </w:r>
      <w:r>
        <w:t xml:space="preserve"> with disability, 34.8% of participants categorised by the Disability Flag with mild disability, 41.6% of those categorised with moderate disability and 58.1% of those categorised with severe disability reported experiencing verbal abuse due to their sexual orientation or gender in the past 12 months. This compared to 31.7% of those without disability.  </w:t>
      </w:r>
    </w:p>
    <w:p w14:paraId="10547F0E" w14:textId="77777777" w:rsidR="009D0006" w:rsidRDefault="009D0006" w:rsidP="009425C3">
      <w:pPr>
        <w:pStyle w:val="Bulletlist"/>
      </w:pPr>
      <w:r>
        <w:t xml:space="preserve">Among </w:t>
      </w:r>
      <w:r w:rsidRPr="001B0B3E">
        <w:rPr>
          <w:b/>
          <w:bCs/>
        </w:rPr>
        <w:t>adults</w:t>
      </w:r>
      <w:r>
        <w:t xml:space="preserve">, 26.2% of participants categorised by the Disability Flag with mild disability, 29.0% of those categorised with moderate disability and 36.1% of those categorised with severe disability reported experiencing harassment due to their sexual orientation or gender in the past 12 months. This compared to 18.7% of those without disability.  </w:t>
      </w:r>
    </w:p>
    <w:p w14:paraId="149AEEAA" w14:textId="77777777" w:rsidR="009D0006" w:rsidRDefault="009D0006" w:rsidP="009425C3">
      <w:pPr>
        <w:pStyle w:val="Bulletlist"/>
      </w:pPr>
      <w:r>
        <w:t xml:space="preserve">Overall, 14.0% of the </w:t>
      </w:r>
      <w:r w:rsidRPr="001B0B3E">
        <w:rPr>
          <w:b/>
          <w:bCs/>
        </w:rPr>
        <w:t>adults</w:t>
      </w:r>
      <w:r>
        <w:t xml:space="preserve"> categorised by the Disability Flag with mild disability, 15.8% of those categorised with moderate disability and 22.2% of those </w:t>
      </w:r>
      <w:r>
        <w:lastRenderedPageBreak/>
        <w:t xml:space="preserve">categorised with severe disability reported experiencing sexual harassment or assault in the past 12 months. This compared to 7.8% of those without disability.  </w:t>
      </w:r>
    </w:p>
    <w:p w14:paraId="16C2BA8A" w14:textId="77777777" w:rsidR="009D0006" w:rsidRDefault="009D0006" w:rsidP="009D0006">
      <w:pPr>
        <w:pStyle w:val="Heading2"/>
      </w:pPr>
      <w:bookmarkStart w:id="106" w:name="_Toc88231073"/>
      <w:bookmarkStart w:id="107" w:name="_Toc94627990"/>
      <w:bookmarkStart w:id="108" w:name="_Toc95318485"/>
      <w:bookmarkStart w:id="109" w:name="_Toc115968478"/>
      <w:bookmarkStart w:id="110" w:name="_Toc119662380"/>
      <w:r>
        <w:t>Family violence</w:t>
      </w:r>
      <w:bookmarkEnd w:id="106"/>
      <w:bookmarkEnd w:id="107"/>
      <w:bookmarkEnd w:id="108"/>
      <w:bookmarkEnd w:id="109"/>
      <w:bookmarkEnd w:id="110"/>
    </w:p>
    <w:p w14:paraId="477AFE40" w14:textId="77777777" w:rsidR="009D0006" w:rsidRPr="00F164F8" w:rsidRDefault="009D0006" w:rsidP="009425C3">
      <w:pPr>
        <w:pStyle w:val="Bulletlist"/>
      </w:pPr>
      <w:r w:rsidRPr="00F164F8">
        <w:t xml:space="preserve">Participants in </w:t>
      </w:r>
      <w:r w:rsidRPr="00F164F8">
        <w:rPr>
          <w:i/>
          <w:iCs/>
        </w:rPr>
        <w:t>Private Lives 3</w:t>
      </w:r>
      <w:r w:rsidRPr="00F164F8">
        <w:t xml:space="preserve"> were asked about experiences of violence or abuse from an intimate partner. Overall, 67.3% of the </w:t>
      </w:r>
      <w:r w:rsidRPr="00F164F8">
        <w:rPr>
          <w:b/>
          <w:bCs/>
        </w:rPr>
        <w:t>adults</w:t>
      </w:r>
      <w:r w:rsidRPr="00F164F8">
        <w:t xml:space="preserve"> categorised by the Disability Flag with mild disability, 69.3% of those categorised with moderate disability and 73.0% of those categorised with severe disability reported ever experiencing violence from an intimate partner. This compared to 54.6% of those without disability. </w:t>
      </w:r>
    </w:p>
    <w:p w14:paraId="5478A6FB" w14:textId="77777777" w:rsidR="009D0006" w:rsidRPr="00F164F8" w:rsidRDefault="009D0006" w:rsidP="009425C3">
      <w:pPr>
        <w:pStyle w:val="Bulletlist"/>
      </w:pPr>
      <w:r w:rsidRPr="00F164F8">
        <w:t xml:space="preserve">Reports of violence from a family member were similarly high among </w:t>
      </w:r>
      <w:r w:rsidRPr="00F164F8">
        <w:rPr>
          <w:b/>
          <w:bCs/>
        </w:rPr>
        <w:t>adults</w:t>
      </w:r>
      <w:r w:rsidRPr="00F164F8">
        <w:t xml:space="preserve"> with disability. Overall, 69.1% of the adults categorised by the Disability Flag with mild disability, 78.4% of those categorised with moderate disability and 81.4% of those categorised with severe disability reported having ever experienced violence from a family member. This compared to 55.6% of those without disability. </w:t>
      </w:r>
    </w:p>
    <w:p w14:paraId="33AABAD5" w14:textId="77777777" w:rsidR="009D0006" w:rsidRDefault="009D0006" w:rsidP="009425C3">
      <w:pPr>
        <w:pStyle w:val="Bulletlist"/>
        <w:rPr>
          <w:lang w:eastAsia="en-GB"/>
        </w:rPr>
      </w:pPr>
      <w:r w:rsidRPr="00DE0977">
        <w:rPr>
          <w:lang w:eastAsia="en-GB"/>
        </w:rPr>
        <w:t xml:space="preserve">More than two-thirds, or 67.5%, of the </w:t>
      </w:r>
      <w:r w:rsidRPr="001B0B3E">
        <w:rPr>
          <w:b/>
          <w:bCs/>
          <w:lang w:eastAsia="en-GB"/>
        </w:rPr>
        <w:t>adults</w:t>
      </w:r>
      <w:r w:rsidRPr="00DE0977">
        <w:rPr>
          <w:lang w:eastAsia="en-GB"/>
        </w:rPr>
        <w:t xml:space="preserve"> with disability </w:t>
      </w:r>
      <w:r w:rsidRPr="00DE0977">
        <w:t xml:space="preserve">who had experienced violence </w:t>
      </w:r>
      <w:r>
        <w:t xml:space="preserve">from an intimate partner or family member </w:t>
      </w:r>
      <w:r w:rsidRPr="00DE0977">
        <w:t xml:space="preserve">did not report their most recent experience of violence to </w:t>
      </w:r>
      <w:r>
        <w:t>a</w:t>
      </w:r>
      <w:r w:rsidRPr="00DE0977">
        <w:t xml:space="preserve"> professional service</w:t>
      </w:r>
      <w:r>
        <w:rPr>
          <w:lang w:eastAsia="en-GB"/>
        </w:rPr>
        <w:t>.</w:t>
      </w:r>
    </w:p>
    <w:p w14:paraId="37CE5A71" w14:textId="77777777" w:rsidR="009D0006" w:rsidRDefault="009D0006" w:rsidP="009425C3">
      <w:pPr>
        <w:pStyle w:val="Bulletlist"/>
      </w:pPr>
      <w:r>
        <w:t xml:space="preserve">Regarding sexual harassment or assault, 6.9% of the </w:t>
      </w:r>
      <w:r w:rsidRPr="001B0B3E">
        <w:rPr>
          <w:b/>
          <w:bCs/>
        </w:rPr>
        <w:t>adults</w:t>
      </w:r>
      <w:r>
        <w:t xml:space="preserve"> categorised by the Disability Flag with mild disability, 11.2% of those categorised with moderate disability and 16.1% of those categorised with severe disability reported having experienced sexual harassment or assault in the past 12 months. This compared to 6.7% of those without disability. </w:t>
      </w:r>
      <w:bookmarkStart w:id="111" w:name="_Toc88231074"/>
    </w:p>
    <w:p w14:paraId="02706B75" w14:textId="77777777" w:rsidR="009D0006" w:rsidRDefault="009D0006" w:rsidP="0046729C">
      <w:pPr>
        <w:pStyle w:val="Bulletlist"/>
      </w:pPr>
      <w:r w:rsidRPr="008160AB">
        <w:t xml:space="preserve">The experience of </w:t>
      </w:r>
      <w:r>
        <w:t>family</w:t>
      </w:r>
      <w:r w:rsidRPr="008160AB">
        <w:t xml:space="preserve"> violence was more common among </w:t>
      </w:r>
      <w:r>
        <w:t xml:space="preserve">non-binary people (85.4%), trans men (83.6%) and trans women (77.7%) as compared to cisgender women (76.5%) or cisgender men (70.2%). </w:t>
      </w:r>
    </w:p>
    <w:p w14:paraId="2DD72924" w14:textId="77777777" w:rsidR="009D0006" w:rsidRDefault="009D0006" w:rsidP="0046729C">
      <w:pPr>
        <w:pStyle w:val="Bulletlist"/>
      </w:pPr>
      <w:r>
        <w:t>Violence experienced from an intimate partner was broadly similar regardless of gender identity, ranging from 66.9% among trans women to 75.2% among non-binary participants</w:t>
      </w:r>
    </w:p>
    <w:p w14:paraId="3252286B" w14:textId="77777777" w:rsidR="009D0006" w:rsidRPr="008160AB" w:rsidRDefault="009D0006" w:rsidP="0046729C">
      <w:pPr>
        <w:pStyle w:val="Bulletlist"/>
      </w:pPr>
      <w:r>
        <w:t>Participants with disability from multicultural backgrounds were more likely than those from Anglo-Celtic backgrounds to report experiencing violence from a family member (81.3% versus 75.5%)</w:t>
      </w:r>
    </w:p>
    <w:p w14:paraId="3C1F891F" w14:textId="77777777" w:rsidR="009D0006" w:rsidRDefault="009D0006" w:rsidP="009D0006">
      <w:pPr>
        <w:pStyle w:val="Heading2"/>
      </w:pPr>
      <w:bookmarkStart w:id="112" w:name="_Toc115968479"/>
      <w:bookmarkStart w:id="113" w:name="_Toc119662381"/>
      <w:bookmarkStart w:id="114" w:name="_Toc94627991"/>
      <w:bookmarkStart w:id="115" w:name="_Toc95318486"/>
      <w:r>
        <w:lastRenderedPageBreak/>
        <w:t>Mental health and suicidality</w:t>
      </w:r>
      <w:bookmarkEnd w:id="112"/>
      <w:bookmarkEnd w:id="113"/>
      <w:r>
        <w:t xml:space="preserve"> </w:t>
      </w:r>
      <w:bookmarkEnd w:id="111"/>
      <w:bookmarkEnd w:id="114"/>
      <w:bookmarkEnd w:id="115"/>
    </w:p>
    <w:p w14:paraId="20DC4FCB" w14:textId="77777777" w:rsidR="009D0006" w:rsidRPr="000237E7" w:rsidRDefault="009D0006" w:rsidP="009425C3">
      <w:pPr>
        <w:pStyle w:val="Bulletlist"/>
      </w:pPr>
      <w:r>
        <w:t xml:space="preserve">Among the </w:t>
      </w:r>
      <w:r w:rsidRPr="001B0B3E">
        <w:rPr>
          <w:b/>
          <w:bCs/>
        </w:rPr>
        <w:t>young people</w:t>
      </w:r>
      <w:r>
        <w:t xml:space="preserve"> with disability, 90.9% reported high or very high levels of psychological distress in the past 4 weeks. This compared to 70.6% of those without disability.</w:t>
      </w:r>
    </w:p>
    <w:p w14:paraId="3EEDD6F1" w14:textId="77777777" w:rsidR="009D0006" w:rsidRPr="000237E7" w:rsidRDefault="009D0006" w:rsidP="009425C3">
      <w:pPr>
        <w:pStyle w:val="Bulletlist"/>
      </w:pPr>
      <w:r>
        <w:t xml:space="preserve">Among the </w:t>
      </w:r>
      <w:r w:rsidRPr="001B0B3E">
        <w:rPr>
          <w:b/>
          <w:bCs/>
        </w:rPr>
        <w:t>adults</w:t>
      </w:r>
      <w:r>
        <w:t xml:space="preserve"> with disability, 64.4% of those categorised by the Disability Flag with mild disability, 77.1% of those categorised with moderate disability and 86.8% of those categorised with severe disability reported high or very high levels of psychological distress in the past 4 weeks. This compared to 41.7% of those without disability. </w:t>
      </w:r>
    </w:p>
    <w:p w14:paraId="455BBE3B" w14:textId="77777777" w:rsidR="009D0006" w:rsidRDefault="009D0006" w:rsidP="009425C3">
      <w:pPr>
        <w:pStyle w:val="Bulletlist"/>
      </w:pPr>
      <w:r>
        <w:t xml:space="preserve">Almost 1 in 6, or 15.0%, of the </w:t>
      </w:r>
      <w:r w:rsidRPr="001B0B3E">
        <w:rPr>
          <w:b/>
          <w:bCs/>
        </w:rPr>
        <w:t>young people</w:t>
      </w:r>
      <w:r>
        <w:t xml:space="preserve"> with disability reported attempting suicide in the past 12 months and 39.8% reported attempting suicide at some stage during their lives. This compared to 6.0% of those without disability who reported attempting suicide in the past 12 months and 15.7% at some stage in their lives.</w:t>
      </w:r>
    </w:p>
    <w:p w14:paraId="6B9DBFBD" w14:textId="77777777" w:rsidR="009D0006" w:rsidRDefault="009D0006" w:rsidP="009425C3">
      <w:pPr>
        <w:pStyle w:val="Bulletlist"/>
      </w:pPr>
      <w:r>
        <w:t xml:space="preserve">Of the </w:t>
      </w:r>
      <w:r w:rsidRPr="001B0B3E">
        <w:rPr>
          <w:b/>
          <w:bCs/>
        </w:rPr>
        <w:t>adults</w:t>
      </w:r>
      <w:r>
        <w:t xml:space="preserve"> with disability, 5.0% of those categorised by the Disability Flag with mild disability, 7.0% of those categorised with moderate disability and 12.4% of those categorised with severe disability reported attempting suicide in the past 12 months. This compared to 2.6% of those without disability.</w:t>
      </w:r>
    </w:p>
    <w:p w14:paraId="1DD19B7D" w14:textId="77777777" w:rsidR="009D0006" w:rsidRDefault="009D0006" w:rsidP="009425C3">
      <w:pPr>
        <w:pStyle w:val="Bulletlist"/>
      </w:pPr>
      <w:r>
        <w:t xml:space="preserve">A greater proportion of </w:t>
      </w:r>
      <w:r w:rsidRPr="001B0B3E">
        <w:rPr>
          <w:b/>
          <w:bCs/>
        </w:rPr>
        <w:t>young people</w:t>
      </w:r>
      <w:r>
        <w:t xml:space="preserve"> and </w:t>
      </w:r>
      <w:r w:rsidRPr="001B0B3E">
        <w:rPr>
          <w:b/>
          <w:bCs/>
        </w:rPr>
        <w:t>adults</w:t>
      </w:r>
      <w:r>
        <w:t xml:space="preserve"> who experienced abuse or harassment in the past 12 months reported attempting suicide in the past 12 months compared to those who did not experience abuse or harassment. </w:t>
      </w:r>
    </w:p>
    <w:p w14:paraId="0D46DE8F" w14:textId="77777777" w:rsidR="009D0006" w:rsidRPr="002704AC" w:rsidRDefault="009D0006" w:rsidP="0046729C">
      <w:pPr>
        <w:pStyle w:val="Bulletlist"/>
      </w:pPr>
      <w:r w:rsidRPr="002704AC">
        <w:t>There was variation in the experience of suicidality according to where participants were living with 53.4% of LGBTQA+ adults in rural areas reporting suicide attempts at some point in their lives compared to 40.7% of those living in inner suburbs, 44.6% of those in outer suburbs and 43.1% of those in regional towns and cities.</w:t>
      </w:r>
    </w:p>
    <w:p w14:paraId="72D4C6BF" w14:textId="77777777" w:rsidR="009D0006" w:rsidRDefault="009D0006" w:rsidP="009D0006">
      <w:pPr>
        <w:pStyle w:val="Heading2"/>
      </w:pPr>
      <w:bookmarkStart w:id="116" w:name="_Toc88231075"/>
      <w:bookmarkStart w:id="117" w:name="_Toc94627992"/>
      <w:bookmarkStart w:id="118" w:name="_Toc95318487"/>
      <w:bookmarkStart w:id="119" w:name="_Toc115968480"/>
      <w:bookmarkStart w:id="120" w:name="_Toc119662382"/>
      <w:r>
        <w:t>Community connection</w:t>
      </w:r>
      <w:bookmarkEnd w:id="116"/>
      <w:bookmarkEnd w:id="117"/>
      <w:bookmarkEnd w:id="118"/>
      <w:bookmarkEnd w:id="119"/>
      <w:bookmarkEnd w:id="120"/>
    </w:p>
    <w:p w14:paraId="67D9936E" w14:textId="77777777" w:rsidR="009D0006" w:rsidRDefault="009D0006" w:rsidP="009425C3">
      <w:pPr>
        <w:pStyle w:val="Bulletlist"/>
      </w:pPr>
      <w:r>
        <w:t xml:space="preserve">More than half, or 57.3%, of </w:t>
      </w:r>
      <w:r w:rsidRPr="001B0B3E">
        <w:rPr>
          <w:b/>
          <w:bCs/>
        </w:rPr>
        <w:t>young people</w:t>
      </w:r>
      <w:r>
        <w:t xml:space="preserve"> with disability felt included within the LGBTIQA+ community. A smaller proportion, or 27.2%, reported that they felt like the voices of LGBTIQA+ people with </w:t>
      </w:r>
      <w:r w:rsidRPr="00BC2075">
        <w:t>disability</w:t>
      </w:r>
      <w:r>
        <w:t xml:space="preserve"> are heard and understood and 21.5% felt that their LGBTIQA+ identity is supported by the NDIS or disability support services.</w:t>
      </w:r>
    </w:p>
    <w:p w14:paraId="20F9E184" w14:textId="77777777" w:rsidR="009D0006" w:rsidRDefault="009D0006" w:rsidP="009425C3">
      <w:pPr>
        <w:pStyle w:val="Bulletlist"/>
      </w:pPr>
      <w:r>
        <w:lastRenderedPageBreak/>
        <w:t xml:space="preserve">Of the </w:t>
      </w:r>
      <w:r w:rsidRPr="001B0B3E">
        <w:rPr>
          <w:b/>
          <w:bCs/>
        </w:rPr>
        <w:t>adults</w:t>
      </w:r>
      <w:r>
        <w:t xml:space="preserve"> with disability, a majority felt part of LGBTIQ communities, including 57.5% of those categorised by the Disability Flag with mild disability, 53.9% of those categorised with moderate disability and 54.5% of those categorised with severe disability. A similar proportion, or 57.7%, of people without disability felt this way. </w:t>
      </w:r>
    </w:p>
    <w:p w14:paraId="2D4D56C7" w14:textId="77777777" w:rsidR="009D0006" w:rsidRPr="00EE7E90" w:rsidRDefault="009D0006" w:rsidP="009D0006">
      <w:pPr>
        <w:pStyle w:val="Heading2"/>
      </w:pPr>
      <w:bookmarkStart w:id="121" w:name="_Toc88231076"/>
      <w:bookmarkStart w:id="122" w:name="_Toc94627993"/>
      <w:bookmarkStart w:id="123" w:name="_Toc95318488"/>
      <w:bookmarkStart w:id="124" w:name="_Toc115968481"/>
      <w:bookmarkStart w:id="125" w:name="_Toc119662383"/>
      <w:r>
        <w:t>Multicultural background and disability</w:t>
      </w:r>
      <w:bookmarkEnd w:id="121"/>
      <w:bookmarkEnd w:id="122"/>
      <w:bookmarkEnd w:id="123"/>
      <w:bookmarkEnd w:id="124"/>
      <w:bookmarkEnd w:id="125"/>
    </w:p>
    <w:p w14:paraId="0B06D142" w14:textId="77777777" w:rsidR="009D0006" w:rsidRPr="00A649B5" w:rsidRDefault="009D0006" w:rsidP="0046729C">
      <w:pPr>
        <w:pStyle w:val="Bulletlist"/>
      </w:pPr>
      <w:r>
        <w:t xml:space="preserve">Among </w:t>
      </w:r>
      <w:r w:rsidRPr="001B0B3E">
        <w:rPr>
          <w:b/>
          <w:bCs/>
        </w:rPr>
        <w:t xml:space="preserve">young people </w:t>
      </w:r>
      <w:r>
        <w:t xml:space="preserve">with disability, 51.6% of participants from multicultural backgrounds reported experiencing verbal harassment, 14.2% physical harassment and 32.0% sexual harassment or assault in the past 12 months. This was higher than those from an Anglo-Celtic background, for whom 44.5% reported verbal, 9.7% physical and 27.0% reported sexual harassment or assault in the past 12 months. </w:t>
      </w:r>
    </w:p>
    <w:p w14:paraId="1F9696F6" w14:textId="77777777" w:rsidR="009D0006" w:rsidRPr="00A649B5" w:rsidRDefault="009D0006" w:rsidP="0046729C">
      <w:pPr>
        <w:pStyle w:val="Bulletlist"/>
      </w:pPr>
      <w:r>
        <w:t xml:space="preserve">Among </w:t>
      </w:r>
      <w:r w:rsidRPr="001B0B3E">
        <w:rPr>
          <w:b/>
          <w:bCs/>
        </w:rPr>
        <w:t>adults</w:t>
      </w:r>
      <w:r>
        <w:t xml:space="preserve"> with disability, 56.7% of participants from multicultural backgrounds reported experiencing social exclusion, 45.4% reported verbal abuse, 35.0% reported harassment and 19.9% reported sexual assault in the past 12 months. This was higher than those from an Anglo-Celtic background, for whom 46.2% reported social exclusion, 40.3% reported verbal abuse, 28.2% reported harassment and 15.3% reported sexual assault in the past 12 months. </w:t>
      </w:r>
    </w:p>
    <w:p w14:paraId="6F2A27DE" w14:textId="77777777" w:rsidR="009D0006" w:rsidRDefault="009D0006" w:rsidP="0046729C">
      <w:pPr>
        <w:pStyle w:val="Bulletlist"/>
      </w:pPr>
      <w:r>
        <w:t xml:space="preserve">Of the </w:t>
      </w:r>
      <w:r w:rsidRPr="001B0B3E">
        <w:rPr>
          <w:b/>
          <w:bCs/>
        </w:rPr>
        <w:t>adults</w:t>
      </w:r>
      <w:r>
        <w:t xml:space="preserve"> with disability, 71.6% of participants from multicultural backgrounds reported ever experiencing violence from an intimate partner compared to 68.8% of those from an Anglo-Celtic background. In addition, 81.3% of participants from multicultural backgrounds reported ever experiencing violence from a family member compared to 75.5% of those from an Anglo-Celtic background.</w:t>
      </w:r>
    </w:p>
    <w:p w14:paraId="3F485AF2" w14:textId="77777777" w:rsidR="009D0006" w:rsidRPr="004E78CE" w:rsidRDefault="009D0006" w:rsidP="0046729C">
      <w:pPr>
        <w:pStyle w:val="Bulletlist"/>
      </w:pPr>
      <w:r w:rsidRPr="00D87416">
        <w:t xml:space="preserve">Of the </w:t>
      </w:r>
      <w:r w:rsidRPr="001B0B3E">
        <w:rPr>
          <w:b/>
          <w:bCs/>
        </w:rPr>
        <w:t>adults</w:t>
      </w:r>
      <w:r w:rsidRPr="00D87416">
        <w:t xml:space="preserve"> with disability, 30.2% of participants from multicultural backgrounds reported feeling treated unfairly by others due to their cultural heritage or background compared to 8.1% of those from an Anglo-Celtic background. </w:t>
      </w:r>
    </w:p>
    <w:p w14:paraId="55D5D3F3" w14:textId="77777777" w:rsidR="009D0006" w:rsidRPr="00EE7E90" w:rsidRDefault="009D0006" w:rsidP="009D0006">
      <w:pPr>
        <w:pStyle w:val="Heading2"/>
      </w:pPr>
      <w:bookmarkStart w:id="126" w:name="_Toc88231077"/>
      <w:bookmarkStart w:id="127" w:name="_Toc94627994"/>
      <w:bookmarkStart w:id="128" w:name="_Toc95318489"/>
      <w:bookmarkStart w:id="129" w:name="_Toc115968482"/>
      <w:bookmarkStart w:id="130" w:name="_Toc119662384"/>
      <w:r>
        <w:t>Area of residence and disability</w:t>
      </w:r>
      <w:bookmarkEnd w:id="126"/>
      <w:bookmarkEnd w:id="127"/>
      <w:bookmarkEnd w:id="128"/>
      <w:bookmarkEnd w:id="129"/>
      <w:bookmarkEnd w:id="130"/>
    </w:p>
    <w:p w14:paraId="0730E98C" w14:textId="77777777" w:rsidR="009D0006" w:rsidRDefault="009D0006" w:rsidP="0046729C">
      <w:pPr>
        <w:pStyle w:val="Bulletlist"/>
        <w:rPr>
          <w:lang w:eastAsia="en-GB"/>
        </w:rPr>
      </w:pPr>
      <w:r>
        <w:t xml:space="preserve">Among </w:t>
      </w:r>
      <w:r w:rsidRPr="001B0B3E">
        <w:rPr>
          <w:b/>
          <w:bCs/>
        </w:rPr>
        <w:t>young people</w:t>
      </w:r>
      <w:r>
        <w:t xml:space="preserve"> with disability, participants in a rural or remote area had the highest proportions who experienced verbal or physical abuse in the past 12 months, with 55.8% for verbal abuse and 18.8% for physical abuse. Participants in </w:t>
      </w:r>
      <w:r>
        <w:lastRenderedPageBreak/>
        <w:t xml:space="preserve">an inner suburban area had the highest proportion who experienced sexual assault at 41.1%. </w:t>
      </w:r>
    </w:p>
    <w:p w14:paraId="7A7C5248" w14:textId="77777777" w:rsidR="009D0006" w:rsidRPr="00804A2C" w:rsidRDefault="009D0006" w:rsidP="0046729C">
      <w:pPr>
        <w:pStyle w:val="Bulletlist"/>
      </w:pPr>
      <w:r>
        <w:t xml:space="preserve">Among </w:t>
      </w:r>
      <w:r w:rsidRPr="001B0B3E">
        <w:rPr>
          <w:b/>
          <w:bCs/>
        </w:rPr>
        <w:t>adults</w:t>
      </w:r>
      <w:r>
        <w:t xml:space="preserve"> </w:t>
      </w:r>
      <w:r w:rsidRPr="007A1607">
        <w:t xml:space="preserve">with disability, participants in a rural or remote area had the highest proportion, at 56.4%, who felt socially excluded in the past 12 months. They also had the highest proportion, at 26.4%, who had experienced sexual assault in the past 12 months. </w:t>
      </w:r>
    </w:p>
    <w:p w14:paraId="0E6D9DBA" w14:textId="77777777" w:rsidR="009D0006" w:rsidRDefault="009D0006" w:rsidP="0046729C">
      <w:pPr>
        <w:pStyle w:val="Bulletlist"/>
        <w:rPr>
          <w:b/>
        </w:rPr>
      </w:pPr>
      <w:bookmarkStart w:id="131" w:name="_Toc88231078"/>
      <w:bookmarkStart w:id="132" w:name="_Toc94627995"/>
      <w:r>
        <w:t xml:space="preserve">Most of the </w:t>
      </w:r>
      <w:r w:rsidRPr="001B0B3E">
        <w:rPr>
          <w:b/>
          <w:bCs/>
        </w:rPr>
        <w:t>adults</w:t>
      </w:r>
      <w:r>
        <w:t xml:space="preserve"> with disability across residential areas had experienced some form of family violence in their lifetime. Participants in a rural or remote area had the highest proportion, at 81.6%, who had ever experienced violence from an intimate partner. Participants in a regional town or city had the highest proportion, at 80.2%, who had ever experienced violence from a family member, closely followed by 79.6% of those in an outer suburban area.</w:t>
      </w:r>
      <w:bookmarkEnd w:id="131"/>
      <w:bookmarkEnd w:id="132"/>
      <w:r>
        <w:t xml:space="preserve"> </w:t>
      </w:r>
    </w:p>
    <w:p w14:paraId="1E48AEEE" w14:textId="77777777" w:rsidR="009D0006" w:rsidRPr="00EE7E90" w:rsidRDefault="009D0006" w:rsidP="009D0006">
      <w:pPr>
        <w:pStyle w:val="Heading2"/>
      </w:pPr>
      <w:bookmarkStart w:id="133" w:name="_Toc88231079"/>
      <w:bookmarkStart w:id="134" w:name="_Toc94627996"/>
      <w:bookmarkStart w:id="135" w:name="_Toc95318490"/>
      <w:bookmarkStart w:id="136" w:name="_Toc115968483"/>
      <w:bookmarkStart w:id="137" w:name="_Toc119662385"/>
      <w:r>
        <w:t>Gender and disability</w:t>
      </w:r>
      <w:bookmarkEnd w:id="133"/>
      <w:bookmarkEnd w:id="134"/>
      <w:bookmarkEnd w:id="135"/>
      <w:bookmarkEnd w:id="136"/>
      <w:bookmarkEnd w:id="137"/>
    </w:p>
    <w:p w14:paraId="656BA970" w14:textId="77777777" w:rsidR="009D0006" w:rsidRDefault="009D0006" w:rsidP="0046729C">
      <w:pPr>
        <w:pStyle w:val="Bulletlist"/>
      </w:pPr>
      <w:r>
        <w:t xml:space="preserve">Adverse health and social experiences were elevated among people with disability across the spectrum of all genders. However, it was often the case that trans or gender diverse people fared worse than was the case for cisgender people. </w:t>
      </w:r>
    </w:p>
    <w:p w14:paraId="6E502ABE" w14:textId="77777777" w:rsidR="009D0006" w:rsidRDefault="009D0006" w:rsidP="0046729C">
      <w:pPr>
        <w:pStyle w:val="Bulletlist"/>
      </w:pPr>
      <w:r>
        <w:t>A</w:t>
      </w:r>
      <w:r w:rsidRPr="00BF2AA9">
        <w:t xml:space="preserve">mong </w:t>
      </w:r>
      <w:r w:rsidRPr="001B0B3E">
        <w:rPr>
          <w:b/>
          <w:bCs/>
        </w:rPr>
        <w:t>young people</w:t>
      </w:r>
      <w:r w:rsidRPr="00BF2AA9">
        <w:t xml:space="preserve"> with </w:t>
      </w:r>
      <w:r>
        <w:t>disability,</w:t>
      </w:r>
      <w:r w:rsidRPr="00BF2AA9">
        <w:t xml:space="preserve"> trans men</w:t>
      </w:r>
      <w:r>
        <w:t xml:space="preserve"> were the most likely to report, verbal harassment based on their sexual orientation or gender identity in the past 12 months (72.5%). Trans women had the highest proportion, at 21.1%, who experienced physical harassment based on their sexual orientation or gender identity in the past 12 months, closely followed by 18.9% of trans men and 18.4% of cisgender men. Trans women also had the highest proportion, at 55.0%, who experienced sexual harassment or assault based on their sexual orientation or gender identity in the past 12 months. </w:t>
      </w:r>
    </w:p>
    <w:p w14:paraId="14849AEF" w14:textId="77777777" w:rsidR="009D0006" w:rsidRDefault="009D0006" w:rsidP="0046729C">
      <w:pPr>
        <w:pStyle w:val="Bulletlist"/>
      </w:pPr>
      <w:r>
        <w:t>A</w:t>
      </w:r>
      <w:r w:rsidRPr="00BF2AA9">
        <w:t xml:space="preserve">mong </w:t>
      </w:r>
      <w:r w:rsidRPr="001B0B3E">
        <w:rPr>
          <w:b/>
          <w:bCs/>
        </w:rPr>
        <w:t>adults</w:t>
      </w:r>
      <w:r w:rsidRPr="00BF2AA9">
        <w:t xml:space="preserve"> with </w:t>
      </w:r>
      <w:r>
        <w:t>disability,</w:t>
      </w:r>
      <w:r w:rsidRPr="00BF2AA9">
        <w:t xml:space="preserve"> </w:t>
      </w:r>
      <w:r>
        <w:t xml:space="preserve">62.8%, non-binary participants </w:t>
      </w:r>
      <w:r w:rsidRPr="007A1607">
        <w:t xml:space="preserve">felt socially excluded </w:t>
      </w:r>
      <w:r>
        <w:t>based on their sexual orientation or gender identity</w:t>
      </w:r>
      <w:r w:rsidRPr="007A1607">
        <w:t xml:space="preserve"> in the past 12 months</w:t>
      </w:r>
      <w:r>
        <w:t xml:space="preserve">, closely followed by 61.6% of trans men and 60.9% or trans women. Trans women had the highest proportion, at 66.4%, who experienced verbal abuse based on their sexual orientation or gender identity in the past 12 months and also the highest proportion, at 44.5%, who experienced harassment in the past 12 months. Just over one-fifth, or 21.1%, of non-binary people had experienced sexual harassment </w:t>
      </w:r>
      <w:r>
        <w:lastRenderedPageBreak/>
        <w:t xml:space="preserve">or assault based on their sexual orientation or gender identity in the past 12 months. </w:t>
      </w:r>
    </w:p>
    <w:p w14:paraId="3E38897B" w14:textId="77777777" w:rsidR="009D0006" w:rsidRDefault="009D0006" w:rsidP="0046729C">
      <w:pPr>
        <w:pStyle w:val="Bulletlist"/>
        <w:rPr>
          <w:b/>
        </w:rPr>
      </w:pPr>
      <w:bookmarkStart w:id="138" w:name="_Toc88231080"/>
      <w:bookmarkStart w:id="139" w:name="_Toc94627997"/>
      <w:r>
        <w:t xml:space="preserve">Among </w:t>
      </w:r>
      <w:r w:rsidRPr="001B0B3E">
        <w:rPr>
          <w:b/>
          <w:bCs/>
        </w:rPr>
        <w:t>adults</w:t>
      </w:r>
      <w:r>
        <w:t xml:space="preserve"> with disability, non-binary people had the highest proportion, at 75.2%, who had</w:t>
      </w:r>
      <w:r w:rsidRPr="00696DA9">
        <w:t xml:space="preserve"> </w:t>
      </w:r>
      <w:r>
        <w:t>ever experienced violence from an intimate partner. Non-binary people also had the highest proportion, at 85.4%, who had ever experienced violence from a family member, closely followed by 83.6% of trans men</w:t>
      </w:r>
      <w:bookmarkEnd w:id="138"/>
      <w:bookmarkEnd w:id="139"/>
      <w:r>
        <w:t xml:space="preserve">. </w:t>
      </w:r>
    </w:p>
    <w:p w14:paraId="19FF188A" w14:textId="77777777" w:rsidR="009D0006" w:rsidRDefault="009D0006" w:rsidP="009D0006">
      <w:pPr>
        <w:pStyle w:val="Heading2"/>
      </w:pPr>
      <w:bookmarkStart w:id="140" w:name="_Toc88231081"/>
      <w:bookmarkStart w:id="141" w:name="_Toc94627998"/>
      <w:bookmarkStart w:id="142" w:name="_Toc95318491"/>
      <w:bookmarkStart w:id="143" w:name="_Toc115968484"/>
      <w:bookmarkStart w:id="144" w:name="_Toc119662386"/>
      <w:r>
        <w:t>Sexual orientation and disability</w:t>
      </w:r>
      <w:bookmarkEnd w:id="140"/>
      <w:bookmarkEnd w:id="141"/>
      <w:bookmarkEnd w:id="142"/>
      <w:bookmarkEnd w:id="143"/>
      <w:bookmarkEnd w:id="144"/>
    </w:p>
    <w:p w14:paraId="6A5D2C57" w14:textId="77777777" w:rsidR="009D0006" w:rsidRDefault="009D0006" w:rsidP="0046729C">
      <w:pPr>
        <w:pStyle w:val="Bulletlist"/>
      </w:pPr>
      <w:r>
        <w:t>A</w:t>
      </w:r>
      <w:r w:rsidRPr="00BF2AA9">
        <w:t xml:space="preserve">mong </w:t>
      </w:r>
      <w:r w:rsidRPr="001B0B3E">
        <w:rPr>
          <w:b/>
          <w:bCs/>
        </w:rPr>
        <w:t>young people</w:t>
      </w:r>
      <w:r w:rsidRPr="00BF2AA9">
        <w:t xml:space="preserve"> with </w:t>
      </w:r>
      <w:r>
        <w:t>disability, and compared to other sexual orientations,</w:t>
      </w:r>
      <w:r w:rsidRPr="00BF2AA9">
        <w:t xml:space="preserve"> </w:t>
      </w:r>
      <w:r>
        <w:t>participants who identified as gay had the highest proportion, at 57.1%, of those who had experienced verbal harassment in the past 12 months. This was closely followed by 56.5% of queer identifying participants. Those who identified as gay also had the highest proportion, at 18.7%, who had experienced physical harassment in the past 12 months, closely followed by 16.1% of pansexual identifying participants. More than one-third, or 33.8%, of lesbian identifying participants experienced sexual harassment or assault in the past 12 months, closely followed by 33.3% of queer identifying participants.</w:t>
      </w:r>
    </w:p>
    <w:p w14:paraId="137AE704" w14:textId="77777777" w:rsidR="009D0006" w:rsidRDefault="009D0006" w:rsidP="0046729C">
      <w:pPr>
        <w:pStyle w:val="Bulletlist"/>
      </w:pPr>
      <w:r w:rsidRPr="00014836">
        <w:t xml:space="preserve">Among </w:t>
      </w:r>
      <w:r w:rsidRPr="001B0B3E">
        <w:rPr>
          <w:b/>
          <w:bCs/>
        </w:rPr>
        <w:t>adults</w:t>
      </w:r>
      <w:r w:rsidRPr="00014836">
        <w:t xml:space="preserve"> with disability, 60.5% of non-binary participants felt socially excluded in the past 12 months. Participants who identified as pansexual had the highest proportion, at 51.7%, who had experienced verbal abuse, closely followed by 50.5% of queer identifying participants. Queer identifying participants also had the highest proportion, at 38.7%, of those who experienced harassment in the past 12 months. More than 1 in 5, or 22.5%, of participants who identified as pansexual </w:t>
      </w:r>
      <w:r>
        <w:t>reported having been</w:t>
      </w:r>
      <w:r w:rsidRPr="00014836">
        <w:t xml:space="preserve"> sexually assaulted in the past 12 months, closely followed by 21.2% of bisexual identifying participants</w:t>
      </w:r>
      <w:r>
        <w:t xml:space="preserve">. </w:t>
      </w:r>
    </w:p>
    <w:p w14:paraId="6CFD3D06" w14:textId="77777777" w:rsidR="009D0006" w:rsidRDefault="009D0006" w:rsidP="0046729C">
      <w:pPr>
        <w:pStyle w:val="Bulletlist"/>
        <w:rPr>
          <w:b/>
        </w:rPr>
      </w:pPr>
      <w:bookmarkStart w:id="145" w:name="_Toc88231082"/>
      <w:bookmarkStart w:id="146" w:name="_Toc94627999"/>
      <w:r>
        <w:t xml:space="preserve">Of the </w:t>
      </w:r>
      <w:r w:rsidRPr="001B0B3E">
        <w:rPr>
          <w:b/>
          <w:bCs/>
        </w:rPr>
        <w:t>adults</w:t>
      </w:r>
      <w:r>
        <w:t xml:space="preserve"> with disability, pansexual identifying participants had the highest proportion, at 76.8%, who had</w:t>
      </w:r>
      <w:r w:rsidRPr="00696DA9">
        <w:t xml:space="preserve"> </w:t>
      </w:r>
      <w:r>
        <w:t>ever experienced violence from an intimate partner, closely followed by 75.6% of queer identifying participants. Queer identifying participants had the highest proportion, at 85.1%, who had ever experienced violence from a family member, closely followed by 83.2% of pansexual identifying participants.</w:t>
      </w:r>
      <w:bookmarkEnd w:id="145"/>
      <w:bookmarkEnd w:id="146"/>
    </w:p>
    <w:p w14:paraId="4A1AEE57" w14:textId="77777777" w:rsidR="009D0006" w:rsidRPr="000273FE" w:rsidRDefault="009D0006" w:rsidP="009D0006">
      <w:pPr>
        <w:pStyle w:val="Heading2"/>
      </w:pPr>
      <w:bookmarkStart w:id="147" w:name="_Toc88231083"/>
      <w:bookmarkStart w:id="148" w:name="_Toc94628000"/>
      <w:bookmarkStart w:id="149" w:name="_Toc95318492"/>
      <w:bookmarkStart w:id="150" w:name="_Toc115968485"/>
      <w:bookmarkStart w:id="151" w:name="_Toc119662387"/>
      <w:r>
        <w:lastRenderedPageBreak/>
        <w:t>Summary and recommendations</w:t>
      </w:r>
      <w:bookmarkEnd w:id="147"/>
      <w:bookmarkEnd w:id="148"/>
      <w:bookmarkEnd w:id="149"/>
      <w:bookmarkEnd w:id="150"/>
      <w:bookmarkEnd w:id="151"/>
    </w:p>
    <w:p w14:paraId="06364D76" w14:textId="77777777" w:rsidR="009D0006" w:rsidRDefault="009D0006" w:rsidP="009D0006">
      <w:r w:rsidRPr="00A651F8">
        <w:t xml:space="preserve">Findings from analyses </w:t>
      </w:r>
      <w:r>
        <w:t xml:space="preserve">presented in this report </w:t>
      </w:r>
      <w:r w:rsidRPr="00A651F8">
        <w:t>are concerning. LGBTQA+ people</w:t>
      </w:r>
      <w:r>
        <w:t xml:space="preserve"> </w:t>
      </w:r>
      <w:r w:rsidRPr="00A651F8">
        <w:t xml:space="preserve">in Australia have consistently reported higher levels of violence, harassment and abuse and poorer physical and mental health than </w:t>
      </w:r>
      <w:r>
        <w:t xml:space="preserve">the general population, as shown </w:t>
      </w:r>
      <w:r w:rsidRPr="00A651F8">
        <w:t xml:space="preserve">in the </w:t>
      </w:r>
      <w:r w:rsidRPr="00A651F8">
        <w:rPr>
          <w:i/>
        </w:rPr>
        <w:t xml:space="preserve">Writing Themselves </w:t>
      </w:r>
      <w:r w:rsidRPr="00912136">
        <w:rPr>
          <w:i/>
        </w:rPr>
        <w:t>In 4</w:t>
      </w:r>
      <w:r w:rsidRPr="00912136">
        <w:fldChar w:fldCharType="begin"/>
      </w:r>
      <w:r>
        <w:instrText xml:space="preserve"> ADDIN ZOTERO_ITEM CSL_CITATION {"citationID":"N7hFXKGa","properties":{"formattedCitation":"(1)","plainCitation":"(1)","noteIndex":0},"citationItems":[{"id":"hc6yy1rM/ZY4LR28S","uris":["http://zotero.org/users/4948307/items/7BM38QY5"],"itemData":{"id":3331,"type":"report","abstract":"The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912136">
        <w:fldChar w:fldCharType="separate"/>
      </w:r>
      <w:r>
        <w:rPr>
          <w:lang w:val="en-GB"/>
        </w:rPr>
        <w:t>(1)</w:t>
      </w:r>
      <w:r w:rsidRPr="00912136">
        <w:fldChar w:fldCharType="end"/>
      </w:r>
      <w:r w:rsidRPr="00912136">
        <w:t xml:space="preserve"> and </w:t>
      </w:r>
      <w:r w:rsidRPr="00912136">
        <w:rPr>
          <w:i/>
        </w:rPr>
        <w:t>Private Lives 3</w:t>
      </w:r>
      <w:r w:rsidRPr="00912136">
        <w:fldChar w:fldCharType="begin"/>
      </w:r>
      <w:r>
        <w:instrText xml:space="preserve"> ADDIN ZOTERO_ITEM CSL_CITATION {"citationID":"rtFuXXOk","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912136">
        <w:fldChar w:fldCharType="separate"/>
      </w:r>
      <w:r>
        <w:rPr>
          <w:lang w:val="en-GB"/>
        </w:rPr>
        <w:t>(2)</w:t>
      </w:r>
      <w:r w:rsidRPr="00912136">
        <w:fldChar w:fldCharType="end"/>
      </w:r>
      <w:r w:rsidRPr="00A651F8">
        <w:t xml:space="preserve"> national reports.</w:t>
      </w:r>
      <w:r>
        <w:t xml:space="preserve"> In turn, </w:t>
      </w:r>
      <w:r w:rsidRPr="00A651F8">
        <w:t>LGBTQA+ people with disability reported substantially greater challenges and poorer outcomes than LGBTQA+ people without disability, including experiences of violence, abuse and neglect. In many instances, large majorities of both young people and adults with disability reported these challenges. Experiences of abuse were also reported in relation to service systems, in intimate relationships and families. Adults categorised with more severe disabilities appear to be at even higher risk of abuse and a host of negative outcomes. It was also often the case that young people with both intellectual disability and autism</w:t>
      </w:r>
      <w:r>
        <w:t>/</w:t>
      </w:r>
      <w:r w:rsidRPr="00A651F8">
        <w:t>neurodiversity had poorer outcomes. In some instances, those with intellectual disability with or without autism</w:t>
      </w:r>
      <w:r>
        <w:t>/</w:t>
      </w:r>
      <w:r w:rsidRPr="00A651F8">
        <w:t xml:space="preserve">neurodiversity also had particularly poorer outcomes, such as verbal, physical and sexual harassment or assault. The impact of this in the lives of LGBTQA+ </w:t>
      </w:r>
      <w:r>
        <w:t xml:space="preserve">people </w:t>
      </w:r>
      <w:r w:rsidRPr="00A651F8">
        <w:t xml:space="preserve">with disability is significant and may be reflected in the high numbers reporting suicidal ideation and suicide attempts, higher than those without disability. </w:t>
      </w:r>
    </w:p>
    <w:p w14:paraId="6C4650C7" w14:textId="77777777" w:rsidR="009D0006" w:rsidRDefault="009D0006" w:rsidP="009D0006">
      <w:pPr>
        <w:rPr>
          <w:lang w:val="en-GB"/>
        </w:rPr>
      </w:pPr>
      <w:r w:rsidRPr="00A651F8">
        <w:t xml:space="preserve">While these experiences were high among all subpopulations, findings revealed in this report point to priority populations and key issues that require </w:t>
      </w:r>
      <w:r w:rsidRPr="00A651F8">
        <w:rPr>
          <w:lang w:val="en-GB"/>
        </w:rPr>
        <w:t>specific initiatives for LGBTQA+ people with disability in Australia</w:t>
      </w:r>
      <w:r>
        <w:rPr>
          <w:lang w:val="en-GB"/>
        </w:rPr>
        <w:t>. Particuarly concerning experiences</w:t>
      </w:r>
      <w:r w:rsidRPr="00A651F8">
        <w:rPr>
          <w:lang w:val="en-GB"/>
        </w:rPr>
        <w:t xml:space="preserve"> includ</w:t>
      </w:r>
      <w:r>
        <w:rPr>
          <w:lang w:val="en-GB"/>
        </w:rPr>
        <w:t>e</w:t>
      </w:r>
      <w:r w:rsidRPr="00A651F8">
        <w:rPr>
          <w:lang w:val="en-GB"/>
        </w:rPr>
        <w:t xml:space="preserve">: </w:t>
      </w:r>
    </w:p>
    <w:p w14:paraId="6095C2E0" w14:textId="77777777" w:rsidR="009D0006" w:rsidRPr="00A651F8" w:rsidRDefault="009D0006" w:rsidP="0046729C">
      <w:pPr>
        <w:pStyle w:val="Bulletlist"/>
        <w:rPr>
          <w:lang w:val="en-GB"/>
        </w:rPr>
      </w:pPr>
      <w:r w:rsidRPr="00A651F8">
        <w:rPr>
          <w:lang w:val="en-GB"/>
        </w:rPr>
        <w:t>High rates of suicidal ideation and suicide attempts, particularly among young people aged 14-21</w:t>
      </w:r>
      <w:r>
        <w:rPr>
          <w:lang w:val="en-GB"/>
        </w:rPr>
        <w:t xml:space="preserve"> years</w:t>
      </w:r>
      <w:r w:rsidRPr="00A651F8">
        <w:rPr>
          <w:lang w:val="en-GB"/>
        </w:rPr>
        <w:t>, people with intellectual disability and trans and gender diverse people</w:t>
      </w:r>
      <w:r>
        <w:rPr>
          <w:lang w:val="en-GB"/>
        </w:rPr>
        <w:t xml:space="preserve"> with disability </w:t>
      </w:r>
      <w:r w:rsidRPr="00A651F8">
        <w:rPr>
          <w:lang w:val="en-GB"/>
        </w:rPr>
        <w:t>.</w:t>
      </w:r>
    </w:p>
    <w:p w14:paraId="6C61EA75" w14:textId="77777777" w:rsidR="009D0006" w:rsidRPr="00A651F8" w:rsidRDefault="009D0006" w:rsidP="0046729C">
      <w:pPr>
        <w:pStyle w:val="Bulletlist"/>
        <w:rPr>
          <w:lang w:val="en-GB"/>
        </w:rPr>
      </w:pPr>
      <w:r w:rsidRPr="00A651F8">
        <w:rPr>
          <w:lang w:val="en-GB"/>
        </w:rPr>
        <w:t>High rates of harassment, abuse and neglect based on sexual orientation and/or gender identity, particularly at home among young people aged 14-21</w:t>
      </w:r>
      <w:r>
        <w:rPr>
          <w:lang w:val="en-GB"/>
        </w:rPr>
        <w:t xml:space="preserve"> years</w:t>
      </w:r>
      <w:r w:rsidRPr="00A651F8">
        <w:rPr>
          <w:lang w:val="en-GB"/>
        </w:rPr>
        <w:t>.</w:t>
      </w:r>
    </w:p>
    <w:p w14:paraId="036C779B" w14:textId="77777777" w:rsidR="009D0006" w:rsidRPr="00A651F8" w:rsidRDefault="009D0006" w:rsidP="0046729C">
      <w:pPr>
        <w:pStyle w:val="Bulletlist"/>
        <w:rPr>
          <w:lang w:val="en-GB"/>
        </w:rPr>
      </w:pPr>
      <w:r w:rsidRPr="00A651F8">
        <w:rPr>
          <w:lang w:val="en-GB"/>
        </w:rPr>
        <w:t>High levels of family violence, including from parents, and low levels of reporting or satisfaction with support from services.</w:t>
      </w:r>
    </w:p>
    <w:p w14:paraId="73351467" w14:textId="77777777" w:rsidR="009D0006" w:rsidRDefault="009D0006" w:rsidP="0046729C">
      <w:pPr>
        <w:pStyle w:val="Bulletlist"/>
        <w:rPr>
          <w:lang w:val="en-GB"/>
        </w:rPr>
      </w:pPr>
      <w:r w:rsidRPr="00A651F8">
        <w:rPr>
          <w:lang w:val="en-GB"/>
        </w:rPr>
        <w:t>Low levels of support from disability support services and the NDIS regarding LGBTIQ people and their needs.</w:t>
      </w:r>
    </w:p>
    <w:p w14:paraId="565C9BDE" w14:textId="77777777" w:rsidR="009D0006" w:rsidRDefault="009D0006" w:rsidP="0046729C">
      <w:pPr>
        <w:rPr>
          <w:lang w:val="en-GB"/>
        </w:rPr>
      </w:pPr>
      <w:r w:rsidRPr="00A651F8">
        <w:rPr>
          <w:lang w:val="en-GB"/>
        </w:rPr>
        <w:t xml:space="preserve">In light of the concerning findings detailed in this report, </w:t>
      </w:r>
      <w:r>
        <w:rPr>
          <w:lang w:val="en-GB"/>
        </w:rPr>
        <w:t>we recommend</w:t>
      </w:r>
      <w:r w:rsidRPr="00A651F8">
        <w:rPr>
          <w:lang w:val="en-GB"/>
        </w:rPr>
        <w:t xml:space="preserve">: </w:t>
      </w:r>
    </w:p>
    <w:p w14:paraId="39D47595" w14:textId="77777777" w:rsidR="009D0006" w:rsidRPr="009425C3" w:rsidRDefault="009D0006" w:rsidP="009425C3">
      <w:pPr>
        <w:pStyle w:val="Heading3"/>
      </w:pPr>
      <w:bookmarkStart w:id="152" w:name="_Toc95318493"/>
      <w:bookmarkStart w:id="153" w:name="_Toc115968486"/>
      <w:r w:rsidRPr="009425C3">
        <w:lastRenderedPageBreak/>
        <w:t>Recommendations for structural and policy-level intervention</w:t>
      </w:r>
      <w:bookmarkEnd w:id="152"/>
      <w:bookmarkEnd w:id="153"/>
    </w:p>
    <w:p w14:paraId="26AF981E" w14:textId="77777777" w:rsidR="009D0006" w:rsidRDefault="009D0006" w:rsidP="0046729C">
      <w:pPr>
        <w:pStyle w:val="Bulletlist"/>
        <w:rPr>
          <w:lang w:val="en-GB"/>
        </w:rPr>
      </w:pPr>
      <w:r w:rsidRPr="009425C3">
        <w:rPr>
          <w:rStyle w:val="BulletlistChar"/>
          <w:b/>
        </w:rPr>
        <w:t>Inclusion of LGBTQA+ people with disability in key strategic policy frameworks.</w:t>
      </w:r>
      <w:r w:rsidRPr="0046729C">
        <w:rPr>
          <w:rStyle w:val="BulletlistChar"/>
        </w:rPr>
        <w:t xml:space="preserve"> Across Australia the relevant disability legislation and regulatory</w:t>
      </w:r>
      <w:r>
        <w:rPr>
          <w:lang w:val="en-GB"/>
        </w:rPr>
        <w:t xml:space="preserve"> standards for service or education settings which seek to address and prevent v</w:t>
      </w:r>
      <w:r w:rsidRPr="00E57E14">
        <w:rPr>
          <w:lang w:val="en-GB"/>
        </w:rPr>
        <w:t>iolence, abuse, neglect and exploitation of</w:t>
      </w:r>
      <w:r>
        <w:rPr>
          <w:lang w:val="en-GB"/>
        </w:rPr>
        <w:t xml:space="preserve"> people with disability rarely include any explicit reference to LGBTIQA+ people within this group, and very few states and territories have regulatory standards or policy frameworks like these for LGBTIQA+ people, leaving this group uniquely vulnerable. </w:t>
      </w:r>
      <w:r w:rsidRPr="00A651F8">
        <w:rPr>
          <w:lang w:val="en-GB"/>
        </w:rPr>
        <w:t xml:space="preserve">Inclusion of </w:t>
      </w:r>
      <w:r>
        <w:rPr>
          <w:lang w:val="en-GB"/>
        </w:rPr>
        <w:t xml:space="preserve">people with a </w:t>
      </w:r>
      <w:r w:rsidRPr="00A651F8">
        <w:rPr>
          <w:lang w:val="en-GB"/>
        </w:rPr>
        <w:t>disability</w:t>
      </w:r>
      <w:r>
        <w:rPr>
          <w:lang w:val="en-GB"/>
        </w:rPr>
        <w:t xml:space="preserve"> and LGBTIQA+ people should be </w:t>
      </w:r>
      <w:r w:rsidRPr="00A651F8">
        <w:rPr>
          <w:lang w:val="en-GB"/>
        </w:rPr>
        <w:t xml:space="preserve">required in all government health and wellbeing policy frameworks </w:t>
      </w:r>
      <w:r>
        <w:rPr>
          <w:lang w:val="en-GB"/>
        </w:rPr>
        <w:t xml:space="preserve">and regulatory standards </w:t>
      </w:r>
      <w:r w:rsidRPr="00A651F8">
        <w:rPr>
          <w:lang w:val="en-GB"/>
        </w:rPr>
        <w:t xml:space="preserve">as </w:t>
      </w:r>
      <w:r>
        <w:rPr>
          <w:lang w:val="en-GB"/>
        </w:rPr>
        <w:t xml:space="preserve">overlapping </w:t>
      </w:r>
      <w:r w:rsidRPr="00A651F8">
        <w:rPr>
          <w:lang w:val="en-GB"/>
        </w:rPr>
        <w:t>key priority populations, with specific and explicit regulatory and practice standard requirements to provide safe and inclusive environments for LGBTQA+ people with disability.</w:t>
      </w:r>
    </w:p>
    <w:p w14:paraId="396B7936" w14:textId="77777777" w:rsidR="009D0006" w:rsidRDefault="009D0006" w:rsidP="0046729C">
      <w:pPr>
        <w:pStyle w:val="Bulletlist"/>
        <w:rPr>
          <w:lang w:val="en-GB"/>
        </w:rPr>
      </w:pPr>
      <w:r w:rsidRPr="00A651F8">
        <w:rPr>
          <w:b/>
          <w:bCs/>
          <w:lang w:val="en-GB"/>
        </w:rPr>
        <w:t>Disability sector-level capacity building to ensure LGBTQA+ inclusion</w:t>
      </w:r>
      <w:r w:rsidRPr="00A651F8">
        <w:rPr>
          <w:lang w:val="en-GB"/>
        </w:rPr>
        <w:t>. Capacity building strategies and resourcing are required to improve the disability support services sectors’ capabilities for providing inclusive and culturally safe environments for LGBTQA+ people with disability. These need to be co-designed with lead government agencies, LGBTQA+ capacity building experts from these communities and LGBTQA+ people with disability and be underpinned by key standards and/or accreditation for inclusivity and cultural safety as well as transparency and accountability at every stage.</w:t>
      </w:r>
      <w:r>
        <w:rPr>
          <w:lang w:val="en-GB"/>
        </w:rPr>
        <w:t xml:space="preserve"> While the findings detailed in this report do not speak to the needs of people with disability and with an intersex variation (due to an insufficient sample), it is crucial that the disability sector attend to the unique needs of this population as it develops more affirming practice. </w:t>
      </w:r>
    </w:p>
    <w:p w14:paraId="6B15DCF0" w14:textId="77777777" w:rsidR="009D0006" w:rsidRDefault="009D0006" w:rsidP="0046729C">
      <w:pPr>
        <w:pStyle w:val="Bulletlist"/>
        <w:rPr>
          <w:lang w:val="en-GB"/>
        </w:rPr>
      </w:pPr>
      <w:r w:rsidRPr="00A651F8">
        <w:rPr>
          <w:b/>
          <w:bCs/>
          <w:lang w:val="en-GB"/>
        </w:rPr>
        <w:t>Routine capture of LGBTQA+ related data in the disability sector</w:t>
      </w:r>
      <w:r w:rsidRPr="00A651F8">
        <w:rPr>
          <w:lang w:val="en-GB"/>
        </w:rPr>
        <w:t>.</w:t>
      </w:r>
      <w:r w:rsidRPr="00677156">
        <w:t xml:space="preserve"> </w:t>
      </w:r>
      <w:r w:rsidRPr="00677156">
        <w:rPr>
          <w:lang w:val="en-GB"/>
        </w:rPr>
        <w:t>Mandating the LGBTIQ inclusive questions on gender, pronouns, sexuality, and intersex status is necessary across data gathering and reporting in the disability sector. This requires capacity building to ensure cultural competence in the staff gathering this information and systems and processes enabling cultural safety for the clients providing this information.</w:t>
      </w:r>
      <w:r w:rsidRPr="00A651F8">
        <w:rPr>
          <w:lang w:val="en-GB"/>
        </w:rPr>
        <w:t xml:space="preserve"> This action should be required of all organisations and services, including those delivered by faith-based organisations. </w:t>
      </w:r>
    </w:p>
    <w:p w14:paraId="40C9D89A" w14:textId="77777777" w:rsidR="009D0006" w:rsidRPr="00E26C3C" w:rsidRDefault="009D0006" w:rsidP="0046729C">
      <w:pPr>
        <w:pStyle w:val="Bulletlist"/>
        <w:rPr>
          <w:lang w:val="en-GB"/>
        </w:rPr>
      </w:pPr>
      <w:r w:rsidRPr="00E26C3C">
        <w:rPr>
          <w:b/>
          <w:bCs/>
          <w:lang w:val="en-GB"/>
        </w:rPr>
        <w:t>Campaigns to target the social drivers</w:t>
      </w:r>
      <w:r>
        <w:rPr>
          <w:b/>
          <w:bCs/>
          <w:lang w:val="en-GB"/>
        </w:rPr>
        <w:t xml:space="preserve"> of abuse and neglect</w:t>
      </w:r>
      <w:r w:rsidRPr="00E26C3C">
        <w:rPr>
          <w:b/>
          <w:bCs/>
          <w:lang w:val="en-GB"/>
        </w:rPr>
        <w:t>.</w:t>
      </w:r>
      <w:r>
        <w:rPr>
          <w:lang w:val="en-GB"/>
        </w:rPr>
        <w:t xml:space="preserve"> There is a need for campaigns that seek to change the social drivers of discrimination and violence </w:t>
      </w:r>
      <w:r>
        <w:rPr>
          <w:lang w:val="en-GB"/>
        </w:rPr>
        <w:lastRenderedPageBreak/>
        <w:t>(ableism, heteronormativity and cisnormativity) at a whole of community level. These campaigns should be co-designed with LGBTIQ people with a disability, and delivered in a range of contexts, including public spaces, schools, sporting and cultural clubs, workplaces, etc.</w:t>
      </w:r>
    </w:p>
    <w:p w14:paraId="1A8757B3" w14:textId="77777777" w:rsidR="009D0006" w:rsidRPr="00677968" w:rsidRDefault="009D0006" w:rsidP="009425C3">
      <w:pPr>
        <w:pStyle w:val="Heading3"/>
      </w:pPr>
      <w:bookmarkStart w:id="154" w:name="_Toc95318494"/>
      <w:bookmarkStart w:id="155" w:name="_Toc115968487"/>
      <w:r w:rsidRPr="00677968">
        <w:t>Recommendations for service-level intervention</w:t>
      </w:r>
      <w:bookmarkEnd w:id="154"/>
      <w:bookmarkEnd w:id="155"/>
    </w:p>
    <w:p w14:paraId="553C3A01" w14:textId="77777777" w:rsidR="009D0006" w:rsidRDefault="009D0006" w:rsidP="0046729C">
      <w:pPr>
        <w:pStyle w:val="Bulletlist"/>
        <w:rPr>
          <w:lang w:val="en-GB"/>
        </w:rPr>
      </w:pPr>
      <w:r w:rsidRPr="00A651F8">
        <w:rPr>
          <w:b/>
          <w:bCs/>
          <w:lang w:val="en-GB"/>
        </w:rPr>
        <w:t>Interorganisational and inter-sector skills sharing for action</w:t>
      </w:r>
      <w:r w:rsidRPr="00A651F8">
        <w:rPr>
          <w:lang w:val="en-GB"/>
        </w:rPr>
        <w:t xml:space="preserve">. Recognising their intersecting expertise, we recommend that resources be made available for LGBTQA+ community-controlled organisations, national and community-controlled disability organisations and family and domestic violence organisations to work together to provide education, training and campaigns aimed at tackling </w:t>
      </w:r>
      <w:r w:rsidRPr="00A651F8">
        <w:t xml:space="preserve">violence, abuse, neglect or exploitation </w:t>
      </w:r>
      <w:r w:rsidRPr="00A651F8">
        <w:rPr>
          <w:lang w:val="en-GB"/>
        </w:rPr>
        <w:t xml:space="preserve">directed towards LGBTQA+ people with disability. </w:t>
      </w:r>
    </w:p>
    <w:p w14:paraId="028A1940" w14:textId="77777777" w:rsidR="009D0006" w:rsidRDefault="009D0006" w:rsidP="0046729C">
      <w:pPr>
        <w:pStyle w:val="Bulletlist"/>
        <w:numPr>
          <w:ilvl w:val="0"/>
          <w:numId w:val="11"/>
        </w:numPr>
        <w:tabs>
          <w:tab w:val="clear" w:pos="720"/>
          <w:tab w:val="clear" w:pos="1077"/>
          <w:tab w:val="left" w:pos="1276"/>
          <w:tab w:val="left" w:pos="1560"/>
        </w:tabs>
        <w:ind w:left="1134" w:hanging="425"/>
        <w:rPr>
          <w:lang w:val="en-GB"/>
        </w:rPr>
      </w:pPr>
      <w:r w:rsidRPr="00A651F8">
        <w:rPr>
          <w:lang w:val="en-GB"/>
        </w:rPr>
        <w:t>This work could take the form of a nationally resourced and coordinated network that develops targeted actions within respective sectors to improve safe LGBTQA+-affirming services and includes a Community of Practice to share models of working.</w:t>
      </w:r>
    </w:p>
    <w:p w14:paraId="06F75A69" w14:textId="77777777" w:rsidR="009D0006" w:rsidRDefault="009D0006" w:rsidP="0046729C">
      <w:pPr>
        <w:pStyle w:val="Bulletlist"/>
        <w:numPr>
          <w:ilvl w:val="0"/>
          <w:numId w:val="11"/>
        </w:numPr>
        <w:tabs>
          <w:tab w:val="clear" w:pos="720"/>
          <w:tab w:val="clear" w:pos="1077"/>
          <w:tab w:val="left" w:pos="1276"/>
          <w:tab w:val="left" w:pos="1560"/>
        </w:tabs>
        <w:ind w:left="1134" w:hanging="425"/>
        <w:rPr>
          <w:lang w:val="en-GB"/>
        </w:rPr>
      </w:pPr>
      <w:r w:rsidRPr="00A651F8">
        <w:rPr>
          <w:lang w:val="en-GB"/>
        </w:rPr>
        <w:t xml:space="preserve">The work of such a network should include addressing </w:t>
      </w:r>
      <w:r w:rsidRPr="00A651F8">
        <w:t>violence, abuse, neglect or exploitation toward</w:t>
      </w:r>
      <w:r w:rsidRPr="00A651F8">
        <w:rPr>
          <w:lang w:val="en-GB"/>
        </w:rPr>
        <w:t xml:space="preserve"> LGBTQA+ people with a disability that is motivated by the combination of social drivers relevant to </w:t>
      </w:r>
      <w:r>
        <w:rPr>
          <w:lang w:val="en-GB"/>
        </w:rPr>
        <w:t xml:space="preserve">the intersectional experiences of LGBTQA+ people and people with a </w:t>
      </w:r>
      <w:r w:rsidRPr="00A651F8">
        <w:rPr>
          <w:lang w:val="en-GB"/>
        </w:rPr>
        <w:t xml:space="preserve">disability. Initiatives should also include the experiences of LGBTQA+ people with </w:t>
      </w:r>
      <w:r>
        <w:rPr>
          <w:lang w:val="en-GB"/>
        </w:rPr>
        <w:t xml:space="preserve">additional </w:t>
      </w:r>
      <w:r w:rsidRPr="00A651F8">
        <w:rPr>
          <w:lang w:val="en-GB"/>
        </w:rPr>
        <w:t>intersecting experiences</w:t>
      </w:r>
      <w:r>
        <w:rPr>
          <w:lang w:val="en-GB"/>
        </w:rPr>
        <w:t>, such as those</w:t>
      </w:r>
      <w:r w:rsidRPr="00A651F8">
        <w:rPr>
          <w:lang w:val="en-GB"/>
        </w:rPr>
        <w:t xml:space="preserve"> examined in this report</w:t>
      </w:r>
      <w:r>
        <w:rPr>
          <w:lang w:val="en-GB"/>
        </w:rPr>
        <w:t>,</w:t>
      </w:r>
      <w:r w:rsidRPr="00A651F8">
        <w:rPr>
          <w:lang w:val="en-GB"/>
        </w:rPr>
        <w:t xml:space="preserve"> that further heighten their risk of experiencing harassment, violence and abuse. </w:t>
      </w:r>
    </w:p>
    <w:p w14:paraId="5A541D6D" w14:textId="77777777" w:rsidR="009D0006" w:rsidRDefault="009D0006" w:rsidP="0046729C">
      <w:pPr>
        <w:pStyle w:val="Bulletlist"/>
        <w:rPr>
          <w:lang w:val="en-GB"/>
        </w:rPr>
      </w:pPr>
      <w:r w:rsidRPr="0046729C">
        <w:rPr>
          <w:rStyle w:val="BulletlistChar"/>
          <w:b/>
        </w:rPr>
        <w:t>LGBTQA-affirmative support training.</w:t>
      </w:r>
      <w:r w:rsidRPr="0046729C">
        <w:rPr>
          <w:rStyle w:val="BulletlistChar"/>
        </w:rPr>
        <w:t xml:space="preserve"> There is a need for disability support organisations to better understand and appropriately respond to the intersectional experiences of those with disability and LGBTQA+ identity and how these can shape unique experiences, challenges, and support needs. Such organisations should ensure all staff are trained to provide safe, LGBTQA+-affirming support to clients and service users. This should include facilitating</w:t>
      </w:r>
      <w:r w:rsidRPr="00A651F8">
        <w:rPr>
          <w:lang w:val="en-GB"/>
        </w:rPr>
        <w:t xml:space="preserve"> </w:t>
      </w:r>
      <w:r>
        <w:rPr>
          <w:lang w:val="en-GB"/>
        </w:rPr>
        <w:t xml:space="preserve">inclusive and </w:t>
      </w:r>
      <w:r w:rsidRPr="00A651F8">
        <w:rPr>
          <w:lang w:val="en-GB"/>
        </w:rPr>
        <w:t xml:space="preserve">safe environments for </w:t>
      </w:r>
      <w:r>
        <w:rPr>
          <w:lang w:val="en-GB"/>
        </w:rPr>
        <w:t xml:space="preserve">learning about, discussing, and expressing or identifying their own </w:t>
      </w:r>
      <w:r w:rsidRPr="00A651F8">
        <w:rPr>
          <w:lang w:val="en-GB"/>
        </w:rPr>
        <w:t>sexuality</w:t>
      </w:r>
      <w:r>
        <w:rPr>
          <w:lang w:val="en-GB"/>
        </w:rPr>
        <w:t>,</w:t>
      </w:r>
      <w:r w:rsidRPr="00A651F8">
        <w:rPr>
          <w:lang w:val="en-GB"/>
        </w:rPr>
        <w:t xml:space="preserve"> gender </w:t>
      </w:r>
      <w:r>
        <w:rPr>
          <w:lang w:val="en-GB"/>
        </w:rPr>
        <w:t>identity or intersex status</w:t>
      </w:r>
      <w:r w:rsidRPr="00A651F8">
        <w:rPr>
          <w:lang w:val="en-GB"/>
        </w:rPr>
        <w:t xml:space="preserve"> </w:t>
      </w:r>
      <w:r>
        <w:rPr>
          <w:lang w:val="en-GB"/>
        </w:rPr>
        <w:t>which also supportively facilitate</w:t>
      </w:r>
      <w:r w:rsidRPr="00A651F8">
        <w:rPr>
          <w:lang w:val="en-GB"/>
        </w:rPr>
        <w:t xml:space="preserve"> connection</w:t>
      </w:r>
      <w:r>
        <w:rPr>
          <w:lang w:val="en-GB"/>
        </w:rPr>
        <w:t>s</w:t>
      </w:r>
      <w:r w:rsidRPr="00A651F8">
        <w:rPr>
          <w:lang w:val="en-GB"/>
        </w:rPr>
        <w:t xml:space="preserve"> to LGBTQA+ communities and cultures</w:t>
      </w:r>
      <w:r>
        <w:rPr>
          <w:lang w:val="en-GB"/>
        </w:rPr>
        <w:t xml:space="preserve"> with equal emphasis of</w:t>
      </w:r>
      <w:r w:rsidRPr="00A651F8">
        <w:rPr>
          <w:lang w:val="en-GB"/>
        </w:rPr>
        <w:t xml:space="preserve"> importan</w:t>
      </w:r>
      <w:r>
        <w:rPr>
          <w:lang w:val="en-GB"/>
        </w:rPr>
        <w:t>ce</w:t>
      </w:r>
      <w:r w:rsidRPr="00A651F8">
        <w:rPr>
          <w:lang w:val="en-GB"/>
        </w:rPr>
        <w:t xml:space="preserve"> </w:t>
      </w:r>
      <w:r>
        <w:rPr>
          <w:lang w:val="en-GB"/>
        </w:rPr>
        <w:t>to any other supports needed</w:t>
      </w:r>
      <w:r w:rsidRPr="00A651F8">
        <w:rPr>
          <w:lang w:val="en-GB"/>
        </w:rPr>
        <w:t xml:space="preserve"> for people with disability</w:t>
      </w:r>
      <w:r>
        <w:rPr>
          <w:lang w:val="en-GB"/>
        </w:rPr>
        <w:t xml:space="preserve"> to live fulfilling lives</w:t>
      </w:r>
      <w:r w:rsidRPr="00A651F8">
        <w:rPr>
          <w:lang w:val="en-GB"/>
        </w:rPr>
        <w:t>.</w:t>
      </w:r>
    </w:p>
    <w:p w14:paraId="67F9C0AB" w14:textId="77777777" w:rsidR="009D0006" w:rsidRDefault="009D0006" w:rsidP="0046729C">
      <w:pPr>
        <w:pStyle w:val="Bulletlist"/>
        <w:rPr>
          <w:lang w:val="en-GB"/>
        </w:rPr>
      </w:pPr>
      <w:r w:rsidRPr="00A651F8">
        <w:rPr>
          <w:b/>
          <w:bCs/>
          <w:lang w:val="en-GB"/>
        </w:rPr>
        <w:lastRenderedPageBreak/>
        <w:t>Key support for people with an intellectual disability</w:t>
      </w:r>
      <w:r w:rsidRPr="00A651F8">
        <w:rPr>
          <w:lang w:val="en-GB"/>
        </w:rPr>
        <w:t xml:space="preserve">. Given the extent of harm evidenced in this report, there is particular need for </w:t>
      </w:r>
      <w:r>
        <w:rPr>
          <w:lang w:val="en-GB"/>
        </w:rPr>
        <w:t xml:space="preserve">evidence-based </w:t>
      </w:r>
      <w:r w:rsidRPr="00A651F8">
        <w:rPr>
          <w:lang w:val="en-GB"/>
        </w:rPr>
        <w:t>holistic sexuality and relationship education programs for people with intellectual disability that are affirming of LGBTQA+ identities. It is important that these projects are long-term</w:t>
      </w:r>
      <w:r>
        <w:rPr>
          <w:lang w:val="en-GB"/>
        </w:rPr>
        <w:t>, developed and delivered in co-design with LGBTQA+ people with intellectual disability</w:t>
      </w:r>
      <w:r w:rsidRPr="00A651F8">
        <w:rPr>
          <w:lang w:val="en-GB"/>
        </w:rPr>
        <w:t xml:space="preserve"> and</w:t>
      </w:r>
      <w:r>
        <w:rPr>
          <w:lang w:val="en-GB"/>
        </w:rPr>
        <w:t xml:space="preserve"> are accompanied by support and service environments that</w:t>
      </w:r>
      <w:r w:rsidRPr="00A651F8">
        <w:rPr>
          <w:lang w:val="en-GB"/>
        </w:rPr>
        <w:t xml:space="preserve"> continue to support the needs of L</w:t>
      </w:r>
      <w:r>
        <w:rPr>
          <w:lang w:val="en-GB"/>
        </w:rPr>
        <w:t>GB</w:t>
      </w:r>
      <w:r w:rsidRPr="00A651F8">
        <w:rPr>
          <w:lang w:val="en-GB"/>
        </w:rPr>
        <w:t>TQA+ people with disability on an ongoing basis.</w:t>
      </w:r>
    </w:p>
    <w:p w14:paraId="7361481E" w14:textId="77777777" w:rsidR="009D0006" w:rsidRPr="00A651F8" w:rsidRDefault="009D0006" w:rsidP="0046729C">
      <w:pPr>
        <w:pStyle w:val="Bulletlist"/>
        <w:rPr>
          <w:lang w:val="en-GB"/>
        </w:rPr>
      </w:pPr>
      <w:r w:rsidRPr="00A651F8">
        <w:rPr>
          <w:b/>
          <w:bCs/>
        </w:rPr>
        <w:t>Meaningful involvement of people with disability at every level</w:t>
      </w:r>
      <w:r w:rsidRPr="00A651F8">
        <w:t xml:space="preserve">. In line with principles of ‘nothing about us without us’, every opportunity should be taken to </w:t>
      </w:r>
      <w:r>
        <w:t xml:space="preserve">ensure LGBTQA+ people with disability are part of policy, service provision and community engagement interventions. This can include, but not be limited to: participation in lived experience advisory bodies; peer-support models; intervention co-design; or the </w:t>
      </w:r>
      <w:r w:rsidRPr="00A651F8">
        <w:t>provi</w:t>
      </w:r>
      <w:r>
        <w:t>sion of</w:t>
      </w:r>
      <w:r w:rsidRPr="00A651F8">
        <w:t xml:space="preserve"> training </w:t>
      </w:r>
      <w:r>
        <w:t>to</w:t>
      </w:r>
      <w:r w:rsidRPr="00A651F8">
        <w:t xml:space="preserve"> LGBTQA+ people with disability to become </w:t>
      </w:r>
      <w:r>
        <w:t>peer mentors, supporters, or skilled and employed professionals</w:t>
      </w:r>
      <w:r w:rsidRPr="00A651F8">
        <w:t xml:space="preserve"> in family violence, mental health and suicide prevention so as to reduce, and mitigate, the abuse and neglect of people with disability. </w:t>
      </w:r>
    </w:p>
    <w:p w14:paraId="7618AB98" w14:textId="77777777" w:rsidR="009D0006" w:rsidRPr="00677968" w:rsidRDefault="009D0006" w:rsidP="009425C3">
      <w:pPr>
        <w:pStyle w:val="Heading3"/>
      </w:pPr>
      <w:bookmarkStart w:id="156" w:name="_Toc95318495"/>
      <w:bookmarkStart w:id="157" w:name="_Toc115968488"/>
      <w:r w:rsidRPr="00677968">
        <w:t>Recommendations for community-level intervention</w:t>
      </w:r>
      <w:bookmarkEnd w:id="156"/>
      <w:bookmarkEnd w:id="157"/>
    </w:p>
    <w:p w14:paraId="2B7BDA6F" w14:textId="77777777" w:rsidR="009D0006" w:rsidRPr="0046729C" w:rsidRDefault="009D0006" w:rsidP="0046729C">
      <w:pPr>
        <w:pStyle w:val="Bulletlist"/>
      </w:pPr>
      <w:r>
        <w:rPr>
          <w:b/>
          <w:bCs/>
        </w:rPr>
        <w:t>Best practice guidance and funded strategies to improve intersectional inclusion and cultural safety.</w:t>
      </w:r>
      <w:r>
        <w:rPr>
          <w:rFonts w:ascii="Calibri" w:hAnsi="Calibri"/>
        </w:rPr>
        <w:t> </w:t>
      </w:r>
      <w:r>
        <w:t xml:space="preserve">Experts in LGBTIQA+ inclusive practice and cultural safety, as well as experts in best-practice disability accessibility support frameworks, standards and quality safeguards, should be funded to collaborate on, and co-design with LGBTIQA+ people with disability, a range of resources, recommendations and guidelines to improve the holistic accessibility and safety of </w:t>
      </w:r>
      <w:r w:rsidRPr="0046729C">
        <w:t>LGBTIQA+ people with disability in all service and community settings where they currently experience ableist, heteronormative or cisnormative barriers to their equitable access. These should bring together key principles, frameworks and best-practice standards from each area to inform guidelines and capacity building strategies for application in disability service settings, LGBTQA+ communities and community venues, in schools and in the broader community. These may include, but not be limited to:</w:t>
      </w:r>
    </w:p>
    <w:p w14:paraId="4977A3AC" w14:textId="77777777" w:rsidR="009D0006" w:rsidRPr="00022129" w:rsidRDefault="009D0006" w:rsidP="0046729C">
      <w:pPr>
        <w:pStyle w:val="Bulletlist"/>
        <w:numPr>
          <w:ilvl w:val="0"/>
          <w:numId w:val="12"/>
        </w:numPr>
        <w:tabs>
          <w:tab w:val="clear" w:pos="720"/>
          <w:tab w:val="clear" w:pos="1077"/>
          <w:tab w:val="clear" w:pos="1418"/>
        </w:tabs>
        <w:ind w:left="1134" w:hanging="425"/>
        <w:rPr>
          <w:lang w:val="en-GB"/>
        </w:rPr>
      </w:pPr>
      <w:r w:rsidRPr="00022129">
        <w:rPr>
          <w:lang w:val="en-GB"/>
        </w:rPr>
        <w:lastRenderedPageBreak/>
        <w:t xml:space="preserve">Guidelines </w:t>
      </w:r>
      <w:r>
        <w:rPr>
          <w:lang w:val="en-GB"/>
        </w:rPr>
        <w:t xml:space="preserve">and grant funding programs </w:t>
      </w:r>
      <w:r w:rsidRPr="00022129">
        <w:rPr>
          <w:lang w:val="en-GB"/>
        </w:rPr>
        <w:t>for LGBTIQA+ venues on improv</w:t>
      </w:r>
      <w:r>
        <w:rPr>
          <w:lang w:val="en-GB"/>
        </w:rPr>
        <w:t>ing</w:t>
      </w:r>
      <w:r w:rsidRPr="00022129">
        <w:rPr>
          <w:lang w:val="en-GB"/>
        </w:rPr>
        <w:t xml:space="preserve"> accessibility for </w:t>
      </w:r>
      <w:r>
        <w:rPr>
          <w:lang w:val="en-GB"/>
        </w:rPr>
        <w:t xml:space="preserve">people with </w:t>
      </w:r>
      <w:r w:rsidRPr="00022129">
        <w:rPr>
          <w:lang w:val="en-GB"/>
        </w:rPr>
        <w:t>physical, sensory and intellectual disability.</w:t>
      </w:r>
    </w:p>
    <w:p w14:paraId="0DCEE50A" w14:textId="77777777" w:rsidR="009D0006" w:rsidRPr="00022129" w:rsidRDefault="009D0006" w:rsidP="0046729C">
      <w:pPr>
        <w:pStyle w:val="Bulletlist"/>
        <w:numPr>
          <w:ilvl w:val="0"/>
          <w:numId w:val="12"/>
        </w:numPr>
        <w:tabs>
          <w:tab w:val="clear" w:pos="720"/>
          <w:tab w:val="clear" w:pos="1077"/>
          <w:tab w:val="left" w:pos="1134"/>
          <w:tab w:val="left" w:pos="1276"/>
        </w:tabs>
        <w:ind w:left="1134" w:hanging="425"/>
        <w:rPr>
          <w:lang w:val="en-GB"/>
        </w:rPr>
      </w:pPr>
      <w:r w:rsidRPr="00022129">
        <w:rPr>
          <w:lang w:val="en-GB"/>
        </w:rPr>
        <w:t>Easy English interpretations of LGBTIQ</w:t>
      </w:r>
      <w:r>
        <w:rPr>
          <w:lang w:val="en-GB"/>
        </w:rPr>
        <w:t>A+</w:t>
      </w:r>
      <w:r w:rsidRPr="00022129">
        <w:rPr>
          <w:lang w:val="en-GB"/>
        </w:rPr>
        <w:t xml:space="preserve"> </w:t>
      </w:r>
      <w:r>
        <w:rPr>
          <w:lang w:val="en-GB"/>
        </w:rPr>
        <w:t xml:space="preserve">community-controlled and peer support </w:t>
      </w:r>
      <w:r w:rsidRPr="00022129">
        <w:rPr>
          <w:lang w:val="en-GB"/>
        </w:rPr>
        <w:t>service</w:t>
      </w:r>
      <w:r>
        <w:rPr>
          <w:lang w:val="en-GB"/>
        </w:rPr>
        <w:t>’s</w:t>
      </w:r>
      <w:r w:rsidRPr="00022129">
        <w:rPr>
          <w:lang w:val="en-GB"/>
        </w:rPr>
        <w:t xml:space="preserve"> ephemera and campaigns</w:t>
      </w:r>
      <w:r>
        <w:rPr>
          <w:lang w:val="en-GB"/>
        </w:rPr>
        <w:t>.</w:t>
      </w:r>
      <w:r w:rsidRPr="00022129">
        <w:rPr>
          <w:lang w:val="en-GB"/>
        </w:rPr>
        <w:t xml:space="preserve">  </w:t>
      </w:r>
    </w:p>
    <w:p w14:paraId="55356528" w14:textId="77777777" w:rsidR="009D0006" w:rsidRDefault="009D0006" w:rsidP="0046729C">
      <w:pPr>
        <w:pStyle w:val="Bulletlist"/>
        <w:numPr>
          <w:ilvl w:val="0"/>
          <w:numId w:val="12"/>
        </w:numPr>
        <w:tabs>
          <w:tab w:val="clear" w:pos="720"/>
          <w:tab w:val="clear" w:pos="1077"/>
          <w:tab w:val="left" w:pos="1134"/>
          <w:tab w:val="left" w:pos="1276"/>
        </w:tabs>
        <w:ind w:left="1134" w:hanging="425"/>
        <w:rPr>
          <w:lang w:val="en-GB"/>
        </w:rPr>
      </w:pPr>
      <w:r w:rsidRPr="00022129">
        <w:rPr>
          <w:lang w:val="en-GB"/>
        </w:rPr>
        <w:t xml:space="preserve">A disability </w:t>
      </w:r>
      <w:r>
        <w:rPr>
          <w:lang w:val="en-GB"/>
        </w:rPr>
        <w:t xml:space="preserve">service </w:t>
      </w:r>
      <w:r w:rsidRPr="00022129">
        <w:rPr>
          <w:lang w:val="en-GB"/>
        </w:rPr>
        <w:t xml:space="preserve">sector specific application tool and interpretation of accrediting evidence for the Rainbow Tick </w:t>
      </w:r>
      <w:r>
        <w:rPr>
          <w:lang w:val="en-GB"/>
        </w:rPr>
        <w:t>framework and accreditation standards.</w:t>
      </w:r>
    </w:p>
    <w:p w14:paraId="7C769608" w14:textId="77777777" w:rsidR="009D0006" w:rsidRDefault="009D0006" w:rsidP="0046729C">
      <w:pPr>
        <w:pStyle w:val="Bulletlist"/>
        <w:numPr>
          <w:ilvl w:val="0"/>
          <w:numId w:val="12"/>
        </w:numPr>
        <w:tabs>
          <w:tab w:val="clear" w:pos="720"/>
          <w:tab w:val="clear" w:pos="1077"/>
          <w:tab w:val="left" w:pos="1134"/>
          <w:tab w:val="left" w:pos="1276"/>
        </w:tabs>
        <w:ind w:left="1134" w:hanging="425"/>
        <w:rPr>
          <w:lang w:val="en-GB"/>
        </w:rPr>
      </w:pPr>
      <w:r>
        <w:rPr>
          <w:lang w:val="en-GB"/>
        </w:rPr>
        <w:t>Campaigns and programs combatting and preventing bullying of LGBTIQA+ young people with disability in mainstream and disability specialist schools.</w:t>
      </w:r>
    </w:p>
    <w:p w14:paraId="6C669D53" w14:textId="77777777" w:rsidR="009D0006" w:rsidRPr="00022129" w:rsidRDefault="009D0006" w:rsidP="0046729C">
      <w:pPr>
        <w:pStyle w:val="Bulletlist"/>
        <w:numPr>
          <w:ilvl w:val="0"/>
          <w:numId w:val="12"/>
        </w:numPr>
        <w:tabs>
          <w:tab w:val="clear" w:pos="720"/>
          <w:tab w:val="clear" w:pos="1077"/>
          <w:tab w:val="left" w:pos="1134"/>
          <w:tab w:val="left" w:pos="1276"/>
        </w:tabs>
        <w:ind w:left="1134" w:hanging="425"/>
        <w:rPr>
          <w:lang w:val="en-GB"/>
        </w:rPr>
      </w:pPr>
      <w:r>
        <w:rPr>
          <w:lang w:val="en-GB"/>
        </w:rPr>
        <w:t>Guidelines and teaching tools for LGBTIQ inclusion within sexuality and relationship education curriculum and programs at disability specialist schools.</w:t>
      </w:r>
    </w:p>
    <w:p w14:paraId="37AE7310" w14:textId="77777777" w:rsidR="009D0006" w:rsidRDefault="009D0006" w:rsidP="0046729C">
      <w:pPr>
        <w:pStyle w:val="Bulletlist"/>
        <w:numPr>
          <w:ilvl w:val="0"/>
          <w:numId w:val="12"/>
        </w:numPr>
        <w:tabs>
          <w:tab w:val="clear" w:pos="720"/>
          <w:tab w:val="clear" w:pos="1077"/>
          <w:tab w:val="left" w:pos="1134"/>
          <w:tab w:val="left" w:pos="1276"/>
        </w:tabs>
        <w:ind w:left="1134" w:hanging="425"/>
        <w:rPr>
          <w:lang w:val="en-GB"/>
        </w:rPr>
      </w:pPr>
      <w:r>
        <w:rPr>
          <w:lang w:val="en-GB"/>
        </w:rPr>
        <w:t xml:space="preserve">Guidelines for facilitating peer and social support programs for Rainbow Families with children with disability. </w:t>
      </w:r>
    </w:p>
    <w:p w14:paraId="3A80F4AB" w14:textId="77777777" w:rsidR="009D0006" w:rsidRDefault="009D0006" w:rsidP="0046729C">
      <w:pPr>
        <w:pStyle w:val="Bulletlist"/>
        <w:numPr>
          <w:ilvl w:val="0"/>
          <w:numId w:val="12"/>
        </w:numPr>
        <w:tabs>
          <w:tab w:val="clear" w:pos="720"/>
          <w:tab w:val="clear" w:pos="1077"/>
          <w:tab w:val="left" w:pos="1134"/>
          <w:tab w:val="left" w:pos="1276"/>
        </w:tabs>
        <w:ind w:left="1134" w:hanging="425"/>
        <w:rPr>
          <w:lang w:val="en-GB"/>
        </w:rPr>
      </w:pPr>
      <w:r>
        <w:rPr>
          <w:lang w:val="en-GB"/>
        </w:rPr>
        <w:t>Training programs for Auslan interpreters on LGBTIQA+ inclusion and cultural safety.</w:t>
      </w:r>
    </w:p>
    <w:p w14:paraId="00372562" w14:textId="77777777" w:rsidR="009D0006" w:rsidRPr="005803FC" w:rsidRDefault="009D0006" w:rsidP="0046729C">
      <w:pPr>
        <w:pStyle w:val="Bulletlist"/>
        <w:numPr>
          <w:ilvl w:val="0"/>
          <w:numId w:val="12"/>
        </w:numPr>
        <w:tabs>
          <w:tab w:val="clear" w:pos="720"/>
          <w:tab w:val="clear" w:pos="1077"/>
          <w:tab w:val="left" w:pos="1134"/>
          <w:tab w:val="left" w:pos="1276"/>
        </w:tabs>
        <w:ind w:left="1134" w:hanging="425"/>
        <w:rPr>
          <w:lang w:val="en-GB"/>
        </w:rPr>
      </w:pPr>
      <w:r>
        <w:rPr>
          <w:lang w:val="en-GB"/>
        </w:rPr>
        <w:t xml:space="preserve">Primary-prevention campaigns centring the voices of lived experience from LGBTIQA+ people with disability targeting ableist attitudes in the LGBTIQA+ communities as well as campaigns that target homophobia, biphobia and transphobia in disability communities. </w:t>
      </w:r>
    </w:p>
    <w:p w14:paraId="5EA1CB3C" w14:textId="77777777" w:rsidR="009D0006" w:rsidRPr="00677968" w:rsidRDefault="009D0006" w:rsidP="009425C3">
      <w:pPr>
        <w:pStyle w:val="Heading3"/>
      </w:pPr>
      <w:bookmarkStart w:id="158" w:name="_Toc95318496"/>
      <w:bookmarkStart w:id="159" w:name="_Toc115968489"/>
      <w:r w:rsidRPr="00677968">
        <w:t>Recommendations for future research</w:t>
      </w:r>
      <w:bookmarkEnd w:id="158"/>
      <w:bookmarkEnd w:id="159"/>
    </w:p>
    <w:p w14:paraId="7FFEA432" w14:textId="77777777" w:rsidR="009D0006" w:rsidRDefault="009D0006" w:rsidP="0046729C">
      <w:pPr>
        <w:pStyle w:val="Bulletlist"/>
      </w:pPr>
      <w:r w:rsidRPr="00A651F8">
        <w:rPr>
          <w:b/>
          <w:bCs/>
        </w:rPr>
        <w:t>Funding of community participatory research</w:t>
      </w:r>
      <w:r w:rsidRPr="00A651F8">
        <w:t xml:space="preserve"> that specifically examines the life experiences of LGBTQA+ adults and young people with disability and is co-designed with participants</w:t>
      </w:r>
      <w:r>
        <w:t xml:space="preserve"> and peer researchers</w:t>
      </w:r>
      <w:r w:rsidRPr="00A651F8">
        <w:t xml:space="preserve"> to ensure that methodologies are in formats that work for them and can ensure participation of people with diverse disabilities. Further knowledge is needed of the specific contexts or circumstances that give rise to experiences of violence, abuse, neglect or exploitation, as well as ways in which these may vary depending on intersecting backgrounds </w:t>
      </w:r>
      <w:r>
        <w:t xml:space="preserve">within LGBTIQ populations </w:t>
      </w:r>
      <w:r w:rsidRPr="00A651F8">
        <w:t>such as cultural backgrounds or for First Nations peoples</w:t>
      </w:r>
      <w:r>
        <w:t xml:space="preserve"> with disabilities</w:t>
      </w:r>
      <w:r w:rsidRPr="00A651F8">
        <w:t xml:space="preserve">. </w:t>
      </w:r>
    </w:p>
    <w:p w14:paraId="66EE13DD" w14:textId="77777777" w:rsidR="009D0006" w:rsidRDefault="009D0006" w:rsidP="0046729C">
      <w:pPr>
        <w:pStyle w:val="Bulletlist"/>
        <w:numPr>
          <w:ilvl w:val="0"/>
          <w:numId w:val="13"/>
        </w:numPr>
        <w:tabs>
          <w:tab w:val="clear" w:pos="720"/>
          <w:tab w:val="clear" w:pos="1077"/>
          <w:tab w:val="left" w:pos="1276"/>
        </w:tabs>
        <w:ind w:left="1134"/>
      </w:pPr>
      <w:r w:rsidRPr="00A651F8">
        <w:t>This research should include, but not be limited to, the building of new knowledge regarding the types of perpetrators</w:t>
      </w:r>
      <w:r>
        <w:t xml:space="preserve"> of violence and abuse</w:t>
      </w:r>
      <w:r w:rsidRPr="00A651F8">
        <w:t xml:space="preserve">, how instances of abuse are identified and addressed or go unaddressed, </w:t>
      </w:r>
      <w:r>
        <w:t>and</w:t>
      </w:r>
      <w:r w:rsidRPr="00A651F8">
        <w:t xml:space="preserve"> experiences or barriers in accessing </w:t>
      </w:r>
      <w:r>
        <w:t xml:space="preserve">LGBTIQ affirming sexuality and </w:t>
      </w:r>
      <w:r>
        <w:lastRenderedPageBreak/>
        <w:t xml:space="preserve">relationship education and LGBTIQ affirming </w:t>
      </w:r>
      <w:r w:rsidRPr="00A651F8">
        <w:t>support</w:t>
      </w:r>
      <w:r>
        <w:t>s.</w:t>
      </w:r>
      <w:r w:rsidRPr="00A651F8">
        <w:t xml:space="preserve"> Further qualitative research that can provide a more nuanced understanding of settings and services where LGBTQA+ people with disability feel included and </w:t>
      </w:r>
      <w:r>
        <w:t>supported</w:t>
      </w:r>
      <w:r w:rsidRPr="00A651F8">
        <w:t xml:space="preserve"> </w:t>
      </w:r>
      <w:r>
        <w:t xml:space="preserve">in all aspects of their identity and experiences </w:t>
      </w:r>
      <w:r w:rsidRPr="00A651F8">
        <w:t>may also enable services to better meet their needs</w:t>
      </w:r>
      <w:r>
        <w:t xml:space="preserve"> as well as prevent or mitigate the impact of violence, abuse, neglect and exploitation</w:t>
      </w:r>
      <w:r w:rsidRPr="00A651F8">
        <w:t>.</w:t>
      </w:r>
    </w:p>
    <w:p w14:paraId="567CEF4F" w14:textId="77777777" w:rsidR="009D0006" w:rsidRDefault="009D0006" w:rsidP="0046729C">
      <w:pPr>
        <w:pStyle w:val="Bulletlist"/>
      </w:pPr>
      <w:r w:rsidRPr="00A651F8">
        <w:rPr>
          <w:b/>
          <w:bCs/>
        </w:rPr>
        <w:t>Qualitative research</w:t>
      </w:r>
      <w:r w:rsidRPr="00A651F8">
        <w:t xml:space="preserve">. While this report provides an overview of the nature and impact of violence, abuse, neglect or exploitation experienced by LGBTQA+ people with disability, qualitative research beyond that of survey groups is also necessary to gain a more nuanced understanding of </w:t>
      </w:r>
      <w:r>
        <w:t xml:space="preserve">the experiences of </w:t>
      </w:r>
      <w:r w:rsidRPr="00A651F8">
        <w:t xml:space="preserve">these populations. </w:t>
      </w:r>
      <w:r>
        <w:t xml:space="preserve">Additionally, </w:t>
      </w:r>
      <w:r w:rsidRPr="00A651F8">
        <w:t>LGBTQA+ people with intellectual, sensory or physical disability in particular face barriers to participate in many forms of research</w:t>
      </w:r>
      <w:r>
        <w:t xml:space="preserve">, but especially surveys, while </w:t>
      </w:r>
      <w:r w:rsidRPr="00A651F8">
        <w:t>qualitative research such as supported interviews would help to ensure their voices are heard</w:t>
      </w:r>
      <w:r>
        <w:t>. This research needs to be</w:t>
      </w:r>
      <w:r w:rsidRPr="00A651F8">
        <w:t xml:space="preserve"> appropriately funded to be accessible in its data gathering methodology and its frameworks for empowering the involvement of self-advocate peer-researchers at every step.  </w:t>
      </w:r>
    </w:p>
    <w:p w14:paraId="11F5845E" w14:textId="77777777" w:rsidR="009D0006" w:rsidRDefault="009D0006" w:rsidP="0046729C">
      <w:pPr>
        <w:pStyle w:val="Bulletlist"/>
      </w:pPr>
      <w:r w:rsidRPr="00A651F8">
        <w:rPr>
          <w:b/>
          <w:bCs/>
        </w:rPr>
        <w:t>Research that reflects the experiences of people with an intersex variation</w:t>
      </w:r>
      <w:r w:rsidRPr="00A651F8">
        <w:t xml:space="preserve">. As detailed in the methodology chapter, this report was unable to describe the experiences of people with disability who have an intersex variation. As further detailed in the </w:t>
      </w:r>
      <w:r w:rsidRPr="00A651F8">
        <w:rPr>
          <w:i/>
        </w:rPr>
        <w:t xml:space="preserve">Writing </w:t>
      </w:r>
      <w:r w:rsidRPr="00970040">
        <w:rPr>
          <w:i/>
        </w:rPr>
        <w:t>Themselves In 4</w:t>
      </w:r>
      <w:r w:rsidRPr="00970040">
        <w:fldChar w:fldCharType="begin"/>
      </w:r>
      <w:r>
        <w:instrText xml:space="preserve"> ADDIN ZOTERO_ITEM CSL_CITATION {"citationID":"onIVcSQU","properties":{"formattedCitation":"(1)","plainCitation":"(1)","noteIndex":0},"citationItems":[{"id":"hc6yy1rM/ZY4LR28S","uris":["http://zotero.org/users/4948307/items/7BM38QY5"],"itemData":{"id":3331,"type":"report","abstract":"The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970040">
        <w:fldChar w:fldCharType="separate"/>
      </w:r>
      <w:r>
        <w:rPr>
          <w:lang w:val="en-GB"/>
        </w:rPr>
        <w:t>(1)</w:t>
      </w:r>
      <w:r w:rsidRPr="00970040">
        <w:fldChar w:fldCharType="end"/>
      </w:r>
      <w:r w:rsidRPr="00970040">
        <w:t xml:space="preserve"> and </w:t>
      </w:r>
      <w:r w:rsidRPr="00970040">
        <w:rPr>
          <w:i/>
        </w:rPr>
        <w:t>Private Lives 3</w:t>
      </w:r>
      <w:r w:rsidRPr="00970040">
        <w:fldChar w:fldCharType="begin"/>
      </w:r>
      <w:r>
        <w:instrText xml:space="preserve"> ADDIN ZOTERO_ITEM CSL_CITATION {"citationID":"s4mwNiea","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970040">
        <w:fldChar w:fldCharType="separate"/>
      </w:r>
      <w:r>
        <w:rPr>
          <w:lang w:val="en-GB"/>
        </w:rPr>
        <w:t>(2)</w:t>
      </w:r>
      <w:r w:rsidRPr="00970040">
        <w:fldChar w:fldCharType="end"/>
      </w:r>
      <w:r w:rsidRPr="00970040">
        <w:t xml:space="preserve"> national</w:t>
      </w:r>
      <w:r w:rsidRPr="00A651F8">
        <w:t xml:space="preserve"> reports, many people with </w:t>
      </w:r>
      <w:r>
        <w:t xml:space="preserve">an </w:t>
      </w:r>
      <w:r w:rsidRPr="00A651F8">
        <w:t>intersex variation</w:t>
      </w:r>
      <w:r>
        <w:t xml:space="preserve"> or variations</w:t>
      </w:r>
      <w:r w:rsidRPr="00A651F8">
        <w:t xml:space="preserve"> are unlikely to identify as belonging to an LGBTIQA+ population and therefore may not participate in research that is targeted to this broader group. It is therefore important to conduct studies that specifically focus on people with intersex variations to gain adequate and appropriate knowledge of the experiences of those with disability.  </w:t>
      </w:r>
    </w:p>
    <w:p w14:paraId="12E3B563" w14:textId="77777777" w:rsidR="009D0006" w:rsidRPr="00A651F8" w:rsidRDefault="009D0006" w:rsidP="0046729C">
      <w:pPr>
        <w:pStyle w:val="Bulletlist"/>
      </w:pPr>
      <w:r w:rsidRPr="00A651F8">
        <w:rPr>
          <w:b/>
          <w:bCs/>
        </w:rPr>
        <w:t>Focussed research among First Nations LGBTQA+ people with disability</w:t>
      </w:r>
      <w:r w:rsidRPr="00A651F8">
        <w:t xml:space="preserve">. In order to attain a holistic understanding of experiences of First Nations LGBTQA+ people with disability, specific, culturally situated research to explore their experiences relating to health, wellbeing, violence, abuse and neglect is required. This research should be led by First Nations researchers and organisations. </w:t>
      </w:r>
    </w:p>
    <w:p w14:paraId="44B24306" w14:textId="77777777" w:rsidR="009D0006" w:rsidRDefault="009D0006" w:rsidP="0046729C">
      <w:pPr>
        <w:pStyle w:val="Bulletlist"/>
      </w:pPr>
      <w:r w:rsidRPr="00D47F68">
        <w:rPr>
          <w:b/>
          <w:bCs/>
        </w:rPr>
        <w:t>Focussed research among trans and gender diverse people with disability.</w:t>
      </w:r>
      <w:r>
        <w:t xml:space="preserve"> </w:t>
      </w:r>
      <w:r w:rsidRPr="00A651F8">
        <w:t xml:space="preserve">Similarly, trans and gender diverse people report the highest rates of disability and some of the poorest health and wellbeing among LGBTQA+ people. In order to reflect their unique experiences, treatment and mistreatment, specific qualitative </w:t>
      </w:r>
      <w:r w:rsidRPr="00A651F8">
        <w:lastRenderedPageBreak/>
        <w:t xml:space="preserve">research and targeted interviews </w:t>
      </w:r>
      <w:r>
        <w:t>with</w:t>
      </w:r>
      <w:r w:rsidRPr="00A651F8">
        <w:t xml:space="preserve"> trans and gender diverse people co</w:t>
      </w:r>
      <w:r>
        <w:t>-</w:t>
      </w:r>
      <w:r w:rsidRPr="00A651F8">
        <w:t>designed with trans and gender diverse people with disability will provide a greater understanding of their specific experiences relating to health, wellbeing</w:t>
      </w:r>
      <w:r>
        <w:t xml:space="preserve">, </w:t>
      </w:r>
      <w:r w:rsidRPr="00A651F8">
        <w:t xml:space="preserve">violence </w:t>
      </w:r>
      <w:r>
        <w:t xml:space="preserve">and </w:t>
      </w:r>
      <w:r w:rsidRPr="00A651F8">
        <w:t>neglect.</w:t>
      </w:r>
    </w:p>
    <w:p w14:paraId="05C20F88" w14:textId="77777777" w:rsidR="009D0006" w:rsidRDefault="009D0006" w:rsidP="0046729C">
      <w:pPr>
        <w:pStyle w:val="Bulletlist"/>
      </w:pPr>
      <w:r w:rsidRPr="00A651F8">
        <w:rPr>
          <w:b/>
          <w:bCs/>
        </w:rPr>
        <w:t>Reform of the Standardised Disability Flag Module</w:t>
      </w:r>
      <w:r w:rsidRPr="00A651F8">
        <w:t xml:space="preserve">. The visibility of people with disability, and the nature and quality of data that can be used to inform decision making, is crucial to mounting an effective response to violence, abuse and neglect of people with disability. The </w:t>
      </w:r>
      <w:r>
        <w:t>D</w:t>
      </w:r>
      <w:r w:rsidRPr="00A651F8">
        <w:t xml:space="preserve">isability </w:t>
      </w:r>
      <w:r>
        <w:t>F</w:t>
      </w:r>
      <w:r w:rsidRPr="00A651F8">
        <w:t>lag requires revision in ways that move towards social models of health and acknowledge the role of enabling (or disabling) environments, rather than placing emphasis solely on the person with disability.</w:t>
      </w:r>
    </w:p>
    <w:p w14:paraId="00DA796D" w14:textId="77777777" w:rsidR="009D0006" w:rsidRPr="00A651F8" w:rsidRDefault="009D0006" w:rsidP="0046729C">
      <w:pPr>
        <w:pStyle w:val="Bulletlist"/>
        <w:rPr>
          <w:lang w:val="en-GB"/>
        </w:rPr>
      </w:pPr>
      <w:r w:rsidRPr="00A651F8">
        <w:rPr>
          <w:b/>
          <w:bCs/>
          <w:lang w:val="en-GB"/>
        </w:rPr>
        <w:t>Periodic monitoring</w:t>
      </w:r>
      <w:r w:rsidRPr="00A651F8">
        <w:rPr>
          <w:lang w:val="en-GB"/>
        </w:rPr>
        <w:t xml:space="preserve">. Ongoing funding is required to enable surveys that can track LGBTQA+ health and wellbeing over time and review of national and state-based </w:t>
      </w:r>
      <w:r>
        <w:rPr>
          <w:lang w:val="en-GB"/>
        </w:rPr>
        <w:t xml:space="preserve">data collection instrument (e.g., </w:t>
      </w:r>
      <w:r w:rsidRPr="00A651F8">
        <w:rPr>
          <w:lang w:val="en-GB"/>
        </w:rPr>
        <w:t>health</w:t>
      </w:r>
      <w:r>
        <w:rPr>
          <w:lang w:val="en-GB"/>
        </w:rPr>
        <w:t xml:space="preserve"> service intake, </w:t>
      </w:r>
      <w:r w:rsidRPr="00A651F8">
        <w:rPr>
          <w:lang w:val="en-GB"/>
        </w:rPr>
        <w:t>coronial data</w:t>
      </w:r>
      <w:r>
        <w:rPr>
          <w:lang w:val="en-GB"/>
        </w:rPr>
        <w:t>, experiences of crime, community attitudinal surveys, household surveys) and</w:t>
      </w:r>
      <w:r w:rsidRPr="00A651F8">
        <w:rPr>
          <w:lang w:val="en-GB"/>
        </w:rPr>
        <w:t xml:space="preserve"> reporting to ensure inclusion of questions that adequately capture disability, sexual orientation, gender identity and intersex variations.</w:t>
      </w:r>
    </w:p>
    <w:p w14:paraId="5870F3BB" w14:textId="77777777" w:rsidR="009D0006" w:rsidRDefault="009D0006" w:rsidP="0046729C">
      <w:pPr>
        <w:rPr>
          <w:lang w:val="en-GB"/>
        </w:rPr>
      </w:pPr>
      <w:r>
        <w:rPr>
          <w:lang w:val="en-GB"/>
        </w:rPr>
        <w:t xml:space="preserve">Please see Chapter 14 for further information and context regarding the recommendations. </w:t>
      </w:r>
    </w:p>
    <w:p w14:paraId="0043426D" w14:textId="77777777" w:rsidR="009D0006" w:rsidRDefault="009D0006" w:rsidP="009D0006">
      <w:pPr>
        <w:rPr>
          <w:rFonts w:ascii="Roboto" w:eastAsia="MS Mincho" w:hAnsi="Roboto" w:cs="Arial"/>
          <w:color w:val="000000" w:themeColor="text1"/>
          <w:spacing w:val="5"/>
          <w:sz w:val="22"/>
          <w:lang w:bidi="en-US"/>
        </w:rPr>
      </w:pPr>
      <w:r>
        <w:rPr>
          <w:rFonts w:ascii="Roboto" w:eastAsia="MS Mincho" w:hAnsi="Roboto" w:cs="Arial"/>
          <w:color w:val="000000" w:themeColor="text1"/>
          <w:spacing w:val="5"/>
          <w:sz w:val="22"/>
          <w:lang w:bidi="en-US"/>
        </w:rPr>
        <w:br w:type="page"/>
      </w:r>
    </w:p>
    <w:p w14:paraId="2F580758" w14:textId="4C880457" w:rsidR="009D0006" w:rsidRPr="006E4CDB" w:rsidRDefault="009D0006" w:rsidP="00153892">
      <w:pPr>
        <w:pStyle w:val="Heading1Numbered"/>
      </w:pPr>
      <w:bookmarkStart w:id="160" w:name="_Toc115968490"/>
      <w:bookmarkStart w:id="161" w:name="_Toc119662388"/>
      <w:r w:rsidRPr="006E4CDB">
        <w:lastRenderedPageBreak/>
        <w:t>Background</w:t>
      </w:r>
      <w:bookmarkEnd w:id="160"/>
      <w:bookmarkEnd w:id="161"/>
    </w:p>
    <w:p w14:paraId="5F1E9A34" w14:textId="77777777" w:rsidR="009D0006" w:rsidRPr="006E4CDB" w:rsidRDefault="009D0006" w:rsidP="009D0006">
      <w:r w:rsidRPr="006E4CDB">
        <w:t xml:space="preserve">This report was compiled to inform the Royal Commission into Violence, Abuse, Neglect and Exploitation of People with Disability. It presents data on the experiences of lesbian, gay, bisexual, trans and gender diverse, queer and asexual (LGBTQA+) people with disability in Australia. These data are from two large national surveys, </w:t>
      </w:r>
      <w:r w:rsidRPr="00F77C35">
        <w:rPr>
          <w:i/>
        </w:rPr>
        <w:t>Writing Themselves In 4</w:t>
      </w:r>
      <w:r>
        <w:fldChar w:fldCharType="begin"/>
      </w:r>
      <w:r>
        <w:instrText xml:space="preserve"> ADDIN ZOTERO_ITEM CSL_CITATION {"citationID":"VRfKtDMx","properties":{"formattedCitation":"(1)","plainCitation":"(1)","noteIndex":0},"citationItems":[{"id":"hc6yy1rM/ZY4LR28S","uris":["http://zotero.org/users/4948307/items/7BM38QY5"],"itemData":{"id":3331,"type":"report","abstract":"The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ZGP8E8By","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rsidRPr="006E4CDB">
        <w:t xml:space="preserve">, which were conducted in 2019. </w:t>
      </w:r>
      <w:r w:rsidRPr="006E4CDB">
        <w:rPr>
          <w:i/>
          <w:iCs/>
        </w:rPr>
        <w:t>Writing Themselves In 4</w:t>
      </w:r>
      <w:r w:rsidRPr="006E4CDB">
        <w:t xml:space="preserve"> focused on young people aged 14-21 years</w:t>
      </w:r>
      <w:r w:rsidRPr="006E4CDB">
        <w:rPr>
          <w:i/>
          <w:iCs/>
        </w:rPr>
        <w:t xml:space="preserve"> </w:t>
      </w:r>
      <w:r w:rsidRPr="006E4CDB">
        <w:t xml:space="preserve">and </w:t>
      </w:r>
      <w:r w:rsidRPr="006E4CDB">
        <w:rPr>
          <w:i/>
          <w:iCs/>
        </w:rPr>
        <w:t>Private Lives 3</w:t>
      </w:r>
      <w:r w:rsidRPr="006E4CDB">
        <w:t xml:space="preserve"> focused on adults aged 18 years and older. </w:t>
      </w:r>
    </w:p>
    <w:p w14:paraId="340E9FF2" w14:textId="77777777" w:rsidR="009D0006" w:rsidRPr="006E4CDB" w:rsidRDefault="009D0006" w:rsidP="009D0006">
      <w:r w:rsidRPr="006E4CDB">
        <w:t xml:space="preserve">Both surveys examined diverse aspects of the lives, health and wellbeing of LGBTQA+ people. They also collected data on experiences related to violence, abuse and harassment. This report presents the results of analyses that focused on LGBTQA+ participants in these studies who reported they were living with disability. </w:t>
      </w:r>
    </w:p>
    <w:p w14:paraId="301AE5B3" w14:textId="77777777" w:rsidR="009D0006" w:rsidRDefault="009D0006" w:rsidP="009D0006">
      <w:r w:rsidRPr="006E4CDB">
        <w:t xml:space="preserve">LGBTQA+ people are often challenged by significant levels of stigma and discrimination. As detailed in the </w:t>
      </w:r>
      <w:r w:rsidRPr="006E4CDB">
        <w:rPr>
          <w:i/>
          <w:iCs/>
        </w:rPr>
        <w:t>Private Lives 3</w:t>
      </w:r>
      <w:r w:rsidRPr="006E4CDB">
        <w:t xml:space="preserve"> and </w:t>
      </w:r>
      <w:r w:rsidRPr="006E4CDB">
        <w:rPr>
          <w:i/>
          <w:iCs/>
        </w:rPr>
        <w:t>Writing Themselves In 4</w:t>
      </w:r>
      <w:r w:rsidRPr="006E4CDB">
        <w:t xml:space="preserve"> national reports, these populations experience disproportionately higher rates of mental health issues and suicide, and continue to report experiences of violence, abuse and harassment. There is currently little data available in Australia about the specific experiences of LGBTQA+ people with disability. This report was therefore compiled to bridge this </w:t>
      </w:r>
      <w:r>
        <w:t xml:space="preserve">knowledge </w:t>
      </w:r>
      <w:r w:rsidRPr="006E4CDB">
        <w:t xml:space="preserve">gap by providing results from large and recently collected national datasets to help inform the findings and conclusions of the Royal Commission. </w:t>
      </w:r>
    </w:p>
    <w:p w14:paraId="12EAD541" w14:textId="191B5E6A" w:rsidR="009D0006" w:rsidRDefault="009D0006" w:rsidP="00153892">
      <w:pPr>
        <w:pStyle w:val="Heading2Numbered"/>
        <w:numPr>
          <w:ilvl w:val="1"/>
          <w:numId w:val="19"/>
        </w:numPr>
      </w:pPr>
      <w:bookmarkStart w:id="162" w:name="_Toc115968491"/>
      <w:bookmarkStart w:id="163" w:name="_Toc119662389"/>
      <w:r>
        <w:t>LGBTQA+ people with disability</w:t>
      </w:r>
      <w:bookmarkEnd w:id="162"/>
      <w:bookmarkEnd w:id="163"/>
    </w:p>
    <w:p w14:paraId="5603CE31" w14:textId="77777777" w:rsidR="009D0006" w:rsidRDefault="009D0006" w:rsidP="009D0006">
      <w:r>
        <w:t xml:space="preserve">A growing body of research literature, as well as government policies and strategies, recognise the unique needs and experiences of LGBTQA+ people from varied intersectional communities, including those with disability. This intersection of identities and experiences can shape diverse health and social outcomes, and can influence how people are treated within health and human services. </w:t>
      </w:r>
    </w:p>
    <w:p w14:paraId="6B0A14C0" w14:textId="77777777" w:rsidR="009D0006" w:rsidRDefault="009D0006" w:rsidP="009D0006">
      <w:r>
        <w:t>Australian and international studies have documented high rates of harassment or abuse among LGBTQA+ young people</w:t>
      </w:r>
      <w:r>
        <w:fldChar w:fldCharType="begin"/>
      </w:r>
      <w:r>
        <w:instrText xml:space="preserve"> ADDIN ZOTERO_ITEM CSL_CITATION {"citationID":"hFgg8MVL","properties":{"formattedCitation":"(6\\uc0\\u8211{}8)","plainCitation":"(6–8)","noteIndex":0},"citationItems":[{"id":2913,"uris":["http://zotero.org/groups/2463045/items/PRSQZASQ"],"itemData":{"id":2913,"type":"article-journal","abstract":"Despite prejudice-based harassment's associations with serious physical and mental health risks, research examining multiple forms of harassment among children/adolescents is lacking. This study documents the prevalence of prejudice-based harassment (i.e., harassment on the basis of gender, race/ethnicity, weight or physical appearance, sexual orientation, and disability status) among a large, statewide, school-based Midwestern U.S. sample of 162,034 adolescents. Weight-/appearance-based harassment was most prevalent among both girls (25.3%) and boys (19.8%). Adolescents from certain vulnerable groups experienced higher rates of multiple types of harassment, even when controlling for other sociodemographic characteristics. Prejudice-based harassment experiences are prevalent among adolescent girls and boys. Differential rates of each type of harassment are reported across groups within the corresponding sociodemographic status (e.g., white female adolescents report a significantly lower rate of race-based harassment (4.8%), as compared to Native American (18.6%), mixed/other race (18.9%), Hispanic/Latina (21.5%), Asian/Pacific Islander (24.2%), or Black/African American (24.8%) female adolescents); but a pattern of cross-harassment also is evident, such that differences in prevalence of each harassment type emerge across a variety of statuses (e.g., disability-based harassment was statistically significantly higher among discordant heterosexual (12.7%), gay (13.0%), bisexual (15.3%), and unsure (15.3%) male adolescents than among heterosexual male (7.2%) adolescents). Adolescents from specific sociodemographic groups are particularly vulnerable to certain types of harassment.","archive":"Soc Abs (Proquest)","archive_location":"1810529361","container-title":"Journal of Adolescence","DOI":"10.1016/j.adolescence.2016.05.012","ISSN":"01401971","language":"English","page":"68","title":"Youth experiences with multiple types of prejudice-based harassment","volume":"51","author":[{"family":"Bucchianeri","given":"Michaela M."},{"family":"Gower","given":"Amy L."},{"family":"McMorris","given":"Barbara J."},{"family":"Eisenberg","given":"Marla E."}],"issued":{"date-parts":[["2016",8,10]]},"citation-key":"bucchianeriYouthExperiencesMultiple2016"}},{"id":3153,"uris":["http://zotero.org/groups/2463045/items/8ME9KSRT"],"itemData":{"id":3153,"type":"report","event-place":"Melbourne, Australia","language":"en","note":"OCLC: 976431115","publisher":"GLHV@ARCSHS, La Trobe University.","publisher-place":"Melbourne, Australia","source":"Open WorldCat","title":"The everyday experiences of lesbian, gay, bisexual, transgender and intersex (LGBTI) people living with disability","title-short":"LGBTI+ History Month","author":[{"family":"Leonard","given":"William"},{"family":"Mann","given":"Rosemary"}],"issued":{"date-parts":[["2018"]]},"citation-key":"leonardEverydayExperiencesLesbian2018"}},{"id":3436,"uris":["http://zotero.org/groups/2463045/items/QLYDDWBU"],"itemData":{"id":3436,"type":"article-journal","abstract":"This study examined the extent to which disability status, alone and in combination with other social identities, was associated with differential levels of exposure to peer victimization. Logistic analyses of survey responses from eleventh graders completing the 2008 Oregon Healthy Teen survey (N = 7,091) utilized an intersectional, intercategorical method. Findings revealed that youth with disabilities were significantly more likely to report exposure to peer victimization, compared to youth without disabilities. The highest odds of exposure to peer victimization were found among disabled sexual minority males (adjusted odds ratio [AOR] = 10.8 [5.84, 19.9]) and females (AOR = 4.0 [3.06, 5.25]). In order to effectively address the problem of peer victimization, it will be important to focus on youth with multiple marginalized identities including disability.","archive":"Soc Abs (Proquest)","archive_location":"1553753849","container-title":"Journal of School Violence","DOI":"10.1080/15388220.2014.894914","ISSN":"15388220","issue":"4","language":"English","page":"396","title":"Lost in the margins? Intersections between disability and other nondominant statuses with regard to peer victimization","volume":"13","author":[{"family":"McGee","given":"Marjorie G."}],"issued":{"date-parts":[["2014"]],"season":"2018- -24"},"citation-key":"mcgeeLostMarginsIntersections2014"}}],"schema":"https://github.com/citation-style-language/schema/raw/master/csl-citation.json"} </w:instrText>
      </w:r>
      <w:r>
        <w:fldChar w:fldCharType="separate"/>
      </w:r>
      <w:r w:rsidRPr="0065398B">
        <w:rPr>
          <w:lang w:val="en-GB"/>
        </w:rPr>
        <w:t>(6–8)</w:t>
      </w:r>
      <w:r>
        <w:fldChar w:fldCharType="end"/>
      </w:r>
      <w:r>
        <w:t>, as well as feelings of isolation or exclusion from both LGBTQA+ and disability communities</w:t>
      </w:r>
      <w:r>
        <w:fldChar w:fldCharType="begin"/>
      </w:r>
      <w:r>
        <w:instrText xml:space="preserve"> ADDIN ZOTERO_ITEM CSL_CITATION {"citationID":"vjb3qCvA","properties":{"formattedCitation":"(9)","plainCitation":"(9)","noteIndex":0},"citationItems":[{"id":3132,"uris":["http://zotero.org/groups/2463045/items/W5ZMTRQE"],"itemData":{"id":3132,"type":"article-journal","abstract":"This article explores how stigma intersects with both the disability and the lesbian communities. Despite decades of research reporting the consequences of stigma facing non-dominant groups in areas including sexual orientation and disability, lesbians continue to encounter attitudinal and environmental barriers that threaten their general health and quality of life. It is important to examine and understand the impact of the intersection of multiple threats individuals encounter as a result of their membership in multiple marginalized groups. This article examines the body of research that investigates the stigma associated with being lesbian with a disability in pursuit of the basic tenets of life and the supports and systematic change required to mitigate the associated pressures. Conclusions and implications are discussed at the end of the article.","container-title":"Journal of Rehabilitation","issue":"4","journalAbbreviation":"Journal of Rehabilitation","page":"49-56","title":"Addressing disability stigma within the lesbian community","volume":"81","author":[{"family":"Vaughn","given":"M."},{"family":"McEntee","given":"B."},{"family":"Schoen","given":"B."},{"family":"McGrady","given":"M."}],"issued":{"date-parts":[["2015"]]},"citation-key":"vaughnAddressingDisabilityStigma2015"}}],"schema":"https://github.com/citation-style-language/schema/raw/master/csl-citation.json"} </w:instrText>
      </w:r>
      <w:r>
        <w:fldChar w:fldCharType="separate"/>
      </w:r>
      <w:r>
        <w:rPr>
          <w:noProof/>
        </w:rPr>
        <w:t>(9)</w:t>
      </w:r>
      <w:r>
        <w:fldChar w:fldCharType="end"/>
      </w:r>
      <w:r>
        <w:t xml:space="preserve">. A recent qualitative study of this population in Australia documented difficulties disclosing LGBTIQ+ identities within the disability sector and feelings of exclusion from LGBTIQ+ spaces due to their </w:t>
      </w:r>
      <w:r>
        <w:lastRenderedPageBreak/>
        <w:t>disability</w:t>
      </w:r>
      <w:r>
        <w:fldChar w:fldCharType="begin"/>
      </w:r>
      <w:r>
        <w:instrText xml:space="preserve"> ADDIN ZOTERO_ITEM CSL_CITATION {"citationID":"3CsisZIt","properties":{"formattedCitation":"(10)","plainCitation":"(10)","noteIndex":0},"citationItems":[{"id":6164,"uris":["http://zotero.org/users/7230459/items/NF96KK45"],"itemData":{"id":6164,"type":"article-journal","abstract":"Healthcare and disability support services are increasing their efforts towards inclusion and recognising the needs of different groups. This research project was conducted by academic and peer researchers (LGBTIQA+ people with disability) in Victoria, Australia using four focus groups with LGBTIQA+ people with disability. We report on two overarching themes relating to participants’ experiences of accessing health services as LGBTIQA+ people with disability: difficulties in managing multiple identities and the impacts of community services and supports. Participants described having to repeatedly ‘come out’ in a range of ways and contexts as complex and layered processes in which it was difficult to present their full range of needs and experiences to services. We also found that the role of community in promoting a sense of belonging and resilience increased capacity to manage health service use and advocacy. Services and communities aiming to be inclusive to all have the opportunity to recognise and respond to the issues faced by LGBTIQA+ people with disability as a way to pay attention to how overt and subtle practices of discrimination continue to operate despite repeated attempts at or claims of being ‘inclusive.’ Our research suggests actual inclusive, accessible services can be achieved in part through policy and practice that actively responds to the specific needs of LGBTIQA+ people with disability, in addition to LGBTIQA+ education for disability services and disability and accessibility education for LGBTIQA+ focused services. As we do in this article, we argue that this work must be done by prioritising authentic participation of LGBTIQA+ people with disability in the services and research that is about them.","container-title":"International Journal of Environmental Research and Public Health","DOI":"10.3390/ijerph17218080","ISSN":"1660-4601","issue":"21","language":"en","note":"number: 21\npublisher: Multidisciplinary Digital Publishing Institute","page":"8080","source":"www.mdpi.com","title":"Experiences of LGBTIQA+ People with Disability in Healthcare and Community Services: Towards Embracing Multiple Identities","title-short":"Experiences of LGBTIQA+ People with Disability in Healthcare and Community Services","volume":"17","author":[{"family":"O'Shea","given":"Amie"},{"family":"Latham","given":"J. R."},{"family":"McNair","given":"Ruth"},{"family":"Despott","given":"Nathan"},{"family":"Rose","given":"Mellem"},{"family":"Mountford","given":"Ruby"},{"family":"Frawley","given":"Patsie"}],"issued":{"date-parts":[["2020",1]]},"citation-key":"osheaExperiencesLGBTIQAPeople2020a"}}],"schema":"https://github.com/citation-style-language/schema/raw/master/csl-citation.json"} </w:instrText>
      </w:r>
      <w:r>
        <w:fldChar w:fldCharType="separate"/>
      </w:r>
      <w:r>
        <w:rPr>
          <w:noProof/>
        </w:rPr>
        <w:t>(10)</w:t>
      </w:r>
      <w:r>
        <w:fldChar w:fldCharType="end"/>
      </w:r>
      <w:r>
        <w:t>. A meta-analysis involving several countries also found that LGBT youth with disabilities supported by social service providers, special education programs, or supported living facilities reported being prohibited or restricted from expressing/discussing their LGBT identities</w:t>
      </w:r>
      <w:r>
        <w:fldChar w:fldCharType="begin"/>
      </w:r>
      <w:r>
        <w:instrText xml:space="preserve"> ADDIN ZOTERO_ITEM CSL_CITATION {"citationID":"I2WolQ4m","properties":{"formattedCitation":"(11)","plainCitation":"(11)","noteIndex":0},"citationItems":[{"id":3006,"uris":["http://zotero.org/groups/2463045/items/6SDLEJUX"],"itemData":{"id":3006,"type":"article-journal","archive_location":"105000423. Language: English. Entry Date: 20110401. Revision Date: 20200708. Publication Type: Journal Article","container-title":"Journal of LGBT Youth","DOI":"10.1080/19361653.2011.519181","ISSN":"1936-1653","issue":"1","page":"1-52","source":"EBSCOhost","title":"Lesbian, gay, bisexual, and transgender youth with disabilities: A meta-synthesis","volume":"8","author":[{"family":"Duke","given":"Thomas Scott"}],"issued":{"date-parts":[["2011"]]},"citation-key":"dukeLesbianGayBisexual2011"}}],"schema":"https://github.com/citation-style-language/schema/raw/master/csl-citation.json"} </w:instrText>
      </w:r>
      <w:r>
        <w:fldChar w:fldCharType="separate"/>
      </w:r>
      <w:r>
        <w:rPr>
          <w:noProof/>
        </w:rPr>
        <w:t>(11)</w:t>
      </w:r>
      <w:r>
        <w:fldChar w:fldCharType="end"/>
      </w:r>
      <w:r>
        <w:t>. Studies of adult lesbian women in the United States have documented feelings of community exclusion as well reports that their sexual autonomy has been controlled by medical professionals acting as gatekeepers</w:t>
      </w:r>
      <w:r>
        <w:fldChar w:fldCharType="begin"/>
      </w:r>
      <w:r>
        <w:instrText xml:space="preserve"> ADDIN ZOTERO_ITEM CSL_CITATION {"citationID":"tLfR9Hcs","properties":{"formattedCitation":"(9)","plainCitation":"(9)","noteIndex":0},"citationItems":[{"id":3132,"uris":["http://zotero.org/groups/2463045/items/W5ZMTRQE"],"itemData":{"id":3132,"type":"article-journal","abstract":"This article explores how stigma intersects with both the disability and the lesbian communities. Despite decades of research reporting the consequences of stigma facing non-dominant groups in areas including sexual orientation and disability, lesbians continue to encounter attitudinal and environmental barriers that threaten their general health and quality of life. It is important to examine and understand the impact of the intersection of multiple threats individuals encounter as a result of their membership in multiple marginalized groups. This article examines the body of research that investigates the stigma associated with being lesbian with a disability in pursuit of the basic tenets of life and the supports and systematic change required to mitigate the associated pressures. Conclusions and implications are discussed at the end of the article.","container-title":"Journal of Rehabilitation","issue":"4","journalAbbreviation":"Journal of Rehabilitation","page":"49-56","title":"Addressing disability stigma within the lesbian community","volume":"81","author":[{"family":"Vaughn","given":"M."},{"family":"McEntee","given":"B."},{"family":"Schoen","given":"B."},{"family":"McGrady","given":"M."}],"issued":{"date-parts":[["2015"]]},"citation-key":"vaughnAddressingDisabilityStigma2015"}}],"schema":"https://github.com/citation-style-language/schema/raw/master/csl-citation.json"} </w:instrText>
      </w:r>
      <w:r>
        <w:fldChar w:fldCharType="separate"/>
      </w:r>
      <w:r>
        <w:rPr>
          <w:noProof/>
        </w:rPr>
        <w:t>(9)</w:t>
      </w:r>
      <w:r>
        <w:fldChar w:fldCharType="end"/>
      </w:r>
      <w:r>
        <w:t xml:space="preserve">. Of particular concern are studies that have documented abuse against LGBTQA+ young people with disability in some settings such as school and university </w:t>
      </w:r>
      <w:r>
        <w:fldChar w:fldCharType="begin"/>
      </w:r>
      <w:r>
        <w:instrText xml:space="preserve"> ADDIN ZOTERO_ITEM CSL_CITATION {"citationID":"rV4lDJBF","properties":{"formattedCitation":"(6,12,13)","plainCitation":"(6,12,13)","noteIndex":0},"citationItems":[{"id":2913,"uris":["http://zotero.org/groups/2463045/items/PRSQZASQ"],"itemData":{"id":2913,"type":"article-journal","abstract":"Despite prejudice-based harassment's associations with serious physical and mental health risks, research examining multiple forms of harassment among children/adolescents is lacking. This study documents the prevalence of prejudice-based harassment (i.e., harassment on the basis of gender, race/ethnicity, weight or physical appearance, sexual orientation, and disability status) among a large, statewide, school-based Midwestern U.S. sample of 162,034 adolescents. Weight-/appearance-based harassment was most prevalent among both girls (25.3%) and boys (19.8%). Adolescents from certain vulnerable groups experienced higher rates of multiple types of harassment, even when controlling for other sociodemographic characteristics. Prejudice-based harassment experiences are prevalent among adolescent girls and boys. Differential rates of each type of harassment are reported across groups within the corresponding sociodemographic status (e.g., white female adolescents report a significantly lower rate of race-based harassment (4.8%), as compared to Native American (18.6%), mixed/other race (18.9%), Hispanic/Latina (21.5%), Asian/Pacific Islander (24.2%), or Black/African American (24.8%) female adolescents); but a pattern of cross-harassment also is evident, such that differences in prevalence of each harassment type emerge across a variety of statuses (e.g., disability-based harassment was statistically significantly higher among discordant heterosexual (12.7%), gay (13.0%), bisexual (15.3%), and unsure (15.3%) male adolescents than among heterosexual male (7.2%) adolescents). Adolescents from specific sociodemographic groups are particularly vulnerable to certain types of harassment.","archive":"Soc Abs (Proquest)","archive_location":"1810529361","container-title":"Journal of Adolescence","DOI":"10.1016/j.adolescence.2016.05.012","ISSN":"01401971","language":"English","page":"68","title":"Youth experiences with multiple types of prejudice-based harassment","volume":"51","author":[{"family":"Bucchianeri","given":"Michaela M."},{"family":"Gower","given":"Amy L."},{"family":"McMorris","given":"Barbara J."},{"family":"Eisenberg","given":"Marla E."}],"issued":{"date-parts":[["2016",8,10]]},"citation-key":"bucchianeriYouthExperiencesMultiple2016"}},{"id":3142,"uris":["http://zotero.org/groups/2463045/items/MXUWS42F"],"itemData":{"id":3142,"type":"article-journal","abstract":"Research about students with disabilities and students identifying as LGBQ (lesbian, gay, bisexual, or questioning) reveals that both populations report more suicidality and peer victimization and less school connectedness than do their peers. No study has previously examined the intersection of these identities with regard to peer victimization, school connectedness, and suicidality. Using a sample of 11,364 high school students, we examined the relationships among these identities, peer victimization, and school connectedness with suicidal ideation. Compared with their peers without either identity, students identifying with one of these identities reported higher levels of suicidal ideation. School connectedness and peer victimization each moderated the association between identity and suicidal ideation. In addition, students who were victimized more than their peers and who identified both with a disability and as LGBQ (n = 250) reported the highest levels of suicidal ideation. School-based victimization and suicide prevention programs should consider students’ multiple identities. © The Author(s) 2017.","container-title":"Exceptional Children","DOI":"10.1177/0014402917736261","issue":"2","journalAbbreviation":"Exceptional Children","page":"141-158","title":"Suicidality and intersectionality among students identifying as nonheterosexual and with a disability","volume":"84","author":[{"family":"King","given":"M. T."},{"family":"Merrin","given":"G. J."},{"family":"Espelage","given":"D. L."},{"family":"Grant","given":"N. J."},{"family":"Bub","given":"K. L."}],"issued":{"date-parts":[["2018"]]},"citation-key":"kingSuicidalityIntersectionalityStudents2018"}},{"id":3141,"uris":["http://zotero.org/groups/2463045/items/ERHIIDFS"],"itemData":{"id":3141,"type":"article-journal","abstract":"The present, exploratory study examined retrospective and current peer victimization in a multi-university sample of 58 college students with disabilities, 18 (31%) of whom identified as sexual minorities. Fifty-seven participants reported peer victimization during childhood, and approximately half reported experiencing peer victimization in the past 2 months. Students who identified as sexual minorities reported more retrospective victimization but current victimization did not differ between the two groups. Current and retrospective peer victimization were significantly correlated with present psychological distress. Professionals who work with students with disabilities should be aware of the high prevalence of peer victimization and its psychological correlates in this population. © 2021, The Author(s), under exclusive licence to Springer Science+Business Media, LLC part of Springer Nature.","container-title":"Sexuality and Disability","DOI":"10.1007/s11195-020-09669-6","issue":"1","journalAbbreviation":"Sexuality and Disability","page":"97-111","title":"Retrospective and current peer victimization in college students with disabilities: Examining the intersectionality of sexual orientation and gender","volume":"39","author":[{"family":"Lund","given":"E. M."},{"family":"Ross","given":"S. W."}],"issued":{"date-parts":[["2021"]]},"citation-key":"lundRetrospectiveCurrentPeer2021"}}],"schema":"https://github.com/citation-style-language/schema/raw/master/csl-citation.json"} </w:instrText>
      </w:r>
      <w:r>
        <w:fldChar w:fldCharType="separate"/>
      </w:r>
      <w:r>
        <w:rPr>
          <w:noProof/>
        </w:rPr>
        <w:t>(6,12,13)</w:t>
      </w:r>
      <w:r>
        <w:fldChar w:fldCharType="end"/>
      </w:r>
      <w:r>
        <w:t xml:space="preserve">. </w:t>
      </w:r>
    </w:p>
    <w:p w14:paraId="7CCAF99D" w14:textId="77777777" w:rsidR="009D0006" w:rsidRDefault="009D0006" w:rsidP="009D0006">
      <w:r>
        <w:t>Such experiences can have significant and serious impacts. Research from the United States identified elevated rates of suicidal ideation among LGBQ students with disability who reported experienced victimisation and exclusion (from both disability and queer communities)</w:t>
      </w:r>
      <w:r>
        <w:fldChar w:fldCharType="begin"/>
      </w:r>
      <w:r>
        <w:instrText xml:space="preserve"> ADDIN ZOTERO_ITEM CSL_CITATION {"citationID":"uqDjMVkg","properties":{"formattedCitation":"(12)","plainCitation":"(12)","noteIndex":0},"citationItems":[{"id":3142,"uris":["http://zotero.org/groups/2463045/items/MXUWS42F"],"itemData":{"id":3142,"type":"article-journal","abstract":"Research about students with disabilities and students identifying as LGBQ (lesbian, gay, bisexual, or questioning) reveals that both populations report more suicidality and peer victimization and less school connectedness than do their peers. No study has previously examined the intersection of these identities with regard to peer victimization, school connectedness, and suicidality. Using a sample of 11,364 high school students, we examined the relationships among these identities, peer victimization, and school connectedness with suicidal ideation. Compared with their peers without either identity, students identifying with one of these identities reported higher levels of suicidal ideation. School connectedness and peer victimization each moderated the association between identity and suicidal ideation. In addition, students who were victimized more than their peers and who identified both with a disability and as LGBQ (n = 250) reported the highest levels of suicidal ideation. School-based victimization and suicide prevention programs should consider students’ multiple identities. © The Author(s) 2017.","container-title":"Exceptional Children","DOI":"10.1177/0014402917736261","issue":"2","journalAbbreviation":"Exceptional Children","page":"141-158","title":"Suicidality and intersectionality among students identifying as nonheterosexual and with a disability","volume":"84","author":[{"family":"King","given":"M. T."},{"family":"Merrin","given":"G. J."},{"family":"Espelage","given":"D. L."},{"family":"Grant","given":"N. J."},{"family":"Bub","given":"K. L."}],"issued":{"date-parts":[["2018"]]},"citation-key":"kingSuicidalityIntersectionalityStudents2018"}}],"schema":"https://github.com/citation-style-language/schema/raw/master/csl-citation.json"} </w:instrText>
      </w:r>
      <w:r>
        <w:fldChar w:fldCharType="separate"/>
      </w:r>
      <w:r>
        <w:rPr>
          <w:noProof/>
        </w:rPr>
        <w:t>(12)</w:t>
      </w:r>
      <w:r>
        <w:fldChar w:fldCharType="end"/>
      </w:r>
      <w:r>
        <w:t>. Such patterns likely reflect what has been termed a ‘dual marginalisation’ of LGBTQA+ people with intellectual disabilities as a result of both their disability and their sexual orientation or gender</w:t>
      </w:r>
      <w:r>
        <w:fldChar w:fldCharType="begin"/>
      </w:r>
      <w:r>
        <w:instrText xml:space="preserve"> ADDIN ZOTERO_ITEM CSL_CITATION {"citationID":"JEUP9xUI","properties":{"formattedCitation":"(14)","plainCitation":"(14)","noteIndex":0},"citationItems":[{"id":4286,"uris":["http://zotero.org/groups/2463045/items/NEZ64LQS"],"itemData":{"id":4286,"type":"article-journal","abstract":"This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M"},{"family":"Frawley","given":"Patsie"},{"family":"Gallego","given":"Gisselle"}],"issued":{"date-parts":[["2018"]]},"citation-key":"wilsonNarrativeReviewLiterature2018"}}],"schema":"https://github.com/citation-style-language/schema/raw/master/csl-citation.json"} </w:instrText>
      </w:r>
      <w:r>
        <w:fldChar w:fldCharType="separate"/>
      </w:r>
      <w:r>
        <w:rPr>
          <w:noProof/>
        </w:rPr>
        <w:t>(14)</w:t>
      </w:r>
      <w:r>
        <w:fldChar w:fldCharType="end"/>
      </w:r>
      <w:r>
        <w:t>. Given what is known about the role and value of community connection in maintaining or improving mental wellbeing, particularly among LGBTQA+ people, this experience of exclusion and marginalisation becomes all the more significant.</w:t>
      </w:r>
    </w:p>
    <w:p w14:paraId="11D70395" w14:textId="77777777" w:rsidR="009D0006" w:rsidRPr="00B7108E" w:rsidRDefault="009D0006" w:rsidP="009D0006">
      <w:r>
        <w:t xml:space="preserve">In the context of disability surveys and assessments that do not commonly incorporate adequate questions relating to gender and sexuality, there is a paucity of data in Australia that identifies the broad range of hostile experiences LGBTQA+ people with disability may be subject to. While not designed specifically as surveys of people with disability (see section 2.5), Private Lives 3 and Writing Themselves In 4 both had a significant portion of respondents who reported having a disability and collected data pertaining to abuse, rejection and marginalisation, the analysis of which provides valuable insight into how these experiences are differentially felt by LGBTIQ people with disability. </w:t>
      </w:r>
    </w:p>
    <w:p w14:paraId="00B1353D" w14:textId="5F83CE15" w:rsidR="009D0006" w:rsidRPr="00284B34" w:rsidRDefault="009D0006" w:rsidP="00153892">
      <w:pPr>
        <w:pStyle w:val="Heading2Numbered"/>
      </w:pPr>
      <w:bookmarkStart w:id="164" w:name="_Toc115968492"/>
      <w:bookmarkStart w:id="165" w:name="_Toc119662390"/>
      <w:r w:rsidRPr="00284B34">
        <w:t>Scope of this report</w:t>
      </w:r>
      <w:bookmarkEnd w:id="164"/>
      <w:bookmarkEnd w:id="165"/>
    </w:p>
    <w:p w14:paraId="29540AED" w14:textId="77777777" w:rsidR="009D0006" w:rsidRDefault="009D0006" w:rsidP="009D0006">
      <w:r w:rsidRPr="006E4CDB">
        <w:t xml:space="preserve">This report provides comprehensive data </w:t>
      </w:r>
      <w:r>
        <w:t>relating to</w:t>
      </w:r>
      <w:r w:rsidRPr="006E4CDB">
        <w:t xml:space="preserve"> LGBTQA+ people with disability, including young people and adults. It covers: background </w:t>
      </w:r>
      <w:r>
        <w:t xml:space="preserve">demographic </w:t>
      </w:r>
      <w:r w:rsidRPr="006E4CDB">
        <w:t xml:space="preserve">characteristics of participants with disability; experiences of disclosing their sexual orientation or gender identity, including support and acceptance; discrimination and affirming experiences in education settings; experiences of harassment, abuse and discrimination; intimate </w:t>
      </w:r>
      <w:r w:rsidRPr="006E4CDB">
        <w:lastRenderedPageBreak/>
        <w:t xml:space="preserve">partner and family violence; mental health and wellbeing, including experiences related to suicide; and community connections. </w:t>
      </w:r>
    </w:p>
    <w:p w14:paraId="1833EE8F" w14:textId="77777777" w:rsidR="009D0006" w:rsidRDefault="009D0006" w:rsidP="009D0006">
      <w:r>
        <w:t xml:space="preserve">In chapter 10-13 we </w:t>
      </w:r>
      <w:r w:rsidRPr="006E4CDB">
        <w:t xml:space="preserve">also provide data related to a range of intersecting groups, including people from different cultural backgrounds and rural and regional areas, as well as </w:t>
      </w:r>
      <w:r>
        <w:t xml:space="preserve">those holding </w:t>
      </w:r>
      <w:r w:rsidRPr="006E4CDB">
        <w:t xml:space="preserve">different gender identities and sexual orientations. </w:t>
      </w:r>
    </w:p>
    <w:p w14:paraId="1B53955E" w14:textId="5E85EFD7" w:rsidR="009D0006" w:rsidRPr="00284B34" w:rsidRDefault="009D0006" w:rsidP="00153892">
      <w:pPr>
        <w:pStyle w:val="Heading2Numbered"/>
      </w:pPr>
      <w:bookmarkStart w:id="166" w:name="_Toc115968493"/>
      <w:bookmarkStart w:id="167" w:name="_Toc119662391"/>
      <w:r w:rsidRPr="00284B34">
        <w:t>A note on intersex populations</w:t>
      </w:r>
      <w:bookmarkEnd w:id="166"/>
      <w:bookmarkEnd w:id="167"/>
    </w:p>
    <w:p w14:paraId="7095F5D3" w14:textId="77777777" w:rsidR="009D0006" w:rsidRPr="006E4CDB" w:rsidRDefault="009D0006" w:rsidP="009D0006">
      <w:r w:rsidRPr="006E4CDB">
        <w:t xml:space="preserve">It is important to note that this report </w:t>
      </w:r>
      <w:r>
        <w:t xml:space="preserve">and its findings </w:t>
      </w:r>
      <w:r w:rsidRPr="006E4CDB">
        <w:t>does not apply to people with an intersex variation or variations. The numbers of people from this group were too small to enable analyses, especially when further narrowed to those who reported a disability. Therefore, this report refers to an LGBTQ</w:t>
      </w:r>
      <w:r>
        <w:t>A</w:t>
      </w:r>
      <w:r w:rsidRPr="006E4CDB">
        <w:t xml:space="preserve">+ population and results should not be generalised to people with an intersex variation. In future, it will be important to fund and conduct community participatory research that specifically focuses on this group and in close consultation with intersex organisations. </w:t>
      </w:r>
      <w:r>
        <w:t xml:space="preserve">Please see </w:t>
      </w:r>
      <w:r w:rsidRPr="00102EFD">
        <w:rPr>
          <w:color w:val="000000" w:themeColor="text1"/>
        </w:rPr>
        <w:t xml:space="preserve">the </w:t>
      </w:r>
      <w:hyperlink r:id="rId20" w:history="1">
        <w:r w:rsidRPr="009425C3">
          <w:rPr>
            <w:rStyle w:val="Hyperlink"/>
            <w:i/>
          </w:rPr>
          <w:t>Writing Themselves In 4</w:t>
        </w:r>
      </w:hyperlink>
      <w:r w:rsidRPr="00102EFD">
        <w:rPr>
          <w:color w:val="000000" w:themeColor="text1"/>
        </w:rPr>
        <w:t xml:space="preserve"> </w:t>
      </w:r>
      <w:r w:rsidRPr="00102EFD">
        <w:rPr>
          <w:color w:val="000000" w:themeColor="text1"/>
        </w:rPr>
        <w:fldChar w:fldCharType="begin"/>
      </w:r>
      <w:r>
        <w:rPr>
          <w:color w:val="000000" w:themeColor="text1"/>
        </w:rPr>
        <w:instrText xml:space="preserve"> ADDIN ZOTERO_ITEM CSL_CITATION {"citationID":"haoFXwv3","properties":{"formattedCitation":"(1)","plainCitation":"(1)","noteIndex":0},"citationItems":[{"id":"hc6yy1rM/ZY4LR28S","uris":["http://zotero.org/users/4948307/items/7BM38QY5"],"itemData":{"id":3331,"type":"report","abstract":"The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102EFD">
        <w:rPr>
          <w:color w:val="000000" w:themeColor="text1"/>
        </w:rPr>
        <w:fldChar w:fldCharType="separate"/>
      </w:r>
      <w:r>
        <w:rPr>
          <w:lang w:val="en-GB"/>
        </w:rPr>
        <w:t>(1)</w:t>
      </w:r>
      <w:r w:rsidRPr="00102EFD">
        <w:rPr>
          <w:color w:val="000000" w:themeColor="text1"/>
        </w:rPr>
        <w:fldChar w:fldCharType="end"/>
      </w:r>
      <w:r w:rsidRPr="00102EFD">
        <w:rPr>
          <w:color w:val="000000" w:themeColor="text1"/>
        </w:rPr>
        <w:t xml:space="preserve"> and </w:t>
      </w:r>
      <w:hyperlink r:id="rId21" w:history="1">
        <w:r w:rsidRPr="009425C3">
          <w:rPr>
            <w:rStyle w:val="Hyperlink"/>
            <w:i/>
          </w:rPr>
          <w:t>Private Lives 3</w:t>
        </w:r>
      </w:hyperlink>
      <w:r w:rsidRPr="00102EFD">
        <w:rPr>
          <w:color w:val="000000" w:themeColor="text1"/>
        </w:rPr>
        <w:t xml:space="preserve"> </w:t>
      </w:r>
      <w:r w:rsidRPr="00102EFD">
        <w:rPr>
          <w:color w:val="000000" w:themeColor="text1"/>
        </w:rPr>
        <w:fldChar w:fldCharType="begin"/>
      </w:r>
      <w:r>
        <w:rPr>
          <w:color w:val="000000" w:themeColor="text1"/>
        </w:rPr>
        <w:instrText xml:space="preserve"> ADDIN ZOTERO_ITEM CSL_CITATION {"citationID":"BQDu25yE","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102EFD">
        <w:rPr>
          <w:color w:val="000000" w:themeColor="text1"/>
        </w:rPr>
        <w:fldChar w:fldCharType="separate"/>
      </w:r>
      <w:r>
        <w:rPr>
          <w:lang w:val="en-GB"/>
        </w:rPr>
        <w:t>(2)</w:t>
      </w:r>
      <w:r w:rsidRPr="00102EFD">
        <w:rPr>
          <w:color w:val="000000" w:themeColor="text1"/>
        </w:rPr>
        <w:fldChar w:fldCharType="end"/>
      </w:r>
      <w:r w:rsidRPr="00102EFD">
        <w:rPr>
          <w:color w:val="000000" w:themeColor="text1"/>
        </w:rPr>
        <w:t xml:space="preserve"> </w:t>
      </w:r>
      <w:r w:rsidRPr="006E4CDB">
        <w:t xml:space="preserve">for comprehensive discussions of these points. </w:t>
      </w:r>
    </w:p>
    <w:p w14:paraId="7D40BB30" w14:textId="534F00BE" w:rsidR="009D0006" w:rsidRPr="002765B3" w:rsidRDefault="009D0006" w:rsidP="00153892">
      <w:pPr>
        <w:pStyle w:val="Heading2Numbered"/>
      </w:pPr>
      <w:bookmarkStart w:id="168" w:name="_Toc115968494"/>
      <w:bookmarkStart w:id="169" w:name="_Toc119662392"/>
      <w:r w:rsidRPr="002765B3">
        <w:t>Data from First Nations participants</w:t>
      </w:r>
      <w:bookmarkEnd w:id="168"/>
      <w:bookmarkEnd w:id="169"/>
      <w:r w:rsidRPr="002765B3">
        <w:t xml:space="preserve"> </w:t>
      </w:r>
    </w:p>
    <w:p w14:paraId="16303616" w14:textId="77777777" w:rsidR="009D0006" w:rsidRDefault="009D0006" w:rsidP="00153892">
      <w:r w:rsidRPr="002765B3">
        <w:t>A growing body of research details how many LGBTQA+ people from First Nations communities experience a range of challenges relating to stigma and discrimination, mental ill-health and safe, affirming access to supportive services</w:t>
      </w:r>
      <w:r>
        <w:fldChar w:fldCharType="begin"/>
      </w:r>
      <w:r>
        <w:instrText xml:space="preserve"> ADDIN ZOTERO_ITEM CSL_CITATION {"citationID":"BjynL6SJ","properties":{"formattedCitation":"(15,16)","plainCitation":"(15,16)","noteIndex":0},"citationItems":[{"id":6190,"uris":["http://zotero.org/users/7230459/items/ZMCHQVZW"],"itemData":{"id":6190,"type":"report","event-place":"Perth. WA.","publisher":"Kurongkurl Katitjin, Edith Cowan University","publisher-place":"Perth. WA.","title":"Breaking the silence: Insights from WA services working with Aboriginal/ LGBTIQ  people: Organisations summary report 2021","title-short":"Breaking the silence","URL":"https://ro.ecu.edu.au/ecuworkspost2013/10530","author":[{"family":"Hill","given":"Braden"},{"family":"Uink","given":"Bep"},{"family":"Dodd","given":"Jenny"},{"family":"Bronson","given":"Dameyon"},{"family":"Eades","given":"Anne-Marie"},{"family":"Bennett","given":"Sian"}],"issued":{"date-parts":[["2021"]]},"citation-key":"hillBreakingSilenceInsights2021"}},{"id":6192,"uris":["http://zotero.org/users/7230459/items/HSNJQ6J8"],"itemData":{"id":6192,"type":"report","event-place":"Perth, WA.","publisher-place":"Perth, WA.","title":"Walkern Katatdjin Rainbow Knowledge: Phase 1 Report","title-short":"Walkern Katatdjin Rainbow Knowledge","URL":"https://www.lgbtiqhealth.org.au/walkern_katatdjin_rainbow_knowledge_phase_1_report","author":[{"family":"Liddelow-Hunt","given":"S"},{"family":"Uink","given":"B"},{"family":"Hill","given":"B"},{"family":"Perry","given":"Y"},{"family":"Munns","given":"S"},{"family":"Talbott","given":"T"},{"family":"Lin","given":"A"}],"accessed":{"date-parts":[["2022",4,29]]},"issued":{"date-parts":[["2021"]]},"citation-key":"liddelow-huntWalkernKatatdjinRainbow2021"}}],"schema":"https://github.com/citation-style-language/schema/raw/master/csl-citation.json"} </w:instrText>
      </w:r>
      <w:r>
        <w:fldChar w:fldCharType="separate"/>
      </w:r>
      <w:r>
        <w:rPr>
          <w:noProof/>
        </w:rPr>
        <w:t>(15,16)</w:t>
      </w:r>
      <w:r>
        <w:fldChar w:fldCharType="end"/>
      </w:r>
      <w:r w:rsidRPr="002765B3">
        <w:t xml:space="preserve">. Both </w:t>
      </w:r>
      <w:r w:rsidRPr="002765B3">
        <w:rPr>
          <w:i/>
          <w:iCs/>
        </w:rPr>
        <w:t>Writing Themselves In 4</w:t>
      </w:r>
      <w:r w:rsidRPr="002765B3">
        <w:t xml:space="preserve"> and </w:t>
      </w:r>
      <w:r w:rsidRPr="002765B3">
        <w:rPr>
          <w:i/>
          <w:iCs/>
        </w:rPr>
        <w:t>Private Lives 3</w:t>
      </w:r>
      <w:r w:rsidRPr="002765B3">
        <w:t xml:space="preserve"> recruited large samples of Aboriginal and/or Torres Strait Islanders, with 256 and 184 in each survey respectively. These are a vital and valuable source of data that speak to a range of issues and concerns, including for First Nations LGBTQA+ people with disability. We are committed to seeing these data disaggregated, analysed and sensitively conveyed in both written and oral outputs, however it is essential that such acts are carried out in meaningful partnership with Aboriginal and Torres Strait Islander people, acting as custodians of these data. As of April 2022, we are in the process of undertaking such work and anticipate the first outputs of our partnership with First Nations peoples being published towards the end of the year. These will include analyses relating to Aboriginal and Torres Strait Islander LGBTQA+ people with disability. </w:t>
      </w:r>
    </w:p>
    <w:p w14:paraId="7EB12A25" w14:textId="1900DE39" w:rsidR="007B5881" w:rsidRDefault="007B5881">
      <w:pPr>
        <w:spacing w:before="0"/>
        <w:rPr>
          <w:rFonts w:eastAsia="SimSun" w:cs="Angsana New"/>
          <w:b/>
          <w:bCs/>
          <w:color w:val="46276B"/>
          <w:kern w:val="32"/>
          <w:sz w:val="52"/>
          <w:szCs w:val="52"/>
        </w:rPr>
      </w:pPr>
      <w:r>
        <w:br w:type="page"/>
      </w:r>
    </w:p>
    <w:p w14:paraId="6DAAD416" w14:textId="18DC599C" w:rsidR="009D0006" w:rsidRPr="006E4CDB" w:rsidRDefault="009D0006" w:rsidP="00153892">
      <w:pPr>
        <w:pStyle w:val="Heading1Numbered"/>
      </w:pPr>
      <w:bookmarkStart w:id="170" w:name="_Toc115968495"/>
      <w:bookmarkStart w:id="171" w:name="_Toc119662393"/>
      <w:r w:rsidRPr="006E4CDB">
        <w:lastRenderedPageBreak/>
        <w:t>Methods</w:t>
      </w:r>
      <w:bookmarkEnd w:id="170"/>
      <w:bookmarkEnd w:id="171"/>
    </w:p>
    <w:p w14:paraId="4D973991" w14:textId="58666E51" w:rsidR="009D0006" w:rsidRPr="00284B34" w:rsidRDefault="009D0006" w:rsidP="00153892">
      <w:pPr>
        <w:pStyle w:val="Heading2Numbered"/>
      </w:pPr>
      <w:bookmarkStart w:id="172" w:name="_Toc115968496"/>
      <w:bookmarkStart w:id="173" w:name="_Toc119662394"/>
      <w:r w:rsidRPr="00284B34">
        <w:t xml:space="preserve">Overview of the </w:t>
      </w:r>
      <w:r w:rsidRPr="00D17EEF">
        <w:rPr>
          <w:i/>
        </w:rPr>
        <w:t>Writing Themselves In 4</w:t>
      </w:r>
      <w:r w:rsidRPr="00284B34">
        <w:t xml:space="preserve"> and </w:t>
      </w:r>
      <w:r w:rsidRPr="00D17EEF">
        <w:rPr>
          <w:i/>
        </w:rPr>
        <w:t>Private Lives 3</w:t>
      </w:r>
      <w:r w:rsidRPr="00284B34">
        <w:t xml:space="preserve"> surveys</w:t>
      </w:r>
      <w:bookmarkEnd w:id="172"/>
      <w:bookmarkEnd w:id="173"/>
    </w:p>
    <w:p w14:paraId="3D8846F8" w14:textId="77777777" w:rsidR="009D0006" w:rsidRPr="006E4CDB" w:rsidRDefault="009D0006" w:rsidP="009D0006">
      <w:r w:rsidRPr="006E4CDB">
        <w:t xml:space="preserve">This report presents findings from secondary analyses conducted of the </w:t>
      </w:r>
      <w:r w:rsidRPr="00F77C35">
        <w:rPr>
          <w:i/>
        </w:rPr>
        <w:t>Writing Themselves In 4</w:t>
      </w:r>
      <w:r>
        <w:fldChar w:fldCharType="begin"/>
      </w:r>
      <w:r>
        <w:instrText xml:space="preserve"> ADDIN ZOTERO_ITEM CSL_CITATION {"citationID":"drrXgm0F","properties":{"formattedCitation":"(1)","plainCitation":"(1)","noteIndex":0},"citationItems":[{"id":"hc6yy1rM/ZY4LR28S","uris":["http://zotero.org/users/4948307/items/7BM38QY5"],"itemData":{"id":3331,"type":"report","abstract":"The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Nj1atR6q","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rsidRPr="006E4CDB">
        <w:t xml:space="preserve"> surveys. These surveys were conducted across the country in 2019 and sought to gain a greater understanding of the life experiences, health and wellbeing of LGBTIQA+ people in Australia. </w:t>
      </w:r>
      <w:r w:rsidRPr="006E4CDB">
        <w:rPr>
          <w:i/>
          <w:iCs/>
        </w:rPr>
        <w:t>Writing Themselves In 4</w:t>
      </w:r>
      <w:r w:rsidRPr="006E4CDB">
        <w:t xml:space="preserve"> focused on young people aged 14-21 years while </w:t>
      </w:r>
      <w:r w:rsidRPr="006E4CDB">
        <w:rPr>
          <w:i/>
          <w:iCs/>
        </w:rPr>
        <w:t xml:space="preserve">Private Lives 3 </w:t>
      </w:r>
      <w:r w:rsidRPr="006E4CDB">
        <w:t xml:space="preserve">focused on adults aged 18+ years. </w:t>
      </w:r>
    </w:p>
    <w:p w14:paraId="30176306" w14:textId="77777777" w:rsidR="009D0006" w:rsidRPr="006E4CDB" w:rsidRDefault="009D0006" w:rsidP="009D0006">
      <w:r w:rsidRPr="006E4CDB">
        <w:t xml:space="preserve">Both surveys examined a wide range of life domains, such as mental health and suicidality, housing and homelessness, alcohol and drug use and experiences of abuse, harassment and discrimination. Additionally, </w:t>
      </w:r>
      <w:r w:rsidRPr="006E4CDB">
        <w:rPr>
          <w:i/>
          <w:iCs/>
        </w:rPr>
        <w:t>Writing Themselves In 4</w:t>
      </w:r>
      <w:r w:rsidRPr="006E4CDB">
        <w:t xml:space="preserve"> examined experiences related to education and education settings given its focus on young people. This report focuses on participants across both surveys who reported a disability and presents data collected on violence, abuse, harassment, discrimination and related survey questions. </w:t>
      </w:r>
    </w:p>
    <w:p w14:paraId="0C3EA93C" w14:textId="77777777" w:rsidR="009D0006" w:rsidRPr="006E4CDB" w:rsidRDefault="009D0006" w:rsidP="009D0006">
      <w:r w:rsidRPr="006E4CDB">
        <w:t xml:space="preserve">Questions that were included in the surveys were developed in consultation with advisory boards of highly knowledgeable LGBTIQA+ experts. For further details on the design of each survey, please refer to the </w:t>
      </w:r>
      <w:r w:rsidRPr="00F77C35">
        <w:rPr>
          <w:i/>
        </w:rPr>
        <w:t>Writing Themselves In 4</w:t>
      </w:r>
      <w:r>
        <w:fldChar w:fldCharType="begin"/>
      </w:r>
      <w:r>
        <w:instrText xml:space="preserve"> ADDIN ZOTERO_ITEM CSL_CITATION {"citationID":"EHuvOQ6a","properties":{"formattedCitation":"(1)","plainCitation":"(1)","noteIndex":0},"citationItems":[{"id":"hc6yy1rM/ZY4LR28S","uris":["http://zotero.org/users/4948307/items/7BM38QY5"],"itemData":{"id":3331,"type":"report","abstract":"The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1idKBiJ6","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t xml:space="preserve"> </w:t>
      </w:r>
      <w:r w:rsidRPr="006E4CDB">
        <w:t xml:space="preserve">national reports. Ethical approval for both surveys was granted by the La Trobe University Human Ethics Committee. </w:t>
      </w:r>
      <w:r w:rsidRPr="006E4CDB">
        <w:rPr>
          <w:i/>
          <w:iCs/>
        </w:rPr>
        <w:t>Writing Themselves In 4</w:t>
      </w:r>
      <w:r w:rsidRPr="006E4CDB">
        <w:t xml:space="preserve"> was also endorsed by the ACON Research Ethics Review Committee. </w:t>
      </w:r>
      <w:r w:rsidRPr="006E4CDB">
        <w:rPr>
          <w:i/>
          <w:iCs/>
        </w:rPr>
        <w:t>Private Lives 3</w:t>
      </w:r>
      <w:r w:rsidRPr="006E4CDB">
        <w:t xml:space="preserve"> was additionally endorsed by the ACON Research Ethics Review Committee and the Community Research Endorsement Panel of Thorne Harbour Health.</w:t>
      </w:r>
    </w:p>
    <w:p w14:paraId="5AEF2448" w14:textId="6CA2FF8D" w:rsidR="009D0006" w:rsidRPr="00284B34" w:rsidRDefault="009D0006" w:rsidP="00153892">
      <w:pPr>
        <w:pStyle w:val="Heading2Numbered"/>
      </w:pPr>
      <w:bookmarkStart w:id="174" w:name="_Toc115968497"/>
      <w:bookmarkStart w:id="175" w:name="_Toc119662395"/>
      <w:r w:rsidRPr="00284B34">
        <w:t>Survey participants</w:t>
      </w:r>
      <w:bookmarkEnd w:id="174"/>
      <w:bookmarkEnd w:id="175"/>
    </w:p>
    <w:p w14:paraId="234FD4EB" w14:textId="77777777" w:rsidR="009D0006" w:rsidRDefault="009D0006" w:rsidP="009D0006">
      <w:r w:rsidRPr="006E4CDB">
        <w:rPr>
          <w:i/>
          <w:iCs/>
        </w:rPr>
        <w:t>Writing Themselves In 4</w:t>
      </w:r>
      <w:r w:rsidRPr="006E4CDB">
        <w:t xml:space="preserve"> was completed by 6,418 participants and </w:t>
      </w:r>
      <w:r w:rsidRPr="006E4CDB">
        <w:rPr>
          <w:i/>
          <w:iCs/>
        </w:rPr>
        <w:t>Private Lives 3</w:t>
      </w:r>
      <w:r w:rsidRPr="006E4CDB">
        <w:t xml:space="preserve"> was completed by 6,835 participants. Of these groups, 2500 reported a disability in </w:t>
      </w:r>
      <w:r w:rsidRPr="006E4CDB">
        <w:rPr>
          <w:i/>
          <w:iCs/>
        </w:rPr>
        <w:t xml:space="preserve">Writing Themselves In 4 </w:t>
      </w:r>
      <w:r w:rsidRPr="006E4CDB">
        <w:t xml:space="preserve">and 2629 reported a disability in </w:t>
      </w:r>
      <w:r w:rsidRPr="006E4CDB">
        <w:rPr>
          <w:i/>
          <w:iCs/>
        </w:rPr>
        <w:t>Private Lives 3</w:t>
      </w:r>
      <w:r w:rsidRPr="006E4CDB">
        <w:t xml:space="preserve">. The surveys were conducted in the second half of 2019, prior to the COVID-19 pandemic. Both surveys were available </w:t>
      </w:r>
      <w:r>
        <w:t>for</w:t>
      </w:r>
      <w:r w:rsidRPr="006E4CDB">
        <w:t xml:space="preserve"> complet</w:t>
      </w:r>
      <w:r>
        <w:t>ion</w:t>
      </w:r>
      <w:r w:rsidRPr="006E4CDB">
        <w:t xml:space="preserve"> online, with paper copies also available by request for </w:t>
      </w:r>
      <w:r w:rsidRPr="006E4CDB">
        <w:rPr>
          <w:i/>
          <w:iCs/>
        </w:rPr>
        <w:lastRenderedPageBreak/>
        <w:t>Private Lives 3</w:t>
      </w:r>
      <w:r w:rsidRPr="006E4CDB">
        <w:t xml:space="preserve">. The surveys were each separately advertised across a range of platforms. These included social media, such as Facebook and Instagram and via LGBTIQA+ community organisations and their networks. Further information on participant recruitment is available in the national reports for each survey. </w:t>
      </w:r>
      <w:r>
        <w:t>While responses to the Private Lives 3 survey are slightly skewed towards younger age groups (e.g. 31.3% of the sample aged 18-25), large numbers of older people also participated (e.g. 748 people over the age of 55).</w:t>
      </w:r>
    </w:p>
    <w:p w14:paraId="48A81163" w14:textId="4432B42A" w:rsidR="009D0006" w:rsidRPr="00284B34" w:rsidRDefault="009D0006" w:rsidP="00153892">
      <w:pPr>
        <w:pStyle w:val="Heading2Numbered"/>
      </w:pPr>
      <w:bookmarkStart w:id="176" w:name="_Toc115968498"/>
      <w:bookmarkStart w:id="177" w:name="_Toc119662396"/>
      <w:r w:rsidRPr="00284B34">
        <w:t>Analysis and categorisation of data</w:t>
      </w:r>
      <w:bookmarkEnd w:id="176"/>
      <w:bookmarkEnd w:id="177"/>
    </w:p>
    <w:p w14:paraId="72AFF0E2" w14:textId="77777777" w:rsidR="009D0006" w:rsidRPr="00BD292A" w:rsidRDefault="009D0006" w:rsidP="009D0006">
      <w:r w:rsidRPr="006E4CDB">
        <w:t>The two surveys asked about disability differently</w:t>
      </w:r>
      <w:r>
        <w:t>,</w:t>
      </w:r>
      <w:r w:rsidRPr="006E4CDB">
        <w:t xml:space="preserve"> as outlined below. </w:t>
      </w:r>
    </w:p>
    <w:p w14:paraId="62B8F9D9" w14:textId="6836977B" w:rsidR="009D0006" w:rsidRPr="00284B34" w:rsidRDefault="009D0006" w:rsidP="00153892">
      <w:pPr>
        <w:pStyle w:val="Heading3Numbered"/>
      </w:pPr>
      <w:bookmarkStart w:id="178" w:name="_Toc115968499"/>
      <w:r w:rsidRPr="00284B34">
        <w:t xml:space="preserve">Disability in </w:t>
      </w:r>
      <w:r w:rsidRPr="00D17EEF">
        <w:rPr>
          <w:i/>
        </w:rPr>
        <w:t>Writing Themselves In 4</w:t>
      </w:r>
      <w:bookmarkEnd w:id="178"/>
    </w:p>
    <w:p w14:paraId="6D55DB76" w14:textId="77777777" w:rsidR="009D0006" w:rsidRPr="006E4CDB" w:rsidRDefault="009D0006" w:rsidP="009D0006">
      <w:r w:rsidRPr="006E4CDB">
        <w:t xml:space="preserve">In </w:t>
      </w:r>
      <w:r w:rsidRPr="006E4CDB">
        <w:rPr>
          <w:i/>
          <w:iCs/>
        </w:rPr>
        <w:t xml:space="preserve">Writing Themselves In </w:t>
      </w:r>
      <w:r w:rsidRPr="006E4CDB">
        <w:t xml:space="preserve">4, an instrument for measuring disability was developed in consultation with the Youth Disability Advocacy Service (YDAS) </w:t>
      </w:r>
      <w:r>
        <w:t xml:space="preserve">in Victoria </w:t>
      </w:r>
      <w:r w:rsidRPr="006E4CDB">
        <w:t xml:space="preserve">and </w:t>
      </w:r>
      <w:r w:rsidRPr="00D75381">
        <w:rPr>
          <w:lang w:eastAsia="en-GB"/>
        </w:rPr>
        <w:t>a</w:t>
      </w:r>
      <w:r>
        <w:rPr>
          <w:lang w:eastAsia="en-GB"/>
        </w:rPr>
        <w:t>n LGBTIQA+</w:t>
      </w:r>
      <w:r>
        <w:rPr>
          <w:i/>
          <w:iCs/>
          <w:lang w:eastAsia="en-GB"/>
        </w:rPr>
        <w:t xml:space="preserve"> </w:t>
      </w:r>
      <w:r w:rsidRPr="00594B1D">
        <w:rPr>
          <w:lang w:eastAsia="en-GB"/>
        </w:rPr>
        <w:t>Disability A</w:t>
      </w:r>
      <w:r>
        <w:rPr>
          <w:lang w:eastAsia="en-GB"/>
        </w:rPr>
        <w:t xml:space="preserve">dvisory Group </w:t>
      </w:r>
      <w:r w:rsidRPr="006E4CDB">
        <w:t xml:space="preserve">of experts in the field. As such, </w:t>
      </w:r>
      <w:r w:rsidRPr="006E4CDB">
        <w:rPr>
          <w:i/>
          <w:iCs/>
        </w:rPr>
        <w:t xml:space="preserve">Writing Themselves In 4 </w:t>
      </w:r>
      <w:r w:rsidRPr="006E4CDB">
        <w:t xml:space="preserve">utilised a broader definition of disability that is not directly comparable to other national studies, such as data from the Australian Bureau of Statistics (ABS). </w:t>
      </w:r>
    </w:p>
    <w:p w14:paraId="11D131B6" w14:textId="77777777" w:rsidR="009D0006" w:rsidRDefault="009D0006" w:rsidP="009D0006">
      <w:r w:rsidRPr="006E4CDB">
        <w:t xml:space="preserve">Disability was defined in </w:t>
      </w:r>
      <w:r w:rsidRPr="006E4CDB">
        <w:rPr>
          <w:i/>
          <w:iCs/>
        </w:rPr>
        <w:t xml:space="preserve">Writing Themselves In 4 </w:t>
      </w:r>
      <w:r w:rsidRPr="006E4CDB">
        <w:t xml:space="preserve">as follows: </w:t>
      </w:r>
    </w:p>
    <w:p w14:paraId="216CBFB4" w14:textId="77777777" w:rsidR="009D0006" w:rsidRPr="00BD292A" w:rsidRDefault="009D0006" w:rsidP="009D0006">
      <w:r w:rsidRPr="006E4CDB">
        <w:t>Do you identify as having a disability, experiencing neurodiversity/autism, or having a long-term physical or mental health condition? Long-term health conditions could include things like epilepsy, mental health conditions, speech or sensory impairments. A disability could include things like the loss of – or difficulty using – a body part, or difficulty managing everyday activities.</w:t>
      </w:r>
    </w:p>
    <w:p w14:paraId="640312C9" w14:textId="77777777" w:rsidR="009D0006" w:rsidRPr="006E4CDB" w:rsidRDefault="009D0006" w:rsidP="009D0006">
      <w:r w:rsidRPr="006E4CDB">
        <w:t>Almost two-fifths (39.0%; n = 2500) of participants reported having disability or a long-term health condition, 8.7% (n = 558) reported they ‘did not know’ and 1.4% (n = 87) ‘preferred not to say’</w:t>
      </w:r>
      <w:r>
        <w:t>.</w:t>
      </w:r>
      <w:r w:rsidRPr="006E4CDB">
        <w:t xml:space="preserve"> Almost nine-tenths (87.0%; n = 2160) of participants with </w:t>
      </w:r>
      <w:r>
        <w:t xml:space="preserve">a </w:t>
      </w:r>
      <w:r w:rsidRPr="006E4CDB">
        <w:t xml:space="preserve">disability or a long-term health condition reported acquiring one or more of these conditions after they were born. In total, </w:t>
      </w:r>
      <w:r>
        <w:t>97.9</w:t>
      </w:r>
      <w:r w:rsidRPr="006E4CDB">
        <w:t xml:space="preserve">% (n = </w:t>
      </w:r>
      <w:r>
        <w:t>1032</w:t>
      </w:r>
      <w:r w:rsidRPr="006E4CDB">
        <w:t xml:space="preserve">) of participants </w:t>
      </w:r>
      <w:r>
        <w:t xml:space="preserve">reporting only </w:t>
      </w:r>
      <w:r w:rsidRPr="006E4CDB">
        <w:t xml:space="preserve">a mental illness reported acquiring </w:t>
      </w:r>
      <w:r>
        <w:t>this</w:t>
      </w:r>
      <w:r w:rsidRPr="006E4CDB">
        <w:t xml:space="preserve"> condition later in life.</w:t>
      </w:r>
      <w:r>
        <w:t xml:space="preserve"> </w:t>
      </w:r>
    </w:p>
    <w:p w14:paraId="64F4A446" w14:textId="77777777" w:rsidR="009D0006" w:rsidRPr="006E4CDB" w:rsidRDefault="009D0006" w:rsidP="009D0006">
      <w:r w:rsidRPr="006E4CDB">
        <w:t xml:space="preserve">Participants reporting </w:t>
      </w:r>
      <w:r>
        <w:t xml:space="preserve">a </w:t>
      </w:r>
      <w:r w:rsidRPr="006E4CDB">
        <w:t xml:space="preserve">disability or a long-term health condition were asked to further describe </w:t>
      </w:r>
      <w:r>
        <w:t xml:space="preserve">the nature of this by selecting </w:t>
      </w:r>
      <w:r w:rsidRPr="006E4CDB">
        <w:t xml:space="preserve">from the following choices (and could select as many options as appropriate): </w:t>
      </w:r>
    </w:p>
    <w:p w14:paraId="184F09EB" w14:textId="77777777" w:rsidR="009D0006" w:rsidRPr="006E4CDB" w:rsidRDefault="009D0006" w:rsidP="00435C26">
      <w:pPr>
        <w:pStyle w:val="Bulletlist"/>
      </w:pPr>
      <w:r w:rsidRPr="006E4CDB">
        <w:lastRenderedPageBreak/>
        <w:t>Physical (your body and/or mobility)</w:t>
      </w:r>
    </w:p>
    <w:p w14:paraId="2B3C32D8" w14:textId="77777777" w:rsidR="009D0006" w:rsidRPr="006E4CDB" w:rsidRDefault="009D0006" w:rsidP="00435C26">
      <w:pPr>
        <w:pStyle w:val="Bulletlist"/>
      </w:pPr>
      <w:r w:rsidRPr="006E4CDB">
        <w:t xml:space="preserve">Intellectual (difficulty communicating, making decisions, engaging with others or learning or retaining information) </w:t>
      </w:r>
    </w:p>
    <w:p w14:paraId="3F776455" w14:textId="77777777" w:rsidR="009D0006" w:rsidRPr="006E4CDB" w:rsidRDefault="009D0006" w:rsidP="00435C26">
      <w:pPr>
        <w:pStyle w:val="Bulletlist"/>
      </w:pPr>
      <w:r w:rsidRPr="006E4CDB">
        <w:t xml:space="preserve">Mental illness (your emotional state and/or behaviours) </w:t>
      </w:r>
    </w:p>
    <w:p w14:paraId="6250DEE1" w14:textId="77777777" w:rsidR="009D0006" w:rsidRPr="006E4CDB" w:rsidRDefault="009D0006" w:rsidP="00435C26">
      <w:pPr>
        <w:pStyle w:val="Bulletlist"/>
      </w:pPr>
      <w:r w:rsidRPr="006E4CDB">
        <w:t xml:space="preserve">Sensory (sight, hearing, smell, touch, taste or spatial awareness) </w:t>
      </w:r>
    </w:p>
    <w:p w14:paraId="53833AF3" w14:textId="77777777" w:rsidR="009D0006" w:rsidRPr="006E4CDB" w:rsidRDefault="009D0006" w:rsidP="00435C26">
      <w:pPr>
        <w:pStyle w:val="Bulletlist"/>
      </w:pPr>
      <w:r w:rsidRPr="006E4CDB">
        <w:t xml:space="preserve">Neurodiversity/autism (ADHD, dyslexia, Tourette syndrome, dyspraxia etc.) </w:t>
      </w:r>
    </w:p>
    <w:p w14:paraId="6C79549E" w14:textId="77777777" w:rsidR="009D0006" w:rsidRPr="006E4CDB" w:rsidRDefault="009D0006" w:rsidP="00435C26">
      <w:pPr>
        <w:pStyle w:val="Bulletlist"/>
      </w:pPr>
      <w:r w:rsidRPr="006E4CDB">
        <w:t>Acquired brain injury (ABI, TBI, dementia)</w:t>
      </w:r>
    </w:p>
    <w:p w14:paraId="05B01129" w14:textId="77777777" w:rsidR="009D0006" w:rsidRDefault="009D0006" w:rsidP="00435C26">
      <w:pPr>
        <w:pStyle w:val="Bulletlist"/>
      </w:pPr>
      <w:r w:rsidRPr="006E4CDB">
        <w:t xml:space="preserve">Something else </w:t>
      </w:r>
    </w:p>
    <w:p w14:paraId="4E8F0AC4" w14:textId="77777777" w:rsidR="009D0006" w:rsidRPr="006E4CDB" w:rsidRDefault="009D0006" w:rsidP="009D0006">
      <w:r w:rsidRPr="006E4CDB">
        <w:t>Table 1 displays the results</w:t>
      </w:r>
      <w:r>
        <w:t xml:space="preserve"> of answers to this question</w:t>
      </w:r>
      <w:r w:rsidRPr="006E4CDB">
        <w:t>.</w:t>
      </w:r>
    </w:p>
    <w:p w14:paraId="7BC5AF97" w14:textId="5C8A57C7" w:rsidR="009D0006" w:rsidRPr="00B553DB" w:rsidRDefault="009D0006" w:rsidP="00153892">
      <w:pPr>
        <w:pStyle w:val="Tableheading"/>
      </w:pPr>
      <w:bookmarkStart w:id="179" w:name="_Toc117062719"/>
      <w:bookmarkStart w:id="180" w:name="_Toc119651404"/>
      <w:r w:rsidRPr="00B553DB">
        <w:t xml:space="preserve">Table </w:t>
      </w:r>
      <w:r w:rsidR="00C9023A">
        <w:fldChar w:fldCharType="begin"/>
      </w:r>
      <w:r w:rsidR="00C9023A">
        <w:instrText xml:space="preserve"> SEQ Table \* ARABIC </w:instrText>
      </w:r>
      <w:r w:rsidR="00C9023A">
        <w:fldChar w:fldCharType="separate"/>
      </w:r>
      <w:r>
        <w:rPr>
          <w:noProof/>
        </w:rPr>
        <w:t>1</w:t>
      </w:r>
      <w:r w:rsidR="00C9023A">
        <w:rPr>
          <w:noProof/>
        </w:rPr>
        <w:fldChar w:fldCharType="end"/>
      </w:r>
      <w:r w:rsidRPr="00B553DB">
        <w:t xml:space="preserve">: </w:t>
      </w:r>
      <w:r>
        <w:t>D</w:t>
      </w:r>
      <w:r w:rsidRPr="00B553DB">
        <w:t>isability or long-term health condition among young people with disability aged 14-21 years (n = 2500)</w:t>
      </w:r>
      <w:bookmarkEnd w:id="179"/>
      <w:bookmarkEnd w:id="180"/>
    </w:p>
    <w:tbl>
      <w:tblPr>
        <w:tblStyle w:val="RCTable"/>
        <w:tblW w:w="9864" w:type="dxa"/>
        <w:tblLayout w:type="fixed"/>
        <w:tblLook w:val="04A0" w:firstRow="1" w:lastRow="0" w:firstColumn="1" w:lastColumn="0" w:noHBand="0" w:noVBand="1"/>
      </w:tblPr>
      <w:tblGrid>
        <w:gridCol w:w="6746"/>
        <w:gridCol w:w="1559"/>
        <w:gridCol w:w="1559"/>
      </w:tblGrid>
      <w:tr w:rsidR="009D0006" w:rsidRPr="00435C26" w14:paraId="2858C9CC"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69EE1D0D" w14:textId="77777777" w:rsidR="009D0006" w:rsidRPr="006E4CDB" w:rsidRDefault="009D0006" w:rsidP="00435C26">
            <w:pPr>
              <w:pStyle w:val="Tableheader"/>
            </w:pPr>
            <w:r w:rsidRPr="006E4CDB">
              <w:t xml:space="preserve">Disability or long-term health condition </w:t>
            </w:r>
          </w:p>
        </w:tc>
        <w:tc>
          <w:tcPr>
            <w:tcW w:w="1559" w:type="dxa"/>
            <w:noWrap/>
            <w:hideMark/>
          </w:tcPr>
          <w:p w14:paraId="6EDD7CD2" w14:textId="77777777" w:rsidR="009D0006" w:rsidRPr="00435C26" w:rsidRDefault="009D0006" w:rsidP="00435C26">
            <w:pPr>
              <w:pStyle w:val="Tableheader"/>
            </w:pPr>
            <w:r w:rsidRPr="00435C26">
              <w:t>n</w:t>
            </w:r>
          </w:p>
        </w:tc>
        <w:tc>
          <w:tcPr>
            <w:tcW w:w="1559" w:type="dxa"/>
            <w:noWrap/>
            <w:hideMark/>
          </w:tcPr>
          <w:p w14:paraId="420A8338" w14:textId="77777777" w:rsidR="009D0006" w:rsidRPr="00435C26" w:rsidRDefault="009D0006" w:rsidP="00435C26">
            <w:pPr>
              <w:pStyle w:val="Tableheader"/>
              <w:rPr>
                <w:i/>
              </w:rPr>
            </w:pPr>
            <w:r w:rsidRPr="00435C26">
              <w:rPr>
                <w:i/>
              </w:rPr>
              <w:t>%</w:t>
            </w:r>
          </w:p>
        </w:tc>
      </w:tr>
      <w:tr w:rsidR="009D0006" w:rsidRPr="00435C26" w14:paraId="048342DB"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1425167" w14:textId="77777777" w:rsidR="009D0006" w:rsidRPr="00FE2582" w:rsidRDefault="009D0006" w:rsidP="00FE2582">
            <w:pPr>
              <w:pStyle w:val="Tabletext"/>
            </w:pPr>
            <w:r w:rsidRPr="00FE2582">
              <w:t>Mental illness</w:t>
            </w:r>
          </w:p>
        </w:tc>
        <w:tc>
          <w:tcPr>
            <w:tcW w:w="1559" w:type="dxa"/>
            <w:noWrap/>
          </w:tcPr>
          <w:p w14:paraId="1839C266" w14:textId="77777777" w:rsidR="009D0006" w:rsidRPr="00FE2582" w:rsidRDefault="009D0006" w:rsidP="00FE2582">
            <w:pPr>
              <w:pStyle w:val="Tabletext"/>
            </w:pPr>
            <w:r w:rsidRPr="00FE2582">
              <w:t>2206</w:t>
            </w:r>
          </w:p>
        </w:tc>
        <w:tc>
          <w:tcPr>
            <w:tcW w:w="1559" w:type="dxa"/>
            <w:noWrap/>
          </w:tcPr>
          <w:p w14:paraId="7AE37EC5" w14:textId="77777777" w:rsidR="009D0006" w:rsidRPr="00FE2582" w:rsidRDefault="009D0006" w:rsidP="00FE2582">
            <w:pPr>
              <w:pStyle w:val="Tabletext"/>
            </w:pPr>
            <w:r w:rsidRPr="00FE2582">
              <w:t>88.2</w:t>
            </w:r>
          </w:p>
        </w:tc>
      </w:tr>
      <w:tr w:rsidR="009D0006" w:rsidRPr="00435C26" w14:paraId="615D50B1"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AA885A1" w14:textId="77777777" w:rsidR="009D0006" w:rsidRPr="00FE2582" w:rsidRDefault="009D0006" w:rsidP="00FE2582">
            <w:pPr>
              <w:pStyle w:val="Tabletext"/>
            </w:pPr>
            <w:r w:rsidRPr="00FE2582">
              <w:t>Neurodiversity/autism</w:t>
            </w:r>
          </w:p>
        </w:tc>
        <w:tc>
          <w:tcPr>
            <w:tcW w:w="1559" w:type="dxa"/>
            <w:noWrap/>
          </w:tcPr>
          <w:p w14:paraId="6E1B428F" w14:textId="77777777" w:rsidR="009D0006" w:rsidRPr="00FE2582" w:rsidRDefault="009D0006" w:rsidP="00FE2582">
            <w:pPr>
              <w:pStyle w:val="Tabletext"/>
            </w:pPr>
            <w:r w:rsidRPr="00FE2582">
              <w:t>866</w:t>
            </w:r>
          </w:p>
        </w:tc>
        <w:tc>
          <w:tcPr>
            <w:tcW w:w="1559" w:type="dxa"/>
            <w:noWrap/>
          </w:tcPr>
          <w:p w14:paraId="26D55652" w14:textId="77777777" w:rsidR="009D0006" w:rsidRPr="00FE2582" w:rsidRDefault="009D0006" w:rsidP="00FE2582">
            <w:pPr>
              <w:pStyle w:val="Tabletext"/>
            </w:pPr>
            <w:r w:rsidRPr="00FE2582">
              <w:t>34.6</w:t>
            </w:r>
          </w:p>
        </w:tc>
      </w:tr>
      <w:tr w:rsidR="009D0006" w:rsidRPr="00435C26" w14:paraId="727AA8BE"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3ED8C63" w14:textId="77777777" w:rsidR="009D0006" w:rsidRPr="00FE2582" w:rsidRDefault="009D0006" w:rsidP="00FE2582">
            <w:pPr>
              <w:pStyle w:val="Tabletext"/>
            </w:pPr>
            <w:r w:rsidRPr="00FE2582">
              <w:t>Physical</w:t>
            </w:r>
          </w:p>
        </w:tc>
        <w:tc>
          <w:tcPr>
            <w:tcW w:w="1559" w:type="dxa"/>
            <w:noWrap/>
          </w:tcPr>
          <w:p w14:paraId="5B2F95FE" w14:textId="77777777" w:rsidR="009D0006" w:rsidRPr="00FE2582" w:rsidRDefault="009D0006" w:rsidP="00FE2582">
            <w:pPr>
              <w:pStyle w:val="Tabletext"/>
            </w:pPr>
            <w:r w:rsidRPr="00FE2582">
              <w:t>422</w:t>
            </w:r>
          </w:p>
        </w:tc>
        <w:tc>
          <w:tcPr>
            <w:tcW w:w="1559" w:type="dxa"/>
            <w:noWrap/>
          </w:tcPr>
          <w:p w14:paraId="4B9A1DEB" w14:textId="77777777" w:rsidR="009D0006" w:rsidRPr="00FE2582" w:rsidRDefault="009D0006" w:rsidP="00FE2582">
            <w:pPr>
              <w:pStyle w:val="Tabletext"/>
            </w:pPr>
            <w:r w:rsidRPr="00FE2582">
              <w:t>16.9</w:t>
            </w:r>
          </w:p>
        </w:tc>
      </w:tr>
      <w:tr w:rsidR="009D0006" w:rsidRPr="00435C26" w14:paraId="621B245E"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6A88233" w14:textId="77777777" w:rsidR="009D0006" w:rsidRPr="00FE2582" w:rsidRDefault="009D0006" w:rsidP="00FE2582">
            <w:pPr>
              <w:pStyle w:val="Tabletext"/>
            </w:pPr>
            <w:r w:rsidRPr="00FE2582">
              <w:t>Sensory</w:t>
            </w:r>
          </w:p>
        </w:tc>
        <w:tc>
          <w:tcPr>
            <w:tcW w:w="1559" w:type="dxa"/>
            <w:noWrap/>
          </w:tcPr>
          <w:p w14:paraId="6997BE0F" w14:textId="77777777" w:rsidR="009D0006" w:rsidRPr="00FE2582" w:rsidRDefault="009D0006" w:rsidP="00FE2582">
            <w:pPr>
              <w:pStyle w:val="Tabletext"/>
            </w:pPr>
            <w:r w:rsidRPr="00FE2582">
              <w:t>419</w:t>
            </w:r>
          </w:p>
        </w:tc>
        <w:tc>
          <w:tcPr>
            <w:tcW w:w="1559" w:type="dxa"/>
            <w:noWrap/>
          </w:tcPr>
          <w:p w14:paraId="7D6335FD" w14:textId="77777777" w:rsidR="009D0006" w:rsidRPr="00FE2582" w:rsidRDefault="009D0006" w:rsidP="00FE2582">
            <w:pPr>
              <w:pStyle w:val="Tabletext"/>
            </w:pPr>
            <w:r w:rsidRPr="00FE2582">
              <w:t>16.8</w:t>
            </w:r>
          </w:p>
        </w:tc>
      </w:tr>
      <w:tr w:rsidR="009D0006" w:rsidRPr="00435C26" w14:paraId="7FBBC55D"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64F14EC" w14:textId="77777777" w:rsidR="009D0006" w:rsidRPr="00FE2582" w:rsidRDefault="009D0006" w:rsidP="00FE2582">
            <w:pPr>
              <w:pStyle w:val="Tabletext"/>
            </w:pPr>
            <w:r w:rsidRPr="00FE2582">
              <w:t>Intellectual</w:t>
            </w:r>
          </w:p>
        </w:tc>
        <w:tc>
          <w:tcPr>
            <w:tcW w:w="1559" w:type="dxa"/>
            <w:noWrap/>
          </w:tcPr>
          <w:p w14:paraId="62E2755A" w14:textId="77777777" w:rsidR="009D0006" w:rsidRPr="00FE2582" w:rsidRDefault="009D0006" w:rsidP="00FE2582">
            <w:pPr>
              <w:pStyle w:val="Tabletext"/>
            </w:pPr>
            <w:r w:rsidRPr="00FE2582">
              <w:t>347</w:t>
            </w:r>
          </w:p>
        </w:tc>
        <w:tc>
          <w:tcPr>
            <w:tcW w:w="1559" w:type="dxa"/>
            <w:noWrap/>
          </w:tcPr>
          <w:p w14:paraId="24BCF2CF" w14:textId="77777777" w:rsidR="009D0006" w:rsidRPr="00FE2582" w:rsidRDefault="009D0006" w:rsidP="00FE2582">
            <w:pPr>
              <w:pStyle w:val="Tabletext"/>
            </w:pPr>
            <w:r w:rsidRPr="00FE2582">
              <w:t>13.9</w:t>
            </w:r>
          </w:p>
        </w:tc>
      </w:tr>
      <w:tr w:rsidR="009D0006" w:rsidRPr="00435C26" w14:paraId="3643A6AC"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18F7CA4" w14:textId="77777777" w:rsidR="009D0006" w:rsidRPr="00FE2582" w:rsidRDefault="009D0006" w:rsidP="00FE2582">
            <w:pPr>
              <w:pStyle w:val="Tabletext"/>
            </w:pPr>
            <w:r w:rsidRPr="00FE2582">
              <w:t>Acquired brain injury</w:t>
            </w:r>
          </w:p>
        </w:tc>
        <w:tc>
          <w:tcPr>
            <w:tcW w:w="1559" w:type="dxa"/>
            <w:noWrap/>
          </w:tcPr>
          <w:p w14:paraId="58AD8328" w14:textId="77777777" w:rsidR="009D0006" w:rsidRPr="00FE2582" w:rsidRDefault="009D0006" w:rsidP="00FE2582">
            <w:pPr>
              <w:pStyle w:val="Tabletext"/>
            </w:pPr>
            <w:r w:rsidRPr="00FE2582">
              <w:t>10</w:t>
            </w:r>
          </w:p>
        </w:tc>
        <w:tc>
          <w:tcPr>
            <w:tcW w:w="1559" w:type="dxa"/>
            <w:noWrap/>
          </w:tcPr>
          <w:p w14:paraId="138D7EBC" w14:textId="77777777" w:rsidR="009D0006" w:rsidRPr="00FE2582" w:rsidRDefault="009D0006" w:rsidP="00FE2582">
            <w:pPr>
              <w:pStyle w:val="Tabletext"/>
            </w:pPr>
            <w:r w:rsidRPr="00FE2582">
              <w:t>0.4</w:t>
            </w:r>
          </w:p>
        </w:tc>
      </w:tr>
      <w:tr w:rsidR="009D0006" w:rsidRPr="006E4CDB" w14:paraId="208B67C7"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C5DED0C" w14:textId="77777777" w:rsidR="009D0006" w:rsidRPr="00FE2582" w:rsidRDefault="009D0006" w:rsidP="00FE2582">
            <w:pPr>
              <w:pStyle w:val="Tabletext"/>
            </w:pPr>
            <w:r w:rsidRPr="00FE2582">
              <w:t>Other</w:t>
            </w:r>
          </w:p>
        </w:tc>
        <w:tc>
          <w:tcPr>
            <w:tcW w:w="1559" w:type="dxa"/>
            <w:noWrap/>
          </w:tcPr>
          <w:p w14:paraId="1A5BDA06" w14:textId="77777777" w:rsidR="009D0006" w:rsidRPr="00FE2582" w:rsidRDefault="009D0006" w:rsidP="00FE2582">
            <w:pPr>
              <w:pStyle w:val="Tabletext"/>
            </w:pPr>
            <w:r w:rsidRPr="00FE2582">
              <w:t>132</w:t>
            </w:r>
          </w:p>
        </w:tc>
        <w:tc>
          <w:tcPr>
            <w:tcW w:w="1559" w:type="dxa"/>
            <w:noWrap/>
          </w:tcPr>
          <w:p w14:paraId="50C7EAE6" w14:textId="77777777" w:rsidR="009D0006" w:rsidRPr="00FE2582" w:rsidRDefault="009D0006" w:rsidP="00FE2582">
            <w:pPr>
              <w:pStyle w:val="Tabletext"/>
            </w:pPr>
            <w:r w:rsidRPr="00FE2582">
              <w:t>5.3</w:t>
            </w:r>
          </w:p>
        </w:tc>
      </w:tr>
    </w:tbl>
    <w:p w14:paraId="1BF61A70" w14:textId="77777777" w:rsidR="009D0006" w:rsidRPr="006E4CDB" w:rsidRDefault="009D0006" w:rsidP="00FE2582">
      <w:pPr>
        <w:spacing w:before="360"/>
      </w:pPr>
      <w:r w:rsidRPr="006E4CDB">
        <w:t>As shown in Table 1, one</w:t>
      </w:r>
      <w:r>
        <w:t>-</w:t>
      </w:r>
      <w:r w:rsidRPr="006E4CDB">
        <w:t>third of participants reported a mental illness (88.2%; n = 2206)</w:t>
      </w:r>
      <w:r>
        <w:t>. However, a</w:t>
      </w:r>
      <w:r w:rsidRPr="006E4CDB">
        <w:t>pproximately one</w:t>
      </w:r>
      <w:r>
        <w:t>-</w:t>
      </w:r>
      <w:r w:rsidRPr="006E4CDB">
        <w:t xml:space="preserve">quarter (22.5%; n = 1440) of </w:t>
      </w:r>
      <w:r>
        <w:t>participants</w:t>
      </w:r>
      <w:r w:rsidRPr="006E4CDB">
        <w:t xml:space="preserve"> reported </w:t>
      </w:r>
      <w:r>
        <w:t xml:space="preserve">a </w:t>
      </w:r>
      <w:r w:rsidRPr="006E4CDB">
        <w:t xml:space="preserve">disability or long-term health condition other than a mental illness, and as a result of the more inclusive model of self-identified disability used in </w:t>
      </w:r>
      <w:r w:rsidRPr="006E4CDB">
        <w:rPr>
          <w:i/>
        </w:rPr>
        <w:t>Writing Themselves In 4</w:t>
      </w:r>
      <w:r w:rsidRPr="006E4CDB">
        <w:t>.</w:t>
      </w:r>
      <w:r>
        <w:t xml:space="preserve"> Overall, </w:t>
      </w:r>
      <w:r w:rsidRPr="006E4CDB">
        <w:t>34.6% (n = 866) reported neurodiversity/autism, 16.9% (n = 422) a physical disability, 16.8% (n = 419) a sensory disability, 13.9% (n = 347) an intellectual disability, 0.4% (n = 10) an acquired brain injury and 5.3% (n = 132) a different type of disability. It is notable that the relatively high proportion of people reporting a disability in this study</w:t>
      </w:r>
      <w:r>
        <w:t xml:space="preserve">, </w:t>
      </w:r>
      <w:r w:rsidRPr="006E4CDB">
        <w:t xml:space="preserve">compared to </w:t>
      </w:r>
      <w:r>
        <w:t>7%</w:t>
      </w:r>
      <w:r w:rsidRPr="006E4CDB">
        <w:t xml:space="preserve"> of young people aged 15-24 in the general population who reported some form of disability</w:t>
      </w:r>
      <w:r>
        <w:t xml:space="preserve"> </w:t>
      </w:r>
      <w:r>
        <w:fldChar w:fldCharType="begin"/>
      </w:r>
      <w:r>
        <w:instrText xml:space="preserve"> ADDIN ZOTERO_ITEM CSL_CITATION {"citationID":"opOyGIwV","properties":{"formattedCitation":"(17)","plainCitation":"(17)","noteIndex":0},"citationItems":[{"id":"hc6yy1rM/fqSz8NxT","uris":["http://zotero.org/users/4948307/items/2NEATRYQ"],"itemData":{"id":63,"type":"book","abstract":"This report is the fourth in a series of national statistical reports on young people aged 12-24 years, produced by the Australian Institute of Health and Welfare. It provides the latest available information on how Australia's young people are faring according to a set of national indicators of health and wellbeing. Death rates have fallen considerably among young people, mainly due to declines in injury deaths. Most young people are achieving national minimum standards for reading, writing and numeracy, are fully engaged in study or work, and have strong support networks. There are some favourable trends in risk and protective factors, such as declines in smoking and illicit substance use. But it is not all good news. There is a high rate of mental disorders among young people, and road transport accidents, although continuing to decline, are still a major cause of death among young males. Too many young people are overweight or obese, are not doing sufficient physical activity or eating enough fruit and vegetables, and are drinking alcohol at risky levels. Aboriginal and Torres Strait Islander young people are far more likely to be disadvantaged across a broad range of indicators.","event-place":"Canberra, A.C.T.","ISBN":"978-1-74249-171-4","language":"en","note":"OCLC: 1058073329","publisher":"Australian Institute of Health and Welfare","publisher-place":"Canberra, A.C.T.","source":"Open WorldCat","title":"Young Australians: their health and wellbeing 2011","title-short":"Young Australians","author":[{"family":"Milnes","given":"Annette"},{"family":"Pegrum","given":"Karen"},{"family":"Nebe","given":"Brett"},{"family":"Topfer","given":"Alex"},{"family":"Gaal","given":"Lisa"},{"family":"Zhang","given":"Jessica"},{"family":"Hunter","given":"Nicole"},{"literal":"Australian Institute of Health and Welfare"}],"issued":{"date-parts":[["2011"]]}}}],"schema":"https://github.com/citation-style-language/schema/raw/master/csl-citation.json"} </w:instrText>
      </w:r>
      <w:r>
        <w:fldChar w:fldCharType="separate"/>
      </w:r>
      <w:r>
        <w:rPr>
          <w:lang w:val="en-GB"/>
        </w:rPr>
        <w:t>(17)</w:t>
      </w:r>
      <w:r>
        <w:fldChar w:fldCharType="end"/>
      </w:r>
      <w:r>
        <w:t xml:space="preserve">, </w:t>
      </w:r>
      <w:r w:rsidRPr="006E4CDB">
        <w:t>is likely due to the inclusion of mental illness</w:t>
      </w:r>
      <w:r>
        <w:t xml:space="preserve">. </w:t>
      </w:r>
    </w:p>
    <w:p w14:paraId="4B60FBBA" w14:textId="77777777" w:rsidR="009D0006" w:rsidRPr="006E4CDB" w:rsidRDefault="009D0006" w:rsidP="009D0006">
      <w:r w:rsidRPr="006E4CDB">
        <w:lastRenderedPageBreak/>
        <w:t xml:space="preserve">In order to facilitate analysis of the findings in </w:t>
      </w:r>
      <w:r w:rsidRPr="006E4CDB">
        <w:rPr>
          <w:i/>
          <w:iCs/>
        </w:rPr>
        <w:t xml:space="preserve">Writing Themselves In 4 </w:t>
      </w:r>
      <w:r w:rsidRPr="006E4CDB">
        <w:t xml:space="preserve">regarding the reporting of a disability or long-term health condition, the above categories were further grouped as follows: </w:t>
      </w:r>
    </w:p>
    <w:p w14:paraId="62A5DB85" w14:textId="77777777" w:rsidR="009D0006" w:rsidRPr="00060833" w:rsidRDefault="009D0006" w:rsidP="00435C26">
      <w:pPr>
        <w:pStyle w:val="Bulletlist"/>
        <w:rPr>
          <w:i/>
          <w:iCs/>
        </w:rPr>
      </w:pPr>
      <w:r w:rsidRPr="006E4CDB">
        <w:t>Any disability</w:t>
      </w:r>
    </w:p>
    <w:p w14:paraId="0FE36C10" w14:textId="77777777" w:rsidR="009D0006" w:rsidRPr="006E4CDB" w:rsidRDefault="009D0006" w:rsidP="00435C26">
      <w:pPr>
        <w:pStyle w:val="Bulletlist"/>
      </w:pPr>
      <w:r w:rsidRPr="006E4CDB">
        <w:t>Neurodiversity/autism</w:t>
      </w:r>
    </w:p>
    <w:p w14:paraId="22B56720" w14:textId="77777777" w:rsidR="009D0006" w:rsidRPr="006E4CDB" w:rsidRDefault="009D0006" w:rsidP="00435C26">
      <w:pPr>
        <w:pStyle w:val="Bulletlist"/>
      </w:pPr>
      <w:r w:rsidRPr="006E4CDB">
        <w:t>Neurodiversity/autism with intellectual disability</w:t>
      </w:r>
    </w:p>
    <w:p w14:paraId="2441EAC7" w14:textId="77777777" w:rsidR="009D0006" w:rsidRPr="006E4CDB" w:rsidRDefault="009D0006" w:rsidP="00435C26">
      <w:pPr>
        <w:pStyle w:val="Bulletlist"/>
      </w:pPr>
      <w:r w:rsidRPr="006E4CDB">
        <w:t>Intellectual disability</w:t>
      </w:r>
    </w:p>
    <w:p w14:paraId="0FD897F5" w14:textId="77777777" w:rsidR="009D0006" w:rsidRPr="006E4CDB" w:rsidRDefault="009D0006" w:rsidP="00435C26">
      <w:pPr>
        <w:pStyle w:val="Bulletlist"/>
      </w:pPr>
      <w:r w:rsidRPr="006E4CDB">
        <w:t>Sensory/physical disability</w:t>
      </w:r>
    </w:p>
    <w:p w14:paraId="034A464F" w14:textId="77777777" w:rsidR="009D0006" w:rsidRPr="006E4CDB" w:rsidRDefault="009D0006" w:rsidP="00435C26">
      <w:pPr>
        <w:pStyle w:val="Bulletlist"/>
      </w:pPr>
      <w:r w:rsidRPr="006E4CDB">
        <w:t>Mental health condition</w:t>
      </w:r>
    </w:p>
    <w:p w14:paraId="5377EFEF" w14:textId="77777777" w:rsidR="009D0006" w:rsidRPr="006E4CDB" w:rsidRDefault="009D0006" w:rsidP="009D0006">
      <w:r w:rsidRPr="006E4CDB">
        <w:t>In the above categories,</w:t>
      </w:r>
      <w:r>
        <w:t xml:space="preserve"> i</w:t>
      </w:r>
      <w:r w:rsidRPr="00EB7004">
        <w:t xml:space="preserve">n order to be </w:t>
      </w:r>
      <w:r>
        <w:t xml:space="preserve">more </w:t>
      </w:r>
      <w:r w:rsidRPr="00EB7004">
        <w:t>comparable with general population data, ‘any disability’ does not include participants who reported only ‘mental illness’ and no other disability or long-term health condition.</w:t>
      </w:r>
      <w:r w:rsidRPr="006E4CDB">
        <w:t xml:space="preserve"> </w:t>
      </w:r>
      <w:r>
        <w:t>A</w:t>
      </w:r>
      <w:r w:rsidRPr="006E4CDB">
        <w:t xml:space="preserve"> combined group for ‘neurodiversity/autism with intellectual disability’ has been included. This is to reflect the more specific life experiences of this group. Accordingly, the ‘neurodiversity/autism’ group does not include those with intellectual disability and the ‘intellectual disability’ group does not include those who indicated neurodiversity/autism. </w:t>
      </w:r>
    </w:p>
    <w:p w14:paraId="3B3C7640" w14:textId="77777777" w:rsidR="009D0006" w:rsidRPr="006E4CDB" w:rsidRDefault="009D0006" w:rsidP="009D0006">
      <w:r w:rsidRPr="006E4CDB">
        <w:t xml:space="preserve">It is also important to note that while these categories provide new insight into the health and wellbeing of young LGBTQA+ people living in Australia, they are subject to a variety of limitations. Firstly, these categories are self-reported and are not </w:t>
      </w:r>
      <w:r>
        <w:t>formal</w:t>
      </w:r>
      <w:r w:rsidRPr="006E4CDB">
        <w:t xml:space="preserve"> diagnoses. However, other research such as national census data reported by the ABS also uses similarly self-reported data. Secondly, while these categories are useful in understanding the perspectives of the young people from </w:t>
      </w:r>
      <w:r w:rsidRPr="006E4CDB">
        <w:rPr>
          <w:i/>
          <w:iCs/>
        </w:rPr>
        <w:t>Writing Themselves In 4</w:t>
      </w:r>
      <w:r w:rsidRPr="006E4CDB">
        <w:t xml:space="preserve">, they are not comparable to national data. </w:t>
      </w:r>
      <w:r>
        <w:t>As noted above, w</w:t>
      </w:r>
      <w:r w:rsidRPr="006E4CDB">
        <w:t>e have therefore created the ‘any disability’ category, which does not include participants reporting ‘mental illness’</w:t>
      </w:r>
      <w:r>
        <w:t>.</w:t>
      </w:r>
      <w:r w:rsidRPr="006E4CDB">
        <w:t xml:space="preserve"> This provides the best comparison with general population data, which typically does not include mental illness as a disability or long-term health condition. Lastly, these categories do not measure subjective severity of disability or long-term health conditions, and comparisons between categories must therefore be made with caution. </w:t>
      </w:r>
    </w:p>
    <w:p w14:paraId="1991383D" w14:textId="115E3CED" w:rsidR="009D0006" w:rsidRPr="00284B34" w:rsidRDefault="009D0006" w:rsidP="00153892">
      <w:pPr>
        <w:pStyle w:val="Heading3Numbered"/>
      </w:pPr>
      <w:bookmarkStart w:id="181" w:name="_Toc115968500"/>
      <w:r w:rsidRPr="00284B34">
        <w:t xml:space="preserve">Disability in </w:t>
      </w:r>
      <w:r w:rsidRPr="00563977">
        <w:rPr>
          <w:i/>
        </w:rPr>
        <w:t>Private Lives 3</w:t>
      </w:r>
      <w:bookmarkEnd w:id="181"/>
    </w:p>
    <w:p w14:paraId="73273E78" w14:textId="77777777" w:rsidR="009D0006" w:rsidRPr="006E4CDB" w:rsidRDefault="009D0006" w:rsidP="009D0006">
      <w:r w:rsidRPr="006E4CDB">
        <w:t xml:space="preserve">The </w:t>
      </w:r>
      <w:r w:rsidRPr="006E4CDB">
        <w:rPr>
          <w:i/>
          <w:iCs/>
        </w:rPr>
        <w:t>Private Lives 3</w:t>
      </w:r>
      <w:r w:rsidRPr="006E4CDB">
        <w:t xml:space="preserve"> survey used the Australian Institute of Health Welfare’s </w:t>
      </w:r>
      <w:r w:rsidRPr="006E4CDB">
        <w:rPr>
          <w:i/>
          <w:iCs/>
        </w:rPr>
        <w:t>Standardised Disability Flag Module</w:t>
      </w:r>
      <w:r w:rsidRPr="006E4CDB">
        <w:t xml:space="preserve"> (hereafter referred to as the ‘Disability Flag’)</w:t>
      </w:r>
      <w:r>
        <w:fldChar w:fldCharType="begin"/>
      </w:r>
      <w:r>
        <w:instrText xml:space="preserve"> ADDIN ZOTERO_ITEM CSL_CITATION {"citationID":"anVQyvHL","properties":{"formattedCitation":"(18)","plainCitation":"(18)","noteIndex":0},"citationItems":[{"id":"hc6yy1rM/m16eiNi8","uris":["http://zotero.org/users/4948307/items/FLGF94ZL"],"itemData":{"id":194,"type":"report","title":"Standardized Disability Flag: Data Collection Guide","URL":"https://www.aihw.gov.au/getmedia/2cda5b59-bbac-45f2-aea8-954ae12306b2/dat-6-standardised-disability-flag-data-collection-guide.pdf.aspx","author":[{"family":"Australian Institute of Health and Welfare","given":""}],"accessed":{"date-parts":[["2020",2,27]]},"issued":{"date-parts":[["2016"]]}}}],"schema":"https://github.com/citation-style-language/schema/raw/master/csl-citation.json"} </w:instrText>
      </w:r>
      <w:r>
        <w:fldChar w:fldCharType="separate"/>
      </w:r>
      <w:r>
        <w:rPr>
          <w:lang w:val="en-GB"/>
        </w:rPr>
        <w:t>(18)</w:t>
      </w:r>
      <w:r>
        <w:fldChar w:fldCharType="end"/>
      </w:r>
      <w:r w:rsidRPr="006E4CDB">
        <w:t xml:space="preserve"> to identify individuals with a long-term health condition or disability (defined as someone who </w:t>
      </w:r>
      <w:r w:rsidRPr="006E4CDB">
        <w:lastRenderedPageBreak/>
        <w:t xml:space="preserve">reports an activity limitation, a specific education participation restriction and/or a specific employment participation restriction). The Disability Flag is based on the International Classification of Functioning, Disability and Health, a classification of health domains put forward by the World Health Organisation. It is intended for use across a wide range of sectors, enabling nationally consistent collection of information used to identify people with disabilities or long-term health conditions who experience difficulties or need assistance in various areas of their life. </w:t>
      </w:r>
    </w:p>
    <w:p w14:paraId="43947848" w14:textId="77777777" w:rsidR="009D0006" w:rsidRPr="006E4CDB" w:rsidRDefault="009D0006" w:rsidP="009D0006">
      <w:r w:rsidRPr="006E4CDB">
        <w:t>The Disability Flag consists of eight questions concerning activity participation and need for assistance on a 4-point scale, ranging from ‘have no difficulty’ to ‘always/sometimes need help or supervision</w:t>
      </w:r>
      <w:r>
        <w:t>’</w:t>
      </w:r>
      <w:r w:rsidRPr="006E4CDB">
        <w:t xml:space="preserve">. Two subsequent questions follow that ask about whether participants experience education and employment participation restrictions that require a ‘yes’ or ‘no’ response. </w:t>
      </w:r>
    </w:p>
    <w:p w14:paraId="31D73135" w14:textId="2BA22876" w:rsidR="009D0006" w:rsidRPr="00B553DB" w:rsidRDefault="009D0006" w:rsidP="00153892">
      <w:pPr>
        <w:pStyle w:val="Tableheading"/>
      </w:pPr>
      <w:bookmarkStart w:id="182" w:name="_Toc117062720"/>
      <w:bookmarkStart w:id="183" w:name="_Toc119651405"/>
      <w:r w:rsidRPr="00B553DB">
        <w:t xml:space="preserve">Table </w:t>
      </w:r>
      <w:r w:rsidR="00C9023A">
        <w:fldChar w:fldCharType="begin"/>
      </w:r>
      <w:r w:rsidR="00C9023A">
        <w:instrText xml:space="preserve"> SEQ Table \* ARABIC </w:instrText>
      </w:r>
      <w:r w:rsidR="00C9023A">
        <w:fldChar w:fldCharType="separate"/>
      </w:r>
      <w:r>
        <w:rPr>
          <w:noProof/>
        </w:rPr>
        <w:t>2</w:t>
      </w:r>
      <w:r w:rsidR="00C9023A">
        <w:rPr>
          <w:noProof/>
        </w:rPr>
        <w:fldChar w:fldCharType="end"/>
      </w:r>
      <w:r w:rsidRPr="00B553DB">
        <w:t xml:space="preserve">: Disability or long-term health condition among adults aged 18+ years </w:t>
      </w:r>
      <w:r>
        <w:t xml:space="preserve">as </w:t>
      </w:r>
      <w:r w:rsidRPr="00B553DB">
        <w:t>categorised by the Disability Flag (n = 2629)</w:t>
      </w:r>
      <w:bookmarkEnd w:id="182"/>
      <w:bookmarkEnd w:id="183"/>
    </w:p>
    <w:tbl>
      <w:tblPr>
        <w:tblStyle w:val="RCTable"/>
        <w:tblW w:w="9864" w:type="dxa"/>
        <w:tblLayout w:type="fixed"/>
        <w:tblLook w:val="04A0" w:firstRow="1" w:lastRow="0" w:firstColumn="1" w:lastColumn="0" w:noHBand="0" w:noVBand="1"/>
      </w:tblPr>
      <w:tblGrid>
        <w:gridCol w:w="6746"/>
        <w:gridCol w:w="1559"/>
        <w:gridCol w:w="1559"/>
      </w:tblGrid>
      <w:tr w:rsidR="009D0006" w:rsidRPr="006E4CDB" w14:paraId="1716BDC0"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78789EF" w14:textId="77777777" w:rsidR="009D0006" w:rsidRPr="00736415" w:rsidRDefault="009D0006" w:rsidP="00736415">
            <w:pPr>
              <w:pStyle w:val="Tableheader"/>
            </w:pPr>
            <w:r w:rsidRPr="00736415">
              <w:t xml:space="preserve">Disability or long-term health condition </w:t>
            </w:r>
          </w:p>
        </w:tc>
        <w:tc>
          <w:tcPr>
            <w:tcW w:w="1559" w:type="dxa"/>
            <w:noWrap/>
            <w:hideMark/>
          </w:tcPr>
          <w:p w14:paraId="15C35AD6" w14:textId="77777777" w:rsidR="009D0006" w:rsidRPr="00736415" w:rsidRDefault="009D0006" w:rsidP="00736415">
            <w:pPr>
              <w:pStyle w:val="Tableheader"/>
            </w:pPr>
            <w:r w:rsidRPr="00736415">
              <w:t>n</w:t>
            </w:r>
          </w:p>
        </w:tc>
        <w:tc>
          <w:tcPr>
            <w:tcW w:w="1559" w:type="dxa"/>
            <w:noWrap/>
            <w:hideMark/>
          </w:tcPr>
          <w:p w14:paraId="02808263" w14:textId="77777777" w:rsidR="009D0006" w:rsidRPr="00736415" w:rsidRDefault="009D0006" w:rsidP="00736415">
            <w:pPr>
              <w:pStyle w:val="Tableheader"/>
            </w:pPr>
            <w:r w:rsidRPr="00736415">
              <w:t>%</w:t>
            </w:r>
          </w:p>
        </w:tc>
      </w:tr>
      <w:tr w:rsidR="009D0006" w:rsidRPr="006E4CDB" w14:paraId="27DD6158"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E7A218D" w14:textId="77777777" w:rsidR="009D0006" w:rsidRPr="00736415" w:rsidRDefault="009D0006" w:rsidP="00736415">
            <w:pPr>
              <w:pStyle w:val="Tabletext"/>
            </w:pPr>
            <w:r w:rsidRPr="00736415">
              <w:t>No disability</w:t>
            </w:r>
          </w:p>
        </w:tc>
        <w:tc>
          <w:tcPr>
            <w:tcW w:w="1559" w:type="dxa"/>
            <w:noWrap/>
          </w:tcPr>
          <w:p w14:paraId="0E6614EA" w14:textId="77777777" w:rsidR="009D0006" w:rsidRPr="00736415" w:rsidRDefault="009D0006" w:rsidP="00736415">
            <w:pPr>
              <w:pStyle w:val="Tabletext"/>
            </w:pPr>
            <w:r w:rsidRPr="00736415">
              <w:t>3904</w:t>
            </w:r>
          </w:p>
        </w:tc>
        <w:tc>
          <w:tcPr>
            <w:tcW w:w="1559" w:type="dxa"/>
            <w:noWrap/>
          </w:tcPr>
          <w:p w14:paraId="7D3CFDB1" w14:textId="77777777" w:rsidR="009D0006" w:rsidRPr="00736415" w:rsidRDefault="009D0006" w:rsidP="00736415">
            <w:pPr>
              <w:pStyle w:val="Tabletext"/>
            </w:pPr>
            <w:r w:rsidRPr="00736415">
              <w:t>59.8</w:t>
            </w:r>
          </w:p>
        </w:tc>
      </w:tr>
      <w:tr w:rsidR="009D0006" w:rsidRPr="006E4CDB" w14:paraId="2E789D6C"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2EC3220" w14:textId="77777777" w:rsidR="009D0006" w:rsidRPr="00736415" w:rsidRDefault="009D0006" w:rsidP="00736415">
            <w:pPr>
              <w:pStyle w:val="Tabletext"/>
            </w:pPr>
            <w:r w:rsidRPr="00736415">
              <w:t>Mild</w:t>
            </w:r>
          </w:p>
        </w:tc>
        <w:tc>
          <w:tcPr>
            <w:tcW w:w="1559" w:type="dxa"/>
            <w:noWrap/>
          </w:tcPr>
          <w:p w14:paraId="6A4BE890" w14:textId="77777777" w:rsidR="009D0006" w:rsidRPr="00736415" w:rsidRDefault="009D0006" w:rsidP="00736415">
            <w:pPr>
              <w:pStyle w:val="Tabletext"/>
            </w:pPr>
            <w:r w:rsidRPr="00736415">
              <w:t>433</w:t>
            </w:r>
          </w:p>
        </w:tc>
        <w:tc>
          <w:tcPr>
            <w:tcW w:w="1559" w:type="dxa"/>
            <w:noWrap/>
          </w:tcPr>
          <w:p w14:paraId="7D25CEB9" w14:textId="77777777" w:rsidR="009D0006" w:rsidRPr="00736415" w:rsidRDefault="009D0006" w:rsidP="00736415">
            <w:pPr>
              <w:pStyle w:val="Tabletext"/>
            </w:pPr>
            <w:r w:rsidRPr="00736415">
              <w:t>6.6</w:t>
            </w:r>
          </w:p>
        </w:tc>
      </w:tr>
      <w:tr w:rsidR="009D0006" w:rsidRPr="006E4CDB" w14:paraId="6A2A94E7"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43C08C8" w14:textId="77777777" w:rsidR="009D0006" w:rsidRPr="00736415" w:rsidRDefault="009D0006" w:rsidP="00736415">
            <w:pPr>
              <w:pStyle w:val="Tabletext"/>
            </w:pPr>
            <w:r w:rsidRPr="00736415">
              <w:t>Moderate</w:t>
            </w:r>
          </w:p>
        </w:tc>
        <w:tc>
          <w:tcPr>
            <w:tcW w:w="1559" w:type="dxa"/>
            <w:noWrap/>
          </w:tcPr>
          <w:p w14:paraId="6E29C49C" w14:textId="77777777" w:rsidR="009D0006" w:rsidRPr="00736415" w:rsidRDefault="009D0006" w:rsidP="00736415">
            <w:pPr>
              <w:pStyle w:val="Tabletext"/>
            </w:pPr>
            <w:r w:rsidRPr="00736415">
              <w:t>1394</w:t>
            </w:r>
          </w:p>
        </w:tc>
        <w:tc>
          <w:tcPr>
            <w:tcW w:w="1559" w:type="dxa"/>
            <w:noWrap/>
          </w:tcPr>
          <w:p w14:paraId="53687A59" w14:textId="77777777" w:rsidR="009D0006" w:rsidRPr="00736415" w:rsidRDefault="009D0006" w:rsidP="00736415">
            <w:pPr>
              <w:pStyle w:val="Tabletext"/>
            </w:pPr>
            <w:r w:rsidRPr="00736415">
              <w:t>21.3</w:t>
            </w:r>
          </w:p>
        </w:tc>
      </w:tr>
      <w:tr w:rsidR="009D0006" w:rsidRPr="006E4CDB" w14:paraId="5BFD7ABD"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E9F4352" w14:textId="77777777" w:rsidR="009D0006" w:rsidRPr="00736415" w:rsidRDefault="009D0006" w:rsidP="00736415">
            <w:pPr>
              <w:pStyle w:val="Tabletext"/>
            </w:pPr>
            <w:r w:rsidRPr="00736415">
              <w:t>Severe</w:t>
            </w:r>
          </w:p>
        </w:tc>
        <w:tc>
          <w:tcPr>
            <w:tcW w:w="1559" w:type="dxa"/>
            <w:noWrap/>
          </w:tcPr>
          <w:p w14:paraId="3EE6A616" w14:textId="77777777" w:rsidR="009D0006" w:rsidRPr="00736415" w:rsidRDefault="009D0006" w:rsidP="00736415">
            <w:pPr>
              <w:pStyle w:val="Tabletext"/>
            </w:pPr>
            <w:r w:rsidRPr="00736415">
              <w:t>802</w:t>
            </w:r>
          </w:p>
        </w:tc>
        <w:tc>
          <w:tcPr>
            <w:tcW w:w="1559" w:type="dxa"/>
            <w:noWrap/>
          </w:tcPr>
          <w:p w14:paraId="317E793A" w14:textId="77777777" w:rsidR="009D0006" w:rsidRPr="00736415" w:rsidRDefault="009D0006" w:rsidP="00736415">
            <w:pPr>
              <w:pStyle w:val="Tabletext"/>
            </w:pPr>
            <w:r w:rsidRPr="00736415">
              <w:t>12.3</w:t>
            </w:r>
          </w:p>
        </w:tc>
      </w:tr>
    </w:tbl>
    <w:p w14:paraId="7A29755B" w14:textId="77777777" w:rsidR="009D0006" w:rsidRDefault="009D0006" w:rsidP="00FE2582">
      <w:pPr>
        <w:spacing w:before="360"/>
      </w:pPr>
      <w:r w:rsidRPr="006E4CDB">
        <w:t xml:space="preserve">In total, almost </w:t>
      </w:r>
      <w:r>
        <w:t>4 in 10</w:t>
      </w:r>
      <w:r w:rsidRPr="006E4CDB">
        <w:t xml:space="preserve"> (38.5%; n = 2,629) participants reported experiences categorised by the Disability Flag as having a disability or long- term health condition.</w:t>
      </w:r>
      <w:r>
        <w:t xml:space="preserve"> Approximately 1</w:t>
      </w:r>
      <w:r w:rsidRPr="006E4CDB">
        <w:t xml:space="preserve"> in </w:t>
      </w:r>
      <w:r>
        <w:t>10</w:t>
      </w:r>
      <w:r w:rsidRPr="006E4CDB">
        <w:t xml:space="preserve"> (11.8%; n = 802) reported a profound or severe disability, 20.4% (n = 1,394) a moderate disability and 6.4% (n = 433) a mild disability. It is notable that there was a higher proportion of people reporting a disability in this study than in </w:t>
      </w:r>
      <w:r w:rsidRPr="006E4CDB">
        <w:rPr>
          <w:i/>
          <w:iCs/>
        </w:rPr>
        <w:t>Private Lives 2</w:t>
      </w:r>
      <w:r w:rsidRPr="006E4CDB">
        <w:t xml:space="preserve"> (22.7%) </w:t>
      </w:r>
      <w:r>
        <w:fldChar w:fldCharType="begin"/>
      </w:r>
      <w:r>
        <w:instrText xml:space="preserve"> ADDIN ZOTERO_ITEM CSL_CITATION {"citationID":"iee0hut0","properties":{"formattedCitation":"(Leonard et al., 2012, p. 2)","plainCitation":"(Leonard et al., 2012, p. 2)","dontUpdate":true,"noteIndex":0},"citationItems":[{"id":"hc6yy1rM/P5PebYJw","uris":["http://zotero.org/users/4948307/items/IBICD2LU"],"itemData":{"id":92,"type":"report","abstract":"\"Private Lives 2 (PL2) is a report on the second national survey of the health and wellbeing of gay, lesbian, bisexual, and transgender (GLBT) Australians. The first Private Lives (PL1) was released in 2006 and was, at that time, the largest survey of its kind conducted anywhere in the world. In 2011, 3,835 GLBT respondents successfully completed PL2\"--Page v.","event-place":"Melbourne","language":"en","note":"OCLC: 794443116","publisher":"Australian Research Centre in Sex, Health and Society, La Trobe University","publisher-place":"Melbourne","source":"Open WorldCat","title":"Private Lives 2: The second national survey of the health and wellbeing of gay, lesbian, bisexual and transgender (GLBT) Australians","title-short":"Private lives 2","author":[{"family":"Leonard","given":"William"},{"family":"Pitts","given":"Marian"},{"family":"Mitchell","given":"Anne"},{"family":"Lyons","given":"Anthony"},{"family":"Smith","given":"Anthony"},{"family":"Couch","given":"Murray"},{"family":"Barrett","given":"Anna"}],"issued":{"date-parts":[["2012"]]}},"locator":"2"}],"schema":"https://github.com/citation-style-language/schema/raw/master/csl-citation.json"} </w:instrText>
      </w:r>
      <w:r>
        <w:fldChar w:fldCharType="separate"/>
      </w:r>
      <w:r>
        <w:rPr>
          <w:noProof/>
        </w:rPr>
        <w:t>(Leonard et al., 2012)</w:t>
      </w:r>
      <w:r>
        <w:fldChar w:fldCharType="end"/>
      </w:r>
      <w:r w:rsidRPr="006E4CDB">
        <w:t xml:space="preserve"> and the general Australian population (</w:t>
      </w:r>
      <w:r>
        <w:t>18</w:t>
      </w:r>
      <w:r w:rsidRPr="006E4CDB">
        <w:t>%)</w:t>
      </w:r>
      <w:r>
        <w:t>.</w:t>
      </w:r>
      <w:r>
        <w:fldChar w:fldCharType="begin"/>
      </w:r>
      <w:r>
        <w:instrText xml:space="preserve"> ADDIN ZOTERO_ITEM CSL_CITATION {"citationID":"UKuWVWfm","properties":{"formattedCitation":"(20)","plainCitation":"(20)","noteIndex":0},"citationItems":[{"id":"hc6yy1rM/M8emiuaB","uris":["http://zotero.org/users/4948307/items/VYDDW84N"],"itemData":{"id":585,"type":"webpage","abstract":"People with disability in Australia brings together information from a range of national data sources to contribute to a greater understanding about disability in Australia. Some people with...","container-title":"Australian Institute of Health and Welfare","language":"en-AU","title":"People with disability in Australia","URL":"https://www.aihw.gov.au/reports/disability/people-with-disability-in-australia/contents/justice-and-safety/violence-against-people-with-disability","author":[{"family":"Australian Institute of Health and Welfare","given":""}],"accessed":{"date-parts":[["2020",11,30]]},"issued":{"date-parts":[["2019"]]}}}],"schema":"https://github.com/citation-style-language/schema/raw/master/csl-citation.json"} </w:instrText>
      </w:r>
      <w:r>
        <w:fldChar w:fldCharType="separate"/>
      </w:r>
      <w:r>
        <w:rPr>
          <w:lang w:val="en-GB"/>
        </w:rPr>
        <w:t>(20)</w:t>
      </w:r>
      <w:r>
        <w:fldChar w:fldCharType="end"/>
      </w:r>
      <w:r w:rsidRPr="006E4CDB">
        <w:t xml:space="preserve"> This is likely to arise because the Disability Flag was designed as a more inclusive and comprehensive measure of disability or long-term health condition than those used in </w:t>
      </w:r>
      <w:r w:rsidRPr="006E4CDB">
        <w:rPr>
          <w:i/>
          <w:iCs/>
        </w:rPr>
        <w:t>Private Lives 2</w:t>
      </w:r>
      <w:r w:rsidRPr="006E4CDB">
        <w:t xml:space="preserve"> or the ABS and includes questions regarding difficulties with personal relationships, managing tasks and situations and community life. </w:t>
      </w:r>
    </w:p>
    <w:p w14:paraId="23882529" w14:textId="77777777" w:rsidR="009D0006" w:rsidRPr="006E4CDB" w:rsidRDefault="009D0006" w:rsidP="009D0006">
      <w:r w:rsidRPr="00591E94">
        <w:rPr>
          <w:b/>
          <w:bCs/>
          <w:u w:val="single"/>
        </w:rPr>
        <w:t>Note</w:t>
      </w:r>
      <w:r w:rsidRPr="00594B1D">
        <w:rPr>
          <w:b/>
          <w:bCs/>
        </w:rPr>
        <w:t>:</w:t>
      </w:r>
      <w:r>
        <w:t xml:space="preserve"> </w:t>
      </w:r>
      <w:r w:rsidRPr="006E4CDB">
        <w:t xml:space="preserve">While one of its strengths is a focus on individuals self-reporting their circumstances rather than relying on a </w:t>
      </w:r>
      <w:r>
        <w:t>formal</w:t>
      </w:r>
      <w:r w:rsidRPr="006E4CDB">
        <w:t xml:space="preserve"> diagnosis, it is important to note its limitations. The Disability Flag is a quantitative tool used to categorise a disability or long-</w:t>
      </w:r>
      <w:r w:rsidRPr="006E4CDB">
        <w:lastRenderedPageBreak/>
        <w:t xml:space="preserve">term health condition according to how participants report its impact on aspects of their lives but this may not be how these participants would describe their own disability in a qualitative study. As such, it may not accurately reflect or correspond with </w:t>
      </w:r>
      <w:r w:rsidRPr="003C38A3">
        <w:t>how structural and systemic barriers influence, impact or cause some of the limitations and restrictions reported by people with disabilities or long-term health conditions through the Disability Flag.</w:t>
      </w:r>
      <w:r w:rsidRPr="006E4CDB">
        <w:t xml:space="preserve"> It has further limitations in accessibility for people with intellectual disability in its usability for this cohort</w:t>
      </w:r>
      <w:r>
        <w:t>.</w:t>
      </w:r>
      <w:r w:rsidRPr="006E4CDB">
        <w:t xml:space="preserve"> </w:t>
      </w:r>
      <w:r w:rsidRPr="006E4CDB">
        <w:rPr>
          <w:lang w:val="en-US"/>
        </w:rPr>
        <w:t xml:space="preserve">Furthermore, </w:t>
      </w:r>
      <w:r w:rsidRPr="006E4CDB">
        <w:t>the disability flag may not capture all people with disabilities depending on how they answer the questions and doesn’t provide detail about people’s experiences with disability.</w:t>
      </w:r>
      <w:r>
        <w:t xml:space="preserve"> Further limitations of the disability categorisation approach used in both surveys are outlined in Section 2.5.</w:t>
      </w:r>
    </w:p>
    <w:p w14:paraId="39066E89" w14:textId="77777777" w:rsidR="009D0006" w:rsidRPr="006E4CDB" w:rsidRDefault="009D0006" w:rsidP="009D0006">
      <w:r w:rsidRPr="006E4CDB">
        <w:t>These data are intended to provide a macro-level comparison of the health and wellbeing of LGBTQA+ people who report a disability or long-term health condition and those who do not report a disability or long-term health condition, and the Disability Flag is a means of gaining this broader understanding. Further research using qualitative methods (for example focus groups and interviews) detailing the individual experiences of LGBTQ</w:t>
      </w:r>
      <w:r>
        <w:t>A</w:t>
      </w:r>
      <w:r w:rsidRPr="006E4CDB">
        <w:t xml:space="preserve">+ people with disability are necessary to gain a deeper understanding of the lives and experiences of LGBTQA+ people, particularly those from multicultural backgrounds, First Nations peoples, those living outside of major urban areas and trans and gender diverse people with </w:t>
      </w:r>
      <w:r>
        <w:t>disability</w:t>
      </w:r>
      <w:r w:rsidRPr="006E4CDB">
        <w:t>.</w:t>
      </w:r>
    </w:p>
    <w:p w14:paraId="46CB530A" w14:textId="67541182" w:rsidR="009D0006" w:rsidRPr="00284B34" w:rsidRDefault="009D0006" w:rsidP="00153892">
      <w:pPr>
        <w:pStyle w:val="Heading2Numbered"/>
      </w:pPr>
      <w:bookmarkStart w:id="184" w:name="_Toc115968501"/>
      <w:bookmarkStart w:id="185" w:name="_Toc119662397"/>
      <w:r w:rsidRPr="00284B34">
        <w:t>Interpreting the data</w:t>
      </w:r>
      <w:bookmarkEnd w:id="184"/>
      <w:bookmarkEnd w:id="185"/>
    </w:p>
    <w:p w14:paraId="013D753D" w14:textId="77777777" w:rsidR="009D0006" w:rsidRDefault="009D0006" w:rsidP="009D0006">
      <w:r w:rsidRPr="006E4CDB">
        <w:t xml:space="preserve">The </w:t>
      </w:r>
      <w:r w:rsidRPr="006E4CDB">
        <w:rPr>
          <w:i/>
          <w:iCs/>
        </w:rPr>
        <w:t xml:space="preserve">Writing Themselves In 4 </w:t>
      </w:r>
      <w:r w:rsidRPr="006E4CDB">
        <w:t xml:space="preserve">and </w:t>
      </w:r>
      <w:r w:rsidRPr="006E4CDB">
        <w:rPr>
          <w:i/>
          <w:iCs/>
        </w:rPr>
        <w:t>Private Lives 3</w:t>
      </w:r>
      <w:r w:rsidRPr="006E4CDB">
        <w:t xml:space="preserve"> surveys used convenience sampling, meaning that participants were drawn from a range of community-based recruitment efforts. As such, these are not considered ‘representative’ surveys of LGBTQA+ people. This means that care must be taken when considering the population prevalence of the health and other outcomes presented in this report. A truly representative sample can only be accomplished by random sampling, which aims to reflect the population as a whole. At the time of writing, questions that fully identify LGBTQA+ people are not available within the national census of Australia, which complicates efforts to achieve truly representative samples of LGBTQA+ populations. However, at the time of writing, both </w:t>
      </w:r>
      <w:r w:rsidRPr="006E4CDB">
        <w:rPr>
          <w:i/>
          <w:iCs/>
        </w:rPr>
        <w:t xml:space="preserve">Writing Themselves In 4 </w:t>
      </w:r>
      <w:r w:rsidRPr="006E4CDB">
        <w:t xml:space="preserve">and </w:t>
      </w:r>
      <w:r w:rsidRPr="006E4CDB">
        <w:rPr>
          <w:i/>
          <w:iCs/>
        </w:rPr>
        <w:t>Private Lives 3</w:t>
      </w:r>
      <w:r w:rsidRPr="006E4CDB">
        <w:t xml:space="preserve"> are among the largest samples of LGBTQA+ young people and adults in Australia, and confidence can be found in the weight and volume of their responses. </w:t>
      </w:r>
    </w:p>
    <w:p w14:paraId="2DC74707" w14:textId="77777777" w:rsidR="009D0006" w:rsidRDefault="009D0006" w:rsidP="009D0006">
      <w:r>
        <w:lastRenderedPageBreak/>
        <w:t xml:space="preserve">It is also worth noting that the </w:t>
      </w:r>
      <w:r w:rsidRPr="00A1630D">
        <w:rPr>
          <w:i/>
          <w:iCs/>
        </w:rPr>
        <w:t>Writing Themselves In 4</w:t>
      </w:r>
      <w:r>
        <w:t xml:space="preserve"> and </w:t>
      </w:r>
      <w:r w:rsidRPr="00A1630D">
        <w:rPr>
          <w:i/>
          <w:iCs/>
        </w:rPr>
        <w:t>Private Lives 3</w:t>
      </w:r>
      <w:r>
        <w:t xml:space="preserve"> surveys were aimed at a broad LGBTQA+ population. It is possible that some people with disabilities were unaware of the surveys or were unable to participate due to accessibility barriers arising from the data collection methods. The </w:t>
      </w:r>
      <w:r w:rsidRPr="00A1630D">
        <w:rPr>
          <w:i/>
          <w:iCs/>
        </w:rPr>
        <w:t>Writing Themselves In 4</w:t>
      </w:r>
      <w:r>
        <w:t xml:space="preserve"> survey was available as an online survey. The </w:t>
      </w:r>
      <w:r w:rsidRPr="00A1630D">
        <w:rPr>
          <w:i/>
          <w:iCs/>
        </w:rPr>
        <w:t>Private Lives 3</w:t>
      </w:r>
      <w:r>
        <w:t xml:space="preserve"> survey was likewise available online but also with an option of having a paper version of the survey sent to participants on request. It is therefore unlikely that many LGBTQA+ young people and adults with disability would have completed the survey if they required it in a different format or via alternative methods or needed assistance to complete it. People with intellectual disability may have also encountered accessibility barriers regarding guardianship and assumptions of cognitive capacity and consent made by gatekeepers in their lives that may have also limited the extent to which people in this group could have responded to the surveys. Many may be living in group homes or at home with carers or parents and, in cases where there may be resistance from carers, support staff or gatekeepers about people with intellectual disability exploring, expressing and affirming their gender or sexual identity</w:t>
      </w:r>
      <w:r w:rsidRPr="00AF3600">
        <w:fldChar w:fldCharType="begin"/>
      </w:r>
      <w:r>
        <w:instrText xml:space="preserve"> ADDIN ZOTERO_ITEM CSL_CITATION {"citationID":"a2un71njsv","properties":{"formattedCitation":"(21)","plainCitation":"(21)","noteIndex":0},"citationItems":[{"id":5749,"uris":["http://zotero.org/groups/2463045/items/58GZUSV9"],"itemData":{"id":5749,"type":"report","event-place":"Melbourne","publisher":"Inclusion Melbourne and Rainbow Health victoria","publisher-place":"Melbourne","title":"Our rainbow lives: An introduction to LGBTIQA+ identity, experiences, sexuality, gender and bodies for people with intellectual disability and their supporters","URL":"https://inclusionmelbourne.org.au/wp-content/uploads/2021/11/Our-Rainbow-Lives.pdf","author":[{"family":"Parsons","given":"Matthew"},{"family":"Despott","given":"Nathan"},{"family":"Power","given":"R"}],"issued":{"date-parts":[["2021"]]},"citation-key":"parsonsOurRainbowLives2021"}}],"schema":"https://github.com/citation-style-language/schema/raw/master/csl-citation.json"} </w:instrText>
      </w:r>
      <w:r w:rsidRPr="00AF3600">
        <w:fldChar w:fldCharType="separate"/>
      </w:r>
      <w:r>
        <w:rPr>
          <w:lang w:val="en-GB"/>
        </w:rPr>
        <w:t>(21)</w:t>
      </w:r>
      <w:r w:rsidRPr="00AF3600">
        <w:fldChar w:fldCharType="end"/>
      </w:r>
      <w:r>
        <w:t>, this could also potentially limit whether people in this group responded to the surveys.</w:t>
      </w:r>
      <w:r w:rsidRPr="009E4A81">
        <w:fldChar w:fldCharType="begin"/>
      </w:r>
      <w:r>
        <w:instrText xml:space="preserve"> ADDIN ZOTERO_ITEM CSL_CITATION {"citationID":"YTH9iZiP","properties":{"formattedCitation":"(22)","plainCitation":"(22)","noteIndex":0},"citationItems":[{"id":"hc6yy1rM/N4GYtR03","uris":["http://zotero.org/users/4948307/items/XSR73PQ6"],"itemData":{"id":6991,"type":"article-journal","abstract":"This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M"},{"family":"Frawley","given":"Patsie"},{"family":"Gallego","given":"Gisselle"}],"issued":{"date-parts":[["2018",6,1]]}}}],"schema":"https://github.com/citation-style-language/schema/raw/master/csl-citation.json"} </w:instrText>
      </w:r>
      <w:r w:rsidRPr="009E4A81">
        <w:fldChar w:fldCharType="separate"/>
      </w:r>
      <w:r>
        <w:rPr>
          <w:lang w:val="en-GB"/>
        </w:rPr>
        <w:t>(22)</w:t>
      </w:r>
      <w:r w:rsidRPr="009E4A81">
        <w:fldChar w:fldCharType="end"/>
      </w:r>
      <w:r>
        <w:t xml:space="preserve"> These and other issues related to accessibility for participating in research, especially on topics related to gender and sexuality, are likely to mean that LGBTQA+ people with intellectual disability are considerably marginalised and their experiences may not be as fully represented in this research report as those with other disabilities. In future, studies will need to take these factors into account to improve accessibility, including studies that are specifically co-designed with and tailored to the communication support and accessibility needs of LGBTQA+ people with intellectual disability. Despite these limitations, there were several hundred participants with intellectual disability in </w:t>
      </w:r>
      <w:r w:rsidRPr="001227EC">
        <w:rPr>
          <w:i/>
          <w:iCs/>
        </w:rPr>
        <w:t>Writing Themselves In 4</w:t>
      </w:r>
      <w:r>
        <w:t xml:space="preserve">, as well as a relatively large overall sample of people with disability in both surveys. Nevertheless, the samples are likely to be skewed towards those who had lower support needs or faced fewer accessibility issues and this needs to be considered in the interpretation of the data. </w:t>
      </w:r>
    </w:p>
    <w:p w14:paraId="50FCB547" w14:textId="77777777" w:rsidR="009D0006" w:rsidRPr="006E4CDB" w:rsidRDefault="009D0006" w:rsidP="009D0006">
      <w:r w:rsidRPr="006E4CDB">
        <w:t xml:space="preserve">Where relevant, this report includes comparisons to the same experiences and outcomes documented within surveys of the general population in Australia. While such comparisons may be illustrative of disparities that exist between LGBTQA+ people with disability and general populations, these are imperfect and cannot fully account for differences in study designs and recruitment methods that can influence findings. At present, and in the absence of sufficient attention to gender diversity and sexual </w:t>
      </w:r>
      <w:r w:rsidRPr="006E4CDB">
        <w:lastRenderedPageBreak/>
        <w:t xml:space="preserve">orientation within most general population health and social surveys in Australia, these remain the best available means of comparing experiences of LGBTQA+ people with disability and their cisgender and/or heterosexual counterparts. </w:t>
      </w:r>
    </w:p>
    <w:p w14:paraId="09C3530E" w14:textId="77777777" w:rsidR="009D0006" w:rsidRDefault="009D0006" w:rsidP="009D0006">
      <w:r w:rsidRPr="006E4CDB">
        <w:t xml:space="preserve">Finally, as mentioned in Chapter 1 of this report, the numbers of participants in both surveys who reported an intersex variation were too small to enable analyses, especially when further narrowed to those who reported a disability. Therefore, this report refers to an LGBTQA+ population and results should not be generalised to people with an intersex variation. </w:t>
      </w:r>
    </w:p>
    <w:p w14:paraId="2555EB3F" w14:textId="2644D1F5" w:rsidR="009D0006" w:rsidRDefault="009D0006" w:rsidP="00153892">
      <w:pPr>
        <w:pStyle w:val="Heading2Numbered"/>
      </w:pPr>
      <w:bookmarkStart w:id="186" w:name="_Toc115968502"/>
      <w:bookmarkStart w:id="187" w:name="_Toc119662398"/>
      <w:r>
        <w:t>Study limitations</w:t>
      </w:r>
      <w:bookmarkEnd w:id="186"/>
      <w:bookmarkEnd w:id="187"/>
    </w:p>
    <w:p w14:paraId="6C2E9B56" w14:textId="77777777" w:rsidR="009D0006" w:rsidRPr="00721BBD" w:rsidRDefault="009D0006" w:rsidP="00FE2582">
      <w:r w:rsidRPr="00721BBD">
        <w:t xml:space="preserve">There are several limitations to the </w:t>
      </w:r>
      <w:r w:rsidRPr="00721BBD">
        <w:rPr>
          <w:i/>
          <w:iCs/>
        </w:rPr>
        <w:t>Private Lives 3</w:t>
      </w:r>
      <w:r w:rsidRPr="00721BBD">
        <w:t xml:space="preserve"> and </w:t>
      </w:r>
      <w:r w:rsidRPr="00721BBD">
        <w:rPr>
          <w:i/>
          <w:iCs/>
        </w:rPr>
        <w:t>Writing Themselves In 4</w:t>
      </w:r>
      <w:r w:rsidRPr="00721BBD">
        <w:t xml:space="preserve"> studies that need to be considered while reviewing the findings that are described in subsequent chapters. First, it is not known how representative the samples of both surveys are of the broader population of LGBTQA+ people with disability, which is impossible to determine in the absence of adequate questions relating to gender and sexuality in the census and in other household health surveys. However, the samples of both surveys were large and there was diversity across a range of demographic variables.</w:t>
      </w:r>
    </w:p>
    <w:p w14:paraId="530A2F12" w14:textId="77777777" w:rsidR="009D0006" w:rsidRPr="00721BBD" w:rsidRDefault="009D0006" w:rsidP="00FE2582">
      <w:r w:rsidRPr="00721BBD">
        <w:t>Secondly, we acknowledge that as both surveys were conducted largely online, without means to support administration</w:t>
      </w:r>
      <w:r>
        <w:t xml:space="preserve"> of</w:t>
      </w:r>
      <w:r w:rsidRPr="00721BBD">
        <w:t xml:space="preserve"> more equitable participation for those with specific accessibility needs (such as those with intellectual disability), it may be the case that findings do not speak to the diversity of experience for all those with disability. The methodology itself in quantitative surveys of this kind falls short in facilitating meaningful engagement of people with intellectual disability as this requires participatory methods and co-design to ensure survey research participation accessibility and comprehension and may require development of nuanced questions lines of enquiry that are specific to their experiences. We include recommendations for such research in the final chapter of this report.</w:t>
      </w:r>
    </w:p>
    <w:p w14:paraId="48BCB70E" w14:textId="77777777" w:rsidR="009D0006" w:rsidRPr="00721BBD" w:rsidRDefault="009D0006" w:rsidP="00FE2582">
      <w:r w:rsidRPr="00721BBD">
        <w:t xml:space="preserve">Thirdly, the surveys were only available in English, which may limit engagement from LGBTQA+ people with a disability who are from multi-cultural backgrounds and whose first language is not English. Future iterations of both surveys should, ideally, </w:t>
      </w:r>
      <w:r>
        <w:t xml:space="preserve">be adequately resourced to </w:t>
      </w:r>
      <w:r w:rsidRPr="00721BBD">
        <w:t>include translated versions in commonly used, non-English languages.</w:t>
      </w:r>
    </w:p>
    <w:p w14:paraId="0AC7750C" w14:textId="77777777" w:rsidR="009D0006" w:rsidRPr="00721BBD" w:rsidRDefault="009D0006" w:rsidP="00FE2582">
      <w:r w:rsidRPr="00721BBD">
        <w:lastRenderedPageBreak/>
        <w:t>Fourthly, data pertaining to family violence reflects whether participants had ever had this experience, which for some (especially older participants) may have been in the distant past. We would note, however, that even when experiences of harassment or abuse occurred many years ago, the implications of these can be significant and continue to have impact into later life.</w:t>
      </w:r>
    </w:p>
    <w:p w14:paraId="20E2027C" w14:textId="77777777" w:rsidR="009D0006" w:rsidRPr="00721BBD" w:rsidRDefault="009D0006" w:rsidP="00FE2582">
      <w:r w:rsidRPr="00721BBD">
        <w:t>Finally, we again acknowledge the shortcomings of the disability flag assessment tool in adequately capturing the experiences and needs of LGBTQA+ people with disability, particularly in a form which those people themselves may wish to convey this. This is intended for use across a wide range of sectors, enabling nationally consistent collection of information used to identify people with disabilities or long-term health conditions who experience difficulties or need assistance in various areas of their life. However, the categorisation that arises from using the tool may not reflect how people with disability would describe their own disability</w:t>
      </w:r>
      <w:r>
        <w:t xml:space="preserve"> or its impact on their lives</w:t>
      </w:r>
      <w:r w:rsidRPr="00721BBD">
        <w:t xml:space="preserve"> in their own words. As such, it may not accurately reflect or correspond with how structural and systemic barriers influence, impact or cause some of the limitations and restrictions reported by people with disabilities or long-term health conditions through the Disability Flag. Community feedback that emerged in response to use of the disability flag in </w:t>
      </w:r>
      <w:r w:rsidRPr="00721BBD">
        <w:rPr>
          <w:i/>
          <w:iCs/>
        </w:rPr>
        <w:t>Private Lives 3</w:t>
      </w:r>
      <w:r w:rsidRPr="00721BBD">
        <w:t xml:space="preserve"> led to a consultation process with LGBTQA+ people with disability about other approaches that could be utilised in </w:t>
      </w:r>
      <w:r w:rsidRPr="00721BBD">
        <w:rPr>
          <w:i/>
          <w:iCs/>
        </w:rPr>
        <w:t xml:space="preserve">Writing Themselves In 4 </w:t>
      </w:r>
      <w:r w:rsidRPr="00721BBD">
        <w:t>(which launched several months later). The new question that was co-designed in this consultation process utilises a human rights framing that focusses on self-categorisation and self-identification of having disability, rather than a biomedical assessment. This approach is not without its limitations, and we acknowledge that the categorisation of disability suggested by our lived experience advisory group is contested. Further research, conducted in a participatory co-designed manner, is required to generate affirming and accessible means of capturing information about the nature and type of disabilities that people may hold and how their lives are impacted in relation to this, irrespective of gender identity or sexuality.</w:t>
      </w:r>
    </w:p>
    <w:p w14:paraId="499C4C7E" w14:textId="77777777" w:rsidR="009D0006" w:rsidRPr="00CE5CDB" w:rsidRDefault="009D0006" w:rsidP="00FE2582">
      <w:r w:rsidRPr="00721BBD">
        <w:t xml:space="preserve">These limitations notwithstanding, the report describes experiences and needs of the largest ever sample of LGBTQA+ people with disability ever recruited in Australia. The findings have significant value for policy makers and service providers operating across a range of health and social care sectors. In Chapter 14 (Summary and recommendations) we propose new kinds of research that might overcome some of the limitations detailed </w:t>
      </w:r>
      <w:r w:rsidRPr="00721BBD">
        <w:lastRenderedPageBreak/>
        <w:t xml:space="preserve">here, including that which can explain and contextualise specific findings, such as with the use of in-depth qualitative research. </w:t>
      </w:r>
    </w:p>
    <w:p w14:paraId="0C2F543F" w14:textId="1F309806" w:rsidR="009D0006" w:rsidRPr="00284B34" w:rsidRDefault="009D0006" w:rsidP="00153892">
      <w:pPr>
        <w:pStyle w:val="Heading2Numbered"/>
      </w:pPr>
      <w:bookmarkStart w:id="188" w:name="_Toc115968503"/>
      <w:bookmarkStart w:id="189" w:name="_Toc119662399"/>
      <w:r w:rsidRPr="00284B34">
        <w:t>Presentation of results in this report</w:t>
      </w:r>
      <w:bookmarkEnd w:id="188"/>
      <w:bookmarkEnd w:id="189"/>
    </w:p>
    <w:p w14:paraId="0EBF9988" w14:textId="77777777" w:rsidR="009D0006" w:rsidRDefault="009D0006" w:rsidP="009D0006">
      <w:r w:rsidRPr="006E4CDB">
        <w:t xml:space="preserve">Throughout this report, results are grouped by topic. Within each topic section, relevant data are presented separately from each of the two surveys. Depending on the data available, some sections present results from both surveys, first for young people aged 14-21 years from </w:t>
      </w:r>
      <w:r w:rsidRPr="006E4CDB">
        <w:rPr>
          <w:i/>
          <w:iCs/>
        </w:rPr>
        <w:t>Writing Themselves In 4</w:t>
      </w:r>
      <w:r w:rsidRPr="006E4CDB">
        <w:t xml:space="preserve"> and then for adults aged 18+ years from </w:t>
      </w:r>
      <w:r w:rsidRPr="006E4CDB">
        <w:rPr>
          <w:i/>
          <w:iCs/>
        </w:rPr>
        <w:t>Private Lives 3</w:t>
      </w:r>
      <w:r w:rsidRPr="006E4CDB">
        <w:t xml:space="preserve">. In some instances, relevant data were only available from one survey, so results are presented only from that survey. </w:t>
      </w:r>
    </w:p>
    <w:p w14:paraId="6771A310" w14:textId="77777777" w:rsidR="009D0006" w:rsidRDefault="009D0006" w:rsidP="009D0006">
      <w:pPr>
        <w:rPr>
          <w:rFonts w:ascii="Roboto" w:eastAsia="MS Mincho" w:hAnsi="Roboto" w:cs="Arial"/>
          <w:color w:val="000000" w:themeColor="text1"/>
          <w:spacing w:val="5"/>
          <w:sz w:val="52"/>
          <w:szCs w:val="52"/>
          <w:lang w:bidi="en-US"/>
        </w:rPr>
      </w:pPr>
      <w:r>
        <w:rPr>
          <w:rFonts w:ascii="Roboto" w:eastAsia="MS Mincho" w:hAnsi="Roboto" w:cs="Arial"/>
          <w:color w:val="000000" w:themeColor="text1"/>
          <w:spacing w:val="5"/>
          <w:sz w:val="52"/>
          <w:szCs w:val="52"/>
          <w:lang w:bidi="en-US"/>
        </w:rPr>
        <w:br w:type="page"/>
      </w:r>
    </w:p>
    <w:p w14:paraId="0D89808C" w14:textId="228CAB9F" w:rsidR="009D0006" w:rsidRPr="002306D8" w:rsidRDefault="009D0006" w:rsidP="00153892">
      <w:pPr>
        <w:pStyle w:val="Heading1Numbered"/>
        <w:rPr>
          <w:lang w:bidi="en-US"/>
        </w:rPr>
      </w:pPr>
      <w:bookmarkStart w:id="190" w:name="_Toc115968504"/>
      <w:bookmarkStart w:id="191" w:name="_Toc119662400"/>
      <w:r w:rsidRPr="002306D8">
        <w:rPr>
          <w:lang w:bidi="en-US"/>
        </w:rPr>
        <w:lastRenderedPageBreak/>
        <w:t>Demographic</w:t>
      </w:r>
      <w:bookmarkEnd w:id="6"/>
      <w:r w:rsidRPr="002306D8">
        <w:rPr>
          <w:lang w:bidi="en-US"/>
        </w:rPr>
        <w:t>s</w:t>
      </w:r>
      <w:bookmarkEnd w:id="190"/>
      <w:bookmarkEnd w:id="191"/>
    </w:p>
    <w:p w14:paraId="6F152544" w14:textId="09A0CA0F" w:rsidR="009D0006" w:rsidRPr="00692BC1" w:rsidRDefault="009D0006" w:rsidP="00153892">
      <w:pPr>
        <w:pStyle w:val="Heading2Numbered"/>
      </w:pPr>
      <w:bookmarkStart w:id="192" w:name="_Toc48137724"/>
      <w:bookmarkStart w:id="193" w:name="_Toc58252056"/>
      <w:bookmarkStart w:id="194" w:name="_Toc115968505"/>
      <w:bookmarkStart w:id="195" w:name="_Toc119662401"/>
      <w:bookmarkStart w:id="196" w:name="_Toc58252048"/>
      <w:bookmarkStart w:id="197" w:name="_Toc40192091"/>
      <w:bookmarkStart w:id="198" w:name="_Toc48137717"/>
      <w:r w:rsidRPr="00692BC1">
        <w:t>Disability or long-term health condition</w:t>
      </w:r>
      <w:bookmarkEnd w:id="192"/>
      <w:bookmarkEnd w:id="193"/>
      <w:bookmarkEnd w:id="194"/>
      <w:bookmarkEnd w:id="195"/>
    </w:p>
    <w:p w14:paraId="19439A91" w14:textId="78744603" w:rsidR="009D0006" w:rsidRPr="00A90CDA" w:rsidRDefault="009D0006" w:rsidP="00153892">
      <w:pPr>
        <w:pStyle w:val="Heading3Numbered"/>
      </w:pPr>
      <w:bookmarkStart w:id="199" w:name="_Toc115968506"/>
      <w:r w:rsidRPr="00A90CDA">
        <w:t>Disability or long-term health condition – young people aged 14-21 years</w:t>
      </w:r>
      <w:bookmarkEnd w:id="199"/>
    </w:p>
    <w:p w14:paraId="518D5FB4" w14:textId="77777777" w:rsidR="009D0006" w:rsidRPr="00692BC1" w:rsidRDefault="009D0006" w:rsidP="009D0006">
      <w:r>
        <w:t xml:space="preserve">As outlined in Chapter 2, </w:t>
      </w:r>
      <w:r w:rsidRPr="00692BC1">
        <w:t xml:space="preserve">a more inclusive instrument for measuring disability was developed </w:t>
      </w:r>
      <w:r>
        <w:t>for</w:t>
      </w:r>
      <w:r w:rsidRPr="00692BC1">
        <w:t xml:space="preserve"> </w:t>
      </w:r>
      <w:r w:rsidRPr="00692BC1">
        <w:rPr>
          <w:i/>
          <w:iCs/>
        </w:rPr>
        <w:t>Writing Themselves In 4</w:t>
      </w:r>
      <w:r>
        <w:t xml:space="preserve"> </w:t>
      </w:r>
      <w:r w:rsidRPr="00692BC1">
        <w:t xml:space="preserve">in consultation with the Youth Disability Advocacy Service and an LGBTIQA+ </w:t>
      </w:r>
      <w:r>
        <w:t>D</w:t>
      </w:r>
      <w:r w:rsidRPr="00692BC1">
        <w:t xml:space="preserve">isability </w:t>
      </w:r>
      <w:r>
        <w:t>A</w:t>
      </w:r>
      <w:r w:rsidRPr="00692BC1">
        <w:t xml:space="preserve">dvisory </w:t>
      </w:r>
      <w:r>
        <w:t xml:space="preserve">Group. See Chapter 2 for more information regarding the disability survey instrument construction and analyses. Table 3 provides results according to disability grouping. </w:t>
      </w:r>
    </w:p>
    <w:p w14:paraId="379D4A9E" w14:textId="77777777" w:rsidR="009D0006" w:rsidRPr="00FE2582" w:rsidRDefault="009D0006" w:rsidP="00FE2582">
      <w:pPr>
        <w:pStyle w:val="Tableheading"/>
      </w:pPr>
      <w:bookmarkStart w:id="200" w:name="_Toc48137903"/>
      <w:bookmarkStart w:id="201" w:name="_Toc117062721"/>
      <w:bookmarkStart w:id="202" w:name="_Toc119651406"/>
      <w:r w:rsidRPr="00FE2582">
        <w:t xml:space="preserve">Table </w:t>
      </w:r>
      <w:r w:rsidR="00C9023A">
        <w:fldChar w:fldCharType="begin"/>
      </w:r>
      <w:r w:rsidR="00C9023A">
        <w:instrText xml:space="preserve"> SEQ Table \* ARABIC </w:instrText>
      </w:r>
      <w:r w:rsidR="00C9023A">
        <w:fldChar w:fldCharType="separate"/>
      </w:r>
      <w:r w:rsidRPr="00FE2582">
        <w:t>3</w:t>
      </w:r>
      <w:r w:rsidR="00C9023A">
        <w:fldChar w:fldCharType="end"/>
      </w:r>
      <w:r w:rsidRPr="00FE2582">
        <w:t>: Disability or long-term health condition</w:t>
      </w:r>
      <w:bookmarkEnd w:id="200"/>
      <w:r w:rsidRPr="00FE2582">
        <w:t xml:space="preserve"> among young people with disability aged 14-21 years, grouped by disability (n = 2500)</w:t>
      </w:r>
      <w:bookmarkEnd w:id="201"/>
      <w:bookmarkEnd w:id="202"/>
    </w:p>
    <w:tbl>
      <w:tblPr>
        <w:tblStyle w:val="RCTable"/>
        <w:tblW w:w="9864" w:type="dxa"/>
        <w:tblLayout w:type="fixed"/>
        <w:tblLook w:val="04A0" w:firstRow="1" w:lastRow="0" w:firstColumn="1" w:lastColumn="0" w:noHBand="0" w:noVBand="1"/>
      </w:tblPr>
      <w:tblGrid>
        <w:gridCol w:w="6746"/>
        <w:gridCol w:w="1559"/>
        <w:gridCol w:w="1559"/>
      </w:tblGrid>
      <w:tr w:rsidR="009D0006" w:rsidRPr="001C2DF4" w14:paraId="3EF70BAC"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8445B27" w14:textId="77777777" w:rsidR="009D0006" w:rsidRPr="00736415" w:rsidRDefault="009D0006" w:rsidP="00736415">
            <w:pPr>
              <w:pStyle w:val="Tableheader"/>
            </w:pPr>
            <w:r w:rsidRPr="00736415">
              <w:t xml:space="preserve">Disability or long-term health condition </w:t>
            </w:r>
          </w:p>
        </w:tc>
        <w:tc>
          <w:tcPr>
            <w:tcW w:w="1559" w:type="dxa"/>
            <w:noWrap/>
            <w:hideMark/>
          </w:tcPr>
          <w:p w14:paraId="6169B325" w14:textId="77777777" w:rsidR="009D0006" w:rsidRPr="00736415" w:rsidRDefault="009D0006" w:rsidP="00736415">
            <w:pPr>
              <w:pStyle w:val="Tableheader"/>
            </w:pPr>
            <w:r w:rsidRPr="00736415">
              <w:t>n</w:t>
            </w:r>
          </w:p>
        </w:tc>
        <w:tc>
          <w:tcPr>
            <w:tcW w:w="1559" w:type="dxa"/>
            <w:noWrap/>
            <w:hideMark/>
          </w:tcPr>
          <w:p w14:paraId="2F0A7353" w14:textId="77777777" w:rsidR="009D0006" w:rsidRPr="00736415" w:rsidRDefault="009D0006" w:rsidP="00736415">
            <w:pPr>
              <w:pStyle w:val="Tableheader"/>
            </w:pPr>
            <w:r w:rsidRPr="00736415">
              <w:t>%</w:t>
            </w:r>
          </w:p>
        </w:tc>
      </w:tr>
      <w:tr w:rsidR="009D0006" w:rsidRPr="001C2DF4" w14:paraId="0803A4DF"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6879B21" w14:textId="77777777" w:rsidR="009D0006" w:rsidRPr="001C2DF4" w:rsidRDefault="009D0006" w:rsidP="00736415">
            <w:pPr>
              <w:pStyle w:val="Tabletext"/>
            </w:pPr>
            <w:bookmarkStart w:id="203" w:name="OLE_LINK1"/>
            <w:r w:rsidRPr="001C2DF4">
              <w:rPr>
                <w:lang w:val="en-US"/>
              </w:rPr>
              <w:t>Mental illness</w:t>
            </w:r>
          </w:p>
        </w:tc>
        <w:tc>
          <w:tcPr>
            <w:tcW w:w="1559" w:type="dxa"/>
            <w:noWrap/>
          </w:tcPr>
          <w:p w14:paraId="3B570C11" w14:textId="77777777" w:rsidR="009D0006" w:rsidRPr="001C2DF4" w:rsidRDefault="009D0006" w:rsidP="00736415">
            <w:pPr>
              <w:pStyle w:val="Tabletext"/>
            </w:pPr>
            <w:r w:rsidRPr="001C2DF4">
              <w:t>2206</w:t>
            </w:r>
          </w:p>
        </w:tc>
        <w:tc>
          <w:tcPr>
            <w:tcW w:w="1559" w:type="dxa"/>
            <w:noWrap/>
          </w:tcPr>
          <w:p w14:paraId="1576C22B" w14:textId="77777777" w:rsidR="009D0006" w:rsidRPr="001C2DF4" w:rsidRDefault="009D0006" w:rsidP="00736415">
            <w:pPr>
              <w:pStyle w:val="Tabletext"/>
            </w:pPr>
            <w:r w:rsidRPr="001C2DF4">
              <w:t>88.2</w:t>
            </w:r>
          </w:p>
        </w:tc>
      </w:tr>
      <w:tr w:rsidR="009D0006" w:rsidRPr="001C2DF4" w14:paraId="664D0885"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ED8A9CD" w14:textId="77777777" w:rsidR="009D0006" w:rsidRPr="001C2DF4" w:rsidRDefault="009D0006" w:rsidP="00736415">
            <w:pPr>
              <w:pStyle w:val="Tabletext"/>
            </w:pPr>
            <w:r w:rsidRPr="001C2DF4">
              <w:rPr>
                <w:lang w:val="en-US"/>
              </w:rPr>
              <w:t>Neurodiversity/autism</w:t>
            </w:r>
          </w:p>
        </w:tc>
        <w:tc>
          <w:tcPr>
            <w:tcW w:w="1559" w:type="dxa"/>
            <w:noWrap/>
          </w:tcPr>
          <w:p w14:paraId="28F6C616" w14:textId="77777777" w:rsidR="009D0006" w:rsidRPr="001C2DF4" w:rsidRDefault="009D0006" w:rsidP="00736415">
            <w:pPr>
              <w:pStyle w:val="Tabletext"/>
            </w:pPr>
            <w:r w:rsidRPr="001C2DF4">
              <w:t>866</w:t>
            </w:r>
          </w:p>
        </w:tc>
        <w:tc>
          <w:tcPr>
            <w:tcW w:w="1559" w:type="dxa"/>
            <w:noWrap/>
          </w:tcPr>
          <w:p w14:paraId="1E19FEB4" w14:textId="77777777" w:rsidR="009D0006" w:rsidRPr="001C2DF4" w:rsidRDefault="009D0006" w:rsidP="00736415">
            <w:pPr>
              <w:pStyle w:val="Tabletext"/>
            </w:pPr>
            <w:r w:rsidRPr="001C2DF4">
              <w:t>34.6</w:t>
            </w:r>
          </w:p>
        </w:tc>
      </w:tr>
      <w:tr w:rsidR="009D0006" w:rsidRPr="001C2DF4" w14:paraId="313109A8"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44CBAF2" w14:textId="77777777" w:rsidR="009D0006" w:rsidRPr="001C2DF4" w:rsidRDefault="009D0006" w:rsidP="00736415">
            <w:pPr>
              <w:pStyle w:val="Tabletext"/>
            </w:pPr>
            <w:r w:rsidRPr="001C2DF4">
              <w:rPr>
                <w:lang w:val="en-US"/>
              </w:rPr>
              <w:t>Physical</w:t>
            </w:r>
          </w:p>
        </w:tc>
        <w:tc>
          <w:tcPr>
            <w:tcW w:w="1559" w:type="dxa"/>
            <w:noWrap/>
          </w:tcPr>
          <w:p w14:paraId="7EACAD94" w14:textId="77777777" w:rsidR="009D0006" w:rsidRPr="001C2DF4" w:rsidRDefault="009D0006" w:rsidP="00736415">
            <w:pPr>
              <w:pStyle w:val="Tabletext"/>
            </w:pPr>
            <w:r w:rsidRPr="001C2DF4">
              <w:t>422</w:t>
            </w:r>
          </w:p>
        </w:tc>
        <w:tc>
          <w:tcPr>
            <w:tcW w:w="1559" w:type="dxa"/>
            <w:noWrap/>
          </w:tcPr>
          <w:p w14:paraId="418BF489" w14:textId="77777777" w:rsidR="009D0006" w:rsidRPr="001C2DF4" w:rsidRDefault="009D0006" w:rsidP="00736415">
            <w:pPr>
              <w:pStyle w:val="Tabletext"/>
            </w:pPr>
            <w:r w:rsidRPr="001C2DF4">
              <w:t>16.9</w:t>
            </w:r>
          </w:p>
        </w:tc>
      </w:tr>
      <w:tr w:rsidR="009D0006" w:rsidRPr="001C2DF4" w14:paraId="0A0914FD"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14C3C5C" w14:textId="77777777" w:rsidR="009D0006" w:rsidRPr="001C2DF4" w:rsidRDefault="009D0006" w:rsidP="00736415">
            <w:pPr>
              <w:pStyle w:val="Tabletext"/>
            </w:pPr>
            <w:r w:rsidRPr="001C2DF4">
              <w:rPr>
                <w:lang w:val="en-US"/>
              </w:rPr>
              <w:t>Sensory</w:t>
            </w:r>
          </w:p>
        </w:tc>
        <w:tc>
          <w:tcPr>
            <w:tcW w:w="1559" w:type="dxa"/>
            <w:noWrap/>
          </w:tcPr>
          <w:p w14:paraId="24B47675" w14:textId="77777777" w:rsidR="009D0006" w:rsidRPr="001C2DF4" w:rsidRDefault="009D0006" w:rsidP="00736415">
            <w:pPr>
              <w:pStyle w:val="Tabletext"/>
            </w:pPr>
            <w:r w:rsidRPr="001C2DF4">
              <w:t>419</w:t>
            </w:r>
          </w:p>
        </w:tc>
        <w:tc>
          <w:tcPr>
            <w:tcW w:w="1559" w:type="dxa"/>
            <w:noWrap/>
          </w:tcPr>
          <w:p w14:paraId="3A312299" w14:textId="77777777" w:rsidR="009D0006" w:rsidRPr="001C2DF4" w:rsidRDefault="009D0006" w:rsidP="00736415">
            <w:pPr>
              <w:pStyle w:val="Tabletext"/>
            </w:pPr>
            <w:r w:rsidRPr="001C2DF4">
              <w:t>16.8</w:t>
            </w:r>
          </w:p>
        </w:tc>
      </w:tr>
      <w:tr w:rsidR="009D0006" w:rsidRPr="001C2DF4" w14:paraId="356F64C4"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976D361" w14:textId="77777777" w:rsidR="009D0006" w:rsidRPr="001C2DF4" w:rsidRDefault="009D0006" w:rsidP="00736415">
            <w:pPr>
              <w:pStyle w:val="Tabletext"/>
            </w:pPr>
            <w:r w:rsidRPr="001C2DF4">
              <w:rPr>
                <w:lang w:val="en-US"/>
              </w:rPr>
              <w:t>Intellectual</w:t>
            </w:r>
          </w:p>
        </w:tc>
        <w:tc>
          <w:tcPr>
            <w:tcW w:w="1559" w:type="dxa"/>
            <w:noWrap/>
          </w:tcPr>
          <w:p w14:paraId="7E97DCD1" w14:textId="77777777" w:rsidR="009D0006" w:rsidRPr="001C2DF4" w:rsidRDefault="009D0006" w:rsidP="00736415">
            <w:pPr>
              <w:pStyle w:val="Tabletext"/>
            </w:pPr>
            <w:r w:rsidRPr="001C2DF4">
              <w:t>347</w:t>
            </w:r>
          </w:p>
        </w:tc>
        <w:tc>
          <w:tcPr>
            <w:tcW w:w="1559" w:type="dxa"/>
            <w:noWrap/>
          </w:tcPr>
          <w:p w14:paraId="22FF410D" w14:textId="77777777" w:rsidR="009D0006" w:rsidRPr="001C2DF4" w:rsidRDefault="009D0006" w:rsidP="00736415">
            <w:pPr>
              <w:pStyle w:val="Tabletext"/>
            </w:pPr>
            <w:r w:rsidRPr="001C2DF4">
              <w:t>13.9</w:t>
            </w:r>
          </w:p>
        </w:tc>
      </w:tr>
      <w:tr w:rsidR="009D0006" w:rsidRPr="001C2DF4" w14:paraId="658C95A5"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D799344" w14:textId="77777777" w:rsidR="009D0006" w:rsidRPr="001C2DF4" w:rsidRDefault="009D0006" w:rsidP="00736415">
            <w:pPr>
              <w:pStyle w:val="Tabletext"/>
            </w:pPr>
            <w:r w:rsidRPr="001C2DF4">
              <w:rPr>
                <w:lang w:val="en-US"/>
              </w:rPr>
              <w:t>Acquired brain injury</w:t>
            </w:r>
          </w:p>
        </w:tc>
        <w:tc>
          <w:tcPr>
            <w:tcW w:w="1559" w:type="dxa"/>
            <w:noWrap/>
          </w:tcPr>
          <w:p w14:paraId="0C1345F0" w14:textId="77777777" w:rsidR="009D0006" w:rsidRPr="001C2DF4" w:rsidRDefault="009D0006" w:rsidP="00736415">
            <w:pPr>
              <w:pStyle w:val="Tabletext"/>
            </w:pPr>
            <w:r w:rsidRPr="001C2DF4">
              <w:t>10</w:t>
            </w:r>
          </w:p>
        </w:tc>
        <w:tc>
          <w:tcPr>
            <w:tcW w:w="1559" w:type="dxa"/>
            <w:noWrap/>
          </w:tcPr>
          <w:p w14:paraId="5A6EBE6F" w14:textId="77777777" w:rsidR="009D0006" w:rsidRPr="001C2DF4" w:rsidRDefault="009D0006" w:rsidP="00736415">
            <w:pPr>
              <w:pStyle w:val="Tabletext"/>
            </w:pPr>
            <w:r w:rsidRPr="001C2DF4">
              <w:t>0.4</w:t>
            </w:r>
          </w:p>
        </w:tc>
      </w:tr>
      <w:tr w:rsidR="009D0006" w:rsidRPr="001C2DF4" w14:paraId="160434EE"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D55B54E" w14:textId="77777777" w:rsidR="009D0006" w:rsidRPr="001C2DF4" w:rsidRDefault="009D0006" w:rsidP="00736415">
            <w:pPr>
              <w:pStyle w:val="Tabletext"/>
            </w:pPr>
            <w:r w:rsidRPr="001C2DF4">
              <w:rPr>
                <w:lang w:val="en-US"/>
              </w:rPr>
              <w:t>Other</w:t>
            </w:r>
          </w:p>
        </w:tc>
        <w:tc>
          <w:tcPr>
            <w:tcW w:w="1559" w:type="dxa"/>
            <w:noWrap/>
          </w:tcPr>
          <w:p w14:paraId="3C194D6C" w14:textId="77777777" w:rsidR="009D0006" w:rsidRPr="001C2DF4" w:rsidRDefault="009D0006" w:rsidP="00736415">
            <w:pPr>
              <w:pStyle w:val="Tabletext"/>
            </w:pPr>
            <w:r w:rsidRPr="001C2DF4">
              <w:t>132</w:t>
            </w:r>
          </w:p>
        </w:tc>
        <w:tc>
          <w:tcPr>
            <w:tcW w:w="1559" w:type="dxa"/>
            <w:noWrap/>
          </w:tcPr>
          <w:p w14:paraId="31BC0B24" w14:textId="77777777" w:rsidR="009D0006" w:rsidRPr="001C2DF4" w:rsidRDefault="009D0006" w:rsidP="00736415">
            <w:pPr>
              <w:pStyle w:val="Tabletext"/>
            </w:pPr>
            <w:r w:rsidRPr="001C2DF4">
              <w:t>5.3</w:t>
            </w:r>
          </w:p>
        </w:tc>
      </w:tr>
    </w:tbl>
    <w:bookmarkEnd w:id="203"/>
    <w:p w14:paraId="59330681" w14:textId="77777777" w:rsidR="009D0006" w:rsidRPr="00692BC1" w:rsidRDefault="009D0006" w:rsidP="00FE2582">
      <w:pPr>
        <w:spacing w:before="360"/>
      </w:pPr>
      <w:r w:rsidRPr="00692BC1">
        <w:t>Almost two</w:t>
      </w:r>
      <w:r>
        <w:t>-</w:t>
      </w:r>
      <w:r w:rsidRPr="00692BC1">
        <w:t xml:space="preserve">fifths (39.0%; n = 2500) </w:t>
      </w:r>
      <w:r>
        <w:t xml:space="preserve">of </w:t>
      </w:r>
      <w:r w:rsidRPr="00692BC1">
        <w:t xml:space="preserve">participants reported having </w:t>
      </w:r>
      <w:r>
        <w:t xml:space="preserve">a </w:t>
      </w:r>
      <w:r w:rsidRPr="00692BC1">
        <w:t xml:space="preserve">disability or </w:t>
      </w:r>
      <w:r>
        <w:t xml:space="preserve">a </w:t>
      </w:r>
      <w:r w:rsidRPr="00692BC1">
        <w:t>long-term health condition</w:t>
      </w:r>
      <w:r>
        <w:t>. As shown in Table 3, w</w:t>
      </w:r>
      <w:r w:rsidRPr="00692BC1">
        <w:t>hen asked to further describe the nature of their disability (if relevant), one</w:t>
      </w:r>
      <w:r>
        <w:t>-</w:t>
      </w:r>
      <w:r w:rsidRPr="00692BC1">
        <w:t>third reported a mental illness (88.2%; n = 2206), 34.6% (n = 866) reported neurodiversity/autism, 16.9% (n = 422) a physical disability, 16.8% (n = 419) a sensory disability, 13.9% (n = 347) an intellectual disability, 0.4% (n = 10) an acquired brain injury and 5.3% (n = 132) a different type of disability. It is notable that the relatively high proportion of people reporting a disability in this study</w:t>
      </w:r>
      <w:r>
        <w:t xml:space="preserve">, </w:t>
      </w:r>
      <w:r w:rsidRPr="00692BC1">
        <w:t xml:space="preserve">compared to </w:t>
      </w:r>
      <w:r>
        <w:t>7%</w:t>
      </w:r>
      <w:r w:rsidRPr="00692BC1">
        <w:t xml:space="preserve"> of young people aged 15-24 in the general population who reported some form of disability</w:t>
      </w:r>
      <w:r w:rsidRPr="00692BC1">
        <w:fldChar w:fldCharType="begin"/>
      </w:r>
      <w:r>
        <w:instrText xml:space="preserve"> ADDIN ZOTERO_ITEM CSL_CITATION {"citationID":"jK2d6Y2D","properties":{"formattedCitation":"(17)","plainCitation":"(17)","noteIndex":0},"citationItems":[{"id":"hc6yy1rM/fqSz8NxT","uris":["http://zotero.org/users/4948307/items/2NEATRYQ"],"itemData":{"id":63,"type":"book","abstract":"This report is the fourth in a series of national statistical reports on young people aged 12-24 years, produced by the Australian Institute of Health and Welfare. It provides the latest available information on how Australia's young people are faring according to a set of national indicators of health and wellbeing. Death rates have fallen considerably among young people, mainly due to declines in injury deaths. Most young people are achieving national minimum standards for reading, writing and numeracy, are fully engaged in study or work, and have strong support networks. There are some favourable trends in risk and protective factors, such as declines in smoking and illicit substance use. But it is not all good news. There is a high rate of mental disorders among young people, and road transport accidents, although continuing to decline, are still a major cause of death among young males. Too many young people are overweight or obese, are not doing sufficient physical activity or eating enough fruit and vegetables, and are drinking alcohol at risky levels. Aboriginal and Torres Strait Islander young people are far more likely to be disadvantaged across a broad range of indicators.","event-place":"Canberra, A.C.T.","ISBN":"978-1-74249-171-4","language":"en","note":"OCLC: 1058073329","publisher":"Australian Institute of Health and Welfare","publisher-place":"Canberra, A.C.T.","source":"Open WorldCat","title":"Young Australians: their health and wellbeing 2011","title-short":"Young Australians","author":[{"family":"Milnes","given":"Annette"},{"family":"Pegrum","given":"Karen"},{"family":"Nebe","given":"Brett"},{"family":"Topfer","given":"Alex"},{"family":"Gaal","given":"Lisa"},{"family":"Zhang","given":"Jessica"},{"family":"Hunter","given":"Nicole"},{"literal":"Australian Institute of Health and Welfare"}],"issued":{"date-parts":[["2011"]]}}}],"schema":"https://github.com/citation-style-language/schema/raw/master/csl-citation.json"} </w:instrText>
      </w:r>
      <w:r w:rsidRPr="00692BC1">
        <w:fldChar w:fldCharType="separate"/>
      </w:r>
      <w:r>
        <w:rPr>
          <w:lang w:val="en-GB"/>
        </w:rPr>
        <w:t>(17)</w:t>
      </w:r>
      <w:r w:rsidRPr="00692BC1">
        <w:fldChar w:fldCharType="end"/>
      </w:r>
      <w:r>
        <w:t>,</w:t>
      </w:r>
      <w:r w:rsidRPr="00692BC1">
        <w:t xml:space="preserve"> is likely due to the inclusion of mental illness</w:t>
      </w:r>
      <w:r>
        <w:t>. A</w:t>
      </w:r>
      <w:r w:rsidRPr="00692BC1">
        <w:t>pproximately one</w:t>
      </w:r>
      <w:r>
        <w:t>-</w:t>
      </w:r>
      <w:r w:rsidRPr="00692BC1">
        <w:t xml:space="preserve">quarter (22.5%; n = 1440) of the sample reported </w:t>
      </w:r>
      <w:r>
        <w:t xml:space="preserve">a </w:t>
      </w:r>
      <w:r w:rsidRPr="00692BC1">
        <w:t xml:space="preserve">disability or long-term health condition other </w:t>
      </w:r>
      <w:r w:rsidRPr="00692BC1">
        <w:lastRenderedPageBreak/>
        <w:t xml:space="preserve">than a mental illness, and as a result of the more inclusive model of self-identified disability used in </w:t>
      </w:r>
      <w:r w:rsidRPr="00692BC1">
        <w:rPr>
          <w:i/>
        </w:rPr>
        <w:t>Writing Themselves In 4</w:t>
      </w:r>
      <w:r w:rsidRPr="00692BC1">
        <w:t>.</w:t>
      </w:r>
    </w:p>
    <w:p w14:paraId="158D70DC" w14:textId="1FAED382" w:rsidR="009D0006" w:rsidRPr="002306D8" w:rsidRDefault="009D0006" w:rsidP="00153892">
      <w:pPr>
        <w:pStyle w:val="Heading3Numbered"/>
      </w:pPr>
      <w:bookmarkStart w:id="204" w:name="_Toc115968507"/>
      <w:r w:rsidRPr="002306D8">
        <w:t>Disability or long-term health condition – adults aged 18+ years</w:t>
      </w:r>
      <w:bookmarkEnd w:id="204"/>
    </w:p>
    <w:p w14:paraId="6E2F7445" w14:textId="77777777" w:rsidR="009D0006" w:rsidRDefault="009D0006" w:rsidP="009D0006">
      <w:r>
        <w:t>As outlined in Chapter 2, t</w:t>
      </w:r>
      <w:r w:rsidRPr="00692BC1" w:rsidDel="000353CF">
        <w:t xml:space="preserve">he </w:t>
      </w:r>
      <w:r w:rsidRPr="002306D8">
        <w:rPr>
          <w:i/>
          <w:iCs/>
        </w:rPr>
        <w:t>Private Lives 3</w:t>
      </w:r>
      <w:r w:rsidRPr="00692BC1" w:rsidDel="000353CF">
        <w:t xml:space="preserve"> survey used the Australian Institute of Health and Welfare</w:t>
      </w:r>
      <w:r>
        <w:t>’s Disability Flag</w:t>
      </w:r>
      <w:r w:rsidRPr="00692BC1" w:rsidDel="000353CF">
        <w:fldChar w:fldCharType="begin"/>
      </w:r>
      <w:r>
        <w:instrText xml:space="preserve"> ADDIN ZOTERO_ITEM CSL_CITATION {"citationID":"dGnM6iYJ","properties":{"formattedCitation":"(18)","plainCitation":"(18)","noteIndex":0},"citationItems":[{"id":"hc6yy1rM/m16eiNi8","uris":["http://zotero.org/users/4948307/items/FLGF94ZL"],"itemData":{"id":194,"type":"report","title":"Standardized Disability Flag: Data Collection Guide","URL":"https://www.aihw.gov.au/getmedia/2cda5b59-bbac-45f2-aea8-954ae12306b2/dat-6-standardised-disability-flag-data-collection-guide.pdf.aspx","author":[{"family":"Australian Institute of Health and Welfare","given":""}],"accessed":{"date-parts":[["2020",2,27]]},"issued":{"date-parts":[["2016"]]}}}],"schema":"https://github.com/citation-style-language/schema/raw/master/csl-citation.json"} </w:instrText>
      </w:r>
      <w:r w:rsidRPr="00692BC1" w:rsidDel="000353CF">
        <w:fldChar w:fldCharType="separate"/>
      </w:r>
      <w:r>
        <w:rPr>
          <w:lang w:val="en-GB"/>
        </w:rPr>
        <w:t>(18)</w:t>
      </w:r>
      <w:r w:rsidRPr="00692BC1" w:rsidDel="000353CF">
        <w:fldChar w:fldCharType="end"/>
      </w:r>
      <w:r w:rsidRPr="00692BC1" w:rsidDel="000353CF">
        <w:t xml:space="preserve"> to identify individuals with a long-term health condition or disability (defined as someone who reports an activity limitation, a specific education participation restriction and/or a specific employment participation restriction). </w:t>
      </w:r>
      <w:r w:rsidRPr="00692BC1">
        <w:rPr>
          <w:lang w:val="en-US"/>
        </w:rPr>
        <w:t>These data are intended to provide a macro-level comparison of the health and wellbeing of LGBTQ</w:t>
      </w:r>
      <w:r>
        <w:rPr>
          <w:lang w:val="en-US"/>
        </w:rPr>
        <w:t>A+</w:t>
      </w:r>
      <w:r w:rsidRPr="00692BC1">
        <w:rPr>
          <w:lang w:val="en-US"/>
        </w:rPr>
        <w:t xml:space="preserve"> people who report a disability or long-term health condition</w:t>
      </w:r>
      <w:r w:rsidRPr="00692BC1">
        <w:t>.</w:t>
      </w:r>
      <w:r>
        <w:t xml:space="preserve"> For more information regarding questions used in the survey on disability, including limitations of the </w:t>
      </w:r>
      <w:r w:rsidRPr="00692BC1" w:rsidDel="000353CF">
        <w:t>Disability Flag</w:t>
      </w:r>
      <w:r>
        <w:t>, see Chapter 2. Table 4 displays results according to classifications from the Disability Flag.</w:t>
      </w:r>
    </w:p>
    <w:p w14:paraId="2D8C7ECB" w14:textId="77777777" w:rsidR="009D0006" w:rsidRPr="00B553DB" w:rsidRDefault="009D0006" w:rsidP="00153892">
      <w:pPr>
        <w:pStyle w:val="Tableheading"/>
      </w:pPr>
      <w:bookmarkStart w:id="205" w:name="_Toc117062722"/>
      <w:bookmarkStart w:id="206" w:name="_Toc119651407"/>
      <w:r w:rsidRPr="00B553DB">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rsidRPr="00B553DB">
        <w:t>: Disability or long-term health condition among adults aged 18+ years</w:t>
      </w:r>
      <w:r>
        <w:t>,</w:t>
      </w:r>
      <w:r w:rsidRPr="00B553DB">
        <w:t xml:space="preserve"> </w:t>
      </w:r>
      <w:r>
        <w:t>grouped</w:t>
      </w:r>
      <w:r w:rsidRPr="00B553DB">
        <w:t xml:space="preserve"> by Disability Flag </w:t>
      </w:r>
      <w:r>
        <w:t xml:space="preserve">category </w:t>
      </w:r>
      <w:r w:rsidRPr="00B553DB">
        <w:t xml:space="preserve">(n = </w:t>
      </w:r>
      <w:r>
        <w:t>6533</w:t>
      </w:r>
      <w:r w:rsidRPr="00B553DB">
        <w:t>)</w:t>
      </w:r>
      <w:bookmarkEnd w:id="205"/>
      <w:bookmarkEnd w:id="206"/>
    </w:p>
    <w:tbl>
      <w:tblPr>
        <w:tblStyle w:val="RCTable"/>
        <w:tblW w:w="9864" w:type="dxa"/>
        <w:tblLayout w:type="fixed"/>
        <w:tblLook w:val="04A0" w:firstRow="1" w:lastRow="0" w:firstColumn="1" w:lastColumn="0" w:noHBand="0" w:noVBand="1"/>
      </w:tblPr>
      <w:tblGrid>
        <w:gridCol w:w="6746"/>
        <w:gridCol w:w="1559"/>
        <w:gridCol w:w="1559"/>
      </w:tblGrid>
      <w:tr w:rsidR="009D0006" w:rsidRPr="001C2DF4" w14:paraId="16DDF6C9"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1E8F1D0" w14:textId="77777777" w:rsidR="009D0006" w:rsidRPr="00736415" w:rsidRDefault="009D0006" w:rsidP="00736415">
            <w:pPr>
              <w:pStyle w:val="Tableheader"/>
            </w:pPr>
            <w:r w:rsidRPr="00736415">
              <w:t xml:space="preserve">Disability or long-term health condition </w:t>
            </w:r>
          </w:p>
        </w:tc>
        <w:tc>
          <w:tcPr>
            <w:tcW w:w="1559" w:type="dxa"/>
            <w:noWrap/>
            <w:hideMark/>
          </w:tcPr>
          <w:p w14:paraId="609177A7" w14:textId="77777777" w:rsidR="009D0006" w:rsidRPr="00736415" w:rsidRDefault="009D0006" w:rsidP="00736415">
            <w:pPr>
              <w:pStyle w:val="Tableheader"/>
            </w:pPr>
            <w:r w:rsidRPr="00736415">
              <w:t>n</w:t>
            </w:r>
          </w:p>
        </w:tc>
        <w:tc>
          <w:tcPr>
            <w:tcW w:w="1559" w:type="dxa"/>
            <w:noWrap/>
            <w:hideMark/>
          </w:tcPr>
          <w:p w14:paraId="47A81943" w14:textId="77777777" w:rsidR="009D0006" w:rsidRPr="00736415" w:rsidRDefault="009D0006" w:rsidP="00736415">
            <w:pPr>
              <w:pStyle w:val="Tableheader"/>
            </w:pPr>
            <w:r w:rsidRPr="00736415">
              <w:t>%</w:t>
            </w:r>
          </w:p>
        </w:tc>
      </w:tr>
      <w:tr w:rsidR="009D0006" w:rsidRPr="001C2DF4" w14:paraId="53735372"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C512F85" w14:textId="77777777" w:rsidR="009D0006" w:rsidRPr="001C2DF4" w:rsidRDefault="009D0006" w:rsidP="00736415">
            <w:pPr>
              <w:pStyle w:val="Tabletext"/>
            </w:pPr>
            <w:r>
              <w:rPr>
                <w:lang w:val="en-US"/>
              </w:rPr>
              <w:t>No disability</w:t>
            </w:r>
          </w:p>
        </w:tc>
        <w:tc>
          <w:tcPr>
            <w:tcW w:w="1559" w:type="dxa"/>
            <w:noWrap/>
          </w:tcPr>
          <w:p w14:paraId="3198EB7E" w14:textId="77777777" w:rsidR="009D0006" w:rsidRPr="001C2DF4" w:rsidRDefault="009D0006" w:rsidP="00736415">
            <w:pPr>
              <w:pStyle w:val="Tabletext"/>
            </w:pPr>
            <w:r>
              <w:t>3904</w:t>
            </w:r>
          </w:p>
        </w:tc>
        <w:tc>
          <w:tcPr>
            <w:tcW w:w="1559" w:type="dxa"/>
            <w:noWrap/>
          </w:tcPr>
          <w:p w14:paraId="528F0302" w14:textId="77777777" w:rsidR="009D0006" w:rsidRPr="001C2DF4" w:rsidRDefault="009D0006" w:rsidP="00736415">
            <w:pPr>
              <w:pStyle w:val="Tabletext"/>
            </w:pPr>
            <w:r>
              <w:t>59.8</w:t>
            </w:r>
          </w:p>
        </w:tc>
      </w:tr>
      <w:tr w:rsidR="009D0006" w:rsidRPr="001C2DF4" w14:paraId="414490D3"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A550F97" w14:textId="77777777" w:rsidR="009D0006" w:rsidRPr="001C2DF4" w:rsidRDefault="009D0006" w:rsidP="00736415">
            <w:pPr>
              <w:pStyle w:val="Tabletext"/>
            </w:pPr>
            <w:r>
              <w:rPr>
                <w:lang w:val="en-US"/>
              </w:rPr>
              <w:t>Mild</w:t>
            </w:r>
          </w:p>
        </w:tc>
        <w:tc>
          <w:tcPr>
            <w:tcW w:w="1559" w:type="dxa"/>
            <w:noWrap/>
          </w:tcPr>
          <w:p w14:paraId="7C43B8CB" w14:textId="77777777" w:rsidR="009D0006" w:rsidRPr="001C2DF4" w:rsidRDefault="009D0006" w:rsidP="00736415">
            <w:pPr>
              <w:pStyle w:val="Tabletext"/>
            </w:pPr>
            <w:r>
              <w:t>433</w:t>
            </w:r>
          </w:p>
        </w:tc>
        <w:tc>
          <w:tcPr>
            <w:tcW w:w="1559" w:type="dxa"/>
            <w:noWrap/>
          </w:tcPr>
          <w:p w14:paraId="4D1532A4" w14:textId="77777777" w:rsidR="009D0006" w:rsidRPr="001C2DF4" w:rsidRDefault="009D0006" w:rsidP="00736415">
            <w:pPr>
              <w:pStyle w:val="Tabletext"/>
            </w:pPr>
            <w:r>
              <w:t>6.6</w:t>
            </w:r>
          </w:p>
        </w:tc>
      </w:tr>
      <w:tr w:rsidR="009D0006" w:rsidRPr="001C2DF4" w14:paraId="65D8D173"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E74C0EC" w14:textId="77777777" w:rsidR="009D0006" w:rsidRPr="001C2DF4" w:rsidRDefault="009D0006" w:rsidP="00736415">
            <w:pPr>
              <w:pStyle w:val="Tabletext"/>
            </w:pPr>
            <w:r>
              <w:rPr>
                <w:lang w:val="en-US"/>
              </w:rPr>
              <w:t>Moderate</w:t>
            </w:r>
          </w:p>
        </w:tc>
        <w:tc>
          <w:tcPr>
            <w:tcW w:w="1559" w:type="dxa"/>
            <w:noWrap/>
          </w:tcPr>
          <w:p w14:paraId="601A0881" w14:textId="77777777" w:rsidR="009D0006" w:rsidRPr="001C2DF4" w:rsidRDefault="009D0006" w:rsidP="00736415">
            <w:pPr>
              <w:pStyle w:val="Tabletext"/>
            </w:pPr>
            <w:r>
              <w:t>1394</w:t>
            </w:r>
          </w:p>
        </w:tc>
        <w:tc>
          <w:tcPr>
            <w:tcW w:w="1559" w:type="dxa"/>
            <w:noWrap/>
          </w:tcPr>
          <w:p w14:paraId="61C536EB" w14:textId="77777777" w:rsidR="009D0006" w:rsidRPr="001C2DF4" w:rsidRDefault="009D0006" w:rsidP="00736415">
            <w:pPr>
              <w:pStyle w:val="Tabletext"/>
            </w:pPr>
            <w:r>
              <w:t>21.3</w:t>
            </w:r>
          </w:p>
        </w:tc>
      </w:tr>
      <w:tr w:rsidR="009D0006" w:rsidRPr="001C2DF4" w14:paraId="5B9A8B6A"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9E82130" w14:textId="77777777" w:rsidR="009D0006" w:rsidRPr="001C2DF4" w:rsidRDefault="009D0006" w:rsidP="00736415">
            <w:pPr>
              <w:pStyle w:val="Tabletext"/>
            </w:pPr>
            <w:r>
              <w:rPr>
                <w:lang w:val="en-US"/>
              </w:rPr>
              <w:t>Severe</w:t>
            </w:r>
          </w:p>
        </w:tc>
        <w:tc>
          <w:tcPr>
            <w:tcW w:w="1559" w:type="dxa"/>
            <w:noWrap/>
          </w:tcPr>
          <w:p w14:paraId="694E044E" w14:textId="77777777" w:rsidR="009D0006" w:rsidRPr="001C2DF4" w:rsidRDefault="009D0006" w:rsidP="00736415">
            <w:pPr>
              <w:pStyle w:val="Tabletext"/>
            </w:pPr>
            <w:r>
              <w:t>802</w:t>
            </w:r>
          </w:p>
        </w:tc>
        <w:tc>
          <w:tcPr>
            <w:tcW w:w="1559" w:type="dxa"/>
            <w:noWrap/>
          </w:tcPr>
          <w:p w14:paraId="71080451" w14:textId="77777777" w:rsidR="009D0006" w:rsidRPr="001C2DF4" w:rsidRDefault="009D0006" w:rsidP="00736415">
            <w:pPr>
              <w:pStyle w:val="Tabletext"/>
            </w:pPr>
            <w:r>
              <w:t>12.3</w:t>
            </w:r>
          </w:p>
        </w:tc>
      </w:tr>
    </w:tbl>
    <w:p w14:paraId="73710B1A" w14:textId="77777777" w:rsidR="009D0006" w:rsidRPr="00CA6FFD" w:rsidRDefault="009D0006" w:rsidP="00FE2582">
      <w:pPr>
        <w:spacing w:before="360"/>
      </w:pPr>
      <w:r>
        <w:t xml:space="preserve">As shown in Table 4, </w:t>
      </w:r>
      <w:r w:rsidRPr="00692BC1" w:rsidDel="000353CF">
        <w:t xml:space="preserve">almost </w:t>
      </w:r>
      <w:r>
        <w:t>4 in 10</w:t>
      </w:r>
      <w:r w:rsidRPr="00692BC1" w:rsidDel="000353CF">
        <w:t xml:space="preserve"> (38.</w:t>
      </w:r>
      <w:r w:rsidRPr="00692BC1">
        <w:t>5</w:t>
      </w:r>
      <w:r w:rsidRPr="00692BC1" w:rsidDel="000353CF">
        <w:t xml:space="preserve">%; n = </w:t>
      </w:r>
      <w:r w:rsidRPr="00692BC1">
        <w:t>2629</w:t>
      </w:r>
      <w:r w:rsidRPr="00692BC1" w:rsidDel="000353CF">
        <w:t xml:space="preserve">) participants reported </w:t>
      </w:r>
      <w:r w:rsidRPr="00692BC1">
        <w:t xml:space="preserve">experiences categorised by the </w:t>
      </w:r>
      <w:r>
        <w:t>Disability Flag</w:t>
      </w:r>
      <w:r w:rsidRPr="00692BC1" w:rsidDel="000353CF">
        <w:t xml:space="preserve"> </w:t>
      </w:r>
      <w:r w:rsidRPr="00692BC1">
        <w:t xml:space="preserve">as </w:t>
      </w:r>
      <w:r w:rsidRPr="00692BC1" w:rsidDel="000353CF">
        <w:t xml:space="preserve">having a disability or long-term health condition. One in </w:t>
      </w:r>
      <w:r>
        <w:t>10</w:t>
      </w:r>
      <w:r w:rsidRPr="00692BC1" w:rsidDel="000353CF">
        <w:t xml:space="preserve"> (1</w:t>
      </w:r>
      <w:r w:rsidRPr="00692BC1">
        <w:t>1</w:t>
      </w:r>
      <w:r w:rsidRPr="00692BC1" w:rsidDel="000353CF">
        <w:t>.</w:t>
      </w:r>
      <w:r w:rsidRPr="00692BC1">
        <w:t>8</w:t>
      </w:r>
      <w:r w:rsidRPr="00692BC1" w:rsidDel="000353CF">
        <w:t xml:space="preserve">%; n = </w:t>
      </w:r>
      <w:r w:rsidRPr="00692BC1">
        <w:t>80</w:t>
      </w:r>
      <w:r w:rsidRPr="00692BC1" w:rsidDel="000353CF">
        <w:t xml:space="preserve">2) </w:t>
      </w:r>
      <w:r>
        <w:t>were categorised as having</w:t>
      </w:r>
      <w:r w:rsidRPr="00692BC1" w:rsidDel="000353CF">
        <w:t xml:space="preserve"> a profound or severe disability, 20.</w:t>
      </w:r>
      <w:r w:rsidRPr="00692BC1">
        <w:t>4</w:t>
      </w:r>
      <w:r w:rsidRPr="00692BC1" w:rsidDel="000353CF">
        <w:t xml:space="preserve">% (n = </w:t>
      </w:r>
      <w:r w:rsidRPr="00692BC1">
        <w:t>1394</w:t>
      </w:r>
      <w:r w:rsidRPr="00692BC1" w:rsidDel="000353CF">
        <w:t xml:space="preserve">) </w:t>
      </w:r>
      <w:r>
        <w:t xml:space="preserve">were categorised with </w:t>
      </w:r>
      <w:r w:rsidRPr="00692BC1" w:rsidDel="000353CF">
        <w:t>a moderate disability</w:t>
      </w:r>
      <w:r w:rsidRPr="00692BC1">
        <w:t xml:space="preserve"> and</w:t>
      </w:r>
      <w:r w:rsidRPr="00692BC1" w:rsidDel="000353CF">
        <w:t xml:space="preserve"> 6.</w:t>
      </w:r>
      <w:r w:rsidRPr="00692BC1">
        <w:t>4</w:t>
      </w:r>
      <w:r w:rsidRPr="00692BC1" w:rsidDel="000353CF">
        <w:t xml:space="preserve">% (n = </w:t>
      </w:r>
      <w:r w:rsidRPr="00692BC1">
        <w:t>433</w:t>
      </w:r>
      <w:r w:rsidRPr="00692BC1" w:rsidDel="000353CF">
        <w:t xml:space="preserve">) </w:t>
      </w:r>
      <w:r>
        <w:t xml:space="preserve">were categorised with </w:t>
      </w:r>
      <w:r w:rsidRPr="00692BC1" w:rsidDel="000353CF">
        <w:t xml:space="preserve">a mild disability. It is notable that </w:t>
      </w:r>
      <w:r w:rsidRPr="00692BC1">
        <w:t>there was a</w:t>
      </w:r>
      <w:r w:rsidRPr="00692BC1" w:rsidDel="000353CF">
        <w:t xml:space="preserve"> higher proportion of people reporting a disability in this study than in </w:t>
      </w:r>
      <w:r w:rsidRPr="002306D8">
        <w:rPr>
          <w:i/>
          <w:iCs/>
        </w:rPr>
        <w:t>Private Lives 2</w:t>
      </w:r>
      <w:r w:rsidRPr="00692BC1" w:rsidDel="000353CF">
        <w:t xml:space="preserve"> (22.7%) and the general Australian population (17.7%)</w:t>
      </w:r>
      <w:r>
        <w:t>.</w:t>
      </w:r>
      <w:r w:rsidRPr="00692BC1" w:rsidDel="000353CF">
        <w:fldChar w:fldCharType="begin"/>
      </w:r>
      <w:r>
        <w:instrText xml:space="preserve"> ADDIN ZOTERO_ITEM CSL_CITATION {"citationID":"B6cGqxTp","properties":{"formattedCitation":"(23)","plainCitation":"(23)","noteIndex":0},"citationItems":[{"id":"hc6yy1rM/eYiuEgOa","uris":["http://zotero.org/users/4948307/items/LKA63ZAC"],"itemData":{"id":675,"type":"webpage","abstract":"This is a summary from publication Key statistics which contains key figures, key points and notes from the publication.","language":"en","title":"ABS - Key statistics","URL":"https://www.abs.gov.au/ausstats/abs@.nsf/0/C258C88A7AA5A87ECA2568A9001393E8?Opendocument","author":[{"family":"Australian Bureau of Statistics","given":""}],"accessed":{"date-parts":[["2020",1,9]]},"issued":{"date-parts":[["2019",10,24]]}}}],"schema":"https://github.com/citation-style-language/schema/raw/master/csl-citation.json"} </w:instrText>
      </w:r>
      <w:r w:rsidRPr="00692BC1" w:rsidDel="000353CF">
        <w:fldChar w:fldCharType="separate"/>
      </w:r>
      <w:r>
        <w:rPr>
          <w:lang w:val="en-GB"/>
        </w:rPr>
        <w:t>(23)</w:t>
      </w:r>
      <w:r w:rsidRPr="00692BC1" w:rsidDel="000353CF">
        <w:fldChar w:fldCharType="end"/>
      </w:r>
      <w:r w:rsidRPr="00692BC1" w:rsidDel="000353CF">
        <w:t xml:space="preserve"> This is likely to arise because the </w:t>
      </w:r>
      <w:r>
        <w:t>Disability Flag</w:t>
      </w:r>
      <w:r w:rsidRPr="00692BC1" w:rsidDel="002E139F">
        <w:t xml:space="preserve"> </w:t>
      </w:r>
      <w:r w:rsidRPr="00692BC1" w:rsidDel="000353CF">
        <w:t xml:space="preserve">was designed as a more inclusive and comprehensive measure of disability or long-term health condition than those used in </w:t>
      </w:r>
      <w:r w:rsidRPr="001856A6">
        <w:rPr>
          <w:i/>
          <w:iCs/>
        </w:rPr>
        <w:t>Private Lives 2</w:t>
      </w:r>
      <w:r w:rsidRPr="00692BC1" w:rsidDel="000353CF">
        <w:t xml:space="preserve"> or the </w:t>
      </w:r>
      <w:r>
        <w:t>Australian Bureau of Statistics</w:t>
      </w:r>
      <w:r w:rsidRPr="00692BC1">
        <w:t xml:space="preserve"> and</w:t>
      </w:r>
      <w:r w:rsidRPr="00692BC1" w:rsidDel="000353CF">
        <w:t xml:space="preserve"> includes questions regarding difficulties with personal relationships, managing tasks and situations</w:t>
      </w:r>
      <w:r w:rsidRPr="00692BC1">
        <w:t xml:space="preserve"> and</w:t>
      </w:r>
      <w:r w:rsidRPr="00692BC1" w:rsidDel="000353CF">
        <w:t xml:space="preserve"> community life.</w:t>
      </w:r>
      <w:r w:rsidRPr="00692BC1">
        <w:t xml:space="preserve"> </w:t>
      </w:r>
    </w:p>
    <w:p w14:paraId="52C3E8B1" w14:textId="10F4E3CB" w:rsidR="009D0006" w:rsidRDefault="009D0006" w:rsidP="00153892">
      <w:pPr>
        <w:pStyle w:val="Heading2Numbered"/>
      </w:pPr>
      <w:bookmarkStart w:id="207" w:name="_Toc115968508"/>
      <w:bookmarkStart w:id="208" w:name="_Toc119662402"/>
      <w:r w:rsidRPr="002306D8">
        <w:lastRenderedPageBreak/>
        <w:t>State or territory of residence</w:t>
      </w:r>
      <w:bookmarkEnd w:id="196"/>
      <w:bookmarkEnd w:id="207"/>
      <w:bookmarkEnd w:id="208"/>
    </w:p>
    <w:p w14:paraId="40C2BF11" w14:textId="5416C4A3" w:rsidR="009D0006" w:rsidRPr="001C2DF4" w:rsidRDefault="009D0006" w:rsidP="00153892">
      <w:pPr>
        <w:pStyle w:val="Heading3Numbered"/>
      </w:pPr>
      <w:bookmarkStart w:id="209" w:name="_Toc115968509"/>
      <w:r w:rsidRPr="001C2DF4">
        <w:t xml:space="preserve">State or territory of residence – young people aged </w:t>
      </w:r>
      <w:r w:rsidR="000067D6">
        <w:br/>
      </w:r>
      <w:r w:rsidRPr="001C2DF4">
        <w:t>14-21 years</w:t>
      </w:r>
      <w:bookmarkEnd w:id="209"/>
    </w:p>
    <w:p w14:paraId="0A28D72E" w14:textId="77777777" w:rsidR="009D0006" w:rsidRPr="001C2DF4" w:rsidRDefault="009D0006" w:rsidP="009D0006">
      <w:r w:rsidRPr="001C2DF4">
        <w:t xml:space="preserve">In total, there </w:t>
      </w:r>
      <w:r w:rsidRPr="007F5243">
        <w:t>were</w:t>
      </w:r>
      <w:r w:rsidRPr="001C2DF4">
        <w:t xml:space="preserve"> 2500 complete and valid responses </w:t>
      </w:r>
      <w:r>
        <w:t xml:space="preserve">from </w:t>
      </w:r>
      <w:r w:rsidRPr="001C2DF4">
        <w:t xml:space="preserve">participants with disability aged 14-21 years in </w:t>
      </w:r>
      <w:r w:rsidRPr="002C00DC">
        <w:rPr>
          <w:i/>
          <w:iCs/>
        </w:rPr>
        <w:t>Writing Themselves In 4</w:t>
      </w:r>
      <w:r w:rsidRPr="001C2DF4">
        <w:t xml:space="preserve">. Table </w:t>
      </w:r>
      <w:r>
        <w:t>5</w:t>
      </w:r>
      <w:r w:rsidRPr="001C2DF4">
        <w:t xml:space="preserve"> displays the numbers and percentages of participants </w:t>
      </w:r>
      <w:r>
        <w:t xml:space="preserve">with disability who were </w:t>
      </w:r>
      <w:r w:rsidRPr="001C2DF4">
        <w:t xml:space="preserve">residing in each state or territory.  </w:t>
      </w:r>
    </w:p>
    <w:p w14:paraId="643A8259" w14:textId="1B466E04" w:rsidR="009D0006" w:rsidRPr="00FE2582" w:rsidRDefault="009D0006" w:rsidP="00FE2582">
      <w:pPr>
        <w:pStyle w:val="Tableheading"/>
        <w:rPr>
          <w:rFonts w:ascii="Roboto Medium" w:eastAsia="MS Mincho" w:hAnsi="Roboto Medium"/>
          <w:color w:val="000000"/>
          <w:sz w:val="23"/>
          <w:szCs w:val="23"/>
        </w:rPr>
      </w:pPr>
      <w:bookmarkStart w:id="210" w:name="_Toc117062723"/>
      <w:bookmarkStart w:id="211" w:name="_Toc119651408"/>
      <w:r w:rsidRPr="00B553DB">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sidRPr="00B553DB">
        <w:t>: Distribution by state and territory</w:t>
      </w:r>
      <w:r>
        <w:t xml:space="preserve"> of young people with disability aged 14-21 years</w:t>
      </w:r>
      <w:r w:rsidRPr="00B553DB">
        <w:t xml:space="preserve"> (n = 2500)</w:t>
      </w:r>
      <w:bookmarkEnd w:id="210"/>
      <w:bookmarkEnd w:id="211"/>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4A87C6D4"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33A77F01" w14:textId="77777777" w:rsidR="009D0006" w:rsidRPr="00736415" w:rsidRDefault="009D0006" w:rsidP="00736415">
            <w:pPr>
              <w:pStyle w:val="Tableheader"/>
            </w:pPr>
            <w:r w:rsidRPr="00736415">
              <w:t>State or territory</w:t>
            </w:r>
          </w:p>
        </w:tc>
        <w:tc>
          <w:tcPr>
            <w:tcW w:w="1559" w:type="dxa"/>
            <w:noWrap/>
            <w:hideMark/>
          </w:tcPr>
          <w:p w14:paraId="3BC007B4" w14:textId="77777777" w:rsidR="009D0006" w:rsidRPr="00736415" w:rsidRDefault="009D0006" w:rsidP="00736415">
            <w:pPr>
              <w:pStyle w:val="Tableheader"/>
            </w:pPr>
            <w:r w:rsidRPr="00736415">
              <w:t>n</w:t>
            </w:r>
          </w:p>
        </w:tc>
        <w:tc>
          <w:tcPr>
            <w:tcW w:w="1559" w:type="dxa"/>
            <w:noWrap/>
            <w:hideMark/>
          </w:tcPr>
          <w:p w14:paraId="50F46306" w14:textId="77777777" w:rsidR="009D0006" w:rsidRPr="00736415" w:rsidRDefault="009D0006" w:rsidP="00736415">
            <w:pPr>
              <w:pStyle w:val="Tableheader"/>
            </w:pPr>
            <w:r w:rsidRPr="00736415">
              <w:t>%</w:t>
            </w:r>
          </w:p>
        </w:tc>
      </w:tr>
      <w:tr w:rsidR="009D0006" w:rsidRPr="001C2DF4" w14:paraId="65753FA3"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5E39133" w14:textId="77777777" w:rsidR="009D0006" w:rsidRPr="001C2DF4" w:rsidRDefault="009D0006" w:rsidP="00736415">
            <w:pPr>
              <w:pStyle w:val="Tabletext"/>
              <w:rPr>
                <w:lang w:val="en-US"/>
              </w:rPr>
            </w:pPr>
            <w:r w:rsidRPr="001C2DF4">
              <w:rPr>
                <w:lang w:val="en-US"/>
              </w:rPr>
              <w:t>Victoria</w:t>
            </w:r>
          </w:p>
        </w:tc>
        <w:tc>
          <w:tcPr>
            <w:tcW w:w="1559" w:type="dxa"/>
            <w:noWrap/>
          </w:tcPr>
          <w:p w14:paraId="164637BB" w14:textId="77777777" w:rsidR="009D0006" w:rsidRPr="001C2DF4" w:rsidRDefault="009D0006" w:rsidP="00736415">
            <w:pPr>
              <w:pStyle w:val="Tabletext"/>
              <w:rPr>
                <w:lang w:val="en-US"/>
              </w:rPr>
            </w:pPr>
            <w:r w:rsidRPr="001C2DF4">
              <w:t>740</w:t>
            </w:r>
          </w:p>
        </w:tc>
        <w:tc>
          <w:tcPr>
            <w:tcW w:w="1559" w:type="dxa"/>
            <w:noWrap/>
          </w:tcPr>
          <w:p w14:paraId="1ED4D17C" w14:textId="77777777" w:rsidR="009D0006" w:rsidRPr="001C2DF4" w:rsidRDefault="009D0006" w:rsidP="00736415">
            <w:pPr>
              <w:pStyle w:val="Tabletext"/>
              <w:rPr>
                <w:lang w:val="en-US"/>
              </w:rPr>
            </w:pPr>
            <w:r w:rsidRPr="001C2DF4">
              <w:t>29.6</w:t>
            </w:r>
          </w:p>
        </w:tc>
      </w:tr>
      <w:tr w:rsidR="009D0006" w:rsidRPr="001C2DF4" w14:paraId="201F7DEA"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E1735E4" w14:textId="77777777" w:rsidR="009D0006" w:rsidRPr="001C2DF4" w:rsidRDefault="009D0006" w:rsidP="00736415">
            <w:pPr>
              <w:pStyle w:val="Tabletext"/>
              <w:rPr>
                <w:lang w:val="en-US"/>
              </w:rPr>
            </w:pPr>
            <w:r w:rsidRPr="001C2DF4">
              <w:rPr>
                <w:lang w:val="en-US"/>
              </w:rPr>
              <w:t>New South Wales</w:t>
            </w:r>
          </w:p>
        </w:tc>
        <w:tc>
          <w:tcPr>
            <w:tcW w:w="1559" w:type="dxa"/>
            <w:noWrap/>
          </w:tcPr>
          <w:p w14:paraId="3B7B5853" w14:textId="77777777" w:rsidR="009D0006" w:rsidRPr="001C2DF4" w:rsidRDefault="009D0006" w:rsidP="00736415">
            <w:pPr>
              <w:pStyle w:val="Tabletext"/>
              <w:rPr>
                <w:lang w:val="en-US"/>
              </w:rPr>
            </w:pPr>
            <w:r w:rsidRPr="001C2DF4">
              <w:t>623</w:t>
            </w:r>
          </w:p>
        </w:tc>
        <w:tc>
          <w:tcPr>
            <w:tcW w:w="1559" w:type="dxa"/>
            <w:noWrap/>
          </w:tcPr>
          <w:p w14:paraId="05F84298" w14:textId="77777777" w:rsidR="009D0006" w:rsidRPr="001C2DF4" w:rsidRDefault="009D0006" w:rsidP="00736415">
            <w:pPr>
              <w:pStyle w:val="Tabletext"/>
              <w:rPr>
                <w:lang w:val="en-US"/>
              </w:rPr>
            </w:pPr>
            <w:r w:rsidRPr="001C2DF4">
              <w:t>24.9</w:t>
            </w:r>
          </w:p>
        </w:tc>
      </w:tr>
      <w:tr w:rsidR="009D0006" w:rsidRPr="001C2DF4" w14:paraId="507DAC67"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32E326D" w14:textId="77777777" w:rsidR="009D0006" w:rsidRPr="001C2DF4" w:rsidRDefault="009D0006" w:rsidP="00736415">
            <w:pPr>
              <w:pStyle w:val="Tabletext"/>
              <w:rPr>
                <w:lang w:val="en-US"/>
              </w:rPr>
            </w:pPr>
            <w:r w:rsidRPr="001C2DF4">
              <w:rPr>
                <w:lang w:val="en-US"/>
              </w:rPr>
              <w:t>Queensland</w:t>
            </w:r>
          </w:p>
        </w:tc>
        <w:tc>
          <w:tcPr>
            <w:tcW w:w="1559" w:type="dxa"/>
            <w:noWrap/>
          </w:tcPr>
          <w:p w14:paraId="4E51772F" w14:textId="77777777" w:rsidR="009D0006" w:rsidRPr="001C2DF4" w:rsidRDefault="009D0006" w:rsidP="00736415">
            <w:pPr>
              <w:pStyle w:val="Tabletext"/>
              <w:rPr>
                <w:lang w:val="en-US"/>
              </w:rPr>
            </w:pPr>
            <w:r w:rsidRPr="001C2DF4">
              <w:t>388</w:t>
            </w:r>
          </w:p>
        </w:tc>
        <w:tc>
          <w:tcPr>
            <w:tcW w:w="1559" w:type="dxa"/>
            <w:noWrap/>
          </w:tcPr>
          <w:p w14:paraId="26561C05" w14:textId="77777777" w:rsidR="009D0006" w:rsidRPr="001C2DF4" w:rsidRDefault="009D0006" w:rsidP="00736415">
            <w:pPr>
              <w:pStyle w:val="Tabletext"/>
              <w:rPr>
                <w:lang w:val="en-US"/>
              </w:rPr>
            </w:pPr>
            <w:r w:rsidRPr="001C2DF4">
              <w:t>15.5</w:t>
            </w:r>
          </w:p>
        </w:tc>
      </w:tr>
      <w:tr w:rsidR="009D0006" w:rsidRPr="001C2DF4" w14:paraId="00CDCFF8"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004BDB4A" w14:textId="77777777" w:rsidR="009D0006" w:rsidRPr="001C2DF4" w:rsidRDefault="009D0006" w:rsidP="00736415">
            <w:pPr>
              <w:pStyle w:val="Tabletext"/>
              <w:rPr>
                <w:lang w:val="en-US"/>
              </w:rPr>
            </w:pPr>
            <w:r w:rsidRPr="001C2DF4">
              <w:rPr>
                <w:lang w:val="en-US"/>
              </w:rPr>
              <w:t>Western Australia</w:t>
            </w:r>
          </w:p>
        </w:tc>
        <w:tc>
          <w:tcPr>
            <w:tcW w:w="1559" w:type="dxa"/>
            <w:noWrap/>
          </w:tcPr>
          <w:p w14:paraId="792860A0" w14:textId="77777777" w:rsidR="009D0006" w:rsidRPr="001C2DF4" w:rsidRDefault="009D0006" w:rsidP="00736415">
            <w:pPr>
              <w:pStyle w:val="Tabletext"/>
              <w:rPr>
                <w:lang w:val="en-US"/>
              </w:rPr>
            </w:pPr>
            <w:r w:rsidRPr="001C2DF4">
              <w:t>279</w:t>
            </w:r>
          </w:p>
        </w:tc>
        <w:tc>
          <w:tcPr>
            <w:tcW w:w="1559" w:type="dxa"/>
            <w:noWrap/>
          </w:tcPr>
          <w:p w14:paraId="1D0FC38E" w14:textId="77777777" w:rsidR="009D0006" w:rsidRPr="001C2DF4" w:rsidRDefault="009D0006" w:rsidP="00736415">
            <w:pPr>
              <w:pStyle w:val="Tabletext"/>
              <w:rPr>
                <w:lang w:val="en-US"/>
              </w:rPr>
            </w:pPr>
            <w:r w:rsidRPr="001C2DF4">
              <w:t>11.2</w:t>
            </w:r>
          </w:p>
        </w:tc>
      </w:tr>
      <w:tr w:rsidR="009D0006" w:rsidRPr="001C2DF4" w14:paraId="2A073B62"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2B0051A" w14:textId="77777777" w:rsidR="009D0006" w:rsidRPr="001C2DF4" w:rsidRDefault="009D0006" w:rsidP="00736415">
            <w:pPr>
              <w:pStyle w:val="Tabletext"/>
              <w:rPr>
                <w:lang w:val="en-US"/>
              </w:rPr>
            </w:pPr>
            <w:r w:rsidRPr="001C2DF4">
              <w:rPr>
                <w:lang w:val="en-US"/>
              </w:rPr>
              <w:t>South Australia</w:t>
            </w:r>
          </w:p>
        </w:tc>
        <w:tc>
          <w:tcPr>
            <w:tcW w:w="1559" w:type="dxa"/>
            <w:noWrap/>
          </w:tcPr>
          <w:p w14:paraId="65C0B67F" w14:textId="77777777" w:rsidR="009D0006" w:rsidRPr="001C2DF4" w:rsidRDefault="009D0006" w:rsidP="00736415">
            <w:pPr>
              <w:pStyle w:val="Tabletext"/>
              <w:rPr>
                <w:lang w:val="en-US"/>
              </w:rPr>
            </w:pPr>
            <w:r w:rsidRPr="001C2DF4">
              <w:t>237</w:t>
            </w:r>
          </w:p>
        </w:tc>
        <w:tc>
          <w:tcPr>
            <w:tcW w:w="1559" w:type="dxa"/>
            <w:noWrap/>
          </w:tcPr>
          <w:p w14:paraId="2D261BDA" w14:textId="77777777" w:rsidR="009D0006" w:rsidRPr="001C2DF4" w:rsidRDefault="009D0006" w:rsidP="00736415">
            <w:pPr>
              <w:pStyle w:val="Tabletext"/>
              <w:rPr>
                <w:lang w:val="en-US"/>
              </w:rPr>
            </w:pPr>
            <w:r w:rsidRPr="001C2DF4">
              <w:t>9.5</w:t>
            </w:r>
          </w:p>
        </w:tc>
      </w:tr>
      <w:tr w:rsidR="009D0006" w:rsidRPr="001C2DF4" w14:paraId="3C0AC0A5"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27DF97D" w14:textId="77777777" w:rsidR="009D0006" w:rsidRPr="001C2DF4" w:rsidRDefault="009D0006" w:rsidP="00736415">
            <w:pPr>
              <w:pStyle w:val="Tabletext"/>
              <w:rPr>
                <w:lang w:val="en-US"/>
              </w:rPr>
            </w:pPr>
            <w:r w:rsidRPr="001C2DF4">
              <w:rPr>
                <w:lang w:val="en-US"/>
              </w:rPr>
              <w:t>Australian Capital Territory</w:t>
            </w:r>
          </w:p>
        </w:tc>
        <w:tc>
          <w:tcPr>
            <w:tcW w:w="1559" w:type="dxa"/>
            <w:noWrap/>
          </w:tcPr>
          <w:p w14:paraId="65D916E9" w14:textId="77777777" w:rsidR="009D0006" w:rsidRPr="001C2DF4" w:rsidRDefault="009D0006" w:rsidP="00736415">
            <w:pPr>
              <w:pStyle w:val="Tabletext"/>
              <w:rPr>
                <w:lang w:val="en-US"/>
              </w:rPr>
            </w:pPr>
            <w:r w:rsidRPr="001C2DF4">
              <w:t>139</w:t>
            </w:r>
          </w:p>
        </w:tc>
        <w:tc>
          <w:tcPr>
            <w:tcW w:w="1559" w:type="dxa"/>
            <w:noWrap/>
          </w:tcPr>
          <w:p w14:paraId="5450D511" w14:textId="77777777" w:rsidR="009D0006" w:rsidRPr="001C2DF4" w:rsidRDefault="009D0006" w:rsidP="00736415">
            <w:pPr>
              <w:pStyle w:val="Tabletext"/>
              <w:rPr>
                <w:lang w:val="en-US"/>
              </w:rPr>
            </w:pPr>
            <w:r w:rsidRPr="001C2DF4">
              <w:t>5.6</w:t>
            </w:r>
          </w:p>
        </w:tc>
      </w:tr>
      <w:tr w:rsidR="009D0006" w:rsidRPr="001C2DF4" w14:paraId="0A4BE29A"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38D611F" w14:textId="77777777" w:rsidR="009D0006" w:rsidRPr="001C2DF4" w:rsidRDefault="009D0006" w:rsidP="00736415">
            <w:pPr>
              <w:pStyle w:val="Tabletext"/>
              <w:rPr>
                <w:lang w:val="en-US"/>
              </w:rPr>
            </w:pPr>
            <w:r w:rsidRPr="001C2DF4">
              <w:rPr>
                <w:lang w:val="en-US"/>
              </w:rPr>
              <w:t>Tasmania</w:t>
            </w:r>
          </w:p>
        </w:tc>
        <w:tc>
          <w:tcPr>
            <w:tcW w:w="1559" w:type="dxa"/>
            <w:noWrap/>
          </w:tcPr>
          <w:p w14:paraId="61D39A4E" w14:textId="77777777" w:rsidR="009D0006" w:rsidRPr="001C2DF4" w:rsidRDefault="009D0006" w:rsidP="00736415">
            <w:pPr>
              <w:pStyle w:val="Tabletext"/>
              <w:rPr>
                <w:lang w:val="en-US"/>
              </w:rPr>
            </w:pPr>
            <w:r w:rsidRPr="001C2DF4">
              <w:t>81</w:t>
            </w:r>
          </w:p>
        </w:tc>
        <w:tc>
          <w:tcPr>
            <w:tcW w:w="1559" w:type="dxa"/>
            <w:noWrap/>
          </w:tcPr>
          <w:p w14:paraId="0DD39D72" w14:textId="77777777" w:rsidR="009D0006" w:rsidRPr="001C2DF4" w:rsidRDefault="009D0006" w:rsidP="00736415">
            <w:pPr>
              <w:pStyle w:val="Tabletext"/>
              <w:rPr>
                <w:lang w:val="en-US"/>
              </w:rPr>
            </w:pPr>
            <w:r w:rsidRPr="001C2DF4">
              <w:t>3.2</w:t>
            </w:r>
          </w:p>
        </w:tc>
      </w:tr>
      <w:tr w:rsidR="009D0006" w:rsidRPr="001C2DF4" w14:paraId="5E490120"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C40ECAA" w14:textId="77777777" w:rsidR="009D0006" w:rsidRPr="001C2DF4" w:rsidRDefault="009D0006" w:rsidP="00736415">
            <w:pPr>
              <w:pStyle w:val="Tabletext"/>
              <w:rPr>
                <w:lang w:val="en-US"/>
              </w:rPr>
            </w:pPr>
            <w:r w:rsidRPr="001C2DF4">
              <w:rPr>
                <w:lang w:val="en-US"/>
              </w:rPr>
              <w:t>Northern Territory</w:t>
            </w:r>
          </w:p>
        </w:tc>
        <w:tc>
          <w:tcPr>
            <w:tcW w:w="1559" w:type="dxa"/>
            <w:noWrap/>
          </w:tcPr>
          <w:p w14:paraId="01C3EA83" w14:textId="77777777" w:rsidR="009D0006" w:rsidRPr="001C2DF4" w:rsidRDefault="009D0006" w:rsidP="00736415">
            <w:pPr>
              <w:pStyle w:val="Tabletext"/>
              <w:rPr>
                <w:lang w:val="en-US"/>
              </w:rPr>
            </w:pPr>
            <w:r w:rsidRPr="001C2DF4">
              <w:t>13</w:t>
            </w:r>
          </w:p>
        </w:tc>
        <w:tc>
          <w:tcPr>
            <w:tcW w:w="1559" w:type="dxa"/>
            <w:noWrap/>
          </w:tcPr>
          <w:p w14:paraId="54085245" w14:textId="77777777" w:rsidR="009D0006" w:rsidRPr="001C2DF4" w:rsidRDefault="009D0006" w:rsidP="00736415">
            <w:pPr>
              <w:pStyle w:val="Tabletext"/>
              <w:rPr>
                <w:lang w:val="en-US"/>
              </w:rPr>
            </w:pPr>
            <w:r w:rsidRPr="001C2DF4">
              <w:t>0.5</w:t>
            </w:r>
          </w:p>
        </w:tc>
      </w:tr>
    </w:tbl>
    <w:p w14:paraId="3DBDA241" w14:textId="77777777" w:rsidR="009D0006" w:rsidRPr="00692BC1" w:rsidRDefault="009D0006" w:rsidP="00FE2582">
      <w:pPr>
        <w:spacing w:before="360"/>
        <w:rPr>
          <w:lang w:val="en-GB"/>
        </w:rPr>
      </w:pPr>
      <w:r>
        <w:rPr>
          <w:lang w:val="en-GB"/>
        </w:rPr>
        <w:t>As displayed in Table 5</w:t>
      </w:r>
      <w:r w:rsidRPr="00692BC1">
        <w:rPr>
          <w:lang w:val="en-GB"/>
        </w:rPr>
        <w:t xml:space="preserve">, three-tenths (29.6%; n = 740) of participants </w:t>
      </w:r>
      <w:r>
        <w:rPr>
          <w:lang w:val="en-GB"/>
        </w:rPr>
        <w:t xml:space="preserve">in </w:t>
      </w:r>
      <w:r w:rsidRPr="00F777F8">
        <w:rPr>
          <w:i/>
          <w:iCs/>
          <w:lang w:val="en-GB"/>
        </w:rPr>
        <w:t>Writing Themselves In 4</w:t>
      </w:r>
      <w:r w:rsidRPr="00692BC1">
        <w:rPr>
          <w:lang w:val="en-GB"/>
        </w:rPr>
        <w:t xml:space="preserve"> reported residing in Victoria, followed by 24.9% (n = 623) in New South Wales, 15.5% (n = 388) in Queensland, 11.2% (n = 279) in Western Australia, 9.5% (n = 237) in South Australia, 5.6% (n = 139) in the Australian Capital Territory, 3.2% (n = 81) in Tasmania and 0.5% (n = 13) in the Northern Territory. </w:t>
      </w:r>
    </w:p>
    <w:p w14:paraId="2F065F65" w14:textId="1DD393C0" w:rsidR="009D0006" w:rsidRPr="002306D8" w:rsidRDefault="009D0006" w:rsidP="00153892">
      <w:pPr>
        <w:pStyle w:val="Heading3Numbered"/>
      </w:pPr>
      <w:bookmarkStart w:id="212" w:name="_Toc115968510"/>
      <w:r w:rsidRPr="002306D8">
        <w:t>State or territory of residence – adults aged 18+ years</w:t>
      </w:r>
      <w:bookmarkEnd w:id="212"/>
    </w:p>
    <w:p w14:paraId="22867FFB" w14:textId="60C31AD7" w:rsidR="000067D6" w:rsidRDefault="009D0006" w:rsidP="009D0006">
      <w:r w:rsidRPr="00692BC1">
        <w:t>Overall, there were 2629 complete and valid responses to the survey by participants with disability</w:t>
      </w:r>
      <w:r>
        <w:t xml:space="preserve"> </w:t>
      </w:r>
      <w:r w:rsidRPr="00692BC1">
        <w:t xml:space="preserve">aged </w:t>
      </w:r>
      <w:r>
        <w:t>18+</w:t>
      </w:r>
      <w:r w:rsidRPr="00692BC1">
        <w:t xml:space="preserve"> years </w:t>
      </w:r>
      <w:r>
        <w:t xml:space="preserve">in </w:t>
      </w:r>
      <w:r w:rsidRPr="00316F8B">
        <w:rPr>
          <w:i/>
          <w:iCs/>
        </w:rPr>
        <w:t>Private Lives 3</w:t>
      </w:r>
      <w:r w:rsidRPr="00692BC1">
        <w:t xml:space="preserve">. Table </w:t>
      </w:r>
      <w:r>
        <w:t>6</w:t>
      </w:r>
      <w:r w:rsidRPr="00692BC1">
        <w:t xml:space="preserve"> displays the numbers and percentages of participants </w:t>
      </w:r>
      <w:r>
        <w:t xml:space="preserve">with disability who were </w:t>
      </w:r>
      <w:r w:rsidRPr="00692BC1">
        <w:t>residing in each state or territory.</w:t>
      </w:r>
    </w:p>
    <w:p w14:paraId="37E993FB" w14:textId="77777777" w:rsidR="000067D6" w:rsidRDefault="000067D6">
      <w:pPr>
        <w:spacing w:before="0"/>
      </w:pPr>
      <w:r>
        <w:br w:type="page"/>
      </w:r>
    </w:p>
    <w:p w14:paraId="1CE8954E" w14:textId="77777777" w:rsidR="009D0006" w:rsidRPr="00B553DB" w:rsidRDefault="009D0006" w:rsidP="00153892">
      <w:pPr>
        <w:pStyle w:val="Tableheading"/>
      </w:pPr>
      <w:bookmarkStart w:id="213" w:name="_Toc117062724"/>
      <w:bookmarkStart w:id="214" w:name="_Toc119651409"/>
      <w:r w:rsidRPr="00B553DB">
        <w:lastRenderedPageBreak/>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B553DB">
        <w:t xml:space="preserve">: Distribution by state and territory </w:t>
      </w:r>
      <w:r>
        <w:t>of adults with disability aged 18+ years</w:t>
      </w:r>
      <w:r w:rsidRPr="00B553DB">
        <w:t xml:space="preserve"> (n = 2628)</w:t>
      </w:r>
      <w:bookmarkEnd w:id="213"/>
      <w:bookmarkEnd w:id="214"/>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025D775B"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1B49200" w14:textId="77777777" w:rsidR="009D0006" w:rsidRPr="001C2DF4" w:rsidRDefault="009D0006" w:rsidP="00736415">
            <w:pPr>
              <w:pStyle w:val="Tableheader"/>
              <w:rPr>
                <w:lang w:val="en-US"/>
              </w:rPr>
            </w:pPr>
            <w:r w:rsidRPr="001C2DF4">
              <w:t>State or territory</w:t>
            </w:r>
          </w:p>
        </w:tc>
        <w:tc>
          <w:tcPr>
            <w:tcW w:w="1559" w:type="dxa"/>
            <w:noWrap/>
            <w:hideMark/>
          </w:tcPr>
          <w:p w14:paraId="2751DA7A" w14:textId="77777777" w:rsidR="009D0006" w:rsidRPr="001C2DF4" w:rsidRDefault="009D0006" w:rsidP="00736415">
            <w:pPr>
              <w:pStyle w:val="Tableheader"/>
              <w:rPr>
                <w:lang w:val="en-US"/>
              </w:rPr>
            </w:pPr>
            <w:r>
              <w:t>n</w:t>
            </w:r>
          </w:p>
        </w:tc>
        <w:tc>
          <w:tcPr>
            <w:tcW w:w="1559" w:type="dxa"/>
            <w:noWrap/>
            <w:hideMark/>
          </w:tcPr>
          <w:p w14:paraId="0A3730F2" w14:textId="77777777" w:rsidR="009D0006" w:rsidRPr="001C2DF4" w:rsidRDefault="009D0006" w:rsidP="00736415">
            <w:pPr>
              <w:pStyle w:val="Tableheader"/>
              <w:rPr>
                <w:lang w:val="en-US"/>
              </w:rPr>
            </w:pPr>
            <w:r w:rsidRPr="001C2DF4">
              <w:t>%</w:t>
            </w:r>
          </w:p>
        </w:tc>
      </w:tr>
      <w:tr w:rsidR="009D0006" w:rsidRPr="001C2DF4" w14:paraId="28F49D3C"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6B87D74" w14:textId="77777777" w:rsidR="009D0006" w:rsidRPr="001C2DF4" w:rsidRDefault="009D0006" w:rsidP="00736415">
            <w:pPr>
              <w:pStyle w:val="Tabletext"/>
              <w:rPr>
                <w:lang w:val="en-US"/>
              </w:rPr>
            </w:pPr>
            <w:r w:rsidRPr="001C2DF4">
              <w:rPr>
                <w:lang w:val="en-US"/>
              </w:rPr>
              <w:t>Victoria</w:t>
            </w:r>
          </w:p>
        </w:tc>
        <w:tc>
          <w:tcPr>
            <w:tcW w:w="1559" w:type="dxa"/>
            <w:noWrap/>
          </w:tcPr>
          <w:p w14:paraId="7EB1A919" w14:textId="77777777" w:rsidR="009D0006" w:rsidRPr="001C2DF4" w:rsidRDefault="009D0006" w:rsidP="00736415">
            <w:pPr>
              <w:pStyle w:val="Tabletext"/>
              <w:rPr>
                <w:lang w:val="en-US"/>
              </w:rPr>
            </w:pPr>
            <w:r w:rsidRPr="001C2DF4">
              <w:t>890</w:t>
            </w:r>
          </w:p>
        </w:tc>
        <w:tc>
          <w:tcPr>
            <w:tcW w:w="1559" w:type="dxa"/>
            <w:noWrap/>
          </w:tcPr>
          <w:p w14:paraId="00B132C0" w14:textId="77777777" w:rsidR="009D0006" w:rsidRPr="001C2DF4" w:rsidRDefault="009D0006" w:rsidP="00736415">
            <w:pPr>
              <w:pStyle w:val="Tabletext"/>
              <w:rPr>
                <w:lang w:val="en-US"/>
              </w:rPr>
            </w:pPr>
            <w:r w:rsidRPr="001C2DF4">
              <w:t>33.9</w:t>
            </w:r>
          </w:p>
        </w:tc>
      </w:tr>
      <w:tr w:rsidR="009D0006" w:rsidRPr="001C2DF4" w14:paraId="7EF087AE"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B40C417" w14:textId="77777777" w:rsidR="009D0006" w:rsidRPr="001C2DF4" w:rsidRDefault="009D0006" w:rsidP="00736415">
            <w:pPr>
              <w:pStyle w:val="Tabletext"/>
              <w:rPr>
                <w:lang w:val="en-US"/>
              </w:rPr>
            </w:pPr>
            <w:r w:rsidRPr="001C2DF4">
              <w:rPr>
                <w:lang w:val="en-US"/>
              </w:rPr>
              <w:t>New South Wales</w:t>
            </w:r>
          </w:p>
        </w:tc>
        <w:tc>
          <w:tcPr>
            <w:tcW w:w="1559" w:type="dxa"/>
            <w:noWrap/>
          </w:tcPr>
          <w:p w14:paraId="0EAF7BAA" w14:textId="77777777" w:rsidR="009D0006" w:rsidRPr="001C2DF4" w:rsidRDefault="009D0006" w:rsidP="00736415">
            <w:pPr>
              <w:pStyle w:val="Tabletext"/>
              <w:rPr>
                <w:lang w:val="en-US"/>
              </w:rPr>
            </w:pPr>
            <w:r w:rsidRPr="001C2DF4">
              <w:t>621</w:t>
            </w:r>
          </w:p>
        </w:tc>
        <w:tc>
          <w:tcPr>
            <w:tcW w:w="1559" w:type="dxa"/>
            <w:noWrap/>
          </w:tcPr>
          <w:p w14:paraId="7D27E7B2" w14:textId="77777777" w:rsidR="009D0006" w:rsidRPr="001C2DF4" w:rsidRDefault="009D0006" w:rsidP="00736415">
            <w:pPr>
              <w:pStyle w:val="Tabletext"/>
              <w:rPr>
                <w:lang w:val="en-US"/>
              </w:rPr>
            </w:pPr>
            <w:r w:rsidRPr="001C2DF4">
              <w:t>23.6</w:t>
            </w:r>
          </w:p>
        </w:tc>
      </w:tr>
      <w:tr w:rsidR="009D0006" w:rsidRPr="001C2DF4" w14:paraId="247A7F34"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C920D54" w14:textId="77777777" w:rsidR="009D0006" w:rsidRPr="001C2DF4" w:rsidRDefault="009D0006" w:rsidP="00736415">
            <w:pPr>
              <w:pStyle w:val="Tabletext"/>
              <w:rPr>
                <w:lang w:val="en-US"/>
              </w:rPr>
            </w:pPr>
            <w:r w:rsidRPr="001C2DF4">
              <w:rPr>
                <w:lang w:val="en-US"/>
              </w:rPr>
              <w:t>Queensland</w:t>
            </w:r>
          </w:p>
        </w:tc>
        <w:tc>
          <w:tcPr>
            <w:tcW w:w="1559" w:type="dxa"/>
            <w:noWrap/>
          </w:tcPr>
          <w:p w14:paraId="3A1637BE" w14:textId="77777777" w:rsidR="009D0006" w:rsidRPr="001C2DF4" w:rsidRDefault="009D0006" w:rsidP="00736415">
            <w:pPr>
              <w:pStyle w:val="Tabletext"/>
              <w:rPr>
                <w:lang w:val="en-US"/>
              </w:rPr>
            </w:pPr>
            <w:r w:rsidRPr="001C2DF4">
              <w:t>476</w:t>
            </w:r>
          </w:p>
        </w:tc>
        <w:tc>
          <w:tcPr>
            <w:tcW w:w="1559" w:type="dxa"/>
            <w:noWrap/>
          </w:tcPr>
          <w:p w14:paraId="016540FB" w14:textId="77777777" w:rsidR="009D0006" w:rsidRPr="001C2DF4" w:rsidRDefault="009D0006" w:rsidP="00736415">
            <w:pPr>
              <w:pStyle w:val="Tabletext"/>
              <w:rPr>
                <w:lang w:val="en-US"/>
              </w:rPr>
            </w:pPr>
            <w:r w:rsidRPr="001C2DF4">
              <w:t>18.1</w:t>
            </w:r>
          </w:p>
        </w:tc>
      </w:tr>
      <w:tr w:rsidR="009D0006" w:rsidRPr="001C2DF4" w14:paraId="110CE0F4"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0A6EB334" w14:textId="77777777" w:rsidR="009D0006" w:rsidRPr="001C2DF4" w:rsidRDefault="009D0006" w:rsidP="00736415">
            <w:pPr>
              <w:pStyle w:val="Tabletext"/>
              <w:rPr>
                <w:lang w:val="en-US"/>
              </w:rPr>
            </w:pPr>
            <w:r w:rsidRPr="001C2DF4">
              <w:rPr>
                <w:lang w:val="en-US"/>
              </w:rPr>
              <w:t>Western Australia</w:t>
            </w:r>
          </w:p>
        </w:tc>
        <w:tc>
          <w:tcPr>
            <w:tcW w:w="1559" w:type="dxa"/>
            <w:noWrap/>
          </w:tcPr>
          <w:p w14:paraId="53DD918B" w14:textId="77777777" w:rsidR="009D0006" w:rsidRPr="001C2DF4" w:rsidRDefault="009D0006" w:rsidP="00736415">
            <w:pPr>
              <w:pStyle w:val="Tabletext"/>
              <w:rPr>
                <w:lang w:val="en-US"/>
              </w:rPr>
            </w:pPr>
            <w:r w:rsidRPr="001C2DF4">
              <w:t>247</w:t>
            </w:r>
          </w:p>
        </w:tc>
        <w:tc>
          <w:tcPr>
            <w:tcW w:w="1559" w:type="dxa"/>
            <w:noWrap/>
          </w:tcPr>
          <w:p w14:paraId="762553CD" w14:textId="77777777" w:rsidR="009D0006" w:rsidRPr="001C2DF4" w:rsidRDefault="009D0006" w:rsidP="00736415">
            <w:pPr>
              <w:pStyle w:val="Tabletext"/>
              <w:rPr>
                <w:lang w:val="en-US"/>
              </w:rPr>
            </w:pPr>
            <w:r w:rsidRPr="001C2DF4">
              <w:t>9.4</w:t>
            </w:r>
          </w:p>
        </w:tc>
      </w:tr>
      <w:tr w:rsidR="009D0006" w:rsidRPr="001C2DF4" w14:paraId="2EA3D336"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61E9F52" w14:textId="77777777" w:rsidR="009D0006" w:rsidRPr="001C2DF4" w:rsidRDefault="009D0006" w:rsidP="00736415">
            <w:pPr>
              <w:pStyle w:val="Tabletext"/>
              <w:rPr>
                <w:lang w:val="en-US"/>
              </w:rPr>
            </w:pPr>
            <w:r w:rsidRPr="001C2DF4">
              <w:rPr>
                <w:lang w:val="en-US"/>
              </w:rPr>
              <w:t>South Australia</w:t>
            </w:r>
          </w:p>
        </w:tc>
        <w:tc>
          <w:tcPr>
            <w:tcW w:w="1559" w:type="dxa"/>
            <w:noWrap/>
          </w:tcPr>
          <w:p w14:paraId="4FD2ECD9" w14:textId="77777777" w:rsidR="009D0006" w:rsidRPr="001C2DF4" w:rsidRDefault="009D0006" w:rsidP="00736415">
            <w:pPr>
              <w:pStyle w:val="Tabletext"/>
              <w:rPr>
                <w:lang w:val="en-US"/>
              </w:rPr>
            </w:pPr>
            <w:r w:rsidRPr="001C2DF4">
              <w:t>186</w:t>
            </w:r>
          </w:p>
        </w:tc>
        <w:tc>
          <w:tcPr>
            <w:tcW w:w="1559" w:type="dxa"/>
            <w:noWrap/>
          </w:tcPr>
          <w:p w14:paraId="69D5156D" w14:textId="77777777" w:rsidR="009D0006" w:rsidRPr="001C2DF4" w:rsidRDefault="009D0006" w:rsidP="00736415">
            <w:pPr>
              <w:pStyle w:val="Tabletext"/>
              <w:rPr>
                <w:lang w:val="en-US"/>
              </w:rPr>
            </w:pPr>
            <w:r w:rsidRPr="001C2DF4">
              <w:t>7.1</w:t>
            </w:r>
          </w:p>
        </w:tc>
      </w:tr>
      <w:tr w:rsidR="009D0006" w:rsidRPr="001C2DF4" w14:paraId="582DAAC9"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DEA8593" w14:textId="77777777" w:rsidR="009D0006" w:rsidRPr="001C2DF4" w:rsidRDefault="009D0006" w:rsidP="00736415">
            <w:pPr>
              <w:pStyle w:val="Tabletext"/>
              <w:rPr>
                <w:lang w:val="en-US"/>
              </w:rPr>
            </w:pPr>
            <w:r w:rsidRPr="001C2DF4">
              <w:rPr>
                <w:lang w:val="en-US"/>
              </w:rPr>
              <w:t>Australian Capital Territory</w:t>
            </w:r>
          </w:p>
        </w:tc>
        <w:tc>
          <w:tcPr>
            <w:tcW w:w="1559" w:type="dxa"/>
            <w:noWrap/>
          </w:tcPr>
          <w:p w14:paraId="091332C5" w14:textId="77777777" w:rsidR="009D0006" w:rsidRPr="001C2DF4" w:rsidRDefault="009D0006" w:rsidP="00736415">
            <w:pPr>
              <w:pStyle w:val="Tabletext"/>
              <w:rPr>
                <w:lang w:val="en-US"/>
              </w:rPr>
            </w:pPr>
            <w:r w:rsidRPr="001C2DF4">
              <w:t>120</w:t>
            </w:r>
          </w:p>
        </w:tc>
        <w:tc>
          <w:tcPr>
            <w:tcW w:w="1559" w:type="dxa"/>
            <w:noWrap/>
          </w:tcPr>
          <w:p w14:paraId="408F654A" w14:textId="77777777" w:rsidR="009D0006" w:rsidRPr="001C2DF4" w:rsidRDefault="009D0006" w:rsidP="00736415">
            <w:pPr>
              <w:pStyle w:val="Tabletext"/>
              <w:rPr>
                <w:lang w:val="en-US"/>
              </w:rPr>
            </w:pPr>
            <w:r w:rsidRPr="001C2DF4">
              <w:t>4.6</w:t>
            </w:r>
          </w:p>
        </w:tc>
      </w:tr>
      <w:tr w:rsidR="009D0006" w:rsidRPr="001C2DF4" w14:paraId="07525120"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AFDD83A" w14:textId="77777777" w:rsidR="009D0006" w:rsidRPr="001C2DF4" w:rsidRDefault="009D0006" w:rsidP="00736415">
            <w:pPr>
              <w:pStyle w:val="Tabletext"/>
              <w:rPr>
                <w:lang w:val="en-US"/>
              </w:rPr>
            </w:pPr>
            <w:r w:rsidRPr="001C2DF4">
              <w:rPr>
                <w:lang w:val="en-US"/>
              </w:rPr>
              <w:t>Tasmania</w:t>
            </w:r>
          </w:p>
        </w:tc>
        <w:tc>
          <w:tcPr>
            <w:tcW w:w="1559" w:type="dxa"/>
            <w:noWrap/>
          </w:tcPr>
          <w:p w14:paraId="275D28E6" w14:textId="77777777" w:rsidR="009D0006" w:rsidRPr="001C2DF4" w:rsidRDefault="009D0006" w:rsidP="00736415">
            <w:pPr>
              <w:pStyle w:val="Tabletext"/>
              <w:rPr>
                <w:lang w:val="en-US"/>
              </w:rPr>
            </w:pPr>
            <w:r w:rsidRPr="001C2DF4">
              <w:t>81</w:t>
            </w:r>
          </w:p>
        </w:tc>
        <w:tc>
          <w:tcPr>
            <w:tcW w:w="1559" w:type="dxa"/>
            <w:noWrap/>
          </w:tcPr>
          <w:p w14:paraId="3BF6D4E6" w14:textId="77777777" w:rsidR="009D0006" w:rsidRPr="001C2DF4" w:rsidRDefault="009D0006" w:rsidP="00736415">
            <w:pPr>
              <w:pStyle w:val="Tabletext"/>
              <w:rPr>
                <w:lang w:val="en-US"/>
              </w:rPr>
            </w:pPr>
            <w:r w:rsidRPr="001C2DF4">
              <w:t>3.1</w:t>
            </w:r>
          </w:p>
        </w:tc>
      </w:tr>
      <w:tr w:rsidR="009D0006" w:rsidRPr="001C2DF4" w14:paraId="1837B520"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BFEFCBB" w14:textId="77777777" w:rsidR="009D0006" w:rsidRPr="001C2DF4" w:rsidRDefault="009D0006" w:rsidP="00736415">
            <w:pPr>
              <w:pStyle w:val="Tabletext"/>
              <w:rPr>
                <w:lang w:val="en-US"/>
              </w:rPr>
            </w:pPr>
            <w:r w:rsidRPr="001C2DF4">
              <w:rPr>
                <w:lang w:val="en-US"/>
              </w:rPr>
              <w:t>Northern Territory</w:t>
            </w:r>
          </w:p>
        </w:tc>
        <w:tc>
          <w:tcPr>
            <w:tcW w:w="1559" w:type="dxa"/>
            <w:noWrap/>
          </w:tcPr>
          <w:p w14:paraId="00329669" w14:textId="77777777" w:rsidR="009D0006" w:rsidRPr="001C2DF4" w:rsidRDefault="009D0006" w:rsidP="00736415">
            <w:pPr>
              <w:pStyle w:val="Tabletext"/>
              <w:rPr>
                <w:lang w:val="en-US"/>
              </w:rPr>
            </w:pPr>
            <w:r w:rsidRPr="001C2DF4">
              <w:t>7</w:t>
            </w:r>
          </w:p>
        </w:tc>
        <w:tc>
          <w:tcPr>
            <w:tcW w:w="1559" w:type="dxa"/>
            <w:noWrap/>
          </w:tcPr>
          <w:p w14:paraId="2FC0F304" w14:textId="77777777" w:rsidR="009D0006" w:rsidRPr="001C2DF4" w:rsidRDefault="009D0006" w:rsidP="00736415">
            <w:pPr>
              <w:pStyle w:val="Tabletext"/>
              <w:rPr>
                <w:lang w:val="en-US"/>
              </w:rPr>
            </w:pPr>
            <w:r w:rsidRPr="001C2DF4">
              <w:t>0.3</w:t>
            </w:r>
          </w:p>
        </w:tc>
      </w:tr>
    </w:tbl>
    <w:p w14:paraId="3C418D7A" w14:textId="77777777" w:rsidR="009D0006" w:rsidRPr="001C2DF4" w:rsidRDefault="009D0006" w:rsidP="00FE2582">
      <w:pPr>
        <w:spacing w:before="360"/>
      </w:pPr>
      <w:r w:rsidRPr="001C2DF4">
        <w:t xml:space="preserve">As displayed in Table </w:t>
      </w:r>
      <w:r>
        <w:t>6</w:t>
      </w:r>
      <w:r w:rsidRPr="001C2DF4">
        <w:t xml:space="preserve">, one-third (33.9%; n = 890) of participants </w:t>
      </w:r>
      <w:r>
        <w:t xml:space="preserve">with disability in </w:t>
      </w:r>
      <w:r w:rsidRPr="00F777F8">
        <w:rPr>
          <w:i/>
          <w:iCs/>
        </w:rPr>
        <w:t>Private Lives 3</w:t>
      </w:r>
      <w:r>
        <w:t xml:space="preserve"> </w:t>
      </w:r>
      <w:r w:rsidRPr="001C2DF4">
        <w:t>reported residing in Victoria, followed by 23.6% (n = 621) in New South Wales, 18.1% (n = 476) in Queensland, 9.4% (n = 247) in Western Australia, 7.1% (n = 186) in South Australia, 4.6% (n = 120) in the Australian Capital Territory, 3.1% (n = 81) in Tasmania and 0.3% (n = 7) in the Northern Territory.</w:t>
      </w:r>
    </w:p>
    <w:p w14:paraId="39DD4415" w14:textId="433CF164" w:rsidR="009D0006" w:rsidRPr="00692BC1" w:rsidRDefault="009D0006" w:rsidP="00153892">
      <w:pPr>
        <w:pStyle w:val="Heading2Numbered"/>
      </w:pPr>
      <w:bookmarkStart w:id="215" w:name="_Toc58252049"/>
      <w:bookmarkStart w:id="216" w:name="_Toc115968511"/>
      <w:bookmarkStart w:id="217" w:name="_Toc119662403"/>
      <w:r w:rsidRPr="00692BC1">
        <w:t>Age of participants</w:t>
      </w:r>
      <w:bookmarkEnd w:id="197"/>
      <w:bookmarkEnd w:id="198"/>
      <w:bookmarkEnd w:id="215"/>
      <w:bookmarkEnd w:id="216"/>
      <w:bookmarkEnd w:id="217"/>
    </w:p>
    <w:p w14:paraId="7889AD65" w14:textId="48D05C06" w:rsidR="009D0006" w:rsidRPr="002306D8" w:rsidRDefault="009D0006" w:rsidP="00153892">
      <w:pPr>
        <w:pStyle w:val="Heading3Numbered"/>
      </w:pPr>
      <w:bookmarkStart w:id="218" w:name="_Toc115968512"/>
      <w:r>
        <w:t>Age</w:t>
      </w:r>
      <w:r w:rsidRPr="002306D8">
        <w:t xml:space="preserve"> – young people aged 14-21 years</w:t>
      </w:r>
      <w:bookmarkEnd w:id="218"/>
    </w:p>
    <w:p w14:paraId="54CDFEBD" w14:textId="6429302C" w:rsidR="009D0006" w:rsidRPr="00B553DB" w:rsidRDefault="009D0006" w:rsidP="00153892">
      <w:pPr>
        <w:pStyle w:val="Tableheading"/>
      </w:pPr>
      <w:bookmarkStart w:id="219" w:name="_Toc48137898"/>
      <w:bookmarkStart w:id="220" w:name="_Toc117062725"/>
      <w:bookmarkStart w:id="221" w:name="_Toc119651410"/>
      <w:r w:rsidRPr="00B553DB">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rsidRPr="00B553DB">
        <w:t xml:space="preserve">: Distribution </w:t>
      </w:r>
      <w:bookmarkEnd w:id="219"/>
      <w:r>
        <w:t xml:space="preserve">by age of young people </w:t>
      </w:r>
      <w:r w:rsidRPr="00B553DB">
        <w:t>with disability (n = 2500)</w:t>
      </w:r>
      <w:bookmarkEnd w:id="220"/>
      <w:bookmarkEnd w:id="221"/>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23245FE2" w14:textId="77777777" w:rsidTr="00736415">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7DB28D05" w14:textId="77777777" w:rsidR="009D0006" w:rsidRPr="001C2DF4" w:rsidRDefault="009D0006" w:rsidP="00736415">
            <w:pPr>
              <w:pStyle w:val="Tableheader"/>
              <w:rPr>
                <w:lang w:val="en-US"/>
              </w:rPr>
            </w:pPr>
            <w:r w:rsidRPr="001C2DF4">
              <w:t>Age</w:t>
            </w:r>
          </w:p>
        </w:tc>
        <w:tc>
          <w:tcPr>
            <w:tcW w:w="1559" w:type="dxa"/>
            <w:noWrap/>
            <w:hideMark/>
          </w:tcPr>
          <w:p w14:paraId="45D8FC64" w14:textId="77777777" w:rsidR="009D0006" w:rsidRPr="001C2DF4" w:rsidRDefault="009D0006" w:rsidP="00736415">
            <w:pPr>
              <w:pStyle w:val="Tableheader"/>
              <w:rPr>
                <w:lang w:val="en-US"/>
              </w:rPr>
            </w:pPr>
            <w:r>
              <w:t>n</w:t>
            </w:r>
          </w:p>
        </w:tc>
        <w:tc>
          <w:tcPr>
            <w:tcW w:w="1559" w:type="dxa"/>
            <w:noWrap/>
            <w:hideMark/>
          </w:tcPr>
          <w:p w14:paraId="305760AB" w14:textId="77777777" w:rsidR="009D0006" w:rsidRPr="001C2DF4" w:rsidRDefault="009D0006" w:rsidP="00736415">
            <w:pPr>
              <w:pStyle w:val="Tableheader"/>
              <w:rPr>
                <w:lang w:val="en-US"/>
              </w:rPr>
            </w:pPr>
            <w:r w:rsidRPr="001C2DF4">
              <w:t>%</w:t>
            </w:r>
          </w:p>
        </w:tc>
      </w:tr>
      <w:tr w:rsidR="009D0006" w:rsidRPr="001C2DF4" w14:paraId="469630AF"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57F19D3" w14:textId="77777777" w:rsidR="009D0006" w:rsidRPr="001C2DF4" w:rsidRDefault="009D0006" w:rsidP="00736415">
            <w:pPr>
              <w:pStyle w:val="Tabletext"/>
              <w:rPr>
                <w:lang w:val="en-US"/>
              </w:rPr>
            </w:pPr>
            <w:r w:rsidRPr="001C2DF4">
              <w:rPr>
                <w:lang w:val="en-US"/>
              </w:rPr>
              <w:t>14</w:t>
            </w:r>
          </w:p>
        </w:tc>
        <w:tc>
          <w:tcPr>
            <w:tcW w:w="1559" w:type="dxa"/>
            <w:noWrap/>
          </w:tcPr>
          <w:p w14:paraId="380E7A63" w14:textId="77777777" w:rsidR="009D0006" w:rsidRPr="001C2DF4" w:rsidRDefault="009D0006" w:rsidP="00736415">
            <w:pPr>
              <w:pStyle w:val="Tabletext"/>
              <w:rPr>
                <w:lang w:val="en-US"/>
              </w:rPr>
            </w:pPr>
            <w:r w:rsidRPr="001C2DF4">
              <w:t>174</w:t>
            </w:r>
          </w:p>
        </w:tc>
        <w:tc>
          <w:tcPr>
            <w:tcW w:w="1559" w:type="dxa"/>
            <w:noWrap/>
          </w:tcPr>
          <w:p w14:paraId="1E79ED6D" w14:textId="77777777" w:rsidR="009D0006" w:rsidRPr="001C2DF4" w:rsidRDefault="009D0006" w:rsidP="00736415">
            <w:pPr>
              <w:pStyle w:val="Tabletext"/>
              <w:rPr>
                <w:lang w:val="en-US"/>
              </w:rPr>
            </w:pPr>
            <w:r w:rsidRPr="001C2DF4">
              <w:t>7.0</w:t>
            </w:r>
          </w:p>
        </w:tc>
      </w:tr>
      <w:tr w:rsidR="009D0006" w:rsidRPr="001C2DF4" w14:paraId="48FFD22A"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AD68B5C" w14:textId="77777777" w:rsidR="009D0006" w:rsidRPr="001C2DF4" w:rsidRDefault="009D0006" w:rsidP="00736415">
            <w:pPr>
              <w:pStyle w:val="Tabletext"/>
              <w:rPr>
                <w:lang w:val="en-US"/>
              </w:rPr>
            </w:pPr>
            <w:r w:rsidRPr="001C2DF4">
              <w:rPr>
                <w:lang w:val="en-US"/>
              </w:rPr>
              <w:t>15</w:t>
            </w:r>
          </w:p>
        </w:tc>
        <w:tc>
          <w:tcPr>
            <w:tcW w:w="1559" w:type="dxa"/>
            <w:noWrap/>
          </w:tcPr>
          <w:p w14:paraId="63ACFD78" w14:textId="77777777" w:rsidR="009D0006" w:rsidRPr="001C2DF4" w:rsidRDefault="009D0006" w:rsidP="00736415">
            <w:pPr>
              <w:pStyle w:val="Tabletext"/>
              <w:rPr>
                <w:lang w:val="en-US"/>
              </w:rPr>
            </w:pPr>
            <w:r w:rsidRPr="001C2DF4">
              <w:t>234</w:t>
            </w:r>
          </w:p>
        </w:tc>
        <w:tc>
          <w:tcPr>
            <w:tcW w:w="1559" w:type="dxa"/>
            <w:noWrap/>
          </w:tcPr>
          <w:p w14:paraId="7E84D582" w14:textId="77777777" w:rsidR="009D0006" w:rsidRPr="001C2DF4" w:rsidRDefault="009D0006" w:rsidP="00736415">
            <w:pPr>
              <w:pStyle w:val="Tabletext"/>
              <w:rPr>
                <w:lang w:val="en-US"/>
              </w:rPr>
            </w:pPr>
            <w:r w:rsidRPr="001C2DF4">
              <w:t>9.4</w:t>
            </w:r>
          </w:p>
        </w:tc>
      </w:tr>
      <w:tr w:rsidR="009D0006" w:rsidRPr="001C2DF4" w14:paraId="3A2CE55B"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92E6B81" w14:textId="77777777" w:rsidR="009D0006" w:rsidRPr="001C2DF4" w:rsidRDefault="009D0006" w:rsidP="00736415">
            <w:pPr>
              <w:pStyle w:val="Tabletext"/>
              <w:rPr>
                <w:lang w:val="en-US"/>
              </w:rPr>
            </w:pPr>
            <w:r w:rsidRPr="001C2DF4">
              <w:rPr>
                <w:lang w:val="en-US"/>
              </w:rPr>
              <w:t>16</w:t>
            </w:r>
          </w:p>
        </w:tc>
        <w:tc>
          <w:tcPr>
            <w:tcW w:w="1559" w:type="dxa"/>
            <w:noWrap/>
          </w:tcPr>
          <w:p w14:paraId="24DEE9F7" w14:textId="77777777" w:rsidR="009D0006" w:rsidRPr="001C2DF4" w:rsidRDefault="009D0006" w:rsidP="00736415">
            <w:pPr>
              <w:pStyle w:val="Tabletext"/>
              <w:rPr>
                <w:lang w:val="en-US"/>
              </w:rPr>
            </w:pPr>
            <w:r w:rsidRPr="001C2DF4">
              <w:t>418</w:t>
            </w:r>
          </w:p>
        </w:tc>
        <w:tc>
          <w:tcPr>
            <w:tcW w:w="1559" w:type="dxa"/>
            <w:noWrap/>
          </w:tcPr>
          <w:p w14:paraId="16C261C1" w14:textId="77777777" w:rsidR="009D0006" w:rsidRPr="001C2DF4" w:rsidRDefault="009D0006" w:rsidP="00736415">
            <w:pPr>
              <w:pStyle w:val="Tabletext"/>
              <w:rPr>
                <w:lang w:val="en-US"/>
              </w:rPr>
            </w:pPr>
            <w:r w:rsidRPr="001C2DF4">
              <w:t>16.7</w:t>
            </w:r>
          </w:p>
        </w:tc>
      </w:tr>
      <w:tr w:rsidR="009D0006" w:rsidRPr="001C2DF4" w14:paraId="39979526"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767AF65" w14:textId="77777777" w:rsidR="009D0006" w:rsidRPr="001C2DF4" w:rsidRDefault="009D0006" w:rsidP="00736415">
            <w:pPr>
              <w:pStyle w:val="Tabletext"/>
              <w:rPr>
                <w:lang w:val="en-US"/>
              </w:rPr>
            </w:pPr>
            <w:r w:rsidRPr="001C2DF4">
              <w:rPr>
                <w:lang w:val="en-US"/>
              </w:rPr>
              <w:t>17</w:t>
            </w:r>
          </w:p>
        </w:tc>
        <w:tc>
          <w:tcPr>
            <w:tcW w:w="1559" w:type="dxa"/>
            <w:noWrap/>
          </w:tcPr>
          <w:p w14:paraId="0FC09FA5" w14:textId="77777777" w:rsidR="009D0006" w:rsidRPr="001C2DF4" w:rsidRDefault="009D0006" w:rsidP="00736415">
            <w:pPr>
              <w:pStyle w:val="Tabletext"/>
              <w:rPr>
                <w:lang w:val="en-US"/>
              </w:rPr>
            </w:pPr>
            <w:r w:rsidRPr="001C2DF4">
              <w:t>497</w:t>
            </w:r>
          </w:p>
        </w:tc>
        <w:tc>
          <w:tcPr>
            <w:tcW w:w="1559" w:type="dxa"/>
            <w:noWrap/>
          </w:tcPr>
          <w:p w14:paraId="6BB92A45" w14:textId="77777777" w:rsidR="009D0006" w:rsidRPr="001C2DF4" w:rsidRDefault="009D0006" w:rsidP="00736415">
            <w:pPr>
              <w:pStyle w:val="Tabletext"/>
              <w:rPr>
                <w:lang w:val="en-US"/>
              </w:rPr>
            </w:pPr>
            <w:r w:rsidRPr="001C2DF4">
              <w:t>19.9</w:t>
            </w:r>
          </w:p>
        </w:tc>
      </w:tr>
      <w:tr w:rsidR="009D0006" w:rsidRPr="001C2DF4" w14:paraId="7A54EDCF"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741A4DB" w14:textId="77777777" w:rsidR="009D0006" w:rsidRPr="001C2DF4" w:rsidRDefault="009D0006" w:rsidP="00736415">
            <w:pPr>
              <w:pStyle w:val="Tabletext"/>
              <w:rPr>
                <w:lang w:val="en-US"/>
              </w:rPr>
            </w:pPr>
            <w:r w:rsidRPr="001C2DF4">
              <w:rPr>
                <w:lang w:val="en-US"/>
              </w:rPr>
              <w:t>18</w:t>
            </w:r>
          </w:p>
        </w:tc>
        <w:tc>
          <w:tcPr>
            <w:tcW w:w="1559" w:type="dxa"/>
            <w:noWrap/>
          </w:tcPr>
          <w:p w14:paraId="7C5E150F" w14:textId="77777777" w:rsidR="009D0006" w:rsidRPr="001C2DF4" w:rsidRDefault="009D0006" w:rsidP="00736415">
            <w:pPr>
              <w:pStyle w:val="Tabletext"/>
              <w:rPr>
                <w:lang w:val="en-US"/>
              </w:rPr>
            </w:pPr>
            <w:r w:rsidRPr="001C2DF4">
              <w:t>314</w:t>
            </w:r>
          </w:p>
        </w:tc>
        <w:tc>
          <w:tcPr>
            <w:tcW w:w="1559" w:type="dxa"/>
            <w:noWrap/>
          </w:tcPr>
          <w:p w14:paraId="405AE6CC" w14:textId="77777777" w:rsidR="009D0006" w:rsidRPr="001C2DF4" w:rsidRDefault="009D0006" w:rsidP="00736415">
            <w:pPr>
              <w:pStyle w:val="Tabletext"/>
              <w:rPr>
                <w:lang w:val="en-US"/>
              </w:rPr>
            </w:pPr>
            <w:r w:rsidRPr="001C2DF4">
              <w:t>12.6</w:t>
            </w:r>
          </w:p>
        </w:tc>
      </w:tr>
      <w:tr w:rsidR="009D0006" w:rsidRPr="001C2DF4" w14:paraId="7E5CD94E"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73405E7" w14:textId="77777777" w:rsidR="009D0006" w:rsidRPr="001C2DF4" w:rsidRDefault="009D0006" w:rsidP="00736415">
            <w:pPr>
              <w:pStyle w:val="Tabletext"/>
              <w:rPr>
                <w:lang w:val="en-US"/>
              </w:rPr>
            </w:pPr>
            <w:r w:rsidRPr="001C2DF4">
              <w:rPr>
                <w:lang w:val="en-US"/>
              </w:rPr>
              <w:t>19</w:t>
            </w:r>
          </w:p>
        </w:tc>
        <w:tc>
          <w:tcPr>
            <w:tcW w:w="1559" w:type="dxa"/>
            <w:noWrap/>
          </w:tcPr>
          <w:p w14:paraId="11D33162" w14:textId="77777777" w:rsidR="009D0006" w:rsidRPr="001C2DF4" w:rsidRDefault="009D0006" w:rsidP="00736415">
            <w:pPr>
              <w:pStyle w:val="Tabletext"/>
              <w:rPr>
                <w:lang w:val="en-US"/>
              </w:rPr>
            </w:pPr>
            <w:r w:rsidRPr="001C2DF4">
              <w:t>277</w:t>
            </w:r>
          </w:p>
        </w:tc>
        <w:tc>
          <w:tcPr>
            <w:tcW w:w="1559" w:type="dxa"/>
            <w:noWrap/>
          </w:tcPr>
          <w:p w14:paraId="6E1A347F" w14:textId="77777777" w:rsidR="009D0006" w:rsidRPr="001C2DF4" w:rsidRDefault="009D0006" w:rsidP="00736415">
            <w:pPr>
              <w:pStyle w:val="Tabletext"/>
              <w:rPr>
                <w:lang w:val="en-US"/>
              </w:rPr>
            </w:pPr>
            <w:r w:rsidRPr="001C2DF4">
              <w:t>11.1</w:t>
            </w:r>
          </w:p>
        </w:tc>
      </w:tr>
      <w:tr w:rsidR="009D0006" w:rsidRPr="001C2DF4" w14:paraId="69A54D17" w14:textId="77777777" w:rsidTr="00736415">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B097833" w14:textId="77777777" w:rsidR="009D0006" w:rsidRPr="001C2DF4" w:rsidRDefault="009D0006" w:rsidP="00736415">
            <w:pPr>
              <w:pStyle w:val="Tabletext"/>
              <w:rPr>
                <w:lang w:val="en-US"/>
              </w:rPr>
            </w:pPr>
            <w:r w:rsidRPr="001C2DF4">
              <w:rPr>
                <w:lang w:val="en-US"/>
              </w:rPr>
              <w:t>20</w:t>
            </w:r>
          </w:p>
        </w:tc>
        <w:tc>
          <w:tcPr>
            <w:tcW w:w="1559" w:type="dxa"/>
            <w:noWrap/>
          </w:tcPr>
          <w:p w14:paraId="455527E6" w14:textId="77777777" w:rsidR="009D0006" w:rsidRPr="001C2DF4" w:rsidRDefault="009D0006" w:rsidP="00736415">
            <w:pPr>
              <w:pStyle w:val="Tabletext"/>
              <w:rPr>
                <w:lang w:val="en-US"/>
              </w:rPr>
            </w:pPr>
            <w:r w:rsidRPr="001C2DF4">
              <w:t>311</w:t>
            </w:r>
          </w:p>
        </w:tc>
        <w:tc>
          <w:tcPr>
            <w:tcW w:w="1559" w:type="dxa"/>
            <w:noWrap/>
          </w:tcPr>
          <w:p w14:paraId="6EE8878E" w14:textId="77777777" w:rsidR="009D0006" w:rsidRPr="001C2DF4" w:rsidRDefault="009D0006" w:rsidP="00736415">
            <w:pPr>
              <w:pStyle w:val="Tabletext"/>
              <w:rPr>
                <w:lang w:val="en-US"/>
              </w:rPr>
            </w:pPr>
            <w:r w:rsidRPr="001C2DF4">
              <w:t>12.4</w:t>
            </w:r>
          </w:p>
        </w:tc>
      </w:tr>
      <w:tr w:rsidR="009D0006" w:rsidRPr="001C2DF4" w14:paraId="1E688BC6" w14:textId="77777777" w:rsidTr="00736415">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58B6AF6" w14:textId="77777777" w:rsidR="009D0006" w:rsidRPr="001C2DF4" w:rsidRDefault="009D0006" w:rsidP="00736415">
            <w:pPr>
              <w:pStyle w:val="Tabletext"/>
              <w:rPr>
                <w:lang w:val="en-US"/>
              </w:rPr>
            </w:pPr>
            <w:r w:rsidRPr="001C2DF4">
              <w:rPr>
                <w:lang w:val="en-US"/>
              </w:rPr>
              <w:t>21</w:t>
            </w:r>
          </w:p>
        </w:tc>
        <w:tc>
          <w:tcPr>
            <w:tcW w:w="1559" w:type="dxa"/>
            <w:noWrap/>
          </w:tcPr>
          <w:p w14:paraId="50931FA8" w14:textId="77777777" w:rsidR="009D0006" w:rsidRPr="001C2DF4" w:rsidRDefault="009D0006" w:rsidP="00736415">
            <w:pPr>
              <w:pStyle w:val="Tabletext"/>
              <w:rPr>
                <w:lang w:val="en-US"/>
              </w:rPr>
            </w:pPr>
            <w:r w:rsidRPr="001C2DF4">
              <w:t>275</w:t>
            </w:r>
          </w:p>
        </w:tc>
        <w:tc>
          <w:tcPr>
            <w:tcW w:w="1559" w:type="dxa"/>
            <w:noWrap/>
          </w:tcPr>
          <w:p w14:paraId="37324407" w14:textId="77777777" w:rsidR="009D0006" w:rsidRPr="001C2DF4" w:rsidRDefault="009D0006" w:rsidP="00736415">
            <w:pPr>
              <w:pStyle w:val="Tabletext"/>
              <w:rPr>
                <w:lang w:val="en-US"/>
              </w:rPr>
            </w:pPr>
            <w:r w:rsidRPr="001C2DF4">
              <w:t>11.0</w:t>
            </w:r>
          </w:p>
        </w:tc>
      </w:tr>
    </w:tbl>
    <w:p w14:paraId="096B7525" w14:textId="77777777" w:rsidR="009D0006" w:rsidRPr="00692BC1" w:rsidRDefault="009D0006" w:rsidP="00FE2582">
      <w:bookmarkStart w:id="222" w:name="_Hlk50370337"/>
      <w:r>
        <w:t>T</w:t>
      </w:r>
      <w:r w:rsidRPr="00692BC1">
        <w:t xml:space="preserve">he mean age of participants with disability in </w:t>
      </w:r>
      <w:r w:rsidRPr="00692BC1">
        <w:rPr>
          <w:i/>
          <w:iCs/>
        </w:rPr>
        <w:t>Writing Themselves In 4</w:t>
      </w:r>
      <w:r w:rsidRPr="00692BC1">
        <w:t xml:space="preserve"> was 17.6 (SD = 2.1), with ages ranging from 14 to 21 years. </w:t>
      </w:r>
      <w:bookmarkEnd w:id="222"/>
      <w:r>
        <w:t>As displayed in Table 7, a</w:t>
      </w:r>
      <w:r w:rsidRPr="00692BC1">
        <w:t xml:space="preserve">pproximately half </w:t>
      </w:r>
      <w:r w:rsidRPr="00692BC1">
        <w:lastRenderedPageBreak/>
        <w:t xml:space="preserve">(52.9%; n = 1323) were aged 14-17 and 47.1% (n = 1177) </w:t>
      </w:r>
      <w:r>
        <w:t xml:space="preserve">were </w:t>
      </w:r>
      <w:r w:rsidRPr="00692BC1">
        <w:t xml:space="preserve">aged 18-21. In total, 7.0% (n = 174) of participants were aged 14 years, 9.4% (n = 234) </w:t>
      </w:r>
      <w:r>
        <w:t xml:space="preserve">aged </w:t>
      </w:r>
      <w:r w:rsidRPr="00692BC1">
        <w:t>15 years, 16.7</w:t>
      </w:r>
      <w:r>
        <w:t>%</w:t>
      </w:r>
      <w:r w:rsidRPr="00692BC1">
        <w:t xml:space="preserve"> (n = 418) </w:t>
      </w:r>
      <w:r>
        <w:t xml:space="preserve">aged </w:t>
      </w:r>
      <w:r w:rsidRPr="00692BC1">
        <w:t xml:space="preserve">16 years, 19.9% (n = 497) </w:t>
      </w:r>
      <w:r>
        <w:t xml:space="preserve">aged </w:t>
      </w:r>
      <w:r w:rsidRPr="00692BC1">
        <w:t>17 years, 12.6</w:t>
      </w:r>
      <w:r>
        <w:t>%</w:t>
      </w:r>
      <w:r w:rsidRPr="00692BC1">
        <w:t xml:space="preserve"> (n = 314) </w:t>
      </w:r>
      <w:r>
        <w:t xml:space="preserve">aged </w:t>
      </w:r>
      <w:r w:rsidRPr="00692BC1">
        <w:t xml:space="preserve">18 years, 11.1% (n = 277) </w:t>
      </w:r>
      <w:r>
        <w:t xml:space="preserve">aged </w:t>
      </w:r>
      <w:r w:rsidRPr="00692BC1">
        <w:t xml:space="preserve">19 years, 12.4% (n = 311) </w:t>
      </w:r>
      <w:r>
        <w:t xml:space="preserve">aged </w:t>
      </w:r>
      <w:r w:rsidRPr="00692BC1">
        <w:t xml:space="preserve">20 years and 11.0% (n = 275) </w:t>
      </w:r>
      <w:r>
        <w:t xml:space="preserve">aged </w:t>
      </w:r>
      <w:r w:rsidRPr="00692BC1">
        <w:t>21 years.</w:t>
      </w:r>
    </w:p>
    <w:p w14:paraId="7A79B7F9" w14:textId="7150EE3C" w:rsidR="009D0006" w:rsidRPr="002306D8" w:rsidRDefault="009D0006" w:rsidP="00153892">
      <w:pPr>
        <w:pStyle w:val="Heading3Numbered"/>
      </w:pPr>
      <w:bookmarkStart w:id="223" w:name="_Toc115968513"/>
      <w:r w:rsidRPr="002306D8">
        <w:t>Age – adults aged 18+ years</w:t>
      </w:r>
      <w:bookmarkEnd w:id="223"/>
    </w:p>
    <w:p w14:paraId="2A93B9C1" w14:textId="286076F2" w:rsidR="009D0006" w:rsidRPr="00B553DB" w:rsidRDefault="009D0006" w:rsidP="00153892">
      <w:pPr>
        <w:pStyle w:val="Tableheading"/>
      </w:pPr>
      <w:bookmarkStart w:id="224" w:name="_Toc117062726"/>
      <w:bookmarkStart w:id="225" w:name="_Toc119651411"/>
      <w:r w:rsidRPr="00B553DB">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rsidRPr="00B553DB">
        <w:t xml:space="preserve">: Distribution </w:t>
      </w:r>
      <w:r>
        <w:t xml:space="preserve">by age </w:t>
      </w:r>
      <w:r w:rsidRPr="00B553DB">
        <w:t xml:space="preserve">of </w:t>
      </w:r>
      <w:r>
        <w:t>adults</w:t>
      </w:r>
      <w:r w:rsidRPr="00B553DB">
        <w:t xml:space="preserve"> with disability (n = 2629)</w:t>
      </w:r>
      <w:bookmarkEnd w:id="224"/>
      <w:bookmarkEnd w:id="225"/>
    </w:p>
    <w:tbl>
      <w:tblPr>
        <w:tblStyle w:val="RCTable"/>
        <w:tblW w:w="9864" w:type="dxa"/>
        <w:tblLook w:val="04A0" w:firstRow="1" w:lastRow="0" w:firstColumn="1" w:lastColumn="0" w:noHBand="0" w:noVBand="1"/>
      </w:tblPr>
      <w:tblGrid>
        <w:gridCol w:w="6746"/>
        <w:gridCol w:w="1559"/>
        <w:gridCol w:w="1559"/>
      </w:tblGrid>
      <w:tr w:rsidR="009D0006" w:rsidRPr="001C2DF4" w14:paraId="4B658FDE"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049E2FB" w14:textId="77777777" w:rsidR="009D0006" w:rsidRPr="001C2DF4" w:rsidRDefault="009D0006" w:rsidP="00DC683E">
            <w:pPr>
              <w:pStyle w:val="Tableheader"/>
            </w:pPr>
            <w:r w:rsidRPr="001C2DF4">
              <w:t>Age</w:t>
            </w:r>
          </w:p>
        </w:tc>
        <w:tc>
          <w:tcPr>
            <w:tcW w:w="1559" w:type="dxa"/>
            <w:noWrap/>
            <w:hideMark/>
          </w:tcPr>
          <w:p w14:paraId="2D955DB3" w14:textId="77777777" w:rsidR="009D0006" w:rsidRPr="001C2DF4" w:rsidRDefault="009D0006" w:rsidP="00DC683E">
            <w:pPr>
              <w:pStyle w:val="Tableheader"/>
            </w:pPr>
            <w:r>
              <w:t>n</w:t>
            </w:r>
          </w:p>
        </w:tc>
        <w:tc>
          <w:tcPr>
            <w:tcW w:w="1559" w:type="dxa"/>
            <w:noWrap/>
            <w:hideMark/>
          </w:tcPr>
          <w:p w14:paraId="56385D71" w14:textId="77777777" w:rsidR="009D0006" w:rsidRPr="001C2DF4" w:rsidRDefault="009D0006" w:rsidP="00DC683E">
            <w:pPr>
              <w:pStyle w:val="Tableheader"/>
            </w:pPr>
            <w:r w:rsidRPr="001C2DF4">
              <w:t>%</w:t>
            </w:r>
          </w:p>
        </w:tc>
      </w:tr>
      <w:tr w:rsidR="009D0006" w:rsidRPr="001C2DF4" w14:paraId="677C6EE0"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24D0CFF" w14:textId="77777777" w:rsidR="009D0006" w:rsidRPr="001C2DF4" w:rsidRDefault="009D0006" w:rsidP="00DC683E">
            <w:pPr>
              <w:pStyle w:val="Tabletext"/>
            </w:pPr>
            <w:r w:rsidRPr="001C2DF4">
              <w:t>18 – 24</w:t>
            </w:r>
          </w:p>
        </w:tc>
        <w:tc>
          <w:tcPr>
            <w:tcW w:w="1559" w:type="dxa"/>
            <w:noWrap/>
          </w:tcPr>
          <w:p w14:paraId="30F841D8" w14:textId="77777777" w:rsidR="009D0006" w:rsidRPr="001C2DF4" w:rsidRDefault="009D0006" w:rsidP="00DC683E">
            <w:pPr>
              <w:pStyle w:val="Tabletext"/>
            </w:pPr>
            <w:r w:rsidRPr="001C2DF4">
              <w:t>906</w:t>
            </w:r>
          </w:p>
        </w:tc>
        <w:tc>
          <w:tcPr>
            <w:tcW w:w="1559" w:type="dxa"/>
            <w:noWrap/>
          </w:tcPr>
          <w:p w14:paraId="3F02BF94" w14:textId="77777777" w:rsidR="009D0006" w:rsidRPr="001C2DF4" w:rsidRDefault="009D0006" w:rsidP="00DC683E">
            <w:pPr>
              <w:pStyle w:val="Tabletext"/>
            </w:pPr>
            <w:r w:rsidRPr="001C2DF4">
              <w:t>34.5</w:t>
            </w:r>
          </w:p>
        </w:tc>
      </w:tr>
      <w:tr w:rsidR="009D0006" w:rsidRPr="001C2DF4" w14:paraId="4E7BA846"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BB6669C" w14:textId="77777777" w:rsidR="009D0006" w:rsidRPr="001C2DF4" w:rsidRDefault="009D0006" w:rsidP="00DC683E">
            <w:pPr>
              <w:pStyle w:val="Tabletext"/>
            </w:pPr>
            <w:r w:rsidRPr="001C2DF4">
              <w:t>25 – 34</w:t>
            </w:r>
          </w:p>
        </w:tc>
        <w:tc>
          <w:tcPr>
            <w:tcW w:w="1559" w:type="dxa"/>
            <w:noWrap/>
          </w:tcPr>
          <w:p w14:paraId="0F8B4358" w14:textId="77777777" w:rsidR="009D0006" w:rsidRPr="001C2DF4" w:rsidRDefault="009D0006" w:rsidP="00DC683E">
            <w:pPr>
              <w:pStyle w:val="Tabletext"/>
            </w:pPr>
            <w:r w:rsidRPr="001C2DF4">
              <w:t>811</w:t>
            </w:r>
          </w:p>
        </w:tc>
        <w:tc>
          <w:tcPr>
            <w:tcW w:w="1559" w:type="dxa"/>
            <w:noWrap/>
          </w:tcPr>
          <w:p w14:paraId="6CA3442F" w14:textId="77777777" w:rsidR="009D0006" w:rsidRPr="001C2DF4" w:rsidRDefault="009D0006" w:rsidP="00DC683E">
            <w:pPr>
              <w:pStyle w:val="Tabletext"/>
            </w:pPr>
            <w:r w:rsidRPr="001C2DF4">
              <w:t>30.8</w:t>
            </w:r>
          </w:p>
        </w:tc>
      </w:tr>
      <w:tr w:rsidR="009D0006" w:rsidRPr="001C2DF4" w14:paraId="3ED4821F"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8F3602A" w14:textId="77777777" w:rsidR="009D0006" w:rsidRPr="001C2DF4" w:rsidRDefault="009D0006" w:rsidP="00DC683E">
            <w:pPr>
              <w:pStyle w:val="Tabletext"/>
            </w:pPr>
            <w:r w:rsidRPr="001C2DF4">
              <w:t>35 – 44</w:t>
            </w:r>
          </w:p>
        </w:tc>
        <w:tc>
          <w:tcPr>
            <w:tcW w:w="1559" w:type="dxa"/>
            <w:noWrap/>
          </w:tcPr>
          <w:p w14:paraId="2BBD2A30" w14:textId="77777777" w:rsidR="009D0006" w:rsidRPr="001C2DF4" w:rsidRDefault="009D0006" w:rsidP="00DC683E">
            <w:pPr>
              <w:pStyle w:val="Tabletext"/>
            </w:pPr>
            <w:r w:rsidRPr="001C2DF4">
              <w:t>393</w:t>
            </w:r>
          </w:p>
        </w:tc>
        <w:tc>
          <w:tcPr>
            <w:tcW w:w="1559" w:type="dxa"/>
            <w:noWrap/>
          </w:tcPr>
          <w:p w14:paraId="130841E4" w14:textId="77777777" w:rsidR="009D0006" w:rsidRPr="001C2DF4" w:rsidRDefault="009D0006" w:rsidP="00DC683E">
            <w:pPr>
              <w:pStyle w:val="Tabletext"/>
            </w:pPr>
            <w:r w:rsidRPr="001C2DF4">
              <w:t>14.9</w:t>
            </w:r>
          </w:p>
        </w:tc>
      </w:tr>
      <w:tr w:rsidR="009D0006" w:rsidRPr="001C2DF4" w14:paraId="2555E9F5"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990C53C" w14:textId="77777777" w:rsidR="009D0006" w:rsidRPr="001C2DF4" w:rsidRDefault="009D0006" w:rsidP="00DC683E">
            <w:pPr>
              <w:pStyle w:val="Tabletext"/>
            </w:pPr>
            <w:r w:rsidRPr="001C2DF4">
              <w:t>45 – 54</w:t>
            </w:r>
          </w:p>
        </w:tc>
        <w:tc>
          <w:tcPr>
            <w:tcW w:w="1559" w:type="dxa"/>
            <w:noWrap/>
          </w:tcPr>
          <w:p w14:paraId="41EB972B" w14:textId="77777777" w:rsidR="009D0006" w:rsidRPr="001C2DF4" w:rsidRDefault="009D0006" w:rsidP="00DC683E">
            <w:pPr>
              <w:pStyle w:val="Tabletext"/>
            </w:pPr>
            <w:r w:rsidRPr="001C2DF4">
              <w:t>265</w:t>
            </w:r>
          </w:p>
        </w:tc>
        <w:tc>
          <w:tcPr>
            <w:tcW w:w="1559" w:type="dxa"/>
            <w:noWrap/>
          </w:tcPr>
          <w:p w14:paraId="06131694" w14:textId="77777777" w:rsidR="009D0006" w:rsidRPr="001C2DF4" w:rsidRDefault="009D0006" w:rsidP="00DC683E">
            <w:pPr>
              <w:pStyle w:val="Tabletext"/>
            </w:pPr>
            <w:r w:rsidRPr="001C2DF4">
              <w:t>10.1</w:t>
            </w:r>
          </w:p>
        </w:tc>
      </w:tr>
      <w:tr w:rsidR="009D0006" w:rsidRPr="001C2DF4" w14:paraId="32D9D015"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BFD2CB3" w14:textId="77777777" w:rsidR="009D0006" w:rsidRPr="001C2DF4" w:rsidRDefault="009D0006" w:rsidP="00DC683E">
            <w:pPr>
              <w:pStyle w:val="Tabletext"/>
            </w:pPr>
            <w:r w:rsidRPr="001C2DF4">
              <w:t>55 – 64</w:t>
            </w:r>
          </w:p>
        </w:tc>
        <w:tc>
          <w:tcPr>
            <w:tcW w:w="1559" w:type="dxa"/>
            <w:noWrap/>
          </w:tcPr>
          <w:p w14:paraId="6AA8C0EB" w14:textId="77777777" w:rsidR="009D0006" w:rsidRPr="001C2DF4" w:rsidRDefault="009D0006" w:rsidP="00DC683E">
            <w:pPr>
              <w:pStyle w:val="Tabletext"/>
            </w:pPr>
            <w:r w:rsidRPr="001C2DF4">
              <w:t>172</w:t>
            </w:r>
          </w:p>
        </w:tc>
        <w:tc>
          <w:tcPr>
            <w:tcW w:w="1559" w:type="dxa"/>
            <w:noWrap/>
          </w:tcPr>
          <w:p w14:paraId="66FDD4CE" w14:textId="77777777" w:rsidR="009D0006" w:rsidRPr="001C2DF4" w:rsidRDefault="009D0006" w:rsidP="00DC683E">
            <w:pPr>
              <w:pStyle w:val="Tabletext"/>
            </w:pPr>
            <w:r w:rsidRPr="001C2DF4">
              <w:t>6.5</w:t>
            </w:r>
          </w:p>
        </w:tc>
      </w:tr>
      <w:tr w:rsidR="009D0006" w:rsidRPr="001C2DF4" w14:paraId="17DAD782"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9108906" w14:textId="77777777" w:rsidR="009D0006" w:rsidRPr="001C2DF4" w:rsidRDefault="009D0006" w:rsidP="00DC683E">
            <w:pPr>
              <w:pStyle w:val="Tabletext"/>
            </w:pPr>
            <w:r w:rsidRPr="001C2DF4">
              <w:t>65+</w:t>
            </w:r>
          </w:p>
        </w:tc>
        <w:tc>
          <w:tcPr>
            <w:tcW w:w="1559" w:type="dxa"/>
            <w:noWrap/>
          </w:tcPr>
          <w:p w14:paraId="3A658B63" w14:textId="77777777" w:rsidR="009D0006" w:rsidRPr="001C2DF4" w:rsidRDefault="009D0006" w:rsidP="00DC683E">
            <w:pPr>
              <w:pStyle w:val="Tabletext"/>
            </w:pPr>
            <w:r w:rsidRPr="001C2DF4">
              <w:t>82</w:t>
            </w:r>
          </w:p>
        </w:tc>
        <w:tc>
          <w:tcPr>
            <w:tcW w:w="1559" w:type="dxa"/>
            <w:noWrap/>
          </w:tcPr>
          <w:p w14:paraId="64A1377E" w14:textId="77777777" w:rsidR="009D0006" w:rsidRPr="001C2DF4" w:rsidRDefault="009D0006" w:rsidP="00DC683E">
            <w:pPr>
              <w:pStyle w:val="Tabletext"/>
            </w:pPr>
            <w:r w:rsidRPr="001C2DF4">
              <w:t>3.1</w:t>
            </w:r>
          </w:p>
        </w:tc>
      </w:tr>
    </w:tbl>
    <w:p w14:paraId="74426D24" w14:textId="77777777" w:rsidR="009D0006" w:rsidRPr="00692BC1" w:rsidRDefault="009D0006" w:rsidP="00FE2582">
      <w:pPr>
        <w:spacing w:before="360"/>
      </w:pPr>
      <w:r w:rsidRPr="00692BC1">
        <w:rPr>
          <w:lang w:val="en-GB"/>
        </w:rPr>
        <w:t xml:space="preserve">The mean age of participants with disability in </w:t>
      </w:r>
      <w:r w:rsidRPr="00692BC1">
        <w:rPr>
          <w:i/>
          <w:iCs/>
          <w:lang w:val="en-GB"/>
        </w:rPr>
        <w:t>Private Lives 3</w:t>
      </w:r>
      <w:r w:rsidRPr="00692BC1">
        <w:rPr>
          <w:lang w:val="en-GB"/>
        </w:rPr>
        <w:t xml:space="preserve"> was 32.9 years (SD = 13.5), ranging from 18 to 85 years. </w:t>
      </w:r>
      <w:r>
        <w:rPr>
          <w:lang w:val="en-GB"/>
        </w:rPr>
        <w:t>As displayed in Table 8, a</w:t>
      </w:r>
      <w:r w:rsidRPr="00692BC1">
        <w:rPr>
          <w:lang w:val="en-GB"/>
        </w:rPr>
        <w:t>pproximately one</w:t>
      </w:r>
      <w:r>
        <w:rPr>
          <w:lang w:val="en-GB"/>
        </w:rPr>
        <w:t>-</w:t>
      </w:r>
      <w:r w:rsidRPr="00692BC1">
        <w:rPr>
          <w:lang w:val="en-GB"/>
        </w:rPr>
        <w:t>third (34.5%; n = 906) were aged between 18 and 24 years, 30.8% (n = 811) between 25 and 34 years, 14.9% (n = 393) between 35 and 44 years, 10.1% (n = 265) between 45 and 54 years and 9.6% (n = 254) at 55 years and over.</w:t>
      </w:r>
    </w:p>
    <w:p w14:paraId="3361FDAF" w14:textId="7C671F21" w:rsidR="009D0006" w:rsidRPr="00692BC1" w:rsidRDefault="009D0006" w:rsidP="00153892">
      <w:pPr>
        <w:pStyle w:val="Heading2Numbered"/>
      </w:pPr>
      <w:bookmarkStart w:id="226" w:name="_Toc58252050"/>
      <w:bookmarkStart w:id="227" w:name="_Toc115968514"/>
      <w:bookmarkStart w:id="228" w:name="_Toc119662404"/>
      <w:r w:rsidRPr="00692BC1">
        <w:t>Area of residence</w:t>
      </w:r>
      <w:bookmarkEnd w:id="226"/>
      <w:bookmarkEnd w:id="227"/>
      <w:bookmarkEnd w:id="228"/>
    </w:p>
    <w:p w14:paraId="514DE2F0" w14:textId="07C1A8C2" w:rsidR="009D0006" w:rsidRPr="002306D8" w:rsidRDefault="009D0006" w:rsidP="00153892">
      <w:pPr>
        <w:pStyle w:val="Heading3Numbered"/>
      </w:pPr>
      <w:bookmarkStart w:id="229" w:name="_Toc115968515"/>
      <w:r w:rsidRPr="002306D8">
        <w:t>Area of residence – young people aged 14-21 years</w:t>
      </w:r>
      <w:bookmarkEnd w:id="229"/>
    </w:p>
    <w:p w14:paraId="3407EC27" w14:textId="3CAF24EA" w:rsidR="009D0006" w:rsidRPr="00B553DB" w:rsidRDefault="009D0006" w:rsidP="00153892">
      <w:pPr>
        <w:pStyle w:val="Tableheading"/>
      </w:pPr>
      <w:bookmarkStart w:id="230" w:name="_Toc117062727"/>
      <w:bookmarkStart w:id="231" w:name="_Toc119651412"/>
      <w:r w:rsidRPr="00B553DB">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rsidRPr="00B553DB">
        <w:t xml:space="preserve">: Area of residence </w:t>
      </w:r>
      <w:r>
        <w:t xml:space="preserve">among young people with disability aged 14-21 years </w:t>
      </w:r>
      <w:r w:rsidRPr="00B553DB">
        <w:t>(n = 2498)</w:t>
      </w:r>
      <w:bookmarkEnd w:id="230"/>
      <w:bookmarkEnd w:id="231"/>
    </w:p>
    <w:tbl>
      <w:tblPr>
        <w:tblStyle w:val="RCTable"/>
        <w:tblW w:w="9864" w:type="dxa"/>
        <w:tblLook w:val="04A0" w:firstRow="1" w:lastRow="0" w:firstColumn="1" w:lastColumn="0" w:noHBand="0" w:noVBand="1"/>
      </w:tblPr>
      <w:tblGrid>
        <w:gridCol w:w="6746"/>
        <w:gridCol w:w="1559"/>
        <w:gridCol w:w="1559"/>
      </w:tblGrid>
      <w:tr w:rsidR="009D0006" w:rsidRPr="00DC683E" w14:paraId="3A279F06" w14:textId="77777777" w:rsidTr="00790B45">
        <w:trPr>
          <w:cnfStyle w:val="100000000000" w:firstRow="1" w:lastRow="0" w:firstColumn="0" w:lastColumn="0" w:oddVBand="0" w:evenVBand="0" w:oddHBand="0" w:evenHBand="0" w:firstRowFirstColumn="0" w:firstRowLastColumn="0" w:lastRowFirstColumn="0" w:lastRowLastColumn="0"/>
          <w:trHeight w:val="340"/>
          <w:tblHeader/>
        </w:trPr>
        <w:tc>
          <w:tcPr>
            <w:tcW w:w="6746" w:type="dxa"/>
            <w:noWrap/>
            <w:hideMark/>
          </w:tcPr>
          <w:p w14:paraId="2EFB5B47" w14:textId="77777777" w:rsidR="009D0006" w:rsidRPr="00DC683E" w:rsidRDefault="009D0006" w:rsidP="00DC683E">
            <w:pPr>
              <w:pStyle w:val="Tableheader"/>
            </w:pPr>
            <w:r w:rsidRPr="00DC683E">
              <w:t>Area of residence</w:t>
            </w:r>
          </w:p>
        </w:tc>
        <w:tc>
          <w:tcPr>
            <w:tcW w:w="1559" w:type="dxa"/>
            <w:noWrap/>
            <w:hideMark/>
          </w:tcPr>
          <w:p w14:paraId="7BE974BA" w14:textId="77777777" w:rsidR="009D0006" w:rsidRPr="00DC683E" w:rsidRDefault="009D0006" w:rsidP="00DC683E">
            <w:pPr>
              <w:pStyle w:val="Tableheader"/>
            </w:pPr>
            <w:r w:rsidRPr="00DC683E">
              <w:t>n</w:t>
            </w:r>
          </w:p>
        </w:tc>
        <w:tc>
          <w:tcPr>
            <w:tcW w:w="1559" w:type="dxa"/>
            <w:noWrap/>
            <w:hideMark/>
          </w:tcPr>
          <w:p w14:paraId="462FFDC7" w14:textId="77777777" w:rsidR="009D0006" w:rsidRPr="00DC683E" w:rsidRDefault="009D0006" w:rsidP="00DC683E">
            <w:pPr>
              <w:pStyle w:val="Tableheader"/>
            </w:pPr>
            <w:r w:rsidRPr="00DC683E">
              <w:t>%</w:t>
            </w:r>
          </w:p>
        </w:tc>
      </w:tr>
      <w:tr w:rsidR="009D0006" w:rsidRPr="001C2DF4" w14:paraId="57D4CA2A"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D0C79F4" w14:textId="77777777" w:rsidR="009D0006" w:rsidRPr="001C2DF4" w:rsidRDefault="009D0006" w:rsidP="00DC683E">
            <w:pPr>
              <w:pStyle w:val="Tabletext"/>
              <w:rPr>
                <w:lang w:val="en-US"/>
              </w:rPr>
            </w:pPr>
            <w:r w:rsidRPr="001C2DF4">
              <w:t xml:space="preserve">Capital city </w:t>
            </w:r>
            <w:r>
              <w:t xml:space="preserve">- </w:t>
            </w:r>
            <w:r w:rsidRPr="001C2DF4">
              <w:t>city centre</w:t>
            </w:r>
          </w:p>
        </w:tc>
        <w:tc>
          <w:tcPr>
            <w:tcW w:w="1559" w:type="dxa"/>
            <w:noWrap/>
          </w:tcPr>
          <w:p w14:paraId="02AF5824" w14:textId="77777777" w:rsidR="009D0006" w:rsidRPr="001C2DF4" w:rsidRDefault="009D0006" w:rsidP="00DC683E">
            <w:pPr>
              <w:pStyle w:val="Tabletext"/>
              <w:rPr>
                <w:lang w:val="en-US"/>
              </w:rPr>
            </w:pPr>
            <w:r w:rsidRPr="001C2DF4">
              <w:t>167</w:t>
            </w:r>
          </w:p>
        </w:tc>
        <w:tc>
          <w:tcPr>
            <w:tcW w:w="1559" w:type="dxa"/>
            <w:noWrap/>
          </w:tcPr>
          <w:p w14:paraId="1BD51008" w14:textId="77777777" w:rsidR="009D0006" w:rsidRPr="001C2DF4" w:rsidRDefault="009D0006" w:rsidP="00DC683E">
            <w:pPr>
              <w:pStyle w:val="Tabletext"/>
              <w:rPr>
                <w:lang w:val="en-US"/>
              </w:rPr>
            </w:pPr>
            <w:r w:rsidRPr="001C2DF4">
              <w:t>6.7</w:t>
            </w:r>
          </w:p>
        </w:tc>
      </w:tr>
      <w:tr w:rsidR="009D0006" w:rsidRPr="001C2DF4" w14:paraId="6200EA5E"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195C9423" w14:textId="77777777" w:rsidR="009D0006" w:rsidRPr="001C2DF4" w:rsidRDefault="009D0006" w:rsidP="00DC683E">
            <w:pPr>
              <w:pStyle w:val="Tabletext"/>
              <w:rPr>
                <w:lang w:val="en-US"/>
              </w:rPr>
            </w:pPr>
            <w:r w:rsidRPr="001C2DF4">
              <w:t xml:space="preserve">Capital city </w:t>
            </w:r>
            <w:r>
              <w:t xml:space="preserve">- </w:t>
            </w:r>
            <w:r w:rsidRPr="001C2DF4">
              <w:t>suburbs</w:t>
            </w:r>
          </w:p>
        </w:tc>
        <w:tc>
          <w:tcPr>
            <w:tcW w:w="1559" w:type="dxa"/>
            <w:noWrap/>
          </w:tcPr>
          <w:p w14:paraId="0FABC541" w14:textId="77777777" w:rsidR="009D0006" w:rsidRPr="001C2DF4" w:rsidRDefault="009D0006" w:rsidP="00DC683E">
            <w:pPr>
              <w:pStyle w:val="Tabletext"/>
              <w:rPr>
                <w:lang w:val="en-US"/>
              </w:rPr>
            </w:pPr>
            <w:r w:rsidRPr="001C2DF4">
              <w:t>1423</w:t>
            </w:r>
          </w:p>
        </w:tc>
        <w:tc>
          <w:tcPr>
            <w:tcW w:w="1559" w:type="dxa"/>
            <w:noWrap/>
          </w:tcPr>
          <w:p w14:paraId="4BBB0D7A" w14:textId="77777777" w:rsidR="009D0006" w:rsidRPr="001C2DF4" w:rsidRDefault="009D0006" w:rsidP="00DC683E">
            <w:pPr>
              <w:pStyle w:val="Tabletext"/>
              <w:rPr>
                <w:lang w:val="en-US"/>
              </w:rPr>
            </w:pPr>
            <w:r w:rsidRPr="001C2DF4">
              <w:t>57.0</w:t>
            </w:r>
          </w:p>
        </w:tc>
      </w:tr>
      <w:tr w:rsidR="009D0006" w:rsidRPr="001C2DF4" w14:paraId="0E5F8214"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82C0B50" w14:textId="77777777" w:rsidR="009D0006" w:rsidRPr="001C2DF4" w:rsidRDefault="009D0006" w:rsidP="00DC683E">
            <w:pPr>
              <w:pStyle w:val="Tabletext"/>
              <w:rPr>
                <w:lang w:val="en-US"/>
              </w:rPr>
            </w:pPr>
            <w:r w:rsidRPr="001C2DF4">
              <w:t>Regional city or town</w:t>
            </w:r>
          </w:p>
        </w:tc>
        <w:tc>
          <w:tcPr>
            <w:tcW w:w="1559" w:type="dxa"/>
            <w:noWrap/>
          </w:tcPr>
          <w:p w14:paraId="2CBADCDF" w14:textId="77777777" w:rsidR="009D0006" w:rsidRPr="001C2DF4" w:rsidRDefault="009D0006" w:rsidP="00DC683E">
            <w:pPr>
              <w:pStyle w:val="Tabletext"/>
              <w:rPr>
                <w:lang w:val="en-US"/>
              </w:rPr>
            </w:pPr>
            <w:r w:rsidRPr="001C2DF4">
              <w:t>620</w:t>
            </w:r>
          </w:p>
        </w:tc>
        <w:tc>
          <w:tcPr>
            <w:tcW w:w="1559" w:type="dxa"/>
            <w:noWrap/>
          </w:tcPr>
          <w:p w14:paraId="17B82491" w14:textId="77777777" w:rsidR="009D0006" w:rsidRPr="001C2DF4" w:rsidRDefault="009D0006" w:rsidP="00DC683E">
            <w:pPr>
              <w:pStyle w:val="Tabletext"/>
              <w:rPr>
                <w:lang w:val="en-US"/>
              </w:rPr>
            </w:pPr>
            <w:r w:rsidRPr="001C2DF4">
              <w:t>24.8</w:t>
            </w:r>
          </w:p>
        </w:tc>
      </w:tr>
      <w:tr w:rsidR="009D0006" w:rsidRPr="001C2DF4" w14:paraId="436A75AC"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10E03F9" w14:textId="77777777" w:rsidR="009D0006" w:rsidRPr="001C2DF4" w:rsidRDefault="009D0006" w:rsidP="00DC683E">
            <w:pPr>
              <w:pStyle w:val="Tabletext"/>
              <w:rPr>
                <w:lang w:val="en-US"/>
              </w:rPr>
            </w:pPr>
            <w:r w:rsidRPr="001C2DF4">
              <w:t>Rural (countryside)</w:t>
            </w:r>
          </w:p>
        </w:tc>
        <w:tc>
          <w:tcPr>
            <w:tcW w:w="1559" w:type="dxa"/>
            <w:noWrap/>
          </w:tcPr>
          <w:p w14:paraId="11BB1E9B" w14:textId="77777777" w:rsidR="009D0006" w:rsidRPr="001C2DF4" w:rsidRDefault="009D0006" w:rsidP="00DC683E">
            <w:pPr>
              <w:pStyle w:val="Tabletext"/>
              <w:rPr>
                <w:lang w:val="en-US"/>
              </w:rPr>
            </w:pPr>
            <w:r w:rsidRPr="001C2DF4">
              <w:t>288</w:t>
            </w:r>
          </w:p>
        </w:tc>
        <w:tc>
          <w:tcPr>
            <w:tcW w:w="1559" w:type="dxa"/>
            <w:noWrap/>
          </w:tcPr>
          <w:p w14:paraId="5291EE29" w14:textId="77777777" w:rsidR="009D0006" w:rsidRPr="001C2DF4" w:rsidRDefault="009D0006" w:rsidP="00DC683E">
            <w:pPr>
              <w:pStyle w:val="Tabletext"/>
              <w:rPr>
                <w:lang w:val="en-US"/>
              </w:rPr>
            </w:pPr>
            <w:r w:rsidRPr="001C2DF4">
              <w:t>11.5</w:t>
            </w:r>
          </w:p>
        </w:tc>
      </w:tr>
      <w:tr w:rsidR="009D0006" w:rsidRPr="001C2DF4" w14:paraId="25E99C33"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6311050" w14:textId="77777777" w:rsidR="009D0006" w:rsidRPr="001C2DF4" w:rsidRDefault="009D0006" w:rsidP="00DC683E">
            <w:pPr>
              <w:pStyle w:val="Tabletext"/>
              <w:rPr>
                <w:lang w:val="en-US"/>
              </w:rPr>
            </w:pPr>
            <w:r w:rsidRPr="001C2DF4">
              <w:lastRenderedPageBreak/>
              <w:t>Remote (countryside and far from any towns or cities)</w:t>
            </w:r>
          </w:p>
        </w:tc>
        <w:tc>
          <w:tcPr>
            <w:tcW w:w="1559" w:type="dxa"/>
            <w:noWrap/>
          </w:tcPr>
          <w:p w14:paraId="034BBC2F" w14:textId="77777777" w:rsidR="009D0006" w:rsidRPr="001C2DF4" w:rsidRDefault="009D0006" w:rsidP="00DC683E">
            <w:pPr>
              <w:pStyle w:val="Tabletext"/>
              <w:rPr>
                <w:lang w:val="en-US"/>
              </w:rPr>
            </w:pPr>
            <w:r w:rsidRPr="001C2DF4">
              <w:t>167</w:t>
            </w:r>
          </w:p>
        </w:tc>
        <w:tc>
          <w:tcPr>
            <w:tcW w:w="1559" w:type="dxa"/>
            <w:noWrap/>
          </w:tcPr>
          <w:p w14:paraId="0B7F18DD" w14:textId="77777777" w:rsidR="009D0006" w:rsidRPr="001C2DF4" w:rsidRDefault="009D0006" w:rsidP="00DC683E">
            <w:pPr>
              <w:pStyle w:val="Tabletext"/>
              <w:rPr>
                <w:lang w:val="en-US"/>
              </w:rPr>
            </w:pPr>
            <w:r w:rsidRPr="001C2DF4">
              <w:t>6.7</w:t>
            </w:r>
          </w:p>
        </w:tc>
      </w:tr>
    </w:tbl>
    <w:p w14:paraId="177F8B68" w14:textId="77777777" w:rsidR="009D0006" w:rsidRPr="00692BC1" w:rsidRDefault="009D0006" w:rsidP="00FE2582">
      <w:pPr>
        <w:spacing w:before="360"/>
        <w:rPr>
          <w:lang w:val="en-GB"/>
        </w:rPr>
      </w:pPr>
      <w:r>
        <w:rPr>
          <w:lang w:val="en-GB"/>
        </w:rPr>
        <w:t>As displayed in Table 9, t</w:t>
      </w:r>
      <w:r w:rsidRPr="00692BC1">
        <w:rPr>
          <w:lang w:val="en-GB"/>
        </w:rPr>
        <w:t xml:space="preserve">he majority of young people with disability </w:t>
      </w:r>
      <w:r>
        <w:rPr>
          <w:lang w:val="en-GB"/>
        </w:rPr>
        <w:t xml:space="preserve">in </w:t>
      </w:r>
      <w:r w:rsidRPr="00692BC1">
        <w:rPr>
          <w:i/>
          <w:iCs/>
        </w:rPr>
        <w:t>Writing Themselves In 4</w:t>
      </w:r>
      <w:r w:rsidRPr="00692BC1">
        <w:t xml:space="preserve"> </w:t>
      </w:r>
      <w:r w:rsidRPr="00692BC1">
        <w:rPr>
          <w:lang w:val="en-GB"/>
        </w:rPr>
        <w:t xml:space="preserve">reported residing in a capital city suburb (57.0%; n = 1423), followed by 24.8% (n = 620) in regional cities or towns and 11.5% (n = 288) in rural regions. Fewer participants with disability reported residing in a capital city centre (6.7%; n = 167) or remote area (6.7%; n = 167). </w:t>
      </w:r>
    </w:p>
    <w:p w14:paraId="1313E179" w14:textId="1B2223BC" w:rsidR="009D0006" w:rsidRPr="002306D8" w:rsidRDefault="009D0006" w:rsidP="00153892">
      <w:pPr>
        <w:pStyle w:val="Heading3Numbered"/>
      </w:pPr>
      <w:bookmarkStart w:id="232" w:name="_Toc115968516"/>
      <w:r w:rsidRPr="002306D8">
        <w:t>Area of residence – adults aged 18+ years</w:t>
      </w:r>
      <w:bookmarkEnd w:id="232"/>
    </w:p>
    <w:p w14:paraId="7CBDA220" w14:textId="30B23FD5" w:rsidR="009D0006" w:rsidRPr="00B553DB" w:rsidRDefault="009D0006" w:rsidP="00DC683E">
      <w:pPr>
        <w:pStyle w:val="Tableheading"/>
      </w:pPr>
      <w:bookmarkStart w:id="233" w:name="_Toc117062728"/>
      <w:bookmarkStart w:id="234" w:name="_Toc119651413"/>
      <w:r w:rsidRPr="00B553DB">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rsidRPr="00B553DB">
        <w:t xml:space="preserve">: Area of residence </w:t>
      </w:r>
      <w:r>
        <w:t xml:space="preserve">among adults with disability aged 18+ years </w:t>
      </w:r>
      <w:r w:rsidRPr="00B553DB">
        <w:t>(n = 2498)</w:t>
      </w:r>
      <w:bookmarkEnd w:id="233"/>
      <w:bookmarkEnd w:id="234"/>
    </w:p>
    <w:tbl>
      <w:tblPr>
        <w:tblStyle w:val="RCTable"/>
        <w:tblW w:w="9864" w:type="dxa"/>
        <w:tblLook w:val="04A0" w:firstRow="1" w:lastRow="0" w:firstColumn="1" w:lastColumn="0" w:noHBand="0" w:noVBand="1"/>
      </w:tblPr>
      <w:tblGrid>
        <w:gridCol w:w="6746"/>
        <w:gridCol w:w="1559"/>
        <w:gridCol w:w="1559"/>
      </w:tblGrid>
      <w:tr w:rsidR="009D0006" w:rsidRPr="001C2DF4" w14:paraId="4E26F911"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201B2E8" w14:textId="77777777" w:rsidR="009D0006" w:rsidRPr="00DC683E" w:rsidRDefault="009D0006" w:rsidP="00DC683E">
            <w:pPr>
              <w:pStyle w:val="Tableheader"/>
            </w:pPr>
            <w:r w:rsidRPr="00DC683E">
              <w:t>Area of residence</w:t>
            </w:r>
          </w:p>
        </w:tc>
        <w:tc>
          <w:tcPr>
            <w:tcW w:w="1559" w:type="dxa"/>
            <w:noWrap/>
            <w:hideMark/>
          </w:tcPr>
          <w:p w14:paraId="66392128" w14:textId="77777777" w:rsidR="009D0006" w:rsidRPr="00DC683E" w:rsidRDefault="009D0006" w:rsidP="00DC683E">
            <w:pPr>
              <w:pStyle w:val="Tableheader"/>
            </w:pPr>
            <w:r w:rsidRPr="00DC683E">
              <w:t>n</w:t>
            </w:r>
          </w:p>
        </w:tc>
        <w:tc>
          <w:tcPr>
            <w:tcW w:w="1559" w:type="dxa"/>
            <w:noWrap/>
            <w:hideMark/>
          </w:tcPr>
          <w:p w14:paraId="38B9E22F" w14:textId="77777777" w:rsidR="009D0006" w:rsidRPr="00DC683E" w:rsidRDefault="009D0006" w:rsidP="00DC683E">
            <w:pPr>
              <w:pStyle w:val="Tableheader"/>
            </w:pPr>
            <w:r w:rsidRPr="00DC683E">
              <w:t>%</w:t>
            </w:r>
          </w:p>
        </w:tc>
      </w:tr>
      <w:tr w:rsidR="009D0006" w:rsidRPr="001C2DF4" w14:paraId="5BF8F2F4"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82DF2C4" w14:textId="77777777" w:rsidR="009D0006" w:rsidRPr="001C2DF4" w:rsidRDefault="009D0006" w:rsidP="00DC683E">
            <w:pPr>
              <w:pStyle w:val="Tabletext"/>
              <w:rPr>
                <w:lang w:val="en-US"/>
              </w:rPr>
            </w:pPr>
            <w:r w:rsidRPr="001C2DF4">
              <w:t>Capital city - city centre</w:t>
            </w:r>
          </w:p>
        </w:tc>
        <w:tc>
          <w:tcPr>
            <w:tcW w:w="1559" w:type="dxa"/>
            <w:noWrap/>
          </w:tcPr>
          <w:p w14:paraId="25C73121" w14:textId="77777777" w:rsidR="009D0006" w:rsidRPr="001C2DF4" w:rsidRDefault="009D0006" w:rsidP="00DC683E">
            <w:pPr>
              <w:pStyle w:val="Tabletext"/>
              <w:rPr>
                <w:lang w:val="en-US"/>
              </w:rPr>
            </w:pPr>
            <w:r w:rsidRPr="001C2DF4">
              <w:t>1014</w:t>
            </w:r>
          </w:p>
        </w:tc>
        <w:tc>
          <w:tcPr>
            <w:tcW w:w="1559" w:type="dxa"/>
            <w:noWrap/>
          </w:tcPr>
          <w:p w14:paraId="65B4965A" w14:textId="77777777" w:rsidR="009D0006" w:rsidRPr="001C2DF4" w:rsidRDefault="009D0006" w:rsidP="00DC683E">
            <w:pPr>
              <w:pStyle w:val="Tabletext"/>
              <w:rPr>
                <w:lang w:val="en-US"/>
              </w:rPr>
            </w:pPr>
            <w:r w:rsidRPr="001C2DF4">
              <w:t>38.9</w:t>
            </w:r>
          </w:p>
        </w:tc>
      </w:tr>
      <w:tr w:rsidR="009D0006" w:rsidRPr="001C2DF4" w14:paraId="04B5613B"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88D68EF" w14:textId="77777777" w:rsidR="009D0006" w:rsidRPr="001C2DF4" w:rsidRDefault="009D0006" w:rsidP="00DC683E">
            <w:pPr>
              <w:pStyle w:val="Tabletext"/>
              <w:rPr>
                <w:lang w:val="en-US"/>
              </w:rPr>
            </w:pPr>
            <w:r w:rsidRPr="001C2DF4">
              <w:t>Capital city - suburbs</w:t>
            </w:r>
          </w:p>
        </w:tc>
        <w:tc>
          <w:tcPr>
            <w:tcW w:w="1559" w:type="dxa"/>
            <w:noWrap/>
          </w:tcPr>
          <w:p w14:paraId="63FF810C" w14:textId="77777777" w:rsidR="009D0006" w:rsidRPr="001C2DF4" w:rsidRDefault="009D0006" w:rsidP="00DC683E">
            <w:pPr>
              <w:pStyle w:val="Tabletext"/>
              <w:rPr>
                <w:lang w:val="en-US"/>
              </w:rPr>
            </w:pPr>
            <w:r w:rsidRPr="001C2DF4">
              <w:t>780</w:t>
            </w:r>
          </w:p>
        </w:tc>
        <w:tc>
          <w:tcPr>
            <w:tcW w:w="1559" w:type="dxa"/>
            <w:noWrap/>
          </w:tcPr>
          <w:p w14:paraId="5C069CAC" w14:textId="77777777" w:rsidR="009D0006" w:rsidRPr="001C2DF4" w:rsidRDefault="009D0006" w:rsidP="00DC683E">
            <w:pPr>
              <w:pStyle w:val="Tabletext"/>
              <w:rPr>
                <w:lang w:val="en-US"/>
              </w:rPr>
            </w:pPr>
            <w:r w:rsidRPr="001C2DF4">
              <w:t>29.9</w:t>
            </w:r>
          </w:p>
        </w:tc>
      </w:tr>
      <w:tr w:rsidR="009D0006" w:rsidRPr="001C2DF4" w14:paraId="1F37BB69"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D5FD9BE" w14:textId="77777777" w:rsidR="009D0006" w:rsidRPr="001C2DF4" w:rsidRDefault="009D0006" w:rsidP="00DC683E">
            <w:pPr>
              <w:pStyle w:val="Tabletext"/>
              <w:rPr>
                <w:lang w:val="en-US"/>
              </w:rPr>
            </w:pPr>
            <w:r w:rsidRPr="001C2DF4">
              <w:t>Regional city or town</w:t>
            </w:r>
          </w:p>
        </w:tc>
        <w:tc>
          <w:tcPr>
            <w:tcW w:w="1559" w:type="dxa"/>
            <w:noWrap/>
          </w:tcPr>
          <w:p w14:paraId="2131288A" w14:textId="77777777" w:rsidR="009D0006" w:rsidRPr="001C2DF4" w:rsidRDefault="009D0006" w:rsidP="00DC683E">
            <w:pPr>
              <w:pStyle w:val="Tabletext"/>
              <w:rPr>
                <w:lang w:val="en-US"/>
              </w:rPr>
            </w:pPr>
            <w:r w:rsidRPr="001C2DF4">
              <w:t>627</w:t>
            </w:r>
          </w:p>
        </w:tc>
        <w:tc>
          <w:tcPr>
            <w:tcW w:w="1559" w:type="dxa"/>
            <w:noWrap/>
          </w:tcPr>
          <w:p w14:paraId="75ECF9CA" w14:textId="77777777" w:rsidR="009D0006" w:rsidRPr="001C2DF4" w:rsidRDefault="009D0006" w:rsidP="00DC683E">
            <w:pPr>
              <w:pStyle w:val="Tabletext"/>
              <w:rPr>
                <w:lang w:val="en-US"/>
              </w:rPr>
            </w:pPr>
            <w:r w:rsidRPr="001C2DF4">
              <w:t>24.1</w:t>
            </w:r>
          </w:p>
        </w:tc>
      </w:tr>
      <w:tr w:rsidR="009D0006" w:rsidRPr="001C2DF4" w14:paraId="0627DEA1"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81D7CE4" w14:textId="77777777" w:rsidR="009D0006" w:rsidRPr="001C2DF4" w:rsidRDefault="009D0006" w:rsidP="00DC683E">
            <w:pPr>
              <w:pStyle w:val="Tabletext"/>
              <w:rPr>
                <w:lang w:val="en-US"/>
              </w:rPr>
            </w:pPr>
            <w:r w:rsidRPr="001C2DF4">
              <w:t>Rural (countryside)</w:t>
            </w:r>
          </w:p>
        </w:tc>
        <w:tc>
          <w:tcPr>
            <w:tcW w:w="1559" w:type="dxa"/>
            <w:noWrap/>
          </w:tcPr>
          <w:p w14:paraId="5E4D172F" w14:textId="77777777" w:rsidR="009D0006" w:rsidRPr="001C2DF4" w:rsidRDefault="009D0006" w:rsidP="00DC683E">
            <w:pPr>
              <w:pStyle w:val="Tabletext"/>
              <w:rPr>
                <w:lang w:val="en-US"/>
              </w:rPr>
            </w:pPr>
            <w:r w:rsidRPr="001C2DF4">
              <w:t>176</w:t>
            </w:r>
          </w:p>
        </w:tc>
        <w:tc>
          <w:tcPr>
            <w:tcW w:w="1559" w:type="dxa"/>
            <w:noWrap/>
          </w:tcPr>
          <w:p w14:paraId="4E7F568B" w14:textId="77777777" w:rsidR="009D0006" w:rsidRPr="001C2DF4" w:rsidRDefault="009D0006" w:rsidP="00DC683E">
            <w:pPr>
              <w:pStyle w:val="Tabletext"/>
              <w:rPr>
                <w:lang w:val="en-US"/>
              </w:rPr>
            </w:pPr>
            <w:r w:rsidRPr="001C2DF4">
              <w:t>6.8</w:t>
            </w:r>
          </w:p>
        </w:tc>
      </w:tr>
      <w:tr w:rsidR="009D0006" w:rsidRPr="001C2DF4" w14:paraId="3FC8E662"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2946895" w14:textId="77777777" w:rsidR="009D0006" w:rsidRPr="001C2DF4" w:rsidRDefault="009D0006" w:rsidP="00DC683E">
            <w:pPr>
              <w:pStyle w:val="Tabletext"/>
              <w:rPr>
                <w:lang w:val="en-US"/>
              </w:rPr>
            </w:pPr>
            <w:r w:rsidRPr="001C2DF4">
              <w:t>Remote (countryside and far from any towns or cities)</w:t>
            </w:r>
          </w:p>
        </w:tc>
        <w:tc>
          <w:tcPr>
            <w:tcW w:w="1559" w:type="dxa"/>
            <w:noWrap/>
          </w:tcPr>
          <w:p w14:paraId="527CE868" w14:textId="77777777" w:rsidR="009D0006" w:rsidRPr="001C2DF4" w:rsidRDefault="009D0006" w:rsidP="00DC683E">
            <w:pPr>
              <w:pStyle w:val="Tabletext"/>
              <w:rPr>
                <w:lang w:val="en-US"/>
              </w:rPr>
            </w:pPr>
            <w:r w:rsidRPr="001C2DF4">
              <w:rPr>
                <w:lang w:val="en-US"/>
              </w:rPr>
              <w:t>9</w:t>
            </w:r>
          </w:p>
        </w:tc>
        <w:tc>
          <w:tcPr>
            <w:tcW w:w="1559" w:type="dxa"/>
            <w:noWrap/>
          </w:tcPr>
          <w:p w14:paraId="1CECB42D" w14:textId="77777777" w:rsidR="009D0006" w:rsidRPr="001C2DF4" w:rsidRDefault="009D0006" w:rsidP="00DC683E">
            <w:pPr>
              <w:pStyle w:val="Tabletext"/>
              <w:rPr>
                <w:lang w:val="en-US"/>
              </w:rPr>
            </w:pPr>
            <w:r w:rsidRPr="001C2DF4">
              <w:rPr>
                <w:lang w:val="en-US"/>
              </w:rPr>
              <w:t>0.4</w:t>
            </w:r>
          </w:p>
        </w:tc>
      </w:tr>
    </w:tbl>
    <w:p w14:paraId="0A97A062" w14:textId="77777777" w:rsidR="009D0006" w:rsidRDefault="009D0006" w:rsidP="00FE2582">
      <w:pPr>
        <w:spacing w:before="360"/>
        <w:rPr>
          <w:lang w:val="en-GB"/>
        </w:rPr>
      </w:pPr>
      <w:r>
        <w:rPr>
          <w:lang w:val="en-GB"/>
        </w:rPr>
        <w:t>As displayed in Table 10, a</w:t>
      </w:r>
      <w:r w:rsidRPr="00692BC1">
        <w:rPr>
          <w:lang w:val="en-GB"/>
        </w:rPr>
        <w:t xml:space="preserve">lmost two-fifths (38.9%; n = 1014) of adults with disability </w:t>
      </w:r>
      <w:r>
        <w:rPr>
          <w:lang w:val="en-GB"/>
        </w:rPr>
        <w:t xml:space="preserve">in </w:t>
      </w:r>
      <w:r w:rsidRPr="00A05423">
        <w:rPr>
          <w:i/>
          <w:iCs/>
          <w:lang w:val="en-GB"/>
        </w:rPr>
        <w:t>Private Lives 3</w:t>
      </w:r>
      <w:r>
        <w:rPr>
          <w:lang w:val="en-GB"/>
        </w:rPr>
        <w:t xml:space="preserve"> </w:t>
      </w:r>
      <w:r w:rsidRPr="00692BC1">
        <w:rPr>
          <w:lang w:val="en-GB"/>
        </w:rPr>
        <w:t>resided in a capital city centre, followed by three-tenths (29.9%; n = 780) in a capital city suburb and one-quarter (24.1%; n = 627) in a regional city or town, 6.8% (n = 176) in a rural area and 0.4% (n = 9) in a remote area. Slightly more participants with disability (63.7%) resided outside of capital cities than among the general population, in which 71% of Australians reportedly reside in major cities</w:t>
      </w:r>
      <w:r>
        <w:rPr>
          <w:lang w:val="en-GB"/>
        </w:rPr>
        <w:t>.</w:t>
      </w:r>
      <w:r w:rsidRPr="005D392B">
        <w:rPr>
          <w:lang w:val="en-GB"/>
        </w:rPr>
        <w:fldChar w:fldCharType="begin"/>
      </w:r>
      <w:r>
        <w:rPr>
          <w:lang w:val="en-GB"/>
        </w:rPr>
        <w:instrText xml:space="preserve"> ADDIN ZOTERO_ITEM CSL_CITATION {"citationID":"a1qdlc51sdo","properties":{"formattedCitation":"(24)","plainCitation":"(24)","noteIndex":0},"citationItems":[{"id":5730,"uris":["http://zotero.org/groups/2463045/items/8VM7CVPD"],"itemData":{"id":5730,"type":"report","event-place":"Canberra","publisher":"Australian Bureau of Statistics","publisher-place":"Canberra","title":"Survey of income and housing summary","URL":"https://www.abs.gov.au/ausstats/abs@.nsf/0/88BF225497426920CA257F5C000989A8?Opendocument","author":[{"family":"Australian Bureau of Statistics","given":""}],"issued":{"date-parts":[["2018"]]},"citation-key":"australianbureauofstatisticsSurveyIncomeHousing2018"}}],"schema":"https://github.com/citation-style-language/schema/raw/master/csl-citation.json"} </w:instrText>
      </w:r>
      <w:r w:rsidRPr="005D392B">
        <w:rPr>
          <w:lang w:val="en-GB"/>
        </w:rPr>
        <w:fldChar w:fldCharType="separate"/>
      </w:r>
      <w:r>
        <w:rPr>
          <w:lang w:val="en-GB"/>
        </w:rPr>
        <w:t>(24)</w:t>
      </w:r>
      <w:r w:rsidRPr="005D392B">
        <w:rPr>
          <w:lang w:val="en-GB"/>
        </w:rPr>
        <w:fldChar w:fldCharType="end"/>
      </w:r>
      <w:bookmarkStart w:id="235" w:name="_Toc40192092"/>
      <w:bookmarkStart w:id="236" w:name="_Toc48137718"/>
      <w:bookmarkStart w:id="237" w:name="_Toc58252051"/>
    </w:p>
    <w:p w14:paraId="75F07D88" w14:textId="2B73DC91" w:rsidR="009D0006" w:rsidRPr="00692BC1" w:rsidRDefault="009D0006" w:rsidP="00153892">
      <w:pPr>
        <w:pStyle w:val="Heading2Numbered"/>
      </w:pPr>
      <w:bookmarkStart w:id="238" w:name="_Toc115968517"/>
      <w:bookmarkStart w:id="239" w:name="_Toc119662405"/>
      <w:r w:rsidRPr="00692BC1">
        <w:t>Gender identity and sexual</w:t>
      </w:r>
      <w:r>
        <w:t xml:space="preserve"> orientation</w:t>
      </w:r>
      <w:bookmarkEnd w:id="235"/>
      <w:bookmarkEnd w:id="236"/>
      <w:bookmarkEnd w:id="237"/>
      <w:bookmarkEnd w:id="238"/>
      <w:bookmarkEnd w:id="239"/>
    </w:p>
    <w:p w14:paraId="260CB182" w14:textId="16E16219" w:rsidR="009D0006" w:rsidRPr="002306D8" w:rsidRDefault="009D0006" w:rsidP="00153892">
      <w:pPr>
        <w:pStyle w:val="Heading3Numbered"/>
      </w:pPr>
      <w:bookmarkStart w:id="240" w:name="_Toc115968518"/>
      <w:bookmarkStart w:id="241" w:name="_Toc48137899"/>
      <w:r w:rsidRPr="002306D8">
        <w:t>Gender identity – young people aged 14-21 years</w:t>
      </w:r>
      <w:bookmarkEnd w:id="240"/>
    </w:p>
    <w:p w14:paraId="6BC36E61" w14:textId="6EE62418" w:rsidR="000067D6" w:rsidRDefault="009D0006" w:rsidP="00790B45">
      <w:r w:rsidRPr="00692BC1">
        <w:t xml:space="preserve">Participants were offered and selected </w:t>
      </w:r>
      <w:r>
        <w:t>from among 19 different</w:t>
      </w:r>
      <w:r w:rsidRPr="00692BC1">
        <w:t xml:space="preserve"> gender identities</w:t>
      </w:r>
      <w:r>
        <w:t xml:space="preserve"> in the </w:t>
      </w:r>
      <w:r w:rsidRPr="00692BC1">
        <w:rPr>
          <w:i/>
          <w:iCs/>
        </w:rPr>
        <w:t>Writing Themselves In 4</w:t>
      </w:r>
      <w:r>
        <w:rPr>
          <w:i/>
          <w:iCs/>
        </w:rPr>
        <w:t xml:space="preserve"> </w:t>
      </w:r>
      <w:r>
        <w:t>survey, as well as having the option to describe themselves in their own terms</w:t>
      </w:r>
      <w:r w:rsidRPr="00692BC1">
        <w:t>.</w:t>
      </w:r>
      <w:r>
        <w:t xml:space="preserve"> The analysis of their responses is explained in detail in Chapter 2 of the </w:t>
      </w:r>
      <w:r w:rsidRPr="00F777F8">
        <w:rPr>
          <w:i/>
          <w:iCs/>
        </w:rPr>
        <w:t>Writing Themselves In 4</w:t>
      </w:r>
      <w:r>
        <w:t xml:space="preserve"> national report. R</w:t>
      </w:r>
      <w:r w:rsidRPr="00692BC1">
        <w:t>espondents were categorised into five broad gender categorie</w:t>
      </w:r>
      <w:r>
        <w:t>s, as shown in Table 11.</w:t>
      </w:r>
      <w:r w:rsidR="000067D6">
        <w:br w:type="page"/>
      </w:r>
    </w:p>
    <w:p w14:paraId="0FB43BFD" w14:textId="2F8DF308" w:rsidR="009D0006" w:rsidRPr="00B553DB" w:rsidRDefault="009D0006" w:rsidP="00DC683E">
      <w:pPr>
        <w:pStyle w:val="Tableheading"/>
      </w:pPr>
      <w:bookmarkStart w:id="242" w:name="_Toc117062729"/>
      <w:bookmarkStart w:id="243" w:name="_Toc119651414"/>
      <w:r w:rsidRPr="00B553DB">
        <w:lastRenderedPageBreak/>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rsidRPr="00B553DB">
        <w:t xml:space="preserve">: Gender of young people </w:t>
      </w:r>
      <w:r>
        <w:t xml:space="preserve">with disability </w:t>
      </w:r>
      <w:r w:rsidRPr="00B553DB">
        <w:t>aged 14-21 years</w:t>
      </w:r>
      <w:bookmarkEnd w:id="241"/>
      <w:r w:rsidRPr="00B553DB">
        <w:t xml:space="preserve"> (n = 2406)</w:t>
      </w:r>
      <w:bookmarkEnd w:id="242"/>
      <w:bookmarkEnd w:id="243"/>
    </w:p>
    <w:tbl>
      <w:tblPr>
        <w:tblStyle w:val="RCTable"/>
        <w:tblW w:w="9864" w:type="dxa"/>
        <w:tblLook w:val="04A0" w:firstRow="1" w:lastRow="0" w:firstColumn="1" w:lastColumn="0" w:noHBand="0" w:noVBand="1"/>
      </w:tblPr>
      <w:tblGrid>
        <w:gridCol w:w="6746"/>
        <w:gridCol w:w="1559"/>
        <w:gridCol w:w="1559"/>
      </w:tblGrid>
      <w:tr w:rsidR="009D0006" w:rsidRPr="001C2DF4" w14:paraId="4A961DD0"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06E1CB9" w14:textId="77777777" w:rsidR="009D0006" w:rsidRPr="00DC683E" w:rsidRDefault="009D0006" w:rsidP="00DC683E">
            <w:pPr>
              <w:pStyle w:val="Tableheader"/>
            </w:pPr>
            <w:r w:rsidRPr="00DC683E">
              <w:t>Gender</w:t>
            </w:r>
          </w:p>
        </w:tc>
        <w:tc>
          <w:tcPr>
            <w:tcW w:w="1559" w:type="dxa"/>
            <w:noWrap/>
            <w:hideMark/>
          </w:tcPr>
          <w:p w14:paraId="6B50A771" w14:textId="77777777" w:rsidR="009D0006" w:rsidRPr="00DC683E" w:rsidRDefault="009D0006" w:rsidP="00DC683E">
            <w:pPr>
              <w:pStyle w:val="Tableheader"/>
            </w:pPr>
            <w:r w:rsidRPr="00DC683E">
              <w:t>n</w:t>
            </w:r>
          </w:p>
        </w:tc>
        <w:tc>
          <w:tcPr>
            <w:tcW w:w="1559" w:type="dxa"/>
            <w:noWrap/>
            <w:hideMark/>
          </w:tcPr>
          <w:p w14:paraId="103489C6" w14:textId="77777777" w:rsidR="009D0006" w:rsidRPr="00DC683E" w:rsidRDefault="009D0006" w:rsidP="00DC683E">
            <w:pPr>
              <w:pStyle w:val="Tableheader"/>
            </w:pPr>
            <w:r w:rsidRPr="00DC683E">
              <w:t>%</w:t>
            </w:r>
          </w:p>
        </w:tc>
      </w:tr>
      <w:tr w:rsidR="009D0006" w:rsidRPr="001C2DF4" w14:paraId="2746B701"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C0286D5" w14:textId="77777777" w:rsidR="009D0006" w:rsidRPr="001C2DF4" w:rsidRDefault="009D0006" w:rsidP="00DC683E">
            <w:pPr>
              <w:pStyle w:val="Tabletext"/>
              <w:rPr>
                <w:lang w:val="en-US"/>
              </w:rPr>
            </w:pPr>
            <w:r w:rsidRPr="001C2DF4">
              <w:t>Cisgender woman</w:t>
            </w:r>
          </w:p>
        </w:tc>
        <w:tc>
          <w:tcPr>
            <w:tcW w:w="1559" w:type="dxa"/>
            <w:noWrap/>
          </w:tcPr>
          <w:p w14:paraId="07FB8428" w14:textId="77777777" w:rsidR="009D0006" w:rsidRPr="001C2DF4" w:rsidRDefault="009D0006" w:rsidP="00DC683E">
            <w:pPr>
              <w:pStyle w:val="Tabletext"/>
              <w:rPr>
                <w:lang w:val="en-US"/>
              </w:rPr>
            </w:pPr>
            <w:r w:rsidRPr="001C2DF4">
              <w:t>1150</w:t>
            </w:r>
          </w:p>
        </w:tc>
        <w:tc>
          <w:tcPr>
            <w:tcW w:w="1559" w:type="dxa"/>
            <w:noWrap/>
          </w:tcPr>
          <w:p w14:paraId="57099FDD" w14:textId="77777777" w:rsidR="009D0006" w:rsidRPr="001C2DF4" w:rsidRDefault="009D0006" w:rsidP="00DC683E">
            <w:pPr>
              <w:pStyle w:val="Tabletext"/>
              <w:rPr>
                <w:lang w:val="en-US"/>
              </w:rPr>
            </w:pPr>
            <w:r w:rsidRPr="001C2DF4">
              <w:t>47.8</w:t>
            </w:r>
          </w:p>
        </w:tc>
      </w:tr>
      <w:tr w:rsidR="009D0006" w:rsidRPr="001C2DF4" w14:paraId="2DCEAE9B"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EE77368" w14:textId="77777777" w:rsidR="009D0006" w:rsidRPr="001C2DF4" w:rsidRDefault="009D0006" w:rsidP="00DC683E">
            <w:pPr>
              <w:pStyle w:val="Tabletext"/>
              <w:rPr>
                <w:lang w:val="en-US"/>
              </w:rPr>
            </w:pPr>
            <w:r w:rsidRPr="001C2DF4">
              <w:t>Cisgender man</w:t>
            </w:r>
          </w:p>
        </w:tc>
        <w:tc>
          <w:tcPr>
            <w:tcW w:w="1559" w:type="dxa"/>
            <w:noWrap/>
          </w:tcPr>
          <w:p w14:paraId="70435902" w14:textId="77777777" w:rsidR="009D0006" w:rsidRPr="001C2DF4" w:rsidRDefault="009D0006" w:rsidP="00DC683E">
            <w:pPr>
              <w:pStyle w:val="Tabletext"/>
              <w:rPr>
                <w:lang w:val="en-US"/>
              </w:rPr>
            </w:pPr>
            <w:r w:rsidRPr="001C2DF4">
              <w:t>303</w:t>
            </w:r>
          </w:p>
        </w:tc>
        <w:tc>
          <w:tcPr>
            <w:tcW w:w="1559" w:type="dxa"/>
            <w:noWrap/>
          </w:tcPr>
          <w:p w14:paraId="62BAA812" w14:textId="77777777" w:rsidR="009D0006" w:rsidRPr="001C2DF4" w:rsidRDefault="009D0006" w:rsidP="00DC683E">
            <w:pPr>
              <w:pStyle w:val="Tabletext"/>
              <w:rPr>
                <w:lang w:val="en-US"/>
              </w:rPr>
            </w:pPr>
            <w:r w:rsidRPr="001C2DF4">
              <w:t>12.6</w:t>
            </w:r>
          </w:p>
        </w:tc>
      </w:tr>
      <w:tr w:rsidR="009D0006" w:rsidRPr="001C2DF4" w14:paraId="0837CBEA"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D0D31A5" w14:textId="77777777" w:rsidR="009D0006" w:rsidRPr="001C2DF4" w:rsidRDefault="009D0006" w:rsidP="00DC683E">
            <w:pPr>
              <w:pStyle w:val="Tabletext"/>
              <w:rPr>
                <w:lang w:val="en-US"/>
              </w:rPr>
            </w:pPr>
            <w:r w:rsidRPr="001C2DF4">
              <w:t>Trans woman</w:t>
            </w:r>
          </w:p>
        </w:tc>
        <w:tc>
          <w:tcPr>
            <w:tcW w:w="1559" w:type="dxa"/>
            <w:noWrap/>
          </w:tcPr>
          <w:p w14:paraId="2E366FC4" w14:textId="77777777" w:rsidR="009D0006" w:rsidRPr="001C2DF4" w:rsidRDefault="009D0006" w:rsidP="00DC683E">
            <w:pPr>
              <w:pStyle w:val="Tabletext"/>
              <w:rPr>
                <w:lang w:val="en-US"/>
              </w:rPr>
            </w:pPr>
            <w:r w:rsidRPr="001C2DF4">
              <w:t>46</w:t>
            </w:r>
          </w:p>
        </w:tc>
        <w:tc>
          <w:tcPr>
            <w:tcW w:w="1559" w:type="dxa"/>
            <w:noWrap/>
          </w:tcPr>
          <w:p w14:paraId="796A9089" w14:textId="77777777" w:rsidR="009D0006" w:rsidRPr="001C2DF4" w:rsidRDefault="009D0006" w:rsidP="00DC683E">
            <w:pPr>
              <w:pStyle w:val="Tabletext"/>
              <w:rPr>
                <w:lang w:val="en-US"/>
              </w:rPr>
            </w:pPr>
            <w:r w:rsidRPr="001C2DF4">
              <w:t>1.9</w:t>
            </w:r>
          </w:p>
        </w:tc>
      </w:tr>
      <w:tr w:rsidR="009D0006" w:rsidRPr="001C2DF4" w14:paraId="7CE1FDFA"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F967219" w14:textId="77777777" w:rsidR="009D0006" w:rsidRPr="001C2DF4" w:rsidRDefault="009D0006" w:rsidP="00DC683E">
            <w:pPr>
              <w:pStyle w:val="Tabletext"/>
              <w:rPr>
                <w:lang w:val="en-US"/>
              </w:rPr>
            </w:pPr>
            <w:r w:rsidRPr="001C2DF4">
              <w:t>Trans man</w:t>
            </w:r>
          </w:p>
        </w:tc>
        <w:tc>
          <w:tcPr>
            <w:tcW w:w="1559" w:type="dxa"/>
            <w:noWrap/>
          </w:tcPr>
          <w:p w14:paraId="29A41BB9" w14:textId="77777777" w:rsidR="009D0006" w:rsidRPr="001C2DF4" w:rsidRDefault="009D0006" w:rsidP="00DC683E">
            <w:pPr>
              <w:pStyle w:val="Tabletext"/>
              <w:rPr>
                <w:lang w:val="en-US"/>
              </w:rPr>
            </w:pPr>
            <w:r w:rsidRPr="001C2DF4">
              <w:t>239</w:t>
            </w:r>
          </w:p>
        </w:tc>
        <w:tc>
          <w:tcPr>
            <w:tcW w:w="1559" w:type="dxa"/>
            <w:noWrap/>
          </w:tcPr>
          <w:p w14:paraId="17C85E9A" w14:textId="77777777" w:rsidR="009D0006" w:rsidRPr="001C2DF4" w:rsidRDefault="009D0006" w:rsidP="00DC683E">
            <w:pPr>
              <w:pStyle w:val="Tabletext"/>
              <w:rPr>
                <w:lang w:val="en-US"/>
              </w:rPr>
            </w:pPr>
            <w:r w:rsidRPr="001C2DF4">
              <w:t>9.9</w:t>
            </w:r>
          </w:p>
        </w:tc>
      </w:tr>
      <w:tr w:rsidR="009D0006" w:rsidRPr="001C2DF4" w14:paraId="25EDEE4F"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4D95D54" w14:textId="77777777" w:rsidR="009D0006" w:rsidRPr="001C2DF4" w:rsidRDefault="009D0006" w:rsidP="00DC683E">
            <w:pPr>
              <w:pStyle w:val="Tabletext"/>
              <w:rPr>
                <w:lang w:val="en-US"/>
              </w:rPr>
            </w:pPr>
            <w:r w:rsidRPr="001C2DF4">
              <w:t>Non-binary</w:t>
            </w:r>
          </w:p>
        </w:tc>
        <w:tc>
          <w:tcPr>
            <w:tcW w:w="1559" w:type="dxa"/>
            <w:noWrap/>
          </w:tcPr>
          <w:p w14:paraId="21DE1C96" w14:textId="77777777" w:rsidR="009D0006" w:rsidRPr="001C2DF4" w:rsidRDefault="009D0006" w:rsidP="00DC683E">
            <w:pPr>
              <w:pStyle w:val="Tabletext"/>
              <w:rPr>
                <w:lang w:val="en-US"/>
              </w:rPr>
            </w:pPr>
            <w:r w:rsidRPr="001C2DF4">
              <w:t>668</w:t>
            </w:r>
          </w:p>
        </w:tc>
        <w:tc>
          <w:tcPr>
            <w:tcW w:w="1559" w:type="dxa"/>
            <w:noWrap/>
          </w:tcPr>
          <w:p w14:paraId="60FB5B64" w14:textId="77777777" w:rsidR="009D0006" w:rsidRPr="001C2DF4" w:rsidRDefault="009D0006" w:rsidP="00DC683E">
            <w:pPr>
              <w:pStyle w:val="Tabletext"/>
              <w:rPr>
                <w:lang w:val="en-US"/>
              </w:rPr>
            </w:pPr>
            <w:r w:rsidRPr="001C2DF4">
              <w:t>27.8</w:t>
            </w:r>
          </w:p>
        </w:tc>
      </w:tr>
    </w:tbl>
    <w:p w14:paraId="1F71B14C" w14:textId="77777777" w:rsidR="009D0006" w:rsidRPr="00692BC1" w:rsidRDefault="009D0006" w:rsidP="00FE2582">
      <w:pPr>
        <w:spacing w:before="360"/>
        <w:rPr>
          <w:rFonts w:eastAsiaTheme="minorEastAsia" w:cstheme="minorBidi"/>
        </w:rPr>
      </w:pPr>
      <w:bookmarkStart w:id="244" w:name="_Hlk50370439"/>
      <w:r>
        <w:t xml:space="preserve">As displayed in Table 11, </w:t>
      </w:r>
      <w:r w:rsidRPr="00692BC1">
        <w:t>more than two</w:t>
      </w:r>
      <w:r>
        <w:t>-</w:t>
      </w:r>
      <w:r w:rsidRPr="00692BC1">
        <w:t>fifths (47.8%; n = 1150) of participants with disability were categorised as cisgender women, 12.6% (n = 303) as cisgender men, 1.9% (n = 46) as trans women, 9.9% (n = 239) as trans men and 27.8%</w:t>
      </w:r>
      <w:r>
        <w:t xml:space="preserve"> (</w:t>
      </w:r>
      <w:r w:rsidRPr="00692BC1">
        <w:t xml:space="preserve">n = 668) as non-binary. The </w:t>
      </w:r>
      <w:r w:rsidRPr="00692BC1">
        <w:rPr>
          <w:i/>
          <w:iCs/>
        </w:rPr>
        <w:t xml:space="preserve">Writing Themselves In 4 </w:t>
      </w:r>
      <w:r w:rsidRPr="00692BC1">
        <w:t xml:space="preserve">survey was completed by 953 trans and gender diverse participants with disability, </w:t>
      </w:r>
      <w:r>
        <w:t xml:space="preserve">which is </w:t>
      </w:r>
      <w:r w:rsidRPr="00692BC1">
        <w:t xml:space="preserve">the largest </w:t>
      </w:r>
      <w:r>
        <w:t xml:space="preserve">ever known </w:t>
      </w:r>
      <w:r w:rsidRPr="00692BC1">
        <w:t xml:space="preserve">survey </w:t>
      </w:r>
      <w:r>
        <w:t xml:space="preserve">sample </w:t>
      </w:r>
      <w:r w:rsidRPr="00692BC1">
        <w:t>of LGBTQ</w:t>
      </w:r>
      <w:r>
        <w:t>A+</w:t>
      </w:r>
      <w:r w:rsidRPr="00692BC1">
        <w:t xml:space="preserve"> trans and gender diverse young people with disability in Australia at the time of publication. </w:t>
      </w:r>
    </w:p>
    <w:p w14:paraId="67AB862D" w14:textId="5F7D0E21" w:rsidR="009D0006" w:rsidRPr="002306D8" w:rsidRDefault="009D0006" w:rsidP="00153892">
      <w:pPr>
        <w:pStyle w:val="Heading3Numbered"/>
      </w:pPr>
      <w:bookmarkStart w:id="245" w:name="_Toc115968519"/>
      <w:bookmarkStart w:id="246" w:name="_Toc40181835"/>
      <w:bookmarkStart w:id="247" w:name="_Toc40192093"/>
      <w:bookmarkStart w:id="248" w:name="_Toc44868192"/>
      <w:bookmarkStart w:id="249" w:name="_Toc48137900"/>
      <w:bookmarkStart w:id="250" w:name="_Toc79097266"/>
      <w:bookmarkStart w:id="251" w:name="_Toc79098639"/>
      <w:bookmarkEnd w:id="244"/>
      <w:r w:rsidRPr="002306D8">
        <w:t>Gender identity – adults aged 18+ years</w:t>
      </w:r>
      <w:bookmarkEnd w:id="245"/>
    </w:p>
    <w:p w14:paraId="3A4756D2" w14:textId="77777777" w:rsidR="009D0006" w:rsidRDefault="009D0006" w:rsidP="009D0006">
      <w:r w:rsidRPr="00692BC1">
        <w:t xml:space="preserve">Participants were </w:t>
      </w:r>
      <w:r>
        <w:t xml:space="preserve">likewise </w:t>
      </w:r>
      <w:r w:rsidRPr="00692BC1">
        <w:t xml:space="preserve">offered and selected </w:t>
      </w:r>
      <w:r>
        <w:t xml:space="preserve">from </w:t>
      </w:r>
      <w:r w:rsidRPr="00692BC1">
        <w:t>a wide range of gender identities</w:t>
      </w:r>
      <w:r>
        <w:t xml:space="preserve"> in the </w:t>
      </w:r>
      <w:r w:rsidRPr="00692BC1">
        <w:rPr>
          <w:i/>
          <w:iCs/>
        </w:rPr>
        <w:t>Private Lives 3</w:t>
      </w:r>
      <w:r w:rsidRPr="00692BC1">
        <w:t xml:space="preserve"> survey. However, for the purpose of analysis</w:t>
      </w:r>
      <w:r>
        <w:t>,</w:t>
      </w:r>
      <w:r w:rsidRPr="00692BC1">
        <w:t xml:space="preserve"> respondents were </w:t>
      </w:r>
      <w:r>
        <w:t xml:space="preserve">also </w:t>
      </w:r>
      <w:r w:rsidRPr="00692BC1">
        <w:t>categorised into five broad gender categories</w:t>
      </w:r>
      <w:r>
        <w:t>, as shown in Table 12.</w:t>
      </w:r>
    </w:p>
    <w:p w14:paraId="5DDA9466" w14:textId="77777777" w:rsidR="009D0006" w:rsidRPr="00B553DB" w:rsidRDefault="009D0006" w:rsidP="00DC683E">
      <w:pPr>
        <w:pStyle w:val="Tableheading"/>
      </w:pPr>
      <w:bookmarkStart w:id="252" w:name="_Toc117062730"/>
      <w:bookmarkStart w:id="253" w:name="_Toc119651415"/>
      <w:r w:rsidRPr="00B553DB">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rsidRPr="00B553DB">
        <w:t xml:space="preserve">: Gender of adults </w:t>
      </w:r>
      <w:r>
        <w:t xml:space="preserve">with disability </w:t>
      </w:r>
      <w:r w:rsidRPr="00B553DB">
        <w:t>aged 18+ years (n = 2600)</w:t>
      </w:r>
      <w:bookmarkEnd w:id="252"/>
      <w:bookmarkEnd w:id="253"/>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563134AC"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57BEC4A" w14:textId="77777777" w:rsidR="009D0006" w:rsidRPr="001C2DF4" w:rsidRDefault="009D0006" w:rsidP="00DC683E">
            <w:pPr>
              <w:pStyle w:val="Tableheader"/>
              <w:rPr>
                <w:lang w:val="en-US"/>
              </w:rPr>
            </w:pPr>
            <w:r w:rsidRPr="001C2DF4">
              <w:t xml:space="preserve">Gender </w:t>
            </w:r>
          </w:p>
        </w:tc>
        <w:tc>
          <w:tcPr>
            <w:tcW w:w="1559" w:type="dxa"/>
            <w:noWrap/>
            <w:hideMark/>
          </w:tcPr>
          <w:p w14:paraId="1E24A78E" w14:textId="77777777" w:rsidR="009D0006" w:rsidRPr="001C2DF4" w:rsidRDefault="009D0006" w:rsidP="00DC683E">
            <w:pPr>
              <w:pStyle w:val="Tableheader"/>
              <w:rPr>
                <w:lang w:val="en-US"/>
              </w:rPr>
            </w:pPr>
            <w:r>
              <w:rPr>
                <w:color w:val="000000"/>
              </w:rPr>
              <w:t>n</w:t>
            </w:r>
          </w:p>
        </w:tc>
        <w:tc>
          <w:tcPr>
            <w:tcW w:w="1559" w:type="dxa"/>
            <w:noWrap/>
            <w:hideMark/>
          </w:tcPr>
          <w:p w14:paraId="7F3CAFCC" w14:textId="77777777" w:rsidR="009D0006" w:rsidRPr="001C2DF4" w:rsidRDefault="009D0006" w:rsidP="00DC683E">
            <w:pPr>
              <w:pStyle w:val="Tableheader"/>
              <w:rPr>
                <w:lang w:val="en-US"/>
              </w:rPr>
            </w:pPr>
            <w:r w:rsidRPr="001C2DF4">
              <w:t>%</w:t>
            </w:r>
          </w:p>
        </w:tc>
      </w:tr>
      <w:tr w:rsidR="009D0006" w:rsidRPr="001C2DF4" w14:paraId="65436BA7"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8BE8539" w14:textId="77777777" w:rsidR="009D0006" w:rsidRPr="001C2DF4" w:rsidRDefault="009D0006" w:rsidP="00DC683E">
            <w:pPr>
              <w:pStyle w:val="Tabletext"/>
              <w:rPr>
                <w:lang w:val="en-US"/>
              </w:rPr>
            </w:pPr>
            <w:r w:rsidRPr="001C2DF4">
              <w:t>Cisgender woman</w:t>
            </w:r>
          </w:p>
        </w:tc>
        <w:tc>
          <w:tcPr>
            <w:tcW w:w="1559" w:type="dxa"/>
            <w:noWrap/>
          </w:tcPr>
          <w:p w14:paraId="0009B447" w14:textId="77777777" w:rsidR="009D0006" w:rsidRPr="001C2DF4" w:rsidRDefault="009D0006" w:rsidP="00DC683E">
            <w:pPr>
              <w:pStyle w:val="Tabletext"/>
              <w:rPr>
                <w:lang w:val="en-US"/>
              </w:rPr>
            </w:pPr>
            <w:r w:rsidRPr="001C2DF4">
              <w:t>1224</w:t>
            </w:r>
          </w:p>
        </w:tc>
        <w:tc>
          <w:tcPr>
            <w:tcW w:w="1559" w:type="dxa"/>
            <w:noWrap/>
          </w:tcPr>
          <w:p w14:paraId="0F55AFBC" w14:textId="77777777" w:rsidR="009D0006" w:rsidRPr="001C2DF4" w:rsidRDefault="009D0006" w:rsidP="00DC683E">
            <w:pPr>
              <w:pStyle w:val="Tabletext"/>
              <w:rPr>
                <w:lang w:val="en-US"/>
              </w:rPr>
            </w:pPr>
            <w:r w:rsidRPr="001C2DF4">
              <w:t>47.1</w:t>
            </w:r>
          </w:p>
        </w:tc>
      </w:tr>
      <w:tr w:rsidR="009D0006" w:rsidRPr="001C2DF4" w14:paraId="23253EC6"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685E18B" w14:textId="77777777" w:rsidR="009D0006" w:rsidRPr="001C2DF4" w:rsidRDefault="009D0006" w:rsidP="00DC683E">
            <w:pPr>
              <w:pStyle w:val="Tabletext"/>
              <w:rPr>
                <w:lang w:val="en-US"/>
              </w:rPr>
            </w:pPr>
            <w:r w:rsidRPr="001C2DF4">
              <w:t>Cisgender man</w:t>
            </w:r>
          </w:p>
        </w:tc>
        <w:tc>
          <w:tcPr>
            <w:tcW w:w="1559" w:type="dxa"/>
            <w:noWrap/>
          </w:tcPr>
          <w:p w14:paraId="392A6D22" w14:textId="77777777" w:rsidR="009D0006" w:rsidRPr="001C2DF4" w:rsidRDefault="009D0006" w:rsidP="00DC683E">
            <w:pPr>
              <w:pStyle w:val="Tabletext"/>
              <w:rPr>
                <w:lang w:val="en-US"/>
              </w:rPr>
            </w:pPr>
            <w:r w:rsidRPr="001C2DF4">
              <w:t>514</w:t>
            </w:r>
          </w:p>
        </w:tc>
        <w:tc>
          <w:tcPr>
            <w:tcW w:w="1559" w:type="dxa"/>
            <w:noWrap/>
          </w:tcPr>
          <w:p w14:paraId="2BA990D0" w14:textId="77777777" w:rsidR="009D0006" w:rsidRPr="001C2DF4" w:rsidRDefault="009D0006" w:rsidP="00DC683E">
            <w:pPr>
              <w:pStyle w:val="Tabletext"/>
              <w:rPr>
                <w:lang w:val="en-US"/>
              </w:rPr>
            </w:pPr>
            <w:r w:rsidRPr="001C2DF4">
              <w:t>19.8</w:t>
            </w:r>
          </w:p>
        </w:tc>
      </w:tr>
      <w:tr w:rsidR="009D0006" w:rsidRPr="001C2DF4" w14:paraId="0DCD675B"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6E60925" w14:textId="77777777" w:rsidR="009D0006" w:rsidRPr="001C2DF4" w:rsidRDefault="009D0006" w:rsidP="00DC683E">
            <w:pPr>
              <w:pStyle w:val="Tabletext"/>
              <w:rPr>
                <w:lang w:val="en-US"/>
              </w:rPr>
            </w:pPr>
            <w:r w:rsidRPr="001C2DF4">
              <w:t>Trans woman</w:t>
            </w:r>
          </w:p>
        </w:tc>
        <w:tc>
          <w:tcPr>
            <w:tcW w:w="1559" w:type="dxa"/>
            <w:noWrap/>
          </w:tcPr>
          <w:p w14:paraId="21F9BAC4" w14:textId="77777777" w:rsidR="009D0006" w:rsidRPr="001C2DF4" w:rsidRDefault="009D0006" w:rsidP="00DC683E">
            <w:pPr>
              <w:pStyle w:val="Tabletext"/>
              <w:rPr>
                <w:lang w:val="en-US"/>
              </w:rPr>
            </w:pPr>
            <w:r w:rsidRPr="001C2DF4">
              <w:t>132</w:t>
            </w:r>
          </w:p>
        </w:tc>
        <w:tc>
          <w:tcPr>
            <w:tcW w:w="1559" w:type="dxa"/>
            <w:noWrap/>
          </w:tcPr>
          <w:p w14:paraId="047EC161" w14:textId="77777777" w:rsidR="009D0006" w:rsidRPr="001C2DF4" w:rsidRDefault="009D0006" w:rsidP="00DC683E">
            <w:pPr>
              <w:pStyle w:val="Tabletext"/>
              <w:rPr>
                <w:lang w:val="en-US"/>
              </w:rPr>
            </w:pPr>
            <w:r w:rsidRPr="001C2DF4">
              <w:t>5.1</w:t>
            </w:r>
          </w:p>
        </w:tc>
      </w:tr>
      <w:tr w:rsidR="009D0006" w:rsidRPr="001C2DF4" w14:paraId="74CC4B41"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1C02BB9E" w14:textId="77777777" w:rsidR="009D0006" w:rsidRPr="001C2DF4" w:rsidRDefault="009D0006" w:rsidP="00DC683E">
            <w:pPr>
              <w:pStyle w:val="Tabletext"/>
              <w:rPr>
                <w:lang w:val="en-US"/>
              </w:rPr>
            </w:pPr>
            <w:r w:rsidRPr="001C2DF4">
              <w:t>Trans man</w:t>
            </w:r>
          </w:p>
        </w:tc>
        <w:tc>
          <w:tcPr>
            <w:tcW w:w="1559" w:type="dxa"/>
            <w:noWrap/>
          </w:tcPr>
          <w:p w14:paraId="2FE460A9" w14:textId="77777777" w:rsidR="009D0006" w:rsidRPr="001C2DF4" w:rsidRDefault="009D0006" w:rsidP="00DC683E">
            <w:pPr>
              <w:pStyle w:val="Tabletext"/>
              <w:rPr>
                <w:lang w:val="en-US"/>
              </w:rPr>
            </w:pPr>
            <w:r w:rsidRPr="001C2DF4">
              <w:t>168</w:t>
            </w:r>
          </w:p>
        </w:tc>
        <w:tc>
          <w:tcPr>
            <w:tcW w:w="1559" w:type="dxa"/>
            <w:noWrap/>
          </w:tcPr>
          <w:p w14:paraId="675CF913" w14:textId="77777777" w:rsidR="009D0006" w:rsidRPr="001C2DF4" w:rsidRDefault="009D0006" w:rsidP="00DC683E">
            <w:pPr>
              <w:pStyle w:val="Tabletext"/>
              <w:rPr>
                <w:lang w:val="en-US"/>
              </w:rPr>
            </w:pPr>
            <w:r w:rsidRPr="001C2DF4">
              <w:t>6.5</w:t>
            </w:r>
          </w:p>
        </w:tc>
      </w:tr>
      <w:tr w:rsidR="009D0006" w:rsidRPr="001C2DF4" w14:paraId="0B8CF7B9"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C6FF865" w14:textId="77777777" w:rsidR="009D0006" w:rsidRPr="001C2DF4" w:rsidRDefault="009D0006" w:rsidP="00DC683E">
            <w:pPr>
              <w:pStyle w:val="Tabletext"/>
              <w:rPr>
                <w:lang w:val="en-US"/>
              </w:rPr>
            </w:pPr>
            <w:r w:rsidRPr="001C2DF4">
              <w:t>Non-binary</w:t>
            </w:r>
          </w:p>
        </w:tc>
        <w:tc>
          <w:tcPr>
            <w:tcW w:w="1559" w:type="dxa"/>
            <w:noWrap/>
          </w:tcPr>
          <w:p w14:paraId="4E99173A" w14:textId="77777777" w:rsidR="009D0006" w:rsidRPr="001C2DF4" w:rsidRDefault="009D0006" w:rsidP="00DC683E">
            <w:pPr>
              <w:pStyle w:val="Tabletext"/>
              <w:rPr>
                <w:lang w:val="en-US"/>
              </w:rPr>
            </w:pPr>
            <w:r w:rsidRPr="001C2DF4">
              <w:t>562</w:t>
            </w:r>
          </w:p>
        </w:tc>
        <w:tc>
          <w:tcPr>
            <w:tcW w:w="1559" w:type="dxa"/>
            <w:noWrap/>
          </w:tcPr>
          <w:p w14:paraId="621CF26C" w14:textId="77777777" w:rsidR="009D0006" w:rsidRPr="001C2DF4" w:rsidRDefault="009D0006" w:rsidP="00DC683E">
            <w:pPr>
              <w:pStyle w:val="Tabletext"/>
              <w:rPr>
                <w:lang w:val="en-US"/>
              </w:rPr>
            </w:pPr>
            <w:r w:rsidRPr="001C2DF4">
              <w:t>21.6</w:t>
            </w:r>
          </w:p>
        </w:tc>
      </w:tr>
    </w:tbl>
    <w:p w14:paraId="662F1303" w14:textId="77777777" w:rsidR="009D0006" w:rsidRPr="00692BC1" w:rsidRDefault="009D0006" w:rsidP="00FE2582">
      <w:pPr>
        <w:spacing w:before="360"/>
        <w:rPr>
          <w:rFonts w:eastAsiaTheme="minorEastAsia" w:cstheme="minorBidi"/>
        </w:rPr>
      </w:pPr>
      <w:bookmarkStart w:id="254" w:name="_Hlk42108044"/>
      <w:r>
        <w:t>As displayed in Table 12, o</w:t>
      </w:r>
      <w:r w:rsidRPr="00692BC1">
        <w:t>ver two</w:t>
      </w:r>
      <w:r>
        <w:t>-</w:t>
      </w:r>
      <w:r w:rsidRPr="00692BC1">
        <w:t xml:space="preserve">fifths (47.1%; n = 1224) of participants with disability were categorised as cisgender women, one-fifth (19.8%; n = 514) as cisgender men, 5.1% (n = 132) as trans women, 6.5% (n = 168) as trans men and 21.6% (n = 526) as non-binary. </w:t>
      </w:r>
      <w:bookmarkEnd w:id="254"/>
      <w:r w:rsidRPr="00692BC1">
        <w:t xml:space="preserve">The </w:t>
      </w:r>
      <w:r w:rsidRPr="00692BC1">
        <w:rPr>
          <w:i/>
          <w:iCs/>
        </w:rPr>
        <w:t>Private Lives 3</w:t>
      </w:r>
      <w:r w:rsidRPr="00692BC1">
        <w:t xml:space="preserve"> survey was completed by 862 trans and gender diverse </w:t>
      </w:r>
      <w:r w:rsidRPr="00692BC1">
        <w:lastRenderedPageBreak/>
        <w:t>participants with disability, the largest survey of LGBTQ</w:t>
      </w:r>
      <w:r>
        <w:t>+</w:t>
      </w:r>
      <w:r w:rsidRPr="00692BC1">
        <w:t xml:space="preserve"> trans and gender diverse adults with disability ever in Australia at the time of publication.  </w:t>
      </w:r>
    </w:p>
    <w:p w14:paraId="36F93F8B" w14:textId="5B93F8E7" w:rsidR="009D0006" w:rsidRPr="00692BC1" w:rsidRDefault="009D0006" w:rsidP="00153892">
      <w:pPr>
        <w:pStyle w:val="Heading2Numbered"/>
      </w:pPr>
      <w:bookmarkStart w:id="255" w:name="_Toc115968520"/>
      <w:bookmarkStart w:id="256" w:name="_Toc119662406"/>
      <w:r w:rsidRPr="00153892">
        <w:t>Sexual</w:t>
      </w:r>
      <w:r w:rsidRPr="00692BC1">
        <w:t xml:space="preserve"> orientation</w:t>
      </w:r>
      <w:bookmarkEnd w:id="255"/>
      <w:bookmarkEnd w:id="256"/>
    </w:p>
    <w:p w14:paraId="13078F17" w14:textId="56C0ABDB" w:rsidR="009D0006" w:rsidRPr="002306D8" w:rsidRDefault="009D0006" w:rsidP="00153892">
      <w:pPr>
        <w:pStyle w:val="Heading3Numbered"/>
      </w:pPr>
      <w:bookmarkStart w:id="257" w:name="_Toc115968521"/>
      <w:r w:rsidRPr="002306D8">
        <w:t>Sexual orientation – young people aged 14-21 years</w:t>
      </w:r>
      <w:bookmarkEnd w:id="257"/>
    </w:p>
    <w:p w14:paraId="240925CC" w14:textId="13D38AE1" w:rsidR="009D0006" w:rsidRPr="002306D8" w:rsidRDefault="009D0006" w:rsidP="00DC683E">
      <w:pPr>
        <w:pStyle w:val="Tableheading"/>
      </w:pPr>
      <w:bookmarkStart w:id="258" w:name="_Toc79506861"/>
      <w:bookmarkStart w:id="259" w:name="_Toc79507034"/>
      <w:bookmarkStart w:id="260" w:name="_Toc79508032"/>
      <w:bookmarkStart w:id="261" w:name="_Toc79508258"/>
      <w:bookmarkStart w:id="262" w:name="_Toc117062731"/>
      <w:bookmarkStart w:id="263" w:name="_Toc119651416"/>
      <w:r w:rsidRPr="00F871CE">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rsidRPr="00F871CE">
        <w:t xml:space="preserve">: Sexual orientation of young people </w:t>
      </w:r>
      <w:r>
        <w:t xml:space="preserve">with disability </w:t>
      </w:r>
      <w:r w:rsidRPr="00F871CE">
        <w:t>aged 14-21 years</w:t>
      </w:r>
      <w:bookmarkEnd w:id="258"/>
      <w:bookmarkEnd w:id="259"/>
      <w:bookmarkEnd w:id="260"/>
      <w:bookmarkEnd w:id="261"/>
      <w:r w:rsidRPr="00F871CE">
        <w:t xml:space="preserve"> </w:t>
      </w:r>
      <w:r w:rsidR="000067D6">
        <w:br/>
      </w:r>
      <w:r w:rsidRPr="00F871CE">
        <w:t>(n</w:t>
      </w:r>
      <w:r w:rsidRPr="002306D8">
        <w:t xml:space="preserve"> = 2497)</w:t>
      </w:r>
      <w:bookmarkEnd w:id="262"/>
      <w:bookmarkEnd w:id="263"/>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2C90D26E"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DFBBEAE" w14:textId="77777777" w:rsidR="009D0006" w:rsidRPr="00DC683E" w:rsidRDefault="009D0006" w:rsidP="00DC683E">
            <w:pPr>
              <w:pStyle w:val="Tableheader"/>
            </w:pPr>
            <w:r w:rsidRPr="00DC683E">
              <w:t>Sexual orientation</w:t>
            </w:r>
          </w:p>
        </w:tc>
        <w:tc>
          <w:tcPr>
            <w:tcW w:w="1559" w:type="dxa"/>
            <w:noWrap/>
            <w:hideMark/>
          </w:tcPr>
          <w:p w14:paraId="0DCEDC33" w14:textId="77777777" w:rsidR="009D0006" w:rsidRPr="00DC683E" w:rsidRDefault="009D0006" w:rsidP="00DC683E">
            <w:pPr>
              <w:pStyle w:val="Tableheader"/>
            </w:pPr>
            <w:r w:rsidRPr="00DC683E">
              <w:t>n</w:t>
            </w:r>
          </w:p>
        </w:tc>
        <w:tc>
          <w:tcPr>
            <w:tcW w:w="1559" w:type="dxa"/>
            <w:noWrap/>
            <w:hideMark/>
          </w:tcPr>
          <w:p w14:paraId="53E252D7" w14:textId="77777777" w:rsidR="009D0006" w:rsidRPr="00DC683E" w:rsidRDefault="009D0006" w:rsidP="00DC683E">
            <w:pPr>
              <w:pStyle w:val="Tableheader"/>
            </w:pPr>
            <w:r w:rsidRPr="00DC683E">
              <w:t>%</w:t>
            </w:r>
          </w:p>
        </w:tc>
      </w:tr>
      <w:tr w:rsidR="009D0006" w:rsidRPr="001C2DF4" w14:paraId="288B6568"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AE59503" w14:textId="77777777" w:rsidR="009D0006" w:rsidRPr="001C2DF4" w:rsidRDefault="009D0006" w:rsidP="00DC683E">
            <w:pPr>
              <w:pStyle w:val="Tabletext"/>
              <w:rPr>
                <w:lang w:val="en-US"/>
              </w:rPr>
            </w:pPr>
            <w:r w:rsidRPr="001C2DF4">
              <w:t>Lesbian</w:t>
            </w:r>
          </w:p>
        </w:tc>
        <w:tc>
          <w:tcPr>
            <w:tcW w:w="1559" w:type="dxa"/>
            <w:noWrap/>
          </w:tcPr>
          <w:p w14:paraId="64925FC4" w14:textId="77777777" w:rsidR="009D0006" w:rsidRPr="001C2DF4" w:rsidRDefault="009D0006" w:rsidP="00DC683E">
            <w:pPr>
              <w:pStyle w:val="Tabletext"/>
              <w:rPr>
                <w:lang w:val="en-US"/>
              </w:rPr>
            </w:pPr>
            <w:r w:rsidRPr="001C2DF4">
              <w:t>342</w:t>
            </w:r>
          </w:p>
        </w:tc>
        <w:tc>
          <w:tcPr>
            <w:tcW w:w="1559" w:type="dxa"/>
            <w:noWrap/>
          </w:tcPr>
          <w:p w14:paraId="5E70CD93" w14:textId="77777777" w:rsidR="009D0006" w:rsidRPr="001C2DF4" w:rsidRDefault="009D0006" w:rsidP="00DC683E">
            <w:pPr>
              <w:pStyle w:val="Tabletext"/>
              <w:rPr>
                <w:lang w:val="en-US"/>
              </w:rPr>
            </w:pPr>
            <w:r w:rsidRPr="001C2DF4">
              <w:t>13.7</w:t>
            </w:r>
          </w:p>
        </w:tc>
      </w:tr>
      <w:tr w:rsidR="009D0006" w:rsidRPr="001C2DF4" w14:paraId="5DC5474B"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6BE1AEE" w14:textId="77777777" w:rsidR="009D0006" w:rsidRPr="001C2DF4" w:rsidRDefault="009D0006" w:rsidP="00DC683E">
            <w:pPr>
              <w:pStyle w:val="Tabletext"/>
              <w:rPr>
                <w:lang w:val="en-US"/>
              </w:rPr>
            </w:pPr>
            <w:r w:rsidRPr="001C2DF4">
              <w:t>Gay</w:t>
            </w:r>
          </w:p>
        </w:tc>
        <w:tc>
          <w:tcPr>
            <w:tcW w:w="1559" w:type="dxa"/>
            <w:noWrap/>
          </w:tcPr>
          <w:p w14:paraId="461BCF43" w14:textId="77777777" w:rsidR="009D0006" w:rsidRPr="001C2DF4" w:rsidRDefault="009D0006" w:rsidP="00DC683E">
            <w:pPr>
              <w:pStyle w:val="Tabletext"/>
              <w:rPr>
                <w:lang w:val="en-US"/>
              </w:rPr>
            </w:pPr>
            <w:r w:rsidRPr="001C2DF4">
              <w:t>280</w:t>
            </w:r>
          </w:p>
        </w:tc>
        <w:tc>
          <w:tcPr>
            <w:tcW w:w="1559" w:type="dxa"/>
            <w:noWrap/>
          </w:tcPr>
          <w:p w14:paraId="33EB1D06" w14:textId="77777777" w:rsidR="009D0006" w:rsidRPr="001C2DF4" w:rsidRDefault="009D0006" w:rsidP="00DC683E">
            <w:pPr>
              <w:pStyle w:val="Tabletext"/>
              <w:rPr>
                <w:lang w:val="en-US"/>
              </w:rPr>
            </w:pPr>
            <w:r w:rsidRPr="001C2DF4">
              <w:t>11.2</w:t>
            </w:r>
          </w:p>
        </w:tc>
      </w:tr>
      <w:tr w:rsidR="009D0006" w:rsidRPr="001C2DF4" w14:paraId="1178550A"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44CF976" w14:textId="77777777" w:rsidR="009D0006" w:rsidRPr="001C2DF4" w:rsidRDefault="009D0006" w:rsidP="00DC683E">
            <w:pPr>
              <w:pStyle w:val="Tabletext"/>
              <w:rPr>
                <w:lang w:val="en-US"/>
              </w:rPr>
            </w:pPr>
            <w:r w:rsidRPr="001C2DF4">
              <w:t>Bisexual</w:t>
            </w:r>
          </w:p>
        </w:tc>
        <w:tc>
          <w:tcPr>
            <w:tcW w:w="1559" w:type="dxa"/>
            <w:noWrap/>
          </w:tcPr>
          <w:p w14:paraId="480B0F50" w14:textId="77777777" w:rsidR="009D0006" w:rsidRPr="001C2DF4" w:rsidRDefault="009D0006" w:rsidP="00DC683E">
            <w:pPr>
              <w:pStyle w:val="Tabletext"/>
              <w:rPr>
                <w:lang w:val="en-US"/>
              </w:rPr>
            </w:pPr>
            <w:r w:rsidRPr="001C2DF4">
              <w:t>771</w:t>
            </w:r>
          </w:p>
        </w:tc>
        <w:tc>
          <w:tcPr>
            <w:tcW w:w="1559" w:type="dxa"/>
            <w:noWrap/>
          </w:tcPr>
          <w:p w14:paraId="6B575C2F" w14:textId="77777777" w:rsidR="009D0006" w:rsidRPr="001C2DF4" w:rsidRDefault="009D0006" w:rsidP="00DC683E">
            <w:pPr>
              <w:pStyle w:val="Tabletext"/>
              <w:rPr>
                <w:lang w:val="en-US"/>
              </w:rPr>
            </w:pPr>
            <w:r w:rsidRPr="001C2DF4">
              <w:t>30.9</w:t>
            </w:r>
          </w:p>
        </w:tc>
      </w:tr>
      <w:tr w:rsidR="009D0006" w:rsidRPr="001C2DF4" w14:paraId="41836971"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0630BB7" w14:textId="77777777" w:rsidR="009D0006" w:rsidRPr="001C2DF4" w:rsidRDefault="009D0006" w:rsidP="00DC683E">
            <w:pPr>
              <w:pStyle w:val="Tabletext"/>
              <w:rPr>
                <w:lang w:val="en-US"/>
              </w:rPr>
            </w:pPr>
            <w:r w:rsidRPr="001C2DF4">
              <w:t>Pansexual</w:t>
            </w:r>
          </w:p>
        </w:tc>
        <w:tc>
          <w:tcPr>
            <w:tcW w:w="1559" w:type="dxa"/>
            <w:noWrap/>
          </w:tcPr>
          <w:p w14:paraId="02C55655" w14:textId="77777777" w:rsidR="009D0006" w:rsidRPr="001C2DF4" w:rsidRDefault="009D0006" w:rsidP="00DC683E">
            <w:pPr>
              <w:pStyle w:val="Tabletext"/>
              <w:rPr>
                <w:lang w:val="en-US"/>
              </w:rPr>
            </w:pPr>
            <w:r w:rsidRPr="001C2DF4">
              <w:t>354</w:t>
            </w:r>
          </w:p>
        </w:tc>
        <w:tc>
          <w:tcPr>
            <w:tcW w:w="1559" w:type="dxa"/>
            <w:noWrap/>
          </w:tcPr>
          <w:p w14:paraId="678DAF1A" w14:textId="77777777" w:rsidR="009D0006" w:rsidRPr="001C2DF4" w:rsidRDefault="009D0006" w:rsidP="00DC683E">
            <w:pPr>
              <w:pStyle w:val="Tabletext"/>
              <w:rPr>
                <w:lang w:val="en-US"/>
              </w:rPr>
            </w:pPr>
            <w:r w:rsidRPr="001C2DF4">
              <w:t>14.2</w:t>
            </w:r>
          </w:p>
        </w:tc>
      </w:tr>
      <w:tr w:rsidR="009D0006" w:rsidRPr="001C2DF4" w14:paraId="2CEDFE91"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970DB3B" w14:textId="77777777" w:rsidR="009D0006" w:rsidRPr="001C2DF4" w:rsidRDefault="009D0006" w:rsidP="00DC683E">
            <w:pPr>
              <w:pStyle w:val="Tabletext"/>
              <w:rPr>
                <w:lang w:val="en-US"/>
              </w:rPr>
            </w:pPr>
            <w:r w:rsidRPr="001C2DF4">
              <w:t>Queer</w:t>
            </w:r>
          </w:p>
        </w:tc>
        <w:tc>
          <w:tcPr>
            <w:tcW w:w="1559" w:type="dxa"/>
            <w:noWrap/>
          </w:tcPr>
          <w:p w14:paraId="299755B4" w14:textId="77777777" w:rsidR="009D0006" w:rsidRPr="001C2DF4" w:rsidRDefault="009D0006" w:rsidP="00DC683E">
            <w:pPr>
              <w:pStyle w:val="Tabletext"/>
              <w:rPr>
                <w:lang w:val="en-US"/>
              </w:rPr>
            </w:pPr>
            <w:r w:rsidRPr="001C2DF4">
              <w:t>267</w:t>
            </w:r>
          </w:p>
        </w:tc>
        <w:tc>
          <w:tcPr>
            <w:tcW w:w="1559" w:type="dxa"/>
            <w:noWrap/>
          </w:tcPr>
          <w:p w14:paraId="2DBFAA1E" w14:textId="77777777" w:rsidR="009D0006" w:rsidRPr="001C2DF4" w:rsidRDefault="009D0006" w:rsidP="00DC683E">
            <w:pPr>
              <w:pStyle w:val="Tabletext"/>
              <w:rPr>
                <w:lang w:val="en-US"/>
              </w:rPr>
            </w:pPr>
            <w:r w:rsidRPr="001C2DF4">
              <w:t>10.7</w:t>
            </w:r>
          </w:p>
        </w:tc>
      </w:tr>
      <w:tr w:rsidR="009D0006" w:rsidRPr="001C2DF4" w14:paraId="4D5DDB41"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14BC6F5" w14:textId="77777777" w:rsidR="009D0006" w:rsidRPr="001C2DF4" w:rsidRDefault="009D0006" w:rsidP="00DC683E">
            <w:pPr>
              <w:pStyle w:val="Tabletext"/>
              <w:rPr>
                <w:lang w:val="en-US"/>
              </w:rPr>
            </w:pPr>
            <w:r w:rsidRPr="001C2DF4">
              <w:t>Asexual</w:t>
            </w:r>
          </w:p>
        </w:tc>
        <w:tc>
          <w:tcPr>
            <w:tcW w:w="1559" w:type="dxa"/>
            <w:noWrap/>
          </w:tcPr>
          <w:p w14:paraId="131C8D62" w14:textId="77777777" w:rsidR="009D0006" w:rsidRPr="001C2DF4" w:rsidRDefault="009D0006" w:rsidP="00DC683E">
            <w:pPr>
              <w:pStyle w:val="Tabletext"/>
              <w:rPr>
                <w:lang w:val="en-US"/>
              </w:rPr>
            </w:pPr>
            <w:r w:rsidRPr="001C2DF4">
              <w:t>133</w:t>
            </w:r>
          </w:p>
        </w:tc>
        <w:tc>
          <w:tcPr>
            <w:tcW w:w="1559" w:type="dxa"/>
            <w:noWrap/>
          </w:tcPr>
          <w:p w14:paraId="49689D0D" w14:textId="77777777" w:rsidR="009D0006" w:rsidRPr="001C2DF4" w:rsidRDefault="009D0006" w:rsidP="00DC683E">
            <w:pPr>
              <w:pStyle w:val="Tabletext"/>
              <w:rPr>
                <w:lang w:val="en-US"/>
              </w:rPr>
            </w:pPr>
            <w:r w:rsidRPr="001C2DF4">
              <w:t>5.3</w:t>
            </w:r>
          </w:p>
        </w:tc>
      </w:tr>
      <w:tr w:rsidR="009D0006" w:rsidRPr="001C2DF4" w14:paraId="7C9C894D"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4B13D28" w14:textId="77777777" w:rsidR="009D0006" w:rsidRPr="001C2DF4" w:rsidRDefault="009D0006" w:rsidP="00DC683E">
            <w:pPr>
              <w:pStyle w:val="Tabletext"/>
              <w:rPr>
                <w:lang w:val="en-US"/>
              </w:rPr>
            </w:pPr>
            <w:r w:rsidRPr="001C2DF4">
              <w:t>Something else</w:t>
            </w:r>
          </w:p>
        </w:tc>
        <w:tc>
          <w:tcPr>
            <w:tcW w:w="1559" w:type="dxa"/>
            <w:noWrap/>
          </w:tcPr>
          <w:p w14:paraId="3E83FAA1" w14:textId="77777777" w:rsidR="009D0006" w:rsidRPr="001C2DF4" w:rsidRDefault="009D0006" w:rsidP="00DC683E">
            <w:pPr>
              <w:pStyle w:val="Tabletext"/>
              <w:rPr>
                <w:lang w:val="en-US"/>
              </w:rPr>
            </w:pPr>
            <w:r w:rsidRPr="001C2DF4">
              <w:t>350</w:t>
            </w:r>
          </w:p>
        </w:tc>
        <w:tc>
          <w:tcPr>
            <w:tcW w:w="1559" w:type="dxa"/>
            <w:noWrap/>
          </w:tcPr>
          <w:p w14:paraId="6832B6D2" w14:textId="77777777" w:rsidR="009D0006" w:rsidRPr="001C2DF4" w:rsidRDefault="009D0006" w:rsidP="00DC683E">
            <w:pPr>
              <w:pStyle w:val="Tabletext"/>
              <w:rPr>
                <w:lang w:val="en-US"/>
              </w:rPr>
            </w:pPr>
            <w:r w:rsidRPr="001C2DF4">
              <w:t>14.0</w:t>
            </w:r>
          </w:p>
        </w:tc>
      </w:tr>
    </w:tbl>
    <w:p w14:paraId="357AEF33" w14:textId="77777777" w:rsidR="009D0006" w:rsidRPr="00337263" w:rsidRDefault="009D0006" w:rsidP="00FE2582">
      <w:pPr>
        <w:spacing w:before="360"/>
      </w:pPr>
      <w:r w:rsidRPr="00337263">
        <w:t>Almost half (45.</w:t>
      </w:r>
      <w:r w:rsidRPr="00692BC1">
        <w:t>1</w:t>
      </w:r>
      <w:r w:rsidRPr="00337263">
        <w:t xml:space="preserve">%; n = </w:t>
      </w:r>
      <w:r w:rsidRPr="00692BC1">
        <w:t>1125</w:t>
      </w:r>
      <w:r w:rsidRPr="00337263">
        <w:t xml:space="preserve">) of </w:t>
      </w:r>
      <w:r w:rsidRPr="00337263">
        <w:rPr>
          <w:i/>
          <w:iCs/>
        </w:rPr>
        <w:t>Writing Themselves In 4</w:t>
      </w:r>
      <w:r w:rsidRPr="00337263">
        <w:t xml:space="preserve"> participants</w:t>
      </w:r>
      <w:r w:rsidRPr="00692BC1">
        <w:t xml:space="preserve"> with disability</w:t>
      </w:r>
      <w:r w:rsidRPr="00337263">
        <w:t xml:space="preserve"> </w:t>
      </w:r>
      <w:r>
        <w:t xml:space="preserve">aged 14-21 years </w:t>
      </w:r>
      <w:r w:rsidRPr="00337263">
        <w:t>identified as multi-gender attracted.</w:t>
      </w:r>
      <w:r w:rsidRPr="00692BC1">
        <w:t xml:space="preserve"> </w:t>
      </w:r>
      <w:r>
        <w:t>As displayed in Table 13, m</w:t>
      </w:r>
      <w:r w:rsidRPr="00692BC1">
        <w:t xml:space="preserve">ulti-gender attracted participants included 30.9% (n = 771) of participants who identified as bisexual and 14.2% (n = 354) who identified as pansexual. </w:t>
      </w:r>
      <w:r w:rsidRPr="00337263">
        <w:t xml:space="preserve">It is of note that queer participants </w:t>
      </w:r>
      <w:r w:rsidRPr="00692BC1">
        <w:t xml:space="preserve">(10.7%; n = 267) </w:t>
      </w:r>
      <w:r w:rsidRPr="00337263">
        <w:t xml:space="preserve">may also, but not necessarily, be multi-gender attracted. </w:t>
      </w:r>
      <w:r w:rsidRPr="00692BC1">
        <w:t xml:space="preserve">By comparison, 24.9% (n = 622) of participants identified as lesbian (13.7%; n = 342) or gay (11.2%; n = 280). In total, 5.3% (n = 133) of participants identified as asexual and 14.0% (n = 350) as something else. </w:t>
      </w:r>
      <w:r w:rsidRPr="00337263">
        <w:t xml:space="preserve">The ‘something else’ category was made up of participants who identified as ‘homosexual’ (n = </w:t>
      </w:r>
      <w:r>
        <w:t>30</w:t>
      </w:r>
      <w:r w:rsidRPr="00337263">
        <w:t xml:space="preserve">), ‘something else’ (n = </w:t>
      </w:r>
      <w:r>
        <w:t>84</w:t>
      </w:r>
      <w:r w:rsidRPr="00337263">
        <w:t xml:space="preserve">), ‘prefer not to have a label’ (n = </w:t>
      </w:r>
      <w:r>
        <w:t>98</w:t>
      </w:r>
      <w:r w:rsidRPr="00337263">
        <w:t xml:space="preserve">), ‘cannot choose only one sexuality’ (n = </w:t>
      </w:r>
      <w:r>
        <w:t>98</w:t>
      </w:r>
      <w:r w:rsidRPr="00337263">
        <w:t xml:space="preserve">), ‘don’t know my sexuality’ (n = </w:t>
      </w:r>
      <w:r>
        <w:t>35</w:t>
      </w:r>
      <w:r w:rsidRPr="00337263">
        <w:t xml:space="preserve">) and trans </w:t>
      </w:r>
      <w:r>
        <w:t xml:space="preserve">and gender diverse </w:t>
      </w:r>
      <w:r w:rsidRPr="00337263">
        <w:t xml:space="preserve">participants who identified as ‘heterosexual’. Participants who chose ‘prefer not to answer’ questions are not included in Table </w:t>
      </w:r>
      <w:r>
        <w:t>11</w:t>
      </w:r>
      <w:r w:rsidRPr="00337263">
        <w:t xml:space="preserve"> but are included in the total sample. These seven categories are used as the basis for sexuality comparisons throughout the remainder of this report. </w:t>
      </w:r>
    </w:p>
    <w:p w14:paraId="0970A068" w14:textId="00DB8ACD" w:rsidR="009D0006" w:rsidRPr="002306D8" w:rsidRDefault="009D0006" w:rsidP="00153892">
      <w:pPr>
        <w:pStyle w:val="Heading3Numbered"/>
      </w:pPr>
      <w:bookmarkStart w:id="264" w:name="_Toc115968522"/>
      <w:r w:rsidRPr="002306D8">
        <w:lastRenderedPageBreak/>
        <w:t>Sexual orientation – adults aged 18+ years</w:t>
      </w:r>
      <w:bookmarkEnd w:id="264"/>
    </w:p>
    <w:p w14:paraId="40C67086" w14:textId="6BEEC9B8" w:rsidR="009D0006" w:rsidRPr="00F871CE" w:rsidRDefault="009D0006" w:rsidP="00DC683E">
      <w:pPr>
        <w:pStyle w:val="Tableheading"/>
      </w:pPr>
      <w:bookmarkStart w:id="265" w:name="_Toc79506863"/>
      <w:bookmarkStart w:id="266" w:name="_Toc79507036"/>
      <w:bookmarkStart w:id="267" w:name="_Toc79508034"/>
      <w:bookmarkStart w:id="268" w:name="_Toc79508260"/>
      <w:bookmarkStart w:id="269" w:name="_Toc117062732"/>
      <w:bookmarkStart w:id="270" w:name="_Toc119651417"/>
      <w:r w:rsidRPr="00F871CE">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rsidRPr="00F871CE">
        <w:t xml:space="preserve">: Sexual orientation of adults </w:t>
      </w:r>
      <w:r>
        <w:t xml:space="preserve">with disability </w:t>
      </w:r>
      <w:r w:rsidRPr="00F871CE">
        <w:t>aged 18+ years</w:t>
      </w:r>
      <w:bookmarkEnd w:id="246"/>
      <w:bookmarkEnd w:id="247"/>
      <w:bookmarkEnd w:id="248"/>
      <w:bookmarkEnd w:id="249"/>
      <w:bookmarkEnd w:id="250"/>
      <w:bookmarkEnd w:id="251"/>
      <w:bookmarkEnd w:id="265"/>
      <w:bookmarkEnd w:id="266"/>
      <w:bookmarkEnd w:id="267"/>
      <w:bookmarkEnd w:id="268"/>
      <w:r w:rsidRPr="00F871CE">
        <w:t xml:space="preserve"> (n = 2621)</w:t>
      </w:r>
      <w:bookmarkEnd w:id="269"/>
      <w:bookmarkEnd w:id="270"/>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52DB665F"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7D7AE1B" w14:textId="77777777" w:rsidR="009D0006" w:rsidRPr="00DC683E" w:rsidRDefault="009D0006" w:rsidP="00DC683E">
            <w:pPr>
              <w:pStyle w:val="Tableheader"/>
            </w:pPr>
            <w:r w:rsidRPr="00DC683E">
              <w:t>Sexual orientation</w:t>
            </w:r>
          </w:p>
        </w:tc>
        <w:tc>
          <w:tcPr>
            <w:tcW w:w="1559" w:type="dxa"/>
            <w:noWrap/>
            <w:hideMark/>
          </w:tcPr>
          <w:p w14:paraId="483F0B17" w14:textId="77777777" w:rsidR="009D0006" w:rsidRPr="00DC683E" w:rsidRDefault="009D0006" w:rsidP="00DC683E">
            <w:pPr>
              <w:pStyle w:val="Tableheader"/>
            </w:pPr>
            <w:r w:rsidRPr="00DC683E">
              <w:t>n</w:t>
            </w:r>
          </w:p>
        </w:tc>
        <w:tc>
          <w:tcPr>
            <w:tcW w:w="1559" w:type="dxa"/>
            <w:noWrap/>
            <w:hideMark/>
          </w:tcPr>
          <w:p w14:paraId="35993D8F" w14:textId="77777777" w:rsidR="009D0006" w:rsidRPr="00DC683E" w:rsidRDefault="009D0006" w:rsidP="00DC683E">
            <w:pPr>
              <w:pStyle w:val="Tableheader"/>
            </w:pPr>
            <w:r w:rsidRPr="00DC683E">
              <w:t>%</w:t>
            </w:r>
          </w:p>
        </w:tc>
      </w:tr>
      <w:tr w:rsidR="009D0006" w:rsidRPr="001C2DF4" w14:paraId="64C7B952"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5F33908" w14:textId="77777777" w:rsidR="009D0006" w:rsidRPr="001C2DF4" w:rsidRDefault="009D0006" w:rsidP="00DC683E">
            <w:pPr>
              <w:pStyle w:val="Tabletext"/>
              <w:rPr>
                <w:lang w:val="en-US"/>
              </w:rPr>
            </w:pPr>
            <w:r w:rsidRPr="001C2DF4">
              <w:t>Lesbian</w:t>
            </w:r>
          </w:p>
        </w:tc>
        <w:tc>
          <w:tcPr>
            <w:tcW w:w="1559" w:type="dxa"/>
            <w:noWrap/>
          </w:tcPr>
          <w:p w14:paraId="1EDFBEAD" w14:textId="77777777" w:rsidR="009D0006" w:rsidRPr="001C2DF4" w:rsidRDefault="009D0006" w:rsidP="00DC683E">
            <w:pPr>
              <w:pStyle w:val="Tabletext"/>
              <w:rPr>
                <w:lang w:val="en-US"/>
              </w:rPr>
            </w:pPr>
            <w:r w:rsidRPr="001C2DF4">
              <w:t>514</w:t>
            </w:r>
          </w:p>
        </w:tc>
        <w:tc>
          <w:tcPr>
            <w:tcW w:w="1559" w:type="dxa"/>
            <w:noWrap/>
          </w:tcPr>
          <w:p w14:paraId="08A2B35D" w14:textId="77777777" w:rsidR="009D0006" w:rsidRPr="001C2DF4" w:rsidRDefault="009D0006" w:rsidP="00DC683E">
            <w:pPr>
              <w:pStyle w:val="Tabletext"/>
              <w:rPr>
                <w:lang w:val="en-US"/>
              </w:rPr>
            </w:pPr>
            <w:r w:rsidRPr="001C2DF4">
              <w:t>19.6</w:t>
            </w:r>
          </w:p>
        </w:tc>
      </w:tr>
      <w:tr w:rsidR="009D0006" w:rsidRPr="001C2DF4" w14:paraId="23005D91"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D1D6404" w14:textId="77777777" w:rsidR="009D0006" w:rsidRPr="001C2DF4" w:rsidRDefault="009D0006" w:rsidP="00DC683E">
            <w:pPr>
              <w:pStyle w:val="Tabletext"/>
              <w:rPr>
                <w:lang w:val="en-US"/>
              </w:rPr>
            </w:pPr>
            <w:r w:rsidRPr="001C2DF4">
              <w:t>Gay</w:t>
            </w:r>
          </w:p>
        </w:tc>
        <w:tc>
          <w:tcPr>
            <w:tcW w:w="1559" w:type="dxa"/>
            <w:noWrap/>
          </w:tcPr>
          <w:p w14:paraId="4B92D681" w14:textId="77777777" w:rsidR="009D0006" w:rsidRPr="001C2DF4" w:rsidRDefault="009D0006" w:rsidP="00DC683E">
            <w:pPr>
              <w:pStyle w:val="Tabletext"/>
              <w:rPr>
                <w:lang w:val="en-US"/>
              </w:rPr>
            </w:pPr>
            <w:r w:rsidRPr="001C2DF4">
              <w:t>423</w:t>
            </w:r>
          </w:p>
        </w:tc>
        <w:tc>
          <w:tcPr>
            <w:tcW w:w="1559" w:type="dxa"/>
            <w:noWrap/>
          </w:tcPr>
          <w:p w14:paraId="5B3BDFAA" w14:textId="77777777" w:rsidR="009D0006" w:rsidRPr="001C2DF4" w:rsidRDefault="009D0006" w:rsidP="00DC683E">
            <w:pPr>
              <w:pStyle w:val="Tabletext"/>
              <w:rPr>
                <w:lang w:val="en-US"/>
              </w:rPr>
            </w:pPr>
            <w:r w:rsidRPr="001C2DF4">
              <w:t>16.1</w:t>
            </w:r>
          </w:p>
        </w:tc>
      </w:tr>
      <w:tr w:rsidR="009D0006" w:rsidRPr="001C2DF4" w14:paraId="3680CDED"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012513A" w14:textId="77777777" w:rsidR="009D0006" w:rsidRPr="001C2DF4" w:rsidRDefault="009D0006" w:rsidP="00DC683E">
            <w:pPr>
              <w:pStyle w:val="Tabletext"/>
              <w:rPr>
                <w:lang w:val="en-US"/>
              </w:rPr>
            </w:pPr>
            <w:r w:rsidRPr="001C2DF4">
              <w:t>Bisexual</w:t>
            </w:r>
          </w:p>
        </w:tc>
        <w:tc>
          <w:tcPr>
            <w:tcW w:w="1559" w:type="dxa"/>
            <w:noWrap/>
          </w:tcPr>
          <w:p w14:paraId="39C2F7D6" w14:textId="77777777" w:rsidR="009D0006" w:rsidRPr="001C2DF4" w:rsidRDefault="009D0006" w:rsidP="00DC683E">
            <w:pPr>
              <w:pStyle w:val="Tabletext"/>
              <w:rPr>
                <w:lang w:val="en-US"/>
              </w:rPr>
            </w:pPr>
            <w:r w:rsidRPr="001C2DF4">
              <w:t>640</w:t>
            </w:r>
          </w:p>
        </w:tc>
        <w:tc>
          <w:tcPr>
            <w:tcW w:w="1559" w:type="dxa"/>
            <w:noWrap/>
          </w:tcPr>
          <w:p w14:paraId="07AA9773" w14:textId="77777777" w:rsidR="009D0006" w:rsidRPr="001C2DF4" w:rsidRDefault="009D0006" w:rsidP="00DC683E">
            <w:pPr>
              <w:pStyle w:val="Tabletext"/>
              <w:rPr>
                <w:lang w:val="en-US"/>
              </w:rPr>
            </w:pPr>
            <w:r w:rsidRPr="001C2DF4">
              <w:t>24.4</w:t>
            </w:r>
          </w:p>
        </w:tc>
      </w:tr>
      <w:tr w:rsidR="009D0006" w:rsidRPr="001C2DF4" w14:paraId="3642CDEC"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668CAF4" w14:textId="77777777" w:rsidR="009D0006" w:rsidRPr="001C2DF4" w:rsidRDefault="009D0006" w:rsidP="00DC683E">
            <w:pPr>
              <w:pStyle w:val="Tabletext"/>
              <w:rPr>
                <w:lang w:val="en-US"/>
              </w:rPr>
            </w:pPr>
            <w:r w:rsidRPr="001C2DF4">
              <w:t>Pansexual</w:t>
            </w:r>
          </w:p>
        </w:tc>
        <w:tc>
          <w:tcPr>
            <w:tcW w:w="1559" w:type="dxa"/>
            <w:noWrap/>
          </w:tcPr>
          <w:p w14:paraId="7D3E9B8C" w14:textId="77777777" w:rsidR="009D0006" w:rsidRPr="001C2DF4" w:rsidRDefault="009D0006" w:rsidP="00DC683E">
            <w:pPr>
              <w:pStyle w:val="Tabletext"/>
              <w:rPr>
                <w:lang w:val="en-US"/>
              </w:rPr>
            </w:pPr>
            <w:r w:rsidRPr="001C2DF4">
              <w:t>278</w:t>
            </w:r>
          </w:p>
        </w:tc>
        <w:tc>
          <w:tcPr>
            <w:tcW w:w="1559" w:type="dxa"/>
            <w:noWrap/>
          </w:tcPr>
          <w:p w14:paraId="65E250CE" w14:textId="77777777" w:rsidR="009D0006" w:rsidRPr="001C2DF4" w:rsidRDefault="009D0006" w:rsidP="00DC683E">
            <w:pPr>
              <w:pStyle w:val="Tabletext"/>
              <w:rPr>
                <w:lang w:val="en-US"/>
              </w:rPr>
            </w:pPr>
            <w:r w:rsidRPr="001C2DF4">
              <w:t>10.6</w:t>
            </w:r>
          </w:p>
        </w:tc>
      </w:tr>
      <w:tr w:rsidR="009D0006" w:rsidRPr="001C2DF4" w14:paraId="3FB2A2EA"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BE29D78" w14:textId="77777777" w:rsidR="009D0006" w:rsidRPr="001C2DF4" w:rsidRDefault="009D0006" w:rsidP="00DC683E">
            <w:pPr>
              <w:pStyle w:val="Tabletext"/>
              <w:rPr>
                <w:lang w:val="en-US"/>
              </w:rPr>
            </w:pPr>
            <w:r w:rsidRPr="001C2DF4">
              <w:t>Queer</w:t>
            </w:r>
          </w:p>
        </w:tc>
        <w:tc>
          <w:tcPr>
            <w:tcW w:w="1559" w:type="dxa"/>
            <w:noWrap/>
          </w:tcPr>
          <w:p w14:paraId="7FBFCA0C" w14:textId="77777777" w:rsidR="009D0006" w:rsidRPr="001C2DF4" w:rsidRDefault="009D0006" w:rsidP="00DC683E">
            <w:pPr>
              <w:pStyle w:val="Tabletext"/>
              <w:rPr>
                <w:lang w:val="en-US"/>
              </w:rPr>
            </w:pPr>
            <w:r w:rsidRPr="001C2DF4">
              <w:t>427</w:t>
            </w:r>
          </w:p>
        </w:tc>
        <w:tc>
          <w:tcPr>
            <w:tcW w:w="1559" w:type="dxa"/>
            <w:noWrap/>
          </w:tcPr>
          <w:p w14:paraId="7BB73D2B" w14:textId="77777777" w:rsidR="009D0006" w:rsidRPr="001C2DF4" w:rsidRDefault="009D0006" w:rsidP="00DC683E">
            <w:pPr>
              <w:pStyle w:val="Tabletext"/>
              <w:rPr>
                <w:lang w:val="en-US"/>
              </w:rPr>
            </w:pPr>
            <w:r w:rsidRPr="001C2DF4">
              <w:t>16.3</w:t>
            </w:r>
          </w:p>
        </w:tc>
      </w:tr>
      <w:tr w:rsidR="009D0006" w:rsidRPr="001C2DF4" w14:paraId="5876C603"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320D46F" w14:textId="77777777" w:rsidR="009D0006" w:rsidRPr="001C2DF4" w:rsidRDefault="009D0006" w:rsidP="00DC683E">
            <w:pPr>
              <w:pStyle w:val="Tabletext"/>
              <w:rPr>
                <w:lang w:val="en-US"/>
              </w:rPr>
            </w:pPr>
            <w:r w:rsidRPr="001C2DF4">
              <w:t>Asexual</w:t>
            </w:r>
          </w:p>
        </w:tc>
        <w:tc>
          <w:tcPr>
            <w:tcW w:w="1559" w:type="dxa"/>
            <w:noWrap/>
          </w:tcPr>
          <w:p w14:paraId="5D826F9A" w14:textId="77777777" w:rsidR="009D0006" w:rsidRPr="001C2DF4" w:rsidRDefault="009D0006" w:rsidP="00DC683E">
            <w:pPr>
              <w:pStyle w:val="Tabletext"/>
              <w:rPr>
                <w:lang w:val="en-US"/>
              </w:rPr>
            </w:pPr>
            <w:r w:rsidRPr="001C2DF4">
              <w:t>125</w:t>
            </w:r>
          </w:p>
        </w:tc>
        <w:tc>
          <w:tcPr>
            <w:tcW w:w="1559" w:type="dxa"/>
            <w:noWrap/>
          </w:tcPr>
          <w:p w14:paraId="70005982" w14:textId="77777777" w:rsidR="009D0006" w:rsidRPr="001C2DF4" w:rsidRDefault="009D0006" w:rsidP="00DC683E">
            <w:pPr>
              <w:pStyle w:val="Tabletext"/>
              <w:rPr>
                <w:lang w:val="en-US"/>
              </w:rPr>
            </w:pPr>
            <w:r w:rsidRPr="001C2DF4">
              <w:t>4.8</w:t>
            </w:r>
          </w:p>
        </w:tc>
      </w:tr>
      <w:tr w:rsidR="009D0006" w:rsidRPr="001C2DF4" w14:paraId="229BCA37"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F974F9C" w14:textId="77777777" w:rsidR="009D0006" w:rsidRPr="001C2DF4" w:rsidRDefault="009D0006" w:rsidP="00DC683E">
            <w:pPr>
              <w:pStyle w:val="Tabletext"/>
              <w:rPr>
                <w:lang w:val="en-US"/>
              </w:rPr>
            </w:pPr>
            <w:r w:rsidRPr="001C2DF4">
              <w:t>Something else</w:t>
            </w:r>
          </w:p>
        </w:tc>
        <w:tc>
          <w:tcPr>
            <w:tcW w:w="1559" w:type="dxa"/>
            <w:noWrap/>
          </w:tcPr>
          <w:p w14:paraId="4AD5EA70" w14:textId="77777777" w:rsidR="009D0006" w:rsidRPr="001C2DF4" w:rsidRDefault="009D0006" w:rsidP="00DC683E">
            <w:pPr>
              <w:pStyle w:val="Tabletext"/>
              <w:rPr>
                <w:lang w:val="en-US"/>
              </w:rPr>
            </w:pPr>
            <w:r w:rsidRPr="001C2DF4">
              <w:t>214</w:t>
            </w:r>
          </w:p>
        </w:tc>
        <w:tc>
          <w:tcPr>
            <w:tcW w:w="1559" w:type="dxa"/>
            <w:noWrap/>
          </w:tcPr>
          <w:p w14:paraId="0B8FB191" w14:textId="77777777" w:rsidR="009D0006" w:rsidRPr="001C2DF4" w:rsidRDefault="009D0006" w:rsidP="00DC683E">
            <w:pPr>
              <w:pStyle w:val="Tabletext"/>
              <w:rPr>
                <w:lang w:val="en-US"/>
              </w:rPr>
            </w:pPr>
            <w:r w:rsidRPr="001C2DF4">
              <w:t>8.2</w:t>
            </w:r>
          </w:p>
        </w:tc>
      </w:tr>
    </w:tbl>
    <w:p w14:paraId="75A86D84" w14:textId="77777777" w:rsidR="009D0006" w:rsidRPr="00A941B0" w:rsidRDefault="009D0006" w:rsidP="00FE2582">
      <w:pPr>
        <w:spacing w:before="360"/>
      </w:pPr>
      <w:bookmarkStart w:id="271" w:name="_Toc48137719"/>
      <w:bookmarkStart w:id="272" w:name="_Toc58252052"/>
      <w:r w:rsidRPr="00692BC1">
        <w:t>P</w:t>
      </w:r>
      <w:r w:rsidRPr="00A941B0">
        <w:t xml:space="preserve">articipants </w:t>
      </w:r>
      <w:r>
        <w:t xml:space="preserve">aged 18+ years in </w:t>
      </w:r>
      <w:r w:rsidRPr="00F777F8">
        <w:rPr>
          <w:i/>
          <w:iCs/>
        </w:rPr>
        <w:t>Private Lives 3</w:t>
      </w:r>
      <w:r>
        <w:t xml:space="preserve"> </w:t>
      </w:r>
      <w:r w:rsidRPr="00A941B0">
        <w:t xml:space="preserve">were offered and selected </w:t>
      </w:r>
      <w:r>
        <w:t xml:space="preserve">from </w:t>
      </w:r>
      <w:r w:rsidRPr="00A941B0">
        <w:t>a wide range of sexual orientations</w:t>
      </w:r>
      <w:r w:rsidRPr="00692BC1">
        <w:t xml:space="preserve">. However, </w:t>
      </w:r>
      <w:r w:rsidRPr="00A941B0">
        <w:rPr>
          <w:lang w:val="en-US"/>
        </w:rPr>
        <w:t>for data analysis purposes and due to relatively low numbers in each of the following groups, participants</w:t>
      </w:r>
      <w:r w:rsidRPr="00692BC1">
        <w:rPr>
          <w:lang w:val="en-US"/>
        </w:rPr>
        <w:t xml:space="preserve"> with disability</w:t>
      </w:r>
      <w:r w:rsidRPr="00A941B0">
        <w:rPr>
          <w:lang w:val="en-US"/>
        </w:rPr>
        <w:t xml:space="preserve"> who identified as ‘homosexual’, ‘prefer not to have a label’ or ‘something different’ were combined into the ‘something different’ category. This was also done for trans and gender diverse participants and those with </w:t>
      </w:r>
      <w:r>
        <w:rPr>
          <w:lang w:val="en-US"/>
        </w:rPr>
        <w:t xml:space="preserve">an </w:t>
      </w:r>
      <w:r w:rsidRPr="00A941B0">
        <w:rPr>
          <w:lang w:val="en-US"/>
        </w:rPr>
        <w:t>intersex variation</w:t>
      </w:r>
      <w:r>
        <w:rPr>
          <w:lang w:val="en-US"/>
        </w:rPr>
        <w:t xml:space="preserve"> or variations</w:t>
      </w:r>
      <w:r w:rsidRPr="00A941B0">
        <w:rPr>
          <w:lang w:val="en-US"/>
        </w:rPr>
        <w:t xml:space="preserve"> who identified as ‘heterosexual’</w:t>
      </w:r>
      <w:r w:rsidRPr="00A941B0">
        <w:t xml:space="preserve">. </w:t>
      </w:r>
      <w:r>
        <w:t>As displayed in Table 14, o</w:t>
      </w:r>
      <w:r w:rsidRPr="00692BC1">
        <w:t>ne-third</w:t>
      </w:r>
      <w:r w:rsidRPr="00A941B0">
        <w:t xml:space="preserve"> (</w:t>
      </w:r>
      <w:r w:rsidRPr="00692BC1">
        <w:t>35.7</w:t>
      </w:r>
      <w:r w:rsidRPr="00A941B0">
        <w:t xml:space="preserve">%; n = </w:t>
      </w:r>
      <w:r w:rsidRPr="00692BC1">
        <w:t>937</w:t>
      </w:r>
      <w:r w:rsidRPr="00A941B0">
        <w:t>) of participants</w:t>
      </w:r>
      <w:r w:rsidRPr="00692BC1">
        <w:t xml:space="preserve"> with disability</w:t>
      </w:r>
      <w:r w:rsidRPr="00A941B0">
        <w:t xml:space="preserve"> in </w:t>
      </w:r>
      <w:r w:rsidRPr="002C00DC">
        <w:rPr>
          <w:i/>
          <w:iCs/>
        </w:rPr>
        <w:t>Private Lives 3</w:t>
      </w:r>
      <w:r w:rsidRPr="00A941B0">
        <w:t xml:space="preserve"> identified as gay </w:t>
      </w:r>
      <w:r w:rsidRPr="00692BC1">
        <w:t xml:space="preserve">(16.1%; n = 423) </w:t>
      </w:r>
      <w:r w:rsidRPr="00A941B0">
        <w:t>or lesbian</w:t>
      </w:r>
      <w:r w:rsidRPr="00692BC1">
        <w:t xml:space="preserve"> (19.6%; n = 514)</w:t>
      </w:r>
      <w:r w:rsidRPr="00A941B0">
        <w:t xml:space="preserve">. </w:t>
      </w:r>
      <w:r w:rsidRPr="00692BC1">
        <w:t>O</w:t>
      </w:r>
      <w:r w:rsidRPr="00A941B0">
        <w:t>ne</w:t>
      </w:r>
      <w:r w:rsidRPr="00692BC1">
        <w:t xml:space="preserve">-third </w:t>
      </w:r>
      <w:r w:rsidRPr="00A941B0">
        <w:t>(</w:t>
      </w:r>
      <w:r w:rsidRPr="00692BC1">
        <w:t>35.0</w:t>
      </w:r>
      <w:r w:rsidRPr="00A941B0">
        <w:t xml:space="preserve">%; n = </w:t>
      </w:r>
      <w:r w:rsidRPr="00692BC1">
        <w:t>918</w:t>
      </w:r>
      <w:r w:rsidRPr="00A941B0">
        <w:t>) identified as multi-gender attracted (bisexual = 2</w:t>
      </w:r>
      <w:r w:rsidRPr="00692BC1">
        <w:t>4</w:t>
      </w:r>
      <w:r w:rsidRPr="00A941B0">
        <w:t xml:space="preserve">.4%; pansexual = </w:t>
      </w:r>
      <w:r w:rsidRPr="00692BC1">
        <w:t>10.6</w:t>
      </w:r>
      <w:r w:rsidRPr="00A941B0">
        <w:t>%)</w:t>
      </w:r>
      <w:r w:rsidRPr="00692BC1">
        <w:t xml:space="preserve"> and 16.3% (n = 427) as queer (which may include multi-gender attraction). Finally, 4.8% (n = 125) of participants </w:t>
      </w:r>
      <w:r>
        <w:t xml:space="preserve">with disability identified </w:t>
      </w:r>
      <w:r w:rsidRPr="00692BC1">
        <w:t xml:space="preserve">as asexual and 8.2% (n = 214) as ‘something else’. </w:t>
      </w:r>
      <w:r w:rsidRPr="00A941B0">
        <w:t xml:space="preserve">The ‘something else’ category was made up of participants who chose homosexual (n = </w:t>
      </w:r>
      <w:r w:rsidRPr="00692BC1">
        <w:t>39</w:t>
      </w:r>
      <w:r w:rsidRPr="00A941B0">
        <w:t>), ‘prefer not to have a label’</w:t>
      </w:r>
      <w:r w:rsidRPr="00692BC1">
        <w:t xml:space="preserve"> (n = 65)</w:t>
      </w:r>
      <w:r w:rsidRPr="00A941B0">
        <w:t>, ‘cannot choose only one sexuality’</w:t>
      </w:r>
      <w:r w:rsidRPr="00692BC1">
        <w:t>, ‘something different’ (n = 76)</w:t>
      </w:r>
      <w:r w:rsidRPr="00A941B0">
        <w:t xml:space="preserve"> and </w:t>
      </w:r>
      <w:r w:rsidRPr="00692BC1">
        <w:t>gender diverse</w:t>
      </w:r>
      <w:r w:rsidRPr="00A941B0">
        <w:t xml:space="preserve"> participants who identified as heterosexual. Participants who chose ‘prefer not to answer’ for the sexual orientation questions were not included in the ‘something else’ category. The responses from such participants are included in overall percentages in the sections that follow but do not form part of the gender identity and sexual orientation sub-analyses. Note that because 1) homosexual-identifying participants were from all genders and 2) participants chose ‘homosexual’ as a distinct choice from other sexual orientations, in order to accurately reflect identities of participants, ‘homosexual’ was not combined into other sexual orientation categories such as gay or lesbian. Due to the relatively low </w:t>
      </w:r>
      <w:r w:rsidRPr="00A941B0">
        <w:lastRenderedPageBreak/>
        <w:t>numbers of homosexual identifying participants, they were therefore combined into ‘something else’</w:t>
      </w:r>
      <w:r>
        <w:t>.</w:t>
      </w:r>
    </w:p>
    <w:p w14:paraId="597E541E" w14:textId="01688B68" w:rsidR="009D0006" w:rsidRPr="00692BC1" w:rsidRDefault="009D0006" w:rsidP="000067D6">
      <w:pPr>
        <w:pStyle w:val="Heading2Numbered"/>
        <w:spacing w:before="120"/>
      </w:pPr>
      <w:bookmarkStart w:id="273" w:name="_Toc115968523"/>
      <w:bookmarkStart w:id="274" w:name="_Toc119662407"/>
      <w:r w:rsidRPr="00692BC1">
        <w:t xml:space="preserve">Intersections of gender and </w:t>
      </w:r>
      <w:bookmarkEnd w:id="271"/>
      <w:bookmarkEnd w:id="272"/>
      <w:r w:rsidRPr="00692BC1">
        <w:t>disability</w:t>
      </w:r>
      <w:bookmarkEnd w:id="273"/>
      <w:bookmarkEnd w:id="274"/>
    </w:p>
    <w:p w14:paraId="5E6DE3C7" w14:textId="26526392" w:rsidR="000067D6" w:rsidRDefault="009D0006" w:rsidP="009D0006">
      <w:r w:rsidRPr="00692BC1">
        <w:t>LGBTQ</w:t>
      </w:r>
      <w:r>
        <w:t>A</w:t>
      </w:r>
      <w:r w:rsidRPr="00692BC1">
        <w:t xml:space="preserve">+ people have multiple, intersecting identities. For example, a person may identify their sexual orientation as gay and have a gender identity that is categorised as cisgender </w:t>
      </w:r>
      <w:r>
        <w:t>wo</w:t>
      </w:r>
      <w:r w:rsidRPr="00692BC1">
        <w:t xml:space="preserve">man, cisgender man, trans </w:t>
      </w:r>
      <w:r>
        <w:t>wo</w:t>
      </w:r>
      <w:r w:rsidRPr="00692BC1">
        <w:t xml:space="preserve">man, trans man or non-binary. Similarly, a person whose gender identity is non-binary may identify their sexual orientation as lesbian, gay, bisexual, pansexual, queer, asexual or something else. Identities can be fluid and the ways in which they intersect can vary depending upon the social and political context as well as personal circumstances and stage of the life course. The way people talk about their identities, particularly regarding sexual orientation and gender, is rapidly changing and more recent gender terminology has outgrown some of the sexual orientation terminology that was created in earlier binary discourse. Just as definitions of bisexuality have developed to include non-binary genders, terminology regarding same-gender, monosexual attraction such as lesbian and gay may be undergoing similar transitions. For example, a non-binary person who is attracted to women may identify as lesbian while a non-binary person who is attracted to men may identify as gay. Moreover, the way a person identifies their sexual orientation may represent a cultural or community identity rather than a tightly </w:t>
      </w:r>
      <w:r w:rsidRPr="00FE11F7">
        <w:t xml:space="preserve">defined sexual orientation, for instance a queer identity may represent alliance with a queer community. A person may also use different terms privately and publicly and/or in different contexts. </w:t>
      </w:r>
    </w:p>
    <w:p w14:paraId="41C2AFEE" w14:textId="77777777" w:rsidR="000067D6" w:rsidRDefault="000067D6">
      <w:pPr>
        <w:spacing w:before="0"/>
      </w:pPr>
      <w:r>
        <w:br w:type="page"/>
      </w:r>
    </w:p>
    <w:p w14:paraId="38C8442D" w14:textId="22B8B959" w:rsidR="009D0006" w:rsidRDefault="009D0006" w:rsidP="000067D6">
      <w:pPr>
        <w:pStyle w:val="Heading3Numbered"/>
        <w:spacing w:before="120"/>
      </w:pPr>
      <w:bookmarkStart w:id="275" w:name="_Toc115968524"/>
      <w:r w:rsidRPr="002306D8">
        <w:lastRenderedPageBreak/>
        <w:t>Intersections of gender and disability – young people aged 14-21 years</w:t>
      </w:r>
      <w:bookmarkEnd w:id="275"/>
    </w:p>
    <w:p w14:paraId="75EC47FD" w14:textId="378FE75E" w:rsidR="009D0006" w:rsidRPr="000067D6" w:rsidRDefault="009D0006" w:rsidP="00DC683E">
      <w:pPr>
        <w:pStyle w:val="FigureHeading"/>
      </w:pPr>
      <w:bookmarkStart w:id="276" w:name="_Toc117062851"/>
      <w:bookmarkStart w:id="277" w:name="_Toc119657407"/>
      <w:r w:rsidRPr="000067D6">
        <w:t xml:space="preserve">Figure </w:t>
      </w:r>
      <w:r w:rsidR="00C9023A">
        <w:fldChar w:fldCharType="begin"/>
      </w:r>
      <w:r w:rsidR="00C9023A">
        <w:instrText xml:space="preserve"> SEQ Figure \* ARABIC </w:instrText>
      </w:r>
      <w:r w:rsidR="00C9023A">
        <w:fldChar w:fldCharType="separate"/>
      </w:r>
      <w:r w:rsidRPr="000067D6">
        <w:rPr>
          <w:noProof/>
        </w:rPr>
        <w:t>1</w:t>
      </w:r>
      <w:r w:rsidR="00C9023A">
        <w:rPr>
          <w:noProof/>
        </w:rPr>
        <w:fldChar w:fldCharType="end"/>
      </w:r>
      <w:r w:rsidRPr="000067D6">
        <w:t xml:space="preserve">: Intersections of gender identity and disability among young people aged </w:t>
      </w:r>
      <w:r w:rsidR="000067D6">
        <w:br/>
      </w:r>
      <w:r w:rsidRPr="000067D6">
        <w:t>14-21 years</w:t>
      </w:r>
      <w:bookmarkEnd w:id="276"/>
      <w:bookmarkEnd w:id="277"/>
    </w:p>
    <w:p w14:paraId="0492A65B" w14:textId="77777777" w:rsidR="009D0006" w:rsidRDefault="009D0006" w:rsidP="009D0006">
      <w:r>
        <w:rPr>
          <w:noProof/>
          <w:lang w:eastAsia="en-AU"/>
        </w:rPr>
        <w:drawing>
          <wp:inline distT="0" distB="0" distL="0" distR="0" wp14:anchorId="74BF4465" wp14:editId="192E49EA">
            <wp:extent cx="5276958" cy="3827339"/>
            <wp:effectExtent l="0" t="0" r="0" b="1905"/>
            <wp:docPr id="1" name="Chart 1">
              <a:extLst xmlns:a="http://schemas.openxmlformats.org/drawingml/2006/main">
                <a:ext uri="{FF2B5EF4-FFF2-40B4-BE49-F238E27FC236}">
                  <a16:creationId xmlns:a16="http://schemas.microsoft.com/office/drawing/2014/main" id="{689BA831-45EE-E34F-B80C-8657DDCA3D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04A4D6" w14:textId="7D01525E" w:rsidR="009D0006" w:rsidRPr="000067D6" w:rsidRDefault="009D0006" w:rsidP="000067D6">
      <w:pPr>
        <w:pStyle w:val="TableTextNotebelow"/>
        <w:rPr>
          <w:i/>
        </w:rPr>
      </w:pPr>
      <w:r w:rsidRPr="000067D6">
        <w:rPr>
          <w:i/>
        </w:rPr>
        <w:t>* In order to be more comparable with general population data, ‘any disability’ does not include participants who reported only ‘mental illness’ and no other disability or long-term health condition.</w:t>
      </w:r>
    </w:p>
    <w:p w14:paraId="00438902" w14:textId="2AE31DA9" w:rsidR="000067D6" w:rsidRDefault="009D0006" w:rsidP="000067D6">
      <w:pPr>
        <w:spacing w:before="360"/>
      </w:pPr>
      <w:r>
        <w:t>Figure 1 shows that, o</w:t>
      </w:r>
      <w:r w:rsidRPr="00FE11F7">
        <w:t xml:space="preserve">verall, trans and gender diverse participants </w:t>
      </w:r>
      <w:r>
        <w:t xml:space="preserve">aged 14-21 years </w:t>
      </w:r>
      <w:r w:rsidRPr="00FE11F7">
        <w:t xml:space="preserve">in </w:t>
      </w:r>
      <w:r w:rsidRPr="003472B3">
        <w:rPr>
          <w:i/>
          <w:iCs/>
        </w:rPr>
        <w:t>Writing Themselves In 4</w:t>
      </w:r>
      <w:r w:rsidRPr="00FE11F7">
        <w:t xml:space="preserve"> reported higher levels of </w:t>
      </w:r>
      <w:r>
        <w:t xml:space="preserve">any </w:t>
      </w:r>
      <w:r w:rsidRPr="00FE11F7">
        <w:t xml:space="preserve">disability other than mental illness than cisgender participants. More than half of trans women (54.5%; n =36) reported </w:t>
      </w:r>
      <w:r>
        <w:t xml:space="preserve">a </w:t>
      </w:r>
      <w:r w:rsidRPr="00FE11F7">
        <w:t>disability other than mental illness, followed by 45.2% (n = 163) of trans men and 41.8% (n = 442) of non-binary participants. This compares to 20.0% (n = 569) of cisgender women and 13.0% (n = 170) of cisgender men.</w:t>
      </w:r>
    </w:p>
    <w:p w14:paraId="65F59D0E" w14:textId="77777777" w:rsidR="000067D6" w:rsidRDefault="000067D6">
      <w:pPr>
        <w:spacing w:before="0"/>
      </w:pPr>
      <w:r>
        <w:br w:type="page"/>
      </w:r>
    </w:p>
    <w:p w14:paraId="39EBBB16" w14:textId="23AB62E3" w:rsidR="009D0006" w:rsidRDefault="009D0006" w:rsidP="00153892">
      <w:pPr>
        <w:pStyle w:val="Heading3Numbered"/>
      </w:pPr>
      <w:bookmarkStart w:id="278" w:name="_Toc115968525"/>
      <w:r w:rsidRPr="002306D8">
        <w:lastRenderedPageBreak/>
        <w:t>Intersections of gender and disability – adults aged 18+ years</w:t>
      </w:r>
      <w:bookmarkEnd w:id="278"/>
    </w:p>
    <w:p w14:paraId="23751F06" w14:textId="037A94A1" w:rsidR="009D0006" w:rsidRPr="001856A6" w:rsidRDefault="009D0006" w:rsidP="00DC683E">
      <w:pPr>
        <w:pStyle w:val="FigureHeading"/>
      </w:pPr>
      <w:bookmarkStart w:id="279" w:name="_Toc117062852"/>
      <w:bookmarkStart w:id="280" w:name="_Toc119657408"/>
      <w:r w:rsidRPr="00DC04FA">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1856A6">
        <w:t xml:space="preserve">Intersections of </w:t>
      </w:r>
      <w:r>
        <w:t>gender</w:t>
      </w:r>
      <w:r w:rsidRPr="001856A6">
        <w:t xml:space="preserve"> and disability</w:t>
      </w:r>
      <w:r>
        <w:t xml:space="preserve"> among adults aged 18+ years</w:t>
      </w:r>
      <w:bookmarkEnd w:id="279"/>
      <w:bookmarkEnd w:id="280"/>
    </w:p>
    <w:p w14:paraId="5F33FDD9" w14:textId="653C2335" w:rsidR="009D0006" w:rsidRPr="00692BC1" w:rsidRDefault="009D0006" w:rsidP="009D0006">
      <w:pPr>
        <w:rPr>
          <w:sz w:val="16"/>
          <w:szCs w:val="16"/>
          <w:highlight w:val="yellow"/>
        </w:rPr>
      </w:pPr>
      <w:bookmarkStart w:id="281" w:name="_Toc88231117"/>
      <w:bookmarkStart w:id="282" w:name="_Toc94628034"/>
      <w:r>
        <w:rPr>
          <w:noProof/>
          <w:lang w:eastAsia="en-AU"/>
        </w:rPr>
        <w:drawing>
          <wp:anchor distT="0" distB="0" distL="114300" distR="114300" simplePos="0" relativeHeight="251658240" behindDoc="0" locked="0" layoutInCell="1" allowOverlap="1" wp14:anchorId="3AE29763" wp14:editId="6199D2E2">
            <wp:simplePos x="613250" y="2020441"/>
            <wp:positionH relativeFrom="column">
              <wp:align>left</wp:align>
            </wp:positionH>
            <wp:positionV relativeFrom="paragraph">
              <wp:align>top</wp:align>
            </wp:positionV>
            <wp:extent cx="5237018" cy="3966371"/>
            <wp:effectExtent l="0" t="0" r="1905" b="0"/>
            <wp:wrapSquare wrapText="bothSides"/>
            <wp:docPr id="3" name="Chart 3">
              <a:extLst xmlns:a="http://schemas.openxmlformats.org/drawingml/2006/main">
                <a:ext uri="{FF2B5EF4-FFF2-40B4-BE49-F238E27FC236}">
                  <a16:creationId xmlns:a16="http://schemas.microsoft.com/office/drawing/2014/main" id="{EB8DAFF7-2DB2-8A4F-8D8B-78B9841D4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bookmarkEnd w:id="281"/>
      <w:bookmarkEnd w:id="282"/>
      <w:r w:rsidR="000067D6">
        <w:rPr>
          <w:sz w:val="16"/>
          <w:szCs w:val="16"/>
          <w:highlight w:val="yellow"/>
        </w:rPr>
        <w:br w:type="textWrapping" w:clear="all"/>
      </w:r>
    </w:p>
    <w:p w14:paraId="1CA61259" w14:textId="77777777" w:rsidR="009D0006" w:rsidRDefault="009D0006" w:rsidP="000067D6">
      <w:pPr>
        <w:spacing w:before="360"/>
      </w:pPr>
      <w:r>
        <w:t xml:space="preserve">Figure 2 shows that, overall, trans and gender diverse participants aged 18+ years in </w:t>
      </w:r>
      <w:r w:rsidRPr="00E709B7">
        <w:rPr>
          <w:i/>
          <w:iCs/>
        </w:rPr>
        <w:t>Private Lives 3</w:t>
      </w:r>
      <w:r>
        <w:t xml:space="preserve"> reported higher levels of disability than cisgender r participants. One-quarter of trans men (26.1%; n = 72) and non-binary participants (24.1%; n = 207) were categorised as having severe disability, followed by 21.0% (n = 56) of trans women, 12.2% (n = 344) of cisgender women and 4.9% (n = 111) of cisgender men. Similarly, 33.2% (n = 285) of non-binary participants were categorised as having moderate disability, followed by 29.4% (n = 81) of trans men, 23.5% (n = 662) of cisgender women, 22.5% (n = 60) of trans women and 12.9% (n = 292) of cisgender men. Finally, 8.2% (n = 70) of non-binary participants were categorised as having mild disability, followed by 7.7% (n = 218) of cisgender women, 6.0% (n = 16) of trans women, 5.4% of trans men (n = 15) and 4.9% (n = 111) of cisgender men.</w:t>
      </w:r>
    </w:p>
    <w:p w14:paraId="58C7BC51" w14:textId="00FD579A" w:rsidR="009D0006" w:rsidRPr="00EF046C" w:rsidRDefault="009D0006" w:rsidP="00153892">
      <w:pPr>
        <w:pStyle w:val="Heading2Numbered"/>
      </w:pPr>
      <w:bookmarkStart w:id="283" w:name="_Toc115968526"/>
      <w:bookmarkStart w:id="284" w:name="_Toc119662408"/>
      <w:r>
        <w:lastRenderedPageBreak/>
        <w:t>First Nations peoples</w:t>
      </w:r>
      <w:bookmarkEnd w:id="283"/>
      <w:bookmarkEnd w:id="284"/>
    </w:p>
    <w:p w14:paraId="01906418" w14:textId="51C8D01E" w:rsidR="009D0006" w:rsidRPr="002306D8" w:rsidRDefault="009D0006" w:rsidP="00153892">
      <w:pPr>
        <w:pStyle w:val="Heading3Numbered"/>
      </w:pPr>
      <w:bookmarkStart w:id="285" w:name="_Toc115968527"/>
      <w:r>
        <w:t xml:space="preserve">First Nations </w:t>
      </w:r>
      <w:r w:rsidRPr="002306D8">
        <w:t>– young people aged 14-21 years</w:t>
      </w:r>
      <w:bookmarkEnd w:id="285"/>
    </w:p>
    <w:p w14:paraId="1B5C9914" w14:textId="77777777" w:rsidR="009D0006" w:rsidRPr="00F12CE0" w:rsidRDefault="009D0006" w:rsidP="009D0006">
      <w:pPr>
        <w:rPr>
          <w:sz w:val="16"/>
          <w:szCs w:val="16"/>
          <w:highlight w:val="yellow"/>
        </w:rPr>
      </w:pPr>
      <w:r w:rsidRPr="00692BC1">
        <w:t xml:space="preserve">At a national level, </w:t>
      </w:r>
      <w:r w:rsidRPr="003472B3">
        <w:rPr>
          <w:i/>
          <w:iCs/>
        </w:rPr>
        <w:t>Writing Themselves</w:t>
      </w:r>
      <w:r>
        <w:rPr>
          <w:i/>
          <w:iCs/>
        </w:rPr>
        <w:t xml:space="preserve"> In</w:t>
      </w:r>
      <w:r w:rsidRPr="003472B3">
        <w:rPr>
          <w:i/>
          <w:iCs/>
        </w:rPr>
        <w:t xml:space="preserve"> 4</w:t>
      </w:r>
      <w:r w:rsidRPr="00692BC1">
        <w:t xml:space="preserve"> heard from a large number of LGBTQ</w:t>
      </w:r>
      <w:r>
        <w:t>A</w:t>
      </w:r>
      <w:r w:rsidRPr="00692BC1">
        <w:t xml:space="preserve">+ </w:t>
      </w:r>
      <w:r>
        <w:t>First Nations peoples</w:t>
      </w:r>
      <w:r w:rsidRPr="00692BC1">
        <w:t xml:space="preserve">. Overall, 4.9% (n = 121) of participants </w:t>
      </w:r>
      <w:r>
        <w:t xml:space="preserve">with disability </w:t>
      </w:r>
      <w:r w:rsidRPr="00692BC1">
        <w:t xml:space="preserve">aged 14-21 years identified as </w:t>
      </w:r>
      <w:r>
        <w:t>a First Nations person</w:t>
      </w:r>
      <w:r w:rsidRPr="00692BC1">
        <w:t xml:space="preserve"> in </w:t>
      </w:r>
      <w:r w:rsidRPr="00692BC1">
        <w:rPr>
          <w:i/>
          <w:iCs/>
        </w:rPr>
        <w:t>Writing Themselves In 4</w:t>
      </w:r>
      <w:r>
        <w:t xml:space="preserve">, </w:t>
      </w:r>
      <w:r w:rsidRPr="00692BC1">
        <w:t xml:space="preserve">higher than the estimated proportion of </w:t>
      </w:r>
      <w:r>
        <w:t>First Nations p</w:t>
      </w:r>
      <w:r w:rsidRPr="00692BC1">
        <w:t>eople</w:t>
      </w:r>
      <w:r>
        <w:t>s</w:t>
      </w:r>
      <w:r w:rsidRPr="00692BC1">
        <w:t xml:space="preserve"> in Australia (3.3%)</w:t>
      </w:r>
      <w:r>
        <w:fldChar w:fldCharType="begin"/>
      </w:r>
      <w:r>
        <w:instrText xml:space="preserve"> ADDIN ZOTERO_ITEM CSL_CITATION {"citationID":"tK0iuxoZ","properties":{"formattedCitation":"(25)","plainCitation":"(25)","noteIndex":0},"citationItems":[{"id":"hc6yy1rM/Py4IR1nZ","uris":["http://zotero.org/users/4948307/items/8AEUYTLZ"],"itemData":{"id":61,"type":"webpage","abstract":"This is a summary from publication Main Features which contains key figures, key points and notes from the publication.","language":"en","note":"publisher: c=AU; o=Commonwealth of Australia; ou=Australian Bureau of Statistics","title":"Estimates of Aboriginal and Torres Strait Islander Australians","URL":"https://www.abs.gov.au/ausstats/abs@.nsf/mf/3238.0.55.001","author":[{"family":"Australian Bureau of Statistics","given":"c=AU; o=Commonwealth of Australia; ou=Australian Bureau","dropping-particle":"of"}],"accessed":{"date-parts":[["2020",8,25]]},"issued":{"date-parts":[["2018",8,31]]}}}],"schema":"https://github.com/citation-style-language/schema/raw/master/csl-citation.json"} </w:instrText>
      </w:r>
      <w:r>
        <w:fldChar w:fldCharType="separate"/>
      </w:r>
      <w:r>
        <w:rPr>
          <w:lang w:val="en-GB"/>
        </w:rPr>
        <w:t>(25)</w:t>
      </w:r>
      <w:r>
        <w:fldChar w:fldCharType="end"/>
      </w:r>
      <w:r w:rsidRPr="00692BC1">
        <w:t xml:space="preserve"> or the proportion of </w:t>
      </w:r>
      <w:r>
        <w:t>First Nations peoples</w:t>
      </w:r>
      <w:r w:rsidRPr="00692BC1">
        <w:t xml:space="preserve"> (4.2%) among young people in Australia aged 15 to 24</w:t>
      </w:r>
      <w:r>
        <w:t xml:space="preserve"> years.</w:t>
      </w:r>
      <w:r>
        <w:fldChar w:fldCharType="begin"/>
      </w:r>
      <w:r>
        <w:instrText xml:space="preserve"> ADDIN ZOTERO_ITEM CSL_CITATION {"citationID":"OlPEMSga","properties":{"formattedCitation":"(26)","plainCitation":"(26)","noteIndex":0},"citationItems":[{"id":"hc6yy1rM/BQbCzuqg","uris":["http://zotero.org/users/4948307/items/9DJPX9N3"],"itemData":{"id":64,"type":"webpage","abstract":"This is a summary from publication 2016 Census - a ‘selfie’ of young people in Australia which contains key figures, key points and notes from the publication.","language":"en","note":"publisher: c=AU; o=Commonwealth of Australia; ou=Australian Bureau of Statistics","title":"2016 Census – a ‘selfie’ of young people in Australia","URL":"https://www.abs.gov.au/AUSSTATS/abs@.nsf/mediareleasesbyReleaseDate/AC02F0705E320F58CA25817C00016A47?OpenDocument","author":[{"family":"Australian Bureau of Statistics","given":""}],"accessed":{"date-parts":[["2020",8,13]]},"issued":{"date-parts":[["2017",8,14]]}}}],"schema":"https://github.com/citation-style-language/schema/raw/master/csl-citation.json"} </w:instrText>
      </w:r>
      <w:r>
        <w:fldChar w:fldCharType="separate"/>
      </w:r>
      <w:r>
        <w:rPr>
          <w:lang w:val="en-GB"/>
        </w:rPr>
        <w:t>(26)</w:t>
      </w:r>
      <w:r>
        <w:fldChar w:fldCharType="end"/>
      </w:r>
      <w:r w:rsidRPr="00692BC1">
        <w:t xml:space="preserve"> The representation of </w:t>
      </w:r>
      <w:r>
        <w:t>First Nations</w:t>
      </w:r>
      <w:r w:rsidRPr="00692BC1">
        <w:t xml:space="preserve"> participants with disability and specific in-depth outputs are planned for the analysis and interpretation of </w:t>
      </w:r>
      <w:r>
        <w:t>these</w:t>
      </w:r>
      <w:r w:rsidRPr="00692BC1">
        <w:t xml:space="preserve"> data, in close collaboration with </w:t>
      </w:r>
      <w:r>
        <w:t>First Nations peoples</w:t>
      </w:r>
      <w:r w:rsidRPr="00692BC1">
        <w:t xml:space="preserve"> organisations</w:t>
      </w:r>
      <w:r>
        <w:t xml:space="preserve"> for both </w:t>
      </w:r>
      <w:r w:rsidRPr="003472B3">
        <w:rPr>
          <w:i/>
          <w:iCs/>
        </w:rPr>
        <w:t>Writing Themselves</w:t>
      </w:r>
      <w:r>
        <w:rPr>
          <w:i/>
          <w:iCs/>
        </w:rPr>
        <w:t xml:space="preserve"> In</w:t>
      </w:r>
      <w:r w:rsidRPr="003472B3">
        <w:rPr>
          <w:i/>
          <w:iCs/>
        </w:rPr>
        <w:t xml:space="preserve"> 4</w:t>
      </w:r>
      <w:r>
        <w:rPr>
          <w:i/>
          <w:iCs/>
        </w:rPr>
        <w:t xml:space="preserve"> </w:t>
      </w:r>
      <w:r>
        <w:t xml:space="preserve">and </w:t>
      </w:r>
      <w:r w:rsidRPr="00692BC1">
        <w:rPr>
          <w:i/>
          <w:iCs/>
        </w:rPr>
        <w:t>Private Lives 3</w:t>
      </w:r>
      <w:r>
        <w:rPr>
          <w:i/>
          <w:iCs/>
        </w:rPr>
        <w:t xml:space="preserve"> </w:t>
      </w:r>
      <w:r>
        <w:t>data.</w:t>
      </w:r>
    </w:p>
    <w:p w14:paraId="4A695C1F" w14:textId="7FCC0AD7" w:rsidR="009D0006" w:rsidRPr="002306D8" w:rsidRDefault="009D0006" w:rsidP="00153892">
      <w:pPr>
        <w:pStyle w:val="Heading3Numbered"/>
      </w:pPr>
      <w:bookmarkStart w:id="286" w:name="_Toc115968528"/>
      <w:r>
        <w:t xml:space="preserve">First Nations </w:t>
      </w:r>
      <w:r w:rsidRPr="002306D8">
        <w:t>– adults aged 18+ years</w:t>
      </w:r>
      <w:bookmarkEnd w:id="286"/>
    </w:p>
    <w:p w14:paraId="46FFFE05" w14:textId="77777777" w:rsidR="009D0006" w:rsidRPr="00692BC1" w:rsidRDefault="009D0006" w:rsidP="009D0006">
      <w:pPr>
        <w:rPr>
          <w:sz w:val="16"/>
          <w:szCs w:val="16"/>
          <w:highlight w:val="yellow"/>
        </w:rPr>
      </w:pPr>
      <w:r w:rsidRPr="00692BC1">
        <w:t xml:space="preserve">In total, 3.9% (n = 103) of participants </w:t>
      </w:r>
      <w:r>
        <w:t xml:space="preserve">with disability </w:t>
      </w:r>
      <w:r w:rsidRPr="00692BC1">
        <w:t xml:space="preserve">aged 18+ years identified as </w:t>
      </w:r>
      <w:r>
        <w:t>a First Nations</w:t>
      </w:r>
      <w:r w:rsidRPr="00692BC1">
        <w:t xml:space="preserve"> </w:t>
      </w:r>
      <w:r>
        <w:t xml:space="preserve">person </w:t>
      </w:r>
      <w:r w:rsidRPr="00692BC1">
        <w:t xml:space="preserve">in </w:t>
      </w:r>
      <w:r w:rsidRPr="00692BC1">
        <w:rPr>
          <w:i/>
          <w:iCs/>
        </w:rPr>
        <w:t>Private Lives 3</w:t>
      </w:r>
      <w:r w:rsidRPr="00692BC1">
        <w:t>. This is similar to the general population in Australia (3.3%)</w:t>
      </w:r>
      <w:r>
        <w:t>.</w:t>
      </w:r>
      <w:r>
        <w:fldChar w:fldCharType="begin"/>
      </w:r>
      <w:r>
        <w:instrText xml:space="preserve"> ADDIN ZOTERO_ITEM CSL_CITATION {"citationID":"2G25iLqj","properties":{"formattedCitation":"(25)","plainCitation":"(25)","noteIndex":0},"citationItems":[{"id":"hc6yy1rM/Py4IR1nZ","uris":["http://zotero.org/users/4948307/items/8AEUYTLZ"],"itemData":{"id":61,"type":"webpage","abstract":"This is a summary from publication Main Features which contains key figures, key points and notes from the publication.","language":"en","note":"publisher: c=AU; o=Commonwealth of Australia; ou=Australian Bureau of Statistics","title":"Estimates of Aboriginal and Torres Strait Islander Australians","URL":"https://www.abs.gov.au/ausstats/abs@.nsf/mf/3238.0.55.001","author":[{"family":"Australian Bureau of Statistics","given":"c=AU; o=Commonwealth of Australia; ou=Australian Bureau","dropping-particle":"of"}],"accessed":{"date-parts":[["2020",8,25]]},"issued":{"date-parts":[["2018",8,31]]}}}],"schema":"https://github.com/citation-style-language/schema/raw/master/csl-citation.json"} </w:instrText>
      </w:r>
      <w:r>
        <w:fldChar w:fldCharType="separate"/>
      </w:r>
      <w:r>
        <w:rPr>
          <w:lang w:val="en-GB"/>
        </w:rPr>
        <w:t>(25)</w:t>
      </w:r>
      <w:r>
        <w:fldChar w:fldCharType="end"/>
      </w:r>
      <w:r w:rsidRPr="00692BC1">
        <w:t xml:space="preserve"> </w:t>
      </w:r>
      <w:r>
        <w:t>As mentioned above, t</w:t>
      </w:r>
      <w:r w:rsidRPr="00692BC1">
        <w:t xml:space="preserve">he representation of </w:t>
      </w:r>
      <w:r>
        <w:t>First Nations</w:t>
      </w:r>
      <w:r w:rsidRPr="00692BC1">
        <w:t xml:space="preserve"> participants with disability and specific in-depth outputs are planned for the analysis and interpretation of </w:t>
      </w:r>
      <w:r>
        <w:t>these</w:t>
      </w:r>
      <w:r w:rsidRPr="00692BC1">
        <w:t xml:space="preserve"> data, in close collaboration with </w:t>
      </w:r>
      <w:r>
        <w:t>First Nations peoples</w:t>
      </w:r>
      <w:r w:rsidRPr="00692BC1">
        <w:t xml:space="preserve"> organisations.</w:t>
      </w:r>
    </w:p>
    <w:p w14:paraId="65C0E56C" w14:textId="12166276" w:rsidR="009D0006" w:rsidRPr="00692BC1" w:rsidRDefault="009D0006" w:rsidP="00153892">
      <w:pPr>
        <w:pStyle w:val="Heading2Numbered"/>
      </w:pPr>
      <w:bookmarkStart w:id="287" w:name="_Toc40192096"/>
      <w:bookmarkStart w:id="288" w:name="_Toc48137721"/>
      <w:bookmarkStart w:id="289" w:name="_Toc58252053"/>
      <w:bookmarkStart w:id="290" w:name="_Toc115968529"/>
      <w:bookmarkStart w:id="291" w:name="_Toc119662409"/>
      <w:r>
        <w:t>Cultural background</w:t>
      </w:r>
      <w:r w:rsidRPr="00692BC1">
        <w:t xml:space="preserve"> and country of birth</w:t>
      </w:r>
      <w:bookmarkEnd w:id="287"/>
      <w:bookmarkEnd w:id="288"/>
      <w:bookmarkEnd w:id="289"/>
      <w:bookmarkEnd w:id="290"/>
      <w:bookmarkEnd w:id="291"/>
    </w:p>
    <w:p w14:paraId="342E57BF" w14:textId="1FE4EC09" w:rsidR="009D0006" w:rsidRPr="002306D8" w:rsidRDefault="009D0006" w:rsidP="00153892">
      <w:pPr>
        <w:pStyle w:val="Heading3Numbered"/>
      </w:pPr>
      <w:bookmarkStart w:id="292" w:name="_Toc115968530"/>
      <w:r>
        <w:t>Cultural background</w:t>
      </w:r>
      <w:r w:rsidRPr="002306D8">
        <w:t xml:space="preserve"> and country of birth – young people aged 14-21 years</w:t>
      </w:r>
      <w:bookmarkEnd w:id="292"/>
    </w:p>
    <w:p w14:paraId="70E9095C" w14:textId="4D245C10" w:rsidR="000067D6" w:rsidRDefault="009D0006" w:rsidP="009D0006">
      <w:r w:rsidRPr="00692BC1">
        <w:t xml:space="preserve">The majority of participants with disability in </w:t>
      </w:r>
      <w:r w:rsidRPr="00692BC1">
        <w:rPr>
          <w:i/>
          <w:iCs/>
        </w:rPr>
        <w:t>Writing Themselves In 4</w:t>
      </w:r>
      <w:r w:rsidRPr="00692BC1">
        <w:t xml:space="preserve"> were born in Australia (92.2%, n = 2306), while 7.8% (n = 194) were born overseas. Of those born overseas, 51.0% (n = 99) were born in an English-speaking country and 49</w:t>
      </w:r>
      <w:r>
        <w:t>.0</w:t>
      </w:r>
      <w:r w:rsidRPr="00692BC1">
        <w:t>% (n = 95) in a non-English speaking country.</w:t>
      </w:r>
      <w:r>
        <w:t xml:space="preserve"> Table 15 displays a breakdown of participants according to their reported cultural background.</w:t>
      </w:r>
    </w:p>
    <w:p w14:paraId="06ECA37D" w14:textId="77777777" w:rsidR="000067D6" w:rsidRDefault="000067D6">
      <w:pPr>
        <w:spacing w:before="0"/>
      </w:pPr>
      <w:r>
        <w:br w:type="page"/>
      </w:r>
    </w:p>
    <w:p w14:paraId="54284657" w14:textId="675B32D8" w:rsidR="009D0006" w:rsidRPr="002306D8" w:rsidRDefault="009D0006" w:rsidP="00DC683E">
      <w:pPr>
        <w:pStyle w:val="Tableheading"/>
      </w:pPr>
      <w:bookmarkStart w:id="293" w:name="_Toc48137901"/>
      <w:bookmarkStart w:id="294" w:name="_Toc117062733"/>
      <w:bookmarkStart w:id="295" w:name="_Toc119651418"/>
      <w:r w:rsidRPr="002306D8">
        <w:lastRenderedPageBreak/>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Cultural background</w:t>
      </w:r>
      <w:r w:rsidRPr="002306D8">
        <w:t xml:space="preserve"> of </w:t>
      </w:r>
      <w:bookmarkEnd w:id="293"/>
      <w:r>
        <w:t>young people with disability aged 14-21 years</w:t>
      </w:r>
      <w:r w:rsidRPr="002306D8">
        <w:t xml:space="preserve"> </w:t>
      </w:r>
      <w:r w:rsidR="000067D6">
        <w:br/>
      </w:r>
      <w:r w:rsidRPr="002306D8">
        <w:t>(n = 2407)</w:t>
      </w:r>
      <w:bookmarkEnd w:id="294"/>
      <w:bookmarkEnd w:id="295"/>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1D0722E3"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81F6334" w14:textId="77777777" w:rsidR="009D0006" w:rsidRPr="00DC683E" w:rsidRDefault="009D0006" w:rsidP="00DC683E">
            <w:pPr>
              <w:pStyle w:val="Tableheader"/>
            </w:pPr>
            <w:bookmarkStart w:id="296" w:name="_Toc40192097"/>
            <w:bookmarkStart w:id="297" w:name="_Toc48137722"/>
            <w:r w:rsidRPr="00DC683E">
              <w:t>Cultural background</w:t>
            </w:r>
          </w:p>
        </w:tc>
        <w:tc>
          <w:tcPr>
            <w:tcW w:w="1559" w:type="dxa"/>
            <w:noWrap/>
            <w:hideMark/>
          </w:tcPr>
          <w:p w14:paraId="572D956F" w14:textId="77777777" w:rsidR="009D0006" w:rsidRPr="00DC683E" w:rsidRDefault="009D0006" w:rsidP="00DC683E">
            <w:pPr>
              <w:pStyle w:val="Tableheader"/>
            </w:pPr>
            <w:r w:rsidRPr="00DC683E">
              <w:t>n</w:t>
            </w:r>
          </w:p>
        </w:tc>
        <w:tc>
          <w:tcPr>
            <w:tcW w:w="1559" w:type="dxa"/>
            <w:noWrap/>
            <w:hideMark/>
          </w:tcPr>
          <w:p w14:paraId="0ACAB179" w14:textId="77777777" w:rsidR="009D0006" w:rsidRPr="00DC683E" w:rsidRDefault="009D0006" w:rsidP="00DC683E">
            <w:pPr>
              <w:pStyle w:val="Tableheader"/>
            </w:pPr>
            <w:r w:rsidRPr="00DC683E">
              <w:t>%</w:t>
            </w:r>
          </w:p>
        </w:tc>
      </w:tr>
      <w:tr w:rsidR="009D0006" w:rsidRPr="001C2DF4" w14:paraId="47272088"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5D20D39" w14:textId="77777777" w:rsidR="009D0006" w:rsidRPr="001C2DF4" w:rsidRDefault="009D0006" w:rsidP="00DC683E">
            <w:pPr>
              <w:pStyle w:val="Tabletext"/>
              <w:rPr>
                <w:lang w:val="en-US"/>
              </w:rPr>
            </w:pPr>
            <w:r w:rsidRPr="001C2DF4">
              <w:t>Anglo-Celtic</w:t>
            </w:r>
          </w:p>
        </w:tc>
        <w:tc>
          <w:tcPr>
            <w:tcW w:w="1559" w:type="dxa"/>
            <w:noWrap/>
          </w:tcPr>
          <w:p w14:paraId="5652045E" w14:textId="77777777" w:rsidR="009D0006" w:rsidRPr="001C2DF4" w:rsidRDefault="009D0006" w:rsidP="00DC683E">
            <w:pPr>
              <w:pStyle w:val="Tabletext"/>
              <w:rPr>
                <w:lang w:val="en-US"/>
              </w:rPr>
            </w:pPr>
            <w:r w:rsidRPr="001C2DF4">
              <w:t>1654</w:t>
            </w:r>
          </w:p>
        </w:tc>
        <w:tc>
          <w:tcPr>
            <w:tcW w:w="1559" w:type="dxa"/>
            <w:noWrap/>
          </w:tcPr>
          <w:p w14:paraId="237E80FD" w14:textId="77777777" w:rsidR="009D0006" w:rsidRPr="001C2DF4" w:rsidRDefault="009D0006" w:rsidP="00DC683E">
            <w:pPr>
              <w:pStyle w:val="Tabletext"/>
              <w:rPr>
                <w:highlight w:val="lightGray"/>
                <w:shd w:val="pct15" w:color="auto" w:fill="FFFFFF"/>
                <w:lang w:val="en-US"/>
              </w:rPr>
            </w:pPr>
            <w:r w:rsidRPr="001C2DF4">
              <w:t>68.7</w:t>
            </w:r>
          </w:p>
        </w:tc>
      </w:tr>
      <w:tr w:rsidR="009D0006" w:rsidRPr="001C2DF4" w14:paraId="30597705"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317EB35" w14:textId="77777777" w:rsidR="009D0006" w:rsidRPr="001C2DF4" w:rsidRDefault="009D0006" w:rsidP="00DC683E">
            <w:pPr>
              <w:pStyle w:val="Tabletext"/>
              <w:rPr>
                <w:lang w:val="en-US"/>
              </w:rPr>
            </w:pPr>
            <w:r w:rsidRPr="001C2DF4">
              <w:t>Other European</w:t>
            </w:r>
          </w:p>
        </w:tc>
        <w:tc>
          <w:tcPr>
            <w:tcW w:w="1559" w:type="dxa"/>
            <w:noWrap/>
          </w:tcPr>
          <w:p w14:paraId="07A71604" w14:textId="77777777" w:rsidR="009D0006" w:rsidRPr="001C2DF4" w:rsidRDefault="009D0006" w:rsidP="00DC683E">
            <w:pPr>
              <w:pStyle w:val="Tabletext"/>
              <w:rPr>
                <w:lang w:val="en-US"/>
              </w:rPr>
            </w:pPr>
            <w:r w:rsidRPr="001C2DF4">
              <w:t>452</w:t>
            </w:r>
          </w:p>
        </w:tc>
        <w:tc>
          <w:tcPr>
            <w:tcW w:w="1559" w:type="dxa"/>
            <w:noWrap/>
          </w:tcPr>
          <w:p w14:paraId="30044F0D" w14:textId="77777777" w:rsidR="009D0006" w:rsidRPr="001C2DF4" w:rsidRDefault="009D0006" w:rsidP="00DC683E">
            <w:pPr>
              <w:pStyle w:val="Tabletext"/>
              <w:rPr>
                <w:highlight w:val="lightGray"/>
                <w:shd w:val="pct15" w:color="auto" w:fill="FFFFFF"/>
                <w:lang w:val="en-US"/>
              </w:rPr>
            </w:pPr>
            <w:r w:rsidRPr="001C2DF4">
              <w:t>18.8</w:t>
            </w:r>
          </w:p>
        </w:tc>
      </w:tr>
      <w:tr w:rsidR="009D0006" w:rsidRPr="001C2DF4" w14:paraId="621B5B10"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337D7BA" w14:textId="77777777" w:rsidR="009D0006" w:rsidRPr="001C2DF4" w:rsidRDefault="009D0006" w:rsidP="00DC683E">
            <w:pPr>
              <w:pStyle w:val="Tabletext"/>
              <w:rPr>
                <w:lang w:val="en-US"/>
              </w:rPr>
            </w:pPr>
            <w:r w:rsidRPr="001C2DF4">
              <w:t>Southern European</w:t>
            </w:r>
          </w:p>
        </w:tc>
        <w:tc>
          <w:tcPr>
            <w:tcW w:w="1559" w:type="dxa"/>
            <w:noWrap/>
          </w:tcPr>
          <w:p w14:paraId="405BDD67" w14:textId="77777777" w:rsidR="009D0006" w:rsidRPr="001C2DF4" w:rsidRDefault="009D0006" w:rsidP="00DC683E">
            <w:pPr>
              <w:pStyle w:val="Tabletext"/>
              <w:rPr>
                <w:lang w:val="en-US"/>
              </w:rPr>
            </w:pPr>
            <w:r w:rsidRPr="001C2DF4">
              <w:t>322</w:t>
            </w:r>
          </w:p>
        </w:tc>
        <w:tc>
          <w:tcPr>
            <w:tcW w:w="1559" w:type="dxa"/>
            <w:noWrap/>
          </w:tcPr>
          <w:p w14:paraId="1F498260" w14:textId="77777777" w:rsidR="009D0006" w:rsidRPr="001C2DF4" w:rsidRDefault="009D0006" w:rsidP="00DC683E">
            <w:pPr>
              <w:pStyle w:val="Tabletext"/>
              <w:rPr>
                <w:highlight w:val="lightGray"/>
                <w:shd w:val="pct15" w:color="auto" w:fill="FFFFFF"/>
                <w:lang w:val="en-US"/>
              </w:rPr>
            </w:pPr>
            <w:r w:rsidRPr="001C2DF4">
              <w:t>13.4</w:t>
            </w:r>
          </w:p>
        </w:tc>
      </w:tr>
      <w:tr w:rsidR="009D0006" w:rsidRPr="001C2DF4" w14:paraId="120D6BF2"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E816BDF" w14:textId="77777777" w:rsidR="009D0006" w:rsidRPr="001C2DF4" w:rsidRDefault="009D0006" w:rsidP="00DC683E">
            <w:pPr>
              <w:pStyle w:val="Tabletext"/>
              <w:rPr>
                <w:lang w:val="en-US"/>
              </w:rPr>
            </w:pPr>
            <w:r w:rsidRPr="001C2DF4">
              <w:t>Eastern European</w:t>
            </w:r>
          </w:p>
        </w:tc>
        <w:tc>
          <w:tcPr>
            <w:tcW w:w="1559" w:type="dxa"/>
            <w:noWrap/>
          </w:tcPr>
          <w:p w14:paraId="56143BE7" w14:textId="77777777" w:rsidR="009D0006" w:rsidRPr="001C2DF4" w:rsidRDefault="009D0006" w:rsidP="00DC683E">
            <w:pPr>
              <w:pStyle w:val="Tabletext"/>
              <w:rPr>
                <w:lang w:val="en-US"/>
              </w:rPr>
            </w:pPr>
            <w:r w:rsidRPr="001C2DF4">
              <w:t>283</w:t>
            </w:r>
          </w:p>
        </w:tc>
        <w:tc>
          <w:tcPr>
            <w:tcW w:w="1559" w:type="dxa"/>
            <w:noWrap/>
          </w:tcPr>
          <w:p w14:paraId="614AEA5A" w14:textId="77777777" w:rsidR="009D0006" w:rsidRPr="001C2DF4" w:rsidRDefault="009D0006" w:rsidP="00DC683E">
            <w:pPr>
              <w:pStyle w:val="Tabletext"/>
              <w:rPr>
                <w:highlight w:val="lightGray"/>
                <w:shd w:val="pct15" w:color="auto" w:fill="FFFFFF"/>
                <w:lang w:val="en-US"/>
              </w:rPr>
            </w:pPr>
            <w:r w:rsidRPr="001C2DF4">
              <w:t>11.8</w:t>
            </w:r>
          </w:p>
        </w:tc>
      </w:tr>
      <w:tr w:rsidR="009D0006" w:rsidRPr="001C2DF4" w14:paraId="1E329A1E"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7F2CFF3" w14:textId="77777777" w:rsidR="009D0006" w:rsidRPr="001C2DF4" w:rsidRDefault="009D0006" w:rsidP="00DC683E">
            <w:pPr>
              <w:pStyle w:val="Tabletext"/>
              <w:rPr>
                <w:lang w:val="en-US"/>
              </w:rPr>
            </w:pPr>
            <w:r w:rsidRPr="001C2DF4">
              <w:t>Maori/Pacific Islander</w:t>
            </w:r>
          </w:p>
        </w:tc>
        <w:tc>
          <w:tcPr>
            <w:tcW w:w="1559" w:type="dxa"/>
            <w:noWrap/>
          </w:tcPr>
          <w:p w14:paraId="29205720" w14:textId="77777777" w:rsidR="009D0006" w:rsidRPr="001C2DF4" w:rsidRDefault="009D0006" w:rsidP="00DC683E">
            <w:pPr>
              <w:pStyle w:val="Tabletext"/>
              <w:rPr>
                <w:lang w:val="en-US"/>
              </w:rPr>
            </w:pPr>
            <w:r w:rsidRPr="001C2DF4">
              <w:t>65</w:t>
            </w:r>
          </w:p>
        </w:tc>
        <w:tc>
          <w:tcPr>
            <w:tcW w:w="1559" w:type="dxa"/>
            <w:noWrap/>
          </w:tcPr>
          <w:p w14:paraId="58BB22CB" w14:textId="77777777" w:rsidR="009D0006" w:rsidRPr="001C2DF4" w:rsidRDefault="009D0006" w:rsidP="00DC683E">
            <w:pPr>
              <w:pStyle w:val="Tabletext"/>
              <w:rPr>
                <w:highlight w:val="lightGray"/>
                <w:shd w:val="pct15" w:color="auto" w:fill="FFFFFF"/>
                <w:lang w:val="en-US"/>
              </w:rPr>
            </w:pPr>
            <w:r w:rsidRPr="001C2DF4">
              <w:t>2.7</w:t>
            </w:r>
          </w:p>
        </w:tc>
      </w:tr>
      <w:tr w:rsidR="009D0006" w:rsidRPr="001C2DF4" w14:paraId="0FC0884D"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164F389C" w14:textId="77777777" w:rsidR="009D0006" w:rsidRPr="001C2DF4" w:rsidRDefault="009D0006" w:rsidP="00DC683E">
            <w:pPr>
              <w:pStyle w:val="Tabletext"/>
              <w:rPr>
                <w:lang w:val="en-US"/>
              </w:rPr>
            </w:pPr>
            <w:r w:rsidRPr="001C2DF4">
              <w:t>Chinese</w:t>
            </w:r>
          </w:p>
        </w:tc>
        <w:tc>
          <w:tcPr>
            <w:tcW w:w="1559" w:type="dxa"/>
            <w:noWrap/>
          </w:tcPr>
          <w:p w14:paraId="783B65A0" w14:textId="77777777" w:rsidR="009D0006" w:rsidRPr="001C2DF4" w:rsidRDefault="009D0006" w:rsidP="00DC683E">
            <w:pPr>
              <w:pStyle w:val="Tabletext"/>
              <w:rPr>
                <w:lang w:val="en-US"/>
              </w:rPr>
            </w:pPr>
            <w:r w:rsidRPr="001C2DF4">
              <w:t>57</w:t>
            </w:r>
          </w:p>
        </w:tc>
        <w:tc>
          <w:tcPr>
            <w:tcW w:w="1559" w:type="dxa"/>
            <w:noWrap/>
          </w:tcPr>
          <w:p w14:paraId="19B6AABB" w14:textId="77777777" w:rsidR="009D0006" w:rsidRPr="001C2DF4" w:rsidRDefault="009D0006" w:rsidP="00DC683E">
            <w:pPr>
              <w:pStyle w:val="Tabletext"/>
              <w:rPr>
                <w:highlight w:val="lightGray"/>
                <w:shd w:val="pct15" w:color="auto" w:fill="FFFFFF"/>
                <w:lang w:val="en-US"/>
              </w:rPr>
            </w:pPr>
            <w:r w:rsidRPr="001C2DF4">
              <w:t>2.4</w:t>
            </w:r>
          </w:p>
        </w:tc>
      </w:tr>
      <w:tr w:rsidR="009D0006" w:rsidRPr="001C2DF4" w14:paraId="5BD101E3"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839A692" w14:textId="77777777" w:rsidR="009D0006" w:rsidRPr="001C2DF4" w:rsidRDefault="009D0006" w:rsidP="00DC683E">
            <w:pPr>
              <w:pStyle w:val="Tabletext"/>
              <w:rPr>
                <w:lang w:val="en-US"/>
              </w:rPr>
            </w:pPr>
            <w:r w:rsidRPr="001C2DF4">
              <w:t>South</w:t>
            </w:r>
            <w:r>
              <w:t>-</w:t>
            </w:r>
            <w:r w:rsidRPr="001C2DF4">
              <w:t>East Asian</w:t>
            </w:r>
          </w:p>
        </w:tc>
        <w:tc>
          <w:tcPr>
            <w:tcW w:w="1559" w:type="dxa"/>
            <w:noWrap/>
          </w:tcPr>
          <w:p w14:paraId="06B81C83" w14:textId="77777777" w:rsidR="009D0006" w:rsidRPr="001C2DF4" w:rsidRDefault="009D0006" w:rsidP="00DC683E">
            <w:pPr>
              <w:pStyle w:val="Tabletext"/>
              <w:rPr>
                <w:lang w:val="en-US"/>
              </w:rPr>
            </w:pPr>
            <w:r w:rsidRPr="001C2DF4">
              <w:t>54</w:t>
            </w:r>
          </w:p>
        </w:tc>
        <w:tc>
          <w:tcPr>
            <w:tcW w:w="1559" w:type="dxa"/>
            <w:noWrap/>
          </w:tcPr>
          <w:p w14:paraId="602A8F86" w14:textId="77777777" w:rsidR="009D0006" w:rsidRPr="001C2DF4" w:rsidRDefault="009D0006" w:rsidP="00DC683E">
            <w:pPr>
              <w:pStyle w:val="Tabletext"/>
              <w:rPr>
                <w:highlight w:val="lightGray"/>
                <w:shd w:val="pct15" w:color="auto" w:fill="FFFFFF"/>
                <w:lang w:val="en-US"/>
              </w:rPr>
            </w:pPr>
            <w:r w:rsidRPr="001C2DF4">
              <w:t>2.2</w:t>
            </w:r>
          </w:p>
        </w:tc>
      </w:tr>
      <w:tr w:rsidR="009D0006" w:rsidRPr="001C2DF4" w14:paraId="3B273E8F"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C42451E" w14:textId="77777777" w:rsidR="009D0006" w:rsidRPr="001C2DF4" w:rsidRDefault="009D0006" w:rsidP="00DC683E">
            <w:pPr>
              <w:pStyle w:val="Tabletext"/>
              <w:rPr>
                <w:lang w:val="en-US"/>
              </w:rPr>
            </w:pPr>
            <w:r w:rsidRPr="001C2DF4">
              <w:t>Middle Eastern</w:t>
            </w:r>
          </w:p>
        </w:tc>
        <w:tc>
          <w:tcPr>
            <w:tcW w:w="1559" w:type="dxa"/>
            <w:noWrap/>
          </w:tcPr>
          <w:p w14:paraId="15628012" w14:textId="77777777" w:rsidR="009D0006" w:rsidRPr="001C2DF4" w:rsidRDefault="009D0006" w:rsidP="00DC683E">
            <w:pPr>
              <w:pStyle w:val="Tabletext"/>
              <w:rPr>
                <w:lang w:val="en-US"/>
              </w:rPr>
            </w:pPr>
            <w:r w:rsidRPr="001C2DF4">
              <w:t>52</w:t>
            </w:r>
          </w:p>
        </w:tc>
        <w:tc>
          <w:tcPr>
            <w:tcW w:w="1559" w:type="dxa"/>
            <w:noWrap/>
          </w:tcPr>
          <w:p w14:paraId="7ED7E2DD" w14:textId="77777777" w:rsidR="009D0006" w:rsidRPr="001C2DF4" w:rsidRDefault="009D0006" w:rsidP="00DC683E">
            <w:pPr>
              <w:pStyle w:val="Tabletext"/>
              <w:rPr>
                <w:highlight w:val="lightGray"/>
                <w:shd w:val="pct15" w:color="auto" w:fill="FFFFFF"/>
                <w:lang w:val="en-US"/>
              </w:rPr>
            </w:pPr>
            <w:r w:rsidRPr="001C2DF4">
              <w:t>2.2</w:t>
            </w:r>
          </w:p>
        </w:tc>
      </w:tr>
      <w:tr w:rsidR="009D0006" w:rsidRPr="001C2DF4" w14:paraId="521D9C61"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B97BA9B" w14:textId="77777777" w:rsidR="009D0006" w:rsidRPr="001C2DF4" w:rsidRDefault="009D0006" w:rsidP="00DC683E">
            <w:pPr>
              <w:pStyle w:val="Tabletext"/>
              <w:rPr>
                <w:lang w:val="en-US"/>
              </w:rPr>
            </w:pPr>
            <w:r w:rsidRPr="001C2DF4">
              <w:t>Other Asian</w:t>
            </w:r>
          </w:p>
        </w:tc>
        <w:tc>
          <w:tcPr>
            <w:tcW w:w="1559" w:type="dxa"/>
            <w:noWrap/>
          </w:tcPr>
          <w:p w14:paraId="36DEB12A" w14:textId="77777777" w:rsidR="009D0006" w:rsidRPr="001C2DF4" w:rsidRDefault="009D0006" w:rsidP="00DC683E">
            <w:pPr>
              <w:pStyle w:val="Tabletext"/>
              <w:rPr>
                <w:lang w:val="en-US"/>
              </w:rPr>
            </w:pPr>
            <w:r w:rsidRPr="001C2DF4">
              <w:t>42</w:t>
            </w:r>
          </w:p>
        </w:tc>
        <w:tc>
          <w:tcPr>
            <w:tcW w:w="1559" w:type="dxa"/>
            <w:noWrap/>
          </w:tcPr>
          <w:p w14:paraId="183F5E9E" w14:textId="77777777" w:rsidR="009D0006" w:rsidRPr="001C2DF4" w:rsidRDefault="009D0006" w:rsidP="00DC683E">
            <w:pPr>
              <w:pStyle w:val="Tabletext"/>
              <w:rPr>
                <w:highlight w:val="lightGray"/>
                <w:shd w:val="pct15" w:color="auto" w:fill="FFFFFF"/>
                <w:lang w:val="en-US"/>
              </w:rPr>
            </w:pPr>
            <w:r w:rsidRPr="001C2DF4">
              <w:t>1.7</w:t>
            </w:r>
          </w:p>
        </w:tc>
      </w:tr>
      <w:tr w:rsidR="009D0006" w:rsidRPr="001C2DF4" w14:paraId="4604FE79"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5050BEE" w14:textId="77777777" w:rsidR="009D0006" w:rsidRPr="001C2DF4" w:rsidRDefault="009D0006" w:rsidP="00DC683E">
            <w:pPr>
              <w:pStyle w:val="Tabletext"/>
              <w:rPr>
                <w:lang w:val="en-US"/>
              </w:rPr>
            </w:pPr>
            <w:r w:rsidRPr="001C2DF4">
              <w:t>Latin American</w:t>
            </w:r>
          </w:p>
        </w:tc>
        <w:tc>
          <w:tcPr>
            <w:tcW w:w="1559" w:type="dxa"/>
            <w:noWrap/>
          </w:tcPr>
          <w:p w14:paraId="3DA7895F" w14:textId="77777777" w:rsidR="009D0006" w:rsidRPr="001C2DF4" w:rsidRDefault="009D0006" w:rsidP="00DC683E">
            <w:pPr>
              <w:pStyle w:val="Tabletext"/>
              <w:rPr>
                <w:lang w:val="en-US"/>
              </w:rPr>
            </w:pPr>
            <w:r w:rsidRPr="001C2DF4">
              <w:t>33</w:t>
            </w:r>
          </w:p>
        </w:tc>
        <w:tc>
          <w:tcPr>
            <w:tcW w:w="1559" w:type="dxa"/>
            <w:noWrap/>
          </w:tcPr>
          <w:p w14:paraId="5F4DC82B" w14:textId="77777777" w:rsidR="009D0006" w:rsidRPr="001C2DF4" w:rsidRDefault="009D0006" w:rsidP="00DC683E">
            <w:pPr>
              <w:pStyle w:val="Tabletext"/>
              <w:rPr>
                <w:highlight w:val="lightGray"/>
                <w:shd w:val="pct15" w:color="auto" w:fill="FFFFFF"/>
                <w:lang w:val="en-US"/>
              </w:rPr>
            </w:pPr>
            <w:r w:rsidRPr="001C2DF4">
              <w:t>1.4</w:t>
            </w:r>
          </w:p>
        </w:tc>
      </w:tr>
      <w:tr w:rsidR="009D0006" w:rsidRPr="001C2DF4" w14:paraId="506F3747"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8A35487" w14:textId="77777777" w:rsidR="009D0006" w:rsidRPr="001C2DF4" w:rsidRDefault="009D0006" w:rsidP="00DC683E">
            <w:pPr>
              <w:pStyle w:val="Tabletext"/>
              <w:rPr>
                <w:lang w:val="en-US"/>
              </w:rPr>
            </w:pPr>
            <w:r w:rsidRPr="001C2DF4">
              <w:t>Indian</w:t>
            </w:r>
          </w:p>
        </w:tc>
        <w:tc>
          <w:tcPr>
            <w:tcW w:w="1559" w:type="dxa"/>
            <w:noWrap/>
          </w:tcPr>
          <w:p w14:paraId="3CEEA073" w14:textId="77777777" w:rsidR="009D0006" w:rsidRPr="001C2DF4" w:rsidRDefault="009D0006" w:rsidP="00DC683E">
            <w:pPr>
              <w:pStyle w:val="Tabletext"/>
              <w:rPr>
                <w:lang w:val="en-US"/>
              </w:rPr>
            </w:pPr>
            <w:r w:rsidRPr="001C2DF4">
              <w:t>32</w:t>
            </w:r>
          </w:p>
        </w:tc>
        <w:tc>
          <w:tcPr>
            <w:tcW w:w="1559" w:type="dxa"/>
            <w:noWrap/>
          </w:tcPr>
          <w:p w14:paraId="298E3AB7" w14:textId="77777777" w:rsidR="009D0006" w:rsidRPr="001C2DF4" w:rsidRDefault="009D0006" w:rsidP="00DC683E">
            <w:pPr>
              <w:pStyle w:val="Tabletext"/>
              <w:rPr>
                <w:highlight w:val="lightGray"/>
                <w:shd w:val="pct15" w:color="auto" w:fill="FFFFFF"/>
                <w:lang w:val="en-US"/>
              </w:rPr>
            </w:pPr>
            <w:r w:rsidRPr="001C2DF4">
              <w:t>1.3</w:t>
            </w:r>
          </w:p>
        </w:tc>
      </w:tr>
      <w:tr w:rsidR="009D0006" w:rsidRPr="001C2DF4" w14:paraId="0FF165EB"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5A86C7E" w14:textId="77777777" w:rsidR="009D0006" w:rsidRPr="001C2DF4" w:rsidRDefault="009D0006" w:rsidP="00DC683E">
            <w:pPr>
              <w:pStyle w:val="Tabletext"/>
              <w:rPr>
                <w:lang w:val="en-US"/>
              </w:rPr>
            </w:pPr>
            <w:r w:rsidRPr="001C2DF4">
              <w:rPr>
                <w:lang w:val="en-US"/>
              </w:rPr>
              <w:t xml:space="preserve">Different </w:t>
            </w:r>
            <w:r>
              <w:rPr>
                <w:lang w:val="en-US"/>
              </w:rPr>
              <w:t>background</w:t>
            </w:r>
            <w:r w:rsidRPr="001C2DF4">
              <w:rPr>
                <w:lang w:val="en-US"/>
              </w:rPr>
              <w:t xml:space="preserve"> </w:t>
            </w:r>
          </w:p>
        </w:tc>
        <w:tc>
          <w:tcPr>
            <w:tcW w:w="1559" w:type="dxa"/>
            <w:noWrap/>
          </w:tcPr>
          <w:p w14:paraId="3957057A" w14:textId="77777777" w:rsidR="009D0006" w:rsidRPr="001C2DF4" w:rsidRDefault="009D0006" w:rsidP="00DC683E">
            <w:pPr>
              <w:pStyle w:val="Tabletext"/>
              <w:rPr>
                <w:lang w:val="en-US"/>
              </w:rPr>
            </w:pPr>
            <w:r w:rsidRPr="001C2DF4">
              <w:t>184</w:t>
            </w:r>
          </w:p>
        </w:tc>
        <w:tc>
          <w:tcPr>
            <w:tcW w:w="1559" w:type="dxa"/>
            <w:noWrap/>
          </w:tcPr>
          <w:p w14:paraId="5A79DBC8" w14:textId="77777777" w:rsidR="009D0006" w:rsidRPr="001C2DF4" w:rsidRDefault="009D0006" w:rsidP="00DC683E">
            <w:pPr>
              <w:pStyle w:val="Tabletext"/>
              <w:rPr>
                <w:highlight w:val="lightGray"/>
                <w:shd w:val="pct15" w:color="auto" w:fill="FFFFFF"/>
                <w:lang w:val="en-US"/>
              </w:rPr>
            </w:pPr>
            <w:r w:rsidRPr="001C2DF4">
              <w:t>7.6</w:t>
            </w:r>
          </w:p>
        </w:tc>
      </w:tr>
    </w:tbl>
    <w:p w14:paraId="32504424" w14:textId="77777777" w:rsidR="009D0006" w:rsidRPr="00CA7CDD" w:rsidRDefault="009D0006" w:rsidP="00FE2582">
      <w:pPr>
        <w:spacing w:before="360"/>
      </w:pPr>
      <w:bookmarkStart w:id="298" w:name="_Toc40192098"/>
      <w:bookmarkStart w:id="299" w:name="_Toc48137723"/>
      <w:bookmarkStart w:id="300" w:name="_Toc58252055"/>
      <w:bookmarkEnd w:id="296"/>
      <w:bookmarkEnd w:id="297"/>
      <w:r w:rsidRPr="00692BC1">
        <w:t>Table 1</w:t>
      </w:r>
      <w:r>
        <w:t>5</w:t>
      </w:r>
      <w:r w:rsidRPr="00692BC1">
        <w:t xml:space="preserve"> shows that </w:t>
      </w:r>
      <w:r>
        <w:t xml:space="preserve">a </w:t>
      </w:r>
      <w:r w:rsidRPr="00692BC1">
        <w:t xml:space="preserve">majority of participants with disability in </w:t>
      </w:r>
      <w:r w:rsidRPr="00231D7E">
        <w:rPr>
          <w:i/>
          <w:iCs/>
        </w:rPr>
        <w:t>Writing Themselves In 4</w:t>
      </w:r>
      <w:r w:rsidRPr="00692BC1">
        <w:t xml:space="preserve"> identified as Anglo-Celtic or European</w:t>
      </w:r>
      <w:r>
        <w:t>.</w:t>
      </w:r>
      <w:r w:rsidRPr="00692BC1">
        <w:t xml:space="preserve"> In total, two-thirds (68.7%; n = 1654) identified as Anglo-Celtic, 18.8% (n = 452) as ‘Other European’, 13.4% (n = 322) as Southern European, 11.8% (n = 283) as Eastern European, 2.7% (n = 65) as Maori</w:t>
      </w:r>
      <w:r>
        <w:t xml:space="preserve"> or </w:t>
      </w:r>
      <w:r w:rsidRPr="00692BC1">
        <w:t xml:space="preserve">Pacific Islander, 2.4% (n = 57) as Chinese, 2.2% (n = 54) as South East Asian, 2.2% (n = 52) as Middle Eastern, 1.7% (n = 42) as Other Asian, 1.4% (n = 33) as Latin American, 1.3% (n = 32) as Indian and 7.6% (n = 184) as a different </w:t>
      </w:r>
      <w:r>
        <w:t>cultural background</w:t>
      </w:r>
      <w:r w:rsidRPr="00CA7CDD">
        <w:t xml:space="preserve">. Chapter 10 contains a detailed breakdown of key health and social experiences according to cultural background for </w:t>
      </w:r>
      <w:r>
        <w:t xml:space="preserve">LGBTQA+ </w:t>
      </w:r>
      <w:r w:rsidRPr="00CA7CDD">
        <w:t>people with disability.</w:t>
      </w:r>
    </w:p>
    <w:p w14:paraId="4C52D70B" w14:textId="2C3FE6A5" w:rsidR="009D0006" w:rsidRPr="00CA7CDD" w:rsidRDefault="009D0006" w:rsidP="00153892">
      <w:pPr>
        <w:pStyle w:val="Heading3Numbered"/>
      </w:pPr>
      <w:bookmarkStart w:id="301" w:name="_Toc115968531"/>
      <w:r w:rsidRPr="00CA7CDD">
        <w:t>Cultural background and country of birth – adults aged 18+ years</w:t>
      </w:r>
      <w:bookmarkEnd w:id="301"/>
    </w:p>
    <w:p w14:paraId="2110A328" w14:textId="77777777" w:rsidR="009D0006" w:rsidRDefault="009D0006" w:rsidP="009D0006">
      <w:r w:rsidRPr="00CA7CDD">
        <w:t xml:space="preserve">The majority of </w:t>
      </w:r>
      <w:r>
        <w:t>participants</w:t>
      </w:r>
      <w:r w:rsidRPr="00CA7CDD">
        <w:t xml:space="preserve"> with disability </w:t>
      </w:r>
      <w:r w:rsidRPr="00CA7CDD">
        <w:rPr>
          <w:bCs/>
        </w:rPr>
        <w:t xml:space="preserve">in </w:t>
      </w:r>
      <w:r w:rsidRPr="00CA7CDD">
        <w:rPr>
          <w:bCs/>
          <w:i/>
          <w:iCs/>
        </w:rPr>
        <w:t xml:space="preserve">Private Lives 3 </w:t>
      </w:r>
      <w:r w:rsidRPr="00CA7CDD">
        <w:t>were born in Australia (87.6%; n = 2299) and 12.4% (n = 325) were born overseas. Of those born overseas, 10.9% (n = 35) had resided in Australia for five years or less and 26.1% (n = 84) for ten years or less. In total, 1.6% (n = 42) of participants spoke a language other than English at home.</w:t>
      </w:r>
      <w:r>
        <w:t xml:space="preserve"> Table 16 displays information regarding cultural background.</w:t>
      </w:r>
    </w:p>
    <w:p w14:paraId="164FE710" w14:textId="77777777" w:rsidR="009D0006" w:rsidRPr="002674E0" w:rsidRDefault="009D0006" w:rsidP="00DC683E">
      <w:pPr>
        <w:pStyle w:val="Tableheading"/>
      </w:pPr>
      <w:bookmarkStart w:id="302" w:name="_Toc117062734"/>
      <w:bookmarkStart w:id="303" w:name="_Toc119651419"/>
      <w:r w:rsidRPr="00D5063D">
        <w:t>Table</w:t>
      </w:r>
      <w:r w:rsidRPr="00D5063D">
        <w:lastRenderedPageBreak/>
        <w:t xml:space="preserv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rsidRPr="00D5063D">
        <w:rPr>
          <w:noProof/>
        </w:rPr>
        <w:t xml:space="preserve">: </w:t>
      </w:r>
      <w:r>
        <w:rPr>
          <w:noProof/>
        </w:rPr>
        <w:t xml:space="preserve">Cultural </w:t>
      </w:r>
      <w:r w:rsidRPr="00D5063D">
        <w:rPr>
          <w:noProof/>
        </w:rPr>
        <w:t>background</w:t>
      </w:r>
      <w:r>
        <w:rPr>
          <w:noProof/>
        </w:rPr>
        <w:t xml:space="preserve"> of adults with disability aged 18+ years (n = 2269)</w:t>
      </w:r>
      <w:bookmarkEnd w:id="302"/>
      <w:bookmarkEnd w:id="303"/>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233B77BD"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26006C4" w14:textId="77777777" w:rsidR="009D0006" w:rsidRPr="00DC683E" w:rsidRDefault="009D0006" w:rsidP="00DC683E">
            <w:pPr>
              <w:pStyle w:val="Tableheader"/>
            </w:pPr>
            <w:r w:rsidRPr="00DC683E">
              <w:t>Cultural background</w:t>
            </w:r>
          </w:p>
        </w:tc>
        <w:tc>
          <w:tcPr>
            <w:tcW w:w="1559" w:type="dxa"/>
            <w:noWrap/>
            <w:hideMark/>
          </w:tcPr>
          <w:p w14:paraId="08F0384A" w14:textId="77777777" w:rsidR="009D0006" w:rsidRPr="00DC683E" w:rsidRDefault="009D0006" w:rsidP="00DC683E">
            <w:pPr>
              <w:pStyle w:val="Tableheader"/>
            </w:pPr>
            <w:r w:rsidRPr="00DC683E">
              <w:t>n</w:t>
            </w:r>
          </w:p>
        </w:tc>
        <w:tc>
          <w:tcPr>
            <w:tcW w:w="1559" w:type="dxa"/>
            <w:noWrap/>
            <w:hideMark/>
          </w:tcPr>
          <w:p w14:paraId="02AC335F" w14:textId="77777777" w:rsidR="009D0006" w:rsidRPr="00DC683E" w:rsidRDefault="009D0006" w:rsidP="00DC683E">
            <w:pPr>
              <w:pStyle w:val="Tableheader"/>
            </w:pPr>
            <w:r w:rsidRPr="00DC683E">
              <w:t>%</w:t>
            </w:r>
          </w:p>
        </w:tc>
      </w:tr>
      <w:tr w:rsidR="009D0006" w:rsidRPr="00D5063D" w14:paraId="6799A472"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B6D584B" w14:textId="77777777" w:rsidR="009D0006" w:rsidRPr="001C2DF4" w:rsidRDefault="009D0006" w:rsidP="00DC683E">
            <w:pPr>
              <w:pStyle w:val="Tabletext"/>
              <w:rPr>
                <w:lang w:val="en-US"/>
              </w:rPr>
            </w:pPr>
            <w:r w:rsidRPr="001C2DF4">
              <w:t>Anglo-Celtic</w:t>
            </w:r>
          </w:p>
        </w:tc>
        <w:tc>
          <w:tcPr>
            <w:tcW w:w="1559" w:type="dxa"/>
            <w:noWrap/>
          </w:tcPr>
          <w:p w14:paraId="6CE0FC6D" w14:textId="77777777" w:rsidR="009D0006" w:rsidRPr="001C2DF4" w:rsidRDefault="009D0006" w:rsidP="00DC683E">
            <w:pPr>
              <w:pStyle w:val="Tabletext"/>
              <w:rPr>
                <w:lang w:val="en-US"/>
              </w:rPr>
            </w:pPr>
            <w:r>
              <w:rPr>
                <w:lang w:val="en-US"/>
              </w:rPr>
              <w:t>1611</w:t>
            </w:r>
          </w:p>
        </w:tc>
        <w:tc>
          <w:tcPr>
            <w:tcW w:w="1559" w:type="dxa"/>
            <w:noWrap/>
          </w:tcPr>
          <w:p w14:paraId="0E40D0DF" w14:textId="77777777" w:rsidR="009D0006" w:rsidRPr="00D5063D" w:rsidRDefault="009D0006" w:rsidP="00DC683E">
            <w:pPr>
              <w:pStyle w:val="Tabletext"/>
            </w:pPr>
            <w:r w:rsidRPr="00D5063D">
              <w:t>70.</w:t>
            </w:r>
            <w:r>
              <w:t>9</w:t>
            </w:r>
          </w:p>
        </w:tc>
      </w:tr>
      <w:tr w:rsidR="009D0006" w:rsidRPr="00D5063D" w14:paraId="57EF524D"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C46946A" w14:textId="77777777" w:rsidR="009D0006" w:rsidRPr="001C2DF4" w:rsidRDefault="009D0006" w:rsidP="00DC683E">
            <w:pPr>
              <w:pStyle w:val="Tabletext"/>
              <w:rPr>
                <w:lang w:val="en-US"/>
              </w:rPr>
            </w:pPr>
            <w:r>
              <w:t>Multicultural background</w:t>
            </w:r>
          </w:p>
        </w:tc>
        <w:tc>
          <w:tcPr>
            <w:tcW w:w="1559" w:type="dxa"/>
            <w:noWrap/>
          </w:tcPr>
          <w:p w14:paraId="0AB868AC" w14:textId="77777777" w:rsidR="009D0006" w:rsidRPr="001C2DF4" w:rsidRDefault="009D0006" w:rsidP="00DC683E">
            <w:pPr>
              <w:pStyle w:val="Tabletext"/>
              <w:rPr>
                <w:lang w:val="en-US"/>
              </w:rPr>
            </w:pPr>
            <w:r>
              <w:rPr>
                <w:lang w:val="en-US"/>
              </w:rPr>
              <w:t>662</w:t>
            </w:r>
          </w:p>
        </w:tc>
        <w:tc>
          <w:tcPr>
            <w:tcW w:w="1559" w:type="dxa"/>
            <w:noWrap/>
          </w:tcPr>
          <w:p w14:paraId="5F9450DF" w14:textId="77777777" w:rsidR="009D0006" w:rsidRPr="00D5063D" w:rsidRDefault="009D0006" w:rsidP="00DC683E">
            <w:pPr>
              <w:pStyle w:val="Tabletext"/>
            </w:pPr>
            <w:r w:rsidRPr="00D5063D">
              <w:t>29.</w:t>
            </w:r>
            <w:r>
              <w:t>1</w:t>
            </w:r>
          </w:p>
        </w:tc>
      </w:tr>
    </w:tbl>
    <w:p w14:paraId="7DAF0DC0" w14:textId="77777777" w:rsidR="009D0006" w:rsidRPr="00DC683E" w:rsidRDefault="009D0006" w:rsidP="00FE2582">
      <w:pPr>
        <w:spacing w:before="360"/>
      </w:pPr>
      <w:r>
        <w:t xml:space="preserve">As shown in Table 16, a majority of participants with disability in </w:t>
      </w:r>
      <w:r w:rsidRPr="00212238">
        <w:rPr>
          <w:i/>
          <w:iCs/>
        </w:rPr>
        <w:t>Private Lives 3</w:t>
      </w:r>
      <w:r>
        <w:t xml:space="preserve"> reported their cultural background as Anglo-Celtic (70.9%; n = 1608). A little less than a third (29.1%; n = 661) reported a different cultural background, referred to here as a ‘multicultural background’. Chapter 10 contains further</w:t>
      </w:r>
      <w:r w:rsidRPr="00CA7CDD">
        <w:t xml:space="preserve"> detail regarding participants with disability from different cultural </w:t>
      </w:r>
      <w:r w:rsidRPr="00DC683E">
        <w:t xml:space="preserve">backgrounds. </w:t>
      </w:r>
    </w:p>
    <w:p w14:paraId="3FAF8CF7" w14:textId="1295666B" w:rsidR="009D0006" w:rsidRPr="00692BC1" w:rsidRDefault="009D0006" w:rsidP="00153892">
      <w:pPr>
        <w:pStyle w:val="Heading2Numbered"/>
      </w:pPr>
      <w:bookmarkStart w:id="304" w:name="_Toc115968532"/>
      <w:bookmarkStart w:id="305" w:name="_Toc119662410"/>
      <w:r w:rsidRPr="00692BC1">
        <w:t>Religious or spiritual identity</w:t>
      </w:r>
      <w:bookmarkEnd w:id="298"/>
      <w:bookmarkEnd w:id="299"/>
      <w:bookmarkEnd w:id="300"/>
      <w:bookmarkEnd w:id="304"/>
      <w:bookmarkEnd w:id="305"/>
    </w:p>
    <w:p w14:paraId="4CBFB047" w14:textId="3A33779B" w:rsidR="009D0006" w:rsidRPr="00772D90" w:rsidRDefault="009D0006" w:rsidP="00153892">
      <w:pPr>
        <w:pStyle w:val="Heading3Numbered"/>
      </w:pPr>
      <w:bookmarkStart w:id="306" w:name="_Toc115968533"/>
      <w:r w:rsidRPr="002306D8">
        <w:t xml:space="preserve">Religious or spiritual identity – young people aged </w:t>
      </w:r>
      <w:r w:rsidR="00397A9D">
        <w:br/>
      </w:r>
      <w:r w:rsidRPr="002306D8">
        <w:t>14-21 years</w:t>
      </w:r>
      <w:bookmarkEnd w:id="306"/>
    </w:p>
    <w:p w14:paraId="70DA77BF" w14:textId="53F3BE0A" w:rsidR="009D0006" w:rsidRPr="002306D8" w:rsidRDefault="009D0006" w:rsidP="00DC683E">
      <w:pPr>
        <w:pStyle w:val="Tableheading"/>
      </w:pPr>
      <w:bookmarkStart w:id="307" w:name="_Toc48137902"/>
      <w:bookmarkStart w:id="308" w:name="_Toc117062735"/>
      <w:bookmarkStart w:id="309" w:name="_Toc119651420"/>
      <w:r w:rsidRPr="002306D8">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xml:space="preserve">: </w:t>
      </w:r>
      <w:r w:rsidRPr="002306D8">
        <w:t>Religious or spiritual identity</w:t>
      </w:r>
      <w:bookmarkEnd w:id="307"/>
      <w:r w:rsidRPr="002306D8">
        <w:t xml:space="preserve"> </w:t>
      </w:r>
      <w:r>
        <w:t xml:space="preserve">among young people with disability aged 14-21 years </w:t>
      </w:r>
      <w:r w:rsidRPr="002306D8">
        <w:t>(n = 2491)</w:t>
      </w:r>
      <w:bookmarkEnd w:id="308"/>
      <w:bookmarkEnd w:id="309"/>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471BFAA9"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830C011" w14:textId="77777777" w:rsidR="009D0006" w:rsidRPr="001C2DF4" w:rsidRDefault="009D0006" w:rsidP="00DC683E">
            <w:pPr>
              <w:pStyle w:val="Tableheader"/>
              <w:rPr>
                <w:lang w:val="en-US"/>
              </w:rPr>
            </w:pPr>
            <w:r w:rsidRPr="001C2DF4">
              <w:t>Religion</w:t>
            </w:r>
          </w:p>
        </w:tc>
        <w:tc>
          <w:tcPr>
            <w:tcW w:w="1559" w:type="dxa"/>
            <w:noWrap/>
            <w:hideMark/>
          </w:tcPr>
          <w:p w14:paraId="51451262" w14:textId="77777777" w:rsidR="009D0006" w:rsidRPr="001C2DF4" w:rsidRDefault="009D0006" w:rsidP="00DC683E">
            <w:pPr>
              <w:pStyle w:val="Tableheader"/>
              <w:rPr>
                <w:lang w:val="en-US"/>
              </w:rPr>
            </w:pPr>
            <w:r>
              <w:t>n</w:t>
            </w:r>
          </w:p>
        </w:tc>
        <w:tc>
          <w:tcPr>
            <w:tcW w:w="1559" w:type="dxa"/>
            <w:noWrap/>
            <w:hideMark/>
          </w:tcPr>
          <w:p w14:paraId="61DF1B02" w14:textId="77777777" w:rsidR="009D0006" w:rsidRPr="001C2DF4" w:rsidRDefault="009D0006" w:rsidP="00DC683E">
            <w:pPr>
              <w:pStyle w:val="Tableheader"/>
              <w:rPr>
                <w:lang w:val="en-US"/>
              </w:rPr>
            </w:pPr>
            <w:r w:rsidRPr="001C2DF4">
              <w:t>%</w:t>
            </w:r>
          </w:p>
        </w:tc>
      </w:tr>
      <w:tr w:rsidR="009D0006" w:rsidRPr="001C2DF4" w14:paraId="434E562B"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76C048E" w14:textId="77777777" w:rsidR="009D0006" w:rsidRPr="001C2DF4" w:rsidRDefault="009D0006" w:rsidP="00DC683E">
            <w:pPr>
              <w:pStyle w:val="Tabletext"/>
              <w:rPr>
                <w:lang w:val="en-US"/>
              </w:rPr>
            </w:pPr>
            <w:r w:rsidRPr="001C2DF4">
              <w:t>No religion</w:t>
            </w:r>
          </w:p>
        </w:tc>
        <w:tc>
          <w:tcPr>
            <w:tcW w:w="1559" w:type="dxa"/>
            <w:noWrap/>
          </w:tcPr>
          <w:p w14:paraId="25F7894A" w14:textId="77777777" w:rsidR="009D0006" w:rsidRPr="001C2DF4" w:rsidRDefault="009D0006" w:rsidP="00DC683E">
            <w:pPr>
              <w:pStyle w:val="Tabletext"/>
              <w:rPr>
                <w:lang w:val="en-US"/>
              </w:rPr>
            </w:pPr>
            <w:r w:rsidRPr="001C2DF4">
              <w:t>1777</w:t>
            </w:r>
          </w:p>
        </w:tc>
        <w:tc>
          <w:tcPr>
            <w:tcW w:w="1559" w:type="dxa"/>
            <w:noWrap/>
          </w:tcPr>
          <w:p w14:paraId="245A9D39" w14:textId="77777777" w:rsidR="009D0006" w:rsidRPr="001C2DF4" w:rsidRDefault="009D0006" w:rsidP="00DC683E">
            <w:pPr>
              <w:pStyle w:val="Tabletext"/>
              <w:rPr>
                <w:lang w:val="en-US"/>
              </w:rPr>
            </w:pPr>
            <w:r w:rsidRPr="001C2DF4">
              <w:t>71.3</w:t>
            </w:r>
          </w:p>
        </w:tc>
      </w:tr>
      <w:tr w:rsidR="009D0006" w:rsidRPr="001C2DF4" w14:paraId="24E896DF"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F4C8DE2" w14:textId="77777777" w:rsidR="009D0006" w:rsidRPr="001C2DF4" w:rsidRDefault="009D0006" w:rsidP="00DC683E">
            <w:pPr>
              <w:pStyle w:val="Tabletext"/>
              <w:rPr>
                <w:lang w:val="en-US"/>
              </w:rPr>
            </w:pPr>
            <w:r w:rsidRPr="001C2DF4">
              <w:t>Catholic</w:t>
            </w:r>
          </w:p>
        </w:tc>
        <w:tc>
          <w:tcPr>
            <w:tcW w:w="1559" w:type="dxa"/>
            <w:noWrap/>
          </w:tcPr>
          <w:p w14:paraId="26EBDDE9" w14:textId="77777777" w:rsidR="009D0006" w:rsidRPr="001C2DF4" w:rsidRDefault="009D0006" w:rsidP="00DC683E">
            <w:pPr>
              <w:pStyle w:val="Tabletext"/>
              <w:rPr>
                <w:lang w:val="en-US"/>
              </w:rPr>
            </w:pPr>
            <w:r w:rsidRPr="001C2DF4">
              <w:t>130</w:t>
            </w:r>
          </w:p>
        </w:tc>
        <w:tc>
          <w:tcPr>
            <w:tcW w:w="1559" w:type="dxa"/>
            <w:noWrap/>
          </w:tcPr>
          <w:p w14:paraId="41AD0012" w14:textId="77777777" w:rsidR="009D0006" w:rsidRPr="001C2DF4" w:rsidRDefault="009D0006" w:rsidP="00DC683E">
            <w:pPr>
              <w:pStyle w:val="Tabletext"/>
              <w:rPr>
                <w:lang w:val="en-US"/>
              </w:rPr>
            </w:pPr>
            <w:r w:rsidRPr="001C2DF4">
              <w:t>5.2</w:t>
            </w:r>
          </w:p>
        </w:tc>
      </w:tr>
      <w:tr w:rsidR="009D0006" w:rsidRPr="001C2DF4" w14:paraId="473FB88C"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9F0A4CF" w14:textId="77777777" w:rsidR="009D0006" w:rsidRPr="001C2DF4" w:rsidRDefault="009D0006" w:rsidP="00DC683E">
            <w:pPr>
              <w:pStyle w:val="Tabletext"/>
              <w:rPr>
                <w:lang w:val="en-US"/>
              </w:rPr>
            </w:pPr>
            <w:r w:rsidRPr="001C2DF4">
              <w:t>Anglican (Church of England)</w:t>
            </w:r>
          </w:p>
        </w:tc>
        <w:tc>
          <w:tcPr>
            <w:tcW w:w="1559" w:type="dxa"/>
            <w:noWrap/>
          </w:tcPr>
          <w:p w14:paraId="6FEF4AB9" w14:textId="77777777" w:rsidR="009D0006" w:rsidRPr="001C2DF4" w:rsidRDefault="009D0006" w:rsidP="00DC683E">
            <w:pPr>
              <w:pStyle w:val="Tabletext"/>
              <w:rPr>
                <w:lang w:val="en-US"/>
              </w:rPr>
            </w:pPr>
            <w:r w:rsidRPr="001C2DF4">
              <w:t>67</w:t>
            </w:r>
          </w:p>
        </w:tc>
        <w:tc>
          <w:tcPr>
            <w:tcW w:w="1559" w:type="dxa"/>
            <w:noWrap/>
          </w:tcPr>
          <w:p w14:paraId="4A129DE2" w14:textId="77777777" w:rsidR="009D0006" w:rsidRPr="001C2DF4" w:rsidRDefault="009D0006" w:rsidP="00DC683E">
            <w:pPr>
              <w:pStyle w:val="Tabletext"/>
              <w:rPr>
                <w:lang w:val="en-US"/>
              </w:rPr>
            </w:pPr>
            <w:r w:rsidRPr="001C2DF4">
              <w:t>2.7</w:t>
            </w:r>
          </w:p>
        </w:tc>
      </w:tr>
      <w:tr w:rsidR="009D0006" w:rsidRPr="001C2DF4" w14:paraId="3A4670FF"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297BDB4" w14:textId="77777777" w:rsidR="009D0006" w:rsidRPr="001C2DF4" w:rsidRDefault="009D0006" w:rsidP="00DC683E">
            <w:pPr>
              <w:pStyle w:val="Tabletext"/>
              <w:rPr>
                <w:lang w:val="en-US"/>
              </w:rPr>
            </w:pPr>
            <w:r w:rsidRPr="001C2DF4">
              <w:t>Uniting Church</w:t>
            </w:r>
          </w:p>
        </w:tc>
        <w:tc>
          <w:tcPr>
            <w:tcW w:w="1559" w:type="dxa"/>
            <w:noWrap/>
          </w:tcPr>
          <w:p w14:paraId="4255A358" w14:textId="77777777" w:rsidR="009D0006" w:rsidRPr="001C2DF4" w:rsidRDefault="009D0006" w:rsidP="00DC683E">
            <w:pPr>
              <w:pStyle w:val="Tabletext"/>
              <w:rPr>
                <w:lang w:val="en-US"/>
              </w:rPr>
            </w:pPr>
            <w:r w:rsidRPr="001C2DF4">
              <w:t>30</w:t>
            </w:r>
          </w:p>
        </w:tc>
        <w:tc>
          <w:tcPr>
            <w:tcW w:w="1559" w:type="dxa"/>
            <w:noWrap/>
          </w:tcPr>
          <w:p w14:paraId="6A6831AC" w14:textId="77777777" w:rsidR="009D0006" w:rsidRPr="001C2DF4" w:rsidRDefault="009D0006" w:rsidP="00DC683E">
            <w:pPr>
              <w:pStyle w:val="Tabletext"/>
              <w:rPr>
                <w:lang w:val="en-US"/>
              </w:rPr>
            </w:pPr>
            <w:r w:rsidRPr="001C2DF4">
              <w:t>1.2</w:t>
            </w:r>
          </w:p>
        </w:tc>
      </w:tr>
      <w:tr w:rsidR="009D0006" w:rsidRPr="001C2DF4" w14:paraId="6A792D8A"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B69B47D" w14:textId="77777777" w:rsidR="009D0006" w:rsidRPr="001C2DF4" w:rsidRDefault="009D0006" w:rsidP="00DC683E">
            <w:pPr>
              <w:pStyle w:val="Tabletext"/>
              <w:rPr>
                <w:lang w:val="en-US"/>
              </w:rPr>
            </w:pPr>
            <w:r w:rsidRPr="001C2DF4">
              <w:t>Judaism</w:t>
            </w:r>
          </w:p>
        </w:tc>
        <w:tc>
          <w:tcPr>
            <w:tcW w:w="1559" w:type="dxa"/>
            <w:noWrap/>
          </w:tcPr>
          <w:p w14:paraId="613DEEAF" w14:textId="77777777" w:rsidR="009D0006" w:rsidRPr="001C2DF4" w:rsidRDefault="009D0006" w:rsidP="00DC683E">
            <w:pPr>
              <w:pStyle w:val="Tabletext"/>
              <w:rPr>
                <w:lang w:val="en-US"/>
              </w:rPr>
            </w:pPr>
            <w:r w:rsidRPr="001C2DF4">
              <w:t>28</w:t>
            </w:r>
          </w:p>
        </w:tc>
        <w:tc>
          <w:tcPr>
            <w:tcW w:w="1559" w:type="dxa"/>
            <w:noWrap/>
          </w:tcPr>
          <w:p w14:paraId="1FFA9029" w14:textId="77777777" w:rsidR="009D0006" w:rsidRPr="001C2DF4" w:rsidRDefault="009D0006" w:rsidP="00DC683E">
            <w:pPr>
              <w:pStyle w:val="Tabletext"/>
              <w:rPr>
                <w:lang w:val="en-US"/>
              </w:rPr>
            </w:pPr>
            <w:r w:rsidRPr="001C2DF4">
              <w:t>1.1</w:t>
            </w:r>
          </w:p>
        </w:tc>
      </w:tr>
      <w:tr w:rsidR="009D0006" w:rsidRPr="001C2DF4" w14:paraId="393689B8"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5D4ED43" w14:textId="77777777" w:rsidR="009D0006" w:rsidRPr="001C2DF4" w:rsidRDefault="009D0006" w:rsidP="00DC683E">
            <w:pPr>
              <w:pStyle w:val="Tabletext"/>
              <w:rPr>
                <w:lang w:val="en-US"/>
              </w:rPr>
            </w:pPr>
            <w:r w:rsidRPr="001C2DF4">
              <w:t>Buddhism</w:t>
            </w:r>
          </w:p>
        </w:tc>
        <w:tc>
          <w:tcPr>
            <w:tcW w:w="1559" w:type="dxa"/>
            <w:noWrap/>
          </w:tcPr>
          <w:p w14:paraId="149EECEC" w14:textId="77777777" w:rsidR="009D0006" w:rsidRPr="001C2DF4" w:rsidRDefault="009D0006" w:rsidP="00DC683E">
            <w:pPr>
              <w:pStyle w:val="Tabletext"/>
              <w:rPr>
                <w:lang w:val="en-US"/>
              </w:rPr>
            </w:pPr>
            <w:r w:rsidRPr="001C2DF4">
              <w:t>22</w:t>
            </w:r>
          </w:p>
        </w:tc>
        <w:tc>
          <w:tcPr>
            <w:tcW w:w="1559" w:type="dxa"/>
            <w:noWrap/>
          </w:tcPr>
          <w:p w14:paraId="2FF3DB73" w14:textId="77777777" w:rsidR="009D0006" w:rsidRPr="001C2DF4" w:rsidRDefault="009D0006" w:rsidP="00DC683E">
            <w:pPr>
              <w:pStyle w:val="Tabletext"/>
              <w:rPr>
                <w:lang w:val="en-US"/>
              </w:rPr>
            </w:pPr>
            <w:r w:rsidRPr="001C2DF4">
              <w:t>0.9</w:t>
            </w:r>
          </w:p>
        </w:tc>
      </w:tr>
      <w:tr w:rsidR="009D0006" w:rsidRPr="001C2DF4" w14:paraId="3963FFF6"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C4E217F" w14:textId="77777777" w:rsidR="009D0006" w:rsidRPr="001C2DF4" w:rsidRDefault="009D0006" w:rsidP="00DC683E">
            <w:pPr>
              <w:pStyle w:val="Tabletext"/>
              <w:rPr>
                <w:lang w:val="en-US"/>
              </w:rPr>
            </w:pPr>
            <w:r w:rsidRPr="001C2DF4">
              <w:t>Islam</w:t>
            </w:r>
          </w:p>
        </w:tc>
        <w:tc>
          <w:tcPr>
            <w:tcW w:w="1559" w:type="dxa"/>
            <w:noWrap/>
          </w:tcPr>
          <w:p w14:paraId="5C67F42E" w14:textId="77777777" w:rsidR="009D0006" w:rsidRPr="001C2DF4" w:rsidRDefault="009D0006" w:rsidP="00DC683E">
            <w:pPr>
              <w:pStyle w:val="Tabletext"/>
              <w:rPr>
                <w:lang w:val="en-US"/>
              </w:rPr>
            </w:pPr>
            <w:r w:rsidRPr="001C2DF4">
              <w:t>12</w:t>
            </w:r>
          </w:p>
        </w:tc>
        <w:tc>
          <w:tcPr>
            <w:tcW w:w="1559" w:type="dxa"/>
            <w:noWrap/>
          </w:tcPr>
          <w:p w14:paraId="1B0F6A0C" w14:textId="77777777" w:rsidR="009D0006" w:rsidRPr="001C2DF4" w:rsidRDefault="009D0006" w:rsidP="00DC683E">
            <w:pPr>
              <w:pStyle w:val="Tabletext"/>
              <w:rPr>
                <w:lang w:val="en-US"/>
              </w:rPr>
            </w:pPr>
            <w:r w:rsidRPr="001C2DF4">
              <w:t>0.5</w:t>
            </w:r>
          </w:p>
        </w:tc>
      </w:tr>
      <w:tr w:rsidR="009D0006" w:rsidRPr="001C2DF4" w14:paraId="47C1E030"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C5F63A6" w14:textId="77777777" w:rsidR="009D0006" w:rsidRPr="001C2DF4" w:rsidRDefault="009D0006" w:rsidP="00DC683E">
            <w:pPr>
              <w:pStyle w:val="Tabletext"/>
              <w:rPr>
                <w:lang w:val="en-US"/>
              </w:rPr>
            </w:pPr>
            <w:r>
              <w:t>First Nations</w:t>
            </w:r>
            <w:r w:rsidRPr="001C2DF4">
              <w:t xml:space="preserve"> spirituality</w:t>
            </w:r>
          </w:p>
        </w:tc>
        <w:tc>
          <w:tcPr>
            <w:tcW w:w="1559" w:type="dxa"/>
            <w:noWrap/>
          </w:tcPr>
          <w:p w14:paraId="027EA4A3" w14:textId="77777777" w:rsidR="009D0006" w:rsidRPr="001C2DF4" w:rsidRDefault="009D0006" w:rsidP="00DC683E">
            <w:pPr>
              <w:pStyle w:val="Tabletext"/>
              <w:rPr>
                <w:lang w:val="en-US"/>
              </w:rPr>
            </w:pPr>
            <w:r w:rsidRPr="001C2DF4">
              <w:t>11</w:t>
            </w:r>
          </w:p>
        </w:tc>
        <w:tc>
          <w:tcPr>
            <w:tcW w:w="1559" w:type="dxa"/>
            <w:noWrap/>
          </w:tcPr>
          <w:p w14:paraId="4F7E9FB6" w14:textId="77777777" w:rsidR="009D0006" w:rsidRPr="001C2DF4" w:rsidRDefault="009D0006" w:rsidP="00DC683E">
            <w:pPr>
              <w:pStyle w:val="Tabletext"/>
              <w:rPr>
                <w:lang w:val="en-US"/>
              </w:rPr>
            </w:pPr>
            <w:r w:rsidRPr="001C2DF4">
              <w:t>0.4</w:t>
            </w:r>
          </w:p>
        </w:tc>
      </w:tr>
      <w:tr w:rsidR="009D0006" w:rsidRPr="001C2DF4" w14:paraId="08571931"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3C25E76" w14:textId="77777777" w:rsidR="009D0006" w:rsidRPr="001C2DF4" w:rsidRDefault="009D0006" w:rsidP="00DC683E">
            <w:pPr>
              <w:pStyle w:val="Tabletext"/>
              <w:rPr>
                <w:lang w:val="en-US"/>
              </w:rPr>
            </w:pPr>
            <w:r w:rsidRPr="001C2DF4">
              <w:t>Greek Orthodox</w:t>
            </w:r>
          </w:p>
        </w:tc>
        <w:tc>
          <w:tcPr>
            <w:tcW w:w="1559" w:type="dxa"/>
            <w:noWrap/>
          </w:tcPr>
          <w:p w14:paraId="02AECA95" w14:textId="77777777" w:rsidR="009D0006" w:rsidRPr="001C2DF4" w:rsidRDefault="009D0006" w:rsidP="00DC683E">
            <w:pPr>
              <w:pStyle w:val="Tabletext"/>
            </w:pPr>
            <w:r w:rsidRPr="001C2DF4">
              <w:t>13</w:t>
            </w:r>
          </w:p>
        </w:tc>
        <w:tc>
          <w:tcPr>
            <w:tcW w:w="1559" w:type="dxa"/>
            <w:noWrap/>
          </w:tcPr>
          <w:p w14:paraId="069E7765" w14:textId="77777777" w:rsidR="009D0006" w:rsidRPr="001C2DF4" w:rsidRDefault="009D0006" w:rsidP="00DC683E">
            <w:pPr>
              <w:pStyle w:val="Tabletext"/>
            </w:pPr>
            <w:r w:rsidRPr="001C2DF4">
              <w:t>0.5</w:t>
            </w:r>
          </w:p>
        </w:tc>
      </w:tr>
      <w:tr w:rsidR="009D0006" w:rsidRPr="001C2DF4" w14:paraId="2386A492"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06E1974" w14:textId="77777777" w:rsidR="009D0006" w:rsidRPr="001C2DF4" w:rsidRDefault="009D0006" w:rsidP="00DC683E">
            <w:pPr>
              <w:pStyle w:val="Tabletext"/>
              <w:rPr>
                <w:lang w:val="en-US"/>
              </w:rPr>
            </w:pPr>
            <w:r w:rsidRPr="001C2DF4">
              <w:t>Presbyterian</w:t>
            </w:r>
          </w:p>
        </w:tc>
        <w:tc>
          <w:tcPr>
            <w:tcW w:w="1559" w:type="dxa"/>
            <w:noWrap/>
          </w:tcPr>
          <w:p w14:paraId="6AD3253F" w14:textId="77777777" w:rsidR="009D0006" w:rsidRPr="001C2DF4" w:rsidRDefault="009D0006" w:rsidP="00DC683E">
            <w:pPr>
              <w:pStyle w:val="Tabletext"/>
            </w:pPr>
            <w:r w:rsidRPr="001C2DF4">
              <w:t>8</w:t>
            </w:r>
          </w:p>
        </w:tc>
        <w:tc>
          <w:tcPr>
            <w:tcW w:w="1559" w:type="dxa"/>
            <w:noWrap/>
          </w:tcPr>
          <w:p w14:paraId="4148DE58" w14:textId="77777777" w:rsidR="009D0006" w:rsidRPr="001C2DF4" w:rsidRDefault="009D0006" w:rsidP="00DC683E">
            <w:pPr>
              <w:pStyle w:val="Tabletext"/>
            </w:pPr>
            <w:r w:rsidRPr="001C2DF4">
              <w:t>0.3</w:t>
            </w:r>
          </w:p>
        </w:tc>
      </w:tr>
      <w:tr w:rsidR="009D0006" w:rsidRPr="001C2DF4" w14:paraId="392ACE37"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F643D44" w14:textId="77777777" w:rsidR="009D0006" w:rsidRPr="001C2DF4" w:rsidRDefault="009D0006" w:rsidP="00DC683E">
            <w:pPr>
              <w:pStyle w:val="Tabletext"/>
              <w:rPr>
                <w:lang w:val="en-US"/>
              </w:rPr>
            </w:pPr>
            <w:r w:rsidRPr="001C2DF4">
              <w:rPr>
                <w:rFonts w:eastAsia="MS Mincho"/>
              </w:rPr>
              <w:t>Other</w:t>
            </w:r>
          </w:p>
        </w:tc>
        <w:tc>
          <w:tcPr>
            <w:tcW w:w="1559" w:type="dxa"/>
            <w:noWrap/>
          </w:tcPr>
          <w:p w14:paraId="438F5DCD" w14:textId="77777777" w:rsidR="009D0006" w:rsidRPr="001C2DF4" w:rsidRDefault="009D0006" w:rsidP="00DC683E">
            <w:pPr>
              <w:pStyle w:val="Tabletext"/>
            </w:pPr>
            <w:r w:rsidRPr="001C2DF4">
              <w:t>393</w:t>
            </w:r>
          </w:p>
        </w:tc>
        <w:tc>
          <w:tcPr>
            <w:tcW w:w="1559" w:type="dxa"/>
            <w:noWrap/>
          </w:tcPr>
          <w:p w14:paraId="6E0E644D" w14:textId="77777777" w:rsidR="009D0006" w:rsidRPr="001C2DF4" w:rsidRDefault="009D0006" w:rsidP="00DC683E">
            <w:pPr>
              <w:pStyle w:val="Tabletext"/>
            </w:pPr>
            <w:r w:rsidRPr="001C2DF4">
              <w:t>15.7</w:t>
            </w:r>
          </w:p>
        </w:tc>
      </w:tr>
    </w:tbl>
    <w:p w14:paraId="4286DC3C" w14:textId="77777777" w:rsidR="009D0006" w:rsidRPr="00692BC1" w:rsidRDefault="009D0006" w:rsidP="00FE2582">
      <w:pPr>
        <w:spacing w:before="360"/>
      </w:pPr>
      <w:bookmarkStart w:id="310" w:name="_Toc40192099"/>
      <w:r>
        <w:t>As displayed in Table 17, close to three-quarters</w:t>
      </w:r>
      <w:r w:rsidRPr="00692BC1">
        <w:t xml:space="preserve"> (71.3%; n = 1777) of participants with disability in </w:t>
      </w:r>
      <w:r w:rsidRPr="00692BC1">
        <w:rPr>
          <w:i/>
          <w:iCs/>
        </w:rPr>
        <w:t xml:space="preserve">Writing Themselves </w:t>
      </w:r>
      <w:r>
        <w:rPr>
          <w:i/>
          <w:iCs/>
        </w:rPr>
        <w:t>I</w:t>
      </w:r>
      <w:r w:rsidRPr="00692BC1">
        <w:rPr>
          <w:i/>
          <w:iCs/>
        </w:rPr>
        <w:t>n 4</w:t>
      </w:r>
      <w:r w:rsidRPr="00692BC1">
        <w:t xml:space="preserve"> reported having no current religion or spirituality, higher than the 52% among people aged 13 to 18 years in the general Australian popul</w:t>
      </w:r>
      <w:r w:rsidRPr="00692BC1">
        <w:lastRenderedPageBreak/>
        <w:t>ation (</w:t>
      </w:r>
      <w:r>
        <w:t>Singleton et al., 2019</w:t>
      </w:r>
      <w:r w:rsidRPr="00692BC1">
        <w:t xml:space="preserve">). Of participants with disability reporting a religious or spiritual identity, 5.2% (n = 130) were Catholic, 2.7% (n = 67) Anglican, 1.2% (n = 30) Uniting Church, 1.1% (n = 28) Jewish, 0.9% (n = 22) Buddhist, 0.5% (n = 12) Muslim, 0.4% (n = 11) </w:t>
      </w:r>
      <w:r>
        <w:t xml:space="preserve">First Nations </w:t>
      </w:r>
      <w:r w:rsidRPr="00692BC1">
        <w:t xml:space="preserve">spirituality, 0.5% (n = 13) Greek Orthodox, 0.3% (n = 8) Presbyterian and 15.7% (n = 393) other religion or spirituality. </w:t>
      </w:r>
    </w:p>
    <w:p w14:paraId="229D3B3F" w14:textId="159F603D" w:rsidR="009D0006" w:rsidRPr="002306D8" w:rsidRDefault="009D0006" w:rsidP="00153892">
      <w:pPr>
        <w:pStyle w:val="Heading3Numbered"/>
      </w:pPr>
      <w:bookmarkStart w:id="311" w:name="_Toc115968534"/>
      <w:r w:rsidRPr="002306D8">
        <w:t>Religious or spiritual identity – adults aged 18+ years</w:t>
      </w:r>
      <w:bookmarkEnd w:id="311"/>
    </w:p>
    <w:p w14:paraId="04F6B456" w14:textId="77777777" w:rsidR="009D0006" w:rsidRPr="002306D8" w:rsidRDefault="009D0006" w:rsidP="00DC683E">
      <w:pPr>
        <w:pStyle w:val="Tableheading"/>
      </w:pPr>
      <w:bookmarkStart w:id="312" w:name="_Toc117062736"/>
      <w:bookmarkStart w:id="313" w:name="_Toc119651421"/>
      <w:r w:rsidRPr="002306D8">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xml:space="preserve">: </w:t>
      </w:r>
      <w:r w:rsidRPr="002306D8">
        <w:t xml:space="preserve">Religious or spiritual identity </w:t>
      </w:r>
      <w:r>
        <w:t xml:space="preserve">among adults with disability aged 18+ years </w:t>
      </w:r>
      <w:r w:rsidRPr="002306D8">
        <w:t>(n = 2618)</w:t>
      </w:r>
      <w:bookmarkEnd w:id="312"/>
      <w:bookmarkEnd w:id="313"/>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197F32FC" w14:textId="77777777" w:rsidTr="00DC683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770EF8F" w14:textId="77777777" w:rsidR="009D0006" w:rsidRPr="001C2DF4" w:rsidRDefault="009D0006" w:rsidP="00DC683E">
            <w:pPr>
              <w:pStyle w:val="Tableheader"/>
              <w:rPr>
                <w:lang w:val="en-US"/>
              </w:rPr>
            </w:pPr>
            <w:r w:rsidRPr="001C2DF4">
              <w:t>Religion</w:t>
            </w:r>
          </w:p>
        </w:tc>
        <w:tc>
          <w:tcPr>
            <w:tcW w:w="1559" w:type="dxa"/>
            <w:noWrap/>
            <w:hideMark/>
          </w:tcPr>
          <w:p w14:paraId="12A2E9CA" w14:textId="77777777" w:rsidR="009D0006" w:rsidRPr="001C2DF4" w:rsidRDefault="009D0006" w:rsidP="00DC683E">
            <w:pPr>
              <w:pStyle w:val="Tableheader"/>
              <w:rPr>
                <w:lang w:val="en-US"/>
              </w:rPr>
            </w:pPr>
            <w:r>
              <w:t>n</w:t>
            </w:r>
          </w:p>
        </w:tc>
        <w:tc>
          <w:tcPr>
            <w:tcW w:w="1559" w:type="dxa"/>
            <w:noWrap/>
            <w:hideMark/>
          </w:tcPr>
          <w:p w14:paraId="0EEF9DA3" w14:textId="77777777" w:rsidR="009D0006" w:rsidRPr="001C2DF4" w:rsidRDefault="009D0006" w:rsidP="00DC683E">
            <w:pPr>
              <w:pStyle w:val="Tableheader"/>
              <w:rPr>
                <w:lang w:val="en-US"/>
              </w:rPr>
            </w:pPr>
            <w:r w:rsidRPr="001C2DF4">
              <w:t>%</w:t>
            </w:r>
          </w:p>
        </w:tc>
      </w:tr>
      <w:tr w:rsidR="009D0006" w:rsidRPr="001C2DF4" w14:paraId="7773E0F4"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FD3ACF0" w14:textId="77777777" w:rsidR="009D0006" w:rsidRPr="001C2DF4" w:rsidRDefault="009D0006" w:rsidP="00DC683E">
            <w:pPr>
              <w:pStyle w:val="Tabletext"/>
              <w:rPr>
                <w:lang w:val="en-US"/>
              </w:rPr>
            </w:pPr>
            <w:r w:rsidRPr="001C2DF4">
              <w:t>No religion</w:t>
            </w:r>
          </w:p>
        </w:tc>
        <w:tc>
          <w:tcPr>
            <w:tcW w:w="1559" w:type="dxa"/>
            <w:noWrap/>
          </w:tcPr>
          <w:p w14:paraId="369E404A" w14:textId="77777777" w:rsidR="009D0006" w:rsidRPr="001C2DF4" w:rsidRDefault="009D0006" w:rsidP="00DC683E">
            <w:pPr>
              <w:pStyle w:val="Tabletext"/>
              <w:rPr>
                <w:lang w:val="en-US"/>
              </w:rPr>
            </w:pPr>
            <w:r w:rsidRPr="001C2DF4">
              <w:t>1879</w:t>
            </w:r>
          </w:p>
        </w:tc>
        <w:tc>
          <w:tcPr>
            <w:tcW w:w="1559" w:type="dxa"/>
            <w:noWrap/>
          </w:tcPr>
          <w:p w14:paraId="70152D33" w14:textId="77777777" w:rsidR="009D0006" w:rsidRPr="001C2DF4" w:rsidRDefault="009D0006" w:rsidP="00DC683E">
            <w:pPr>
              <w:pStyle w:val="Tabletext"/>
              <w:rPr>
                <w:lang w:val="en-US"/>
              </w:rPr>
            </w:pPr>
            <w:r w:rsidRPr="001C2DF4">
              <w:t>71.8</w:t>
            </w:r>
          </w:p>
        </w:tc>
      </w:tr>
      <w:tr w:rsidR="009D0006" w:rsidRPr="001C2DF4" w14:paraId="6E4C5DC3"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389F258" w14:textId="77777777" w:rsidR="009D0006" w:rsidRPr="001C2DF4" w:rsidRDefault="009D0006" w:rsidP="00DC683E">
            <w:pPr>
              <w:pStyle w:val="Tabletext"/>
              <w:rPr>
                <w:lang w:val="en-US"/>
              </w:rPr>
            </w:pPr>
            <w:r w:rsidRPr="001C2DF4">
              <w:t>Catholic</w:t>
            </w:r>
          </w:p>
        </w:tc>
        <w:tc>
          <w:tcPr>
            <w:tcW w:w="1559" w:type="dxa"/>
            <w:noWrap/>
          </w:tcPr>
          <w:p w14:paraId="4E22DDA1" w14:textId="77777777" w:rsidR="009D0006" w:rsidRPr="001C2DF4" w:rsidRDefault="009D0006" w:rsidP="00DC683E">
            <w:pPr>
              <w:pStyle w:val="Tabletext"/>
              <w:rPr>
                <w:lang w:val="en-US"/>
              </w:rPr>
            </w:pPr>
            <w:r w:rsidRPr="001C2DF4">
              <w:t>96</w:t>
            </w:r>
          </w:p>
        </w:tc>
        <w:tc>
          <w:tcPr>
            <w:tcW w:w="1559" w:type="dxa"/>
            <w:noWrap/>
          </w:tcPr>
          <w:p w14:paraId="2A9D4427" w14:textId="77777777" w:rsidR="009D0006" w:rsidRPr="001C2DF4" w:rsidRDefault="009D0006" w:rsidP="00DC683E">
            <w:pPr>
              <w:pStyle w:val="Tabletext"/>
              <w:rPr>
                <w:lang w:val="en-US"/>
              </w:rPr>
            </w:pPr>
            <w:r w:rsidRPr="001C2DF4">
              <w:t>3.7</w:t>
            </w:r>
          </w:p>
        </w:tc>
      </w:tr>
      <w:tr w:rsidR="009D0006" w:rsidRPr="001C2DF4" w14:paraId="01E1F0C0"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2B5FAA1" w14:textId="77777777" w:rsidR="009D0006" w:rsidRPr="001C2DF4" w:rsidRDefault="009D0006" w:rsidP="00DC683E">
            <w:pPr>
              <w:pStyle w:val="Tabletext"/>
              <w:rPr>
                <w:lang w:val="en-US"/>
              </w:rPr>
            </w:pPr>
            <w:r w:rsidRPr="001C2DF4">
              <w:t>Anglican (Church of England)</w:t>
            </w:r>
          </w:p>
        </w:tc>
        <w:tc>
          <w:tcPr>
            <w:tcW w:w="1559" w:type="dxa"/>
            <w:noWrap/>
          </w:tcPr>
          <w:p w14:paraId="1A5C9E79" w14:textId="77777777" w:rsidR="009D0006" w:rsidRPr="001C2DF4" w:rsidRDefault="009D0006" w:rsidP="00DC683E">
            <w:pPr>
              <w:pStyle w:val="Tabletext"/>
              <w:rPr>
                <w:lang w:val="en-US"/>
              </w:rPr>
            </w:pPr>
            <w:r w:rsidRPr="001C2DF4">
              <w:t>62</w:t>
            </w:r>
          </w:p>
        </w:tc>
        <w:tc>
          <w:tcPr>
            <w:tcW w:w="1559" w:type="dxa"/>
            <w:noWrap/>
          </w:tcPr>
          <w:p w14:paraId="6E385356" w14:textId="77777777" w:rsidR="009D0006" w:rsidRPr="001C2DF4" w:rsidRDefault="009D0006" w:rsidP="00DC683E">
            <w:pPr>
              <w:pStyle w:val="Tabletext"/>
              <w:rPr>
                <w:lang w:val="en-US"/>
              </w:rPr>
            </w:pPr>
            <w:r w:rsidRPr="001C2DF4">
              <w:t>2.4</w:t>
            </w:r>
          </w:p>
        </w:tc>
      </w:tr>
      <w:tr w:rsidR="009D0006" w:rsidRPr="001C2DF4" w14:paraId="75449C7F"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3DD9572" w14:textId="77777777" w:rsidR="009D0006" w:rsidRPr="001C2DF4" w:rsidRDefault="009D0006" w:rsidP="00DC683E">
            <w:pPr>
              <w:pStyle w:val="Tabletext"/>
              <w:rPr>
                <w:lang w:val="en-US"/>
              </w:rPr>
            </w:pPr>
            <w:r w:rsidRPr="001C2DF4">
              <w:t>Buddhism</w:t>
            </w:r>
          </w:p>
        </w:tc>
        <w:tc>
          <w:tcPr>
            <w:tcW w:w="1559" w:type="dxa"/>
            <w:noWrap/>
          </w:tcPr>
          <w:p w14:paraId="76BB09E2" w14:textId="77777777" w:rsidR="009D0006" w:rsidRPr="001C2DF4" w:rsidRDefault="009D0006" w:rsidP="00DC683E">
            <w:pPr>
              <w:pStyle w:val="Tabletext"/>
              <w:rPr>
                <w:lang w:val="en-US"/>
              </w:rPr>
            </w:pPr>
            <w:r w:rsidRPr="001C2DF4">
              <w:t>50</w:t>
            </w:r>
          </w:p>
        </w:tc>
        <w:tc>
          <w:tcPr>
            <w:tcW w:w="1559" w:type="dxa"/>
            <w:noWrap/>
          </w:tcPr>
          <w:p w14:paraId="00772149" w14:textId="77777777" w:rsidR="009D0006" w:rsidRPr="001C2DF4" w:rsidRDefault="009D0006" w:rsidP="00DC683E">
            <w:pPr>
              <w:pStyle w:val="Tabletext"/>
              <w:rPr>
                <w:lang w:val="en-US"/>
              </w:rPr>
            </w:pPr>
            <w:r w:rsidRPr="001C2DF4">
              <w:t>1.9</w:t>
            </w:r>
          </w:p>
        </w:tc>
      </w:tr>
      <w:tr w:rsidR="009D0006" w:rsidRPr="001C2DF4" w14:paraId="4A2B90E7"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434B011" w14:textId="77777777" w:rsidR="009D0006" w:rsidRPr="001C2DF4" w:rsidRDefault="009D0006" w:rsidP="00DC683E">
            <w:pPr>
              <w:pStyle w:val="Tabletext"/>
              <w:rPr>
                <w:lang w:val="en-US"/>
              </w:rPr>
            </w:pPr>
            <w:r w:rsidRPr="001C2DF4">
              <w:t>Judaism</w:t>
            </w:r>
          </w:p>
        </w:tc>
        <w:tc>
          <w:tcPr>
            <w:tcW w:w="1559" w:type="dxa"/>
            <w:noWrap/>
          </w:tcPr>
          <w:p w14:paraId="54537230" w14:textId="77777777" w:rsidR="009D0006" w:rsidRPr="001C2DF4" w:rsidRDefault="009D0006" w:rsidP="00DC683E">
            <w:pPr>
              <w:pStyle w:val="Tabletext"/>
              <w:rPr>
                <w:lang w:val="en-US"/>
              </w:rPr>
            </w:pPr>
            <w:r w:rsidRPr="001C2DF4">
              <w:t>45</w:t>
            </w:r>
          </w:p>
        </w:tc>
        <w:tc>
          <w:tcPr>
            <w:tcW w:w="1559" w:type="dxa"/>
            <w:noWrap/>
          </w:tcPr>
          <w:p w14:paraId="20507880" w14:textId="77777777" w:rsidR="009D0006" w:rsidRPr="001C2DF4" w:rsidRDefault="009D0006" w:rsidP="00DC683E">
            <w:pPr>
              <w:pStyle w:val="Tabletext"/>
              <w:rPr>
                <w:lang w:val="en-US"/>
              </w:rPr>
            </w:pPr>
            <w:r w:rsidRPr="001C2DF4">
              <w:t>1.7</w:t>
            </w:r>
          </w:p>
        </w:tc>
      </w:tr>
      <w:tr w:rsidR="009D0006" w:rsidRPr="001C2DF4" w14:paraId="4467E8B6"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462D5EC" w14:textId="77777777" w:rsidR="009D0006" w:rsidRPr="001C2DF4" w:rsidRDefault="009D0006" w:rsidP="00DC683E">
            <w:pPr>
              <w:pStyle w:val="Tabletext"/>
              <w:rPr>
                <w:lang w:val="en-US"/>
              </w:rPr>
            </w:pPr>
            <w:r w:rsidRPr="001C2DF4">
              <w:t>Uniting Church</w:t>
            </w:r>
          </w:p>
        </w:tc>
        <w:tc>
          <w:tcPr>
            <w:tcW w:w="1559" w:type="dxa"/>
            <w:noWrap/>
          </w:tcPr>
          <w:p w14:paraId="5EB576B4" w14:textId="77777777" w:rsidR="009D0006" w:rsidRPr="001C2DF4" w:rsidRDefault="009D0006" w:rsidP="00DC683E">
            <w:pPr>
              <w:pStyle w:val="Tabletext"/>
              <w:rPr>
                <w:lang w:val="en-US"/>
              </w:rPr>
            </w:pPr>
            <w:r w:rsidRPr="001C2DF4">
              <w:t>39</w:t>
            </w:r>
          </w:p>
        </w:tc>
        <w:tc>
          <w:tcPr>
            <w:tcW w:w="1559" w:type="dxa"/>
            <w:noWrap/>
          </w:tcPr>
          <w:p w14:paraId="7297CB87" w14:textId="77777777" w:rsidR="009D0006" w:rsidRPr="001C2DF4" w:rsidRDefault="009D0006" w:rsidP="00DC683E">
            <w:pPr>
              <w:pStyle w:val="Tabletext"/>
              <w:rPr>
                <w:lang w:val="en-US"/>
              </w:rPr>
            </w:pPr>
            <w:r w:rsidRPr="001C2DF4">
              <w:t>1.5</w:t>
            </w:r>
          </w:p>
        </w:tc>
      </w:tr>
      <w:tr w:rsidR="009D0006" w:rsidRPr="001C2DF4" w14:paraId="128E6911"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15772E5" w14:textId="77777777" w:rsidR="009D0006" w:rsidRPr="001C2DF4" w:rsidRDefault="009D0006" w:rsidP="00DC683E">
            <w:pPr>
              <w:pStyle w:val="Tabletext"/>
              <w:rPr>
                <w:lang w:val="en-US"/>
              </w:rPr>
            </w:pPr>
            <w:r w:rsidRPr="001C2DF4">
              <w:t>Islam</w:t>
            </w:r>
          </w:p>
        </w:tc>
        <w:tc>
          <w:tcPr>
            <w:tcW w:w="1559" w:type="dxa"/>
            <w:noWrap/>
          </w:tcPr>
          <w:p w14:paraId="72DFA0CB" w14:textId="77777777" w:rsidR="009D0006" w:rsidRPr="001C2DF4" w:rsidRDefault="009D0006" w:rsidP="00DC683E">
            <w:pPr>
              <w:pStyle w:val="Tabletext"/>
              <w:rPr>
                <w:lang w:val="en-US"/>
              </w:rPr>
            </w:pPr>
            <w:r w:rsidRPr="001C2DF4">
              <w:t>9</w:t>
            </w:r>
          </w:p>
        </w:tc>
        <w:tc>
          <w:tcPr>
            <w:tcW w:w="1559" w:type="dxa"/>
            <w:noWrap/>
          </w:tcPr>
          <w:p w14:paraId="08287147" w14:textId="77777777" w:rsidR="009D0006" w:rsidRPr="001C2DF4" w:rsidRDefault="009D0006" w:rsidP="00DC683E">
            <w:pPr>
              <w:pStyle w:val="Tabletext"/>
              <w:rPr>
                <w:lang w:val="en-US"/>
              </w:rPr>
            </w:pPr>
            <w:r w:rsidRPr="001C2DF4">
              <w:t>0.3</w:t>
            </w:r>
          </w:p>
        </w:tc>
      </w:tr>
      <w:tr w:rsidR="009D0006" w:rsidRPr="001C2DF4" w14:paraId="5C44A584"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C617475" w14:textId="77777777" w:rsidR="009D0006" w:rsidRPr="001C2DF4" w:rsidRDefault="009D0006" w:rsidP="00DC683E">
            <w:pPr>
              <w:pStyle w:val="Tabletext"/>
              <w:rPr>
                <w:lang w:val="en-US"/>
              </w:rPr>
            </w:pPr>
            <w:r w:rsidRPr="001C2DF4">
              <w:t>Hinduism</w:t>
            </w:r>
          </w:p>
        </w:tc>
        <w:tc>
          <w:tcPr>
            <w:tcW w:w="1559" w:type="dxa"/>
            <w:noWrap/>
          </w:tcPr>
          <w:p w14:paraId="41BDB10D" w14:textId="77777777" w:rsidR="009D0006" w:rsidRPr="001C2DF4" w:rsidRDefault="009D0006" w:rsidP="00DC683E">
            <w:pPr>
              <w:pStyle w:val="Tabletext"/>
              <w:rPr>
                <w:lang w:val="en-US"/>
              </w:rPr>
            </w:pPr>
            <w:r w:rsidRPr="001C2DF4">
              <w:t>7</w:t>
            </w:r>
          </w:p>
        </w:tc>
        <w:tc>
          <w:tcPr>
            <w:tcW w:w="1559" w:type="dxa"/>
            <w:noWrap/>
          </w:tcPr>
          <w:p w14:paraId="253E2600" w14:textId="77777777" w:rsidR="009D0006" w:rsidRPr="001C2DF4" w:rsidRDefault="009D0006" w:rsidP="00DC683E">
            <w:pPr>
              <w:pStyle w:val="Tabletext"/>
              <w:rPr>
                <w:lang w:val="en-US"/>
              </w:rPr>
            </w:pPr>
            <w:r w:rsidRPr="001C2DF4">
              <w:t>0.3</w:t>
            </w:r>
          </w:p>
        </w:tc>
      </w:tr>
      <w:tr w:rsidR="009D0006" w:rsidRPr="001C2DF4" w14:paraId="54CEC1C9"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08E98C9" w14:textId="77777777" w:rsidR="009D0006" w:rsidRPr="001C2DF4" w:rsidRDefault="009D0006" w:rsidP="00DC683E">
            <w:pPr>
              <w:pStyle w:val="Tabletext"/>
              <w:rPr>
                <w:lang w:val="en-US"/>
              </w:rPr>
            </w:pPr>
            <w:r w:rsidRPr="001C2DF4">
              <w:t>Presbyterian</w:t>
            </w:r>
          </w:p>
        </w:tc>
        <w:tc>
          <w:tcPr>
            <w:tcW w:w="1559" w:type="dxa"/>
            <w:noWrap/>
          </w:tcPr>
          <w:p w14:paraId="09883D13" w14:textId="77777777" w:rsidR="009D0006" w:rsidRPr="001C2DF4" w:rsidRDefault="009D0006" w:rsidP="00DC683E">
            <w:pPr>
              <w:pStyle w:val="Tabletext"/>
            </w:pPr>
            <w:r w:rsidRPr="001C2DF4">
              <w:t>6</w:t>
            </w:r>
          </w:p>
        </w:tc>
        <w:tc>
          <w:tcPr>
            <w:tcW w:w="1559" w:type="dxa"/>
            <w:noWrap/>
          </w:tcPr>
          <w:p w14:paraId="4A9BC483" w14:textId="77777777" w:rsidR="009D0006" w:rsidRPr="001C2DF4" w:rsidRDefault="009D0006" w:rsidP="00DC683E">
            <w:pPr>
              <w:pStyle w:val="Tabletext"/>
            </w:pPr>
            <w:r w:rsidRPr="001C2DF4">
              <w:t>0.2</w:t>
            </w:r>
          </w:p>
        </w:tc>
      </w:tr>
      <w:tr w:rsidR="009D0006" w:rsidRPr="001C2DF4" w14:paraId="5254E6E8" w14:textId="77777777" w:rsidTr="00DC683E">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AED20F3" w14:textId="77777777" w:rsidR="009D0006" w:rsidRPr="001C2DF4" w:rsidRDefault="009D0006" w:rsidP="00DC683E">
            <w:pPr>
              <w:pStyle w:val="Tabletext"/>
              <w:rPr>
                <w:lang w:val="en-US"/>
              </w:rPr>
            </w:pPr>
            <w:r w:rsidRPr="001C2DF4">
              <w:t>Greek Orthodox</w:t>
            </w:r>
          </w:p>
        </w:tc>
        <w:tc>
          <w:tcPr>
            <w:tcW w:w="1559" w:type="dxa"/>
            <w:noWrap/>
          </w:tcPr>
          <w:p w14:paraId="1615D775" w14:textId="77777777" w:rsidR="009D0006" w:rsidRPr="001C2DF4" w:rsidRDefault="009D0006" w:rsidP="00DC683E">
            <w:pPr>
              <w:pStyle w:val="Tabletext"/>
            </w:pPr>
            <w:r w:rsidRPr="001C2DF4">
              <w:t>6</w:t>
            </w:r>
          </w:p>
        </w:tc>
        <w:tc>
          <w:tcPr>
            <w:tcW w:w="1559" w:type="dxa"/>
            <w:noWrap/>
          </w:tcPr>
          <w:p w14:paraId="5EF75A6D" w14:textId="77777777" w:rsidR="009D0006" w:rsidRPr="001C2DF4" w:rsidRDefault="009D0006" w:rsidP="00DC683E">
            <w:pPr>
              <w:pStyle w:val="Tabletext"/>
            </w:pPr>
            <w:r w:rsidRPr="001C2DF4">
              <w:t>0.2</w:t>
            </w:r>
          </w:p>
        </w:tc>
      </w:tr>
      <w:tr w:rsidR="009D0006" w:rsidRPr="001C2DF4" w14:paraId="4831D526" w14:textId="77777777" w:rsidTr="00DC683E">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1E2B2DEC" w14:textId="77777777" w:rsidR="009D0006" w:rsidRPr="001C2DF4" w:rsidRDefault="009D0006" w:rsidP="00DC683E">
            <w:pPr>
              <w:pStyle w:val="Tabletext"/>
              <w:rPr>
                <w:lang w:val="en-US"/>
              </w:rPr>
            </w:pPr>
            <w:r w:rsidRPr="001C2DF4">
              <w:t>Other</w:t>
            </w:r>
          </w:p>
        </w:tc>
        <w:tc>
          <w:tcPr>
            <w:tcW w:w="1559" w:type="dxa"/>
            <w:noWrap/>
          </w:tcPr>
          <w:p w14:paraId="798D6FD4" w14:textId="77777777" w:rsidR="009D0006" w:rsidRPr="001C2DF4" w:rsidRDefault="009D0006" w:rsidP="00DC683E">
            <w:pPr>
              <w:pStyle w:val="Tabletext"/>
            </w:pPr>
            <w:r w:rsidRPr="001C2DF4">
              <w:t>419</w:t>
            </w:r>
          </w:p>
        </w:tc>
        <w:tc>
          <w:tcPr>
            <w:tcW w:w="1559" w:type="dxa"/>
            <w:noWrap/>
          </w:tcPr>
          <w:p w14:paraId="42080197" w14:textId="77777777" w:rsidR="009D0006" w:rsidRPr="001C2DF4" w:rsidRDefault="009D0006" w:rsidP="00DC683E">
            <w:pPr>
              <w:pStyle w:val="Tabletext"/>
            </w:pPr>
            <w:r w:rsidRPr="001C2DF4">
              <w:t>16.0</w:t>
            </w:r>
          </w:p>
        </w:tc>
      </w:tr>
    </w:tbl>
    <w:p w14:paraId="13A9415A" w14:textId="77777777" w:rsidR="009D0006" w:rsidRPr="00692BC1" w:rsidRDefault="009D0006" w:rsidP="003F4AC6">
      <w:pPr>
        <w:spacing w:before="360"/>
      </w:pPr>
      <w:r>
        <w:t>As displayed in Table 18, close to three-quarters</w:t>
      </w:r>
      <w:r w:rsidRPr="00692BC1">
        <w:t xml:space="preserve"> (71.8%; n = 1879) of participants with disability </w:t>
      </w:r>
      <w:r w:rsidRPr="00692BC1">
        <w:rPr>
          <w:bCs/>
        </w:rPr>
        <w:t xml:space="preserve">in </w:t>
      </w:r>
      <w:r w:rsidRPr="00692BC1">
        <w:rPr>
          <w:bCs/>
          <w:i/>
          <w:iCs/>
        </w:rPr>
        <w:t>Private Lives 3</w:t>
      </w:r>
      <w:r>
        <w:rPr>
          <w:bCs/>
          <w:i/>
          <w:iCs/>
        </w:rPr>
        <w:t xml:space="preserve"> </w:t>
      </w:r>
      <w:r w:rsidRPr="00692BC1">
        <w:t xml:space="preserve">reported having no current religion or spirituality. Of participants reporting a religious or spiritual identity, 3.7% (n = 96) were </w:t>
      </w:r>
      <w:r>
        <w:t>C</w:t>
      </w:r>
      <w:r w:rsidRPr="00692BC1">
        <w:t>atholic, 2.4% (n = 62) Anglican, 1.9% (n = 50) Buddhist, 1.7% (n = 45) Jewish, 1.5% (n = 39) Uniting Church, 0.3% (n = 7) Muslim, 0.3% (n = 7) Hindu, 0.2% (n = 6) Presbyterian, 0.2% (n = 6) Greek Orthodox and 16.0% (n = 419) another religion or spirituality. Religious or spiritual affiliation was lower than among the general Australian population, in which 30% report having no religion</w:t>
      </w:r>
      <w:r>
        <w:t>.</w:t>
      </w:r>
      <w:r w:rsidRPr="00692BC1">
        <w:fldChar w:fldCharType="begin"/>
      </w:r>
      <w:r>
        <w:instrText xml:space="preserve"> ADDIN ZOTERO_ITEM CSL_CITATION {"citationID":"pAiDz7Mt","properties":{"formattedCitation":"(27)","plainCitation":"(27)","noteIndex":0},"citationItems":[{"id":"hc6yy1rM/AGB3ixff","uris":["http://zotero.org/users/4948307/items/NDEY4MPQ"],"itemData":{"id":676,"type":"webpage","abstract":"This is a summary from publication 2016 Census: Religion which contains key figures, key points and notes from the publication.","language":"en","title":"2016 Census: Religion","title-short":"ABS 2016 Census","URL":"https://www.abs.gov.au/AUSSTATS/abs@.nsf/mediareleasesbyReleaseDate/7E65A144540551D7CA258148000E2B85","author":[{"family":"Australian Bureau of Statistics","given":""}],"accessed":{"date-parts":[["2020",1,9]]},"issued":{"date-parts":[["2017",6,27]]}}}],"schema":"https://github.com/citation-style-language/schema/raw/master/csl-citation.json"} </w:instrText>
      </w:r>
      <w:r w:rsidRPr="00692BC1">
        <w:fldChar w:fldCharType="separate"/>
      </w:r>
      <w:r>
        <w:rPr>
          <w:lang w:val="en-GB"/>
        </w:rPr>
        <w:t>(27)</w:t>
      </w:r>
      <w:r w:rsidRPr="00692BC1">
        <w:fldChar w:fldCharType="end"/>
      </w:r>
      <w:r w:rsidRPr="00692BC1">
        <w:t xml:space="preserve"> </w:t>
      </w:r>
    </w:p>
    <w:p w14:paraId="5F3CDB2E" w14:textId="0665063D" w:rsidR="009D0006" w:rsidRPr="00692BC1" w:rsidRDefault="009D0006" w:rsidP="00153892">
      <w:pPr>
        <w:pStyle w:val="Heading2Numbered"/>
      </w:pPr>
      <w:bookmarkStart w:id="314" w:name="_Toc40192100"/>
      <w:bookmarkStart w:id="315" w:name="_Toc48137725"/>
      <w:bookmarkStart w:id="316" w:name="_Toc58252057"/>
      <w:bookmarkStart w:id="317" w:name="_Toc115968535"/>
      <w:bookmarkStart w:id="318" w:name="_Toc119662411"/>
      <w:bookmarkEnd w:id="310"/>
      <w:r w:rsidRPr="00692BC1">
        <w:t>Educa</w:t>
      </w:r>
      <w:r w:rsidRPr="00692BC1">
        <w:lastRenderedPageBreak/>
        <w:t>tion</w:t>
      </w:r>
      <w:bookmarkEnd w:id="314"/>
      <w:bookmarkEnd w:id="315"/>
      <w:bookmarkEnd w:id="316"/>
      <w:bookmarkEnd w:id="317"/>
      <w:bookmarkEnd w:id="318"/>
      <w:r w:rsidRPr="00692BC1">
        <w:t xml:space="preserve"> </w:t>
      </w:r>
    </w:p>
    <w:p w14:paraId="3CB16A79" w14:textId="7409597F" w:rsidR="009D0006" w:rsidRPr="001C2DF4" w:rsidRDefault="009D0006" w:rsidP="00153892">
      <w:pPr>
        <w:pStyle w:val="Heading3Numbered"/>
      </w:pPr>
      <w:bookmarkStart w:id="319" w:name="_Toc115968536"/>
      <w:bookmarkStart w:id="320" w:name="_Toc48137904"/>
      <w:r w:rsidRPr="001C2DF4">
        <w:t>Educational institution attended in past 12 months – young people aged 14-21</w:t>
      </w:r>
      <w:r w:rsidRPr="002306D8">
        <w:t xml:space="preserve"> </w:t>
      </w:r>
      <w:r w:rsidRPr="001C2DF4">
        <w:t>years</w:t>
      </w:r>
      <w:bookmarkEnd w:id="319"/>
    </w:p>
    <w:p w14:paraId="7D4E79F9" w14:textId="77777777" w:rsidR="009D0006" w:rsidRDefault="009D0006" w:rsidP="009D0006">
      <w:r>
        <w:t>Young people</w:t>
      </w:r>
      <w:r w:rsidRPr="00692BC1">
        <w:t xml:space="preserve"> </w:t>
      </w:r>
      <w:r>
        <w:t xml:space="preserve">from </w:t>
      </w:r>
      <w:r w:rsidRPr="002306D8">
        <w:rPr>
          <w:i/>
          <w:iCs/>
        </w:rPr>
        <w:t>Writing Themselves In 4</w:t>
      </w:r>
      <w:r>
        <w:t xml:space="preserve"> </w:t>
      </w:r>
      <w:r w:rsidRPr="00692BC1">
        <w:t>were asked if they were currently attending a school or educational institution or if they had attended one in the past 12 months. Table 1</w:t>
      </w:r>
      <w:r>
        <w:t>9</w:t>
      </w:r>
      <w:r w:rsidRPr="00692BC1">
        <w:t xml:space="preserve"> displays these results.</w:t>
      </w:r>
    </w:p>
    <w:p w14:paraId="0A81D5B3" w14:textId="73AC4E14" w:rsidR="009D0006" w:rsidRPr="002306D8" w:rsidRDefault="009D0006" w:rsidP="007F1E90">
      <w:pPr>
        <w:pStyle w:val="Tableheading"/>
      </w:pPr>
      <w:bookmarkStart w:id="321" w:name="_Toc117062737"/>
      <w:bookmarkStart w:id="322" w:name="_Toc119651422"/>
      <w:r w:rsidRPr="002306D8">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xml:space="preserve">: </w:t>
      </w:r>
      <w:r w:rsidRPr="002306D8">
        <w:t>Educational institution attended in past 12 months</w:t>
      </w:r>
      <w:bookmarkEnd w:id="320"/>
      <w:r w:rsidRPr="002306D8">
        <w:t xml:space="preserve"> by young people with disability aged 14-21 years (n = 2500)</w:t>
      </w:r>
      <w:bookmarkEnd w:id="321"/>
      <w:bookmarkEnd w:id="322"/>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1B2DA0A9" w14:textId="77777777" w:rsidTr="007F1E90">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31EFF61E" w14:textId="77777777" w:rsidR="009D0006" w:rsidRPr="001C2DF4" w:rsidRDefault="009D0006" w:rsidP="007F1E90">
            <w:pPr>
              <w:pStyle w:val="Tableheader"/>
              <w:rPr>
                <w:lang w:val="en-US"/>
              </w:rPr>
            </w:pPr>
            <w:r w:rsidRPr="001C2DF4">
              <w:t>Education</w:t>
            </w:r>
          </w:p>
        </w:tc>
        <w:tc>
          <w:tcPr>
            <w:tcW w:w="1559" w:type="dxa"/>
            <w:noWrap/>
            <w:hideMark/>
          </w:tcPr>
          <w:p w14:paraId="5DC19851" w14:textId="77777777" w:rsidR="009D0006" w:rsidRPr="001C2DF4" w:rsidRDefault="009D0006" w:rsidP="007F1E90">
            <w:pPr>
              <w:pStyle w:val="Tableheader"/>
              <w:rPr>
                <w:lang w:val="en-US"/>
              </w:rPr>
            </w:pPr>
            <w:r>
              <w:t>n</w:t>
            </w:r>
          </w:p>
        </w:tc>
        <w:tc>
          <w:tcPr>
            <w:tcW w:w="1559" w:type="dxa"/>
            <w:noWrap/>
            <w:hideMark/>
          </w:tcPr>
          <w:p w14:paraId="66FD36D6" w14:textId="77777777" w:rsidR="009D0006" w:rsidRPr="001C2DF4" w:rsidRDefault="009D0006" w:rsidP="007F1E90">
            <w:pPr>
              <w:pStyle w:val="Tableheader"/>
              <w:rPr>
                <w:lang w:val="en-US"/>
              </w:rPr>
            </w:pPr>
            <w:r w:rsidRPr="001C2DF4">
              <w:t>%</w:t>
            </w:r>
          </w:p>
        </w:tc>
      </w:tr>
      <w:tr w:rsidR="009D0006" w:rsidRPr="001C2DF4" w14:paraId="117FB1FF"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07942F8" w14:textId="77777777" w:rsidR="009D0006" w:rsidRPr="001C2DF4" w:rsidRDefault="009D0006" w:rsidP="007F1E90">
            <w:pPr>
              <w:pStyle w:val="Tabletext"/>
              <w:rPr>
                <w:lang w:val="en-US"/>
              </w:rPr>
            </w:pPr>
            <w:r w:rsidRPr="001C2DF4">
              <w:t xml:space="preserve">Secondary school </w:t>
            </w:r>
          </w:p>
        </w:tc>
        <w:tc>
          <w:tcPr>
            <w:tcW w:w="1559" w:type="dxa"/>
            <w:noWrap/>
          </w:tcPr>
          <w:p w14:paraId="070AFA31" w14:textId="77777777" w:rsidR="009D0006" w:rsidRPr="001C2DF4" w:rsidRDefault="009D0006" w:rsidP="007F1E90">
            <w:pPr>
              <w:pStyle w:val="Tabletext"/>
              <w:rPr>
                <w:lang w:val="en-US"/>
              </w:rPr>
            </w:pPr>
            <w:r w:rsidRPr="001C2DF4">
              <w:t>1259</w:t>
            </w:r>
          </w:p>
        </w:tc>
        <w:tc>
          <w:tcPr>
            <w:tcW w:w="1559" w:type="dxa"/>
            <w:noWrap/>
          </w:tcPr>
          <w:p w14:paraId="4B2CD1F6" w14:textId="77777777" w:rsidR="009D0006" w:rsidRPr="001C2DF4" w:rsidRDefault="009D0006" w:rsidP="007F1E90">
            <w:pPr>
              <w:pStyle w:val="Tabletext"/>
              <w:rPr>
                <w:lang w:val="en-US"/>
              </w:rPr>
            </w:pPr>
            <w:r w:rsidRPr="001C2DF4">
              <w:t>50.4</w:t>
            </w:r>
          </w:p>
        </w:tc>
      </w:tr>
      <w:tr w:rsidR="009D0006" w:rsidRPr="001C2DF4" w14:paraId="21585CBC"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ADC3F21" w14:textId="77777777" w:rsidR="009D0006" w:rsidRPr="001C2DF4" w:rsidRDefault="009D0006" w:rsidP="007F1E90">
            <w:pPr>
              <w:pStyle w:val="Tabletext"/>
              <w:rPr>
                <w:lang w:val="en-US"/>
              </w:rPr>
            </w:pPr>
            <w:r w:rsidRPr="001C2DF4">
              <w:t>University</w:t>
            </w:r>
          </w:p>
        </w:tc>
        <w:tc>
          <w:tcPr>
            <w:tcW w:w="1559" w:type="dxa"/>
            <w:noWrap/>
          </w:tcPr>
          <w:p w14:paraId="1E6EB75F" w14:textId="77777777" w:rsidR="009D0006" w:rsidRPr="001C2DF4" w:rsidRDefault="009D0006" w:rsidP="007F1E90">
            <w:pPr>
              <w:pStyle w:val="Tabletext"/>
              <w:rPr>
                <w:lang w:val="en-US"/>
              </w:rPr>
            </w:pPr>
            <w:r w:rsidRPr="001C2DF4">
              <w:t>627</w:t>
            </w:r>
          </w:p>
        </w:tc>
        <w:tc>
          <w:tcPr>
            <w:tcW w:w="1559" w:type="dxa"/>
            <w:noWrap/>
          </w:tcPr>
          <w:p w14:paraId="187D7E06" w14:textId="77777777" w:rsidR="009D0006" w:rsidRPr="001C2DF4" w:rsidRDefault="009D0006" w:rsidP="007F1E90">
            <w:pPr>
              <w:pStyle w:val="Tabletext"/>
              <w:rPr>
                <w:lang w:val="en-US"/>
              </w:rPr>
            </w:pPr>
            <w:r w:rsidRPr="001C2DF4">
              <w:t>25.1</w:t>
            </w:r>
          </w:p>
        </w:tc>
      </w:tr>
      <w:tr w:rsidR="009D0006" w:rsidRPr="001C2DF4" w14:paraId="6E762F76"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5EA66BF" w14:textId="77777777" w:rsidR="009D0006" w:rsidRPr="001C2DF4" w:rsidRDefault="009D0006" w:rsidP="007F1E90">
            <w:pPr>
              <w:pStyle w:val="Tabletext"/>
              <w:rPr>
                <w:lang w:val="en-US"/>
              </w:rPr>
            </w:pPr>
            <w:r w:rsidRPr="001C2DF4">
              <w:t>TAFE</w:t>
            </w:r>
          </w:p>
        </w:tc>
        <w:tc>
          <w:tcPr>
            <w:tcW w:w="1559" w:type="dxa"/>
            <w:noWrap/>
          </w:tcPr>
          <w:p w14:paraId="1C748E0C" w14:textId="77777777" w:rsidR="009D0006" w:rsidRPr="001C2DF4" w:rsidRDefault="009D0006" w:rsidP="007F1E90">
            <w:pPr>
              <w:pStyle w:val="Tabletext"/>
              <w:rPr>
                <w:lang w:val="en-US"/>
              </w:rPr>
            </w:pPr>
            <w:r w:rsidRPr="001C2DF4">
              <w:t>257</w:t>
            </w:r>
          </w:p>
        </w:tc>
        <w:tc>
          <w:tcPr>
            <w:tcW w:w="1559" w:type="dxa"/>
            <w:noWrap/>
          </w:tcPr>
          <w:p w14:paraId="3E7A21F9" w14:textId="77777777" w:rsidR="009D0006" w:rsidRPr="001C2DF4" w:rsidRDefault="009D0006" w:rsidP="007F1E90">
            <w:pPr>
              <w:pStyle w:val="Tabletext"/>
              <w:rPr>
                <w:lang w:val="en-US"/>
              </w:rPr>
            </w:pPr>
            <w:r w:rsidRPr="001C2DF4">
              <w:t>10.3</w:t>
            </w:r>
          </w:p>
        </w:tc>
      </w:tr>
      <w:tr w:rsidR="009D0006" w:rsidRPr="001C2DF4" w14:paraId="48DC14DB"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707B22F" w14:textId="77777777" w:rsidR="009D0006" w:rsidRPr="001C2DF4" w:rsidRDefault="009D0006" w:rsidP="007F1E90">
            <w:pPr>
              <w:pStyle w:val="Tabletext"/>
              <w:rPr>
                <w:lang w:val="en-US"/>
              </w:rPr>
            </w:pPr>
            <w:r w:rsidRPr="001C2DF4">
              <w:t>No schooling or other education</w:t>
            </w:r>
          </w:p>
        </w:tc>
        <w:tc>
          <w:tcPr>
            <w:tcW w:w="1559" w:type="dxa"/>
            <w:noWrap/>
          </w:tcPr>
          <w:p w14:paraId="0D4B99B5" w14:textId="77777777" w:rsidR="009D0006" w:rsidRPr="001C2DF4" w:rsidRDefault="009D0006" w:rsidP="007F1E90">
            <w:pPr>
              <w:pStyle w:val="Tabletext"/>
              <w:rPr>
                <w:lang w:val="en-US"/>
              </w:rPr>
            </w:pPr>
            <w:r w:rsidRPr="001C2DF4">
              <w:t>150</w:t>
            </w:r>
          </w:p>
        </w:tc>
        <w:tc>
          <w:tcPr>
            <w:tcW w:w="1559" w:type="dxa"/>
            <w:noWrap/>
          </w:tcPr>
          <w:p w14:paraId="2854660F" w14:textId="77777777" w:rsidR="009D0006" w:rsidRPr="001C2DF4" w:rsidRDefault="009D0006" w:rsidP="007F1E90">
            <w:pPr>
              <w:pStyle w:val="Tabletext"/>
              <w:rPr>
                <w:lang w:val="en-US"/>
              </w:rPr>
            </w:pPr>
            <w:r w:rsidRPr="001C2DF4">
              <w:t>6.0</w:t>
            </w:r>
          </w:p>
        </w:tc>
      </w:tr>
      <w:tr w:rsidR="009D0006" w:rsidRPr="001C2DF4" w14:paraId="4F903357"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E18F35F" w14:textId="77777777" w:rsidR="009D0006" w:rsidRPr="001C2DF4" w:rsidRDefault="009D0006" w:rsidP="007F1E90">
            <w:pPr>
              <w:pStyle w:val="Tabletext"/>
              <w:rPr>
                <w:lang w:val="en-US"/>
              </w:rPr>
            </w:pPr>
            <w:r w:rsidRPr="001C2DF4">
              <w:t xml:space="preserve">Alternative education program </w:t>
            </w:r>
          </w:p>
        </w:tc>
        <w:tc>
          <w:tcPr>
            <w:tcW w:w="1559" w:type="dxa"/>
            <w:noWrap/>
          </w:tcPr>
          <w:p w14:paraId="5E3D46DF" w14:textId="77777777" w:rsidR="009D0006" w:rsidRPr="001C2DF4" w:rsidRDefault="009D0006" w:rsidP="007F1E90">
            <w:pPr>
              <w:pStyle w:val="Tabletext"/>
              <w:rPr>
                <w:lang w:val="en-US"/>
              </w:rPr>
            </w:pPr>
            <w:r w:rsidRPr="001C2DF4">
              <w:t>106</w:t>
            </w:r>
          </w:p>
        </w:tc>
        <w:tc>
          <w:tcPr>
            <w:tcW w:w="1559" w:type="dxa"/>
            <w:noWrap/>
          </w:tcPr>
          <w:p w14:paraId="6FD4BE2A" w14:textId="77777777" w:rsidR="009D0006" w:rsidRPr="001C2DF4" w:rsidRDefault="009D0006" w:rsidP="007F1E90">
            <w:pPr>
              <w:pStyle w:val="Tabletext"/>
              <w:rPr>
                <w:lang w:val="en-US"/>
              </w:rPr>
            </w:pPr>
            <w:r w:rsidRPr="001C2DF4">
              <w:t>4.2</w:t>
            </w:r>
          </w:p>
        </w:tc>
      </w:tr>
      <w:tr w:rsidR="009D0006" w:rsidRPr="001C2DF4" w14:paraId="3A6767E7"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A0E619A" w14:textId="77777777" w:rsidR="009D0006" w:rsidRPr="001C2DF4" w:rsidRDefault="009D0006" w:rsidP="007F1E90">
            <w:pPr>
              <w:pStyle w:val="Tabletext"/>
              <w:rPr>
                <w:lang w:val="en-US"/>
              </w:rPr>
            </w:pPr>
            <w:r w:rsidRPr="001C2DF4">
              <w:t>Private college</w:t>
            </w:r>
          </w:p>
        </w:tc>
        <w:tc>
          <w:tcPr>
            <w:tcW w:w="1559" w:type="dxa"/>
            <w:noWrap/>
          </w:tcPr>
          <w:p w14:paraId="44C33859" w14:textId="77777777" w:rsidR="009D0006" w:rsidRPr="001C2DF4" w:rsidRDefault="009D0006" w:rsidP="007F1E90">
            <w:pPr>
              <w:pStyle w:val="Tabletext"/>
              <w:rPr>
                <w:lang w:val="en-US"/>
              </w:rPr>
            </w:pPr>
            <w:r w:rsidRPr="001C2DF4">
              <w:t>31</w:t>
            </w:r>
          </w:p>
        </w:tc>
        <w:tc>
          <w:tcPr>
            <w:tcW w:w="1559" w:type="dxa"/>
            <w:noWrap/>
          </w:tcPr>
          <w:p w14:paraId="10557B49" w14:textId="77777777" w:rsidR="009D0006" w:rsidRPr="001C2DF4" w:rsidRDefault="009D0006" w:rsidP="007F1E90">
            <w:pPr>
              <w:pStyle w:val="Tabletext"/>
              <w:rPr>
                <w:lang w:val="en-US"/>
              </w:rPr>
            </w:pPr>
            <w:r w:rsidRPr="001C2DF4">
              <w:t>1.2</w:t>
            </w:r>
          </w:p>
        </w:tc>
      </w:tr>
      <w:tr w:rsidR="009D0006" w:rsidRPr="001C2DF4" w14:paraId="61BE61D4"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C09CE3A" w14:textId="77777777" w:rsidR="009D0006" w:rsidRPr="001C2DF4" w:rsidRDefault="009D0006" w:rsidP="007F1E90">
            <w:pPr>
              <w:pStyle w:val="Tabletext"/>
              <w:rPr>
                <w:lang w:val="en-US"/>
              </w:rPr>
            </w:pPr>
            <w:r w:rsidRPr="001C2DF4">
              <w:t>Special needs school</w:t>
            </w:r>
          </w:p>
        </w:tc>
        <w:tc>
          <w:tcPr>
            <w:tcW w:w="1559" w:type="dxa"/>
            <w:noWrap/>
          </w:tcPr>
          <w:p w14:paraId="0F396196" w14:textId="77777777" w:rsidR="009D0006" w:rsidRPr="001C2DF4" w:rsidRDefault="009D0006" w:rsidP="007F1E90">
            <w:pPr>
              <w:pStyle w:val="Tabletext"/>
              <w:rPr>
                <w:lang w:val="en-US"/>
              </w:rPr>
            </w:pPr>
            <w:r w:rsidRPr="001C2DF4">
              <w:t>13</w:t>
            </w:r>
          </w:p>
        </w:tc>
        <w:tc>
          <w:tcPr>
            <w:tcW w:w="1559" w:type="dxa"/>
            <w:noWrap/>
          </w:tcPr>
          <w:p w14:paraId="27617B27" w14:textId="77777777" w:rsidR="009D0006" w:rsidRPr="001C2DF4" w:rsidRDefault="009D0006" w:rsidP="007F1E90">
            <w:pPr>
              <w:pStyle w:val="Tabletext"/>
              <w:rPr>
                <w:lang w:val="en-US"/>
              </w:rPr>
            </w:pPr>
            <w:r w:rsidRPr="001C2DF4">
              <w:t>0.5</w:t>
            </w:r>
          </w:p>
        </w:tc>
      </w:tr>
      <w:tr w:rsidR="009D0006" w:rsidRPr="001C2DF4" w14:paraId="1FF29064"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FBBF9F9" w14:textId="77777777" w:rsidR="009D0006" w:rsidRPr="001C2DF4" w:rsidRDefault="009D0006" w:rsidP="007F1E90">
            <w:pPr>
              <w:pStyle w:val="Tabletext"/>
              <w:rPr>
                <w:lang w:val="en-US"/>
              </w:rPr>
            </w:pPr>
            <w:r w:rsidRPr="001C2DF4">
              <w:t>Other</w:t>
            </w:r>
          </w:p>
        </w:tc>
        <w:tc>
          <w:tcPr>
            <w:tcW w:w="1559" w:type="dxa"/>
            <w:noWrap/>
          </w:tcPr>
          <w:p w14:paraId="4971BE3E" w14:textId="77777777" w:rsidR="009D0006" w:rsidRPr="001C2DF4" w:rsidRDefault="009D0006" w:rsidP="007F1E90">
            <w:pPr>
              <w:pStyle w:val="Tabletext"/>
            </w:pPr>
            <w:r w:rsidRPr="001C2DF4">
              <w:t>57</w:t>
            </w:r>
          </w:p>
        </w:tc>
        <w:tc>
          <w:tcPr>
            <w:tcW w:w="1559" w:type="dxa"/>
            <w:noWrap/>
          </w:tcPr>
          <w:p w14:paraId="2B9C22DF" w14:textId="77777777" w:rsidR="009D0006" w:rsidRPr="001C2DF4" w:rsidRDefault="009D0006" w:rsidP="007F1E90">
            <w:pPr>
              <w:pStyle w:val="Tabletext"/>
            </w:pPr>
            <w:r w:rsidRPr="001C2DF4">
              <w:t>2.3</w:t>
            </w:r>
          </w:p>
        </w:tc>
      </w:tr>
    </w:tbl>
    <w:p w14:paraId="2E2A6324" w14:textId="1B6DAA63" w:rsidR="004E2605" w:rsidRDefault="009D0006" w:rsidP="003F4AC6">
      <w:pPr>
        <w:spacing w:before="360"/>
      </w:pPr>
      <w:bookmarkStart w:id="323" w:name="_Toc40192101"/>
      <w:bookmarkStart w:id="324" w:name="_Toc48137726"/>
      <w:bookmarkStart w:id="325" w:name="_Toc58252058"/>
      <w:r>
        <w:t xml:space="preserve">Over half (50.4%; n = 1259) of young people </w:t>
      </w:r>
      <w:r w:rsidRPr="00692BC1">
        <w:t xml:space="preserve">with disability in </w:t>
      </w:r>
      <w:r w:rsidRPr="00692BC1">
        <w:rPr>
          <w:i/>
          <w:iCs/>
        </w:rPr>
        <w:t>Writing Themselves in 4</w:t>
      </w:r>
      <w:r>
        <w:rPr>
          <w:i/>
          <w:iCs/>
        </w:rPr>
        <w:t xml:space="preserve"> </w:t>
      </w:r>
      <w:r>
        <w:t>attended secondary school in the past 12 months. This was followed by one-quarter who attended university (25.1%; n = 627), 10.3% (n = 257) who attended TAFE, 6.0% (n = 150) who were not in any form of schooling or other education, 4.2% (n = 106) who were engaged in an alternative education program, 1.2% (n = 31) who attended a private college, 0.5% (n = 13) who were in a private needs school and 2.3% (n = 57) who attended another educational institution.</w:t>
      </w:r>
    </w:p>
    <w:p w14:paraId="592E4C90" w14:textId="77777777" w:rsidR="004E2605" w:rsidRDefault="004E2605">
      <w:pPr>
        <w:spacing w:before="0"/>
      </w:pPr>
      <w:r>
        <w:br w:type="page"/>
      </w:r>
    </w:p>
    <w:p w14:paraId="2B2A2EBA" w14:textId="25BB5087" w:rsidR="009D0006" w:rsidRPr="002306D8" w:rsidRDefault="009D0006" w:rsidP="00153892">
      <w:pPr>
        <w:pStyle w:val="Heading3Numbered"/>
      </w:pPr>
      <w:bookmarkStart w:id="326" w:name="_Toc115968537"/>
      <w:r w:rsidRPr="002306D8">
        <w:t>Highe</w:t>
      </w:r>
      <w:r w:rsidRPr="002306D8">
        <w:lastRenderedPageBreak/>
        <w:t>st level of educational attainment – adults aged 18+ years</w:t>
      </w:r>
      <w:bookmarkEnd w:id="326"/>
    </w:p>
    <w:p w14:paraId="0C4F5676" w14:textId="77777777" w:rsidR="009D0006" w:rsidRPr="002306D8" w:rsidRDefault="009D0006" w:rsidP="007F1E90">
      <w:pPr>
        <w:pStyle w:val="Tableheading"/>
      </w:pPr>
      <w:bookmarkStart w:id="327" w:name="_Toc117062738"/>
      <w:bookmarkStart w:id="328" w:name="_Toc119651423"/>
      <w:r w:rsidRPr="002306D8">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Highest e</w:t>
      </w:r>
      <w:r w:rsidRPr="002306D8">
        <w:t xml:space="preserve">ducational qualification </w:t>
      </w:r>
      <w:r>
        <w:t xml:space="preserve">of adults with disability aged 18+ years </w:t>
      </w:r>
      <w:r w:rsidRPr="002306D8">
        <w:t>(n = 2628)</w:t>
      </w:r>
      <w:bookmarkEnd w:id="327"/>
      <w:bookmarkEnd w:id="328"/>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7D695C8B" w14:textId="77777777" w:rsidTr="007F1E90">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5AB4ABE1" w14:textId="77777777" w:rsidR="009D0006" w:rsidRPr="001C2DF4" w:rsidRDefault="009D0006" w:rsidP="007F1E90">
            <w:pPr>
              <w:pStyle w:val="Tableheader"/>
            </w:pPr>
            <w:r w:rsidRPr="001C2DF4">
              <w:t>Education</w:t>
            </w:r>
          </w:p>
        </w:tc>
        <w:tc>
          <w:tcPr>
            <w:tcW w:w="1559" w:type="dxa"/>
            <w:noWrap/>
            <w:hideMark/>
          </w:tcPr>
          <w:p w14:paraId="6032CDB9" w14:textId="77777777" w:rsidR="009D0006" w:rsidRPr="001C2DF4" w:rsidRDefault="009D0006" w:rsidP="007F1E90">
            <w:pPr>
              <w:pStyle w:val="Tableheader"/>
            </w:pPr>
            <w:r>
              <w:t>n</w:t>
            </w:r>
          </w:p>
        </w:tc>
        <w:tc>
          <w:tcPr>
            <w:tcW w:w="1559" w:type="dxa"/>
            <w:noWrap/>
            <w:hideMark/>
          </w:tcPr>
          <w:p w14:paraId="180B1D22" w14:textId="77777777" w:rsidR="009D0006" w:rsidRPr="001C2DF4" w:rsidRDefault="009D0006" w:rsidP="007F1E90">
            <w:pPr>
              <w:pStyle w:val="Tableheader"/>
            </w:pPr>
            <w:r w:rsidRPr="001C2DF4">
              <w:t>%</w:t>
            </w:r>
          </w:p>
        </w:tc>
      </w:tr>
      <w:tr w:rsidR="009D0006" w:rsidRPr="001C2DF4" w14:paraId="61F0ECAC"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E102D5E" w14:textId="77777777" w:rsidR="009D0006" w:rsidRPr="001C2DF4" w:rsidRDefault="009D0006" w:rsidP="007F1E90">
            <w:pPr>
              <w:pStyle w:val="Tabletext"/>
            </w:pPr>
            <w:r w:rsidRPr="001C2DF4">
              <w:t>Secondary or below</w:t>
            </w:r>
          </w:p>
        </w:tc>
        <w:tc>
          <w:tcPr>
            <w:tcW w:w="1559" w:type="dxa"/>
            <w:noWrap/>
          </w:tcPr>
          <w:p w14:paraId="5DA94624" w14:textId="77777777" w:rsidR="009D0006" w:rsidRPr="001C2DF4" w:rsidRDefault="009D0006" w:rsidP="007F1E90">
            <w:pPr>
              <w:pStyle w:val="Tabletext"/>
            </w:pPr>
            <w:r w:rsidRPr="001C2DF4">
              <w:t>778</w:t>
            </w:r>
          </w:p>
        </w:tc>
        <w:tc>
          <w:tcPr>
            <w:tcW w:w="1559" w:type="dxa"/>
            <w:noWrap/>
          </w:tcPr>
          <w:p w14:paraId="41F4A87F" w14:textId="77777777" w:rsidR="009D0006" w:rsidRPr="001C2DF4" w:rsidRDefault="009D0006" w:rsidP="007F1E90">
            <w:pPr>
              <w:pStyle w:val="Tabletext"/>
            </w:pPr>
            <w:r w:rsidRPr="001C2DF4">
              <w:t>29.6</w:t>
            </w:r>
          </w:p>
        </w:tc>
      </w:tr>
      <w:tr w:rsidR="009D0006" w:rsidRPr="001C2DF4" w14:paraId="1F0812F5"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2B468D5" w14:textId="77777777" w:rsidR="009D0006" w:rsidRPr="001C2DF4" w:rsidRDefault="009D0006" w:rsidP="007F1E90">
            <w:pPr>
              <w:pStyle w:val="Tabletext"/>
            </w:pPr>
            <w:r w:rsidRPr="001C2DF4">
              <w:t>Non-university tertiary</w:t>
            </w:r>
          </w:p>
        </w:tc>
        <w:tc>
          <w:tcPr>
            <w:tcW w:w="1559" w:type="dxa"/>
            <w:noWrap/>
          </w:tcPr>
          <w:p w14:paraId="0E26B83B" w14:textId="77777777" w:rsidR="009D0006" w:rsidRPr="001C2DF4" w:rsidRDefault="009D0006" w:rsidP="007F1E90">
            <w:pPr>
              <w:pStyle w:val="Tabletext"/>
            </w:pPr>
            <w:r w:rsidRPr="001C2DF4">
              <w:t>727</w:t>
            </w:r>
          </w:p>
        </w:tc>
        <w:tc>
          <w:tcPr>
            <w:tcW w:w="1559" w:type="dxa"/>
            <w:noWrap/>
          </w:tcPr>
          <w:p w14:paraId="7E7664DB" w14:textId="77777777" w:rsidR="009D0006" w:rsidRPr="001C2DF4" w:rsidRDefault="009D0006" w:rsidP="007F1E90">
            <w:pPr>
              <w:pStyle w:val="Tabletext"/>
            </w:pPr>
            <w:r w:rsidRPr="001C2DF4">
              <w:t>27.7</w:t>
            </w:r>
          </w:p>
        </w:tc>
      </w:tr>
      <w:tr w:rsidR="009D0006" w:rsidRPr="001C2DF4" w14:paraId="1F596E48"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3CBFBFA" w14:textId="77777777" w:rsidR="009D0006" w:rsidRPr="001C2DF4" w:rsidRDefault="009D0006" w:rsidP="007F1E90">
            <w:pPr>
              <w:pStyle w:val="Tabletext"/>
            </w:pPr>
            <w:r w:rsidRPr="001C2DF4">
              <w:t>University</w:t>
            </w:r>
            <w:r>
              <w:t xml:space="preserve"> – </w:t>
            </w:r>
            <w:r w:rsidRPr="001C2DF4">
              <w:t>undergraduate</w:t>
            </w:r>
          </w:p>
        </w:tc>
        <w:tc>
          <w:tcPr>
            <w:tcW w:w="1559" w:type="dxa"/>
            <w:noWrap/>
          </w:tcPr>
          <w:p w14:paraId="138E576D" w14:textId="77777777" w:rsidR="009D0006" w:rsidRPr="001C2DF4" w:rsidRDefault="009D0006" w:rsidP="007F1E90">
            <w:pPr>
              <w:pStyle w:val="Tabletext"/>
            </w:pPr>
            <w:r w:rsidRPr="001C2DF4">
              <w:t>676</w:t>
            </w:r>
          </w:p>
        </w:tc>
        <w:tc>
          <w:tcPr>
            <w:tcW w:w="1559" w:type="dxa"/>
            <w:noWrap/>
          </w:tcPr>
          <w:p w14:paraId="56BCAD83" w14:textId="77777777" w:rsidR="009D0006" w:rsidRPr="001C2DF4" w:rsidRDefault="009D0006" w:rsidP="007F1E90">
            <w:pPr>
              <w:pStyle w:val="Tabletext"/>
            </w:pPr>
            <w:r w:rsidRPr="001C2DF4">
              <w:t>25.7</w:t>
            </w:r>
          </w:p>
        </w:tc>
      </w:tr>
      <w:tr w:rsidR="009D0006" w:rsidRPr="001C2DF4" w14:paraId="2CBCBCCF"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4E88504" w14:textId="77777777" w:rsidR="009D0006" w:rsidRPr="001C2DF4" w:rsidRDefault="009D0006" w:rsidP="007F1E90">
            <w:pPr>
              <w:pStyle w:val="Tabletext"/>
            </w:pPr>
            <w:r w:rsidRPr="001C2DF4">
              <w:t>University</w:t>
            </w:r>
            <w:r>
              <w:t xml:space="preserve"> – </w:t>
            </w:r>
            <w:r w:rsidRPr="001C2DF4">
              <w:t>postgraduate</w:t>
            </w:r>
          </w:p>
        </w:tc>
        <w:tc>
          <w:tcPr>
            <w:tcW w:w="1559" w:type="dxa"/>
            <w:noWrap/>
          </w:tcPr>
          <w:p w14:paraId="2743C186" w14:textId="77777777" w:rsidR="009D0006" w:rsidRPr="001C2DF4" w:rsidRDefault="009D0006" w:rsidP="007F1E90">
            <w:pPr>
              <w:pStyle w:val="Tabletext"/>
            </w:pPr>
            <w:r w:rsidRPr="001C2DF4">
              <w:t>447</w:t>
            </w:r>
          </w:p>
        </w:tc>
        <w:tc>
          <w:tcPr>
            <w:tcW w:w="1559" w:type="dxa"/>
            <w:noWrap/>
          </w:tcPr>
          <w:p w14:paraId="6D63E7B3" w14:textId="77777777" w:rsidR="009D0006" w:rsidRPr="001C2DF4" w:rsidRDefault="009D0006" w:rsidP="007F1E90">
            <w:pPr>
              <w:pStyle w:val="Tabletext"/>
            </w:pPr>
            <w:r w:rsidRPr="001C2DF4">
              <w:t>17.0</w:t>
            </w:r>
          </w:p>
        </w:tc>
      </w:tr>
    </w:tbl>
    <w:p w14:paraId="34429C47" w14:textId="77777777" w:rsidR="009D0006" w:rsidRDefault="009D0006" w:rsidP="003F4AC6">
      <w:pPr>
        <w:spacing w:before="360"/>
      </w:pPr>
      <w:r>
        <w:t>As displayed in Table 20, 42.7</w:t>
      </w:r>
      <w:r w:rsidRPr="00692BC1">
        <w:t xml:space="preserve">% of </w:t>
      </w:r>
      <w:r w:rsidRPr="00692BC1">
        <w:rPr>
          <w:bCs/>
          <w:i/>
          <w:iCs/>
        </w:rPr>
        <w:t>Private Lives 3</w:t>
      </w:r>
      <w:r>
        <w:rPr>
          <w:bCs/>
          <w:i/>
          <w:iCs/>
        </w:rPr>
        <w:t xml:space="preserve"> </w:t>
      </w:r>
      <w:r w:rsidRPr="00692BC1">
        <w:t xml:space="preserve">participants with disability reported attaining a bachelor’s degree or above. This is higher than </w:t>
      </w:r>
      <w:r>
        <w:t xml:space="preserve">the 17.7% </w:t>
      </w:r>
      <w:r w:rsidRPr="00692BC1">
        <w:t>among the general population</w:t>
      </w:r>
      <w:r w:rsidRPr="00692BC1">
        <w:fldChar w:fldCharType="begin"/>
      </w:r>
      <w:r>
        <w:instrText xml:space="preserve"> ADDIN ZOTERO_ITEM CSL_CITATION {"citationID":"yYTEEbkw","properties":{"formattedCitation":"(28)","plainCitation":"(28)","noteIndex":0},"citationItems":[{"id":"hc6yy1rM/MWarDRpn","uris":["http://zotero.org/users/4948307/items/7YAIST8S"],"itemData":{"id":628,"type":"webpage","abstract":"This is a summary from publication Key statistics which contains key figures, key points and notes from the publication.","language":"en","note":"source: www.abs.gov.au\npublisher: c=AU; o=Commonwealth of Australia; ou=Australian Bureau of Statistics","title":"Disability, Ageing and Carers, Australia: Summary of Findings","URL":"https://www.abs.gov.au/ausstats/abs@.nsf/0/C258C88A7AA5A87ECA2568A9001393E8?Opendocument","author":[{"family":"Australian Bureau of Statistics","given":""}],"accessed":{"date-parts":[["2020",5,19]]},"issued":{"date-parts":[["2018"]]}}}],"schema":"https://github.com/citation-style-language/schema/raw/master/csl-citation.json"} </w:instrText>
      </w:r>
      <w:r w:rsidRPr="00692BC1">
        <w:fldChar w:fldCharType="separate"/>
      </w:r>
      <w:r>
        <w:rPr>
          <w:lang w:val="en-GB"/>
        </w:rPr>
        <w:t>(28)</w:t>
      </w:r>
      <w:r w:rsidRPr="00692BC1">
        <w:fldChar w:fldCharType="end"/>
      </w:r>
      <w:r w:rsidRPr="00692BC1">
        <w:t xml:space="preserve">, though lower than the 59.0% of </w:t>
      </w:r>
      <w:r w:rsidRPr="002306D8">
        <w:rPr>
          <w:i/>
          <w:iCs/>
        </w:rPr>
        <w:t>Private Lives 3</w:t>
      </w:r>
      <w:r w:rsidRPr="00692BC1">
        <w:t xml:space="preserve"> participants without disability, possibly reflecting the 50.7% of participants with disability reporting that ‘a long-term health condition or disability affects their participation in education’</w:t>
      </w:r>
      <w:r>
        <w:t xml:space="preserve">. In any case, this sample of LGBTQA+ adults with disability was more highly educated than the general population.  </w:t>
      </w:r>
    </w:p>
    <w:p w14:paraId="1AEE4913" w14:textId="4FD8DB94" w:rsidR="009D0006" w:rsidRPr="00692BC1" w:rsidRDefault="009D0006" w:rsidP="00153892">
      <w:pPr>
        <w:pStyle w:val="Heading2Numbered"/>
      </w:pPr>
      <w:bookmarkStart w:id="329" w:name="_Toc115968538"/>
      <w:bookmarkStart w:id="330" w:name="_Toc119662412"/>
      <w:r w:rsidRPr="00692BC1">
        <w:t>Employment status</w:t>
      </w:r>
      <w:bookmarkEnd w:id="323"/>
      <w:bookmarkEnd w:id="324"/>
      <w:bookmarkEnd w:id="325"/>
      <w:bookmarkEnd w:id="329"/>
      <w:bookmarkEnd w:id="330"/>
    </w:p>
    <w:p w14:paraId="427627B5" w14:textId="77BA55E0" w:rsidR="009D0006" w:rsidRPr="002306D8" w:rsidRDefault="009D0006" w:rsidP="00153892">
      <w:pPr>
        <w:pStyle w:val="Heading3Numbered"/>
      </w:pPr>
      <w:bookmarkStart w:id="331" w:name="_Toc115968539"/>
      <w:bookmarkStart w:id="332" w:name="_Toc48137905"/>
      <w:r w:rsidRPr="002306D8">
        <w:t>Employment status in past 12 months – young people aged 14-21 years</w:t>
      </w:r>
      <w:bookmarkEnd w:id="331"/>
    </w:p>
    <w:p w14:paraId="49DE215F" w14:textId="5D9DF76D" w:rsidR="009D0006" w:rsidRPr="002306D8" w:rsidRDefault="009D0006" w:rsidP="007F1E90">
      <w:pPr>
        <w:pStyle w:val="Tableheading"/>
      </w:pPr>
      <w:bookmarkStart w:id="333" w:name="_Toc117062739"/>
      <w:bookmarkStart w:id="334" w:name="_Toc119651424"/>
      <w:r w:rsidRPr="002306D8">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xml:space="preserve">: </w:t>
      </w:r>
      <w:r w:rsidRPr="002306D8">
        <w:t>Employment status in past 12 months</w:t>
      </w:r>
      <w:bookmarkEnd w:id="332"/>
      <w:r w:rsidRPr="002306D8">
        <w:t xml:space="preserve"> </w:t>
      </w:r>
      <w:r>
        <w:t xml:space="preserve">of young people with disability aged 14-21 years </w:t>
      </w:r>
      <w:r w:rsidRPr="002306D8">
        <w:t>(n = 2498)</w:t>
      </w:r>
      <w:bookmarkEnd w:id="333"/>
      <w:bookmarkEnd w:id="334"/>
    </w:p>
    <w:tbl>
      <w:tblPr>
        <w:tblStyle w:val="RCTable"/>
        <w:tblW w:w="9864" w:type="dxa"/>
        <w:tblLook w:val="04A0" w:firstRow="1" w:lastRow="0" w:firstColumn="1" w:lastColumn="0" w:noHBand="0" w:noVBand="1"/>
      </w:tblPr>
      <w:tblGrid>
        <w:gridCol w:w="6746"/>
        <w:gridCol w:w="1559"/>
        <w:gridCol w:w="1559"/>
      </w:tblGrid>
      <w:tr w:rsidR="009D0006" w:rsidRPr="001C2DF4" w14:paraId="516529ED" w14:textId="77777777" w:rsidTr="007F1E90">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69B31273" w14:textId="77777777" w:rsidR="009D0006" w:rsidRPr="001C2DF4" w:rsidRDefault="009D0006" w:rsidP="007F1E90">
            <w:pPr>
              <w:pStyle w:val="Tableheader"/>
              <w:rPr>
                <w:lang w:val="en-US"/>
              </w:rPr>
            </w:pPr>
            <w:r w:rsidRPr="001C2DF4">
              <w:t>Employment</w:t>
            </w:r>
          </w:p>
        </w:tc>
        <w:tc>
          <w:tcPr>
            <w:tcW w:w="1559" w:type="dxa"/>
            <w:noWrap/>
            <w:hideMark/>
          </w:tcPr>
          <w:p w14:paraId="15D7B6EC" w14:textId="77777777" w:rsidR="009D0006" w:rsidRPr="001C2DF4" w:rsidRDefault="009D0006" w:rsidP="007F1E90">
            <w:pPr>
              <w:pStyle w:val="Tableheader"/>
              <w:rPr>
                <w:lang w:val="en-US"/>
              </w:rPr>
            </w:pPr>
            <w:r>
              <w:t>n</w:t>
            </w:r>
          </w:p>
        </w:tc>
        <w:tc>
          <w:tcPr>
            <w:tcW w:w="1559" w:type="dxa"/>
            <w:noWrap/>
            <w:hideMark/>
          </w:tcPr>
          <w:p w14:paraId="0F9139DA" w14:textId="77777777" w:rsidR="009D0006" w:rsidRPr="001C2DF4" w:rsidRDefault="009D0006" w:rsidP="007F1E90">
            <w:pPr>
              <w:pStyle w:val="Tableheader"/>
              <w:rPr>
                <w:lang w:val="en-US"/>
              </w:rPr>
            </w:pPr>
            <w:r w:rsidRPr="001C2DF4">
              <w:t>%</w:t>
            </w:r>
          </w:p>
        </w:tc>
      </w:tr>
      <w:tr w:rsidR="009D0006" w:rsidRPr="001C2DF4" w14:paraId="5ADD6EB6"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10638BF" w14:textId="77777777" w:rsidR="009D0006" w:rsidRPr="001C2DF4" w:rsidRDefault="009D0006" w:rsidP="007F1E90">
            <w:pPr>
              <w:pStyle w:val="Tabletext"/>
              <w:rPr>
                <w:lang w:val="en-US"/>
              </w:rPr>
            </w:pPr>
            <w:r w:rsidRPr="001C2DF4">
              <w:rPr>
                <w:lang w:val="en-US"/>
              </w:rPr>
              <w:t>No employment</w:t>
            </w:r>
          </w:p>
        </w:tc>
        <w:tc>
          <w:tcPr>
            <w:tcW w:w="1559" w:type="dxa"/>
            <w:noWrap/>
          </w:tcPr>
          <w:p w14:paraId="56BBD472" w14:textId="77777777" w:rsidR="009D0006" w:rsidRPr="001C2DF4" w:rsidRDefault="009D0006" w:rsidP="007F1E90">
            <w:pPr>
              <w:pStyle w:val="Tabletext"/>
              <w:rPr>
                <w:lang w:val="en-US"/>
              </w:rPr>
            </w:pPr>
            <w:r w:rsidRPr="001C2DF4">
              <w:t>1047</w:t>
            </w:r>
          </w:p>
        </w:tc>
        <w:tc>
          <w:tcPr>
            <w:tcW w:w="1559" w:type="dxa"/>
            <w:noWrap/>
          </w:tcPr>
          <w:p w14:paraId="7ED20A2D" w14:textId="77777777" w:rsidR="009D0006" w:rsidRPr="001C2DF4" w:rsidRDefault="009D0006" w:rsidP="007F1E90">
            <w:pPr>
              <w:pStyle w:val="Tabletext"/>
              <w:rPr>
                <w:lang w:val="en-US"/>
              </w:rPr>
            </w:pPr>
            <w:r w:rsidRPr="001C2DF4">
              <w:t>41.9</w:t>
            </w:r>
          </w:p>
        </w:tc>
      </w:tr>
      <w:tr w:rsidR="009D0006" w:rsidRPr="001C2DF4" w14:paraId="55CD9D4B"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BED1A73" w14:textId="77777777" w:rsidR="009D0006" w:rsidRPr="001C2DF4" w:rsidRDefault="009D0006" w:rsidP="007F1E90">
            <w:pPr>
              <w:pStyle w:val="Tabletext"/>
              <w:rPr>
                <w:lang w:val="en-US"/>
              </w:rPr>
            </w:pPr>
            <w:r w:rsidRPr="001C2DF4">
              <w:rPr>
                <w:lang w:val="en-US"/>
              </w:rPr>
              <w:t>Work (full-time)</w:t>
            </w:r>
          </w:p>
        </w:tc>
        <w:tc>
          <w:tcPr>
            <w:tcW w:w="1559" w:type="dxa"/>
            <w:noWrap/>
          </w:tcPr>
          <w:p w14:paraId="521CA1EA" w14:textId="77777777" w:rsidR="009D0006" w:rsidRPr="001C2DF4" w:rsidRDefault="009D0006" w:rsidP="007F1E90">
            <w:pPr>
              <w:pStyle w:val="Tabletext"/>
              <w:rPr>
                <w:lang w:val="en-US"/>
              </w:rPr>
            </w:pPr>
            <w:r w:rsidRPr="001C2DF4">
              <w:t>840</w:t>
            </w:r>
          </w:p>
        </w:tc>
        <w:tc>
          <w:tcPr>
            <w:tcW w:w="1559" w:type="dxa"/>
            <w:noWrap/>
          </w:tcPr>
          <w:p w14:paraId="2F7C7CD4" w14:textId="77777777" w:rsidR="009D0006" w:rsidRPr="001C2DF4" w:rsidRDefault="009D0006" w:rsidP="007F1E90">
            <w:pPr>
              <w:pStyle w:val="Tabletext"/>
              <w:rPr>
                <w:lang w:val="en-US"/>
              </w:rPr>
            </w:pPr>
            <w:r w:rsidRPr="001C2DF4">
              <w:t>33.6</w:t>
            </w:r>
          </w:p>
        </w:tc>
      </w:tr>
      <w:tr w:rsidR="009D0006" w:rsidRPr="001C2DF4" w14:paraId="0E22A2B5"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C181CA3" w14:textId="77777777" w:rsidR="009D0006" w:rsidRPr="001C2DF4" w:rsidRDefault="009D0006" w:rsidP="007F1E90">
            <w:pPr>
              <w:pStyle w:val="Tabletext"/>
              <w:rPr>
                <w:lang w:val="en-US"/>
              </w:rPr>
            </w:pPr>
            <w:r w:rsidRPr="001C2DF4">
              <w:rPr>
                <w:lang w:val="en-US"/>
              </w:rPr>
              <w:t>Work (casual)</w:t>
            </w:r>
          </w:p>
        </w:tc>
        <w:tc>
          <w:tcPr>
            <w:tcW w:w="1559" w:type="dxa"/>
            <w:noWrap/>
          </w:tcPr>
          <w:p w14:paraId="540F839D" w14:textId="77777777" w:rsidR="009D0006" w:rsidRPr="001C2DF4" w:rsidRDefault="009D0006" w:rsidP="007F1E90">
            <w:pPr>
              <w:pStyle w:val="Tabletext"/>
              <w:rPr>
                <w:lang w:val="en-US"/>
              </w:rPr>
            </w:pPr>
            <w:r w:rsidRPr="001C2DF4">
              <w:t>445</w:t>
            </w:r>
          </w:p>
        </w:tc>
        <w:tc>
          <w:tcPr>
            <w:tcW w:w="1559" w:type="dxa"/>
            <w:noWrap/>
          </w:tcPr>
          <w:p w14:paraId="7238F52D" w14:textId="77777777" w:rsidR="009D0006" w:rsidRPr="001C2DF4" w:rsidRDefault="009D0006" w:rsidP="007F1E90">
            <w:pPr>
              <w:pStyle w:val="Tabletext"/>
              <w:rPr>
                <w:lang w:val="en-US"/>
              </w:rPr>
            </w:pPr>
            <w:r w:rsidRPr="001C2DF4">
              <w:t>17.8</w:t>
            </w:r>
          </w:p>
        </w:tc>
      </w:tr>
      <w:tr w:rsidR="009D0006" w:rsidRPr="001C2DF4" w14:paraId="24992728"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1C8A7D5" w14:textId="77777777" w:rsidR="009D0006" w:rsidRPr="001C2DF4" w:rsidRDefault="009D0006" w:rsidP="007F1E90">
            <w:pPr>
              <w:pStyle w:val="Tabletext"/>
              <w:rPr>
                <w:lang w:val="en-US"/>
              </w:rPr>
            </w:pPr>
            <w:r w:rsidRPr="001C2DF4">
              <w:rPr>
                <w:lang w:val="en-US"/>
              </w:rPr>
              <w:t>Work (part-time)</w:t>
            </w:r>
          </w:p>
        </w:tc>
        <w:tc>
          <w:tcPr>
            <w:tcW w:w="1559" w:type="dxa"/>
            <w:noWrap/>
          </w:tcPr>
          <w:p w14:paraId="69DB8B6A" w14:textId="77777777" w:rsidR="009D0006" w:rsidRPr="001C2DF4" w:rsidRDefault="009D0006" w:rsidP="007F1E90">
            <w:pPr>
              <w:pStyle w:val="Tabletext"/>
              <w:rPr>
                <w:lang w:val="en-US"/>
              </w:rPr>
            </w:pPr>
            <w:r w:rsidRPr="001C2DF4">
              <w:t>77</w:t>
            </w:r>
          </w:p>
        </w:tc>
        <w:tc>
          <w:tcPr>
            <w:tcW w:w="1559" w:type="dxa"/>
            <w:noWrap/>
          </w:tcPr>
          <w:p w14:paraId="26805712" w14:textId="77777777" w:rsidR="009D0006" w:rsidRPr="001C2DF4" w:rsidRDefault="009D0006" w:rsidP="007F1E90">
            <w:pPr>
              <w:pStyle w:val="Tabletext"/>
              <w:rPr>
                <w:lang w:val="en-US"/>
              </w:rPr>
            </w:pPr>
            <w:r w:rsidRPr="001C2DF4">
              <w:t>3.1</w:t>
            </w:r>
          </w:p>
        </w:tc>
      </w:tr>
      <w:tr w:rsidR="009D0006" w:rsidRPr="001C2DF4" w14:paraId="40F2F5C8"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27FE64D" w14:textId="77777777" w:rsidR="009D0006" w:rsidRPr="001C2DF4" w:rsidRDefault="009D0006" w:rsidP="007F1E90">
            <w:pPr>
              <w:pStyle w:val="Tabletext"/>
              <w:rPr>
                <w:lang w:val="en-US"/>
              </w:rPr>
            </w:pPr>
            <w:r w:rsidRPr="001C2DF4">
              <w:rPr>
                <w:lang w:val="en-US"/>
              </w:rPr>
              <w:t>Apprenticeship</w:t>
            </w:r>
          </w:p>
        </w:tc>
        <w:tc>
          <w:tcPr>
            <w:tcW w:w="1559" w:type="dxa"/>
            <w:noWrap/>
          </w:tcPr>
          <w:p w14:paraId="1FB2D75D" w14:textId="77777777" w:rsidR="009D0006" w:rsidRPr="001C2DF4" w:rsidRDefault="009D0006" w:rsidP="007F1E90">
            <w:pPr>
              <w:pStyle w:val="Tabletext"/>
              <w:rPr>
                <w:lang w:val="en-US"/>
              </w:rPr>
            </w:pPr>
            <w:r w:rsidRPr="001C2DF4">
              <w:t>28</w:t>
            </w:r>
          </w:p>
        </w:tc>
        <w:tc>
          <w:tcPr>
            <w:tcW w:w="1559" w:type="dxa"/>
            <w:noWrap/>
          </w:tcPr>
          <w:p w14:paraId="2AFCD7E3" w14:textId="77777777" w:rsidR="009D0006" w:rsidRPr="001C2DF4" w:rsidRDefault="009D0006" w:rsidP="007F1E90">
            <w:pPr>
              <w:pStyle w:val="Tabletext"/>
              <w:rPr>
                <w:lang w:val="en-US"/>
              </w:rPr>
            </w:pPr>
            <w:r w:rsidRPr="001C2DF4">
              <w:t>1.1</w:t>
            </w:r>
          </w:p>
        </w:tc>
      </w:tr>
      <w:tr w:rsidR="009D0006" w:rsidRPr="001C2DF4" w14:paraId="5238AF1C"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3CBDD16" w14:textId="77777777" w:rsidR="009D0006" w:rsidRPr="001C2DF4" w:rsidRDefault="009D0006" w:rsidP="00466C21">
            <w:pPr>
              <w:rPr>
                <w:rFonts w:ascii="Roboto" w:hAnsi="Roboto"/>
                <w:sz w:val="22"/>
                <w:lang w:val="en-US"/>
              </w:rPr>
            </w:pPr>
            <w:r w:rsidRPr="001C2DF4">
              <w:rPr>
                <w:rFonts w:ascii="Roboto" w:hAnsi="Roboto"/>
                <w:sz w:val="22"/>
                <w:lang w:val="en-US"/>
              </w:rPr>
              <w:t>Other</w:t>
            </w:r>
          </w:p>
        </w:tc>
        <w:tc>
          <w:tcPr>
            <w:tcW w:w="1559" w:type="dxa"/>
            <w:noWrap/>
          </w:tcPr>
          <w:p w14:paraId="7EED7040" w14:textId="77777777" w:rsidR="009D0006" w:rsidRPr="001C2DF4" w:rsidRDefault="009D0006" w:rsidP="00466C21">
            <w:pPr>
              <w:jc w:val="right"/>
              <w:rPr>
                <w:rFonts w:ascii="Roboto" w:hAnsi="Roboto"/>
                <w:sz w:val="22"/>
                <w:lang w:val="en-US"/>
              </w:rPr>
            </w:pPr>
            <w:r w:rsidRPr="001C2DF4">
              <w:rPr>
                <w:rFonts w:ascii="Roboto" w:hAnsi="Roboto"/>
                <w:sz w:val="22"/>
              </w:rPr>
              <w:t>61</w:t>
            </w:r>
          </w:p>
        </w:tc>
        <w:tc>
          <w:tcPr>
            <w:tcW w:w="1559" w:type="dxa"/>
            <w:noWrap/>
          </w:tcPr>
          <w:p w14:paraId="75F85097" w14:textId="77777777" w:rsidR="009D0006" w:rsidRPr="001C2DF4" w:rsidRDefault="009D0006" w:rsidP="00466C21">
            <w:pPr>
              <w:jc w:val="right"/>
              <w:rPr>
                <w:rFonts w:ascii="Roboto" w:hAnsi="Roboto"/>
                <w:sz w:val="22"/>
                <w:lang w:val="en-US"/>
              </w:rPr>
            </w:pPr>
            <w:r w:rsidRPr="001C2DF4">
              <w:rPr>
                <w:rFonts w:ascii="Roboto" w:hAnsi="Roboto"/>
                <w:sz w:val="22"/>
              </w:rPr>
              <w:t>2.4</w:t>
            </w:r>
          </w:p>
        </w:tc>
      </w:tr>
    </w:tbl>
    <w:p w14:paraId="711CC35D" w14:textId="77777777" w:rsidR="009D0006" w:rsidRPr="00692BC1" w:rsidRDefault="009D0006" w:rsidP="003F4AC6">
      <w:pPr>
        <w:spacing w:before="360"/>
      </w:pPr>
      <w:r>
        <w:t>As di</w:t>
      </w:r>
      <w:r>
        <w:lastRenderedPageBreak/>
        <w:t>splayed in Table 21, 54.5</w:t>
      </w:r>
      <w:r w:rsidRPr="0014508F">
        <w:t xml:space="preserve">% (n = </w:t>
      </w:r>
      <w:r>
        <w:t>1362</w:t>
      </w:r>
      <w:r w:rsidRPr="0014508F">
        <w:t>) of participants</w:t>
      </w:r>
      <w:r>
        <w:t xml:space="preserve"> </w:t>
      </w:r>
      <w:r w:rsidRPr="00692BC1">
        <w:t xml:space="preserve">with disability in </w:t>
      </w:r>
      <w:r w:rsidRPr="00692BC1">
        <w:rPr>
          <w:i/>
          <w:iCs/>
        </w:rPr>
        <w:t>Writing Themselves in 4</w:t>
      </w:r>
      <w:r w:rsidRPr="00692BC1">
        <w:t xml:space="preserve"> </w:t>
      </w:r>
      <w:r w:rsidRPr="0014508F">
        <w:t>were engaged in full</w:t>
      </w:r>
      <w:r>
        <w:t>-</w:t>
      </w:r>
      <w:r w:rsidRPr="0014508F">
        <w:t>time</w:t>
      </w:r>
      <w:r>
        <w:t xml:space="preserve">, </w:t>
      </w:r>
      <w:r w:rsidRPr="0014508F">
        <w:t xml:space="preserve">part-time </w:t>
      </w:r>
      <w:r>
        <w:t xml:space="preserve">or casual </w:t>
      </w:r>
      <w:r w:rsidRPr="0014508F">
        <w:t xml:space="preserve">employment. </w:t>
      </w:r>
      <w:r>
        <w:t>Overall, two-fifths (41.9%; n = 1097) reported no employment and it is worth noting that many participants were in school and not necessarily in the labour force. This was followed by one-third (33.6%; n = 840) who reported engaging in full-time work, 17.8% (n = 445) in casual work, 3.1% (n = 77) in part-time work, 1.1% (n = 28) in an apprenticeship and 2.4% (n = 61) in other employment.</w:t>
      </w:r>
    </w:p>
    <w:p w14:paraId="777FAD82" w14:textId="427D73A0" w:rsidR="009D0006" w:rsidRPr="002306D8" w:rsidRDefault="009D0006" w:rsidP="00153892">
      <w:pPr>
        <w:pStyle w:val="Heading3Numbered"/>
      </w:pPr>
      <w:bookmarkStart w:id="335" w:name="_Toc115968540"/>
      <w:bookmarkStart w:id="336" w:name="_Toc40178132"/>
      <w:bookmarkStart w:id="337" w:name="_Toc48137727"/>
      <w:bookmarkStart w:id="338" w:name="_Toc58252059"/>
      <w:r w:rsidRPr="002306D8">
        <w:t xml:space="preserve">Current employment </w:t>
      </w:r>
      <w:r>
        <w:t xml:space="preserve">status </w:t>
      </w:r>
      <w:r w:rsidRPr="002306D8">
        <w:t>– adults aged 18+ years</w:t>
      </w:r>
      <w:bookmarkEnd w:id="335"/>
    </w:p>
    <w:p w14:paraId="783055A0" w14:textId="77777777" w:rsidR="009D0006" w:rsidRPr="002306D8" w:rsidRDefault="009D0006" w:rsidP="007F1E90">
      <w:pPr>
        <w:pStyle w:val="Tableheading"/>
      </w:pPr>
      <w:bookmarkStart w:id="339" w:name="_Toc117062740"/>
      <w:bookmarkStart w:id="340" w:name="_Toc119651425"/>
      <w:r w:rsidRPr="002306D8">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Current e</w:t>
      </w:r>
      <w:r w:rsidRPr="002306D8">
        <w:t>mployment</w:t>
      </w:r>
      <w:r>
        <w:t xml:space="preserve"> status of adults with disability aged 18+ years</w:t>
      </w:r>
      <w:r w:rsidRPr="002306D8">
        <w:t xml:space="preserve"> (n = 2622)</w:t>
      </w:r>
      <w:bookmarkEnd w:id="339"/>
      <w:bookmarkEnd w:id="340"/>
    </w:p>
    <w:tbl>
      <w:tblPr>
        <w:tblStyle w:val="RCTable"/>
        <w:tblW w:w="9864" w:type="dxa"/>
        <w:tblLook w:val="04A0" w:firstRow="1" w:lastRow="0" w:firstColumn="1" w:lastColumn="0" w:noHBand="0" w:noVBand="1"/>
      </w:tblPr>
      <w:tblGrid>
        <w:gridCol w:w="6746"/>
        <w:gridCol w:w="1559"/>
        <w:gridCol w:w="1559"/>
      </w:tblGrid>
      <w:tr w:rsidR="009D0006" w:rsidRPr="001C2DF4" w14:paraId="22248E5F" w14:textId="77777777" w:rsidTr="007F1E90">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7151CFA3" w14:textId="77777777" w:rsidR="009D0006" w:rsidRPr="001C2DF4" w:rsidRDefault="009D0006" w:rsidP="007F1E90">
            <w:pPr>
              <w:pStyle w:val="Tableheader"/>
            </w:pPr>
            <w:r w:rsidRPr="001C2DF4">
              <w:t>Employment</w:t>
            </w:r>
          </w:p>
        </w:tc>
        <w:tc>
          <w:tcPr>
            <w:tcW w:w="1559" w:type="dxa"/>
            <w:noWrap/>
            <w:hideMark/>
          </w:tcPr>
          <w:p w14:paraId="6A978B6F" w14:textId="77777777" w:rsidR="009D0006" w:rsidRPr="001C2DF4" w:rsidRDefault="009D0006" w:rsidP="007F1E90">
            <w:pPr>
              <w:pStyle w:val="Tableheader"/>
            </w:pPr>
            <w:r>
              <w:t>n</w:t>
            </w:r>
          </w:p>
        </w:tc>
        <w:tc>
          <w:tcPr>
            <w:tcW w:w="1559" w:type="dxa"/>
            <w:noWrap/>
            <w:hideMark/>
          </w:tcPr>
          <w:p w14:paraId="52CD1ED4" w14:textId="77777777" w:rsidR="009D0006" w:rsidRPr="001C2DF4" w:rsidRDefault="009D0006" w:rsidP="007F1E90">
            <w:pPr>
              <w:pStyle w:val="Tableheader"/>
            </w:pPr>
            <w:r w:rsidRPr="001C2DF4">
              <w:t>%</w:t>
            </w:r>
          </w:p>
        </w:tc>
      </w:tr>
      <w:tr w:rsidR="009D0006" w:rsidRPr="001C2DF4" w14:paraId="0C43BA5B"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F76A6CE" w14:textId="77777777" w:rsidR="009D0006" w:rsidRPr="001C2DF4" w:rsidRDefault="009D0006" w:rsidP="003113F7">
            <w:pPr>
              <w:pStyle w:val="Tabletext"/>
            </w:pPr>
            <w:r w:rsidRPr="001C2DF4">
              <w:t>Unemployed or unable to work</w:t>
            </w:r>
          </w:p>
        </w:tc>
        <w:tc>
          <w:tcPr>
            <w:tcW w:w="1559" w:type="dxa"/>
            <w:noWrap/>
          </w:tcPr>
          <w:p w14:paraId="35EA13F0" w14:textId="77777777" w:rsidR="009D0006" w:rsidRPr="001C2DF4" w:rsidRDefault="009D0006" w:rsidP="003113F7">
            <w:pPr>
              <w:pStyle w:val="Tabletext"/>
            </w:pPr>
            <w:r w:rsidRPr="001C2DF4">
              <w:t>758</w:t>
            </w:r>
          </w:p>
        </w:tc>
        <w:tc>
          <w:tcPr>
            <w:tcW w:w="1559" w:type="dxa"/>
            <w:noWrap/>
          </w:tcPr>
          <w:p w14:paraId="700BB5A0" w14:textId="77777777" w:rsidR="009D0006" w:rsidRPr="001C2DF4" w:rsidRDefault="009D0006" w:rsidP="003113F7">
            <w:pPr>
              <w:pStyle w:val="Tabletext"/>
            </w:pPr>
            <w:r w:rsidRPr="001C2DF4">
              <w:t>28.9</w:t>
            </w:r>
          </w:p>
        </w:tc>
      </w:tr>
      <w:tr w:rsidR="009D0006" w:rsidRPr="001C2DF4" w14:paraId="08ECBAE3"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1D50F905" w14:textId="77777777" w:rsidR="009D0006" w:rsidRPr="001C2DF4" w:rsidRDefault="009D0006" w:rsidP="003113F7">
            <w:pPr>
              <w:pStyle w:val="Tabletext"/>
            </w:pPr>
            <w:r w:rsidRPr="001C2DF4">
              <w:t>Full-time employment</w:t>
            </w:r>
          </w:p>
        </w:tc>
        <w:tc>
          <w:tcPr>
            <w:tcW w:w="1559" w:type="dxa"/>
            <w:noWrap/>
          </w:tcPr>
          <w:p w14:paraId="466E04FD" w14:textId="77777777" w:rsidR="009D0006" w:rsidRPr="001C2DF4" w:rsidRDefault="009D0006" w:rsidP="003113F7">
            <w:pPr>
              <w:pStyle w:val="Tabletext"/>
            </w:pPr>
            <w:r w:rsidRPr="001C2DF4">
              <w:t>661</w:t>
            </w:r>
          </w:p>
        </w:tc>
        <w:tc>
          <w:tcPr>
            <w:tcW w:w="1559" w:type="dxa"/>
            <w:noWrap/>
          </w:tcPr>
          <w:p w14:paraId="05C24564" w14:textId="77777777" w:rsidR="009D0006" w:rsidRPr="001C2DF4" w:rsidRDefault="009D0006" w:rsidP="003113F7">
            <w:pPr>
              <w:pStyle w:val="Tabletext"/>
            </w:pPr>
            <w:r w:rsidRPr="001C2DF4">
              <w:t>25.2</w:t>
            </w:r>
          </w:p>
        </w:tc>
      </w:tr>
      <w:tr w:rsidR="009D0006" w:rsidRPr="001C2DF4" w14:paraId="7053E28A"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CCA5AB9" w14:textId="77777777" w:rsidR="009D0006" w:rsidRPr="001C2DF4" w:rsidRDefault="009D0006" w:rsidP="003113F7">
            <w:pPr>
              <w:pStyle w:val="Tabletext"/>
            </w:pPr>
            <w:r w:rsidRPr="001C2DF4">
              <w:t xml:space="preserve">Studying full-time </w:t>
            </w:r>
          </w:p>
        </w:tc>
        <w:tc>
          <w:tcPr>
            <w:tcW w:w="1559" w:type="dxa"/>
            <w:noWrap/>
          </w:tcPr>
          <w:p w14:paraId="7A075740" w14:textId="77777777" w:rsidR="009D0006" w:rsidRPr="001C2DF4" w:rsidRDefault="009D0006" w:rsidP="003113F7">
            <w:pPr>
              <w:pStyle w:val="Tabletext"/>
            </w:pPr>
            <w:r w:rsidRPr="001C2DF4">
              <w:t>519</w:t>
            </w:r>
          </w:p>
        </w:tc>
        <w:tc>
          <w:tcPr>
            <w:tcW w:w="1559" w:type="dxa"/>
            <w:noWrap/>
          </w:tcPr>
          <w:p w14:paraId="06AB2FC2" w14:textId="77777777" w:rsidR="009D0006" w:rsidRPr="001C2DF4" w:rsidRDefault="009D0006" w:rsidP="003113F7">
            <w:pPr>
              <w:pStyle w:val="Tabletext"/>
            </w:pPr>
            <w:r w:rsidRPr="001C2DF4">
              <w:t>19.8</w:t>
            </w:r>
          </w:p>
        </w:tc>
      </w:tr>
      <w:tr w:rsidR="009D0006" w:rsidRPr="001C2DF4" w14:paraId="368B1CEA"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D26C9C2" w14:textId="77777777" w:rsidR="009D0006" w:rsidRPr="001C2DF4" w:rsidRDefault="009D0006" w:rsidP="003113F7">
            <w:pPr>
              <w:pStyle w:val="Tabletext"/>
            </w:pPr>
            <w:r w:rsidRPr="001C2DF4">
              <w:t>Casual employment</w:t>
            </w:r>
          </w:p>
        </w:tc>
        <w:tc>
          <w:tcPr>
            <w:tcW w:w="1559" w:type="dxa"/>
            <w:noWrap/>
          </w:tcPr>
          <w:p w14:paraId="3416FA9C" w14:textId="77777777" w:rsidR="009D0006" w:rsidRPr="001C2DF4" w:rsidRDefault="009D0006" w:rsidP="003113F7">
            <w:pPr>
              <w:pStyle w:val="Tabletext"/>
            </w:pPr>
            <w:r w:rsidRPr="001C2DF4">
              <w:t>438</w:t>
            </w:r>
          </w:p>
        </w:tc>
        <w:tc>
          <w:tcPr>
            <w:tcW w:w="1559" w:type="dxa"/>
            <w:noWrap/>
          </w:tcPr>
          <w:p w14:paraId="7098F20F" w14:textId="77777777" w:rsidR="009D0006" w:rsidRPr="001C2DF4" w:rsidRDefault="009D0006" w:rsidP="003113F7">
            <w:pPr>
              <w:pStyle w:val="Tabletext"/>
            </w:pPr>
            <w:r w:rsidRPr="001C2DF4">
              <w:t>16.7</w:t>
            </w:r>
          </w:p>
        </w:tc>
      </w:tr>
      <w:tr w:rsidR="009D0006" w:rsidRPr="001C2DF4" w14:paraId="7290CC83"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1E11367" w14:textId="77777777" w:rsidR="009D0006" w:rsidRPr="001C2DF4" w:rsidRDefault="009D0006" w:rsidP="003113F7">
            <w:pPr>
              <w:pStyle w:val="Tabletext"/>
            </w:pPr>
            <w:r w:rsidRPr="001C2DF4">
              <w:t>Part-time employment</w:t>
            </w:r>
          </w:p>
        </w:tc>
        <w:tc>
          <w:tcPr>
            <w:tcW w:w="1559" w:type="dxa"/>
            <w:noWrap/>
          </w:tcPr>
          <w:p w14:paraId="02B21A75" w14:textId="77777777" w:rsidR="009D0006" w:rsidRPr="001C2DF4" w:rsidRDefault="009D0006" w:rsidP="003113F7">
            <w:pPr>
              <w:pStyle w:val="Tabletext"/>
            </w:pPr>
            <w:r w:rsidRPr="001C2DF4">
              <w:t>389</w:t>
            </w:r>
          </w:p>
        </w:tc>
        <w:tc>
          <w:tcPr>
            <w:tcW w:w="1559" w:type="dxa"/>
            <w:noWrap/>
          </w:tcPr>
          <w:p w14:paraId="05ADAB49" w14:textId="77777777" w:rsidR="009D0006" w:rsidRPr="001C2DF4" w:rsidRDefault="009D0006" w:rsidP="003113F7">
            <w:pPr>
              <w:pStyle w:val="Tabletext"/>
            </w:pPr>
            <w:r w:rsidRPr="001C2DF4">
              <w:t>14.8</w:t>
            </w:r>
          </w:p>
        </w:tc>
      </w:tr>
      <w:tr w:rsidR="009D0006" w:rsidRPr="001C2DF4" w14:paraId="4F70020A"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802A8E1" w14:textId="77777777" w:rsidR="009D0006" w:rsidRPr="001C2DF4" w:rsidRDefault="009D0006" w:rsidP="003113F7">
            <w:pPr>
              <w:pStyle w:val="Tabletext"/>
            </w:pPr>
            <w:r w:rsidRPr="001C2DF4">
              <w:t>Volunteering</w:t>
            </w:r>
          </w:p>
        </w:tc>
        <w:tc>
          <w:tcPr>
            <w:tcW w:w="1559" w:type="dxa"/>
            <w:noWrap/>
          </w:tcPr>
          <w:p w14:paraId="59158EA3" w14:textId="77777777" w:rsidR="009D0006" w:rsidRPr="001C2DF4" w:rsidRDefault="009D0006" w:rsidP="003113F7">
            <w:pPr>
              <w:pStyle w:val="Tabletext"/>
            </w:pPr>
            <w:r w:rsidRPr="001C2DF4">
              <w:t>318</w:t>
            </w:r>
          </w:p>
        </w:tc>
        <w:tc>
          <w:tcPr>
            <w:tcW w:w="1559" w:type="dxa"/>
            <w:noWrap/>
          </w:tcPr>
          <w:p w14:paraId="2B0DE752" w14:textId="77777777" w:rsidR="009D0006" w:rsidRPr="001C2DF4" w:rsidRDefault="009D0006" w:rsidP="003113F7">
            <w:pPr>
              <w:pStyle w:val="Tabletext"/>
            </w:pPr>
            <w:r w:rsidRPr="001C2DF4">
              <w:t>12.1</w:t>
            </w:r>
          </w:p>
        </w:tc>
      </w:tr>
      <w:tr w:rsidR="009D0006" w:rsidRPr="001C2DF4" w14:paraId="73C5B125"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70B1DE4" w14:textId="77777777" w:rsidR="009D0006" w:rsidRPr="001C2DF4" w:rsidRDefault="009D0006" w:rsidP="003113F7">
            <w:pPr>
              <w:pStyle w:val="Tabletext"/>
            </w:pPr>
            <w:r w:rsidRPr="001C2DF4">
              <w:t>Studying part-time</w:t>
            </w:r>
          </w:p>
        </w:tc>
        <w:tc>
          <w:tcPr>
            <w:tcW w:w="1559" w:type="dxa"/>
            <w:noWrap/>
          </w:tcPr>
          <w:p w14:paraId="208668A8" w14:textId="77777777" w:rsidR="009D0006" w:rsidRPr="001C2DF4" w:rsidRDefault="009D0006" w:rsidP="003113F7">
            <w:pPr>
              <w:pStyle w:val="Tabletext"/>
            </w:pPr>
            <w:r w:rsidRPr="001C2DF4">
              <w:t>268</w:t>
            </w:r>
          </w:p>
        </w:tc>
        <w:tc>
          <w:tcPr>
            <w:tcW w:w="1559" w:type="dxa"/>
            <w:noWrap/>
          </w:tcPr>
          <w:p w14:paraId="5F69AAAE" w14:textId="77777777" w:rsidR="009D0006" w:rsidRPr="001C2DF4" w:rsidRDefault="009D0006" w:rsidP="003113F7">
            <w:pPr>
              <w:pStyle w:val="Tabletext"/>
            </w:pPr>
            <w:r w:rsidRPr="001C2DF4">
              <w:t>10.2</w:t>
            </w:r>
          </w:p>
        </w:tc>
      </w:tr>
      <w:tr w:rsidR="009D0006" w:rsidRPr="001C2DF4" w14:paraId="646AEC6D"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229D3C7" w14:textId="77777777" w:rsidR="009D0006" w:rsidRPr="001C2DF4" w:rsidRDefault="009D0006" w:rsidP="003113F7">
            <w:pPr>
              <w:pStyle w:val="Tabletext"/>
            </w:pPr>
            <w:r w:rsidRPr="001C2DF4">
              <w:t>Self-employed</w:t>
            </w:r>
          </w:p>
        </w:tc>
        <w:tc>
          <w:tcPr>
            <w:tcW w:w="1559" w:type="dxa"/>
            <w:noWrap/>
          </w:tcPr>
          <w:p w14:paraId="19AE2C2C" w14:textId="77777777" w:rsidR="009D0006" w:rsidRPr="001C2DF4" w:rsidRDefault="009D0006" w:rsidP="003113F7">
            <w:pPr>
              <w:pStyle w:val="Tabletext"/>
            </w:pPr>
            <w:r w:rsidRPr="001C2DF4">
              <w:t>207</w:t>
            </w:r>
          </w:p>
        </w:tc>
        <w:tc>
          <w:tcPr>
            <w:tcW w:w="1559" w:type="dxa"/>
            <w:noWrap/>
          </w:tcPr>
          <w:p w14:paraId="49E15446" w14:textId="77777777" w:rsidR="009D0006" w:rsidRPr="001C2DF4" w:rsidRDefault="009D0006" w:rsidP="003113F7">
            <w:pPr>
              <w:pStyle w:val="Tabletext"/>
            </w:pPr>
            <w:r w:rsidRPr="001C2DF4">
              <w:t>7.9</w:t>
            </w:r>
          </w:p>
        </w:tc>
      </w:tr>
      <w:tr w:rsidR="009D0006" w:rsidRPr="001C2DF4" w14:paraId="0AD07C46"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4FCFA1F" w14:textId="77777777" w:rsidR="009D0006" w:rsidRPr="001C2DF4" w:rsidRDefault="009D0006" w:rsidP="003113F7">
            <w:pPr>
              <w:pStyle w:val="Tabletext"/>
            </w:pPr>
            <w:r w:rsidRPr="001C2DF4">
              <w:t>Doing domestic duties or parenting</w:t>
            </w:r>
          </w:p>
        </w:tc>
        <w:tc>
          <w:tcPr>
            <w:tcW w:w="1559" w:type="dxa"/>
            <w:noWrap/>
          </w:tcPr>
          <w:p w14:paraId="28146003" w14:textId="77777777" w:rsidR="009D0006" w:rsidRPr="001C2DF4" w:rsidRDefault="009D0006" w:rsidP="003113F7">
            <w:pPr>
              <w:pStyle w:val="Tabletext"/>
            </w:pPr>
            <w:r w:rsidRPr="001C2DF4">
              <w:t>198</w:t>
            </w:r>
          </w:p>
        </w:tc>
        <w:tc>
          <w:tcPr>
            <w:tcW w:w="1559" w:type="dxa"/>
            <w:noWrap/>
          </w:tcPr>
          <w:p w14:paraId="30B42A88" w14:textId="77777777" w:rsidR="009D0006" w:rsidRPr="001C2DF4" w:rsidRDefault="009D0006" w:rsidP="003113F7">
            <w:pPr>
              <w:pStyle w:val="Tabletext"/>
            </w:pPr>
            <w:r w:rsidRPr="001C2DF4">
              <w:t>7.6</w:t>
            </w:r>
          </w:p>
        </w:tc>
      </w:tr>
      <w:tr w:rsidR="009D0006" w:rsidRPr="001C2DF4" w14:paraId="3023F856" w14:textId="77777777" w:rsidTr="007F1E90">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B3C4D3D" w14:textId="77777777" w:rsidR="009D0006" w:rsidRPr="001C2DF4" w:rsidRDefault="009D0006" w:rsidP="003113F7">
            <w:pPr>
              <w:pStyle w:val="Tabletext"/>
            </w:pPr>
            <w:r w:rsidRPr="001C2DF4">
              <w:t xml:space="preserve">Under-employed </w:t>
            </w:r>
          </w:p>
        </w:tc>
        <w:tc>
          <w:tcPr>
            <w:tcW w:w="1559" w:type="dxa"/>
            <w:noWrap/>
          </w:tcPr>
          <w:p w14:paraId="536C05C2" w14:textId="77777777" w:rsidR="009D0006" w:rsidRPr="001C2DF4" w:rsidRDefault="009D0006" w:rsidP="003113F7">
            <w:pPr>
              <w:pStyle w:val="Tabletext"/>
            </w:pPr>
            <w:r w:rsidRPr="001C2DF4">
              <w:t>148</w:t>
            </w:r>
          </w:p>
        </w:tc>
        <w:tc>
          <w:tcPr>
            <w:tcW w:w="1559" w:type="dxa"/>
            <w:noWrap/>
          </w:tcPr>
          <w:p w14:paraId="7225D331" w14:textId="77777777" w:rsidR="009D0006" w:rsidRPr="001C2DF4" w:rsidRDefault="009D0006" w:rsidP="003113F7">
            <w:pPr>
              <w:pStyle w:val="Tabletext"/>
            </w:pPr>
            <w:r w:rsidRPr="001C2DF4">
              <w:t>5.6</w:t>
            </w:r>
          </w:p>
        </w:tc>
      </w:tr>
      <w:tr w:rsidR="009D0006" w:rsidRPr="001C2DF4" w14:paraId="1AA465D3" w14:textId="77777777" w:rsidTr="007F1E90">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EFAC6B1" w14:textId="77777777" w:rsidR="009D0006" w:rsidRPr="001C2DF4" w:rsidRDefault="009D0006" w:rsidP="003113F7">
            <w:pPr>
              <w:pStyle w:val="Tabletext"/>
            </w:pPr>
            <w:r w:rsidRPr="001C2DF4">
              <w:t>Retired</w:t>
            </w:r>
          </w:p>
        </w:tc>
        <w:tc>
          <w:tcPr>
            <w:tcW w:w="1559" w:type="dxa"/>
            <w:noWrap/>
          </w:tcPr>
          <w:p w14:paraId="25A57122" w14:textId="77777777" w:rsidR="009D0006" w:rsidRPr="001C2DF4" w:rsidRDefault="009D0006" w:rsidP="003113F7">
            <w:pPr>
              <w:pStyle w:val="Tabletext"/>
            </w:pPr>
            <w:r w:rsidRPr="001C2DF4">
              <w:t>90</w:t>
            </w:r>
          </w:p>
        </w:tc>
        <w:tc>
          <w:tcPr>
            <w:tcW w:w="1559" w:type="dxa"/>
            <w:noWrap/>
          </w:tcPr>
          <w:p w14:paraId="56F1F081" w14:textId="77777777" w:rsidR="009D0006" w:rsidRPr="001C2DF4" w:rsidRDefault="009D0006" w:rsidP="003113F7">
            <w:pPr>
              <w:pStyle w:val="Tabletext"/>
            </w:pPr>
            <w:r w:rsidRPr="001C2DF4">
              <w:t>3.4</w:t>
            </w:r>
          </w:p>
        </w:tc>
      </w:tr>
    </w:tbl>
    <w:p w14:paraId="2FE304C7" w14:textId="77777777" w:rsidR="009D0006" w:rsidRPr="003113F7" w:rsidRDefault="009D0006" w:rsidP="003113F7">
      <w:pPr>
        <w:pStyle w:val="TableTextNotebelow"/>
        <w:rPr>
          <w:i/>
        </w:rPr>
      </w:pPr>
      <w:r w:rsidRPr="003113F7">
        <w:rPr>
          <w:i/>
        </w:rPr>
        <w:t>Note: Multiple responses were available thus percentages do not add up to 100.</w:t>
      </w:r>
    </w:p>
    <w:p w14:paraId="7D0D7860" w14:textId="77777777" w:rsidR="009D0006" w:rsidRPr="001C2DF4" w:rsidRDefault="009D0006" w:rsidP="003F4AC6">
      <w:pPr>
        <w:spacing w:before="360"/>
        <w:rPr>
          <w:rFonts w:eastAsiaTheme="minorEastAsia"/>
        </w:rPr>
      </w:pPr>
      <w:r w:rsidRPr="001C2DF4">
        <w:t xml:space="preserve">As displayed in </w:t>
      </w:r>
      <w:r>
        <w:t>T</w:t>
      </w:r>
      <w:r w:rsidRPr="001C2DF4">
        <w:t xml:space="preserve">able </w:t>
      </w:r>
      <w:r>
        <w:t>22</w:t>
      </w:r>
      <w:r w:rsidRPr="001C2DF4">
        <w:t xml:space="preserve">, almost three-fifths (59.4%; n = 1558) of </w:t>
      </w:r>
      <w:r>
        <w:t>adults</w:t>
      </w:r>
      <w:r w:rsidRPr="001C2DF4">
        <w:t xml:space="preserve"> with disability </w:t>
      </w:r>
      <w:r>
        <w:t xml:space="preserve">aged 18+ years </w:t>
      </w:r>
      <w:r w:rsidRPr="001C2DF4">
        <w:t>were currently engaged in some form of paid employment, with 25.2% (n = 661) engaged in full-time employment, 16.7% (n = 438) in casual employment and 14.8% (n = 389) in part-time employment. A further one-fifth were studying full-time (19.8%; n = 519) and one-tenth were studying part-time (10.2%). More than one-tenth of participants with disability were engaged in volunteering (12.9%; n = 318), 7.9% (n = 207) were self-employed, 7.6% (n = 198) were doing domestic duties or parenting, 5.6% (n = 148) were under-employed and 3.4% (n = 90) were retired. The percentage of parti</w:t>
      </w:r>
      <w:r w:rsidRPr="001C2DF4">
        <w:lastRenderedPageBreak/>
        <w:t xml:space="preserve">cipants with disability in </w:t>
      </w:r>
      <w:r w:rsidRPr="002433C0">
        <w:rPr>
          <w:i/>
          <w:iCs/>
        </w:rPr>
        <w:t>Private Lives 3</w:t>
      </w:r>
      <w:r w:rsidRPr="001C2DF4">
        <w:t xml:space="preserve"> who reported being unemployed or unable to work (28.9%; n = 758) was more than five times the national rate of 5.3% at the time this survey was undertaken</w:t>
      </w:r>
      <w:r>
        <w:t>.</w:t>
      </w:r>
      <w:r w:rsidRPr="001C2DF4">
        <w:fldChar w:fldCharType="begin"/>
      </w:r>
      <w:r>
        <w:instrText xml:space="preserve"> ADDIN ZOTERO_ITEM CSL_CITATION {"citationID":"1uE9Kbtw","properties":{"formattedCitation":"(29)","plainCitation":"(29)","noteIndex":0},"citationItems":[{"id":"hc6yy1rM/w0c9bwMD","uris":["http://zotero.org/users/4948307/items/2KTVGXS3"],"itemData":{"id":146,"type":"webpage","abstract":"This is a summary from publication Trend unemployment rate steady at 5.3% (Media Release) which contains key figures, key points and notes from the publication.","language":"en","note":"source: www.abs.gov.au\npublisher: c=AU; o=Commonwealth of Australia; ou=Australian Bureau of Statistics","title":"Trend unemployment rate steady at 5.3%","URL":"https://www.abs.gov.au/ausstats/abs@.nsf/lookup/6202.0Media%20Release1Sep%202019","author":[{"family":"Australian Bureau of Statistics","given":""}],"accessed":{"date-parts":[["2020",5,19]]},"issued":{"date-parts":[["2019",10,17]]}}}],"schema":"https://github.com/citation-style-language/schema/raw/master/csl-citation.json"} </w:instrText>
      </w:r>
      <w:r w:rsidRPr="001C2DF4">
        <w:fldChar w:fldCharType="separate"/>
      </w:r>
      <w:r>
        <w:rPr>
          <w:lang w:val="en-GB"/>
        </w:rPr>
        <w:t>(29)</w:t>
      </w:r>
      <w:r w:rsidRPr="001C2DF4">
        <w:fldChar w:fldCharType="end"/>
      </w:r>
      <w:r w:rsidRPr="001C2DF4">
        <w:t xml:space="preserve"> </w:t>
      </w:r>
    </w:p>
    <w:p w14:paraId="08CFF7B6" w14:textId="61C9A7B3" w:rsidR="009D0006" w:rsidRPr="002306D8" w:rsidRDefault="009D0006" w:rsidP="004E2605">
      <w:pPr>
        <w:pStyle w:val="Heading3Numbered"/>
        <w:spacing w:before="240"/>
      </w:pPr>
      <w:bookmarkStart w:id="341" w:name="_Toc115968541"/>
      <w:r w:rsidRPr="002306D8">
        <w:t>Income – adults aged 18+ years</w:t>
      </w:r>
      <w:bookmarkEnd w:id="341"/>
    </w:p>
    <w:p w14:paraId="2D5EA5E9" w14:textId="77777777" w:rsidR="009D0006" w:rsidRPr="002306D8" w:rsidRDefault="009D0006" w:rsidP="003113F7">
      <w:pPr>
        <w:pStyle w:val="Tableheading"/>
      </w:pPr>
      <w:bookmarkStart w:id="342" w:name="_Toc117062741"/>
      <w:bookmarkStart w:id="343" w:name="_Toc119651426"/>
      <w:r w:rsidRPr="002306D8">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xml:space="preserve">: </w:t>
      </w:r>
      <w:r w:rsidRPr="002306D8">
        <w:t xml:space="preserve">Total weekly income before tax of all wages/salaries, government benefits, pensions, allowances and other income </w:t>
      </w:r>
      <w:r>
        <w:t xml:space="preserve">among adults with disability aged 18+ years </w:t>
      </w:r>
      <w:r w:rsidRPr="002306D8">
        <w:t>(n = 2604)</w:t>
      </w:r>
      <w:bookmarkEnd w:id="342"/>
      <w:bookmarkEnd w:id="343"/>
    </w:p>
    <w:tbl>
      <w:tblPr>
        <w:tblStyle w:val="RCTable"/>
        <w:tblW w:w="9864" w:type="dxa"/>
        <w:tblLook w:val="04A0" w:firstRow="1" w:lastRow="0" w:firstColumn="1" w:lastColumn="0" w:noHBand="0" w:noVBand="1"/>
      </w:tblPr>
      <w:tblGrid>
        <w:gridCol w:w="6746"/>
        <w:gridCol w:w="1559"/>
        <w:gridCol w:w="1559"/>
      </w:tblGrid>
      <w:tr w:rsidR="009D0006" w:rsidRPr="001C2DF4" w14:paraId="512A0278" w14:textId="77777777" w:rsidTr="003113F7">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30F963E" w14:textId="77777777" w:rsidR="009D0006" w:rsidRPr="001C2DF4" w:rsidRDefault="009D0006" w:rsidP="003113F7">
            <w:pPr>
              <w:pStyle w:val="Tableheader"/>
            </w:pPr>
            <w:r w:rsidRPr="001C2DF4">
              <w:t>Income</w:t>
            </w:r>
          </w:p>
        </w:tc>
        <w:tc>
          <w:tcPr>
            <w:tcW w:w="1559" w:type="dxa"/>
            <w:noWrap/>
            <w:hideMark/>
          </w:tcPr>
          <w:p w14:paraId="28037DA6" w14:textId="77777777" w:rsidR="009D0006" w:rsidRPr="001C2DF4" w:rsidRDefault="009D0006" w:rsidP="003113F7">
            <w:pPr>
              <w:pStyle w:val="Tableheader"/>
            </w:pPr>
            <w:r>
              <w:t>n</w:t>
            </w:r>
          </w:p>
        </w:tc>
        <w:tc>
          <w:tcPr>
            <w:tcW w:w="1559" w:type="dxa"/>
            <w:noWrap/>
            <w:hideMark/>
          </w:tcPr>
          <w:p w14:paraId="28F81AD4" w14:textId="77777777" w:rsidR="009D0006" w:rsidRPr="001C2DF4" w:rsidRDefault="009D0006" w:rsidP="003113F7">
            <w:pPr>
              <w:pStyle w:val="Tableheader"/>
            </w:pPr>
            <w:r w:rsidRPr="001C2DF4">
              <w:t>%</w:t>
            </w:r>
          </w:p>
        </w:tc>
      </w:tr>
      <w:tr w:rsidR="009D0006" w:rsidRPr="001C2DF4" w14:paraId="68B2A7A4"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3AD8C0F" w14:textId="77777777" w:rsidR="009D0006" w:rsidRPr="001C2DF4" w:rsidRDefault="009D0006" w:rsidP="003113F7">
            <w:pPr>
              <w:pStyle w:val="Tabletext"/>
            </w:pPr>
            <w:r w:rsidRPr="001C2DF4">
              <w:t>Nil income</w:t>
            </w:r>
          </w:p>
        </w:tc>
        <w:tc>
          <w:tcPr>
            <w:tcW w:w="1559" w:type="dxa"/>
            <w:noWrap/>
          </w:tcPr>
          <w:p w14:paraId="43E30CD1" w14:textId="77777777" w:rsidR="009D0006" w:rsidRPr="001C2DF4" w:rsidRDefault="009D0006" w:rsidP="003113F7">
            <w:pPr>
              <w:pStyle w:val="Tabletext"/>
            </w:pPr>
            <w:r w:rsidRPr="001C2DF4">
              <w:t>224</w:t>
            </w:r>
          </w:p>
        </w:tc>
        <w:tc>
          <w:tcPr>
            <w:tcW w:w="1559" w:type="dxa"/>
            <w:noWrap/>
          </w:tcPr>
          <w:p w14:paraId="786F80F1" w14:textId="77777777" w:rsidR="009D0006" w:rsidRPr="001C2DF4" w:rsidRDefault="009D0006" w:rsidP="003113F7">
            <w:pPr>
              <w:pStyle w:val="Tabletext"/>
            </w:pPr>
            <w:r w:rsidRPr="001C2DF4">
              <w:t>8.6</w:t>
            </w:r>
          </w:p>
        </w:tc>
      </w:tr>
      <w:tr w:rsidR="009D0006" w:rsidRPr="001C2DF4" w14:paraId="167B1D2D"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8D635CA" w14:textId="77777777" w:rsidR="009D0006" w:rsidRPr="001C2DF4" w:rsidRDefault="009D0006" w:rsidP="003113F7">
            <w:pPr>
              <w:pStyle w:val="Tabletext"/>
            </w:pPr>
            <w:r w:rsidRPr="001C2DF4">
              <w:t>$1 - $399</w:t>
            </w:r>
          </w:p>
        </w:tc>
        <w:tc>
          <w:tcPr>
            <w:tcW w:w="1559" w:type="dxa"/>
            <w:noWrap/>
          </w:tcPr>
          <w:p w14:paraId="3CDA5FD9" w14:textId="77777777" w:rsidR="009D0006" w:rsidRPr="001C2DF4" w:rsidRDefault="009D0006" w:rsidP="003113F7">
            <w:pPr>
              <w:pStyle w:val="Tabletext"/>
            </w:pPr>
            <w:r w:rsidRPr="001C2DF4">
              <w:t>883</w:t>
            </w:r>
          </w:p>
        </w:tc>
        <w:tc>
          <w:tcPr>
            <w:tcW w:w="1559" w:type="dxa"/>
            <w:noWrap/>
          </w:tcPr>
          <w:p w14:paraId="209BDD07" w14:textId="77777777" w:rsidR="009D0006" w:rsidRPr="001C2DF4" w:rsidRDefault="009D0006" w:rsidP="003113F7">
            <w:pPr>
              <w:pStyle w:val="Tabletext"/>
            </w:pPr>
            <w:r w:rsidRPr="001C2DF4">
              <w:t>33.9</w:t>
            </w:r>
          </w:p>
        </w:tc>
      </w:tr>
      <w:tr w:rsidR="009D0006" w:rsidRPr="001C2DF4" w14:paraId="0D89FD0B"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C1B13B4" w14:textId="77777777" w:rsidR="009D0006" w:rsidRPr="001C2DF4" w:rsidRDefault="009D0006" w:rsidP="003113F7">
            <w:pPr>
              <w:pStyle w:val="Tabletext"/>
            </w:pPr>
            <w:r w:rsidRPr="001C2DF4">
              <w:t>$400 - $599</w:t>
            </w:r>
          </w:p>
        </w:tc>
        <w:tc>
          <w:tcPr>
            <w:tcW w:w="1559" w:type="dxa"/>
            <w:noWrap/>
          </w:tcPr>
          <w:p w14:paraId="05CF9764" w14:textId="77777777" w:rsidR="009D0006" w:rsidRPr="001C2DF4" w:rsidRDefault="009D0006" w:rsidP="003113F7">
            <w:pPr>
              <w:pStyle w:val="Tabletext"/>
              <w:rPr>
                <w:rFonts w:eastAsia="MS Mincho"/>
              </w:rPr>
            </w:pPr>
            <w:r w:rsidRPr="001C2DF4">
              <w:t>432</w:t>
            </w:r>
          </w:p>
        </w:tc>
        <w:tc>
          <w:tcPr>
            <w:tcW w:w="1559" w:type="dxa"/>
            <w:noWrap/>
          </w:tcPr>
          <w:p w14:paraId="07EF973F" w14:textId="77777777" w:rsidR="009D0006" w:rsidRPr="001C2DF4" w:rsidRDefault="009D0006" w:rsidP="003113F7">
            <w:pPr>
              <w:pStyle w:val="Tabletext"/>
              <w:rPr>
                <w:rFonts w:eastAsia="MS Mincho"/>
              </w:rPr>
            </w:pPr>
            <w:r w:rsidRPr="001C2DF4">
              <w:t>16.6</w:t>
            </w:r>
          </w:p>
        </w:tc>
      </w:tr>
      <w:tr w:rsidR="009D0006" w:rsidRPr="001C2DF4" w14:paraId="38623730"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1BD4878" w14:textId="77777777" w:rsidR="009D0006" w:rsidRPr="001C2DF4" w:rsidRDefault="009D0006" w:rsidP="003113F7">
            <w:pPr>
              <w:pStyle w:val="Tabletext"/>
            </w:pPr>
            <w:r w:rsidRPr="001C2DF4">
              <w:t>$600 - $999</w:t>
            </w:r>
          </w:p>
        </w:tc>
        <w:tc>
          <w:tcPr>
            <w:tcW w:w="1559" w:type="dxa"/>
            <w:noWrap/>
          </w:tcPr>
          <w:p w14:paraId="5591E348" w14:textId="77777777" w:rsidR="009D0006" w:rsidRPr="001C2DF4" w:rsidRDefault="009D0006" w:rsidP="003113F7">
            <w:pPr>
              <w:pStyle w:val="Tabletext"/>
            </w:pPr>
            <w:r w:rsidRPr="001C2DF4">
              <w:t>347</w:t>
            </w:r>
          </w:p>
        </w:tc>
        <w:tc>
          <w:tcPr>
            <w:tcW w:w="1559" w:type="dxa"/>
            <w:noWrap/>
          </w:tcPr>
          <w:p w14:paraId="58C92A22" w14:textId="77777777" w:rsidR="009D0006" w:rsidRPr="001C2DF4" w:rsidRDefault="009D0006" w:rsidP="003113F7">
            <w:pPr>
              <w:pStyle w:val="Tabletext"/>
            </w:pPr>
            <w:r w:rsidRPr="001C2DF4">
              <w:t>13.3</w:t>
            </w:r>
          </w:p>
        </w:tc>
      </w:tr>
      <w:tr w:rsidR="009D0006" w:rsidRPr="001C2DF4" w14:paraId="6B424876"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AEC084D" w14:textId="77777777" w:rsidR="009D0006" w:rsidRPr="001C2DF4" w:rsidRDefault="009D0006" w:rsidP="003113F7">
            <w:pPr>
              <w:pStyle w:val="Tabletext"/>
            </w:pPr>
            <w:r w:rsidRPr="001C2DF4">
              <w:t>$1000 - $1999</w:t>
            </w:r>
          </w:p>
        </w:tc>
        <w:tc>
          <w:tcPr>
            <w:tcW w:w="1559" w:type="dxa"/>
            <w:noWrap/>
          </w:tcPr>
          <w:p w14:paraId="3C073FF9" w14:textId="77777777" w:rsidR="009D0006" w:rsidRPr="001C2DF4" w:rsidRDefault="009D0006" w:rsidP="003113F7">
            <w:pPr>
              <w:pStyle w:val="Tabletext"/>
            </w:pPr>
            <w:r w:rsidRPr="001C2DF4">
              <w:t>567</w:t>
            </w:r>
          </w:p>
        </w:tc>
        <w:tc>
          <w:tcPr>
            <w:tcW w:w="1559" w:type="dxa"/>
            <w:noWrap/>
          </w:tcPr>
          <w:p w14:paraId="7D2E10AA" w14:textId="77777777" w:rsidR="009D0006" w:rsidRPr="001C2DF4" w:rsidRDefault="009D0006" w:rsidP="003113F7">
            <w:pPr>
              <w:pStyle w:val="Tabletext"/>
            </w:pPr>
            <w:r w:rsidRPr="001C2DF4">
              <w:t>21.8</w:t>
            </w:r>
          </w:p>
        </w:tc>
      </w:tr>
      <w:tr w:rsidR="009D0006" w:rsidRPr="001C2DF4" w14:paraId="13F69140"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8E2B6B3" w14:textId="77777777" w:rsidR="009D0006" w:rsidRPr="001C2DF4" w:rsidRDefault="009D0006" w:rsidP="003113F7">
            <w:pPr>
              <w:pStyle w:val="Tabletext"/>
            </w:pPr>
            <w:r w:rsidRPr="001C2DF4">
              <w:t>$2000+</w:t>
            </w:r>
          </w:p>
        </w:tc>
        <w:tc>
          <w:tcPr>
            <w:tcW w:w="1559" w:type="dxa"/>
            <w:noWrap/>
          </w:tcPr>
          <w:p w14:paraId="5C87D727" w14:textId="77777777" w:rsidR="009D0006" w:rsidRPr="001C2DF4" w:rsidRDefault="009D0006" w:rsidP="003113F7">
            <w:pPr>
              <w:pStyle w:val="Tabletext"/>
            </w:pPr>
            <w:r w:rsidRPr="001C2DF4">
              <w:t>151</w:t>
            </w:r>
          </w:p>
        </w:tc>
        <w:tc>
          <w:tcPr>
            <w:tcW w:w="1559" w:type="dxa"/>
            <w:noWrap/>
          </w:tcPr>
          <w:p w14:paraId="6255E31C" w14:textId="77777777" w:rsidR="009D0006" w:rsidRPr="001C2DF4" w:rsidRDefault="009D0006" w:rsidP="003113F7">
            <w:pPr>
              <w:pStyle w:val="Tabletext"/>
            </w:pPr>
            <w:r w:rsidRPr="001C2DF4">
              <w:t>5.8</w:t>
            </w:r>
          </w:p>
        </w:tc>
      </w:tr>
    </w:tbl>
    <w:p w14:paraId="279A3875" w14:textId="2C5299DF" w:rsidR="008902AC" w:rsidRDefault="009D0006" w:rsidP="003F4AC6">
      <w:pPr>
        <w:spacing w:before="360"/>
      </w:pPr>
      <w:r>
        <w:t>As displayed in Table 23, o</w:t>
      </w:r>
      <w:r w:rsidRPr="00692BC1">
        <w:t>ne-quarter</w:t>
      </w:r>
      <w:r w:rsidRPr="00AE0820">
        <w:t xml:space="preserve"> (</w:t>
      </w:r>
      <w:r w:rsidRPr="00692BC1">
        <w:t>27.6</w:t>
      </w:r>
      <w:r w:rsidRPr="00AE0820">
        <w:t>%</w:t>
      </w:r>
      <w:r w:rsidRPr="00692BC1">
        <w:t>; n = 1886</w:t>
      </w:r>
      <w:r w:rsidRPr="00AE0820">
        <w:t xml:space="preserve">) </w:t>
      </w:r>
      <w:r>
        <w:t xml:space="preserve">of </w:t>
      </w:r>
      <w:r w:rsidRPr="00AE0820">
        <w:t>participants</w:t>
      </w:r>
      <w:r w:rsidRPr="00692BC1">
        <w:t xml:space="preserve"> with disability</w:t>
      </w:r>
      <w:r>
        <w:t xml:space="preserve"> in </w:t>
      </w:r>
      <w:r w:rsidRPr="002306D8">
        <w:rPr>
          <w:i/>
          <w:iCs/>
        </w:rPr>
        <w:t>P</w:t>
      </w:r>
      <w:r>
        <w:rPr>
          <w:i/>
          <w:iCs/>
        </w:rPr>
        <w:t xml:space="preserve">rivate Lives 3 </w:t>
      </w:r>
      <w:r w:rsidRPr="00AE0820">
        <w:t>reported an income of $1000 or more per week</w:t>
      </w:r>
      <w:r>
        <w:t xml:space="preserve">. This </w:t>
      </w:r>
      <w:r w:rsidRPr="00692BC1">
        <w:t xml:space="preserve">compared to 54.7% of participants without disability </w:t>
      </w:r>
      <w:r>
        <w:t xml:space="preserve">in </w:t>
      </w:r>
      <w:r>
        <w:rPr>
          <w:i/>
          <w:iCs/>
        </w:rPr>
        <w:t>Private Lives 3</w:t>
      </w:r>
      <w:r w:rsidRPr="00AE0820">
        <w:t>.</w:t>
      </w:r>
      <w:r w:rsidRPr="00692BC1">
        <w:t xml:space="preserve"> Over two-fifths</w:t>
      </w:r>
      <w:r w:rsidRPr="00AE0820">
        <w:t xml:space="preserve"> (</w:t>
      </w:r>
      <w:r w:rsidRPr="00692BC1">
        <w:t>42.5</w:t>
      </w:r>
      <w:r w:rsidRPr="00AE0820">
        <w:t xml:space="preserve">%; n = </w:t>
      </w:r>
      <w:r w:rsidRPr="00692BC1">
        <w:t>1107</w:t>
      </w:r>
      <w:r w:rsidRPr="00AE0820">
        <w:t xml:space="preserve">) of participants </w:t>
      </w:r>
      <w:r>
        <w:t xml:space="preserve">with disability </w:t>
      </w:r>
      <w:r w:rsidRPr="00AE0820">
        <w:t>reported an income of less than $400 per week (below the Australian poverty line of $457 per week)</w:t>
      </w:r>
      <w:r w:rsidRPr="00692BC1">
        <w:t xml:space="preserve">, and higher than the 22.0% </w:t>
      </w:r>
      <w:r>
        <w:t>of</w:t>
      </w:r>
      <w:r w:rsidRPr="00692BC1">
        <w:t xml:space="preserve"> </w:t>
      </w:r>
      <w:r w:rsidRPr="002306D8">
        <w:rPr>
          <w:i/>
          <w:iCs/>
        </w:rPr>
        <w:t>Private Lives 3</w:t>
      </w:r>
      <w:r w:rsidRPr="00692BC1">
        <w:t xml:space="preserve"> participants without disability</w:t>
      </w:r>
      <w:r w:rsidRPr="00AE0820">
        <w:t xml:space="preserve">. The proportion of participants reporting an income of less than $400 per week was highest </w:t>
      </w:r>
      <w:r>
        <w:t xml:space="preserve">among </w:t>
      </w:r>
      <w:r w:rsidRPr="00692BC1">
        <w:t>participants</w:t>
      </w:r>
      <w:r w:rsidRPr="00AE0820">
        <w:t xml:space="preserve"> </w:t>
      </w:r>
      <w:r>
        <w:t>categorised with</w:t>
      </w:r>
      <w:r w:rsidRPr="00692BC1">
        <w:t xml:space="preserve"> </w:t>
      </w:r>
      <w:r>
        <w:t>severe</w:t>
      </w:r>
      <w:r w:rsidRPr="00692BC1">
        <w:t xml:space="preserve"> disability </w:t>
      </w:r>
      <w:r w:rsidRPr="00AE0820">
        <w:t>(</w:t>
      </w:r>
      <w:r w:rsidRPr="00692BC1">
        <w:t>53.2</w:t>
      </w:r>
      <w:r w:rsidRPr="00AE0820">
        <w:t xml:space="preserve">%; n = </w:t>
      </w:r>
      <w:r w:rsidRPr="00692BC1">
        <w:t>422</w:t>
      </w:r>
      <w:r w:rsidRPr="00AE0820">
        <w:t xml:space="preserve">), followed by </w:t>
      </w:r>
      <w:r>
        <w:t xml:space="preserve">participants categorised with </w:t>
      </w:r>
      <w:r w:rsidRPr="00692BC1">
        <w:t>moderate disability</w:t>
      </w:r>
      <w:r w:rsidRPr="00AE0820">
        <w:t xml:space="preserve"> (</w:t>
      </w:r>
      <w:r w:rsidRPr="00692BC1">
        <w:t>43.9</w:t>
      </w:r>
      <w:r w:rsidRPr="00AE0820">
        <w:t xml:space="preserve">%; n = </w:t>
      </w:r>
      <w:r w:rsidRPr="00692BC1">
        <w:t>578</w:t>
      </w:r>
      <w:r w:rsidRPr="00AE0820">
        <w:t>)</w:t>
      </w:r>
      <w:r w:rsidRPr="00692BC1">
        <w:t xml:space="preserve"> </w:t>
      </w:r>
      <w:r w:rsidRPr="00AE0820">
        <w:t xml:space="preserve">and </w:t>
      </w:r>
      <w:r>
        <w:t xml:space="preserve">those categorised with </w:t>
      </w:r>
      <w:r w:rsidRPr="00692BC1">
        <w:t>mild disability</w:t>
      </w:r>
      <w:r w:rsidRPr="00AE0820">
        <w:t xml:space="preserve"> (</w:t>
      </w:r>
      <w:r w:rsidRPr="00692BC1">
        <w:t>24.8</w:t>
      </w:r>
      <w:r w:rsidRPr="00AE0820">
        <w:t xml:space="preserve">%; n = </w:t>
      </w:r>
      <w:r w:rsidRPr="00692BC1">
        <w:t>107</w:t>
      </w:r>
      <w:r w:rsidRPr="00AE0820">
        <w:t>).</w:t>
      </w:r>
    </w:p>
    <w:p w14:paraId="77E5BEA6" w14:textId="77777777" w:rsidR="008902AC" w:rsidRDefault="008902AC">
      <w:pPr>
        <w:spacing w:before="0"/>
      </w:pPr>
      <w:r>
        <w:br w:type="page"/>
      </w:r>
    </w:p>
    <w:p w14:paraId="308E3121" w14:textId="6A7AA40C" w:rsidR="009D0006" w:rsidRPr="00692BC1" w:rsidRDefault="009D0006" w:rsidP="004E2605">
      <w:pPr>
        <w:pStyle w:val="Heading2Numbered"/>
        <w:spacing w:before="240"/>
      </w:pPr>
      <w:bookmarkStart w:id="344" w:name="_Toc115968542"/>
      <w:bookmarkStart w:id="345" w:name="_Toc119662413"/>
      <w:r w:rsidRPr="00692BC1">
        <w:t>Housi</w:t>
      </w:r>
      <w:r w:rsidRPr="00692BC1">
        <w:lastRenderedPageBreak/>
        <w:t>ng and household</w:t>
      </w:r>
      <w:bookmarkEnd w:id="336"/>
      <w:bookmarkEnd w:id="337"/>
      <w:bookmarkEnd w:id="338"/>
      <w:bookmarkEnd w:id="344"/>
      <w:bookmarkEnd w:id="345"/>
    </w:p>
    <w:p w14:paraId="59FF84E5" w14:textId="48BADE35" w:rsidR="004E2605" w:rsidRDefault="009D0006" w:rsidP="00153892">
      <w:pPr>
        <w:pStyle w:val="Heading3Numbered"/>
      </w:pPr>
      <w:bookmarkStart w:id="346" w:name="_Toc115968543"/>
      <w:r w:rsidRPr="002306D8">
        <w:t xml:space="preserve">Current </w:t>
      </w:r>
      <w:r>
        <w:t>housing</w:t>
      </w:r>
      <w:r w:rsidRPr="002306D8">
        <w:t xml:space="preserve"> situation – young people aged </w:t>
      </w:r>
      <w:r w:rsidR="004E2605">
        <w:br/>
      </w:r>
      <w:r w:rsidRPr="002306D8">
        <w:t>14-21 years</w:t>
      </w:r>
      <w:bookmarkEnd w:id="346"/>
    </w:p>
    <w:p w14:paraId="3A9A3117" w14:textId="31E23332" w:rsidR="009D0006" w:rsidRPr="002306D8" w:rsidRDefault="009D0006" w:rsidP="003113F7">
      <w:pPr>
        <w:pStyle w:val="Tableheading"/>
      </w:pPr>
      <w:bookmarkStart w:id="347" w:name="_Toc48137906"/>
      <w:bookmarkStart w:id="348" w:name="_Toc117062742"/>
      <w:bookmarkStart w:id="349" w:name="_Toc119651427"/>
      <w:r w:rsidRPr="002306D8">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Current h</w:t>
      </w:r>
      <w:r w:rsidRPr="002306D8">
        <w:t>ousing situation</w:t>
      </w:r>
      <w:bookmarkEnd w:id="347"/>
      <w:r w:rsidRPr="002306D8">
        <w:t xml:space="preserve"> </w:t>
      </w:r>
      <w:r>
        <w:t xml:space="preserve">of young people with disability aged 14-21 years </w:t>
      </w:r>
      <w:r w:rsidRPr="002306D8">
        <w:t>(n = 2625)</w:t>
      </w:r>
      <w:bookmarkEnd w:id="348"/>
      <w:bookmarkEnd w:id="349"/>
    </w:p>
    <w:tbl>
      <w:tblPr>
        <w:tblStyle w:val="RCTable"/>
        <w:tblW w:w="9864" w:type="dxa"/>
        <w:tblLook w:val="04A0" w:firstRow="1" w:lastRow="0" w:firstColumn="1" w:lastColumn="0" w:noHBand="0" w:noVBand="1"/>
      </w:tblPr>
      <w:tblGrid>
        <w:gridCol w:w="6746"/>
        <w:gridCol w:w="1559"/>
        <w:gridCol w:w="1559"/>
      </w:tblGrid>
      <w:tr w:rsidR="009D0006" w:rsidRPr="001C2DF4" w14:paraId="5D0E9C28" w14:textId="77777777" w:rsidTr="008902AC">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485A0869" w14:textId="77777777" w:rsidR="009D0006" w:rsidRPr="001C2DF4" w:rsidRDefault="009D0006" w:rsidP="003113F7">
            <w:pPr>
              <w:pStyle w:val="Tableheader"/>
              <w:rPr>
                <w:lang w:val="en-US"/>
              </w:rPr>
            </w:pPr>
            <w:r w:rsidRPr="001C2DF4">
              <w:rPr>
                <w:lang w:val="en-US"/>
              </w:rPr>
              <w:t>Housing situation</w:t>
            </w:r>
          </w:p>
        </w:tc>
        <w:tc>
          <w:tcPr>
            <w:tcW w:w="1559" w:type="dxa"/>
            <w:noWrap/>
            <w:hideMark/>
          </w:tcPr>
          <w:p w14:paraId="410181CE" w14:textId="77777777" w:rsidR="009D0006" w:rsidRPr="001C2DF4" w:rsidRDefault="009D0006" w:rsidP="003113F7">
            <w:pPr>
              <w:pStyle w:val="Tableheader"/>
              <w:rPr>
                <w:lang w:val="en-US"/>
              </w:rPr>
            </w:pPr>
            <w:r>
              <w:rPr>
                <w:lang w:val="en-US"/>
              </w:rPr>
              <w:t>n</w:t>
            </w:r>
          </w:p>
        </w:tc>
        <w:tc>
          <w:tcPr>
            <w:tcW w:w="1559" w:type="dxa"/>
            <w:noWrap/>
            <w:hideMark/>
          </w:tcPr>
          <w:p w14:paraId="71DD979F" w14:textId="77777777" w:rsidR="009D0006" w:rsidRPr="001C2DF4" w:rsidRDefault="009D0006" w:rsidP="003113F7">
            <w:pPr>
              <w:pStyle w:val="Tableheader"/>
              <w:rPr>
                <w:lang w:val="en-US"/>
              </w:rPr>
            </w:pPr>
            <w:r w:rsidRPr="001C2DF4">
              <w:rPr>
                <w:lang w:val="en-US"/>
              </w:rPr>
              <w:t>%</w:t>
            </w:r>
          </w:p>
        </w:tc>
      </w:tr>
      <w:tr w:rsidR="009D0006" w:rsidRPr="001C2DF4" w14:paraId="04635DD0" w14:textId="77777777" w:rsidTr="008902AC">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4898BDE" w14:textId="77777777" w:rsidR="009D0006" w:rsidRPr="001C2DF4" w:rsidRDefault="009D0006" w:rsidP="003113F7">
            <w:pPr>
              <w:pStyle w:val="Tabletext"/>
              <w:rPr>
                <w:lang w:val="en-US"/>
              </w:rPr>
            </w:pPr>
            <w:r w:rsidRPr="001C2DF4">
              <w:t>House</w:t>
            </w:r>
          </w:p>
        </w:tc>
        <w:tc>
          <w:tcPr>
            <w:tcW w:w="1559" w:type="dxa"/>
            <w:noWrap/>
          </w:tcPr>
          <w:p w14:paraId="7BC7753F" w14:textId="77777777" w:rsidR="009D0006" w:rsidRPr="001C2DF4" w:rsidRDefault="009D0006" w:rsidP="003113F7">
            <w:pPr>
              <w:pStyle w:val="Tabletext"/>
              <w:rPr>
                <w:lang w:val="en-US"/>
              </w:rPr>
            </w:pPr>
            <w:r w:rsidRPr="001C2DF4">
              <w:t>2065</w:t>
            </w:r>
          </w:p>
        </w:tc>
        <w:tc>
          <w:tcPr>
            <w:tcW w:w="1559" w:type="dxa"/>
            <w:noWrap/>
          </w:tcPr>
          <w:p w14:paraId="2DE9FB88" w14:textId="77777777" w:rsidR="009D0006" w:rsidRPr="001C2DF4" w:rsidRDefault="009D0006" w:rsidP="003113F7">
            <w:pPr>
              <w:pStyle w:val="Tabletext"/>
              <w:rPr>
                <w:lang w:val="en-US"/>
              </w:rPr>
            </w:pPr>
            <w:r w:rsidRPr="001C2DF4">
              <w:t>82.7</w:t>
            </w:r>
          </w:p>
        </w:tc>
      </w:tr>
      <w:tr w:rsidR="009D0006" w:rsidRPr="001C2DF4" w14:paraId="38549DC0" w14:textId="77777777" w:rsidTr="008902AC">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3129A06" w14:textId="77777777" w:rsidR="009D0006" w:rsidRPr="001C2DF4" w:rsidRDefault="009D0006" w:rsidP="003113F7">
            <w:pPr>
              <w:pStyle w:val="Tabletext"/>
              <w:rPr>
                <w:lang w:val="en-US"/>
              </w:rPr>
            </w:pPr>
            <w:r w:rsidRPr="001C2DF4">
              <w:t>Rooming house/ Shared house</w:t>
            </w:r>
          </w:p>
        </w:tc>
        <w:tc>
          <w:tcPr>
            <w:tcW w:w="1559" w:type="dxa"/>
            <w:noWrap/>
          </w:tcPr>
          <w:p w14:paraId="2BABD17D" w14:textId="77777777" w:rsidR="009D0006" w:rsidRPr="001C2DF4" w:rsidRDefault="009D0006" w:rsidP="003113F7">
            <w:pPr>
              <w:pStyle w:val="Tabletext"/>
              <w:rPr>
                <w:lang w:val="en-US"/>
              </w:rPr>
            </w:pPr>
            <w:r w:rsidRPr="001C2DF4">
              <w:t>173</w:t>
            </w:r>
          </w:p>
        </w:tc>
        <w:tc>
          <w:tcPr>
            <w:tcW w:w="1559" w:type="dxa"/>
            <w:noWrap/>
          </w:tcPr>
          <w:p w14:paraId="7990853E" w14:textId="77777777" w:rsidR="009D0006" w:rsidRPr="001C2DF4" w:rsidRDefault="009D0006" w:rsidP="003113F7">
            <w:pPr>
              <w:pStyle w:val="Tabletext"/>
              <w:rPr>
                <w:lang w:val="en-US"/>
              </w:rPr>
            </w:pPr>
            <w:r w:rsidRPr="001C2DF4">
              <w:t>6.9</w:t>
            </w:r>
          </w:p>
        </w:tc>
      </w:tr>
      <w:tr w:rsidR="009D0006" w:rsidRPr="001C2DF4" w14:paraId="25DE9EFF" w14:textId="77777777" w:rsidTr="008902AC">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1349CE7" w14:textId="77777777" w:rsidR="009D0006" w:rsidRPr="001C2DF4" w:rsidRDefault="009D0006" w:rsidP="003113F7">
            <w:pPr>
              <w:pStyle w:val="Tabletext"/>
              <w:rPr>
                <w:lang w:val="en-US"/>
              </w:rPr>
            </w:pPr>
            <w:r w:rsidRPr="001C2DF4">
              <w:t>Apartment</w:t>
            </w:r>
          </w:p>
        </w:tc>
        <w:tc>
          <w:tcPr>
            <w:tcW w:w="1559" w:type="dxa"/>
            <w:noWrap/>
          </w:tcPr>
          <w:p w14:paraId="7A740EB3" w14:textId="77777777" w:rsidR="009D0006" w:rsidRPr="001C2DF4" w:rsidRDefault="009D0006" w:rsidP="003113F7">
            <w:pPr>
              <w:pStyle w:val="Tabletext"/>
              <w:rPr>
                <w:lang w:val="en-US"/>
              </w:rPr>
            </w:pPr>
            <w:r w:rsidRPr="001C2DF4">
              <w:t>171</w:t>
            </w:r>
          </w:p>
        </w:tc>
        <w:tc>
          <w:tcPr>
            <w:tcW w:w="1559" w:type="dxa"/>
            <w:noWrap/>
          </w:tcPr>
          <w:p w14:paraId="5164DF7D" w14:textId="77777777" w:rsidR="009D0006" w:rsidRPr="001C2DF4" w:rsidRDefault="009D0006" w:rsidP="003113F7">
            <w:pPr>
              <w:pStyle w:val="Tabletext"/>
              <w:rPr>
                <w:lang w:val="en-US"/>
              </w:rPr>
            </w:pPr>
            <w:r w:rsidRPr="001C2DF4">
              <w:t>6.8</w:t>
            </w:r>
          </w:p>
        </w:tc>
      </w:tr>
      <w:tr w:rsidR="009D0006" w:rsidRPr="001C2DF4" w14:paraId="16DC1229" w14:textId="77777777" w:rsidTr="008902AC">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8865548" w14:textId="77777777" w:rsidR="009D0006" w:rsidRPr="001C2DF4" w:rsidRDefault="009D0006" w:rsidP="003113F7">
            <w:pPr>
              <w:pStyle w:val="Tabletext"/>
              <w:rPr>
                <w:lang w:val="en-US"/>
              </w:rPr>
            </w:pPr>
            <w:r w:rsidRPr="001C2DF4">
              <w:t>Public housing</w:t>
            </w:r>
          </w:p>
        </w:tc>
        <w:tc>
          <w:tcPr>
            <w:tcW w:w="1559" w:type="dxa"/>
            <w:noWrap/>
          </w:tcPr>
          <w:p w14:paraId="0482914A" w14:textId="77777777" w:rsidR="009D0006" w:rsidRPr="001C2DF4" w:rsidRDefault="009D0006" w:rsidP="003113F7">
            <w:pPr>
              <w:pStyle w:val="Tabletext"/>
              <w:rPr>
                <w:lang w:val="en-US"/>
              </w:rPr>
            </w:pPr>
            <w:r w:rsidRPr="001C2DF4">
              <w:t>22</w:t>
            </w:r>
          </w:p>
        </w:tc>
        <w:tc>
          <w:tcPr>
            <w:tcW w:w="1559" w:type="dxa"/>
            <w:noWrap/>
          </w:tcPr>
          <w:p w14:paraId="200C671A" w14:textId="77777777" w:rsidR="009D0006" w:rsidRPr="001C2DF4" w:rsidRDefault="009D0006" w:rsidP="003113F7">
            <w:pPr>
              <w:pStyle w:val="Tabletext"/>
              <w:rPr>
                <w:lang w:val="en-US"/>
              </w:rPr>
            </w:pPr>
            <w:r w:rsidRPr="001C2DF4">
              <w:t>0.9</w:t>
            </w:r>
          </w:p>
        </w:tc>
      </w:tr>
      <w:tr w:rsidR="009D0006" w:rsidRPr="001C2DF4" w14:paraId="4E674E7A" w14:textId="77777777" w:rsidTr="008902AC">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3B16DD6" w14:textId="77777777" w:rsidR="009D0006" w:rsidRPr="001C2DF4" w:rsidRDefault="009D0006" w:rsidP="003113F7">
            <w:pPr>
              <w:pStyle w:val="Tabletext"/>
              <w:rPr>
                <w:lang w:val="en-US"/>
              </w:rPr>
            </w:pPr>
            <w:r w:rsidRPr="001C2DF4">
              <w:t>Couch surfing</w:t>
            </w:r>
          </w:p>
        </w:tc>
        <w:tc>
          <w:tcPr>
            <w:tcW w:w="1559" w:type="dxa"/>
            <w:noWrap/>
          </w:tcPr>
          <w:p w14:paraId="18CF7466" w14:textId="77777777" w:rsidR="009D0006" w:rsidRPr="001C2DF4" w:rsidRDefault="009D0006" w:rsidP="003113F7">
            <w:pPr>
              <w:pStyle w:val="Tabletext"/>
              <w:rPr>
                <w:lang w:val="en-US"/>
              </w:rPr>
            </w:pPr>
            <w:r w:rsidRPr="001C2DF4">
              <w:t>14</w:t>
            </w:r>
          </w:p>
        </w:tc>
        <w:tc>
          <w:tcPr>
            <w:tcW w:w="1559" w:type="dxa"/>
            <w:noWrap/>
          </w:tcPr>
          <w:p w14:paraId="69B135BC" w14:textId="77777777" w:rsidR="009D0006" w:rsidRPr="001C2DF4" w:rsidRDefault="009D0006" w:rsidP="003113F7">
            <w:pPr>
              <w:pStyle w:val="Tabletext"/>
              <w:rPr>
                <w:lang w:val="en-US"/>
              </w:rPr>
            </w:pPr>
            <w:r w:rsidRPr="001C2DF4">
              <w:t>0.6</w:t>
            </w:r>
          </w:p>
        </w:tc>
      </w:tr>
      <w:tr w:rsidR="009D0006" w:rsidRPr="001C2DF4" w14:paraId="77B9C94D" w14:textId="77777777" w:rsidTr="008902AC">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C3A8EB6" w14:textId="77777777" w:rsidR="009D0006" w:rsidRPr="001C2DF4" w:rsidRDefault="009D0006" w:rsidP="003113F7">
            <w:pPr>
              <w:pStyle w:val="Tabletext"/>
              <w:rPr>
                <w:lang w:val="en-US"/>
              </w:rPr>
            </w:pPr>
            <w:r w:rsidRPr="001C2DF4">
              <w:rPr>
                <w:rFonts w:eastAsia="MS Mincho"/>
              </w:rPr>
              <w:t>Crisis/emergency accommodation</w:t>
            </w:r>
          </w:p>
        </w:tc>
        <w:tc>
          <w:tcPr>
            <w:tcW w:w="1559" w:type="dxa"/>
            <w:noWrap/>
          </w:tcPr>
          <w:p w14:paraId="1D81C7A4" w14:textId="77777777" w:rsidR="009D0006" w:rsidRPr="001C2DF4" w:rsidRDefault="009D0006" w:rsidP="003113F7">
            <w:pPr>
              <w:pStyle w:val="Tabletext"/>
              <w:rPr>
                <w:lang w:val="en-US"/>
              </w:rPr>
            </w:pPr>
            <w:r w:rsidRPr="001C2DF4">
              <w:t>11</w:t>
            </w:r>
          </w:p>
        </w:tc>
        <w:tc>
          <w:tcPr>
            <w:tcW w:w="1559" w:type="dxa"/>
            <w:noWrap/>
          </w:tcPr>
          <w:p w14:paraId="16D4AB3C" w14:textId="77777777" w:rsidR="009D0006" w:rsidRPr="001C2DF4" w:rsidRDefault="009D0006" w:rsidP="003113F7">
            <w:pPr>
              <w:pStyle w:val="Tabletext"/>
              <w:rPr>
                <w:lang w:val="en-US"/>
              </w:rPr>
            </w:pPr>
            <w:r w:rsidRPr="001C2DF4">
              <w:t>0.4</w:t>
            </w:r>
          </w:p>
        </w:tc>
      </w:tr>
      <w:tr w:rsidR="009D0006" w:rsidRPr="001C2DF4" w14:paraId="636BAE6B" w14:textId="77777777" w:rsidTr="008902AC">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D6C8B21" w14:textId="77777777" w:rsidR="009D0006" w:rsidRPr="001C2DF4" w:rsidRDefault="009D0006" w:rsidP="003113F7">
            <w:pPr>
              <w:pStyle w:val="Tabletext"/>
              <w:rPr>
                <w:lang w:val="en-US"/>
              </w:rPr>
            </w:pPr>
            <w:r w:rsidRPr="001C2DF4">
              <w:rPr>
                <w:rFonts w:eastAsia="MS Mincho"/>
              </w:rPr>
              <w:t>Somewhere else</w:t>
            </w:r>
          </w:p>
        </w:tc>
        <w:tc>
          <w:tcPr>
            <w:tcW w:w="1559" w:type="dxa"/>
            <w:noWrap/>
          </w:tcPr>
          <w:p w14:paraId="38224A14" w14:textId="77777777" w:rsidR="009D0006" w:rsidRPr="001C2DF4" w:rsidRDefault="009D0006" w:rsidP="003113F7">
            <w:pPr>
              <w:pStyle w:val="Tabletext"/>
              <w:rPr>
                <w:lang w:val="en-US"/>
              </w:rPr>
            </w:pPr>
            <w:r w:rsidRPr="001C2DF4">
              <w:t>42</w:t>
            </w:r>
          </w:p>
        </w:tc>
        <w:tc>
          <w:tcPr>
            <w:tcW w:w="1559" w:type="dxa"/>
            <w:noWrap/>
          </w:tcPr>
          <w:p w14:paraId="1680B9FC" w14:textId="77777777" w:rsidR="009D0006" w:rsidRPr="001C2DF4" w:rsidRDefault="009D0006" w:rsidP="003113F7">
            <w:pPr>
              <w:pStyle w:val="Tabletext"/>
              <w:rPr>
                <w:lang w:val="en-US"/>
              </w:rPr>
            </w:pPr>
            <w:r w:rsidRPr="001C2DF4">
              <w:t>1.6</w:t>
            </w:r>
          </w:p>
        </w:tc>
      </w:tr>
    </w:tbl>
    <w:p w14:paraId="22A64817" w14:textId="77777777" w:rsidR="009D0006" w:rsidRPr="001616A7" w:rsidRDefault="009D0006" w:rsidP="003F4AC6">
      <w:pPr>
        <w:spacing w:before="360"/>
      </w:pPr>
      <w:r>
        <w:t>As displayed in Table 24, t</w:t>
      </w:r>
      <w:r w:rsidRPr="00D00931">
        <w:t xml:space="preserve">he majority of </w:t>
      </w:r>
      <w:r>
        <w:t>young people</w:t>
      </w:r>
      <w:r w:rsidRPr="00692BC1">
        <w:t xml:space="preserve"> with disability in </w:t>
      </w:r>
      <w:r w:rsidRPr="00692BC1">
        <w:rPr>
          <w:i/>
          <w:iCs/>
        </w:rPr>
        <w:t>Writing Themselves in 4</w:t>
      </w:r>
      <w:r w:rsidRPr="00692BC1">
        <w:t xml:space="preserve"> </w:t>
      </w:r>
      <w:r w:rsidRPr="00D00931">
        <w:t>(8</w:t>
      </w:r>
      <w:r w:rsidRPr="00692BC1">
        <w:t>2.7</w:t>
      </w:r>
      <w:r w:rsidRPr="00D00931">
        <w:t xml:space="preserve">%; n = </w:t>
      </w:r>
      <w:r w:rsidRPr="00692BC1">
        <w:t>2065</w:t>
      </w:r>
      <w:r w:rsidRPr="00D00931">
        <w:t>) reported living in a house, followed by 6.</w:t>
      </w:r>
      <w:r w:rsidRPr="00692BC1">
        <w:t>9</w:t>
      </w:r>
      <w:r w:rsidRPr="00D00931">
        <w:t xml:space="preserve">% (n = </w:t>
      </w:r>
      <w:r w:rsidRPr="00692BC1">
        <w:t>173</w:t>
      </w:r>
      <w:r w:rsidRPr="00D00931">
        <w:t>) in a</w:t>
      </w:r>
      <w:r w:rsidRPr="00692BC1">
        <w:t xml:space="preserve"> rooming house/shared house</w:t>
      </w:r>
      <w:r w:rsidRPr="00D00931">
        <w:t>,</w:t>
      </w:r>
      <w:r w:rsidRPr="00692BC1">
        <w:t xml:space="preserve"> </w:t>
      </w:r>
      <w:r w:rsidRPr="00D00931">
        <w:t>6.</w:t>
      </w:r>
      <w:r w:rsidRPr="00692BC1">
        <w:t>8</w:t>
      </w:r>
      <w:r w:rsidRPr="00D00931">
        <w:t xml:space="preserve">% (n = </w:t>
      </w:r>
      <w:r w:rsidRPr="00692BC1">
        <w:t>171</w:t>
      </w:r>
      <w:r w:rsidRPr="00D00931">
        <w:t xml:space="preserve">) in an </w:t>
      </w:r>
      <w:r w:rsidRPr="00692BC1">
        <w:t xml:space="preserve">apartment, 0.9% (n = 22) in public housing, 0.6% (n = 14) couch surfing, 0.4% (n = 11) in crisis/emergency accommodation and 1.6% (n = 42) somewhere else. </w:t>
      </w:r>
    </w:p>
    <w:p w14:paraId="60284E34" w14:textId="3E707CE5" w:rsidR="009D0006" w:rsidRPr="002306D8" w:rsidRDefault="009D0006" w:rsidP="00153892">
      <w:pPr>
        <w:pStyle w:val="Heading3Numbered"/>
      </w:pPr>
      <w:bookmarkStart w:id="350" w:name="_Toc115968544"/>
      <w:r w:rsidRPr="002306D8">
        <w:t xml:space="preserve">Current </w:t>
      </w:r>
      <w:r>
        <w:t>housing</w:t>
      </w:r>
      <w:r w:rsidRPr="002306D8">
        <w:t xml:space="preserve"> situation – adults aged 18+ years</w:t>
      </w:r>
      <w:bookmarkEnd w:id="350"/>
    </w:p>
    <w:p w14:paraId="054D1568" w14:textId="6D57A8B6" w:rsidR="009D0006" w:rsidRPr="002306D8" w:rsidRDefault="009D0006" w:rsidP="003113F7">
      <w:pPr>
        <w:pStyle w:val="Tableheading"/>
      </w:pPr>
      <w:bookmarkStart w:id="351" w:name="_Toc37345834"/>
      <w:bookmarkStart w:id="352" w:name="_Toc46861261"/>
      <w:bookmarkStart w:id="353" w:name="_Toc117062743"/>
      <w:bookmarkStart w:id="354" w:name="_Toc119651428"/>
      <w:r w:rsidRPr="002306D8">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xml:space="preserve">: </w:t>
      </w:r>
      <w:r w:rsidRPr="002306D8">
        <w:t xml:space="preserve">Current </w:t>
      </w:r>
      <w:r>
        <w:t>housing</w:t>
      </w:r>
      <w:r w:rsidRPr="002306D8">
        <w:t xml:space="preserve"> situation </w:t>
      </w:r>
      <w:r>
        <w:t xml:space="preserve">of adults with disability aged 18+ years </w:t>
      </w:r>
      <w:r w:rsidRPr="002306D8">
        <w:t>(n = 2624)</w:t>
      </w:r>
      <w:bookmarkEnd w:id="351"/>
      <w:bookmarkEnd w:id="352"/>
      <w:bookmarkEnd w:id="353"/>
      <w:bookmarkEnd w:id="354"/>
    </w:p>
    <w:tbl>
      <w:tblPr>
        <w:tblStyle w:val="RCTable"/>
        <w:tblW w:w="9864" w:type="dxa"/>
        <w:tblLook w:val="04A0" w:firstRow="1" w:lastRow="0" w:firstColumn="1" w:lastColumn="0" w:noHBand="0" w:noVBand="1"/>
      </w:tblPr>
      <w:tblGrid>
        <w:gridCol w:w="6746"/>
        <w:gridCol w:w="1559"/>
        <w:gridCol w:w="1559"/>
      </w:tblGrid>
      <w:tr w:rsidR="009D0006" w:rsidRPr="001C2DF4" w14:paraId="619C9D99" w14:textId="77777777" w:rsidTr="00C75AC6">
        <w:trPr>
          <w:cnfStyle w:val="100000000000" w:firstRow="1" w:lastRow="0" w:firstColumn="0" w:lastColumn="0" w:oddVBand="0" w:evenVBand="0" w:oddHBand="0" w:evenHBand="0" w:firstRowFirstColumn="0" w:firstRowLastColumn="0" w:lastRowFirstColumn="0" w:lastRowLastColumn="0"/>
          <w:trHeight w:val="340"/>
          <w:tblHeader/>
        </w:trPr>
        <w:tc>
          <w:tcPr>
            <w:tcW w:w="6746" w:type="dxa"/>
            <w:noWrap/>
            <w:hideMark/>
          </w:tcPr>
          <w:p w14:paraId="793AFB90" w14:textId="77777777" w:rsidR="009D0006" w:rsidRPr="001C2DF4" w:rsidRDefault="009D0006" w:rsidP="003113F7">
            <w:pPr>
              <w:pStyle w:val="Tableheader"/>
            </w:pPr>
            <w:r w:rsidRPr="001C2DF4">
              <w:rPr>
                <w:lang w:val="en-US"/>
              </w:rPr>
              <w:t>Housing situation</w:t>
            </w:r>
          </w:p>
        </w:tc>
        <w:tc>
          <w:tcPr>
            <w:tcW w:w="1559" w:type="dxa"/>
            <w:noWrap/>
            <w:hideMark/>
          </w:tcPr>
          <w:p w14:paraId="66D1B9C6" w14:textId="77777777" w:rsidR="009D0006" w:rsidRPr="001C2DF4" w:rsidRDefault="009D0006" w:rsidP="003113F7">
            <w:pPr>
              <w:pStyle w:val="Tableheader"/>
            </w:pPr>
            <w:r>
              <w:rPr>
                <w:lang w:val="en-US"/>
              </w:rPr>
              <w:t>n</w:t>
            </w:r>
          </w:p>
        </w:tc>
        <w:tc>
          <w:tcPr>
            <w:tcW w:w="1559" w:type="dxa"/>
            <w:noWrap/>
            <w:hideMark/>
          </w:tcPr>
          <w:p w14:paraId="16D0C184" w14:textId="77777777" w:rsidR="009D0006" w:rsidRPr="001C2DF4" w:rsidRDefault="009D0006" w:rsidP="003113F7">
            <w:pPr>
              <w:pStyle w:val="Tableheader"/>
            </w:pPr>
            <w:r w:rsidRPr="001C2DF4">
              <w:rPr>
                <w:lang w:val="en-US"/>
              </w:rPr>
              <w:t>%</w:t>
            </w:r>
          </w:p>
        </w:tc>
      </w:tr>
      <w:tr w:rsidR="009D0006" w:rsidRPr="001C2DF4" w14:paraId="309B0EF7"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056DCB5" w14:textId="77777777" w:rsidR="009D0006" w:rsidRPr="001C2DF4" w:rsidRDefault="009D0006" w:rsidP="003113F7">
            <w:pPr>
              <w:pStyle w:val="Tabletext"/>
            </w:pPr>
            <w:r w:rsidRPr="001C2DF4">
              <w:rPr>
                <w:lang w:val="en-US"/>
              </w:rPr>
              <w:t xml:space="preserve">Private rental </w:t>
            </w:r>
          </w:p>
        </w:tc>
        <w:tc>
          <w:tcPr>
            <w:tcW w:w="1559" w:type="dxa"/>
            <w:noWrap/>
          </w:tcPr>
          <w:p w14:paraId="2F5DFBB3" w14:textId="77777777" w:rsidR="009D0006" w:rsidRPr="001C2DF4" w:rsidRDefault="009D0006" w:rsidP="003113F7">
            <w:pPr>
              <w:pStyle w:val="Tabletext"/>
            </w:pPr>
            <w:r w:rsidRPr="001C2DF4">
              <w:t>1240</w:t>
            </w:r>
          </w:p>
        </w:tc>
        <w:tc>
          <w:tcPr>
            <w:tcW w:w="1559" w:type="dxa"/>
            <w:noWrap/>
          </w:tcPr>
          <w:p w14:paraId="438DC3BD" w14:textId="77777777" w:rsidR="009D0006" w:rsidRPr="001C2DF4" w:rsidRDefault="009D0006" w:rsidP="003113F7">
            <w:pPr>
              <w:pStyle w:val="Tabletext"/>
            </w:pPr>
            <w:r w:rsidRPr="001C2DF4">
              <w:t>47.3</w:t>
            </w:r>
          </w:p>
        </w:tc>
      </w:tr>
      <w:tr w:rsidR="009D0006" w:rsidRPr="001C2DF4" w14:paraId="536B61BA"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799E363" w14:textId="77777777" w:rsidR="009D0006" w:rsidRPr="001C2DF4" w:rsidRDefault="009D0006" w:rsidP="003113F7">
            <w:pPr>
              <w:pStyle w:val="Tabletext"/>
            </w:pPr>
            <w:r w:rsidRPr="001C2DF4">
              <w:rPr>
                <w:lang w:val="en-US"/>
              </w:rPr>
              <w:t>At home with family</w:t>
            </w:r>
          </w:p>
        </w:tc>
        <w:tc>
          <w:tcPr>
            <w:tcW w:w="1559" w:type="dxa"/>
            <w:noWrap/>
          </w:tcPr>
          <w:p w14:paraId="75B515A4" w14:textId="77777777" w:rsidR="009D0006" w:rsidRPr="001C2DF4" w:rsidRDefault="009D0006" w:rsidP="003113F7">
            <w:pPr>
              <w:pStyle w:val="Tabletext"/>
            </w:pPr>
            <w:r w:rsidRPr="001C2DF4">
              <w:t>694</w:t>
            </w:r>
          </w:p>
        </w:tc>
        <w:tc>
          <w:tcPr>
            <w:tcW w:w="1559" w:type="dxa"/>
            <w:noWrap/>
          </w:tcPr>
          <w:p w14:paraId="3F0C3C20" w14:textId="77777777" w:rsidR="009D0006" w:rsidRPr="001C2DF4" w:rsidRDefault="009D0006" w:rsidP="003113F7">
            <w:pPr>
              <w:pStyle w:val="Tabletext"/>
            </w:pPr>
            <w:r w:rsidRPr="001C2DF4">
              <w:t>26.5</w:t>
            </w:r>
          </w:p>
        </w:tc>
      </w:tr>
      <w:tr w:rsidR="009D0006" w:rsidRPr="001C2DF4" w14:paraId="1822265D"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9910F0F" w14:textId="77777777" w:rsidR="009D0006" w:rsidRPr="001C2DF4" w:rsidRDefault="009D0006" w:rsidP="003113F7">
            <w:pPr>
              <w:pStyle w:val="Tabletext"/>
            </w:pPr>
            <w:r w:rsidRPr="001C2DF4">
              <w:rPr>
                <w:lang w:val="en-US"/>
              </w:rPr>
              <w:t>Privately owned</w:t>
            </w:r>
          </w:p>
        </w:tc>
        <w:tc>
          <w:tcPr>
            <w:tcW w:w="1559" w:type="dxa"/>
            <w:noWrap/>
          </w:tcPr>
          <w:p w14:paraId="2CFBA145" w14:textId="77777777" w:rsidR="009D0006" w:rsidRPr="001C2DF4" w:rsidRDefault="009D0006" w:rsidP="003113F7">
            <w:pPr>
              <w:pStyle w:val="Tabletext"/>
            </w:pPr>
            <w:r w:rsidRPr="001C2DF4">
              <w:t>560</w:t>
            </w:r>
          </w:p>
        </w:tc>
        <w:tc>
          <w:tcPr>
            <w:tcW w:w="1559" w:type="dxa"/>
            <w:noWrap/>
          </w:tcPr>
          <w:p w14:paraId="4C66A058" w14:textId="77777777" w:rsidR="009D0006" w:rsidRPr="001C2DF4" w:rsidRDefault="009D0006" w:rsidP="003113F7">
            <w:pPr>
              <w:pStyle w:val="Tabletext"/>
            </w:pPr>
            <w:r w:rsidRPr="001C2DF4">
              <w:t>21.3</w:t>
            </w:r>
          </w:p>
        </w:tc>
      </w:tr>
      <w:tr w:rsidR="009D0006" w:rsidRPr="001C2DF4" w14:paraId="6B86E6AA"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12681D1" w14:textId="77777777" w:rsidR="009D0006" w:rsidRPr="001C2DF4" w:rsidRDefault="009D0006" w:rsidP="003113F7">
            <w:pPr>
              <w:pStyle w:val="Tabletext"/>
            </w:pPr>
            <w:r w:rsidRPr="001C2DF4">
              <w:rPr>
                <w:lang w:val="en-US"/>
              </w:rPr>
              <w:t>Public housing</w:t>
            </w:r>
          </w:p>
        </w:tc>
        <w:tc>
          <w:tcPr>
            <w:tcW w:w="1559" w:type="dxa"/>
            <w:noWrap/>
          </w:tcPr>
          <w:p w14:paraId="6D4F2C6E" w14:textId="77777777" w:rsidR="009D0006" w:rsidRPr="001C2DF4" w:rsidRDefault="009D0006" w:rsidP="003113F7">
            <w:pPr>
              <w:pStyle w:val="Tabletext"/>
            </w:pPr>
            <w:r w:rsidRPr="001C2DF4">
              <w:t>72</w:t>
            </w:r>
          </w:p>
        </w:tc>
        <w:tc>
          <w:tcPr>
            <w:tcW w:w="1559" w:type="dxa"/>
            <w:noWrap/>
          </w:tcPr>
          <w:p w14:paraId="11685B65" w14:textId="77777777" w:rsidR="009D0006" w:rsidRPr="001C2DF4" w:rsidRDefault="009D0006" w:rsidP="003113F7">
            <w:pPr>
              <w:pStyle w:val="Tabletext"/>
            </w:pPr>
            <w:r w:rsidRPr="001C2DF4">
              <w:t>2.7</w:t>
            </w:r>
          </w:p>
        </w:tc>
      </w:tr>
      <w:tr w:rsidR="009D0006" w:rsidRPr="001C2DF4" w14:paraId="53A75AF7"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14BF1B5" w14:textId="77777777" w:rsidR="009D0006" w:rsidRPr="001C2DF4" w:rsidRDefault="009D0006" w:rsidP="003113F7">
            <w:pPr>
              <w:pStyle w:val="Tabletext"/>
            </w:pPr>
            <w:r w:rsidRPr="001C2DF4">
              <w:rPr>
                <w:lang w:val="en-US"/>
              </w:rPr>
              <w:t>Rooming house</w:t>
            </w:r>
          </w:p>
        </w:tc>
        <w:tc>
          <w:tcPr>
            <w:tcW w:w="1559" w:type="dxa"/>
            <w:noWrap/>
          </w:tcPr>
          <w:p w14:paraId="49848099" w14:textId="77777777" w:rsidR="009D0006" w:rsidRPr="001C2DF4" w:rsidRDefault="009D0006" w:rsidP="003113F7">
            <w:pPr>
              <w:pStyle w:val="Tabletext"/>
            </w:pPr>
            <w:r w:rsidRPr="001C2DF4">
              <w:t>33</w:t>
            </w:r>
          </w:p>
        </w:tc>
        <w:tc>
          <w:tcPr>
            <w:tcW w:w="1559" w:type="dxa"/>
            <w:noWrap/>
          </w:tcPr>
          <w:p w14:paraId="7B46513C" w14:textId="77777777" w:rsidR="009D0006" w:rsidRPr="001C2DF4" w:rsidRDefault="009D0006" w:rsidP="003113F7">
            <w:pPr>
              <w:pStyle w:val="Tabletext"/>
            </w:pPr>
            <w:r w:rsidRPr="001C2DF4">
              <w:t>1.3</w:t>
            </w:r>
          </w:p>
        </w:tc>
      </w:tr>
      <w:tr w:rsidR="009D0006" w:rsidRPr="001C2DF4" w14:paraId="20E7F0F0"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6598C6C" w14:textId="77777777" w:rsidR="009D0006" w:rsidRPr="001C2DF4" w:rsidRDefault="009D0006" w:rsidP="003113F7">
            <w:pPr>
              <w:pStyle w:val="Tabletext"/>
            </w:pPr>
            <w:r w:rsidRPr="001C2DF4">
              <w:rPr>
                <w:lang w:val="en-US"/>
              </w:rPr>
              <w:t>Couch surfing</w:t>
            </w:r>
          </w:p>
        </w:tc>
        <w:tc>
          <w:tcPr>
            <w:tcW w:w="1559" w:type="dxa"/>
            <w:noWrap/>
          </w:tcPr>
          <w:p w14:paraId="446CEB25" w14:textId="77777777" w:rsidR="009D0006" w:rsidRPr="001C2DF4" w:rsidRDefault="009D0006" w:rsidP="003113F7">
            <w:pPr>
              <w:pStyle w:val="Tabletext"/>
            </w:pPr>
            <w:r w:rsidRPr="001C2DF4">
              <w:t>32</w:t>
            </w:r>
          </w:p>
        </w:tc>
        <w:tc>
          <w:tcPr>
            <w:tcW w:w="1559" w:type="dxa"/>
            <w:noWrap/>
          </w:tcPr>
          <w:p w14:paraId="2185B11A" w14:textId="77777777" w:rsidR="009D0006" w:rsidRPr="001C2DF4" w:rsidRDefault="009D0006" w:rsidP="003113F7">
            <w:pPr>
              <w:pStyle w:val="Tabletext"/>
            </w:pPr>
            <w:r w:rsidRPr="001C2DF4">
              <w:t>1.2</w:t>
            </w:r>
          </w:p>
        </w:tc>
      </w:tr>
      <w:tr w:rsidR="009D0006" w:rsidRPr="001C2DF4" w14:paraId="6D04A39C"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D12ED64" w14:textId="77777777" w:rsidR="009D0006" w:rsidRPr="001C2DF4" w:rsidRDefault="009D0006" w:rsidP="003113F7">
            <w:pPr>
              <w:pStyle w:val="Tabletext"/>
            </w:pPr>
            <w:r w:rsidRPr="001C2DF4">
              <w:rPr>
                <w:lang w:val="en-US"/>
              </w:rPr>
              <w:t>Transitional housing</w:t>
            </w:r>
          </w:p>
        </w:tc>
        <w:tc>
          <w:tcPr>
            <w:tcW w:w="1559" w:type="dxa"/>
            <w:noWrap/>
          </w:tcPr>
          <w:p w14:paraId="5A2A1D19" w14:textId="77777777" w:rsidR="009D0006" w:rsidRPr="001C2DF4" w:rsidRDefault="009D0006" w:rsidP="003113F7">
            <w:pPr>
              <w:pStyle w:val="Tabletext"/>
            </w:pPr>
            <w:r w:rsidRPr="001C2DF4">
              <w:t>19</w:t>
            </w:r>
          </w:p>
        </w:tc>
        <w:tc>
          <w:tcPr>
            <w:tcW w:w="1559" w:type="dxa"/>
            <w:noWrap/>
          </w:tcPr>
          <w:p w14:paraId="1CAB2705" w14:textId="77777777" w:rsidR="009D0006" w:rsidRPr="001C2DF4" w:rsidRDefault="009D0006" w:rsidP="003113F7">
            <w:pPr>
              <w:pStyle w:val="Tabletext"/>
            </w:pPr>
            <w:r w:rsidRPr="001C2DF4">
              <w:t>0.7</w:t>
            </w:r>
          </w:p>
        </w:tc>
      </w:tr>
      <w:tr w:rsidR="009D0006" w:rsidRPr="001C2DF4" w14:paraId="388BDC05"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6058BBC" w14:textId="77777777" w:rsidR="009D0006" w:rsidRPr="001C2DF4" w:rsidRDefault="009D0006" w:rsidP="003113F7">
            <w:pPr>
              <w:pStyle w:val="Tabletext"/>
            </w:pPr>
            <w:r w:rsidRPr="001C2DF4">
              <w:rPr>
                <w:lang w:val="en-US"/>
              </w:rPr>
              <w:t>Crisis/emergency accommodation</w:t>
            </w:r>
          </w:p>
        </w:tc>
        <w:tc>
          <w:tcPr>
            <w:tcW w:w="1559" w:type="dxa"/>
            <w:noWrap/>
          </w:tcPr>
          <w:p w14:paraId="7DCE9312" w14:textId="77777777" w:rsidR="009D0006" w:rsidRPr="001C2DF4" w:rsidRDefault="009D0006" w:rsidP="003113F7">
            <w:pPr>
              <w:pStyle w:val="Tabletext"/>
            </w:pPr>
            <w:r w:rsidRPr="001C2DF4">
              <w:t>11</w:t>
            </w:r>
          </w:p>
        </w:tc>
        <w:tc>
          <w:tcPr>
            <w:tcW w:w="1559" w:type="dxa"/>
            <w:noWrap/>
          </w:tcPr>
          <w:p w14:paraId="78ED0954" w14:textId="77777777" w:rsidR="009D0006" w:rsidRPr="001C2DF4" w:rsidRDefault="009D0006" w:rsidP="003113F7">
            <w:pPr>
              <w:pStyle w:val="Tabletext"/>
            </w:pPr>
            <w:r w:rsidRPr="001C2DF4">
              <w:t>0.4</w:t>
            </w:r>
          </w:p>
        </w:tc>
      </w:tr>
      <w:tr w:rsidR="009D0006" w:rsidRPr="001C2DF4" w14:paraId="40B96598"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8847312" w14:textId="77777777" w:rsidR="009D0006" w:rsidRPr="001C2DF4" w:rsidRDefault="009D0006" w:rsidP="003113F7">
            <w:pPr>
              <w:pStyle w:val="Tabletext"/>
            </w:pPr>
            <w:r w:rsidRPr="001C2DF4">
              <w:rPr>
                <w:lang w:val="en-US"/>
              </w:rPr>
              <w:t>Carav</w:t>
            </w:r>
            <w:r w:rsidRPr="001C2DF4">
              <w:rPr>
                <w:lang w:val="en-US"/>
              </w:rPr>
              <w:lastRenderedPageBreak/>
              <w:t>an park</w:t>
            </w:r>
          </w:p>
        </w:tc>
        <w:tc>
          <w:tcPr>
            <w:tcW w:w="1559" w:type="dxa"/>
            <w:noWrap/>
          </w:tcPr>
          <w:p w14:paraId="3C3F6FC7" w14:textId="77777777" w:rsidR="009D0006" w:rsidRPr="001C2DF4" w:rsidRDefault="009D0006" w:rsidP="003113F7">
            <w:pPr>
              <w:pStyle w:val="Tabletext"/>
            </w:pPr>
            <w:r w:rsidRPr="001C2DF4">
              <w:t>4</w:t>
            </w:r>
          </w:p>
        </w:tc>
        <w:tc>
          <w:tcPr>
            <w:tcW w:w="1559" w:type="dxa"/>
            <w:noWrap/>
          </w:tcPr>
          <w:p w14:paraId="68AFF0E5" w14:textId="77777777" w:rsidR="009D0006" w:rsidRPr="001C2DF4" w:rsidRDefault="009D0006" w:rsidP="003113F7">
            <w:pPr>
              <w:pStyle w:val="Tabletext"/>
            </w:pPr>
            <w:r w:rsidRPr="001C2DF4">
              <w:t>0.2</w:t>
            </w:r>
          </w:p>
        </w:tc>
      </w:tr>
      <w:tr w:rsidR="009D0006" w:rsidRPr="001C2DF4" w14:paraId="56DE7742"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37B6158" w14:textId="77777777" w:rsidR="009D0006" w:rsidRPr="001C2DF4" w:rsidRDefault="009D0006" w:rsidP="003113F7">
            <w:pPr>
              <w:pStyle w:val="Tabletext"/>
            </w:pPr>
            <w:r w:rsidRPr="001C2DF4">
              <w:rPr>
                <w:lang w:val="en-US"/>
              </w:rPr>
              <w:t>Street/abandoned property/squatting</w:t>
            </w:r>
          </w:p>
        </w:tc>
        <w:tc>
          <w:tcPr>
            <w:tcW w:w="1559" w:type="dxa"/>
            <w:noWrap/>
          </w:tcPr>
          <w:p w14:paraId="4F5240BD" w14:textId="77777777" w:rsidR="009D0006" w:rsidRPr="001C2DF4" w:rsidRDefault="009D0006" w:rsidP="003113F7">
            <w:pPr>
              <w:pStyle w:val="Tabletext"/>
            </w:pPr>
            <w:r w:rsidRPr="001C2DF4">
              <w:t>6</w:t>
            </w:r>
          </w:p>
        </w:tc>
        <w:tc>
          <w:tcPr>
            <w:tcW w:w="1559" w:type="dxa"/>
            <w:noWrap/>
          </w:tcPr>
          <w:p w14:paraId="218A6F59" w14:textId="77777777" w:rsidR="009D0006" w:rsidRPr="001C2DF4" w:rsidRDefault="009D0006" w:rsidP="003113F7">
            <w:pPr>
              <w:pStyle w:val="Tabletext"/>
            </w:pPr>
            <w:r w:rsidRPr="001C2DF4">
              <w:t>0.2</w:t>
            </w:r>
          </w:p>
        </w:tc>
      </w:tr>
      <w:tr w:rsidR="009D0006" w:rsidRPr="001C2DF4" w14:paraId="105E55F4"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F91F538" w14:textId="77777777" w:rsidR="009D0006" w:rsidRPr="001C2DF4" w:rsidRDefault="009D0006" w:rsidP="003113F7">
            <w:pPr>
              <w:pStyle w:val="Tabletext"/>
            </w:pPr>
            <w:r w:rsidRPr="001C2DF4">
              <w:rPr>
                <w:lang w:val="en-US"/>
              </w:rPr>
              <w:t>Somewhere else</w:t>
            </w:r>
          </w:p>
        </w:tc>
        <w:tc>
          <w:tcPr>
            <w:tcW w:w="1559" w:type="dxa"/>
            <w:noWrap/>
          </w:tcPr>
          <w:p w14:paraId="0D7941CF" w14:textId="77777777" w:rsidR="009D0006" w:rsidRPr="001C2DF4" w:rsidRDefault="009D0006" w:rsidP="003113F7">
            <w:pPr>
              <w:pStyle w:val="Tabletext"/>
            </w:pPr>
            <w:r w:rsidRPr="001C2DF4">
              <w:t>83</w:t>
            </w:r>
          </w:p>
        </w:tc>
        <w:tc>
          <w:tcPr>
            <w:tcW w:w="1559" w:type="dxa"/>
            <w:noWrap/>
          </w:tcPr>
          <w:p w14:paraId="7FDE5B37" w14:textId="77777777" w:rsidR="009D0006" w:rsidRPr="001C2DF4" w:rsidRDefault="009D0006" w:rsidP="003113F7">
            <w:pPr>
              <w:pStyle w:val="Tabletext"/>
            </w:pPr>
            <w:r w:rsidRPr="001C2DF4">
              <w:t>3.1</w:t>
            </w:r>
          </w:p>
        </w:tc>
      </w:tr>
    </w:tbl>
    <w:p w14:paraId="0E14269E" w14:textId="77777777" w:rsidR="009D0006" w:rsidRPr="003113F7" w:rsidRDefault="009D0006" w:rsidP="003113F7">
      <w:pPr>
        <w:pStyle w:val="TableTextNotebelow"/>
        <w:rPr>
          <w:i/>
        </w:rPr>
      </w:pPr>
      <w:r w:rsidRPr="003113F7">
        <w:rPr>
          <w:i/>
        </w:rPr>
        <w:t>Note: Multiple responses were permitted thus percentages do not add up to 100.</w:t>
      </w:r>
    </w:p>
    <w:p w14:paraId="27EF1D3E" w14:textId="77777777" w:rsidR="009D0006" w:rsidRDefault="009D0006" w:rsidP="003F4AC6">
      <w:pPr>
        <w:spacing w:before="360"/>
      </w:pPr>
      <w:bookmarkStart w:id="355" w:name="_Hlk42108379"/>
      <w:r>
        <w:t xml:space="preserve">Table 25 shows data on current living situations from </w:t>
      </w:r>
      <w:r>
        <w:rPr>
          <w:i/>
          <w:iCs/>
        </w:rPr>
        <w:t xml:space="preserve">Private Lives 3. </w:t>
      </w:r>
      <w:r w:rsidRPr="002306D8">
        <w:t>In all,</w:t>
      </w:r>
      <w:r>
        <w:rPr>
          <w:i/>
          <w:iCs/>
        </w:rPr>
        <w:t xml:space="preserve"> </w:t>
      </w:r>
      <w:r>
        <w:t>m</w:t>
      </w:r>
      <w:r w:rsidRPr="00692BC1">
        <w:t xml:space="preserve">ore than </w:t>
      </w:r>
      <w:r>
        <w:t>4 in 10</w:t>
      </w:r>
      <w:r w:rsidRPr="00692BC1">
        <w:t xml:space="preserve"> (47.3%; n = 1240) </w:t>
      </w:r>
      <w:r>
        <w:t>adults</w:t>
      </w:r>
      <w:r w:rsidRPr="00692BC1">
        <w:t xml:space="preserve"> </w:t>
      </w:r>
      <w:r>
        <w:t xml:space="preserve">with disability </w:t>
      </w:r>
      <w:r w:rsidRPr="00692BC1">
        <w:t>reported living in a private rental property, one</w:t>
      </w:r>
      <w:r>
        <w:t>-</w:t>
      </w:r>
      <w:r w:rsidRPr="00692BC1">
        <w:t xml:space="preserve">quarter (26.5%; n = 694) at home with their family and one-fifth (21.2%; n = 560) in a home they owned. </w:t>
      </w:r>
      <w:bookmarkEnd w:id="355"/>
      <w:r w:rsidRPr="00692BC1">
        <w:t xml:space="preserve">In the general Australian population, a higher proportion of people (66%) live in a home they own and a lower proportion (32%) live in a private rental property </w:t>
      </w:r>
      <w:r w:rsidRPr="00692BC1">
        <w:fldChar w:fldCharType="begin"/>
      </w:r>
      <w:r>
        <w:instrText xml:space="preserve"> ADDIN ZOTERO_ITEM CSL_CITATION {"citationID":"VmuCHMzs","properties":{"formattedCitation":"(30)","plainCitation":"(30)","noteIndex":0},"citationItems":[{"id":"hc6yy1rM/qMX1s3PZ","uris":["http://zotero.org/users/4948307/items/48N68FDP"],"itemData":{"id":155,"type":"webpage","abstract":"This is a summary from publication Key Findings which contains key figures, key points and notes from the publication.","language":"en","note":"source: www.abs.gov.au\npublisher: c=AU; o=Commonwealth of Australia; ou=Australian Bureau of Statistics","title":"Survey of Income and Housing Summary","URL":"https://www.abs.gov.au/ausstats/abs@.nsf/0/88BF225497426920CA257F5C000989A8?Opendocument","author":[{"family":"Australian Bureau of Statistics","given":""}],"accessed":{"date-parts":[["2020",4,29]]},"issued":{"date-parts":[["2018"]]}}}],"schema":"https://github.com/citation-style-language/schema/raw/master/csl-citation.json"} </w:instrText>
      </w:r>
      <w:r w:rsidRPr="00692BC1">
        <w:fldChar w:fldCharType="separate"/>
      </w:r>
      <w:r>
        <w:rPr>
          <w:lang w:val="en-GB"/>
        </w:rPr>
        <w:t>(30)</w:t>
      </w:r>
      <w:r w:rsidRPr="00692BC1">
        <w:fldChar w:fldCharType="end"/>
      </w:r>
      <w:r w:rsidRPr="00692BC1">
        <w:t xml:space="preserve">. Among participants living in a private rental property, 38.5% (n = 478) shared with a partner, 38.5% (n = 477) shared with </w:t>
      </w:r>
      <w:r>
        <w:t xml:space="preserve">one or more </w:t>
      </w:r>
      <w:r w:rsidRPr="00692BC1">
        <w:t>friends and 26.9% (n = 334) lived alone. Among participants who were living in their own home (n = 560), 68.4% (n = 383) owned it with a mortgage and 31.6 % (n = 177) owned it without a mortgage. Fewer participants with disability lived in public housing (2.7%; n = 72), a rooming house (1.3%; n = 33), couch surfing (1.2%; n = 32), transitional housing (0.7%; n = 19), crisis/emergency accommodation (0.4%; n = 11), a caravan park (0.2%; n = 4), a street</w:t>
      </w:r>
      <w:r>
        <w:t xml:space="preserve"> or </w:t>
      </w:r>
      <w:r w:rsidRPr="00692BC1">
        <w:t xml:space="preserve">abandoned property or squatting (0.2%; n = 6) or somewhere else (3.1%; n = 83). </w:t>
      </w:r>
      <w:r>
        <w:t xml:space="preserve">It is worth noting that the survey did not explicitly ask about shared supported accommodation and it is not known whether there were some participants in this situation who may have indicated ‘somewhere else’ in their responses to this survey question. </w:t>
      </w:r>
    </w:p>
    <w:p w14:paraId="1B41A93E" w14:textId="7C743813" w:rsidR="009D0006" w:rsidRPr="002306D8" w:rsidRDefault="009D0006" w:rsidP="00153892">
      <w:pPr>
        <w:pStyle w:val="Heading3Numbered"/>
      </w:pPr>
      <w:bookmarkStart w:id="356" w:name="_Toc115968545"/>
      <w:r w:rsidRPr="002306D8">
        <w:t xml:space="preserve">Household </w:t>
      </w:r>
      <w:r>
        <w:t xml:space="preserve">members </w:t>
      </w:r>
      <w:r w:rsidRPr="002306D8">
        <w:t>– young people aged 14-21 years</w:t>
      </w:r>
      <w:bookmarkEnd w:id="356"/>
    </w:p>
    <w:p w14:paraId="41068192" w14:textId="5A54FA12" w:rsidR="009D0006" w:rsidRPr="002306D8" w:rsidRDefault="009D0006" w:rsidP="003113F7">
      <w:pPr>
        <w:pStyle w:val="Tableheading"/>
      </w:pPr>
      <w:bookmarkStart w:id="357" w:name="_Toc48137907"/>
      <w:bookmarkStart w:id="358" w:name="_Toc117062744"/>
      <w:bookmarkStart w:id="359" w:name="_Toc119651429"/>
      <w:r w:rsidRPr="002306D8">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xml:space="preserve">: </w:t>
      </w:r>
      <w:r w:rsidRPr="002306D8">
        <w:t>Household</w:t>
      </w:r>
      <w:bookmarkEnd w:id="357"/>
      <w:r w:rsidRPr="002306D8">
        <w:t xml:space="preserve"> </w:t>
      </w:r>
      <w:r>
        <w:t xml:space="preserve">members of young people with disability aged 14-21 years </w:t>
      </w:r>
      <w:r w:rsidRPr="002306D8">
        <w:t>(n = 2497)</w:t>
      </w:r>
      <w:bookmarkEnd w:id="358"/>
      <w:bookmarkEnd w:id="359"/>
    </w:p>
    <w:tbl>
      <w:tblPr>
        <w:tblStyle w:val="RCTable"/>
        <w:tblW w:w="9864" w:type="dxa"/>
        <w:tblInd w:w="-23" w:type="dxa"/>
        <w:tblLook w:val="04A0" w:firstRow="1" w:lastRow="0" w:firstColumn="1" w:lastColumn="0" w:noHBand="0" w:noVBand="1"/>
      </w:tblPr>
      <w:tblGrid>
        <w:gridCol w:w="6746"/>
        <w:gridCol w:w="1559"/>
        <w:gridCol w:w="1559"/>
      </w:tblGrid>
      <w:tr w:rsidR="009D0006" w:rsidRPr="001C2DF4" w14:paraId="38B76040" w14:textId="77777777" w:rsidTr="003113F7">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31A593E8" w14:textId="77777777" w:rsidR="009D0006" w:rsidRPr="001C2DF4" w:rsidRDefault="009D0006" w:rsidP="003113F7">
            <w:pPr>
              <w:pStyle w:val="Tableheader"/>
              <w:rPr>
                <w:lang w:val="en-US"/>
              </w:rPr>
            </w:pPr>
            <w:r w:rsidRPr="001C2DF4">
              <w:rPr>
                <w:lang w:val="en-US"/>
              </w:rPr>
              <w:t>Household</w:t>
            </w:r>
          </w:p>
        </w:tc>
        <w:tc>
          <w:tcPr>
            <w:tcW w:w="1559" w:type="dxa"/>
            <w:noWrap/>
            <w:hideMark/>
          </w:tcPr>
          <w:p w14:paraId="38280B44" w14:textId="77777777" w:rsidR="009D0006" w:rsidRPr="001C2DF4" w:rsidRDefault="009D0006" w:rsidP="003113F7">
            <w:pPr>
              <w:pStyle w:val="Tableheader"/>
              <w:rPr>
                <w:lang w:val="en-US"/>
              </w:rPr>
            </w:pPr>
            <w:r>
              <w:rPr>
                <w:lang w:val="en-US"/>
              </w:rPr>
              <w:t>n</w:t>
            </w:r>
          </w:p>
        </w:tc>
        <w:tc>
          <w:tcPr>
            <w:tcW w:w="1559" w:type="dxa"/>
            <w:noWrap/>
            <w:hideMark/>
          </w:tcPr>
          <w:p w14:paraId="7344FD53" w14:textId="77777777" w:rsidR="009D0006" w:rsidRPr="001C2DF4" w:rsidRDefault="009D0006" w:rsidP="003113F7">
            <w:pPr>
              <w:pStyle w:val="Tableheader"/>
              <w:rPr>
                <w:lang w:val="en-US"/>
              </w:rPr>
            </w:pPr>
            <w:r w:rsidRPr="001C2DF4">
              <w:rPr>
                <w:lang w:val="en-US"/>
              </w:rPr>
              <w:t>%</w:t>
            </w:r>
          </w:p>
        </w:tc>
      </w:tr>
      <w:tr w:rsidR="009D0006" w:rsidRPr="001C2DF4" w14:paraId="78F754E1"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DF43DE8" w14:textId="77777777" w:rsidR="009D0006" w:rsidRPr="001C2DF4" w:rsidRDefault="009D0006" w:rsidP="003113F7">
            <w:pPr>
              <w:pStyle w:val="Tabletext"/>
              <w:rPr>
                <w:lang w:val="en-US"/>
              </w:rPr>
            </w:pPr>
            <w:r w:rsidRPr="001C2DF4">
              <w:t>My family</w:t>
            </w:r>
          </w:p>
        </w:tc>
        <w:tc>
          <w:tcPr>
            <w:tcW w:w="1559" w:type="dxa"/>
            <w:noWrap/>
          </w:tcPr>
          <w:p w14:paraId="4DF7D222" w14:textId="77777777" w:rsidR="009D0006" w:rsidRPr="001C2DF4" w:rsidRDefault="009D0006" w:rsidP="003113F7">
            <w:pPr>
              <w:pStyle w:val="Tabletext"/>
              <w:rPr>
                <w:lang w:val="en-US"/>
              </w:rPr>
            </w:pPr>
            <w:r w:rsidRPr="001C2DF4">
              <w:t>2098</w:t>
            </w:r>
          </w:p>
        </w:tc>
        <w:tc>
          <w:tcPr>
            <w:tcW w:w="1559" w:type="dxa"/>
            <w:noWrap/>
          </w:tcPr>
          <w:p w14:paraId="37454F13" w14:textId="77777777" w:rsidR="009D0006" w:rsidRPr="001C2DF4" w:rsidRDefault="009D0006" w:rsidP="003113F7">
            <w:pPr>
              <w:pStyle w:val="Tabletext"/>
              <w:rPr>
                <w:lang w:val="en-US"/>
              </w:rPr>
            </w:pPr>
            <w:r w:rsidRPr="001C2DF4">
              <w:t>84.0</w:t>
            </w:r>
          </w:p>
        </w:tc>
      </w:tr>
      <w:tr w:rsidR="009D0006" w:rsidRPr="001C2DF4" w14:paraId="6DE6F0AE"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38038CB" w14:textId="77777777" w:rsidR="009D0006" w:rsidRPr="001C2DF4" w:rsidRDefault="009D0006" w:rsidP="003113F7">
            <w:pPr>
              <w:pStyle w:val="Tabletext"/>
              <w:rPr>
                <w:lang w:val="en-US"/>
              </w:rPr>
            </w:pPr>
            <w:r w:rsidRPr="001C2DF4">
              <w:t>Friends</w:t>
            </w:r>
          </w:p>
        </w:tc>
        <w:tc>
          <w:tcPr>
            <w:tcW w:w="1559" w:type="dxa"/>
            <w:noWrap/>
          </w:tcPr>
          <w:p w14:paraId="290FA3BB" w14:textId="77777777" w:rsidR="009D0006" w:rsidRPr="001C2DF4" w:rsidRDefault="009D0006" w:rsidP="003113F7">
            <w:pPr>
              <w:pStyle w:val="Tabletext"/>
              <w:rPr>
                <w:lang w:val="en-US"/>
              </w:rPr>
            </w:pPr>
            <w:r w:rsidRPr="001C2DF4">
              <w:t>203</w:t>
            </w:r>
          </w:p>
        </w:tc>
        <w:tc>
          <w:tcPr>
            <w:tcW w:w="1559" w:type="dxa"/>
            <w:noWrap/>
          </w:tcPr>
          <w:p w14:paraId="58090A8F" w14:textId="77777777" w:rsidR="009D0006" w:rsidRPr="001C2DF4" w:rsidRDefault="009D0006" w:rsidP="003113F7">
            <w:pPr>
              <w:pStyle w:val="Tabletext"/>
              <w:rPr>
                <w:lang w:val="en-US"/>
              </w:rPr>
            </w:pPr>
            <w:r w:rsidRPr="001C2DF4">
              <w:t>8.1</w:t>
            </w:r>
          </w:p>
        </w:tc>
      </w:tr>
      <w:tr w:rsidR="009D0006" w:rsidRPr="001C2DF4" w14:paraId="0E83AC58"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FAC3028" w14:textId="77777777" w:rsidR="009D0006" w:rsidRPr="001C2DF4" w:rsidRDefault="009D0006" w:rsidP="003113F7">
            <w:pPr>
              <w:pStyle w:val="Tabletext"/>
              <w:rPr>
                <w:lang w:val="en-US"/>
              </w:rPr>
            </w:pPr>
            <w:r w:rsidRPr="001C2DF4">
              <w:t>Partner(s)</w:t>
            </w:r>
          </w:p>
        </w:tc>
        <w:tc>
          <w:tcPr>
            <w:tcW w:w="1559" w:type="dxa"/>
            <w:noWrap/>
          </w:tcPr>
          <w:p w14:paraId="1BC04C92" w14:textId="77777777" w:rsidR="009D0006" w:rsidRPr="001C2DF4" w:rsidRDefault="009D0006" w:rsidP="003113F7">
            <w:pPr>
              <w:pStyle w:val="Tabletext"/>
              <w:rPr>
                <w:lang w:val="en-US"/>
              </w:rPr>
            </w:pPr>
            <w:r w:rsidRPr="001C2DF4">
              <w:t>143</w:t>
            </w:r>
          </w:p>
        </w:tc>
        <w:tc>
          <w:tcPr>
            <w:tcW w:w="1559" w:type="dxa"/>
            <w:noWrap/>
          </w:tcPr>
          <w:p w14:paraId="3B462EF1" w14:textId="77777777" w:rsidR="009D0006" w:rsidRPr="001C2DF4" w:rsidRDefault="009D0006" w:rsidP="003113F7">
            <w:pPr>
              <w:pStyle w:val="Tabletext"/>
              <w:rPr>
                <w:lang w:val="en-US"/>
              </w:rPr>
            </w:pPr>
            <w:r w:rsidRPr="001C2DF4">
              <w:t>5.7</w:t>
            </w:r>
          </w:p>
        </w:tc>
      </w:tr>
      <w:tr w:rsidR="009D0006" w:rsidRPr="001C2DF4" w14:paraId="564F320B"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6C7768CF" w14:textId="77777777" w:rsidR="009D0006" w:rsidRPr="001C2DF4" w:rsidRDefault="009D0006" w:rsidP="003113F7">
            <w:pPr>
              <w:pStyle w:val="Tabletext"/>
              <w:rPr>
                <w:lang w:val="en-US"/>
              </w:rPr>
            </w:pPr>
            <w:r w:rsidRPr="001C2DF4">
              <w:t>Live alone</w:t>
            </w:r>
          </w:p>
        </w:tc>
        <w:tc>
          <w:tcPr>
            <w:tcW w:w="1559" w:type="dxa"/>
            <w:noWrap/>
          </w:tcPr>
          <w:p w14:paraId="3BFCB9EC" w14:textId="77777777" w:rsidR="009D0006" w:rsidRPr="001C2DF4" w:rsidRDefault="009D0006" w:rsidP="003113F7">
            <w:pPr>
              <w:pStyle w:val="Tabletext"/>
              <w:rPr>
                <w:lang w:val="en-US"/>
              </w:rPr>
            </w:pPr>
            <w:r w:rsidRPr="001C2DF4">
              <w:t>48</w:t>
            </w:r>
          </w:p>
        </w:tc>
        <w:tc>
          <w:tcPr>
            <w:tcW w:w="1559" w:type="dxa"/>
            <w:noWrap/>
          </w:tcPr>
          <w:p w14:paraId="69755BCA" w14:textId="77777777" w:rsidR="009D0006" w:rsidRPr="001C2DF4" w:rsidRDefault="009D0006" w:rsidP="003113F7">
            <w:pPr>
              <w:pStyle w:val="Tabletext"/>
              <w:rPr>
                <w:lang w:val="en-US"/>
              </w:rPr>
            </w:pPr>
            <w:r w:rsidRPr="001C2DF4">
              <w:t>1.9</w:t>
            </w:r>
          </w:p>
        </w:tc>
      </w:tr>
      <w:tr w:rsidR="009D0006" w:rsidRPr="001C2DF4" w14:paraId="003CE20E"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73FABC9" w14:textId="77777777" w:rsidR="009D0006" w:rsidRPr="001C2DF4" w:rsidRDefault="009D0006" w:rsidP="003113F7">
            <w:pPr>
              <w:pStyle w:val="Tabletext"/>
              <w:rPr>
                <w:lang w:val="en-US"/>
              </w:rPr>
            </w:pPr>
            <w:r w:rsidRPr="001C2DF4">
              <w:t>Others</w:t>
            </w:r>
          </w:p>
        </w:tc>
        <w:tc>
          <w:tcPr>
            <w:tcW w:w="1559" w:type="dxa"/>
            <w:noWrap/>
          </w:tcPr>
          <w:p w14:paraId="20AE050E" w14:textId="77777777" w:rsidR="009D0006" w:rsidRPr="001C2DF4" w:rsidRDefault="009D0006" w:rsidP="003113F7">
            <w:pPr>
              <w:pStyle w:val="Tabletext"/>
              <w:rPr>
                <w:lang w:val="en-US"/>
              </w:rPr>
            </w:pPr>
            <w:r w:rsidRPr="001C2DF4">
              <w:t>142</w:t>
            </w:r>
          </w:p>
        </w:tc>
        <w:tc>
          <w:tcPr>
            <w:tcW w:w="1559" w:type="dxa"/>
            <w:noWrap/>
          </w:tcPr>
          <w:p w14:paraId="4F04A50E" w14:textId="77777777" w:rsidR="009D0006" w:rsidRPr="001C2DF4" w:rsidRDefault="009D0006" w:rsidP="003113F7">
            <w:pPr>
              <w:pStyle w:val="Tabletext"/>
              <w:rPr>
                <w:lang w:val="en-US"/>
              </w:rPr>
            </w:pPr>
            <w:r w:rsidRPr="001C2DF4">
              <w:t>5.7</w:t>
            </w:r>
          </w:p>
        </w:tc>
      </w:tr>
    </w:tbl>
    <w:p w14:paraId="3AB8F001" w14:textId="77777777" w:rsidR="009D0006" w:rsidRPr="003113F7" w:rsidRDefault="009D0006" w:rsidP="003113F7">
      <w:pPr>
        <w:pStyle w:val="TableTextNotebelow"/>
        <w:rPr>
          <w:i/>
        </w:rPr>
      </w:pPr>
      <w:r w:rsidRPr="003113F7">
        <w:rPr>
          <w:i/>
        </w:rPr>
        <w:t>Note:</w:t>
      </w:r>
      <w:r w:rsidRPr="003113F7">
        <w:rPr>
          <w:i/>
        </w:rPr>
        <w:lastRenderedPageBreak/>
        <w:t xml:space="preserve"> Multiple responses were available thus percentages do not add up to 100.</w:t>
      </w:r>
    </w:p>
    <w:p w14:paraId="0F52108D" w14:textId="77777777" w:rsidR="009D0006" w:rsidRPr="00BA6B24" w:rsidRDefault="009D0006" w:rsidP="003F4AC6">
      <w:pPr>
        <w:spacing w:before="360"/>
      </w:pPr>
      <w:r>
        <w:t>As displayed in Table 26, t</w:t>
      </w:r>
      <w:r w:rsidRPr="00692BC1">
        <w:t xml:space="preserve">he majority of </w:t>
      </w:r>
      <w:r>
        <w:t>young people</w:t>
      </w:r>
      <w:r w:rsidRPr="00692BC1">
        <w:t xml:space="preserve"> with disability in </w:t>
      </w:r>
      <w:r w:rsidRPr="00692BC1">
        <w:rPr>
          <w:i/>
          <w:iCs/>
        </w:rPr>
        <w:t>Writing Themselves in 4</w:t>
      </w:r>
      <w:r w:rsidRPr="00692BC1">
        <w:t xml:space="preserve"> (84.0%; n = 2098) reported living with their family, followed by friends (8.1%; n = 203)</w:t>
      </w:r>
      <w:r>
        <w:t xml:space="preserve"> and</w:t>
      </w:r>
      <w:r w:rsidRPr="00692BC1">
        <w:t xml:space="preserve"> </w:t>
      </w:r>
      <w:r>
        <w:t>a partner or partners (</w:t>
      </w:r>
      <w:r w:rsidRPr="00692BC1">
        <w:t>5.7%</w:t>
      </w:r>
      <w:r>
        <w:t xml:space="preserve">; </w:t>
      </w:r>
      <w:r w:rsidRPr="00692BC1">
        <w:t>n = 143)</w:t>
      </w:r>
      <w:r>
        <w:t>. A further</w:t>
      </w:r>
      <w:r w:rsidRPr="00692BC1">
        <w:t xml:space="preserve"> 1.9% (n = 48) lived alone and 4.4%</w:t>
      </w:r>
      <w:r>
        <w:t xml:space="preserve"> (</w:t>
      </w:r>
      <w:r w:rsidRPr="00692BC1">
        <w:t>n = 283) lived with other</w:t>
      </w:r>
      <w:r>
        <w:t xml:space="preserve"> types of people who were not family, friends or a partner or partners</w:t>
      </w:r>
      <w:r w:rsidRPr="00692BC1">
        <w:t>.</w:t>
      </w:r>
    </w:p>
    <w:p w14:paraId="0805E5C4" w14:textId="11983DC5" w:rsidR="009D0006" w:rsidRPr="002306D8" w:rsidRDefault="009D0006" w:rsidP="00153892">
      <w:pPr>
        <w:pStyle w:val="Heading3Numbered"/>
      </w:pPr>
      <w:bookmarkStart w:id="360" w:name="_Toc115968546"/>
      <w:r w:rsidRPr="002306D8">
        <w:t>Household</w:t>
      </w:r>
      <w:r>
        <w:t xml:space="preserve"> members</w:t>
      </w:r>
      <w:r w:rsidRPr="002306D8">
        <w:t xml:space="preserve"> – adults aged 18+ years</w:t>
      </w:r>
      <w:bookmarkEnd w:id="360"/>
    </w:p>
    <w:p w14:paraId="654C3D75" w14:textId="499B0941" w:rsidR="009D0006" w:rsidRPr="002306D8" w:rsidRDefault="009D0006" w:rsidP="003113F7">
      <w:pPr>
        <w:pStyle w:val="Tableheading"/>
      </w:pPr>
      <w:bookmarkStart w:id="361" w:name="_Toc37345827"/>
      <w:bookmarkStart w:id="362" w:name="_Toc46861254"/>
      <w:bookmarkStart w:id="363" w:name="_Toc117062745"/>
      <w:bookmarkStart w:id="364" w:name="_Toc119651430"/>
      <w:r w:rsidRPr="002306D8">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Household members of adults with disability aged 18+ years</w:t>
      </w:r>
      <w:r w:rsidRPr="002306D8">
        <w:t xml:space="preserve"> (n = 2331)</w:t>
      </w:r>
      <w:bookmarkEnd w:id="361"/>
      <w:bookmarkEnd w:id="362"/>
      <w:bookmarkEnd w:id="363"/>
      <w:bookmarkEnd w:id="364"/>
    </w:p>
    <w:tbl>
      <w:tblPr>
        <w:tblStyle w:val="RCTable"/>
        <w:tblW w:w="9864" w:type="dxa"/>
        <w:tblLook w:val="04A0" w:firstRow="1" w:lastRow="0" w:firstColumn="1" w:lastColumn="0" w:noHBand="0" w:noVBand="1"/>
      </w:tblPr>
      <w:tblGrid>
        <w:gridCol w:w="6746"/>
        <w:gridCol w:w="1559"/>
        <w:gridCol w:w="1559"/>
      </w:tblGrid>
      <w:tr w:rsidR="009D0006" w:rsidRPr="001C2DF4" w14:paraId="796CBE1F" w14:textId="77777777" w:rsidTr="003113F7">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38DEA69E" w14:textId="77777777" w:rsidR="009D0006" w:rsidRPr="001C2DF4" w:rsidRDefault="009D0006" w:rsidP="003113F7">
            <w:pPr>
              <w:pStyle w:val="Tableheader"/>
            </w:pPr>
            <w:r w:rsidRPr="001C2DF4">
              <w:rPr>
                <w:lang w:val="en-US"/>
              </w:rPr>
              <w:t>Household</w:t>
            </w:r>
          </w:p>
        </w:tc>
        <w:tc>
          <w:tcPr>
            <w:tcW w:w="1559" w:type="dxa"/>
            <w:noWrap/>
            <w:hideMark/>
          </w:tcPr>
          <w:p w14:paraId="50AAD191" w14:textId="77777777" w:rsidR="009D0006" w:rsidRPr="001C2DF4" w:rsidRDefault="009D0006" w:rsidP="003113F7">
            <w:pPr>
              <w:pStyle w:val="Tableheader"/>
            </w:pPr>
            <w:r>
              <w:t>n</w:t>
            </w:r>
          </w:p>
        </w:tc>
        <w:tc>
          <w:tcPr>
            <w:tcW w:w="1559" w:type="dxa"/>
            <w:noWrap/>
            <w:hideMark/>
          </w:tcPr>
          <w:p w14:paraId="44367D2B" w14:textId="77777777" w:rsidR="009D0006" w:rsidRPr="001C2DF4" w:rsidRDefault="009D0006" w:rsidP="003113F7">
            <w:pPr>
              <w:pStyle w:val="Tableheader"/>
            </w:pPr>
            <w:r w:rsidRPr="001C2DF4">
              <w:t>%</w:t>
            </w:r>
          </w:p>
        </w:tc>
      </w:tr>
      <w:tr w:rsidR="009D0006" w:rsidRPr="001C2DF4" w14:paraId="1DC20DAD"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BC6B3DB" w14:textId="77777777" w:rsidR="009D0006" w:rsidRPr="001C2DF4" w:rsidRDefault="009D0006" w:rsidP="003113F7">
            <w:pPr>
              <w:pStyle w:val="Tabletext"/>
            </w:pPr>
            <w:r w:rsidRPr="001C2DF4">
              <w:rPr>
                <w:lang w:val="en-US"/>
              </w:rPr>
              <w:t>Partner/s</w:t>
            </w:r>
          </w:p>
        </w:tc>
        <w:tc>
          <w:tcPr>
            <w:tcW w:w="1559" w:type="dxa"/>
            <w:noWrap/>
          </w:tcPr>
          <w:p w14:paraId="70EEB77D" w14:textId="77777777" w:rsidR="009D0006" w:rsidRPr="001C2DF4" w:rsidRDefault="009D0006" w:rsidP="003113F7">
            <w:pPr>
              <w:pStyle w:val="Tabletext"/>
            </w:pPr>
            <w:r w:rsidRPr="001C2DF4">
              <w:t>891</w:t>
            </w:r>
          </w:p>
        </w:tc>
        <w:tc>
          <w:tcPr>
            <w:tcW w:w="1559" w:type="dxa"/>
            <w:noWrap/>
          </w:tcPr>
          <w:p w14:paraId="11023BF0" w14:textId="77777777" w:rsidR="009D0006" w:rsidRPr="001C2DF4" w:rsidRDefault="009D0006" w:rsidP="003113F7">
            <w:pPr>
              <w:pStyle w:val="Tabletext"/>
            </w:pPr>
            <w:r w:rsidRPr="001C2DF4">
              <w:t>33.9</w:t>
            </w:r>
          </w:p>
        </w:tc>
      </w:tr>
      <w:tr w:rsidR="009D0006" w:rsidRPr="001C2DF4" w14:paraId="59D80D72"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893751F" w14:textId="77777777" w:rsidR="009D0006" w:rsidRPr="001C2DF4" w:rsidRDefault="009D0006" w:rsidP="003113F7">
            <w:pPr>
              <w:pStyle w:val="Tabletext"/>
            </w:pPr>
            <w:r w:rsidRPr="001C2DF4">
              <w:rPr>
                <w:lang w:val="en-US"/>
              </w:rPr>
              <w:t>Parent or carer/s</w:t>
            </w:r>
          </w:p>
        </w:tc>
        <w:tc>
          <w:tcPr>
            <w:tcW w:w="1559" w:type="dxa"/>
            <w:noWrap/>
          </w:tcPr>
          <w:p w14:paraId="0C0106D9" w14:textId="77777777" w:rsidR="009D0006" w:rsidRPr="001C2DF4" w:rsidRDefault="009D0006" w:rsidP="003113F7">
            <w:pPr>
              <w:pStyle w:val="Tabletext"/>
            </w:pPr>
            <w:r w:rsidRPr="001C2DF4">
              <w:t>639</w:t>
            </w:r>
          </w:p>
        </w:tc>
        <w:tc>
          <w:tcPr>
            <w:tcW w:w="1559" w:type="dxa"/>
            <w:noWrap/>
          </w:tcPr>
          <w:p w14:paraId="1E706B7B" w14:textId="77777777" w:rsidR="009D0006" w:rsidRPr="001C2DF4" w:rsidRDefault="009D0006" w:rsidP="003113F7">
            <w:pPr>
              <w:pStyle w:val="Tabletext"/>
            </w:pPr>
            <w:r w:rsidRPr="001C2DF4">
              <w:t>24.3</w:t>
            </w:r>
          </w:p>
        </w:tc>
      </w:tr>
      <w:tr w:rsidR="009D0006" w:rsidRPr="001C2DF4" w14:paraId="32CEB8B0"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088BE5B" w14:textId="77777777" w:rsidR="009D0006" w:rsidRPr="001C2DF4" w:rsidRDefault="009D0006" w:rsidP="003113F7">
            <w:pPr>
              <w:pStyle w:val="Tabletext"/>
            </w:pPr>
            <w:r w:rsidRPr="001C2DF4">
              <w:rPr>
                <w:lang w:val="en-US"/>
              </w:rPr>
              <w:t>Other family member/s</w:t>
            </w:r>
          </w:p>
        </w:tc>
        <w:tc>
          <w:tcPr>
            <w:tcW w:w="1559" w:type="dxa"/>
            <w:noWrap/>
          </w:tcPr>
          <w:p w14:paraId="28FB9123" w14:textId="77777777" w:rsidR="009D0006" w:rsidRPr="001C2DF4" w:rsidRDefault="009D0006" w:rsidP="003113F7">
            <w:pPr>
              <w:pStyle w:val="Tabletext"/>
            </w:pPr>
            <w:r w:rsidRPr="001C2DF4">
              <w:t>517</w:t>
            </w:r>
          </w:p>
        </w:tc>
        <w:tc>
          <w:tcPr>
            <w:tcW w:w="1559" w:type="dxa"/>
            <w:noWrap/>
          </w:tcPr>
          <w:p w14:paraId="55FBAAA7" w14:textId="77777777" w:rsidR="009D0006" w:rsidRPr="001C2DF4" w:rsidRDefault="009D0006" w:rsidP="003113F7">
            <w:pPr>
              <w:pStyle w:val="Tabletext"/>
            </w:pPr>
            <w:r w:rsidRPr="001C2DF4">
              <w:t>19.7</w:t>
            </w:r>
          </w:p>
        </w:tc>
      </w:tr>
      <w:tr w:rsidR="009D0006" w:rsidRPr="001C2DF4" w14:paraId="29A24E0E"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F90009E" w14:textId="77777777" w:rsidR="009D0006" w:rsidRPr="001C2DF4" w:rsidRDefault="009D0006" w:rsidP="003113F7">
            <w:pPr>
              <w:pStyle w:val="Tabletext"/>
            </w:pPr>
            <w:r w:rsidRPr="001C2DF4">
              <w:rPr>
                <w:lang w:val="en-US"/>
              </w:rPr>
              <w:t>I live alone</w:t>
            </w:r>
          </w:p>
        </w:tc>
        <w:tc>
          <w:tcPr>
            <w:tcW w:w="1559" w:type="dxa"/>
            <w:noWrap/>
          </w:tcPr>
          <w:p w14:paraId="12748E95" w14:textId="77777777" w:rsidR="009D0006" w:rsidRPr="001C2DF4" w:rsidRDefault="009D0006" w:rsidP="003113F7">
            <w:pPr>
              <w:pStyle w:val="Tabletext"/>
            </w:pPr>
            <w:r w:rsidRPr="001C2DF4">
              <w:t>463</w:t>
            </w:r>
          </w:p>
        </w:tc>
        <w:tc>
          <w:tcPr>
            <w:tcW w:w="1559" w:type="dxa"/>
            <w:noWrap/>
          </w:tcPr>
          <w:p w14:paraId="1C8EB429" w14:textId="77777777" w:rsidR="009D0006" w:rsidRPr="001C2DF4" w:rsidRDefault="009D0006" w:rsidP="003113F7">
            <w:pPr>
              <w:pStyle w:val="Tabletext"/>
            </w:pPr>
            <w:r w:rsidRPr="001C2DF4">
              <w:t>17.6</w:t>
            </w:r>
          </w:p>
        </w:tc>
      </w:tr>
      <w:tr w:rsidR="009D0006" w:rsidRPr="001C2DF4" w14:paraId="23B85C57"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2993BA9" w14:textId="77777777" w:rsidR="009D0006" w:rsidRPr="001C2DF4" w:rsidRDefault="009D0006" w:rsidP="003113F7">
            <w:pPr>
              <w:pStyle w:val="Tabletext"/>
            </w:pPr>
            <w:r w:rsidRPr="001C2DF4">
              <w:rPr>
                <w:lang w:val="en-US"/>
              </w:rPr>
              <w:t>Friend/s</w:t>
            </w:r>
          </w:p>
        </w:tc>
        <w:tc>
          <w:tcPr>
            <w:tcW w:w="1559" w:type="dxa"/>
            <w:noWrap/>
          </w:tcPr>
          <w:p w14:paraId="5B92B4A9" w14:textId="77777777" w:rsidR="009D0006" w:rsidRPr="001C2DF4" w:rsidRDefault="009D0006" w:rsidP="003113F7">
            <w:pPr>
              <w:pStyle w:val="Tabletext"/>
            </w:pPr>
            <w:r w:rsidRPr="001C2DF4">
              <w:t>323</w:t>
            </w:r>
          </w:p>
        </w:tc>
        <w:tc>
          <w:tcPr>
            <w:tcW w:w="1559" w:type="dxa"/>
            <w:noWrap/>
          </w:tcPr>
          <w:p w14:paraId="2629914F" w14:textId="77777777" w:rsidR="009D0006" w:rsidRPr="001C2DF4" w:rsidRDefault="009D0006" w:rsidP="003113F7">
            <w:pPr>
              <w:pStyle w:val="Tabletext"/>
            </w:pPr>
            <w:r w:rsidRPr="001C2DF4">
              <w:t>12.3</w:t>
            </w:r>
          </w:p>
        </w:tc>
      </w:tr>
      <w:tr w:rsidR="009D0006" w:rsidRPr="001C2DF4" w14:paraId="73B09C53"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72BB4ADF" w14:textId="77777777" w:rsidR="009D0006" w:rsidRPr="001C2DF4" w:rsidRDefault="009D0006" w:rsidP="003113F7">
            <w:pPr>
              <w:pStyle w:val="Tabletext"/>
            </w:pPr>
            <w:r w:rsidRPr="001C2DF4">
              <w:rPr>
                <w:lang w:val="en-US"/>
              </w:rPr>
              <w:t>Housemate/s</w:t>
            </w:r>
          </w:p>
        </w:tc>
        <w:tc>
          <w:tcPr>
            <w:tcW w:w="1559" w:type="dxa"/>
            <w:noWrap/>
          </w:tcPr>
          <w:p w14:paraId="163441FA" w14:textId="77777777" w:rsidR="009D0006" w:rsidRPr="001C2DF4" w:rsidRDefault="009D0006" w:rsidP="003113F7">
            <w:pPr>
              <w:pStyle w:val="Tabletext"/>
            </w:pPr>
            <w:r w:rsidRPr="001C2DF4">
              <w:t>346</w:t>
            </w:r>
          </w:p>
        </w:tc>
        <w:tc>
          <w:tcPr>
            <w:tcW w:w="1559" w:type="dxa"/>
            <w:noWrap/>
          </w:tcPr>
          <w:p w14:paraId="6DD3DC20" w14:textId="77777777" w:rsidR="009D0006" w:rsidRPr="001C2DF4" w:rsidRDefault="009D0006" w:rsidP="003113F7">
            <w:pPr>
              <w:pStyle w:val="Tabletext"/>
            </w:pPr>
            <w:r w:rsidRPr="001C2DF4">
              <w:t>13.2</w:t>
            </w:r>
          </w:p>
        </w:tc>
      </w:tr>
      <w:tr w:rsidR="009D0006" w:rsidRPr="001C2DF4" w14:paraId="5FC2583E" w14:textId="77777777" w:rsidTr="003113F7">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96A2126" w14:textId="77777777" w:rsidR="009D0006" w:rsidRPr="001C2DF4" w:rsidRDefault="009D0006" w:rsidP="003113F7">
            <w:pPr>
              <w:pStyle w:val="Tabletext"/>
            </w:pPr>
            <w:r w:rsidRPr="001C2DF4">
              <w:rPr>
                <w:lang w:val="en-US"/>
              </w:rPr>
              <w:t>Children (including those of a partner)</w:t>
            </w:r>
          </w:p>
        </w:tc>
        <w:tc>
          <w:tcPr>
            <w:tcW w:w="1559" w:type="dxa"/>
            <w:noWrap/>
          </w:tcPr>
          <w:p w14:paraId="57869887" w14:textId="77777777" w:rsidR="009D0006" w:rsidRPr="001C2DF4" w:rsidRDefault="009D0006" w:rsidP="003113F7">
            <w:pPr>
              <w:pStyle w:val="Tabletext"/>
            </w:pPr>
            <w:r w:rsidRPr="001C2DF4">
              <w:t>245</w:t>
            </w:r>
          </w:p>
        </w:tc>
        <w:tc>
          <w:tcPr>
            <w:tcW w:w="1559" w:type="dxa"/>
            <w:noWrap/>
          </w:tcPr>
          <w:p w14:paraId="61965832" w14:textId="77777777" w:rsidR="009D0006" w:rsidRPr="001C2DF4" w:rsidRDefault="009D0006" w:rsidP="003113F7">
            <w:pPr>
              <w:pStyle w:val="Tabletext"/>
            </w:pPr>
            <w:r w:rsidRPr="001C2DF4">
              <w:t>9.3</w:t>
            </w:r>
          </w:p>
        </w:tc>
      </w:tr>
      <w:tr w:rsidR="009D0006" w:rsidRPr="001C2DF4" w14:paraId="6DE4911A" w14:textId="77777777" w:rsidTr="003113F7">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3DC039CF" w14:textId="77777777" w:rsidR="009D0006" w:rsidRPr="001C2DF4" w:rsidRDefault="009D0006" w:rsidP="003113F7">
            <w:pPr>
              <w:pStyle w:val="Tabletext"/>
            </w:pPr>
            <w:r w:rsidRPr="001C2DF4">
              <w:rPr>
                <w:lang w:val="en-US"/>
              </w:rPr>
              <w:t>Other/s</w:t>
            </w:r>
          </w:p>
        </w:tc>
        <w:tc>
          <w:tcPr>
            <w:tcW w:w="1559" w:type="dxa"/>
            <w:noWrap/>
          </w:tcPr>
          <w:p w14:paraId="12769AA3" w14:textId="77777777" w:rsidR="009D0006" w:rsidRPr="001C2DF4" w:rsidRDefault="009D0006" w:rsidP="003113F7">
            <w:pPr>
              <w:pStyle w:val="Tabletext"/>
            </w:pPr>
            <w:r w:rsidRPr="001C2DF4">
              <w:t>57</w:t>
            </w:r>
          </w:p>
        </w:tc>
        <w:tc>
          <w:tcPr>
            <w:tcW w:w="1559" w:type="dxa"/>
            <w:noWrap/>
          </w:tcPr>
          <w:p w14:paraId="6B1709EC" w14:textId="77777777" w:rsidR="009D0006" w:rsidRPr="001C2DF4" w:rsidRDefault="009D0006" w:rsidP="003113F7">
            <w:pPr>
              <w:pStyle w:val="Tabletext"/>
            </w:pPr>
            <w:r w:rsidRPr="001C2DF4">
              <w:t>2.2</w:t>
            </w:r>
          </w:p>
        </w:tc>
      </w:tr>
    </w:tbl>
    <w:p w14:paraId="749F81B6" w14:textId="77777777" w:rsidR="009D0006" w:rsidRPr="003113F7" w:rsidRDefault="009D0006" w:rsidP="003113F7">
      <w:pPr>
        <w:pStyle w:val="TableTextNotebelow"/>
        <w:rPr>
          <w:i/>
        </w:rPr>
      </w:pPr>
      <w:r w:rsidRPr="003113F7">
        <w:rPr>
          <w:i/>
        </w:rPr>
        <w:t>Note: Multiple responses were available thus percentages do not add up to 100.</w:t>
      </w:r>
    </w:p>
    <w:p w14:paraId="0416A3DF" w14:textId="77777777" w:rsidR="009D0006" w:rsidRPr="00EF046C" w:rsidRDefault="009D0006" w:rsidP="003F4AC6">
      <w:pPr>
        <w:spacing w:before="360"/>
      </w:pPr>
      <w:r>
        <w:t>As displayed in Table 27, o</w:t>
      </w:r>
      <w:r w:rsidRPr="00692BC1">
        <w:t xml:space="preserve">ne-third (33.91%; n = 891) of </w:t>
      </w:r>
      <w:r w:rsidRPr="002306D8">
        <w:rPr>
          <w:i/>
          <w:iCs/>
        </w:rPr>
        <w:t>Private Lives 3</w:t>
      </w:r>
      <w:r w:rsidRPr="00692BC1">
        <w:t xml:space="preserve"> participants with disability reported living with their partner</w:t>
      </w:r>
      <w:r>
        <w:t xml:space="preserve"> or partner</w:t>
      </w:r>
      <w:r w:rsidRPr="00692BC1">
        <w:t xml:space="preserve">s and one-quarter (24.3%; n = 639) with </w:t>
      </w:r>
      <w:r>
        <w:t xml:space="preserve">a </w:t>
      </w:r>
      <w:r w:rsidRPr="00692BC1">
        <w:t>parent</w:t>
      </w:r>
      <w:r>
        <w:t>, parents, carer</w:t>
      </w:r>
      <w:r w:rsidRPr="00692BC1">
        <w:t xml:space="preserve"> or carers, followed by one-fifth (19.7%; n = 517) with other family members. A smaller proportion of participants with disability (17.6%; n = 463) lived alone compared to the 24.4% reported in the general Australian population aged 15 years </w:t>
      </w:r>
      <w:r>
        <w:t>and</w:t>
      </w:r>
      <w:r w:rsidRPr="00692BC1">
        <w:t xml:space="preserve"> over</w:t>
      </w:r>
      <w:r>
        <w:t>.</w:t>
      </w:r>
      <w:r w:rsidRPr="00692BC1">
        <w:fldChar w:fldCharType="begin"/>
      </w:r>
      <w:r>
        <w:instrText xml:space="preserve"> ADDIN ZOTERO_ITEM CSL_CITATION {"citationID":"1SyopZEf","properties":{"formattedCitation":"(31)","plainCitation":"(31)","noteIndex":0},"citationItems":[{"id":"hc6yy1rM/YO7eulRG","uris":["http://zotero.org/users/4948307/items/S62FPLXL"],"itemData":{"id":145,"type":"webpage","abstract":"This is a summary from publication Snapshot of Australia, 2016 which contains key figures, key points and notes from the publication.","language":"en","note":"source: www.abs.gov.au\npublisher: c=AU; o=Commonwealth of Australia; ou=Australian Bureau of Statistics","title":"Stories from the Census, 2016","URL":"https://www.abs.gov.au/ausstats/abs@.nsf/Lookup/by%20Subject/2071.0~2016~Main%20Features~Snapshot%20of%20Australia,%202016~2","author":[{"family":"Australian Bureau of Statistics","given":""}],"accessed":{"date-parts":[["2020",5,20]]},"issued":{"date-parts":[["2017",6,28]]}}}],"schema":"https://github.com/citation-style-language/schema/raw/master/csl-citation.json"} </w:instrText>
      </w:r>
      <w:r w:rsidRPr="00692BC1">
        <w:fldChar w:fldCharType="separate"/>
      </w:r>
      <w:r>
        <w:rPr>
          <w:lang w:val="en-GB"/>
        </w:rPr>
        <w:t>(31)</w:t>
      </w:r>
      <w:r w:rsidRPr="00692BC1">
        <w:fldChar w:fldCharType="end"/>
      </w:r>
      <w:r w:rsidRPr="00692BC1">
        <w:t xml:space="preserve"> Approximately one-tenth of participants with disability lived with </w:t>
      </w:r>
      <w:r>
        <w:t xml:space="preserve">one or more </w:t>
      </w:r>
      <w:r w:rsidRPr="00692BC1">
        <w:t xml:space="preserve">friends (12.3%; n = 323), housemates (13.2%; n = 346) or children (9.3%; n = 245). </w:t>
      </w:r>
    </w:p>
    <w:p w14:paraId="739944C7" w14:textId="188674A1" w:rsidR="009D0006" w:rsidRPr="00692BC1" w:rsidRDefault="009D0006" w:rsidP="00153892">
      <w:pPr>
        <w:pStyle w:val="Heading2Numbered"/>
      </w:pPr>
      <w:bookmarkStart w:id="365" w:name="_Toc58252061"/>
      <w:bookmarkStart w:id="366" w:name="_Toc115968547"/>
      <w:bookmarkStart w:id="367" w:name="_Toc119662414"/>
      <w:bookmarkStart w:id="368" w:name="_Hlk50370215"/>
      <w:r w:rsidRPr="00692BC1">
        <w:t>Summary</w:t>
      </w:r>
      <w:bookmarkEnd w:id="365"/>
      <w:bookmarkEnd w:id="366"/>
      <w:bookmarkEnd w:id="367"/>
    </w:p>
    <w:bookmarkEnd w:id="368"/>
    <w:p w14:paraId="59F06AEC" w14:textId="77777777" w:rsidR="009D0006" w:rsidRPr="00B24819" w:rsidRDefault="009D0006" w:rsidP="009D0006">
      <w:r w:rsidRPr="00B24819">
        <w:t>With a total of 5128 LGBTQ</w:t>
      </w:r>
      <w:r>
        <w:t>A</w:t>
      </w:r>
      <w:r w:rsidRPr="00B24819">
        <w:t>+ participants with disability, this report represents the largest and most diverse sample of LGBTQ</w:t>
      </w:r>
      <w:r>
        <w:t>A</w:t>
      </w:r>
      <w:r w:rsidRPr="00B24819">
        <w:t>+ people with disability ever surveyed in Austr</w:t>
      </w:r>
      <w:r w:rsidRPr="00B24819">
        <w:lastRenderedPageBreak/>
        <w:t>alia. This includes participants from all across the country, ranging in age from 14 to 86 years. It also includes people living in metropolitan, regional and rural areas, people from culturally and linguistically diverse backgrounds and people born overseas. This diversity is further reflected in the gender identities and sexual orientations of those who participated, which included over 1815 trans and gender diverse people with disability. The samples also show a range of income, education levels and religious and spiritual affiliations. These intersections are crucial to understand as they are known to influence both health-related behaviours and outcomes. Importantly, these studies heard from a large number of First Nations LGBTQ</w:t>
      </w:r>
      <w:r>
        <w:t>A</w:t>
      </w:r>
      <w:r w:rsidRPr="00B24819">
        <w:t xml:space="preserve">+ people with disability, and we are currently working in partnership with Indigenous organisations to analyse and interpret these data </w:t>
      </w:r>
      <w:r>
        <w:t xml:space="preserve">for publication </w:t>
      </w:r>
      <w:r w:rsidRPr="00B24819">
        <w:t>in the</w:t>
      </w:r>
      <w:r>
        <w:t xml:space="preserve"> near</w:t>
      </w:r>
      <w:r w:rsidRPr="00B24819">
        <w:t xml:space="preserve"> future. </w:t>
      </w:r>
    </w:p>
    <w:p w14:paraId="7742B779" w14:textId="77777777" w:rsidR="009D0006" w:rsidRDefault="009D0006" w:rsidP="009D0006">
      <w:pPr>
        <w:rPr>
          <w:rFonts w:ascii="Roboto" w:hAnsi="Roboto"/>
        </w:rPr>
      </w:pPr>
      <w:r>
        <w:rPr>
          <w:rFonts w:ascii="Roboto" w:hAnsi="Roboto"/>
        </w:rPr>
        <w:br w:type="page"/>
      </w:r>
    </w:p>
    <w:p w14:paraId="558591B2" w14:textId="7934F198" w:rsidR="009D0006" w:rsidRPr="00F979FC" w:rsidRDefault="009D0006" w:rsidP="00153892">
      <w:pPr>
        <w:pStyle w:val="Heading1Numbered"/>
        <w:rPr>
          <w:lang w:val="en-US"/>
        </w:rPr>
      </w:pPr>
      <w:bookmarkStart w:id="369" w:name="_Toc115968548"/>
      <w:bookmarkStart w:id="370" w:name="_Toc119662415"/>
      <w:r w:rsidRPr="00F979FC">
        <w:t>Exper</w:t>
      </w:r>
      <w:r w:rsidRPr="00F979FC">
        <w:lastRenderedPageBreak/>
        <w:t xml:space="preserve">iences of </w:t>
      </w:r>
      <w:r>
        <w:t>disclosure</w:t>
      </w:r>
      <w:r w:rsidRPr="00F979FC">
        <w:t>, support and acceptance</w:t>
      </w:r>
      <w:bookmarkEnd w:id="369"/>
      <w:bookmarkEnd w:id="370"/>
    </w:p>
    <w:p w14:paraId="00333382" w14:textId="77777777" w:rsidR="009D0006" w:rsidRPr="00F979FC" w:rsidRDefault="009D0006" w:rsidP="009D0006">
      <w:bookmarkStart w:id="371" w:name="_Toc40192109"/>
      <w:bookmarkStart w:id="372" w:name="_Toc45633223"/>
      <w:bookmarkStart w:id="373" w:name="_Toc49781938"/>
      <w:r w:rsidRPr="00F979FC">
        <w:rPr>
          <w:lang w:bidi="en-US"/>
        </w:rPr>
        <w:t xml:space="preserve">Previous studies have shown an increasing trend towards disclosure, with more young people in Australia ‘coming out’ or disclosing their same sex attractions to at least one other person. In </w:t>
      </w:r>
      <w:r w:rsidRPr="00F979FC">
        <w:rPr>
          <w:i/>
          <w:iCs/>
          <w:lang w:bidi="en-US"/>
        </w:rPr>
        <w:t xml:space="preserve">Writing Themselves </w:t>
      </w:r>
      <w:r>
        <w:rPr>
          <w:i/>
          <w:iCs/>
          <w:lang w:bidi="en-US"/>
        </w:rPr>
        <w:t>I</w:t>
      </w:r>
      <w:r w:rsidRPr="00F979FC">
        <w:rPr>
          <w:i/>
          <w:iCs/>
          <w:lang w:bidi="en-US"/>
        </w:rPr>
        <w:t>n</w:t>
      </w:r>
      <w:r w:rsidRPr="00F979FC">
        <w:rPr>
          <w:lang w:bidi="en-US"/>
        </w:rPr>
        <w:t xml:space="preserve"> </w:t>
      </w:r>
      <w:r w:rsidRPr="00E50A98">
        <w:rPr>
          <w:i/>
          <w:iCs/>
          <w:lang w:bidi="en-US"/>
        </w:rPr>
        <w:t>4</w:t>
      </w:r>
      <w:r w:rsidRPr="00F979FC">
        <w:rPr>
          <w:lang w:bidi="en-US"/>
        </w:rPr>
        <w:t xml:space="preserve">, </w:t>
      </w:r>
      <w:r w:rsidRPr="00F979FC">
        <w:t>97.5% of young people had disclosed their same</w:t>
      </w:r>
      <w:r>
        <w:t>-</w:t>
      </w:r>
      <w:r w:rsidRPr="00F979FC">
        <w:t xml:space="preserve">sex attractions to at least one person </w:t>
      </w:r>
      <w:r>
        <w:t>in the 2019 survey</w:t>
      </w:r>
      <w:r w:rsidRPr="00F979FC">
        <w:t>, a continuing trend to openness from 2004 (95%) and 1998 (82%)</w:t>
      </w:r>
      <w:r>
        <w:t>.</w:t>
      </w:r>
      <w:r w:rsidRPr="00F979FC">
        <w:fldChar w:fldCharType="begin"/>
      </w:r>
      <w:r>
        <w:instrText xml:space="preserve"> ADDIN ZOTERO_ITEM CSL_CITATION {"citationID":"sfre9eCu","properties":{"formattedCitation":"(32,33)","plainCitation":"(32,33)","noteIndex":0},"citationItems":[{"id":"hc6yy1rM/d1cShJkL","uris":["http://zotero.org/users/4948307/items/NGIPWEPE"],"itemData":{"id":153,"type":"report","page":"106","publisher":"Australian Research Centre in Sex, Health and Society","title":"Writing Themselves In Again: 6 Years On","author":[{"family":"Hillier","given":"Lynne"},{"family":"Turner, Alina","given":""},{"family":"Mitchell","given":"Anne"}],"issued":{"date-parts":[["2005"]]}}},{"id":"hc6yy1rM/n18uPBo6","uris":["http://zotero.org/users/4948307/items/G3JIS46M"],"itemData":{"id":707,"type":"book","title":"Writing Themselves in 3: The Third National Study on the Sexual Health and Wellbeing of Same Sex Attracted and Gender Questioning Young People","author":[{"family":"Hillier","given":"Lynne"},{"family":"Jones","given":"Tiffany"},{"family":"Monagle","given":"Marisa"},{"family":"Overton","given":"Naomi"},{"family":"Gahan","given":"Luke"},{"family":"Blackman","given":"Jennifer"},{"family":"Mitchell","given":"Anne"}],"issued":{"date-parts":[["2010",1,1]]}}}],"schema":"https://github.com/citation-style-language/schema/raw/master/csl-citation.json"} </w:instrText>
      </w:r>
      <w:r w:rsidRPr="00F979FC">
        <w:fldChar w:fldCharType="separate"/>
      </w:r>
      <w:r>
        <w:rPr>
          <w:lang w:val="en-GB"/>
        </w:rPr>
        <w:t>(32,33)</w:t>
      </w:r>
      <w:r w:rsidRPr="00F979FC">
        <w:fldChar w:fldCharType="end"/>
      </w:r>
      <w:r w:rsidRPr="00F979FC">
        <w:t xml:space="preserve"> There </w:t>
      </w:r>
      <w:r>
        <w:t>has also been</w:t>
      </w:r>
      <w:r w:rsidRPr="00F979FC">
        <w:t xml:space="preserve"> </w:t>
      </w:r>
      <w:r>
        <w:t xml:space="preserve">a </w:t>
      </w:r>
      <w:r w:rsidRPr="00F979FC">
        <w:t>trend towards acceptance of lesbian, gay and bisexual identities, as documented by support expressed by family members</w:t>
      </w:r>
      <w:r>
        <w:t>.</w:t>
      </w:r>
      <w:r w:rsidRPr="00F979FC">
        <w:fldChar w:fldCharType="begin"/>
      </w:r>
      <w:r>
        <w:instrText xml:space="preserve"> ADDIN ZOTERO_ITEM CSL_CITATION {"citationID":"DQeFQz1v","properties":{"formattedCitation":"(33)","plainCitation":"(33)","noteIndex":0},"citationItems":[{"id":"hc6yy1rM/n18uPBo6","uris":["http://zotero.org/users/4948307/items/G3JIS46M"],"itemData":{"id":707,"type":"book","title":"Writing Themselves in 3: The Third National Study on the Sexual Health and Wellbeing of Same Sex Attracted and Gender Questioning Young People","author":[{"family":"Hillier","given":"Lynne"},{"family":"Jones","given":"Tiffany"},{"family":"Monagle","given":"Marisa"},{"family":"Overton","given":"Naomi"},{"family":"Gahan","given":"Luke"},{"family":"Blackman","given":"Jennifer"},{"family":"Mitchell","given":"Anne"}],"issued":{"date-parts":[["2010",1,1]]}}}],"schema":"https://github.com/citation-style-language/schema/raw/master/csl-citation.json"} </w:instrText>
      </w:r>
      <w:r w:rsidRPr="00F979FC">
        <w:fldChar w:fldCharType="separate"/>
      </w:r>
      <w:r>
        <w:rPr>
          <w:lang w:val="en-GB"/>
        </w:rPr>
        <w:t>(33)</w:t>
      </w:r>
      <w:r w:rsidRPr="00F979FC">
        <w:fldChar w:fldCharType="end"/>
      </w:r>
      <w:r w:rsidRPr="00F979FC">
        <w:t xml:space="preserve"> </w:t>
      </w:r>
    </w:p>
    <w:p w14:paraId="474BAD89" w14:textId="77777777" w:rsidR="009D0006" w:rsidRDefault="009D0006" w:rsidP="009D0006">
      <w:r w:rsidRPr="00F979FC">
        <w:rPr>
          <w:lang w:bidi="en-US"/>
        </w:rPr>
        <w:t>‘Coming out’ in and of itself has not necessarily been found to be protective of wellbeing and mental health for LGBTQ</w:t>
      </w:r>
      <w:r>
        <w:rPr>
          <w:lang w:bidi="en-US"/>
        </w:rPr>
        <w:t>A</w:t>
      </w:r>
      <w:r w:rsidRPr="00F979FC">
        <w:rPr>
          <w:lang w:bidi="en-US"/>
        </w:rPr>
        <w:t xml:space="preserve">+ young people. Indeed, for some young people in unsupportive environments it may present a risk. </w:t>
      </w:r>
      <w:r w:rsidRPr="00F979FC">
        <w:t>However, support at the time of disclosure has shown to be protective, particularly when it comes from family members.</w:t>
      </w:r>
      <w:r w:rsidRPr="009F2DDE">
        <w:fldChar w:fldCharType="begin"/>
      </w:r>
      <w:r>
        <w:instrText xml:space="preserve"> ADDIN ZOTERO_ITEM CSL_CITATION {"citationID":"a3k5qjanpc","properties":{"formattedCitation":"(34,35)","plainCitation":"(34,35)","noteIndex":0},"citationItems":[{"id":2658,"uris":["http://zotero.org/groups/2463045/items/A6VYNT8K"],"itemData":{"id":2658,"type":"report","event-place":"Melbourne","publisher":"Australian Research Centre in Sex, Health and Society","publisher-place":"Melbourne","title":"From blues to rainbows: the mental health and wellbeing of gender diverse and transgender young people in Australia","author":[{"family":"Smith","given":"Elizabeth"},{"family":"Jones","given":"Tiffany"},{"family":"Ward","given":"Roz"},{"family":"Dixon","given":"Jennifer"},{"family":"Mitchell","given":"Anne"},{"family":"Hillier","given":"Lynne"}],"issued":{"date-parts":[["2014"]]},"citation-key":"smithBluesRainbowsMental2014"}},{"id":756,"uris":["http://zotero.org/groups/2463045/items/JS7K73V7"],"itemData":{"id":756,"type":"report","abstract":"Trans Pathways is the largest study ever conducted of the mental health and care pathways of trans and gender diverse young people in Australia (859 participants). It is also the first Australian study to incorporate the views of parents and guardians of trans young people (194 participants).\n\nTrans young people are at very high risk for poor mental health, self-harming and suicide attempts. Around 3 in every 4 trans young people have experienced anxiety or depression. Four out of 5 trans young people have ever engaged in self-harm, and almost 1 in 2 trans young people have ever attempted suicide (48%).\n\nTrans young people found it difficult to access health services with 60% feeling isolated from medical and mental health services, and 42% having reached out to a service provider who did not understand or respect their gender identity. Problems with health services included a lack of education about gender diversity, not knowing where to refer trans clients, and transphobia.\n\nMany trans young people have experienced negative situations that affect their mental health such as peer rejection, bullying, issues with school, university or TAFE, and a lack of family support.\n\nParticipants told us they used music and art, peers and friends, activism, social media and pets to make themselves feel better and take care of the mental wellbeing.\n\nWe have provided a list of recommendations for governments and health providers, as well as guidance for schools, parents, peers and young trans people.","note":"https://doi.org/10.13140/RG.2.2.19410.25284","publisher":"Telethon Kids Institute","title":"Trans Pathways: The mental health experiences and care pathways of trans young people. Summary of results.","author":[{"family":"Strauss","given":"Penelope"},{"family":"Cook","given":"Angus"},{"family":"Winter","given":"Sam"},{"family":"Watson","given":"Vanessa"},{"family":"Toussaint","given":"Dani"},{"family":"Lin","given":"Ashleigh"}],"issued":{"date-parts":[["2017"]]},"citation-key":"straussTransPathwaysMental2017"}}],"schema":"https://github.com/citation-style-language/schema/raw/master/csl-citation.json"} </w:instrText>
      </w:r>
      <w:r w:rsidRPr="009F2DDE">
        <w:fldChar w:fldCharType="separate"/>
      </w:r>
      <w:r>
        <w:rPr>
          <w:lang w:val="en-GB"/>
        </w:rPr>
        <w:t>(34,35)</w:t>
      </w:r>
      <w:r w:rsidRPr="009F2DDE">
        <w:fldChar w:fldCharType="end"/>
      </w:r>
      <w:r w:rsidRPr="00F979FC">
        <w:t xml:space="preserve"> Previous studies have shown </w:t>
      </w:r>
      <w:r w:rsidRPr="00F979FC">
        <w:rPr>
          <w:rFonts w:cs="DINRoundPro-Medi"/>
        </w:rPr>
        <w:t>high rates of family support to be a strong protective factor against suicidal ideation and suicide attempts among young people, while LGB youth reported significantly lower levels of family support than their non-</w:t>
      </w:r>
      <w:r>
        <w:rPr>
          <w:rFonts w:cs="DINRoundPro-Medi"/>
        </w:rPr>
        <w:t>LGB</w:t>
      </w:r>
      <w:r w:rsidRPr="00F979FC">
        <w:rPr>
          <w:rFonts w:cs="DINRoundPro-Medi"/>
        </w:rPr>
        <w:t xml:space="preserve"> peers</w:t>
      </w:r>
      <w:r>
        <w:rPr>
          <w:rFonts w:cs="DINRoundPro-Medi"/>
        </w:rPr>
        <w:t>.</w:t>
      </w:r>
      <w:r w:rsidRPr="00F979FC">
        <w:rPr>
          <w:rFonts w:cs="DINRoundPro-Medi"/>
        </w:rPr>
        <w:fldChar w:fldCharType="begin"/>
      </w:r>
      <w:r>
        <w:rPr>
          <w:rFonts w:cs="DINRoundPro-Medi"/>
        </w:rPr>
        <w:instrText xml:space="preserve"> ADDIN ZOTERO_ITEM CSL_CITATION {"citationID":"ir069ZOH","properties":{"formattedCitation":"(36)","plainCitation":"(36)","noteIndex":0},"citationItems":[{"id":"hc6yy1rM/uCUS7KEC","uris":["http://zotero.org/users/4948307/items/TZF9IY9B"],"itemData":{"id":40,"type":"article-journal","abstract":"PURPOSE: Many reports have indicated that gay, lesbian and bisexual (GLB) youth are particularly vulnerable to poor outcomes, including suicide. Certain protective factors are likely to reduce this risk. The present study examines four protective factors (family connectedness, teacher caring, other adult caring, and school safety) and their association with suicidal ideation and attempts among adolescents with same-gender experience.\nMETHODS: Data come from the 2004 Minnesota Student Survey of 9th and 12th grade students; 21,927 sexually active youth were grouped according to the gender of their sex partner(s) into GLB and non-GLB groups. Four protective factors and suicidal ideation and attempts were compared across groups. Logistic regression was used to examine the influence of protective factors on suicide, and predicted probabilities of suicidal ideation and attempts were estimated using general linear modeling.\nRESULTS: There were 2,255 respondents who reported same-gender experience. Over half of GLB students had thought about suicide and 37.4% reported a suicide attempt. GLB youth reported significantly lower levels of each protective factor than their non-GLB peers. Family connectedness, adult caring, and school safety were significantly protective against suicidal ideation and attempts. Risk associated with a GLB sexual orientation is largely mediated through protective factors.\nCONCLUSIONS: Sexual orientation alone accounts for only a small portion of variability in suicidal ideation and attempts. If protective factors were enhanced among GLB youth, suicide in this population is expected to be considerably lower. Protective factors examined here are amenable to change and should be targeted in interventions.","container-title":"The Journal of Adolescent Health: Official Publication of the Society for Adolescent Medicine","DOI":"10.1016/j.jadohealth.2006.04.024","ISSN":"1879-1972","issue":"5","journalAbbreviation":"J Adolesc Health","language":"eng","note":"PMID: 17046502","page":"662-668","source":"PubMed","title":"Suicidality among gay, lesbian and bisexual youth: the role of protective factors","title-short":"Suicidality among gay, lesbian and bisexual youth","volume":"39","author":[{"family":"Eisenberg","given":"Marla E."},{"family":"Resnick","given":"Michael D."}],"issued":{"date-parts":[["2006",11]]}}}],"schema":"https://github.com/citation-style-language/schema/raw/master/csl-citation.json"} </w:instrText>
      </w:r>
      <w:r w:rsidRPr="00F979FC">
        <w:rPr>
          <w:rFonts w:cs="DINRoundPro-Medi"/>
        </w:rPr>
        <w:fldChar w:fldCharType="separate"/>
      </w:r>
      <w:r>
        <w:rPr>
          <w:lang w:val="en-GB"/>
        </w:rPr>
        <w:t>(36)</w:t>
      </w:r>
      <w:r w:rsidRPr="00F979FC">
        <w:rPr>
          <w:rFonts w:cs="DINRoundPro-Medi"/>
        </w:rPr>
        <w:fldChar w:fldCharType="end"/>
      </w:r>
      <w:r w:rsidRPr="00F979FC">
        <w:t xml:space="preserve"> Conversely, </w:t>
      </w:r>
      <w:r>
        <w:t>rejection</w:t>
      </w:r>
      <w:r w:rsidRPr="00F979FC">
        <w:t xml:space="preserve"> of a child’s </w:t>
      </w:r>
      <w:r>
        <w:t>sexual orientation</w:t>
      </w:r>
      <w:r w:rsidRPr="00F979FC">
        <w:t xml:space="preserve"> or gender identity</w:t>
      </w:r>
      <w:r>
        <w:t xml:space="preserve"> by a parent or carer</w:t>
      </w:r>
      <w:r w:rsidRPr="00F979FC">
        <w:t xml:space="preserve"> is associated with higher rates of suicide attempts and self-harm</w:t>
      </w:r>
      <w:r>
        <w:t>.</w:t>
      </w:r>
      <w:r w:rsidRPr="00F979FC">
        <w:fldChar w:fldCharType="begin"/>
      </w:r>
      <w:r>
        <w:instrText xml:space="preserve"> ADDIN ZOTERO_ITEM CSL_CITATION {"citationID":"XNjTOFQO","properties":{"formattedCitation":"(37)","plainCitation":"(37)","noteIndex":0},"citationItems":[{"id":"hc6yy1rM/04UK7PYx","uris":["http://zotero.org/users/4948307/items/PN6TQWIQ"],"itemData":{"id":586,"type":"article-journal","container-title":"Journal of Gay &amp; Lesbian Social Services","DOI":"10.1300/J041v18n01_02","journalAbbreviation":"Journal of Gay &amp; Lesbian Social Services","page":"3-16","title":"Parent' Reactions to Transgender Youth' Gender Nonconforming Expression and Identity","volume":"18","author":[{"family":"Grossman","given":"Arnold"},{"family":"D'Augelli","given":"Anthony"},{"family":"Howell","given":"Tamika"},{"family":"Hubbard","given":"Steven"}],"issued":{"date-parts":[["2005",7,17]]}}}],"schema":"https://github.com/citation-style-language/schema/raw/master/csl-citation.json"} </w:instrText>
      </w:r>
      <w:r w:rsidRPr="00F979FC">
        <w:fldChar w:fldCharType="separate"/>
      </w:r>
      <w:r>
        <w:rPr>
          <w:lang w:val="en-GB"/>
        </w:rPr>
        <w:t>(37)</w:t>
      </w:r>
      <w:r w:rsidRPr="00F979FC">
        <w:fldChar w:fldCharType="end"/>
      </w:r>
      <w:r w:rsidRPr="00F979FC">
        <w:t xml:space="preserve"> </w:t>
      </w:r>
    </w:p>
    <w:p w14:paraId="3D4D3A29" w14:textId="77777777" w:rsidR="009D0006" w:rsidRPr="00F15667" w:rsidRDefault="009D0006" w:rsidP="009D0006">
      <w:pPr>
        <w:rPr>
          <w:rFonts w:ascii="Roboto" w:hAnsi="Roboto"/>
          <w:sz w:val="22"/>
        </w:rPr>
      </w:pPr>
      <w:r w:rsidRPr="00F15667">
        <w:rPr>
          <w:rFonts w:ascii="Roboto" w:hAnsi="Roboto"/>
          <w:sz w:val="22"/>
        </w:rPr>
        <w:t xml:space="preserve">This chapter reflects how LGBTIQ people with disability disclosed their sexuality or gender identity to significant others and the support they received (or did not receive) when doing so. It also </w:t>
      </w:r>
      <w:r>
        <w:rPr>
          <w:rFonts w:ascii="Roboto" w:hAnsi="Roboto"/>
          <w:sz w:val="22"/>
        </w:rPr>
        <w:t>describes</w:t>
      </w:r>
      <w:r w:rsidRPr="00F15667">
        <w:rPr>
          <w:rFonts w:ascii="Roboto" w:hAnsi="Roboto"/>
          <w:sz w:val="22"/>
        </w:rPr>
        <w:t xml:space="preserve"> </w:t>
      </w:r>
      <w:r>
        <w:rPr>
          <w:rFonts w:ascii="Roboto" w:hAnsi="Roboto"/>
          <w:sz w:val="22"/>
        </w:rPr>
        <w:t>feelings</w:t>
      </w:r>
      <w:r w:rsidRPr="00F15667">
        <w:rPr>
          <w:rFonts w:ascii="Roboto" w:hAnsi="Roboto"/>
          <w:sz w:val="22"/>
        </w:rPr>
        <w:t xml:space="preserve"> of acceptance in both mainstream and LGBTIQ-specific spaces. </w:t>
      </w:r>
    </w:p>
    <w:p w14:paraId="56BD1381" w14:textId="7F253B64" w:rsidR="009D0006" w:rsidRPr="00F979FC" w:rsidRDefault="009D0006" w:rsidP="00153892">
      <w:pPr>
        <w:pStyle w:val="Heading2Numbered"/>
      </w:pPr>
      <w:bookmarkStart w:id="374" w:name="_Toc115968549"/>
      <w:bookmarkStart w:id="375" w:name="_Toc119662416"/>
      <w:r w:rsidRPr="00F979FC">
        <w:t>Disclosing sexual</w:t>
      </w:r>
      <w:r>
        <w:t xml:space="preserve"> orientation</w:t>
      </w:r>
      <w:r w:rsidRPr="00F979FC">
        <w:t xml:space="preserve"> or gender identity</w:t>
      </w:r>
      <w:bookmarkEnd w:id="371"/>
      <w:bookmarkEnd w:id="372"/>
      <w:bookmarkEnd w:id="373"/>
      <w:r w:rsidRPr="00F979FC">
        <w:t xml:space="preserve"> – young people aged 14-21 years</w:t>
      </w:r>
      <w:bookmarkEnd w:id="374"/>
      <w:bookmarkEnd w:id="375"/>
      <w:r>
        <w:t xml:space="preserve"> </w:t>
      </w:r>
    </w:p>
    <w:p w14:paraId="2EA2292F" w14:textId="77777777" w:rsidR="009D0006" w:rsidRPr="00F979FC" w:rsidRDefault="009D0006" w:rsidP="009D0006">
      <w:r w:rsidRPr="00F979FC">
        <w:t xml:space="preserve">Disclosure comes in many forms and is not always encompassed by the term ‘coming out’. Disclosure can also involve trusted people being ‘invited in’ by a young person to a discussion about sexuality or gender identity. Participants </w:t>
      </w:r>
      <w:r>
        <w:t xml:space="preserve">with disability </w:t>
      </w:r>
      <w:r w:rsidRPr="00F979FC">
        <w:t xml:space="preserve">were asked, ‘Have you come out to or talked with any of the following people about your sexual identity or gender identity?’ The range of possible people shown </w:t>
      </w:r>
      <w:r>
        <w:t>was</w:t>
      </w:r>
      <w:r w:rsidRPr="00F979FC">
        <w:t xml:space="preserve"> contingent upon answers to previous questions. For example, only those who reported playing sport were shown</w:t>
      </w:r>
      <w:r w:rsidRPr="00F979FC">
        <w:lastRenderedPageBreak/>
        <w:t xml:space="preserve"> the option regarding sports teammates. Sample sizes for each option were as follows:</w:t>
      </w:r>
    </w:p>
    <w:p w14:paraId="1E12CA71" w14:textId="77777777" w:rsidR="009D0006" w:rsidRPr="00F979FC" w:rsidRDefault="009D0006" w:rsidP="003113F7">
      <w:pPr>
        <w:pStyle w:val="Bulletlist"/>
        <w:rPr>
          <w:lang w:val="en-US"/>
        </w:rPr>
      </w:pPr>
      <w:r w:rsidRPr="00F979FC">
        <w:rPr>
          <w:lang w:val="en-US"/>
        </w:rPr>
        <w:t xml:space="preserve">Family (n = </w:t>
      </w:r>
      <w:r>
        <w:rPr>
          <w:lang w:val="en-US"/>
        </w:rPr>
        <w:t>2440</w:t>
      </w:r>
      <w:r w:rsidRPr="00F979FC">
        <w:rPr>
          <w:lang w:val="en-US"/>
        </w:rPr>
        <w:t>)</w:t>
      </w:r>
    </w:p>
    <w:p w14:paraId="51ED06C6" w14:textId="77777777" w:rsidR="009D0006" w:rsidRPr="00F979FC" w:rsidRDefault="009D0006" w:rsidP="003113F7">
      <w:pPr>
        <w:pStyle w:val="Bulletlist"/>
        <w:rPr>
          <w:lang w:val="en-US"/>
        </w:rPr>
      </w:pPr>
      <w:r w:rsidRPr="00F979FC">
        <w:rPr>
          <w:lang w:val="en-US"/>
        </w:rPr>
        <w:t xml:space="preserve">Friends (n = </w:t>
      </w:r>
      <w:r>
        <w:rPr>
          <w:lang w:val="en-US"/>
        </w:rPr>
        <w:t>2458</w:t>
      </w:r>
      <w:r w:rsidRPr="00F979FC">
        <w:rPr>
          <w:lang w:val="en-US"/>
        </w:rPr>
        <w:t>)</w:t>
      </w:r>
    </w:p>
    <w:p w14:paraId="0D29BCD7" w14:textId="77777777" w:rsidR="009D0006" w:rsidRPr="00F979FC" w:rsidRDefault="009D0006" w:rsidP="003113F7">
      <w:pPr>
        <w:pStyle w:val="Bulletlist"/>
        <w:rPr>
          <w:lang w:val="en-US"/>
        </w:rPr>
      </w:pPr>
      <w:r w:rsidRPr="00F979FC">
        <w:rPr>
          <w:lang w:val="en-US"/>
        </w:rPr>
        <w:t xml:space="preserve">Coworkers (n = </w:t>
      </w:r>
      <w:r>
        <w:rPr>
          <w:lang w:val="en-US"/>
        </w:rPr>
        <w:t>1406</w:t>
      </w:r>
      <w:r w:rsidRPr="00F979FC">
        <w:rPr>
          <w:lang w:val="en-US"/>
        </w:rPr>
        <w:t>)</w:t>
      </w:r>
    </w:p>
    <w:p w14:paraId="153E2E98" w14:textId="77777777" w:rsidR="009D0006" w:rsidRPr="00F979FC" w:rsidRDefault="009D0006" w:rsidP="003113F7">
      <w:pPr>
        <w:pStyle w:val="Bulletlist"/>
        <w:rPr>
          <w:lang w:val="en-US"/>
        </w:rPr>
      </w:pPr>
      <w:r w:rsidRPr="00F979FC">
        <w:rPr>
          <w:lang w:val="en-US"/>
        </w:rPr>
        <w:t xml:space="preserve">Classmates (n = </w:t>
      </w:r>
      <w:r>
        <w:rPr>
          <w:lang w:val="en-US"/>
        </w:rPr>
        <w:t>2197</w:t>
      </w:r>
      <w:r w:rsidRPr="00F979FC">
        <w:rPr>
          <w:lang w:val="en-US"/>
        </w:rPr>
        <w:t>)</w:t>
      </w:r>
    </w:p>
    <w:p w14:paraId="0D8E3053" w14:textId="77777777" w:rsidR="009D0006" w:rsidRPr="00F979FC" w:rsidRDefault="009D0006" w:rsidP="003113F7">
      <w:pPr>
        <w:pStyle w:val="Bulletlist"/>
        <w:rPr>
          <w:lang w:val="en-US"/>
        </w:rPr>
      </w:pPr>
      <w:r w:rsidRPr="00F979FC">
        <w:rPr>
          <w:lang w:val="en-US"/>
        </w:rPr>
        <w:t xml:space="preserve">Teachers (n = </w:t>
      </w:r>
      <w:r>
        <w:rPr>
          <w:lang w:val="en-US"/>
        </w:rPr>
        <w:t>2167</w:t>
      </w:r>
      <w:r w:rsidRPr="00F979FC">
        <w:rPr>
          <w:lang w:val="en-US"/>
        </w:rPr>
        <w:t>)</w:t>
      </w:r>
    </w:p>
    <w:p w14:paraId="22E08EFC" w14:textId="77777777" w:rsidR="009D0006" w:rsidRPr="00F979FC" w:rsidRDefault="009D0006" w:rsidP="003113F7">
      <w:pPr>
        <w:pStyle w:val="Bulletlist"/>
        <w:rPr>
          <w:lang w:val="en-US"/>
        </w:rPr>
      </w:pPr>
      <w:r w:rsidRPr="00F979FC">
        <w:rPr>
          <w:lang w:val="en-US"/>
        </w:rPr>
        <w:t xml:space="preserve">Sports teammates (n = </w:t>
      </w:r>
      <w:r>
        <w:rPr>
          <w:lang w:val="en-US"/>
        </w:rPr>
        <w:t>890</w:t>
      </w:r>
      <w:r w:rsidRPr="00F979FC">
        <w:rPr>
          <w:lang w:val="en-US"/>
        </w:rPr>
        <w:t>)</w:t>
      </w:r>
    </w:p>
    <w:p w14:paraId="1BDA212E" w14:textId="77777777" w:rsidR="009D0006" w:rsidRPr="00F979FC" w:rsidRDefault="009D0006" w:rsidP="009D0006">
      <w:r w:rsidRPr="00F979FC">
        <w:t xml:space="preserve">Participants could indicate if aspects of the question were not relevant to them, such as people not working or not participating in sports. Figure </w:t>
      </w:r>
      <w:r>
        <w:t>3</w:t>
      </w:r>
      <w:r w:rsidRPr="00F979FC">
        <w:t xml:space="preserve"> displays these responses.</w:t>
      </w:r>
    </w:p>
    <w:p w14:paraId="1A37AE11" w14:textId="0DB23725" w:rsidR="009D0006" w:rsidRPr="00BE525A" w:rsidRDefault="009D0006" w:rsidP="003113F7">
      <w:pPr>
        <w:pStyle w:val="FigureHeading"/>
      </w:pPr>
      <w:bookmarkStart w:id="376" w:name="_Toc45633536"/>
      <w:bookmarkStart w:id="377" w:name="_Toc49781898"/>
      <w:bookmarkStart w:id="378" w:name="_Toc117062853"/>
      <w:bookmarkStart w:id="379" w:name="_Toc119657409"/>
      <w:r w:rsidRPr="00BE525A">
        <w:t xml:space="preserve">Figure </w:t>
      </w:r>
      <w:r w:rsidR="00C9023A">
        <w:fldChar w:fldCharType="begin"/>
      </w:r>
      <w:r w:rsidR="00C9023A">
        <w:instrText xml:space="preserve"> SEQ Figure \* ARABIC </w:instrText>
      </w:r>
      <w:r w:rsidR="00C9023A">
        <w:fldChar w:fldCharType="separate"/>
      </w:r>
      <w:r>
        <w:rPr>
          <w:noProof/>
        </w:rPr>
        <w:t>3</w:t>
      </w:r>
      <w:r w:rsidR="00C9023A">
        <w:rPr>
          <w:noProof/>
        </w:rPr>
        <w:fldChar w:fldCharType="end"/>
      </w:r>
      <w:r w:rsidRPr="00BE525A">
        <w:t xml:space="preserve">: Proportion of young people with disability aged 14-21 years disclosing their sexual orientation or gender identity to different </w:t>
      </w:r>
      <w:bookmarkEnd w:id="376"/>
      <w:r w:rsidRPr="00BE525A">
        <w:t>groups</w:t>
      </w:r>
      <w:bookmarkEnd w:id="377"/>
      <w:r w:rsidRPr="00BE525A">
        <w:t xml:space="preserve"> of people</w:t>
      </w:r>
      <w:bookmarkEnd w:id="378"/>
      <w:bookmarkEnd w:id="379"/>
    </w:p>
    <w:p w14:paraId="651D792C" w14:textId="77777777" w:rsidR="009D0006" w:rsidRDefault="009D0006" w:rsidP="009D0006">
      <w:r>
        <w:rPr>
          <w:noProof/>
          <w:lang w:eastAsia="en-AU"/>
        </w:rPr>
        <w:drawing>
          <wp:inline distT="0" distB="0" distL="0" distR="0" wp14:anchorId="3E38F6C7" wp14:editId="2A5FF83A">
            <wp:extent cx="5940000" cy="3240000"/>
            <wp:effectExtent l="0" t="0" r="0" b="0"/>
            <wp:docPr id="9" name="Chart 9">
              <a:extLst xmlns:a="http://schemas.openxmlformats.org/drawingml/2006/main">
                <a:ext uri="{FF2B5EF4-FFF2-40B4-BE49-F238E27FC236}">
                  <a16:creationId xmlns:a16="http://schemas.microsoft.com/office/drawing/2014/main" id="{F2128B21-C85E-ED4F-A963-7628B94FC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380" w:name="_Toc40192110"/>
      <w:bookmarkStart w:id="381" w:name="_Toc45633224"/>
      <w:bookmarkStart w:id="382" w:name="_Toc49781939"/>
      <w:bookmarkStart w:id="383" w:name="_Toc58252063"/>
    </w:p>
    <w:p w14:paraId="36BE7343" w14:textId="77777777" w:rsidR="009D0006" w:rsidRDefault="009D0006" w:rsidP="009D0006">
      <w:r>
        <w:t>As displayed in Figure 3, the majority (96.9</w:t>
      </w:r>
      <w:r w:rsidRPr="0014508F">
        <w:t>%</w:t>
      </w:r>
      <w:r>
        <w:t xml:space="preserve">; </w:t>
      </w:r>
      <w:r w:rsidRPr="0014508F">
        <w:t xml:space="preserve">n = </w:t>
      </w:r>
      <w:r>
        <w:t>2380</w:t>
      </w:r>
      <w:r w:rsidRPr="0014508F">
        <w:t>) of participants</w:t>
      </w:r>
      <w:r>
        <w:t xml:space="preserve"> </w:t>
      </w:r>
      <w:r w:rsidRPr="00692BC1">
        <w:t xml:space="preserve">with disability in </w:t>
      </w:r>
      <w:r w:rsidRPr="00CF669D">
        <w:rPr>
          <w:i/>
          <w:iCs/>
        </w:rPr>
        <w:t xml:space="preserve">Writing Themselves </w:t>
      </w:r>
      <w:r>
        <w:rPr>
          <w:i/>
          <w:iCs/>
        </w:rPr>
        <w:t>I</w:t>
      </w:r>
      <w:r w:rsidRPr="00CF669D">
        <w:rPr>
          <w:i/>
          <w:iCs/>
        </w:rPr>
        <w:t>n 4</w:t>
      </w:r>
      <w:r w:rsidRPr="009E4A81">
        <w:rPr>
          <w:i/>
          <w:iCs/>
        </w:rPr>
        <w:t xml:space="preserve"> </w:t>
      </w:r>
      <w:r>
        <w:t>had disclosed their sexual orientation or gender identity to friends, followed by 79.3% (n = 1937) to family and 72.7% (n = 1597) to classmates. Less than one-half of participants had disclosed their sexual orientation or gender identity to co-workers (48.0%; n = 674) or to teachers (43.2%; n = 936), and less than one-third had disclosed to sports teammates (31.7%; n = 282).</w:t>
      </w:r>
    </w:p>
    <w:p w14:paraId="4358A8DB" w14:textId="5264702D" w:rsidR="009D0006" w:rsidRPr="00F979FC" w:rsidRDefault="009D0006" w:rsidP="00153892">
      <w:pPr>
        <w:pStyle w:val="Heading2Numbered"/>
      </w:pPr>
      <w:bookmarkStart w:id="384" w:name="_Toc115968550"/>
      <w:bookmarkStart w:id="385" w:name="_Toc119662417"/>
      <w:r w:rsidRPr="00F979FC">
        <w:t>Feeli</w:t>
      </w:r>
      <w:r w:rsidRPr="00F979FC">
        <w:lastRenderedPageBreak/>
        <w:t xml:space="preserve">ngs of support about </w:t>
      </w:r>
      <w:bookmarkEnd w:id="380"/>
      <w:bookmarkEnd w:id="381"/>
      <w:bookmarkEnd w:id="382"/>
      <w:r w:rsidRPr="00F979FC">
        <w:t>sexuality or gender identity</w:t>
      </w:r>
      <w:bookmarkEnd w:id="383"/>
      <w:r w:rsidRPr="00F979FC">
        <w:t xml:space="preserve"> – young people aged 14-21 years</w:t>
      </w:r>
      <w:bookmarkEnd w:id="384"/>
      <w:bookmarkEnd w:id="385"/>
      <w:r>
        <w:t xml:space="preserve"> </w:t>
      </w:r>
    </w:p>
    <w:p w14:paraId="3B52B964" w14:textId="77777777" w:rsidR="009D0006" w:rsidRPr="00F979FC" w:rsidRDefault="009D0006" w:rsidP="009D0006">
      <w:pPr>
        <w:rPr>
          <w:lang w:val="en-US"/>
        </w:rPr>
      </w:pPr>
      <w:r w:rsidRPr="00F979FC">
        <w:t>Participants who responded they had come out to or talked with people about their sexuality or gender identity were asked, ‘</w:t>
      </w:r>
      <w:r w:rsidRPr="00F979FC">
        <w:rPr>
          <w:lang w:val="en-US"/>
        </w:rPr>
        <w:t xml:space="preserve">Overall, how supported do you feel about your sexual identity, gender identity and/or gender expression?’ The question was asked in relation to the categories of people </w:t>
      </w:r>
      <w:r>
        <w:rPr>
          <w:lang w:val="en-US"/>
        </w:rPr>
        <w:t>to whom they</w:t>
      </w:r>
      <w:r w:rsidRPr="00F979FC">
        <w:rPr>
          <w:lang w:val="en-US"/>
        </w:rPr>
        <w:t xml:space="preserve"> had previously stated they had disclosed. </w:t>
      </w:r>
      <w:r w:rsidRPr="00F979FC">
        <w:t xml:space="preserve">For example, only participants who indicated that they had come out to or talked with family were asked how supported they felt by family. </w:t>
      </w:r>
      <w:r>
        <w:t xml:space="preserve">Tables 28.1-28.6 displays the results. </w:t>
      </w:r>
    </w:p>
    <w:p w14:paraId="6F9F1761" w14:textId="2399B1D4" w:rsidR="009D0006" w:rsidRDefault="009D0006" w:rsidP="00603068">
      <w:pPr>
        <w:pStyle w:val="Tableheading"/>
      </w:pPr>
      <w:bookmarkStart w:id="386" w:name="_Toc45633906"/>
      <w:bookmarkStart w:id="387" w:name="_Toc49781981"/>
      <w:bookmarkStart w:id="388" w:name="_Toc117062746"/>
      <w:bookmarkStart w:id="389" w:name="_Toc119651431"/>
      <w:r w:rsidRPr="004B232A">
        <w:rPr>
          <w:bCs/>
        </w:rPr>
        <w:t>Table</w:t>
      </w:r>
      <w:r>
        <w:rPr>
          <w:bCs/>
        </w:rPr>
        <w:t>s</w:t>
      </w:r>
      <w:r w:rsidRPr="004B232A">
        <w:rPr>
          <w:bCs/>
        </w:rPr>
        <w:t xml:space="preserve"> </w:t>
      </w:r>
      <w:r w:rsidRPr="004B232A">
        <w:rPr>
          <w:bCs/>
        </w:rPr>
        <w:fldChar w:fldCharType="begin"/>
      </w:r>
      <w:r w:rsidRPr="004B232A">
        <w:rPr>
          <w:bCs/>
        </w:rPr>
        <w:instrText xml:space="preserve"> SEQ Table \* ARABIC </w:instrText>
      </w:r>
      <w:r w:rsidRPr="004B232A">
        <w:rPr>
          <w:bCs/>
        </w:rPr>
        <w:fldChar w:fldCharType="separate"/>
      </w:r>
      <w:r>
        <w:rPr>
          <w:bCs/>
          <w:noProof/>
        </w:rPr>
        <w:t>28</w:t>
      </w:r>
      <w:r w:rsidRPr="004B232A">
        <w:rPr>
          <w:bCs/>
        </w:rPr>
        <w:fldChar w:fldCharType="end"/>
      </w:r>
      <w:r>
        <w:rPr>
          <w:bCs/>
        </w:rPr>
        <w:t>.1-28.6</w:t>
      </w:r>
      <w:r>
        <w:t xml:space="preserve">: </w:t>
      </w:r>
      <w:r w:rsidRPr="00F979FC">
        <w:t xml:space="preserve">Proportion of </w:t>
      </w:r>
      <w:r>
        <w:t xml:space="preserve">young people with disability aged 14-21 years </w:t>
      </w:r>
      <w:r w:rsidRPr="00F979FC">
        <w:t>who feel supported about their sexuality</w:t>
      </w:r>
      <w:r>
        <w:t xml:space="preserve">, </w:t>
      </w:r>
      <w:r w:rsidRPr="00F979FC">
        <w:t>gender identity</w:t>
      </w:r>
      <w:bookmarkEnd w:id="386"/>
      <w:bookmarkEnd w:id="387"/>
      <w:r w:rsidRPr="00F979FC">
        <w:t xml:space="preserve"> or gender expression</w:t>
      </w:r>
      <w:bookmarkEnd w:id="388"/>
      <w:bookmarkEnd w:id="389"/>
    </w:p>
    <w:p w14:paraId="4550CD36" w14:textId="77777777" w:rsidR="009D0006" w:rsidRPr="00F979FC" w:rsidRDefault="009D0006" w:rsidP="00603068">
      <w:pPr>
        <w:pStyle w:val="Tableheading"/>
      </w:pPr>
      <w:r>
        <w:t>Table 28.1</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1E6FC9C5"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7DD7CE3" w14:textId="77777777" w:rsidR="009D0006" w:rsidRPr="004123CC" w:rsidRDefault="009D0006" w:rsidP="003113F7">
            <w:pPr>
              <w:pStyle w:val="Tableheader"/>
              <w:rPr>
                <w:lang w:val="en-US"/>
              </w:rPr>
            </w:pPr>
            <w:r w:rsidRPr="004123CC">
              <w:rPr>
                <w:lang w:val="en-US"/>
              </w:rPr>
              <w:t>Friends support (n = 2373)</w:t>
            </w:r>
          </w:p>
        </w:tc>
        <w:tc>
          <w:tcPr>
            <w:tcW w:w="1559" w:type="dxa"/>
            <w:noWrap/>
            <w:hideMark/>
          </w:tcPr>
          <w:p w14:paraId="170CFC5D" w14:textId="77777777" w:rsidR="009D0006" w:rsidRPr="00F979FC" w:rsidRDefault="009D0006" w:rsidP="003113F7">
            <w:pPr>
              <w:pStyle w:val="Tableheader"/>
              <w:rPr>
                <w:lang w:val="en-US"/>
              </w:rPr>
            </w:pPr>
            <w:r>
              <w:rPr>
                <w:lang w:val="en-US"/>
              </w:rPr>
              <w:t>n</w:t>
            </w:r>
          </w:p>
        </w:tc>
        <w:tc>
          <w:tcPr>
            <w:tcW w:w="1559" w:type="dxa"/>
            <w:noWrap/>
            <w:hideMark/>
          </w:tcPr>
          <w:p w14:paraId="683A44D7" w14:textId="77777777" w:rsidR="009D0006" w:rsidRPr="00F979FC" w:rsidRDefault="009D0006" w:rsidP="003113F7">
            <w:pPr>
              <w:pStyle w:val="Tableheader"/>
              <w:rPr>
                <w:lang w:val="en-US"/>
              </w:rPr>
            </w:pPr>
            <w:r>
              <w:rPr>
                <w:lang w:val="en-US"/>
              </w:rPr>
              <w:t>%</w:t>
            </w:r>
          </w:p>
        </w:tc>
      </w:tr>
      <w:tr w:rsidR="009D0006" w:rsidRPr="00F979FC" w14:paraId="2B842F17"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19C3FFE"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224FBA4F" w14:textId="77777777" w:rsidR="009D0006" w:rsidRPr="00F979FC" w:rsidRDefault="009D0006" w:rsidP="003113F7">
            <w:pPr>
              <w:pStyle w:val="Tabletext"/>
              <w:rPr>
                <w:lang w:val="en-US"/>
              </w:rPr>
            </w:pPr>
            <w:r w:rsidRPr="00554515">
              <w:rPr>
                <w:lang w:val="en-US"/>
              </w:rPr>
              <w:t>241</w:t>
            </w:r>
          </w:p>
        </w:tc>
        <w:tc>
          <w:tcPr>
            <w:tcW w:w="1559" w:type="dxa"/>
            <w:noWrap/>
          </w:tcPr>
          <w:p w14:paraId="67AB23AA" w14:textId="77777777" w:rsidR="009D0006" w:rsidRPr="00F979FC" w:rsidRDefault="009D0006" w:rsidP="003113F7">
            <w:pPr>
              <w:pStyle w:val="Tabletext"/>
              <w:rPr>
                <w:lang w:val="en-US"/>
              </w:rPr>
            </w:pPr>
            <w:r w:rsidRPr="00554515">
              <w:rPr>
                <w:lang w:val="en-US"/>
              </w:rPr>
              <w:t>10.2</w:t>
            </w:r>
          </w:p>
        </w:tc>
      </w:tr>
      <w:tr w:rsidR="009D0006" w:rsidRPr="00F979FC" w14:paraId="5AFE394F"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90F4247"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296E44C2" w14:textId="77777777" w:rsidR="009D0006" w:rsidRPr="00F979FC" w:rsidRDefault="009D0006" w:rsidP="003113F7">
            <w:pPr>
              <w:pStyle w:val="Tabletext"/>
              <w:rPr>
                <w:lang w:val="en-US"/>
              </w:rPr>
            </w:pPr>
            <w:r w:rsidRPr="00554515">
              <w:rPr>
                <w:lang w:val="en-US"/>
              </w:rPr>
              <w:t>2132</w:t>
            </w:r>
          </w:p>
        </w:tc>
        <w:tc>
          <w:tcPr>
            <w:tcW w:w="1559" w:type="dxa"/>
            <w:noWrap/>
          </w:tcPr>
          <w:p w14:paraId="06508B57" w14:textId="77777777" w:rsidR="009D0006" w:rsidRPr="00F979FC" w:rsidRDefault="009D0006" w:rsidP="003113F7">
            <w:pPr>
              <w:pStyle w:val="Tabletext"/>
              <w:rPr>
                <w:lang w:val="en-US"/>
              </w:rPr>
            </w:pPr>
            <w:r w:rsidRPr="00554515">
              <w:rPr>
                <w:lang w:val="en-US"/>
              </w:rPr>
              <w:t>89.</w:t>
            </w:r>
            <w:r>
              <w:rPr>
                <w:lang w:val="en-US"/>
              </w:rPr>
              <w:t>8</w:t>
            </w:r>
          </w:p>
        </w:tc>
      </w:tr>
    </w:tbl>
    <w:p w14:paraId="65E96815" w14:textId="77777777" w:rsidR="009D0006" w:rsidRPr="002345E7" w:rsidRDefault="009D0006" w:rsidP="00603068">
      <w:pPr>
        <w:pStyle w:val="Tableheading"/>
      </w:pPr>
      <w:r>
        <w:t>Table 28.2</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035754E9"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464AEC68" w14:textId="77777777" w:rsidR="009D0006" w:rsidRPr="004123CC" w:rsidRDefault="009D0006" w:rsidP="003113F7">
            <w:pPr>
              <w:pStyle w:val="Tableheader"/>
              <w:rPr>
                <w:bCs/>
                <w:lang w:val="en-US"/>
              </w:rPr>
            </w:pPr>
            <w:r w:rsidRPr="004123CC">
              <w:rPr>
                <w:lang w:val="en-US"/>
              </w:rPr>
              <w:t xml:space="preserve">Teachers support </w:t>
            </w:r>
            <w:r w:rsidRPr="004123CC">
              <w:rPr>
                <w:bCs/>
                <w:lang w:val="en-US"/>
              </w:rPr>
              <w:t>(n = 935)</w:t>
            </w:r>
          </w:p>
        </w:tc>
        <w:tc>
          <w:tcPr>
            <w:tcW w:w="1559" w:type="dxa"/>
            <w:noWrap/>
          </w:tcPr>
          <w:p w14:paraId="435C3882" w14:textId="77777777" w:rsidR="009D0006" w:rsidRPr="00F979FC" w:rsidRDefault="009D0006" w:rsidP="003113F7">
            <w:pPr>
              <w:pStyle w:val="Tableheader"/>
              <w:rPr>
                <w:bCs/>
                <w:lang w:val="en-US"/>
              </w:rPr>
            </w:pPr>
            <w:r>
              <w:rPr>
                <w:bCs/>
                <w:lang w:val="en-US"/>
              </w:rPr>
              <w:t>n</w:t>
            </w:r>
          </w:p>
        </w:tc>
        <w:tc>
          <w:tcPr>
            <w:tcW w:w="1559" w:type="dxa"/>
            <w:noWrap/>
          </w:tcPr>
          <w:p w14:paraId="43F0AE31" w14:textId="77777777" w:rsidR="009D0006" w:rsidRPr="00F979FC" w:rsidRDefault="009D0006" w:rsidP="003113F7">
            <w:pPr>
              <w:pStyle w:val="Tableheader"/>
              <w:rPr>
                <w:lang w:val="en-US"/>
              </w:rPr>
            </w:pPr>
            <w:r>
              <w:rPr>
                <w:lang w:val="en-US"/>
              </w:rPr>
              <w:t>%</w:t>
            </w:r>
          </w:p>
        </w:tc>
      </w:tr>
      <w:tr w:rsidR="009D0006" w:rsidRPr="00F979FC" w14:paraId="32D09557"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8613095"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539197F9" w14:textId="77777777" w:rsidR="009D0006" w:rsidRPr="00F979FC" w:rsidRDefault="009D0006" w:rsidP="003113F7">
            <w:pPr>
              <w:pStyle w:val="Tabletext"/>
              <w:rPr>
                <w:lang w:val="en-US"/>
              </w:rPr>
            </w:pPr>
            <w:r w:rsidRPr="00554515">
              <w:rPr>
                <w:lang w:val="en-US"/>
              </w:rPr>
              <w:t>317</w:t>
            </w:r>
          </w:p>
        </w:tc>
        <w:tc>
          <w:tcPr>
            <w:tcW w:w="1559" w:type="dxa"/>
            <w:noWrap/>
          </w:tcPr>
          <w:p w14:paraId="13800F1D" w14:textId="77777777" w:rsidR="009D0006" w:rsidRPr="00F979FC" w:rsidRDefault="009D0006" w:rsidP="003113F7">
            <w:pPr>
              <w:pStyle w:val="Tabletext"/>
              <w:rPr>
                <w:lang w:val="en-US"/>
              </w:rPr>
            </w:pPr>
            <w:r w:rsidRPr="00554515">
              <w:rPr>
                <w:lang w:val="en-US"/>
              </w:rPr>
              <w:t>33.9</w:t>
            </w:r>
          </w:p>
        </w:tc>
      </w:tr>
      <w:tr w:rsidR="009D0006" w:rsidRPr="00F979FC" w14:paraId="60C0E91B"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6FE013A"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5981C0A5" w14:textId="77777777" w:rsidR="009D0006" w:rsidRPr="00F979FC" w:rsidRDefault="009D0006" w:rsidP="003113F7">
            <w:pPr>
              <w:pStyle w:val="Tabletext"/>
              <w:rPr>
                <w:lang w:val="en-US"/>
              </w:rPr>
            </w:pPr>
            <w:r w:rsidRPr="00554515">
              <w:rPr>
                <w:lang w:val="en-US"/>
              </w:rPr>
              <w:t>618</w:t>
            </w:r>
          </w:p>
        </w:tc>
        <w:tc>
          <w:tcPr>
            <w:tcW w:w="1559" w:type="dxa"/>
            <w:noWrap/>
          </w:tcPr>
          <w:p w14:paraId="61C86B15" w14:textId="77777777" w:rsidR="009D0006" w:rsidRPr="00F979FC" w:rsidRDefault="009D0006" w:rsidP="003113F7">
            <w:pPr>
              <w:pStyle w:val="Tabletext"/>
              <w:rPr>
                <w:lang w:val="en-US"/>
              </w:rPr>
            </w:pPr>
            <w:r w:rsidRPr="00554515">
              <w:rPr>
                <w:lang w:val="en-US"/>
              </w:rPr>
              <w:t>66.1</w:t>
            </w:r>
          </w:p>
        </w:tc>
      </w:tr>
    </w:tbl>
    <w:p w14:paraId="63BBA0E6" w14:textId="77777777" w:rsidR="009D0006" w:rsidRDefault="009D0006" w:rsidP="00603068">
      <w:pPr>
        <w:pStyle w:val="Tableheading"/>
      </w:pPr>
      <w:r>
        <w:t>Table 28.3</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4D44D7E6"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30188D91" w14:textId="77777777" w:rsidR="009D0006" w:rsidRPr="004123CC" w:rsidRDefault="009D0006" w:rsidP="003113F7">
            <w:pPr>
              <w:pStyle w:val="Tableheader"/>
              <w:rPr>
                <w:lang w:val="en-US"/>
              </w:rPr>
            </w:pPr>
            <w:r w:rsidRPr="004123CC">
              <w:rPr>
                <w:lang w:val="en-US"/>
              </w:rPr>
              <w:t xml:space="preserve">Sports teammates support </w:t>
            </w:r>
          </w:p>
          <w:p w14:paraId="38FBD0BD" w14:textId="77777777" w:rsidR="009D0006" w:rsidRPr="00F979FC" w:rsidRDefault="009D0006" w:rsidP="003113F7">
            <w:pPr>
              <w:pStyle w:val="Tableheader"/>
              <w:rPr>
                <w:lang w:val="en-US"/>
              </w:rPr>
            </w:pPr>
            <w:r w:rsidRPr="004123CC">
              <w:rPr>
                <w:bCs/>
                <w:lang w:val="en-US"/>
              </w:rPr>
              <w:t>(n = 281)</w:t>
            </w:r>
          </w:p>
        </w:tc>
        <w:tc>
          <w:tcPr>
            <w:tcW w:w="1559" w:type="dxa"/>
            <w:noWrap/>
          </w:tcPr>
          <w:p w14:paraId="2F83AD11" w14:textId="77777777" w:rsidR="009D0006" w:rsidRPr="00F979FC" w:rsidRDefault="009D0006" w:rsidP="003113F7">
            <w:pPr>
              <w:pStyle w:val="Tableheader"/>
              <w:rPr>
                <w:lang w:val="en-US"/>
              </w:rPr>
            </w:pPr>
            <w:r>
              <w:rPr>
                <w:bCs/>
                <w:lang w:val="en-US"/>
              </w:rPr>
              <w:t>n</w:t>
            </w:r>
          </w:p>
        </w:tc>
        <w:tc>
          <w:tcPr>
            <w:tcW w:w="1559" w:type="dxa"/>
            <w:noWrap/>
          </w:tcPr>
          <w:p w14:paraId="699326D0" w14:textId="77777777" w:rsidR="009D0006" w:rsidRPr="00F979FC" w:rsidRDefault="009D0006" w:rsidP="003113F7">
            <w:pPr>
              <w:pStyle w:val="Tableheader"/>
              <w:rPr>
                <w:lang w:val="en-US"/>
              </w:rPr>
            </w:pPr>
            <w:r>
              <w:rPr>
                <w:lang w:val="en-US"/>
              </w:rPr>
              <w:t>%</w:t>
            </w:r>
          </w:p>
        </w:tc>
      </w:tr>
      <w:tr w:rsidR="009D0006" w:rsidRPr="00F979FC" w14:paraId="3CA5D0EE"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51B6054"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664B652F" w14:textId="77777777" w:rsidR="009D0006" w:rsidRPr="00F979FC" w:rsidRDefault="009D0006" w:rsidP="003113F7">
            <w:pPr>
              <w:pStyle w:val="Tabletext"/>
              <w:rPr>
                <w:lang w:val="en-US"/>
              </w:rPr>
            </w:pPr>
            <w:r w:rsidRPr="00554515">
              <w:rPr>
                <w:lang w:val="en-US"/>
              </w:rPr>
              <w:t>102</w:t>
            </w:r>
          </w:p>
        </w:tc>
        <w:tc>
          <w:tcPr>
            <w:tcW w:w="1559" w:type="dxa"/>
            <w:noWrap/>
          </w:tcPr>
          <w:p w14:paraId="7575A0C6" w14:textId="77777777" w:rsidR="009D0006" w:rsidRPr="00F979FC" w:rsidRDefault="009D0006" w:rsidP="003113F7">
            <w:pPr>
              <w:pStyle w:val="Tabletext"/>
              <w:rPr>
                <w:lang w:val="en-US"/>
              </w:rPr>
            </w:pPr>
            <w:r w:rsidRPr="00554515">
              <w:rPr>
                <w:lang w:val="en-US"/>
              </w:rPr>
              <w:t>36.3</w:t>
            </w:r>
          </w:p>
        </w:tc>
      </w:tr>
      <w:tr w:rsidR="009D0006" w:rsidRPr="00F979FC" w14:paraId="4993CC46"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04CFDD2"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64B24671" w14:textId="77777777" w:rsidR="009D0006" w:rsidRPr="00F979FC" w:rsidRDefault="009D0006" w:rsidP="003113F7">
            <w:pPr>
              <w:pStyle w:val="Tabletext"/>
              <w:rPr>
                <w:lang w:val="en-US"/>
              </w:rPr>
            </w:pPr>
            <w:r w:rsidRPr="00554515">
              <w:rPr>
                <w:lang w:val="en-US"/>
              </w:rPr>
              <w:t>179</w:t>
            </w:r>
          </w:p>
        </w:tc>
        <w:tc>
          <w:tcPr>
            <w:tcW w:w="1559" w:type="dxa"/>
            <w:noWrap/>
          </w:tcPr>
          <w:p w14:paraId="26453F22" w14:textId="77777777" w:rsidR="009D0006" w:rsidRPr="00F979FC" w:rsidRDefault="009D0006" w:rsidP="003113F7">
            <w:pPr>
              <w:pStyle w:val="Tabletext"/>
              <w:rPr>
                <w:lang w:val="en-US"/>
              </w:rPr>
            </w:pPr>
            <w:r w:rsidRPr="00554515">
              <w:rPr>
                <w:lang w:val="en-US"/>
              </w:rPr>
              <w:t>63.7</w:t>
            </w:r>
          </w:p>
        </w:tc>
      </w:tr>
    </w:tbl>
    <w:p w14:paraId="461079DD" w14:textId="77777777" w:rsidR="009D0006" w:rsidRDefault="009D0006" w:rsidP="00603068">
      <w:pPr>
        <w:pStyle w:val="Tableheading"/>
      </w:pPr>
      <w:r>
        <w:t>Table 28.4</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3C8D40F7"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011FE45D" w14:textId="77777777" w:rsidR="009D0006" w:rsidRPr="004123CC" w:rsidRDefault="009D0006" w:rsidP="003113F7">
            <w:pPr>
              <w:pStyle w:val="Tableheader"/>
              <w:rPr>
                <w:lang w:val="en-US"/>
              </w:rPr>
            </w:pPr>
            <w:bookmarkStart w:id="390" w:name="_Hlk40873527"/>
            <w:r w:rsidRPr="004123CC">
              <w:rPr>
                <w:lang w:val="en-US"/>
              </w:rPr>
              <w:t>Family support (n = 1932)</w:t>
            </w:r>
          </w:p>
        </w:tc>
        <w:tc>
          <w:tcPr>
            <w:tcW w:w="1559" w:type="dxa"/>
            <w:noWrap/>
          </w:tcPr>
          <w:p w14:paraId="3F88656E" w14:textId="77777777" w:rsidR="009D0006" w:rsidRPr="00F979FC" w:rsidRDefault="009D0006" w:rsidP="003113F7">
            <w:pPr>
              <w:pStyle w:val="Tableheader"/>
              <w:rPr>
                <w:lang w:val="en-US"/>
              </w:rPr>
            </w:pPr>
            <w:r>
              <w:rPr>
                <w:lang w:val="en-US"/>
              </w:rPr>
              <w:t>n</w:t>
            </w:r>
          </w:p>
        </w:tc>
        <w:tc>
          <w:tcPr>
            <w:tcW w:w="1559" w:type="dxa"/>
            <w:noWrap/>
          </w:tcPr>
          <w:p w14:paraId="6EA7F5CA" w14:textId="77777777" w:rsidR="009D0006" w:rsidRPr="00F979FC" w:rsidRDefault="009D0006" w:rsidP="003113F7">
            <w:pPr>
              <w:pStyle w:val="Tableheader"/>
              <w:rPr>
                <w:lang w:val="en-US"/>
              </w:rPr>
            </w:pPr>
            <w:r>
              <w:rPr>
                <w:lang w:val="en-US"/>
              </w:rPr>
              <w:t>%</w:t>
            </w:r>
          </w:p>
        </w:tc>
      </w:tr>
      <w:tr w:rsidR="009D0006" w:rsidRPr="00F979FC" w14:paraId="23B23090"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20223DE"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7726B0D8" w14:textId="77777777" w:rsidR="009D0006" w:rsidRPr="00F979FC" w:rsidRDefault="009D0006" w:rsidP="003113F7">
            <w:pPr>
              <w:pStyle w:val="Tabletext"/>
              <w:rPr>
                <w:lang w:val="en-US"/>
              </w:rPr>
            </w:pPr>
            <w:r w:rsidRPr="00554515">
              <w:rPr>
                <w:lang w:val="en-US"/>
              </w:rPr>
              <w:t>836</w:t>
            </w:r>
          </w:p>
        </w:tc>
        <w:tc>
          <w:tcPr>
            <w:tcW w:w="1559" w:type="dxa"/>
            <w:noWrap/>
          </w:tcPr>
          <w:p w14:paraId="225B4D53" w14:textId="77777777" w:rsidR="009D0006" w:rsidRPr="00F979FC" w:rsidRDefault="009D0006" w:rsidP="003113F7">
            <w:pPr>
              <w:pStyle w:val="Tabletext"/>
              <w:rPr>
                <w:lang w:val="en-US"/>
              </w:rPr>
            </w:pPr>
            <w:r w:rsidRPr="00554515">
              <w:rPr>
                <w:lang w:val="en-US"/>
              </w:rPr>
              <w:t>43.3</w:t>
            </w:r>
          </w:p>
        </w:tc>
      </w:tr>
      <w:tr w:rsidR="009D0006" w:rsidRPr="00F979FC" w14:paraId="4E023D71"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5FDBBC3"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7218EB33" w14:textId="77777777" w:rsidR="009D0006" w:rsidRPr="00F979FC" w:rsidRDefault="009D0006" w:rsidP="003113F7">
            <w:pPr>
              <w:pStyle w:val="Tabletext"/>
              <w:rPr>
                <w:lang w:val="en-US"/>
              </w:rPr>
            </w:pPr>
            <w:r w:rsidRPr="00554515">
              <w:rPr>
                <w:lang w:val="en-US"/>
              </w:rPr>
              <w:t>1096</w:t>
            </w:r>
          </w:p>
        </w:tc>
        <w:tc>
          <w:tcPr>
            <w:tcW w:w="1559" w:type="dxa"/>
            <w:noWrap/>
          </w:tcPr>
          <w:p w14:paraId="4103E8AE" w14:textId="77777777" w:rsidR="009D0006" w:rsidRPr="00F979FC" w:rsidRDefault="009D0006" w:rsidP="003113F7">
            <w:pPr>
              <w:pStyle w:val="Tabletext"/>
              <w:rPr>
                <w:lang w:val="en-US"/>
              </w:rPr>
            </w:pPr>
            <w:r w:rsidRPr="00554515">
              <w:rPr>
                <w:lang w:val="en-US"/>
              </w:rPr>
              <w:t>56.7</w:t>
            </w:r>
          </w:p>
        </w:tc>
      </w:tr>
    </w:tbl>
    <w:p w14:paraId="46FBF6E9" w14:textId="77777777" w:rsidR="009D0006" w:rsidRDefault="009D0006" w:rsidP="00603068">
      <w:pPr>
        <w:pStyle w:val="Tableheading"/>
      </w:pPr>
      <w:r>
        <w:t>Table</w:t>
      </w:r>
      <w:r>
        <w:lastRenderedPageBreak/>
        <w:t xml:space="preserve"> 28.5</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3CEFE390"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4B3C20D6" w14:textId="77777777" w:rsidR="009D0006" w:rsidRPr="004123CC" w:rsidRDefault="009D0006" w:rsidP="003113F7">
            <w:pPr>
              <w:pStyle w:val="Tableheader"/>
              <w:rPr>
                <w:lang w:val="en-US"/>
              </w:rPr>
            </w:pPr>
            <w:bookmarkStart w:id="391" w:name="_Hlk40873504"/>
            <w:bookmarkEnd w:id="390"/>
            <w:r w:rsidRPr="004123CC">
              <w:rPr>
                <w:lang w:val="en-US"/>
              </w:rPr>
              <w:t>Co-workers support (n = 671)</w:t>
            </w:r>
          </w:p>
        </w:tc>
        <w:tc>
          <w:tcPr>
            <w:tcW w:w="1559" w:type="dxa"/>
            <w:noWrap/>
          </w:tcPr>
          <w:p w14:paraId="5CC48390" w14:textId="77777777" w:rsidR="009D0006" w:rsidRPr="00F979FC" w:rsidRDefault="009D0006" w:rsidP="003113F7">
            <w:pPr>
              <w:pStyle w:val="Tableheader"/>
              <w:rPr>
                <w:lang w:val="en-US"/>
              </w:rPr>
            </w:pPr>
            <w:r>
              <w:rPr>
                <w:bCs/>
                <w:lang w:val="en-US"/>
              </w:rPr>
              <w:t>n</w:t>
            </w:r>
          </w:p>
        </w:tc>
        <w:tc>
          <w:tcPr>
            <w:tcW w:w="1559" w:type="dxa"/>
            <w:noWrap/>
          </w:tcPr>
          <w:p w14:paraId="79F812A3" w14:textId="77777777" w:rsidR="009D0006" w:rsidRPr="00F979FC" w:rsidRDefault="009D0006" w:rsidP="003113F7">
            <w:pPr>
              <w:pStyle w:val="Tableheader"/>
              <w:rPr>
                <w:lang w:val="en-US"/>
              </w:rPr>
            </w:pPr>
            <w:r>
              <w:rPr>
                <w:lang w:val="en-US"/>
              </w:rPr>
              <w:t>%</w:t>
            </w:r>
          </w:p>
        </w:tc>
      </w:tr>
      <w:tr w:rsidR="009D0006" w:rsidRPr="00F979FC" w14:paraId="41C309AD"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9F9D7F6"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60DEF199" w14:textId="77777777" w:rsidR="009D0006" w:rsidRPr="00F979FC" w:rsidRDefault="009D0006" w:rsidP="003113F7">
            <w:pPr>
              <w:pStyle w:val="Tabletext"/>
              <w:rPr>
                <w:lang w:val="en-US"/>
              </w:rPr>
            </w:pPr>
            <w:r w:rsidRPr="00554515">
              <w:rPr>
                <w:lang w:val="en-US"/>
              </w:rPr>
              <w:t>300</w:t>
            </w:r>
          </w:p>
        </w:tc>
        <w:tc>
          <w:tcPr>
            <w:tcW w:w="1559" w:type="dxa"/>
            <w:noWrap/>
          </w:tcPr>
          <w:p w14:paraId="63E776BD" w14:textId="77777777" w:rsidR="009D0006" w:rsidRPr="00F979FC" w:rsidRDefault="009D0006" w:rsidP="003113F7">
            <w:pPr>
              <w:pStyle w:val="Tabletext"/>
              <w:rPr>
                <w:lang w:val="en-US"/>
              </w:rPr>
            </w:pPr>
            <w:r w:rsidRPr="00554515">
              <w:rPr>
                <w:lang w:val="en-US"/>
              </w:rPr>
              <w:t>44.7</w:t>
            </w:r>
          </w:p>
        </w:tc>
      </w:tr>
      <w:tr w:rsidR="009D0006" w:rsidRPr="00F979FC" w14:paraId="10E5DFE2"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2570397"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0F31BE94" w14:textId="77777777" w:rsidR="009D0006" w:rsidRPr="00F979FC" w:rsidRDefault="009D0006" w:rsidP="003113F7">
            <w:pPr>
              <w:pStyle w:val="Tabletext"/>
              <w:rPr>
                <w:lang w:val="en-US"/>
              </w:rPr>
            </w:pPr>
            <w:r w:rsidRPr="00554515">
              <w:rPr>
                <w:lang w:val="en-US"/>
              </w:rPr>
              <w:t>371</w:t>
            </w:r>
          </w:p>
        </w:tc>
        <w:tc>
          <w:tcPr>
            <w:tcW w:w="1559" w:type="dxa"/>
            <w:noWrap/>
          </w:tcPr>
          <w:p w14:paraId="0268FE06" w14:textId="77777777" w:rsidR="009D0006" w:rsidRPr="00F979FC" w:rsidRDefault="009D0006" w:rsidP="003113F7">
            <w:pPr>
              <w:pStyle w:val="Tabletext"/>
              <w:rPr>
                <w:lang w:val="en-US"/>
              </w:rPr>
            </w:pPr>
            <w:r w:rsidRPr="00554515">
              <w:rPr>
                <w:lang w:val="en-US"/>
              </w:rPr>
              <w:t>55.3</w:t>
            </w:r>
          </w:p>
        </w:tc>
      </w:tr>
    </w:tbl>
    <w:p w14:paraId="5DCAA151" w14:textId="77777777" w:rsidR="009D0006" w:rsidRDefault="009D0006" w:rsidP="00603068">
      <w:pPr>
        <w:pStyle w:val="Tableheading"/>
      </w:pPr>
      <w:r>
        <w:t>Table 28.6</w:t>
      </w:r>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4C525A81" w14:textId="77777777" w:rsidTr="003113F7">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bookmarkEnd w:id="391"/>
          <w:p w14:paraId="419B8475" w14:textId="77777777" w:rsidR="009D0006" w:rsidRPr="004123CC" w:rsidRDefault="009D0006" w:rsidP="003113F7">
            <w:pPr>
              <w:pStyle w:val="Tableheader"/>
              <w:rPr>
                <w:lang w:val="en-US"/>
              </w:rPr>
            </w:pPr>
            <w:r w:rsidRPr="004123CC">
              <w:rPr>
                <w:lang w:val="en-US"/>
              </w:rPr>
              <w:t xml:space="preserve">Classmates support </w:t>
            </w:r>
            <w:r w:rsidRPr="004123CC">
              <w:rPr>
                <w:bCs/>
                <w:lang w:val="en-US"/>
              </w:rPr>
              <w:t>(n = 1232)</w:t>
            </w:r>
          </w:p>
        </w:tc>
        <w:tc>
          <w:tcPr>
            <w:tcW w:w="1559" w:type="dxa"/>
            <w:noWrap/>
          </w:tcPr>
          <w:p w14:paraId="063542CA" w14:textId="77777777" w:rsidR="009D0006" w:rsidRPr="00F979FC" w:rsidRDefault="009D0006" w:rsidP="003113F7">
            <w:pPr>
              <w:pStyle w:val="Tableheader"/>
              <w:rPr>
                <w:lang w:val="en-US"/>
              </w:rPr>
            </w:pPr>
            <w:r>
              <w:rPr>
                <w:bCs/>
                <w:lang w:val="en-US"/>
              </w:rPr>
              <w:t>n</w:t>
            </w:r>
          </w:p>
        </w:tc>
        <w:tc>
          <w:tcPr>
            <w:tcW w:w="1559" w:type="dxa"/>
            <w:noWrap/>
          </w:tcPr>
          <w:p w14:paraId="44500165" w14:textId="77777777" w:rsidR="009D0006" w:rsidRPr="00F979FC" w:rsidRDefault="009D0006" w:rsidP="003113F7">
            <w:pPr>
              <w:pStyle w:val="Tableheader"/>
              <w:rPr>
                <w:lang w:val="en-US"/>
              </w:rPr>
            </w:pPr>
            <w:r>
              <w:rPr>
                <w:lang w:val="en-US"/>
              </w:rPr>
              <w:t>%</w:t>
            </w:r>
          </w:p>
        </w:tc>
      </w:tr>
      <w:tr w:rsidR="009D0006" w:rsidRPr="00F979FC" w14:paraId="1CC00E87" w14:textId="77777777" w:rsidTr="003113F7">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E66E666" w14:textId="77777777" w:rsidR="009D0006" w:rsidRPr="00F979FC" w:rsidRDefault="009D0006" w:rsidP="003113F7">
            <w:pPr>
              <w:pStyle w:val="Tabletext"/>
              <w:rPr>
                <w:lang w:val="en-US"/>
              </w:rPr>
            </w:pPr>
            <w:r w:rsidRPr="00F979FC">
              <w:rPr>
                <w:lang w:val="en-US"/>
              </w:rPr>
              <w:t xml:space="preserve">Not </w:t>
            </w:r>
            <w:r>
              <w:rPr>
                <w:lang w:val="en-US"/>
              </w:rPr>
              <w:t>s</w:t>
            </w:r>
            <w:r w:rsidRPr="00F979FC">
              <w:rPr>
                <w:lang w:val="en-US"/>
              </w:rPr>
              <w:t>upportive</w:t>
            </w:r>
          </w:p>
        </w:tc>
        <w:tc>
          <w:tcPr>
            <w:tcW w:w="1559" w:type="dxa"/>
            <w:noWrap/>
          </w:tcPr>
          <w:p w14:paraId="1CA1A13C" w14:textId="77777777" w:rsidR="009D0006" w:rsidRPr="00F979FC" w:rsidRDefault="009D0006" w:rsidP="003113F7">
            <w:pPr>
              <w:pStyle w:val="Tabletext"/>
              <w:rPr>
                <w:lang w:val="en-US"/>
              </w:rPr>
            </w:pPr>
            <w:r w:rsidRPr="00554515">
              <w:rPr>
                <w:lang w:val="en-US"/>
              </w:rPr>
              <w:t>735</w:t>
            </w:r>
          </w:p>
        </w:tc>
        <w:tc>
          <w:tcPr>
            <w:tcW w:w="1559" w:type="dxa"/>
            <w:noWrap/>
          </w:tcPr>
          <w:p w14:paraId="7FB34DE4" w14:textId="77777777" w:rsidR="009D0006" w:rsidRPr="00F979FC" w:rsidRDefault="009D0006" w:rsidP="003113F7">
            <w:pPr>
              <w:pStyle w:val="Tabletext"/>
              <w:rPr>
                <w:lang w:val="en-US"/>
              </w:rPr>
            </w:pPr>
            <w:r w:rsidRPr="00554515">
              <w:rPr>
                <w:lang w:val="en-US"/>
              </w:rPr>
              <w:t>59.7</w:t>
            </w:r>
          </w:p>
        </w:tc>
      </w:tr>
      <w:tr w:rsidR="009D0006" w:rsidRPr="00F979FC" w14:paraId="3E5F7E54" w14:textId="77777777" w:rsidTr="003113F7">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EFA1DB3" w14:textId="77777777" w:rsidR="009D0006" w:rsidRPr="00F979FC" w:rsidRDefault="009D0006" w:rsidP="003113F7">
            <w:pPr>
              <w:pStyle w:val="Tabletext"/>
              <w:rPr>
                <w:lang w:val="en-US"/>
              </w:rPr>
            </w:pPr>
            <w:r w:rsidRPr="00F979FC">
              <w:rPr>
                <w:lang w:val="en-US"/>
              </w:rPr>
              <w:t>Supportive</w:t>
            </w:r>
            <w:r>
              <w:rPr>
                <w:lang w:val="en-US"/>
              </w:rPr>
              <w:t xml:space="preserve"> or v</w:t>
            </w:r>
            <w:r w:rsidRPr="00F979FC">
              <w:rPr>
                <w:lang w:val="en-US"/>
              </w:rPr>
              <w:t xml:space="preserve">ery </w:t>
            </w:r>
            <w:r>
              <w:rPr>
                <w:lang w:val="en-US"/>
              </w:rPr>
              <w:t>s</w:t>
            </w:r>
            <w:r w:rsidRPr="00F979FC">
              <w:rPr>
                <w:lang w:val="en-US"/>
              </w:rPr>
              <w:t>upportive</w:t>
            </w:r>
          </w:p>
        </w:tc>
        <w:tc>
          <w:tcPr>
            <w:tcW w:w="1559" w:type="dxa"/>
            <w:noWrap/>
          </w:tcPr>
          <w:p w14:paraId="2C520889" w14:textId="77777777" w:rsidR="009D0006" w:rsidRPr="00F979FC" w:rsidRDefault="009D0006" w:rsidP="003113F7">
            <w:pPr>
              <w:pStyle w:val="Tabletext"/>
              <w:rPr>
                <w:lang w:val="en-US"/>
              </w:rPr>
            </w:pPr>
            <w:r w:rsidRPr="00554515">
              <w:rPr>
                <w:lang w:val="en-US"/>
              </w:rPr>
              <w:t>497</w:t>
            </w:r>
          </w:p>
        </w:tc>
        <w:tc>
          <w:tcPr>
            <w:tcW w:w="1559" w:type="dxa"/>
            <w:noWrap/>
          </w:tcPr>
          <w:p w14:paraId="621E4590" w14:textId="77777777" w:rsidR="009D0006" w:rsidRPr="00F979FC" w:rsidRDefault="009D0006" w:rsidP="003113F7">
            <w:pPr>
              <w:pStyle w:val="Tabletext"/>
              <w:rPr>
                <w:lang w:val="en-US"/>
              </w:rPr>
            </w:pPr>
            <w:r w:rsidRPr="00554515">
              <w:rPr>
                <w:lang w:val="en-US"/>
              </w:rPr>
              <w:t>40.3</w:t>
            </w:r>
          </w:p>
        </w:tc>
      </w:tr>
    </w:tbl>
    <w:p w14:paraId="33C1A0B3" w14:textId="77777777" w:rsidR="009D0006" w:rsidRDefault="009D0006" w:rsidP="00603068">
      <w:pPr>
        <w:spacing w:before="360"/>
      </w:pPr>
      <w:r>
        <w:t>As shown in Table 28.1-28.6, p</w:t>
      </w:r>
      <w:r w:rsidRPr="0014508F">
        <w:t>articipants</w:t>
      </w:r>
      <w:r>
        <w:t xml:space="preserve"> </w:t>
      </w:r>
      <w:r w:rsidRPr="00692BC1">
        <w:t xml:space="preserve">with disability in </w:t>
      </w:r>
      <w:r w:rsidRPr="00692BC1">
        <w:rPr>
          <w:i/>
          <w:iCs/>
        </w:rPr>
        <w:t>Writing Themselves in 4</w:t>
      </w:r>
      <w:r w:rsidRPr="00692BC1">
        <w:t xml:space="preserve"> </w:t>
      </w:r>
      <w:r>
        <w:t xml:space="preserve">who had disclosed their sexual orientation or gender identity reported feeling most supported by friends (89.8%; n = 2132), followed by teachers (66.1%; n = 618) and sports teammates (63.7%; n = 179). A little over one-half of participants who had disclosed to family (56.7%; n = 1096) and co-workers (55.3%; n = 371) felt supported, while less than half who had disclosed their sexual orientation or gender identity to classmates felt supported (40.3%; n = 497). </w:t>
      </w:r>
      <w:bookmarkStart w:id="392" w:name="_Toc37346039"/>
      <w:bookmarkStart w:id="393" w:name="_Toc42029327"/>
      <w:bookmarkStart w:id="394" w:name="_Toc42030067"/>
      <w:bookmarkStart w:id="395" w:name="_Toc43903869"/>
      <w:bookmarkStart w:id="396" w:name="_Toc58252064"/>
    </w:p>
    <w:p w14:paraId="263EBD48" w14:textId="77777777" w:rsidR="009D0006" w:rsidRPr="00603068" w:rsidRDefault="009D0006" w:rsidP="00603068">
      <w:pPr>
        <w:pStyle w:val="Tableheading"/>
      </w:pPr>
      <w:bookmarkStart w:id="397" w:name="_Toc117062747"/>
      <w:bookmarkStart w:id="398" w:name="_Toc119651432"/>
      <w:r w:rsidRPr="00603068">
        <w:t xml:space="preserve">Tables </w:t>
      </w:r>
      <w:r w:rsidR="00C9023A">
        <w:fldChar w:fldCharType="begin"/>
      </w:r>
      <w:r w:rsidR="00C9023A">
        <w:instrText xml:space="preserve"> SEQ Table \* ARABIC </w:instrText>
      </w:r>
      <w:r w:rsidR="00C9023A">
        <w:fldChar w:fldCharType="separate"/>
      </w:r>
      <w:r w:rsidRPr="00603068">
        <w:t>29</w:t>
      </w:r>
      <w:r w:rsidR="00C9023A">
        <w:fldChar w:fldCharType="end"/>
      </w:r>
      <w:r w:rsidRPr="00603068">
        <w:t>.1-29.6: Proportion of young people aged 14-21 years who feel supported about their sexuality or gender identity, grouped by disability</w:t>
      </w:r>
      <w:bookmarkEnd w:id="397"/>
      <w:bookmarkEnd w:id="398"/>
    </w:p>
    <w:p w14:paraId="4FF04D38" w14:textId="77777777" w:rsidR="009D0006" w:rsidRPr="00603068" w:rsidRDefault="009D0006" w:rsidP="00603068">
      <w:pPr>
        <w:pStyle w:val="Tableheading"/>
      </w:pPr>
      <w:r w:rsidRPr="00603068">
        <w:t>Table 29.1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2DC049FD" w14:textId="77777777" w:rsidTr="00C320CE">
        <w:trPr>
          <w:cnfStyle w:val="100000000000" w:firstRow="1" w:lastRow="0" w:firstColumn="0" w:lastColumn="0" w:oddVBand="0" w:evenVBand="0" w:oddHBand="0" w:evenHBand="0" w:firstRowFirstColumn="0" w:firstRowLastColumn="0" w:lastRowFirstColumn="0" w:lastRowLastColumn="0"/>
          <w:trHeight w:val="344"/>
        </w:trPr>
        <w:tc>
          <w:tcPr>
            <w:tcW w:w="6746" w:type="dxa"/>
            <w:noWrap/>
          </w:tcPr>
          <w:p w14:paraId="50CF43EB" w14:textId="77777777" w:rsidR="009D0006" w:rsidRPr="007E3D86" w:rsidRDefault="009D0006" w:rsidP="00C320CE">
            <w:pPr>
              <w:pStyle w:val="Tableheader"/>
            </w:pPr>
            <w:r w:rsidRPr="007E3D86">
              <w:t>Feel supported</w:t>
            </w:r>
          </w:p>
        </w:tc>
        <w:tc>
          <w:tcPr>
            <w:tcW w:w="1559" w:type="dxa"/>
            <w:noWrap/>
          </w:tcPr>
          <w:p w14:paraId="3A6D81C3" w14:textId="77777777" w:rsidR="009D0006" w:rsidRPr="007E3D86" w:rsidRDefault="009D0006" w:rsidP="00C320CE">
            <w:pPr>
              <w:pStyle w:val="Tableheader"/>
            </w:pPr>
            <w:r>
              <w:t>n</w:t>
            </w:r>
          </w:p>
        </w:tc>
        <w:tc>
          <w:tcPr>
            <w:tcW w:w="1559" w:type="dxa"/>
            <w:noWrap/>
          </w:tcPr>
          <w:p w14:paraId="1617E531" w14:textId="77777777" w:rsidR="009D0006" w:rsidRPr="007E3D86" w:rsidRDefault="009D0006" w:rsidP="00C320CE">
            <w:pPr>
              <w:pStyle w:val="Tableheader"/>
            </w:pPr>
            <w:r w:rsidRPr="007E3D86">
              <w:t>%</w:t>
            </w:r>
          </w:p>
        </w:tc>
      </w:tr>
      <w:tr w:rsidR="009D0006" w:rsidRPr="007D4D02" w14:paraId="63E00A30" w14:textId="77777777" w:rsidTr="00C320CE">
        <w:trPr>
          <w:cnfStyle w:val="000000100000" w:firstRow="0" w:lastRow="0" w:firstColumn="0" w:lastColumn="0" w:oddVBand="0" w:evenVBand="0" w:oddHBand="1" w:evenHBand="0" w:firstRowFirstColumn="0" w:firstRowLastColumn="0" w:lastRowFirstColumn="0" w:lastRowLastColumn="0"/>
          <w:trHeight w:val="344"/>
        </w:trPr>
        <w:tc>
          <w:tcPr>
            <w:tcW w:w="6746" w:type="dxa"/>
            <w:noWrap/>
          </w:tcPr>
          <w:p w14:paraId="44E349CC" w14:textId="77777777" w:rsidR="009D0006" w:rsidRPr="007D4D02" w:rsidRDefault="009D0006" w:rsidP="00C320CE">
            <w:pPr>
              <w:pStyle w:val="Tabletext"/>
            </w:pPr>
            <w:r w:rsidRPr="007D4D02">
              <w:t>Family</w:t>
            </w:r>
          </w:p>
        </w:tc>
        <w:tc>
          <w:tcPr>
            <w:tcW w:w="1559" w:type="dxa"/>
            <w:noWrap/>
          </w:tcPr>
          <w:p w14:paraId="5E92FD9C" w14:textId="77777777" w:rsidR="009D0006" w:rsidRPr="007D4D02" w:rsidRDefault="009D0006" w:rsidP="00C320CE">
            <w:pPr>
              <w:pStyle w:val="Tabletext"/>
            </w:pPr>
            <w:r w:rsidRPr="007D4D02">
              <w:rPr>
                <w:color w:val="000000"/>
              </w:rPr>
              <w:t>638</w:t>
            </w:r>
          </w:p>
        </w:tc>
        <w:tc>
          <w:tcPr>
            <w:tcW w:w="1559" w:type="dxa"/>
            <w:noWrap/>
          </w:tcPr>
          <w:p w14:paraId="48183618" w14:textId="77777777" w:rsidR="009D0006" w:rsidRPr="007D4D02" w:rsidRDefault="009D0006" w:rsidP="00C320CE">
            <w:pPr>
              <w:pStyle w:val="Tabletext"/>
            </w:pPr>
            <w:r w:rsidRPr="007D4D02">
              <w:rPr>
                <w:color w:val="000000"/>
              </w:rPr>
              <w:t>56.2</w:t>
            </w:r>
          </w:p>
        </w:tc>
      </w:tr>
      <w:tr w:rsidR="009D0006" w:rsidRPr="007D4D02" w14:paraId="5EE3DA14" w14:textId="77777777" w:rsidTr="00C320CE">
        <w:trPr>
          <w:cnfStyle w:val="000000010000" w:firstRow="0" w:lastRow="0" w:firstColumn="0" w:lastColumn="0" w:oddVBand="0" w:evenVBand="0" w:oddHBand="0" w:evenHBand="1" w:firstRowFirstColumn="0" w:firstRowLastColumn="0" w:lastRowFirstColumn="0" w:lastRowLastColumn="0"/>
          <w:trHeight w:val="344"/>
        </w:trPr>
        <w:tc>
          <w:tcPr>
            <w:tcW w:w="6746" w:type="dxa"/>
            <w:noWrap/>
          </w:tcPr>
          <w:p w14:paraId="24F3BA9E" w14:textId="77777777" w:rsidR="009D0006" w:rsidRPr="007D4D02" w:rsidRDefault="009D0006" w:rsidP="00C320CE">
            <w:pPr>
              <w:pStyle w:val="Tabletext"/>
            </w:pPr>
            <w:r w:rsidRPr="007D4D02">
              <w:t>Friends</w:t>
            </w:r>
          </w:p>
        </w:tc>
        <w:tc>
          <w:tcPr>
            <w:tcW w:w="1559" w:type="dxa"/>
            <w:noWrap/>
          </w:tcPr>
          <w:p w14:paraId="354AF772" w14:textId="77777777" w:rsidR="009D0006" w:rsidRPr="007D4D02" w:rsidRDefault="009D0006" w:rsidP="00C320CE">
            <w:pPr>
              <w:pStyle w:val="Tabletext"/>
            </w:pPr>
            <w:r w:rsidRPr="007D4D02">
              <w:rPr>
                <w:color w:val="000000"/>
              </w:rPr>
              <w:t>1216</w:t>
            </w:r>
          </w:p>
        </w:tc>
        <w:tc>
          <w:tcPr>
            <w:tcW w:w="1559" w:type="dxa"/>
            <w:noWrap/>
          </w:tcPr>
          <w:p w14:paraId="1803A529" w14:textId="77777777" w:rsidR="009D0006" w:rsidRPr="007D4D02" w:rsidRDefault="009D0006" w:rsidP="00C320CE">
            <w:pPr>
              <w:pStyle w:val="Tabletext"/>
            </w:pPr>
            <w:r w:rsidRPr="007D4D02">
              <w:rPr>
                <w:color w:val="000000"/>
              </w:rPr>
              <w:t>89.5</w:t>
            </w:r>
          </w:p>
        </w:tc>
      </w:tr>
      <w:tr w:rsidR="009D0006" w:rsidRPr="007D4D02" w14:paraId="47CC898B" w14:textId="77777777" w:rsidTr="00C320CE">
        <w:trPr>
          <w:cnfStyle w:val="000000100000" w:firstRow="0" w:lastRow="0" w:firstColumn="0" w:lastColumn="0" w:oddVBand="0" w:evenVBand="0" w:oddHBand="1" w:evenHBand="0" w:firstRowFirstColumn="0" w:firstRowLastColumn="0" w:lastRowFirstColumn="0" w:lastRowLastColumn="0"/>
          <w:trHeight w:val="344"/>
        </w:trPr>
        <w:tc>
          <w:tcPr>
            <w:tcW w:w="6746" w:type="dxa"/>
            <w:noWrap/>
          </w:tcPr>
          <w:p w14:paraId="66321658" w14:textId="77777777" w:rsidR="009D0006" w:rsidRPr="007D4D02" w:rsidRDefault="009D0006" w:rsidP="00C320CE">
            <w:pPr>
              <w:pStyle w:val="Tabletext"/>
            </w:pPr>
            <w:r w:rsidRPr="007D4D02">
              <w:t>Classmates</w:t>
            </w:r>
          </w:p>
        </w:tc>
        <w:tc>
          <w:tcPr>
            <w:tcW w:w="1559" w:type="dxa"/>
            <w:noWrap/>
          </w:tcPr>
          <w:p w14:paraId="2A900915" w14:textId="77777777" w:rsidR="009D0006" w:rsidRPr="007D4D02" w:rsidRDefault="009D0006" w:rsidP="00C320CE">
            <w:pPr>
              <w:pStyle w:val="Tabletext"/>
            </w:pPr>
            <w:r w:rsidRPr="007D4D02">
              <w:rPr>
                <w:color w:val="000000"/>
              </w:rPr>
              <w:t>266</w:t>
            </w:r>
          </w:p>
        </w:tc>
        <w:tc>
          <w:tcPr>
            <w:tcW w:w="1559" w:type="dxa"/>
            <w:noWrap/>
          </w:tcPr>
          <w:p w14:paraId="72B93FAB" w14:textId="77777777" w:rsidR="009D0006" w:rsidRPr="007D4D02" w:rsidRDefault="009D0006" w:rsidP="00C320CE">
            <w:pPr>
              <w:pStyle w:val="Tabletext"/>
            </w:pPr>
            <w:r w:rsidRPr="007D4D02">
              <w:rPr>
                <w:color w:val="000000"/>
              </w:rPr>
              <w:t>39.3</w:t>
            </w:r>
          </w:p>
        </w:tc>
      </w:tr>
      <w:tr w:rsidR="009D0006" w:rsidRPr="007D4D02" w14:paraId="0FC05E7F" w14:textId="77777777" w:rsidTr="00C320CE">
        <w:trPr>
          <w:cnfStyle w:val="000000010000" w:firstRow="0" w:lastRow="0" w:firstColumn="0" w:lastColumn="0" w:oddVBand="0" w:evenVBand="0" w:oddHBand="0" w:evenHBand="1" w:firstRowFirstColumn="0" w:firstRowLastColumn="0" w:lastRowFirstColumn="0" w:lastRowLastColumn="0"/>
          <w:trHeight w:val="344"/>
        </w:trPr>
        <w:tc>
          <w:tcPr>
            <w:tcW w:w="6746" w:type="dxa"/>
            <w:noWrap/>
          </w:tcPr>
          <w:p w14:paraId="0CC56E3E" w14:textId="77777777" w:rsidR="009D0006" w:rsidRPr="007D4D02" w:rsidRDefault="009D0006" w:rsidP="00C320CE">
            <w:pPr>
              <w:pStyle w:val="Tabletext"/>
            </w:pPr>
            <w:r w:rsidRPr="007D4D02">
              <w:t>Teachers</w:t>
            </w:r>
          </w:p>
        </w:tc>
        <w:tc>
          <w:tcPr>
            <w:tcW w:w="1559" w:type="dxa"/>
            <w:noWrap/>
          </w:tcPr>
          <w:p w14:paraId="0D2304B6" w14:textId="77777777" w:rsidR="009D0006" w:rsidRPr="007D4D02" w:rsidRDefault="009D0006" w:rsidP="00C320CE">
            <w:pPr>
              <w:pStyle w:val="Tabletext"/>
            </w:pPr>
            <w:r w:rsidRPr="007D4D02">
              <w:rPr>
                <w:color w:val="000000"/>
              </w:rPr>
              <w:t>382</w:t>
            </w:r>
          </w:p>
        </w:tc>
        <w:tc>
          <w:tcPr>
            <w:tcW w:w="1559" w:type="dxa"/>
            <w:noWrap/>
          </w:tcPr>
          <w:p w14:paraId="137878D6" w14:textId="77777777" w:rsidR="009D0006" w:rsidRPr="007D4D02" w:rsidRDefault="009D0006" w:rsidP="00C320CE">
            <w:pPr>
              <w:pStyle w:val="Tabletext"/>
            </w:pPr>
            <w:r w:rsidRPr="007D4D02">
              <w:rPr>
                <w:color w:val="000000"/>
              </w:rPr>
              <w:t>66.2</w:t>
            </w:r>
          </w:p>
        </w:tc>
      </w:tr>
    </w:tbl>
    <w:p w14:paraId="61F5DCD1" w14:textId="77777777" w:rsidR="009D0006" w:rsidRDefault="009D0006" w:rsidP="00C320CE">
      <w:pPr>
        <w:pStyle w:val="Tableheading"/>
        <w:rPr>
          <w:lang w:val="en-GB"/>
        </w:rPr>
      </w:pPr>
      <w:r>
        <w:rPr>
          <w:lang w:val="en-GB"/>
        </w:rPr>
        <w:t>Table 29.2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19C1D343" w14:textId="77777777" w:rsidTr="00C320CE">
        <w:trPr>
          <w:cnfStyle w:val="100000000000" w:firstRow="1" w:lastRow="0" w:firstColumn="0" w:lastColumn="0" w:oddVBand="0" w:evenVBand="0" w:oddHBand="0" w:evenHBand="0" w:firstRowFirstColumn="0" w:firstRowLastColumn="0" w:lastRowFirstColumn="0" w:lastRowLastColumn="0"/>
          <w:trHeight w:val="358"/>
        </w:trPr>
        <w:tc>
          <w:tcPr>
            <w:tcW w:w="6746" w:type="dxa"/>
            <w:noWrap/>
          </w:tcPr>
          <w:p w14:paraId="30251DFC" w14:textId="77777777" w:rsidR="009D0006" w:rsidRPr="007E3D86" w:rsidRDefault="009D0006" w:rsidP="00C320CE">
            <w:pPr>
              <w:pStyle w:val="Tableheader"/>
            </w:pPr>
            <w:r w:rsidRPr="007E3D86">
              <w:t>Feel supported</w:t>
            </w:r>
          </w:p>
        </w:tc>
        <w:tc>
          <w:tcPr>
            <w:tcW w:w="1559" w:type="dxa"/>
          </w:tcPr>
          <w:p w14:paraId="1AFC2125" w14:textId="77777777" w:rsidR="009D0006" w:rsidRPr="007E3D86" w:rsidRDefault="009D0006" w:rsidP="00C320CE">
            <w:pPr>
              <w:pStyle w:val="Tableheader"/>
            </w:pPr>
            <w:r>
              <w:t>n</w:t>
            </w:r>
          </w:p>
        </w:tc>
        <w:tc>
          <w:tcPr>
            <w:tcW w:w="1559" w:type="dxa"/>
          </w:tcPr>
          <w:p w14:paraId="55903EB0" w14:textId="77777777" w:rsidR="009D0006" w:rsidRPr="007E3D86" w:rsidRDefault="009D0006" w:rsidP="00C320CE">
            <w:pPr>
              <w:pStyle w:val="Tableheader"/>
            </w:pPr>
            <w:r w:rsidRPr="007E3D86">
              <w:t>%</w:t>
            </w:r>
          </w:p>
        </w:tc>
      </w:tr>
      <w:tr w:rsidR="009D0006" w:rsidRPr="007D4D02" w14:paraId="5B65AD1A" w14:textId="77777777" w:rsidTr="00C320CE">
        <w:trPr>
          <w:cnfStyle w:val="000000100000" w:firstRow="0" w:lastRow="0" w:firstColumn="0" w:lastColumn="0" w:oddVBand="0" w:evenVBand="0" w:oddHBand="1" w:evenHBand="0" w:firstRowFirstColumn="0" w:firstRowLastColumn="0" w:lastRowFirstColumn="0" w:lastRowLastColumn="0"/>
          <w:trHeight w:val="358"/>
        </w:trPr>
        <w:tc>
          <w:tcPr>
            <w:tcW w:w="6746" w:type="dxa"/>
            <w:noWrap/>
          </w:tcPr>
          <w:p w14:paraId="3BD26557" w14:textId="77777777" w:rsidR="009D0006" w:rsidRPr="007D4D02" w:rsidRDefault="009D0006" w:rsidP="00676B44">
            <w:pPr>
              <w:pStyle w:val="Tabletext"/>
            </w:pPr>
            <w:r w:rsidRPr="007D4D02">
              <w:t>Family</w:t>
            </w:r>
          </w:p>
        </w:tc>
        <w:tc>
          <w:tcPr>
            <w:tcW w:w="1559" w:type="dxa"/>
          </w:tcPr>
          <w:p w14:paraId="118696B2" w14:textId="77777777" w:rsidR="009D0006" w:rsidRPr="007D4D02" w:rsidRDefault="009D0006" w:rsidP="00676B44">
            <w:pPr>
              <w:pStyle w:val="Tabletext"/>
            </w:pPr>
            <w:r w:rsidRPr="007D4D02">
              <w:rPr>
                <w:color w:val="000000"/>
              </w:rPr>
              <w:t>1256</w:t>
            </w:r>
          </w:p>
        </w:tc>
        <w:tc>
          <w:tcPr>
            <w:tcW w:w="1559" w:type="dxa"/>
          </w:tcPr>
          <w:p w14:paraId="734FE734" w14:textId="77777777" w:rsidR="009D0006" w:rsidRPr="007D4D02" w:rsidRDefault="009D0006" w:rsidP="00676B44">
            <w:pPr>
              <w:pStyle w:val="Tabletext"/>
            </w:pPr>
            <w:r w:rsidRPr="007D4D02">
              <w:rPr>
                <w:color w:val="000000"/>
              </w:rPr>
              <w:t>59.1</w:t>
            </w:r>
          </w:p>
        </w:tc>
      </w:tr>
      <w:tr w:rsidR="009D0006" w:rsidRPr="007D4D02" w14:paraId="2188FC38" w14:textId="77777777" w:rsidTr="00C320CE">
        <w:trPr>
          <w:cnfStyle w:val="000000010000" w:firstRow="0" w:lastRow="0" w:firstColumn="0" w:lastColumn="0" w:oddVBand="0" w:evenVBand="0" w:oddHBand="0" w:evenHBand="1" w:firstRowFirstColumn="0" w:firstRowLastColumn="0" w:lastRowFirstColumn="0" w:lastRowLastColumn="0"/>
          <w:trHeight w:val="358"/>
        </w:trPr>
        <w:tc>
          <w:tcPr>
            <w:tcW w:w="6746" w:type="dxa"/>
            <w:noWrap/>
          </w:tcPr>
          <w:p w14:paraId="66AE97FC" w14:textId="77777777" w:rsidR="009D0006" w:rsidRPr="007D4D02" w:rsidRDefault="009D0006" w:rsidP="00676B44">
            <w:pPr>
              <w:pStyle w:val="Tabletext"/>
            </w:pPr>
            <w:r w:rsidRPr="007D4D02">
              <w:t>Friends</w:t>
            </w:r>
          </w:p>
        </w:tc>
        <w:tc>
          <w:tcPr>
            <w:tcW w:w="1559" w:type="dxa"/>
          </w:tcPr>
          <w:p w14:paraId="53097AB5" w14:textId="77777777" w:rsidR="009D0006" w:rsidRPr="007D4D02" w:rsidRDefault="009D0006" w:rsidP="00676B44">
            <w:pPr>
              <w:pStyle w:val="Tabletext"/>
            </w:pPr>
            <w:r w:rsidRPr="007D4D02">
              <w:rPr>
                <w:color w:val="000000"/>
              </w:rPr>
              <w:t>2656</w:t>
            </w:r>
          </w:p>
        </w:tc>
        <w:tc>
          <w:tcPr>
            <w:tcW w:w="1559" w:type="dxa"/>
          </w:tcPr>
          <w:p w14:paraId="2DB55BA1" w14:textId="77777777" w:rsidR="009D0006" w:rsidRPr="007D4D02" w:rsidRDefault="009D0006" w:rsidP="00676B44">
            <w:pPr>
              <w:pStyle w:val="Tabletext"/>
            </w:pPr>
            <w:r w:rsidRPr="007D4D02">
              <w:rPr>
                <w:color w:val="000000"/>
              </w:rPr>
              <w:t>87.5</w:t>
            </w:r>
          </w:p>
        </w:tc>
      </w:tr>
      <w:tr w:rsidR="009D0006" w:rsidRPr="007D4D02" w14:paraId="50827EB3" w14:textId="77777777" w:rsidTr="00C320CE">
        <w:trPr>
          <w:cnfStyle w:val="000000100000" w:firstRow="0" w:lastRow="0" w:firstColumn="0" w:lastColumn="0" w:oddVBand="0" w:evenVBand="0" w:oddHBand="1" w:evenHBand="0" w:firstRowFirstColumn="0" w:firstRowLastColumn="0" w:lastRowFirstColumn="0" w:lastRowLastColumn="0"/>
          <w:trHeight w:val="358"/>
        </w:trPr>
        <w:tc>
          <w:tcPr>
            <w:tcW w:w="6746" w:type="dxa"/>
            <w:noWrap/>
          </w:tcPr>
          <w:p w14:paraId="1F40A3D2" w14:textId="77777777" w:rsidR="009D0006" w:rsidRPr="007D4D02" w:rsidRDefault="009D0006" w:rsidP="00676B44">
            <w:pPr>
              <w:pStyle w:val="Tabletext"/>
            </w:pPr>
            <w:r w:rsidRPr="007D4D02">
              <w:t>Classmates</w:t>
            </w:r>
          </w:p>
        </w:tc>
        <w:tc>
          <w:tcPr>
            <w:tcW w:w="1559" w:type="dxa"/>
          </w:tcPr>
          <w:p w14:paraId="0DD980F7" w14:textId="77777777" w:rsidR="009D0006" w:rsidRPr="007D4D02" w:rsidRDefault="009D0006" w:rsidP="00676B44">
            <w:pPr>
              <w:pStyle w:val="Tabletext"/>
            </w:pPr>
            <w:r w:rsidRPr="007D4D02">
              <w:rPr>
                <w:color w:val="000000"/>
              </w:rPr>
              <w:t>724</w:t>
            </w:r>
          </w:p>
        </w:tc>
        <w:tc>
          <w:tcPr>
            <w:tcW w:w="1559" w:type="dxa"/>
          </w:tcPr>
          <w:p w14:paraId="6C3536C1" w14:textId="77777777" w:rsidR="009D0006" w:rsidRPr="007D4D02" w:rsidRDefault="009D0006" w:rsidP="00676B44">
            <w:pPr>
              <w:pStyle w:val="Tabletext"/>
            </w:pPr>
            <w:r w:rsidRPr="007D4D02">
              <w:rPr>
                <w:color w:val="000000"/>
              </w:rPr>
              <w:t>45.1</w:t>
            </w:r>
          </w:p>
        </w:tc>
      </w:tr>
      <w:tr w:rsidR="009D0006" w:rsidRPr="007D4D02" w14:paraId="67CB6BB5" w14:textId="77777777" w:rsidTr="00C320CE">
        <w:trPr>
          <w:cnfStyle w:val="000000010000" w:firstRow="0" w:lastRow="0" w:firstColumn="0" w:lastColumn="0" w:oddVBand="0" w:evenVBand="0" w:oddHBand="0" w:evenHBand="1" w:firstRowFirstColumn="0" w:firstRowLastColumn="0" w:lastRowFirstColumn="0" w:lastRowLastColumn="0"/>
          <w:trHeight w:val="358"/>
        </w:trPr>
        <w:tc>
          <w:tcPr>
            <w:tcW w:w="6746" w:type="dxa"/>
            <w:noWrap/>
          </w:tcPr>
          <w:p w14:paraId="39438B25" w14:textId="77777777" w:rsidR="009D0006" w:rsidRPr="007D4D02" w:rsidRDefault="009D0006" w:rsidP="00676B44">
            <w:pPr>
              <w:pStyle w:val="Tabletext"/>
            </w:pPr>
            <w:r w:rsidRPr="007D4D02">
              <w:t>Teachers</w:t>
            </w:r>
          </w:p>
        </w:tc>
        <w:tc>
          <w:tcPr>
            <w:tcW w:w="1559" w:type="dxa"/>
          </w:tcPr>
          <w:p w14:paraId="6F3DD66B" w14:textId="77777777" w:rsidR="009D0006" w:rsidRPr="007D4D02" w:rsidRDefault="009D0006" w:rsidP="00676B44">
            <w:pPr>
              <w:pStyle w:val="Tabletext"/>
            </w:pPr>
            <w:r w:rsidRPr="007D4D02">
              <w:rPr>
                <w:color w:val="000000"/>
              </w:rPr>
              <w:t>589</w:t>
            </w:r>
          </w:p>
        </w:tc>
        <w:tc>
          <w:tcPr>
            <w:tcW w:w="1559" w:type="dxa"/>
          </w:tcPr>
          <w:p w14:paraId="3257A7C1" w14:textId="77777777" w:rsidR="009D0006" w:rsidRPr="007D4D02" w:rsidRDefault="009D0006" w:rsidP="00676B44">
            <w:pPr>
              <w:pStyle w:val="Tabletext"/>
            </w:pPr>
            <w:r w:rsidRPr="007D4D02">
              <w:rPr>
                <w:color w:val="000000"/>
              </w:rPr>
              <w:t>65.6</w:t>
            </w:r>
          </w:p>
        </w:tc>
      </w:tr>
    </w:tbl>
    <w:p w14:paraId="01EFDB5F" w14:textId="77777777" w:rsidR="009D0006" w:rsidRDefault="009D0006" w:rsidP="00676B44">
      <w:pPr>
        <w:pStyle w:val="Tableheading"/>
        <w:rPr>
          <w:lang w:val="en-GB"/>
        </w:rPr>
      </w:pPr>
      <w:r>
        <w:rPr>
          <w:lang w:val="en-GB"/>
        </w:rPr>
        <w:t>Table</w:t>
      </w:r>
      <w:r>
        <w:rPr>
          <w:lang w:val="en-GB"/>
        </w:rPr>
        <w:lastRenderedPageBreak/>
        <w:t xml:space="preserve"> 29.3 Autism, neuro-diverse</w:t>
      </w:r>
    </w:p>
    <w:tbl>
      <w:tblPr>
        <w:tblStyle w:val="RCTable"/>
        <w:tblW w:w="9808" w:type="dxa"/>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676B44" w:rsidRPr="00C50253" w14:paraId="3A569F1F" w14:textId="77777777" w:rsidTr="00676B44">
        <w:trPr>
          <w:cnfStyle w:val="100000000000" w:firstRow="1" w:lastRow="0" w:firstColumn="0" w:lastColumn="0" w:oddVBand="0" w:evenVBand="0" w:oddHBand="0" w:evenHBand="0" w:firstRowFirstColumn="0" w:firstRowLastColumn="0" w:lastRowFirstColumn="0" w:lastRowLastColumn="0"/>
          <w:trHeight w:val="340"/>
        </w:trPr>
        <w:tc>
          <w:tcPr>
            <w:tcW w:w="2438" w:type="dxa"/>
            <w:noWrap/>
          </w:tcPr>
          <w:p w14:paraId="69BF6C1A" w14:textId="77777777" w:rsidR="009D0006" w:rsidRPr="00283324" w:rsidRDefault="009D0006" w:rsidP="00676B44">
            <w:pPr>
              <w:pStyle w:val="Tableheader"/>
              <w:rPr>
                <w:lang w:val="en-US"/>
              </w:rPr>
            </w:pPr>
            <w:r w:rsidRPr="00283324">
              <w:rPr>
                <w:lang w:val="en-US"/>
              </w:rPr>
              <w:t>Feel supported</w:t>
            </w:r>
          </w:p>
        </w:tc>
        <w:tc>
          <w:tcPr>
            <w:tcW w:w="737" w:type="dxa"/>
          </w:tcPr>
          <w:p w14:paraId="6FA3222C" w14:textId="77777777" w:rsidR="009D0006" w:rsidRPr="00283324" w:rsidRDefault="009D0006" w:rsidP="00676B44">
            <w:pPr>
              <w:pStyle w:val="Tableheader"/>
              <w:rPr>
                <w:lang w:val="en-US"/>
              </w:rPr>
            </w:pPr>
            <w:r>
              <w:t>n</w:t>
            </w:r>
          </w:p>
        </w:tc>
        <w:tc>
          <w:tcPr>
            <w:tcW w:w="737" w:type="dxa"/>
          </w:tcPr>
          <w:p w14:paraId="6062E513" w14:textId="77777777" w:rsidR="009D0006" w:rsidRPr="00283324" w:rsidRDefault="009D0006" w:rsidP="00676B44">
            <w:pPr>
              <w:pStyle w:val="Tableheader"/>
            </w:pPr>
            <w:r w:rsidRPr="00283324">
              <w:t>%</w:t>
            </w:r>
          </w:p>
        </w:tc>
        <w:tc>
          <w:tcPr>
            <w:tcW w:w="737" w:type="dxa"/>
          </w:tcPr>
          <w:p w14:paraId="4CFAE3BE" w14:textId="77777777" w:rsidR="009D0006" w:rsidRPr="00283324" w:rsidRDefault="009D0006" w:rsidP="00676B44">
            <w:pPr>
              <w:pStyle w:val="Tableheader"/>
              <w:rPr>
                <w:lang w:val="en-US"/>
              </w:rPr>
            </w:pPr>
            <w:r>
              <w:t>n</w:t>
            </w:r>
          </w:p>
        </w:tc>
        <w:tc>
          <w:tcPr>
            <w:tcW w:w="737" w:type="dxa"/>
          </w:tcPr>
          <w:p w14:paraId="4FFFC1B2" w14:textId="77777777" w:rsidR="009D0006" w:rsidRPr="00283324" w:rsidRDefault="009D0006" w:rsidP="00676B44">
            <w:pPr>
              <w:pStyle w:val="Tableheader"/>
            </w:pPr>
            <w:r w:rsidRPr="00283324">
              <w:t>%</w:t>
            </w:r>
          </w:p>
        </w:tc>
        <w:tc>
          <w:tcPr>
            <w:tcW w:w="737" w:type="dxa"/>
          </w:tcPr>
          <w:p w14:paraId="21B6A30E" w14:textId="77777777" w:rsidR="009D0006" w:rsidRPr="00283324" w:rsidRDefault="009D0006" w:rsidP="00676B44">
            <w:pPr>
              <w:pStyle w:val="Tableheader"/>
            </w:pPr>
            <w:r>
              <w:t>n</w:t>
            </w:r>
          </w:p>
        </w:tc>
        <w:tc>
          <w:tcPr>
            <w:tcW w:w="737" w:type="dxa"/>
          </w:tcPr>
          <w:p w14:paraId="769A1E4F" w14:textId="77777777" w:rsidR="009D0006" w:rsidRPr="00283324" w:rsidRDefault="009D0006" w:rsidP="00676B44">
            <w:pPr>
              <w:pStyle w:val="Tableheader"/>
            </w:pPr>
            <w:r w:rsidRPr="00283324">
              <w:t>%</w:t>
            </w:r>
          </w:p>
        </w:tc>
        <w:tc>
          <w:tcPr>
            <w:tcW w:w="737" w:type="dxa"/>
          </w:tcPr>
          <w:p w14:paraId="1189AED1" w14:textId="77777777" w:rsidR="009D0006" w:rsidRPr="00283324" w:rsidRDefault="009D0006" w:rsidP="00676B44">
            <w:pPr>
              <w:pStyle w:val="Tableheader"/>
            </w:pPr>
            <w:r>
              <w:t>n</w:t>
            </w:r>
          </w:p>
        </w:tc>
        <w:tc>
          <w:tcPr>
            <w:tcW w:w="737" w:type="dxa"/>
          </w:tcPr>
          <w:p w14:paraId="6A0453FA" w14:textId="77777777" w:rsidR="009D0006" w:rsidRPr="00283324" w:rsidRDefault="009D0006" w:rsidP="00676B44">
            <w:pPr>
              <w:pStyle w:val="Tableheader"/>
            </w:pPr>
            <w:r w:rsidRPr="00283324">
              <w:t>%</w:t>
            </w:r>
          </w:p>
        </w:tc>
        <w:tc>
          <w:tcPr>
            <w:tcW w:w="737" w:type="dxa"/>
          </w:tcPr>
          <w:p w14:paraId="431685AC" w14:textId="77777777" w:rsidR="009D0006" w:rsidRPr="00283324" w:rsidRDefault="009D0006" w:rsidP="00676B44">
            <w:pPr>
              <w:pStyle w:val="Tableheader"/>
            </w:pPr>
            <w:r>
              <w:t>n</w:t>
            </w:r>
          </w:p>
        </w:tc>
        <w:tc>
          <w:tcPr>
            <w:tcW w:w="737" w:type="dxa"/>
          </w:tcPr>
          <w:p w14:paraId="5212E7E2" w14:textId="77777777" w:rsidR="009D0006" w:rsidRPr="00283324" w:rsidRDefault="009D0006" w:rsidP="00676B44">
            <w:pPr>
              <w:pStyle w:val="Tableheader"/>
            </w:pPr>
            <w:r w:rsidRPr="00283324">
              <w:t>%</w:t>
            </w:r>
          </w:p>
        </w:tc>
      </w:tr>
      <w:tr w:rsidR="00676B44" w:rsidRPr="007D4D02" w14:paraId="0F2C5545"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28232FD2" w14:textId="77777777" w:rsidR="009D0006" w:rsidRPr="007D4D02" w:rsidRDefault="009D0006" w:rsidP="00676B44">
            <w:pPr>
              <w:pStyle w:val="Tabletext"/>
              <w:rPr>
                <w:lang w:val="en-US"/>
              </w:rPr>
            </w:pPr>
            <w:r w:rsidRPr="007D4D02">
              <w:rPr>
                <w:lang w:val="en-US"/>
              </w:rPr>
              <w:t>Family</w:t>
            </w:r>
          </w:p>
        </w:tc>
        <w:tc>
          <w:tcPr>
            <w:tcW w:w="737" w:type="dxa"/>
          </w:tcPr>
          <w:p w14:paraId="68EE50AC" w14:textId="77777777" w:rsidR="009D0006" w:rsidRPr="007D4D02" w:rsidRDefault="009D0006" w:rsidP="00676B44">
            <w:pPr>
              <w:pStyle w:val="Tabletext"/>
            </w:pPr>
            <w:r w:rsidRPr="007D4D02">
              <w:rPr>
                <w:color w:val="000000"/>
              </w:rPr>
              <w:t>314</w:t>
            </w:r>
          </w:p>
        </w:tc>
        <w:tc>
          <w:tcPr>
            <w:tcW w:w="737" w:type="dxa"/>
          </w:tcPr>
          <w:p w14:paraId="1999B7F8" w14:textId="77777777" w:rsidR="009D0006" w:rsidRPr="007D4D02" w:rsidRDefault="009D0006" w:rsidP="00676B44">
            <w:pPr>
              <w:pStyle w:val="Tabletext"/>
            </w:pPr>
            <w:r w:rsidRPr="007D4D02">
              <w:rPr>
                <w:color w:val="000000"/>
              </w:rPr>
              <w:t>60.4</w:t>
            </w:r>
          </w:p>
        </w:tc>
        <w:tc>
          <w:tcPr>
            <w:tcW w:w="737" w:type="dxa"/>
          </w:tcPr>
          <w:p w14:paraId="393364A2" w14:textId="77777777" w:rsidR="009D0006" w:rsidRPr="007D4D02" w:rsidRDefault="009D0006" w:rsidP="00676B44">
            <w:pPr>
              <w:pStyle w:val="Tabletext"/>
            </w:pPr>
            <w:r w:rsidRPr="007D4D02">
              <w:rPr>
                <w:color w:val="000000"/>
              </w:rPr>
              <w:t>102</w:t>
            </w:r>
          </w:p>
        </w:tc>
        <w:tc>
          <w:tcPr>
            <w:tcW w:w="737" w:type="dxa"/>
          </w:tcPr>
          <w:p w14:paraId="03A875E5" w14:textId="77777777" w:rsidR="009D0006" w:rsidRPr="007D4D02" w:rsidRDefault="009D0006" w:rsidP="00676B44">
            <w:pPr>
              <w:pStyle w:val="Tabletext"/>
            </w:pPr>
            <w:r w:rsidRPr="007D4D02">
              <w:rPr>
                <w:color w:val="000000"/>
              </w:rPr>
              <w:t>54.8</w:t>
            </w:r>
          </w:p>
        </w:tc>
        <w:tc>
          <w:tcPr>
            <w:tcW w:w="737" w:type="dxa"/>
          </w:tcPr>
          <w:p w14:paraId="70BF79E7" w14:textId="77777777" w:rsidR="009D0006" w:rsidRPr="007D4D02" w:rsidRDefault="009D0006" w:rsidP="00676B44">
            <w:pPr>
              <w:pStyle w:val="Tabletext"/>
            </w:pPr>
            <w:r w:rsidRPr="007D4D02">
              <w:rPr>
                <w:color w:val="000000"/>
              </w:rPr>
              <w:t>53</w:t>
            </w:r>
          </w:p>
        </w:tc>
        <w:tc>
          <w:tcPr>
            <w:tcW w:w="737" w:type="dxa"/>
          </w:tcPr>
          <w:p w14:paraId="7CB47718" w14:textId="77777777" w:rsidR="009D0006" w:rsidRPr="007D4D02" w:rsidRDefault="009D0006" w:rsidP="00676B44">
            <w:pPr>
              <w:pStyle w:val="Tabletext"/>
            </w:pPr>
            <w:r w:rsidRPr="007D4D02">
              <w:rPr>
                <w:color w:val="000000"/>
              </w:rPr>
              <w:t>56.4</w:t>
            </w:r>
          </w:p>
        </w:tc>
        <w:tc>
          <w:tcPr>
            <w:tcW w:w="737" w:type="dxa"/>
          </w:tcPr>
          <w:p w14:paraId="3249CE61" w14:textId="77777777" w:rsidR="009D0006" w:rsidRPr="007D4D02" w:rsidRDefault="009D0006" w:rsidP="00676B44">
            <w:pPr>
              <w:pStyle w:val="Tabletext"/>
            </w:pPr>
            <w:r w:rsidRPr="007D4D02">
              <w:rPr>
                <w:color w:val="000000"/>
              </w:rPr>
              <w:t>314</w:t>
            </w:r>
          </w:p>
        </w:tc>
        <w:tc>
          <w:tcPr>
            <w:tcW w:w="737" w:type="dxa"/>
          </w:tcPr>
          <w:p w14:paraId="547F200D" w14:textId="77777777" w:rsidR="009D0006" w:rsidRPr="007D4D02" w:rsidRDefault="009D0006" w:rsidP="00676B44">
            <w:pPr>
              <w:pStyle w:val="Tabletext"/>
            </w:pPr>
            <w:r w:rsidRPr="007D4D02">
              <w:rPr>
                <w:color w:val="000000"/>
              </w:rPr>
              <w:t>54.1</w:t>
            </w:r>
          </w:p>
        </w:tc>
        <w:tc>
          <w:tcPr>
            <w:tcW w:w="737" w:type="dxa"/>
          </w:tcPr>
          <w:p w14:paraId="2BFD7122" w14:textId="77777777" w:rsidR="009D0006" w:rsidRPr="007D4D02" w:rsidRDefault="009D0006" w:rsidP="00676B44">
            <w:pPr>
              <w:pStyle w:val="Tabletext"/>
            </w:pPr>
            <w:r w:rsidRPr="007D4D02">
              <w:rPr>
                <w:color w:val="000000"/>
              </w:rPr>
              <w:t>458</w:t>
            </w:r>
          </w:p>
        </w:tc>
        <w:tc>
          <w:tcPr>
            <w:tcW w:w="737" w:type="dxa"/>
          </w:tcPr>
          <w:p w14:paraId="34E9FA19" w14:textId="77777777" w:rsidR="009D0006" w:rsidRPr="007D4D02" w:rsidRDefault="009D0006" w:rsidP="00676B44">
            <w:pPr>
              <w:pStyle w:val="Tabletext"/>
            </w:pPr>
            <w:r w:rsidRPr="007D4D02">
              <w:rPr>
                <w:color w:val="000000"/>
              </w:rPr>
              <w:t>57.5</w:t>
            </w:r>
          </w:p>
        </w:tc>
      </w:tr>
      <w:tr w:rsidR="00676B44" w:rsidRPr="007D4D02" w14:paraId="72208AD3"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32CFF6C8" w14:textId="77777777" w:rsidR="009D0006" w:rsidRPr="007D4D02" w:rsidRDefault="009D0006" w:rsidP="00676B44">
            <w:pPr>
              <w:pStyle w:val="Tabletext"/>
              <w:rPr>
                <w:lang w:val="en-US"/>
              </w:rPr>
            </w:pPr>
            <w:r w:rsidRPr="007D4D02">
              <w:rPr>
                <w:lang w:val="en-US"/>
              </w:rPr>
              <w:t>Friends</w:t>
            </w:r>
          </w:p>
        </w:tc>
        <w:tc>
          <w:tcPr>
            <w:tcW w:w="737" w:type="dxa"/>
          </w:tcPr>
          <w:p w14:paraId="6F3B31C4" w14:textId="77777777" w:rsidR="009D0006" w:rsidRPr="007D4D02" w:rsidRDefault="009D0006" w:rsidP="00676B44">
            <w:pPr>
              <w:pStyle w:val="Tabletext"/>
            </w:pPr>
            <w:r w:rsidRPr="007D4D02">
              <w:rPr>
                <w:color w:val="000000"/>
              </w:rPr>
              <w:t>568</w:t>
            </w:r>
          </w:p>
        </w:tc>
        <w:tc>
          <w:tcPr>
            <w:tcW w:w="737" w:type="dxa"/>
          </w:tcPr>
          <w:p w14:paraId="4CF1279C" w14:textId="77777777" w:rsidR="009D0006" w:rsidRPr="007D4D02" w:rsidRDefault="009D0006" w:rsidP="00676B44">
            <w:pPr>
              <w:pStyle w:val="Tabletext"/>
            </w:pPr>
            <w:r w:rsidRPr="007D4D02">
              <w:rPr>
                <w:color w:val="000000"/>
              </w:rPr>
              <w:t>90.9</w:t>
            </w:r>
          </w:p>
        </w:tc>
        <w:tc>
          <w:tcPr>
            <w:tcW w:w="737" w:type="dxa"/>
          </w:tcPr>
          <w:p w14:paraId="5A896BCE" w14:textId="77777777" w:rsidR="009D0006" w:rsidRPr="007D4D02" w:rsidRDefault="009D0006" w:rsidP="00676B44">
            <w:pPr>
              <w:pStyle w:val="Tabletext"/>
            </w:pPr>
            <w:r w:rsidRPr="007D4D02">
              <w:rPr>
                <w:color w:val="000000"/>
              </w:rPr>
              <w:t>183</w:t>
            </w:r>
          </w:p>
        </w:tc>
        <w:tc>
          <w:tcPr>
            <w:tcW w:w="737" w:type="dxa"/>
          </w:tcPr>
          <w:p w14:paraId="64F99965" w14:textId="77777777" w:rsidR="009D0006" w:rsidRPr="007D4D02" w:rsidRDefault="009D0006" w:rsidP="00676B44">
            <w:pPr>
              <w:pStyle w:val="Tabletext"/>
            </w:pPr>
            <w:r w:rsidRPr="007D4D02">
              <w:rPr>
                <w:color w:val="000000"/>
              </w:rPr>
              <w:t>89.7</w:t>
            </w:r>
          </w:p>
        </w:tc>
        <w:tc>
          <w:tcPr>
            <w:tcW w:w="737" w:type="dxa"/>
          </w:tcPr>
          <w:p w14:paraId="567EB68B" w14:textId="77777777" w:rsidR="009D0006" w:rsidRPr="007D4D02" w:rsidRDefault="009D0006" w:rsidP="00676B44">
            <w:pPr>
              <w:pStyle w:val="Tabletext"/>
            </w:pPr>
            <w:r w:rsidRPr="007D4D02">
              <w:rPr>
                <w:color w:val="000000"/>
              </w:rPr>
              <w:t>108</w:t>
            </w:r>
          </w:p>
        </w:tc>
        <w:tc>
          <w:tcPr>
            <w:tcW w:w="737" w:type="dxa"/>
          </w:tcPr>
          <w:p w14:paraId="562DE031" w14:textId="77777777" w:rsidR="009D0006" w:rsidRPr="007D4D02" w:rsidRDefault="009D0006" w:rsidP="00676B44">
            <w:pPr>
              <w:pStyle w:val="Tabletext"/>
            </w:pPr>
            <w:r w:rsidRPr="007D4D02">
              <w:rPr>
                <w:color w:val="000000"/>
              </w:rPr>
              <w:t>92.3</w:t>
            </w:r>
          </w:p>
        </w:tc>
        <w:tc>
          <w:tcPr>
            <w:tcW w:w="737" w:type="dxa"/>
          </w:tcPr>
          <w:p w14:paraId="38FE8EA5" w14:textId="77777777" w:rsidR="009D0006" w:rsidRPr="007D4D02" w:rsidRDefault="009D0006" w:rsidP="00676B44">
            <w:pPr>
              <w:pStyle w:val="Tabletext"/>
            </w:pPr>
            <w:r w:rsidRPr="007D4D02">
              <w:rPr>
                <w:color w:val="000000"/>
              </w:rPr>
              <w:t>593</w:t>
            </w:r>
          </w:p>
        </w:tc>
        <w:tc>
          <w:tcPr>
            <w:tcW w:w="737" w:type="dxa"/>
          </w:tcPr>
          <w:p w14:paraId="18B3176D" w14:textId="77777777" w:rsidR="009D0006" w:rsidRPr="007D4D02" w:rsidRDefault="009D0006" w:rsidP="00676B44">
            <w:pPr>
              <w:pStyle w:val="Tabletext"/>
            </w:pPr>
            <w:r w:rsidRPr="007D4D02">
              <w:rPr>
                <w:color w:val="000000"/>
              </w:rPr>
              <w:t>87.9</w:t>
            </w:r>
          </w:p>
        </w:tc>
        <w:tc>
          <w:tcPr>
            <w:tcW w:w="737" w:type="dxa"/>
          </w:tcPr>
          <w:p w14:paraId="29966F04" w14:textId="77777777" w:rsidR="009D0006" w:rsidRPr="007D4D02" w:rsidRDefault="009D0006" w:rsidP="00676B44">
            <w:pPr>
              <w:pStyle w:val="Tabletext"/>
            </w:pPr>
            <w:r w:rsidRPr="007D4D02">
              <w:rPr>
                <w:color w:val="000000"/>
              </w:rPr>
              <w:t>916</w:t>
            </w:r>
          </w:p>
        </w:tc>
        <w:tc>
          <w:tcPr>
            <w:tcW w:w="737" w:type="dxa"/>
          </w:tcPr>
          <w:p w14:paraId="0B2DABB2" w14:textId="77777777" w:rsidR="009D0006" w:rsidRPr="007D4D02" w:rsidRDefault="009D0006" w:rsidP="00676B44">
            <w:pPr>
              <w:pStyle w:val="Tabletext"/>
            </w:pPr>
            <w:r w:rsidRPr="007D4D02">
              <w:rPr>
                <w:color w:val="000000"/>
              </w:rPr>
              <w:t>90.3</w:t>
            </w:r>
          </w:p>
        </w:tc>
      </w:tr>
      <w:tr w:rsidR="00676B44" w:rsidRPr="007D4D02" w14:paraId="6A791202"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657AC593" w14:textId="77777777" w:rsidR="009D0006" w:rsidRPr="007D4D02" w:rsidRDefault="009D0006" w:rsidP="00676B44">
            <w:pPr>
              <w:pStyle w:val="Tabletext"/>
              <w:rPr>
                <w:lang w:val="en-US"/>
              </w:rPr>
            </w:pPr>
            <w:r w:rsidRPr="007D4D02">
              <w:rPr>
                <w:lang w:val="en-US"/>
              </w:rPr>
              <w:t>Classmates</w:t>
            </w:r>
          </w:p>
        </w:tc>
        <w:tc>
          <w:tcPr>
            <w:tcW w:w="737" w:type="dxa"/>
          </w:tcPr>
          <w:p w14:paraId="31FA7B3C" w14:textId="77777777" w:rsidR="009D0006" w:rsidRPr="007D4D02" w:rsidRDefault="009D0006" w:rsidP="00676B44">
            <w:pPr>
              <w:pStyle w:val="Tabletext"/>
            </w:pPr>
            <w:r w:rsidRPr="007D4D02">
              <w:rPr>
                <w:color w:val="000000"/>
              </w:rPr>
              <w:t>122</w:t>
            </w:r>
          </w:p>
        </w:tc>
        <w:tc>
          <w:tcPr>
            <w:tcW w:w="737" w:type="dxa"/>
          </w:tcPr>
          <w:p w14:paraId="715676AC" w14:textId="77777777" w:rsidR="009D0006" w:rsidRPr="007D4D02" w:rsidRDefault="009D0006" w:rsidP="00676B44">
            <w:pPr>
              <w:pStyle w:val="Tabletext"/>
            </w:pPr>
            <w:r w:rsidRPr="007D4D02">
              <w:rPr>
                <w:color w:val="000000"/>
              </w:rPr>
              <w:t>38.5</w:t>
            </w:r>
          </w:p>
        </w:tc>
        <w:tc>
          <w:tcPr>
            <w:tcW w:w="737" w:type="dxa"/>
          </w:tcPr>
          <w:p w14:paraId="1D13A870" w14:textId="77777777" w:rsidR="009D0006" w:rsidRPr="007D4D02" w:rsidRDefault="009D0006" w:rsidP="00676B44">
            <w:pPr>
              <w:pStyle w:val="Tabletext"/>
            </w:pPr>
            <w:r w:rsidRPr="007D4D02">
              <w:rPr>
                <w:color w:val="000000"/>
              </w:rPr>
              <w:t>30</w:t>
            </w:r>
          </w:p>
        </w:tc>
        <w:tc>
          <w:tcPr>
            <w:tcW w:w="737" w:type="dxa"/>
          </w:tcPr>
          <w:p w14:paraId="16317F39" w14:textId="77777777" w:rsidR="009D0006" w:rsidRPr="007D4D02" w:rsidRDefault="009D0006" w:rsidP="00676B44">
            <w:pPr>
              <w:pStyle w:val="Tabletext"/>
            </w:pPr>
            <w:r w:rsidRPr="007D4D02">
              <w:rPr>
                <w:color w:val="000000"/>
              </w:rPr>
              <w:t>33.3</w:t>
            </w:r>
          </w:p>
        </w:tc>
        <w:tc>
          <w:tcPr>
            <w:tcW w:w="737" w:type="dxa"/>
          </w:tcPr>
          <w:p w14:paraId="03EA5978" w14:textId="77777777" w:rsidR="009D0006" w:rsidRPr="007D4D02" w:rsidRDefault="009D0006" w:rsidP="00676B44">
            <w:pPr>
              <w:pStyle w:val="Tabletext"/>
            </w:pPr>
            <w:r w:rsidRPr="007D4D02">
              <w:rPr>
                <w:color w:val="000000"/>
              </w:rPr>
              <w:t>18</w:t>
            </w:r>
          </w:p>
        </w:tc>
        <w:tc>
          <w:tcPr>
            <w:tcW w:w="737" w:type="dxa"/>
          </w:tcPr>
          <w:p w14:paraId="50770711" w14:textId="77777777" w:rsidR="009D0006" w:rsidRPr="007D4D02" w:rsidRDefault="009D0006" w:rsidP="00676B44">
            <w:pPr>
              <w:pStyle w:val="Tabletext"/>
            </w:pPr>
            <w:r w:rsidRPr="007D4D02">
              <w:rPr>
                <w:color w:val="000000"/>
              </w:rPr>
              <w:t>32.1</w:t>
            </w:r>
          </w:p>
        </w:tc>
        <w:tc>
          <w:tcPr>
            <w:tcW w:w="737" w:type="dxa"/>
          </w:tcPr>
          <w:p w14:paraId="0156F30B" w14:textId="77777777" w:rsidR="009D0006" w:rsidRPr="007D4D02" w:rsidRDefault="009D0006" w:rsidP="00676B44">
            <w:pPr>
              <w:pStyle w:val="Tabletext"/>
            </w:pPr>
            <w:r w:rsidRPr="007D4D02">
              <w:rPr>
                <w:color w:val="000000"/>
              </w:rPr>
              <w:t>127</w:t>
            </w:r>
          </w:p>
        </w:tc>
        <w:tc>
          <w:tcPr>
            <w:tcW w:w="737" w:type="dxa"/>
          </w:tcPr>
          <w:p w14:paraId="7FB694A1" w14:textId="77777777" w:rsidR="009D0006" w:rsidRPr="007D4D02" w:rsidRDefault="009D0006" w:rsidP="00676B44">
            <w:pPr>
              <w:pStyle w:val="Tabletext"/>
            </w:pPr>
            <w:r w:rsidRPr="007D4D02">
              <w:rPr>
                <w:color w:val="000000"/>
              </w:rPr>
              <w:t>37.8</w:t>
            </w:r>
          </w:p>
        </w:tc>
        <w:tc>
          <w:tcPr>
            <w:tcW w:w="737" w:type="dxa"/>
          </w:tcPr>
          <w:p w14:paraId="1A70E811" w14:textId="77777777" w:rsidR="009D0006" w:rsidRPr="007D4D02" w:rsidRDefault="009D0006" w:rsidP="00676B44">
            <w:pPr>
              <w:pStyle w:val="Tabletext"/>
            </w:pPr>
            <w:r w:rsidRPr="007D4D02">
              <w:rPr>
                <w:color w:val="000000"/>
              </w:rPr>
              <w:t>231</w:t>
            </w:r>
          </w:p>
        </w:tc>
        <w:tc>
          <w:tcPr>
            <w:tcW w:w="737" w:type="dxa"/>
          </w:tcPr>
          <w:p w14:paraId="788391B0" w14:textId="77777777" w:rsidR="009D0006" w:rsidRPr="007D4D02" w:rsidRDefault="009D0006" w:rsidP="00676B44">
            <w:pPr>
              <w:pStyle w:val="Tabletext"/>
            </w:pPr>
            <w:r w:rsidRPr="007D4D02">
              <w:rPr>
                <w:color w:val="000000"/>
              </w:rPr>
              <w:t>41.5</w:t>
            </w:r>
          </w:p>
        </w:tc>
      </w:tr>
      <w:tr w:rsidR="00676B44" w:rsidRPr="007D4D02" w14:paraId="6E989BD4"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41B4C758" w14:textId="77777777" w:rsidR="009D0006" w:rsidRPr="007D4D02" w:rsidRDefault="009D0006" w:rsidP="00676B44">
            <w:pPr>
              <w:pStyle w:val="Tabletext"/>
              <w:rPr>
                <w:lang w:val="en-US"/>
              </w:rPr>
            </w:pPr>
            <w:r w:rsidRPr="007D4D02">
              <w:rPr>
                <w:lang w:val="en-US"/>
              </w:rPr>
              <w:t>Teachers</w:t>
            </w:r>
          </w:p>
        </w:tc>
        <w:tc>
          <w:tcPr>
            <w:tcW w:w="737" w:type="dxa"/>
          </w:tcPr>
          <w:p w14:paraId="4F505508" w14:textId="77777777" w:rsidR="009D0006" w:rsidRPr="007D4D02" w:rsidRDefault="009D0006" w:rsidP="00676B44">
            <w:pPr>
              <w:pStyle w:val="Tabletext"/>
            </w:pPr>
            <w:r w:rsidRPr="007D4D02">
              <w:rPr>
                <w:color w:val="000000"/>
              </w:rPr>
              <w:t>193</w:t>
            </w:r>
          </w:p>
        </w:tc>
        <w:tc>
          <w:tcPr>
            <w:tcW w:w="737" w:type="dxa"/>
          </w:tcPr>
          <w:p w14:paraId="57DAFA7B" w14:textId="77777777" w:rsidR="009D0006" w:rsidRPr="007D4D02" w:rsidRDefault="009D0006" w:rsidP="00676B44">
            <w:pPr>
              <w:pStyle w:val="Tabletext"/>
            </w:pPr>
            <w:r w:rsidRPr="007D4D02">
              <w:rPr>
                <w:color w:val="000000"/>
              </w:rPr>
              <w:t>67.0</w:t>
            </w:r>
          </w:p>
        </w:tc>
        <w:tc>
          <w:tcPr>
            <w:tcW w:w="737" w:type="dxa"/>
          </w:tcPr>
          <w:p w14:paraId="06C83414" w14:textId="77777777" w:rsidR="009D0006" w:rsidRPr="007D4D02" w:rsidRDefault="009D0006" w:rsidP="00676B44">
            <w:pPr>
              <w:pStyle w:val="Tabletext"/>
            </w:pPr>
            <w:r w:rsidRPr="007D4D02">
              <w:rPr>
                <w:color w:val="000000"/>
              </w:rPr>
              <w:t>58</w:t>
            </w:r>
          </w:p>
        </w:tc>
        <w:tc>
          <w:tcPr>
            <w:tcW w:w="737" w:type="dxa"/>
          </w:tcPr>
          <w:p w14:paraId="49828C40" w14:textId="77777777" w:rsidR="009D0006" w:rsidRPr="007D4D02" w:rsidRDefault="009D0006" w:rsidP="00676B44">
            <w:pPr>
              <w:pStyle w:val="Tabletext"/>
            </w:pPr>
            <w:r w:rsidRPr="007D4D02">
              <w:rPr>
                <w:color w:val="000000"/>
              </w:rPr>
              <w:t>58.6</w:t>
            </w:r>
          </w:p>
        </w:tc>
        <w:tc>
          <w:tcPr>
            <w:tcW w:w="737" w:type="dxa"/>
          </w:tcPr>
          <w:p w14:paraId="304B5ACD" w14:textId="77777777" w:rsidR="009D0006" w:rsidRPr="007D4D02" w:rsidRDefault="009D0006" w:rsidP="00676B44">
            <w:pPr>
              <w:pStyle w:val="Tabletext"/>
            </w:pPr>
            <w:r w:rsidRPr="007D4D02">
              <w:rPr>
                <w:color w:val="000000"/>
              </w:rPr>
              <w:t>27</w:t>
            </w:r>
          </w:p>
        </w:tc>
        <w:tc>
          <w:tcPr>
            <w:tcW w:w="737" w:type="dxa"/>
          </w:tcPr>
          <w:p w14:paraId="55E7455C" w14:textId="77777777" w:rsidR="009D0006" w:rsidRPr="007D4D02" w:rsidRDefault="009D0006" w:rsidP="00676B44">
            <w:pPr>
              <w:pStyle w:val="Tabletext"/>
            </w:pPr>
            <w:r w:rsidRPr="007D4D02">
              <w:rPr>
                <w:color w:val="000000"/>
              </w:rPr>
              <w:t>60.0</w:t>
            </w:r>
          </w:p>
        </w:tc>
        <w:tc>
          <w:tcPr>
            <w:tcW w:w="737" w:type="dxa"/>
          </w:tcPr>
          <w:p w14:paraId="245CC0ED" w14:textId="77777777" w:rsidR="009D0006" w:rsidRPr="007D4D02" w:rsidRDefault="009D0006" w:rsidP="00676B44">
            <w:pPr>
              <w:pStyle w:val="Tabletext"/>
            </w:pPr>
            <w:r w:rsidRPr="007D4D02">
              <w:rPr>
                <w:color w:val="000000"/>
              </w:rPr>
              <w:t>196</w:t>
            </w:r>
          </w:p>
        </w:tc>
        <w:tc>
          <w:tcPr>
            <w:tcW w:w="737" w:type="dxa"/>
          </w:tcPr>
          <w:p w14:paraId="15620A29" w14:textId="77777777" w:rsidR="009D0006" w:rsidRPr="007D4D02" w:rsidRDefault="009D0006" w:rsidP="00676B44">
            <w:pPr>
              <w:pStyle w:val="Tabletext"/>
            </w:pPr>
            <w:r w:rsidRPr="007D4D02">
              <w:rPr>
                <w:color w:val="000000"/>
              </w:rPr>
              <w:t>67.8</w:t>
            </w:r>
          </w:p>
        </w:tc>
        <w:tc>
          <w:tcPr>
            <w:tcW w:w="737" w:type="dxa"/>
          </w:tcPr>
          <w:p w14:paraId="6D2C7400" w14:textId="77777777" w:rsidR="009D0006" w:rsidRPr="007D4D02" w:rsidRDefault="009D0006" w:rsidP="00676B44">
            <w:pPr>
              <w:pStyle w:val="Tabletext"/>
            </w:pPr>
            <w:r w:rsidRPr="007D4D02">
              <w:rPr>
                <w:color w:val="000000"/>
              </w:rPr>
              <w:t>236</w:t>
            </w:r>
          </w:p>
        </w:tc>
        <w:tc>
          <w:tcPr>
            <w:tcW w:w="737" w:type="dxa"/>
          </w:tcPr>
          <w:p w14:paraId="5D6B0B2D" w14:textId="77777777" w:rsidR="009D0006" w:rsidRPr="007D4D02" w:rsidRDefault="009D0006" w:rsidP="00676B44">
            <w:pPr>
              <w:pStyle w:val="Tabletext"/>
            </w:pPr>
            <w:r w:rsidRPr="007D4D02">
              <w:rPr>
                <w:color w:val="000000"/>
              </w:rPr>
              <w:t>65.9</w:t>
            </w:r>
          </w:p>
        </w:tc>
      </w:tr>
    </w:tbl>
    <w:p w14:paraId="6F9F1617" w14:textId="77777777" w:rsidR="009D0006" w:rsidRDefault="009D0006" w:rsidP="00603068">
      <w:pPr>
        <w:pStyle w:val="Tableheading"/>
        <w:rPr>
          <w:lang w:val="en-GB"/>
        </w:rPr>
      </w:pPr>
      <w:r>
        <w:rPr>
          <w:lang w:val="en-GB"/>
        </w:rPr>
        <w:t>Table 29.4 Autism, neuro-diverse with intellectual disability</w:t>
      </w:r>
    </w:p>
    <w:tbl>
      <w:tblPr>
        <w:tblStyle w:val="RCTable"/>
        <w:tblW w:w="9808" w:type="dxa"/>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9D0006" w:rsidRPr="00C50253" w14:paraId="03826792" w14:textId="77777777" w:rsidTr="00676B44">
        <w:trPr>
          <w:cnfStyle w:val="100000000000" w:firstRow="1" w:lastRow="0" w:firstColumn="0" w:lastColumn="0" w:oddVBand="0" w:evenVBand="0" w:oddHBand="0" w:evenHBand="0" w:firstRowFirstColumn="0" w:firstRowLastColumn="0" w:lastRowFirstColumn="0" w:lastRowLastColumn="0"/>
          <w:trHeight w:val="340"/>
        </w:trPr>
        <w:tc>
          <w:tcPr>
            <w:tcW w:w="2438" w:type="dxa"/>
            <w:noWrap/>
          </w:tcPr>
          <w:p w14:paraId="451F56C8" w14:textId="77777777" w:rsidR="009D0006" w:rsidRPr="00283324" w:rsidRDefault="009D0006" w:rsidP="00676B44">
            <w:pPr>
              <w:pStyle w:val="Tableheader"/>
              <w:rPr>
                <w:lang w:val="en-US"/>
              </w:rPr>
            </w:pPr>
            <w:r w:rsidRPr="00283324">
              <w:rPr>
                <w:lang w:val="en-US"/>
              </w:rPr>
              <w:t>Feel supported</w:t>
            </w:r>
          </w:p>
        </w:tc>
        <w:tc>
          <w:tcPr>
            <w:tcW w:w="737" w:type="dxa"/>
          </w:tcPr>
          <w:p w14:paraId="5E511C2F" w14:textId="77777777" w:rsidR="009D0006" w:rsidRPr="00283324" w:rsidRDefault="009D0006" w:rsidP="00676B44">
            <w:pPr>
              <w:pStyle w:val="Tableheader"/>
              <w:rPr>
                <w:lang w:val="en-US"/>
              </w:rPr>
            </w:pPr>
            <w:r>
              <w:t>n</w:t>
            </w:r>
          </w:p>
        </w:tc>
        <w:tc>
          <w:tcPr>
            <w:tcW w:w="737" w:type="dxa"/>
          </w:tcPr>
          <w:p w14:paraId="68B315A2" w14:textId="77777777" w:rsidR="009D0006" w:rsidRPr="00283324" w:rsidRDefault="009D0006" w:rsidP="00676B44">
            <w:pPr>
              <w:pStyle w:val="Tableheader"/>
            </w:pPr>
            <w:r w:rsidRPr="00283324">
              <w:t>%</w:t>
            </w:r>
          </w:p>
        </w:tc>
        <w:tc>
          <w:tcPr>
            <w:tcW w:w="737" w:type="dxa"/>
          </w:tcPr>
          <w:p w14:paraId="3951CA88" w14:textId="77777777" w:rsidR="009D0006" w:rsidRPr="00283324" w:rsidRDefault="009D0006" w:rsidP="00676B44">
            <w:pPr>
              <w:pStyle w:val="Tableheader"/>
              <w:rPr>
                <w:lang w:val="en-US"/>
              </w:rPr>
            </w:pPr>
            <w:r>
              <w:t>n</w:t>
            </w:r>
          </w:p>
        </w:tc>
        <w:tc>
          <w:tcPr>
            <w:tcW w:w="737" w:type="dxa"/>
          </w:tcPr>
          <w:p w14:paraId="11D3A5B7" w14:textId="77777777" w:rsidR="009D0006" w:rsidRPr="00283324" w:rsidRDefault="009D0006" w:rsidP="00676B44">
            <w:pPr>
              <w:pStyle w:val="Tableheader"/>
            </w:pPr>
            <w:r w:rsidRPr="00283324">
              <w:t>%</w:t>
            </w:r>
          </w:p>
        </w:tc>
        <w:tc>
          <w:tcPr>
            <w:tcW w:w="737" w:type="dxa"/>
          </w:tcPr>
          <w:p w14:paraId="7F891CF1" w14:textId="77777777" w:rsidR="009D0006" w:rsidRPr="00283324" w:rsidRDefault="009D0006" w:rsidP="00676B44">
            <w:pPr>
              <w:pStyle w:val="Tableheader"/>
            </w:pPr>
            <w:r>
              <w:t>n</w:t>
            </w:r>
          </w:p>
        </w:tc>
        <w:tc>
          <w:tcPr>
            <w:tcW w:w="737" w:type="dxa"/>
          </w:tcPr>
          <w:p w14:paraId="4A2843FC" w14:textId="77777777" w:rsidR="009D0006" w:rsidRPr="00283324" w:rsidRDefault="009D0006" w:rsidP="00676B44">
            <w:pPr>
              <w:pStyle w:val="Tableheader"/>
            </w:pPr>
            <w:r w:rsidRPr="00283324">
              <w:t>%</w:t>
            </w:r>
          </w:p>
        </w:tc>
        <w:tc>
          <w:tcPr>
            <w:tcW w:w="737" w:type="dxa"/>
          </w:tcPr>
          <w:p w14:paraId="05C4ECE6" w14:textId="77777777" w:rsidR="009D0006" w:rsidRPr="00283324" w:rsidRDefault="009D0006" w:rsidP="00676B44">
            <w:pPr>
              <w:pStyle w:val="Tableheader"/>
            </w:pPr>
            <w:r>
              <w:t>n</w:t>
            </w:r>
          </w:p>
        </w:tc>
        <w:tc>
          <w:tcPr>
            <w:tcW w:w="737" w:type="dxa"/>
          </w:tcPr>
          <w:p w14:paraId="6EC0D891" w14:textId="77777777" w:rsidR="009D0006" w:rsidRPr="00283324" w:rsidRDefault="009D0006" w:rsidP="00676B44">
            <w:pPr>
              <w:pStyle w:val="Tableheader"/>
            </w:pPr>
            <w:r w:rsidRPr="00283324">
              <w:t>%</w:t>
            </w:r>
          </w:p>
        </w:tc>
        <w:tc>
          <w:tcPr>
            <w:tcW w:w="737" w:type="dxa"/>
          </w:tcPr>
          <w:p w14:paraId="77412889" w14:textId="77777777" w:rsidR="009D0006" w:rsidRPr="00283324" w:rsidRDefault="009D0006" w:rsidP="00676B44">
            <w:pPr>
              <w:pStyle w:val="Tableheader"/>
            </w:pPr>
            <w:r>
              <w:t>n</w:t>
            </w:r>
          </w:p>
        </w:tc>
        <w:tc>
          <w:tcPr>
            <w:tcW w:w="737" w:type="dxa"/>
          </w:tcPr>
          <w:p w14:paraId="19BD0556" w14:textId="77777777" w:rsidR="009D0006" w:rsidRPr="00283324" w:rsidRDefault="009D0006" w:rsidP="00676B44">
            <w:pPr>
              <w:pStyle w:val="Tableheader"/>
            </w:pPr>
            <w:r w:rsidRPr="00283324">
              <w:t>%</w:t>
            </w:r>
          </w:p>
        </w:tc>
      </w:tr>
      <w:tr w:rsidR="009D0006" w:rsidRPr="007D4D02" w14:paraId="4D70C72E"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3CCC0FC6" w14:textId="77777777" w:rsidR="009D0006" w:rsidRPr="007D4D02" w:rsidRDefault="009D0006" w:rsidP="00676B44">
            <w:pPr>
              <w:pStyle w:val="Tabletext"/>
              <w:rPr>
                <w:lang w:val="en-US"/>
              </w:rPr>
            </w:pPr>
            <w:r w:rsidRPr="007D4D02">
              <w:rPr>
                <w:lang w:val="en-US"/>
              </w:rPr>
              <w:t>Family</w:t>
            </w:r>
          </w:p>
        </w:tc>
        <w:tc>
          <w:tcPr>
            <w:tcW w:w="737" w:type="dxa"/>
          </w:tcPr>
          <w:p w14:paraId="7B86008F" w14:textId="77777777" w:rsidR="009D0006" w:rsidRPr="007D4D02" w:rsidRDefault="009D0006" w:rsidP="00676B44">
            <w:pPr>
              <w:pStyle w:val="Tabletext"/>
            </w:pPr>
            <w:r w:rsidRPr="007D4D02">
              <w:rPr>
                <w:color w:val="000000"/>
              </w:rPr>
              <w:t>314</w:t>
            </w:r>
          </w:p>
        </w:tc>
        <w:tc>
          <w:tcPr>
            <w:tcW w:w="737" w:type="dxa"/>
          </w:tcPr>
          <w:p w14:paraId="5ED061C9" w14:textId="77777777" w:rsidR="009D0006" w:rsidRPr="007D4D02" w:rsidRDefault="009D0006" w:rsidP="00676B44">
            <w:pPr>
              <w:pStyle w:val="Tabletext"/>
            </w:pPr>
            <w:r w:rsidRPr="007D4D02">
              <w:rPr>
                <w:color w:val="000000"/>
              </w:rPr>
              <w:t>60.4</w:t>
            </w:r>
          </w:p>
        </w:tc>
        <w:tc>
          <w:tcPr>
            <w:tcW w:w="737" w:type="dxa"/>
          </w:tcPr>
          <w:p w14:paraId="7B445553" w14:textId="77777777" w:rsidR="009D0006" w:rsidRPr="007D4D02" w:rsidRDefault="009D0006" w:rsidP="00676B44">
            <w:pPr>
              <w:pStyle w:val="Tabletext"/>
            </w:pPr>
            <w:r w:rsidRPr="007D4D02">
              <w:rPr>
                <w:color w:val="000000"/>
              </w:rPr>
              <w:t>102</w:t>
            </w:r>
          </w:p>
        </w:tc>
        <w:tc>
          <w:tcPr>
            <w:tcW w:w="737" w:type="dxa"/>
          </w:tcPr>
          <w:p w14:paraId="078A5448" w14:textId="77777777" w:rsidR="009D0006" w:rsidRPr="007D4D02" w:rsidRDefault="009D0006" w:rsidP="00676B44">
            <w:pPr>
              <w:pStyle w:val="Tabletext"/>
            </w:pPr>
            <w:r w:rsidRPr="007D4D02">
              <w:rPr>
                <w:color w:val="000000"/>
              </w:rPr>
              <w:t>54.8</w:t>
            </w:r>
          </w:p>
        </w:tc>
        <w:tc>
          <w:tcPr>
            <w:tcW w:w="737" w:type="dxa"/>
          </w:tcPr>
          <w:p w14:paraId="60CFFCD6" w14:textId="77777777" w:rsidR="009D0006" w:rsidRPr="007D4D02" w:rsidRDefault="009D0006" w:rsidP="00676B44">
            <w:pPr>
              <w:pStyle w:val="Tabletext"/>
            </w:pPr>
            <w:r w:rsidRPr="007D4D02">
              <w:rPr>
                <w:color w:val="000000"/>
              </w:rPr>
              <w:t>53</w:t>
            </w:r>
          </w:p>
        </w:tc>
        <w:tc>
          <w:tcPr>
            <w:tcW w:w="737" w:type="dxa"/>
          </w:tcPr>
          <w:p w14:paraId="26237DCD" w14:textId="77777777" w:rsidR="009D0006" w:rsidRPr="007D4D02" w:rsidRDefault="009D0006" w:rsidP="00676B44">
            <w:pPr>
              <w:pStyle w:val="Tabletext"/>
            </w:pPr>
            <w:r w:rsidRPr="007D4D02">
              <w:rPr>
                <w:color w:val="000000"/>
              </w:rPr>
              <w:t>56.4</w:t>
            </w:r>
          </w:p>
        </w:tc>
        <w:tc>
          <w:tcPr>
            <w:tcW w:w="737" w:type="dxa"/>
          </w:tcPr>
          <w:p w14:paraId="3A9DF611" w14:textId="77777777" w:rsidR="009D0006" w:rsidRPr="007D4D02" w:rsidRDefault="009D0006" w:rsidP="00676B44">
            <w:pPr>
              <w:pStyle w:val="Tabletext"/>
            </w:pPr>
            <w:r w:rsidRPr="007D4D02">
              <w:rPr>
                <w:color w:val="000000"/>
              </w:rPr>
              <w:t>314</w:t>
            </w:r>
          </w:p>
        </w:tc>
        <w:tc>
          <w:tcPr>
            <w:tcW w:w="737" w:type="dxa"/>
          </w:tcPr>
          <w:p w14:paraId="58F5C6C9" w14:textId="77777777" w:rsidR="009D0006" w:rsidRPr="007D4D02" w:rsidRDefault="009D0006" w:rsidP="00676B44">
            <w:pPr>
              <w:pStyle w:val="Tabletext"/>
            </w:pPr>
            <w:r w:rsidRPr="007D4D02">
              <w:rPr>
                <w:color w:val="000000"/>
              </w:rPr>
              <w:t>54.1</w:t>
            </w:r>
          </w:p>
        </w:tc>
        <w:tc>
          <w:tcPr>
            <w:tcW w:w="737" w:type="dxa"/>
          </w:tcPr>
          <w:p w14:paraId="67D7FA56" w14:textId="77777777" w:rsidR="009D0006" w:rsidRPr="007D4D02" w:rsidRDefault="009D0006" w:rsidP="00676B44">
            <w:pPr>
              <w:pStyle w:val="Tabletext"/>
            </w:pPr>
            <w:r w:rsidRPr="007D4D02">
              <w:rPr>
                <w:color w:val="000000"/>
              </w:rPr>
              <w:t>458</w:t>
            </w:r>
          </w:p>
        </w:tc>
        <w:tc>
          <w:tcPr>
            <w:tcW w:w="737" w:type="dxa"/>
          </w:tcPr>
          <w:p w14:paraId="63ABB5F8" w14:textId="77777777" w:rsidR="009D0006" w:rsidRPr="007D4D02" w:rsidRDefault="009D0006" w:rsidP="00676B44">
            <w:pPr>
              <w:pStyle w:val="Tabletext"/>
            </w:pPr>
            <w:r w:rsidRPr="007D4D02">
              <w:rPr>
                <w:color w:val="000000"/>
              </w:rPr>
              <w:t>57.5</w:t>
            </w:r>
          </w:p>
        </w:tc>
      </w:tr>
      <w:tr w:rsidR="009D0006" w:rsidRPr="007D4D02" w14:paraId="4EFB17C0"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7A96129D" w14:textId="77777777" w:rsidR="009D0006" w:rsidRPr="007D4D02" w:rsidRDefault="009D0006" w:rsidP="00676B44">
            <w:pPr>
              <w:pStyle w:val="Tabletext"/>
              <w:rPr>
                <w:lang w:val="en-US"/>
              </w:rPr>
            </w:pPr>
            <w:r w:rsidRPr="007D4D02">
              <w:rPr>
                <w:lang w:val="en-US"/>
              </w:rPr>
              <w:t>Friends</w:t>
            </w:r>
          </w:p>
        </w:tc>
        <w:tc>
          <w:tcPr>
            <w:tcW w:w="737" w:type="dxa"/>
          </w:tcPr>
          <w:p w14:paraId="6A55083E" w14:textId="77777777" w:rsidR="009D0006" w:rsidRPr="007D4D02" w:rsidRDefault="009D0006" w:rsidP="00676B44">
            <w:pPr>
              <w:pStyle w:val="Tabletext"/>
            </w:pPr>
            <w:r w:rsidRPr="007D4D02">
              <w:rPr>
                <w:color w:val="000000"/>
              </w:rPr>
              <w:t>568</w:t>
            </w:r>
          </w:p>
        </w:tc>
        <w:tc>
          <w:tcPr>
            <w:tcW w:w="737" w:type="dxa"/>
          </w:tcPr>
          <w:p w14:paraId="5B2A326D" w14:textId="77777777" w:rsidR="009D0006" w:rsidRPr="007D4D02" w:rsidRDefault="009D0006" w:rsidP="00676B44">
            <w:pPr>
              <w:pStyle w:val="Tabletext"/>
            </w:pPr>
            <w:r w:rsidRPr="007D4D02">
              <w:rPr>
                <w:color w:val="000000"/>
              </w:rPr>
              <w:t>90.9</w:t>
            </w:r>
          </w:p>
        </w:tc>
        <w:tc>
          <w:tcPr>
            <w:tcW w:w="737" w:type="dxa"/>
          </w:tcPr>
          <w:p w14:paraId="7CDD5BC2" w14:textId="77777777" w:rsidR="009D0006" w:rsidRPr="007D4D02" w:rsidRDefault="009D0006" w:rsidP="00676B44">
            <w:pPr>
              <w:pStyle w:val="Tabletext"/>
            </w:pPr>
            <w:r w:rsidRPr="007D4D02">
              <w:rPr>
                <w:color w:val="000000"/>
              </w:rPr>
              <w:t>183</w:t>
            </w:r>
          </w:p>
        </w:tc>
        <w:tc>
          <w:tcPr>
            <w:tcW w:w="737" w:type="dxa"/>
          </w:tcPr>
          <w:p w14:paraId="53160B59" w14:textId="77777777" w:rsidR="009D0006" w:rsidRPr="007D4D02" w:rsidRDefault="009D0006" w:rsidP="00676B44">
            <w:pPr>
              <w:pStyle w:val="Tabletext"/>
            </w:pPr>
            <w:r w:rsidRPr="007D4D02">
              <w:rPr>
                <w:color w:val="000000"/>
              </w:rPr>
              <w:t>89.7</w:t>
            </w:r>
          </w:p>
        </w:tc>
        <w:tc>
          <w:tcPr>
            <w:tcW w:w="737" w:type="dxa"/>
          </w:tcPr>
          <w:p w14:paraId="0FBE4880" w14:textId="77777777" w:rsidR="009D0006" w:rsidRPr="007D4D02" w:rsidRDefault="009D0006" w:rsidP="00676B44">
            <w:pPr>
              <w:pStyle w:val="Tabletext"/>
            </w:pPr>
            <w:r w:rsidRPr="007D4D02">
              <w:rPr>
                <w:color w:val="000000"/>
              </w:rPr>
              <w:t>108</w:t>
            </w:r>
          </w:p>
        </w:tc>
        <w:tc>
          <w:tcPr>
            <w:tcW w:w="737" w:type="dxa"/>
          </w:tcPr>
          <w:p w14:paraId="11F010F2" w14:textId="77777777" w:rsidR="009D0006" w:rsidRPr="007D4D02" w:rsidRDefault="009D0006" w:rsidP="00676B44">
            <w:pPr>
              <w:pStyle w:val="Tabletext"/>
            </w:pPr>
            <w:r w:rsidRPr="007D4D02">
              <w:rPr>
                <w:color w:val="000000"/>
              </w:rPr>
              <w:t>92.3</w:t>
            </w:r>
          </w:p>
        </w:tc>
        <w:tc>
          <w:tcPr>
            <w:tcW w:w="737" w:type="dxa"/>
          </w:tcPr>
          <w:p w14:paraId="41C6E177" w14:textId="77777777" w:rsidR="009D0006" w:rsidRPr="007D4D02" w:rsidRDefault="009D0006" w:rsidP="00676B44">
            <w:pPr>
              <w:pStyle w:val="Tabletext"/>
            </w:pPr>
            <w:r w:rsidRPr="007D4D02">
              <w:rPr>
                <w:color w:val="000000"/>
              </w:rPr>
              <w:t>593</w:t>
            </w:r>
          </w:p>
        </w:tc>
        <w:tc>
          <w:tcPr>
            <w:tcW w:w="737" w:type="dxa"/>
          </w:tcPr>
          <w:p w14:paraId="05C46C00" w14:textId="77777777" w:rsidR="009D0006" w:rsidRPr="007D4D02" w:rsidRDefault="009D0006" w:rsidP="00676B44">
            <w:pPr>
              <w:pStyle w:val="Tabletext"/>
            </w:pPr>
            <w:r w:rsidRPr="007D4D02">
              <w:rPr>
                <w:color w:val="000000"/>
              </w:rPr>
              <w:t>87.9</w:t>
            </w:r>
          </w:p>
        </w:tc>
        <w:tc>
          <w:tcPr>
            <w:tcW w:w="737" w:type="dxa"/>
          </w:tcPr>
          <w:p w14:paraId="5B6FE057" w14:textId="77777777" w:rsidR="009D0006" w:rsidRPr="007D4D02" w:rsidRDefault="009D0006" w:rsidP="00676B44">
            <w:pPr>
              <w:pStyle w:val="Tabletext"/>
            </w:pPr>
            <w:r w:rsidRPr="007D4D02">
              <w:rPr>
                <w:color w:val="000000"/>
              </w:rPr>
              <w:t>916</w:t>
            </w:r>
          </w:p>
        </w:tc>
        <w:tc>
          <w:tcPr>
            <w:tcW w:w="737" w:type="dxa"/>
          </w:tcPr>
          <w:p w14:paraId="6DFE471D" w14:textId="77777777" w:rsidR="009D0006" w:rsidRPr="007D4D02" w:rsidRDefault="009D0006" w:rsidP="00676B44">
            <w:pPr>
              <w:pStyle w:val="Tabletext"/>
            </w:pPr>
            <w:r w:rsidRPr="007D4D02">
              <w:rPr>
                <w:color w:val="000000"/>
              </w:rPr>
              <w:t>90.3</w:t>
            </w:r>
          </w:p>
        </w:tc>
      </w:tr>
      <w:tr w:rsidR="009D0006" w:rsidRPr="007D4D02" w14:paraId="2800B4F1"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11CAF01A" w14:textId="77777777" w:rsidR="009D0006" w:rsidRPr="007D4D02" w:rsidRDefault="009D0006" w:rsidP="00676B44">
            <w:pPr>
              <w:pStyle w:val="Tabletext"/>
              <w:rPr>
                <w:lang w:val="en-US"/>
              </w:rPr>
            </w:pPr>
            <w:r w:rsidRPr="007D4D02">
              <w:rPr>
                <w:lang w:val="en-US"/>
              </w:rPr>
              <w:t>Classmates</w:t>
            </w:r>
          </w:p>
        </w:tc>
        <w:tc>
          <w:tcPr>
            <w:tcW w:w="737" w:type="dxa"/>
          </w:tcPr>
          <w:p w14:paraId="3169D6A2" w14:textId="77777777" w:rsidR="009D0006" w:rsidRPr="007D4D02" w:rsidRDefault="009D0006" w:rsidP="00676B44">
            <w:pPr>
              <w:pStyle w:val="Tabletext"/>
            </w:pPr>
            <w:r w:rsidRPr="007D4D02">
              <w:rPr>
                <w:color w:val="000000"/>
              </w:rPr>
              <w:t>122</w:t>
            </w:r>
          </w:p>
        </w:tc>
        <w:tc>
          <w:tcPr>
            <w:tcW w:w="737" w:type="dxa"/>
          </w:tcPr>
          <w:p w14:paraId="445BDFBD" w14:textId="77777777" w:rsidR="009D0006" w:rsidRPr="007D4D02" w:rsidRDefault="009D0006" w:rsidP="00676B44">
            <w:pPr>
              <w:pStyle w:val="Tabletext"/>
            </w:pPr>
            <w:r w:rsidRPr="007D4D02">
              <w:rPr>
                <w:color w:val="000000"/>
              </w:rPr>
              <w:t>38.5</w:t>
            </w:r>
          </w:p>
        </w:tc>
        <w:tc>
          <w:tcPr>
            <w:tcW w:w="737" w:type="dxa"/>
          </w:tcPr>
          <w:p w14:paraId="13A33C2A" w14:textId="77777777" w:rsidR="009D0006" w:rsidRPr="007D4D02" w:rsidRDefault="009D0006" w:rsidP="00676B44">
            <w:pPr>
              <w:pStyle w:val="Tabletext"/>
            </w:pPr>
            <w:r w:rsidRPr="007D4D02">
              <w:rPr>
                <w:color w:val="000000"/>
              </w:rPr>
              <w:t>30</w:t>
            </w:r>
          </w:p>
        </w:tc>
        <w:tc>
          <w:tcPr>
            <w:tcW w:w="737" w:type="dxa"/>
          </w:tcPr>
          <w:p w14:paraId="7847DD50" w14:textId="77777777" w:rsidR="009D0006" w:rsidRPr="007D4D02" w:rsidRDefault="009D0006" w:rsidP="00676B44">
            <w:pPr>
              <w:pStyle w:val="Tabletext"/>
            </w:pPr>
            <w:r w:rsidRPr="007D4D02">
              <w:rPr>
                <w:color w:val="000000"/>
              </w:rPr>
              <w:t>33.3</w:t>
            </w:r>
          </w:p>
        </w:tc>
        <w:tc>
          <w:tcPr>
            <w:tcW w:w="737" w:type="dxa"/>
          </w:tcPr>
          <w:p w14:paraId="78023FE5" w14:textId="77777777" w:rsidR="009D0006" w:rsidRPr="007D4D02" w:rsidRDefault="009D0006" w:rsidP="00676B44">
            <w:pPr>
              <w:pStyle w:val="Tabletext"/>
            </w:pPr>
            <w:r w:rsidRPr="007D4D02">
              <w:rPr>
                <w:color w:val="000000"/>
              </w:rPr>
              <w:t>18</w:t>
            </w:r>
          </w:p>
        </w:tc>
        <w:tc>
          <w:tcPr>
            <w:tcW w:w="737" w:type="dxa"/>
          </w:tcPr>
          <w:p w14:paraId="095A1B85" w14:textId="77777777" w:rsidR="009D0006" w:rsidRPr="007D4D02" w:rsidRDefault="009D0006" w:rsidP="00676B44">
            <w:pPr>
              <w:pStyle w:val="Tabletext"/>
            </w:pPr>
            <w:r w:rsidRPr="007D4D02">
              <w:rPr>
                <w:color w:val="000000"/>
              </w:rPr>
              <w:t>32.1</w:t>
            </w:r>
          </w:p>
        </w:tc>
        <w:tc>
          <w:tcPr>
            <w:tcW w:w="737" w:type="dxa"/>
          </w:tcPr>
          <w:p w14:paraId="60DE835F" w14:textId="77777777" w:rsidR="009D0006" w:rsidRPr="007D4D02" w:rsidRDefault="009D0006" w:rsidP="00676B44">
            <w:pPr>
              <w:pStyle w:val="Tabletext"/>
            </w:pPr>
            <w:r w:rsidRPr="007D4D02">
              <w:rPr>
                <w:color w:val="000000"/>
              </w:rPr>
              <w:t>127</w:t>
            </w:r>
          </w:p>
        </w:tc>
        <w:tc>
          <w:tcPr>
            <w:tcW w:w="737" w:type="dxa"/>
          </w:tcPr>
          <w:p w14:paraId="5362CD58" w14:textId="77777777" w:rsidR="009D0006" w:rsidRPr="007D4D02" w:rsidRDefault="009D0006" w:rsidP="00676B44">
            <w:pPr>
              <w:pStyle w:val="Tabletext"/>
            </w:pPr>
            <w:r w:rsidRPr="007D4D02">
              <w:rPr>
                <w:color w:val="000000"/>
              </w:rPr>
              <w:t>37.8</w:t>
            </w:r>
          </w:p>
        </w:tc>
        <w:tc>
          <w:tcPr>
            <w:tcW w:w="737" w:type="dxa"/>
          </w:tcPr>
          <w:p w14:paraId="106C9026" w14:textId="77777777" w:rsidR="009D0006" w:rsidRPr="007D4D02" w:rsidRDefault="009D0006" w:rsidP="00676B44">
            <w:pPr>
              <w:pStyle w:val="Tabletext"/>
            </w:pPr>
            <w:r w:rsidRPr="007D4D02">
              <w:rPr>
                <w:color w:val="000000"/>
              </w:rPr>
              <w:t>231</w:t>
            </w:r>
          </w:p>
        </w:tc>
        <w:tc>
          <w:tcPr>
            <w:tcW w:w="737" w:type="dxa"/>
          </w:tcPr>
          <w:p w14:paraId="2FE2B9DA" w14:textId="77777777" w:rsidR="009D0006" w:rsidRPr="007D4D02" w:rsidRDefault="009D0006" w:rsidP="00676B44">
            <w:pPr>
              <w:pStyle w:val="Tabletext"/>
            </w:pPr>
            <w:r w:rsidRPr="007D4D02">
              <w:rPr>
                <w:color w:val="000000"/>
              </w:rPr>
              <w:t>41.5</w:t>
            </w:r>
          </w:p>
        </w:tc>
      </w:tr>
      <w:tr w:rsidR="009D0006" w:rsidRPr="007D4D02" w14:paraId="46A2EB54"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3E2A45BC" w14:textId="77777777" w:rsidR="009D0006" w:rsidRPr="007D4D02" w:rsidRDefault="009D0006" w:rsidP="00676B44">
            <w:pPr>
              <w:pStyle w:val="Tabletext"/>
              <w:rPr>
                <w:lang w:val="en-US"/>
              </w:rPr>
            </w:pPr>
            <w:r w:rsidRPr="007D4D02">
              <w:rPr>
                <w:lang w:val="en-US"/>
              </w:rPr>
              <w:t>Teachers</w:t>
            </w:r>
          </w:p>
        </w:tc>
        <w:tc>
          <w:tcPr>
            <w:tcW w:w="737" w:type="dxa"/>
          </w:tcPr>
          <w:p w14:paraId="76C2225F" w14:textId="77777777" w:rsidR="009D0006" w:rsidRPr="007D4D02" w:rsidRDefault="009D0006" w:rsidP="00676B44">
            <w:pPr>
              <w:pStyle w:val="Tabletext"/>
            </w:pPr>
            <w:r w:rsidRPr="007D4D02">
              <w:rPr>
                <w:color w:val="000000"/>
              </w:rPr>
              <w:t>193</w:t>
            </w:r>
          </w:p>
        </w:tc>
        <w:tc>
          <w:tcPr>
            <w:tcW w:w="737" w:type="dxa"/>
          </w:tcPr>
          <w:p w14:paraId="10AD97FE" w14:textId="77777777" w:rsidR="009D0006" w:rsidRPr="007D4D02" w:rsidRDefault="009D0006" w:rsidP="00676B44">
            <w:pPr>
              <w:pStyle w:val="Tabletext"/>
            </w:pPr>
            <w:r w:rsidRPr="007D4D02">
              <w:rPr>
                <w:color w:val="000000"/>
              </w:rPr>
              <w:t>67.0</w:t>
            </w:r>
          </w:p>
        </w:tc>
        <w:tc>
          <w:tcPr>
            <w:tcW w:w="737" w:type="dxa"/>
          </w:tcPr>
          <w:p w14:paraId="6EAC99F4" w14:textId="77777777" w:rsidR="009D0006" w:rsidRPr="007D4D02" w:rsidRDefault="009D0006" w:rsidP="00676B44">
            <w:pPr>
              <w:pStyle w:val="Tabletext"/>
            </w:pPr>
            <w:r w:rsidRPr="007D4D02">
              <w:rPr>
                <w:color w:val="000000"/>
              </w:rPr>
              <w:t>58</w:t>
            </w:r>
          </w:p>
        </w:tc>
        <w:tc>
          <w:tcPr>
            <w:tcW w:w="737" w:type="dxa"/>
          </w:tcPr>
          <w:p w14:paraId="6E9B05B2" w14:textId="77777777" w:rsidR="009D0006" w:rsidRPr="007D4D02" w:rsidRDefault="009D0006" w:rsidP="00676B44">
            <w:pPr>
              <w:pStyle w:val="Tabletext"/>
            </w:pPr>
            <w:r w:rsidRPr="007D4D02">
              <w:rPr>
                <w:color w:val="000000"/>
              </w:rPr>
              <w:t>58.6</w:t>
            </w:r>
          </w:p>
        </w:tc>
        <w:tc>
          <w:tcPr>
            <w:tcW w:w="737" w:type="dxa"/>
          </w:tcPr>
          <w:p w14:paraId="4C3678C5" w14:textId="77777777" w:rsidR="009D0006" w:rsidRPr="007D4D02" w:rsidRDefault="009D0006" w:rsidP="00676B44">
            <w:pPr>
              <w:pStyle w:val="Tabletext"/>
            </w:pPr>
            <w:r w:rsidRPr="007D4D02">
              <w:rPr>
                <w:color w:val="000000"/>
              </w:rPr>
              <w:t>27</w:t>
            </w:r>
          </w:p>
        </w:tc>
        <w:tc>
          <w:tcPr>
            <w:tcW w:w="737" w:type="dxa"/>
          </w:tcPr>
          <w:p w14:paraId="60C40830" w14:textId="77777777" w:rsidR="009D0006" w:rsidRPr="007D4D02" w:rsidRDefault="009D0006" w:rsidP="00676B44">
            <w:pPr>
              <w:pStyle w:val="Tabletext"/>
            </w:pPr>
            <w:r w:rsidRPr="007D4D02">
              <w:rPr>
                <w:color w:val="000000"/>
              </w:rPr>
              <w:t>60.0</w:t>
            </w:r>
          </w:p>
        </w:tc>
        <w:tc>
          <w:tcPr>
            <w:tcW w:w="737" w:type="dxa"/>
          </w:tcPr>
          <w:p w14:paraId="5B7B057C" w14:textId="77777777" w:rsidR="009D0006" w:rsidRPr="007D4D02" w:rsidRDefault="009D0006" w:rsidP="00676B44">
            <w:pPr>
              <w:pStyle w:val="Tabletext"/>
            </w:pPr>
            <w:r w:rsidRPr="007D4D02">
              <w:rPr>
                <w:color w:val="000000"/>
              </w:rPr>
              <w:t>196</w:t>
            </w:r>
          </w:p>
        </w:tc>
        <w:tc>
          <w:tcPr>
            <w:tcW w:w="737" w:type="dxa"/>
          </w:tcPr>
          <w:p w14:paraId="198E3D0B" w14:textId="77777777" w:rsidR="009D0006" w:rsidRPr="007D4D02" w:rsidRDefault="009D0006" w:rsidP="00676B44">
            <w:pPr>
              <w:pStyle w:val="Tabletext"/>
            </w:pPr>
            <w:r w:rsidRPr="007D4D02">
              <w:rPr>
                <w:color w:val="000000"/>
              </w:rPr>
              <w:t>67.8</w:t>
            </w:r>
          </w:p>
        </w:tc>
        <w:tc>
          <w:tcPr>
            <w:tcW w:w="737" w:type="dxa"/>
          </w:tcPr>
          <w:p w14:paraId="00C87E0E" w14:textId="77777777" w:rsidR="009D0006" w:rsidRPr="007D4D02" w:rsidRDefault="009D0006" w:rsidP="00676B44">
            <w:pPr>
              <w:pStyle w:val="Tabletext"/>
            </w:pPr>
            <w:r w:rsidRPr="007D4D02">
              <w:rPr>
                <w:color w:val="000000"/>
              </w:rPr>
              <w:t>236</w:t>
            </w:r>
          </w:p>
        </w:tc>
        <w:tc>
          <w:tcPr>
            <w:tcW w:w="737" w:type="dxa"/>
          </w:tcPr>
          <w:p w14:paraId="26989543" w14:textId="77777777" w:rsidR="009D0006" w:rsidRPr="007D4D02" w:rsidRDefault="009D0006" w:rsidP="00676B44">
            <w:pPr>
              <w:pStyle w:val="Tabletext"/>
            </w:pPr>
            <w:r w:rsidRPr="007D4D02">
              <w:rPr>
                <w:color w:val="000000"/>
              </w:rPr>
              <w:t>65.9</w:t>
            </w:r>
          </w:p>
        </w:tc>
      </w:tr>
    </w:tbl>
    <w:p w14:paraId="732ADF80" w14:textId="77777777" w:rsidR="009D0006" w:rsidRDefault="009D0006" w:rsidP="00603068">
      <w:pPr>
        <w:pStyle w:val="Tableheading"/>
        <w:rPr>
          <w:lang w:val="en-GB"/>
        </w:rPr>
      </w:pPr>
      <w:r>
        <w:rPr>
          <w:lang w:val="en-GB"/>
        </w:rPr>
        <w:t>Table 29.4 Intellectual disability</w:t>
      </w:r>
    </w:p>
    <w:tbl>
      <w:tblPr>
        <w:tblStyle w:val="RCTable"/>
        <w:tblW w:w="9808" w:type="dxa"/>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9D0006" w:rsidRPr="00C50253" w14:paraId="4ECCD81D" w14:textId="77777777" w:rsidTr="00676B44">
        <w:trPr>
          <w:cnfStyle w:val="100000000000" w:firstRow="1" w:lastRow="0" w:firstColumn="0" w:lastColumn="0" w:oddVBand="0" w:evenVBand="0" w:oddHBand="0" w:evenHBand="0" w:firstRowFirstColumn="0" w:firstRowLastColumn="0" w:lastRowFirstColumn="0" w:lastRowLastColumn="0"/>
          <w:trHeight w:val="340"/>
        </w:trPr>
        <w:tc>
          <w:tcPr>
            <w:tcW w:w="2438" w:type="dxa"/>
            <w:noWrap/>
          </w:tcPr>
          <w:p w14:paraId="4ECD1BE6" w14:textId="77777777" w:rsidR="009D0006" w:rsidRPr="00283324" w:rsidRDefault="009D0006" w:rsidP="00676B44">
            <w:pPr>
              <w:pStyle w:val="Tableheader"/>
              <w:rPr>
                <w:lang w:val="en-US"/>
              </w:rPr>
            </w:pPr>
            <w:r w:rsidRPr="00283324">
              <w:rPr>
                <w:lang w:val="en-US"/>
              </w:rPr>
              <w:t>Feel supported</w:t>
            </w:r>
          </w:p>
        </w:tc>
        <w:tc>
          <w:tcPr>
            <w:tcW w:w="737" w:type="dxa"/>
          </w:tcPr>
          <w:p w14:paraId="2DB41DB3" w14:textId="77777777" w:rsidR="009D0006" w:rsidRPr="00283324" w:rsidRDefault="009D0006" w:rsidP="00676B44">
            <w:pPr>
              <w:pStyle w:val="Tableheader"/>
              <w:rPr>
                <w:lang w:val="en-US"/>
              </w:rPr>
            </w:pPr>
            <w:r>
              <w:t>n</w:t>
            </w:r>
          </w:p>
        </w:tc>
        <w:tc>
          <w:tcPr>
            <w:tcW w:w="737" w:type="dxa"/>
          </w:tcPr>
          <w:p w14:paraId="71E41904" w14:textId="77777777" w:rsidR="009D0006" w:rsidRPr="00283324" w:rsidRDefault="009D0006" w:rsidP="00676B44">
            <w:pPr>
              <w:pStyle w:val="Tableheader"/>
            </w:pPr>
            <w:r w:rsidRPr="00283324">
              <w:t>%</w:t>
            </w:r>
          </w:p>
        </w:tc>
        <w:tc>
          <w:tcPr>
            <w:tcW w:w="737" w:type="dxa"/>
          </w:tcPr>
          <w:p w14:paraId="56A0A91C" w14:textId="77777777" w:rsidR="009D0006" w:rsidRPr="00283324" w:rsidRDefault="009D0006" w:rsidP="00676B44">
            <w:pPr>
              <w:pStyle w:val="Tableheader"/>
              <w:rPr>
                <w:lang w:val="en-US"/>
              </w:rPr>
            </w:pPr>
            <w:r>
              <w:t>n</w:t>
            </w:r>
          </w:p>
        </w:tc>
        <w:tc>
          <w:tcPr>
            <w:tcW w:w="737" w:type="dxa"/>
          </w:tcPr>
          <w:p w14:paraId="6C847E59" w14:textId="77777777" w:rsidR="009D0006" w:rsidRPr="00283324" w:rsidRDefault="009D0006" w:rsidP="00676B44">
            <w:pPr>
              <w:pStyle w:val="Tableheader"/>
            </w:pPr>
            <w:r w:rsidRPr="00283324">
              <w:t>%</w:t>
            </w:r>
          </w:p>
        </w:tc>
        <w:tc>
          <w:tcPr>
            <w:tcW w:w="737" w:type="dxa"/>
          </w:tcPr>
          <w:p w14:paraId="31EFFABE" w14:textId="77777777" w:rsidR="009D0006" w:rsidRPr="00283324" w:rsidRDefault="009D0006" w:rsidP="00676B44">
            <w:pPr>
              <w:pStyle w:val="Tableheader"/>
            </w:pPr>
            <w:r>
              <w:t>n</w:t>
            </w:r>
          </w:p>
        </w:tc>
        <w:tc>
          <w:tcPr>
            <w:tcW w:w="737" w:type="dxa"/>
          </w:tcPr>
          <w:p w14:paraId="5E731FC4" w14:textId="77777777" w:rsidR="009D0006" w:rsidRPr="00283324" w:rsidRDefault="009D0006" w:rsidP="00676B44">
            <w:pPr>
              <w:pStyle w:val="Tableheader"/>
            </w:pPr>
            <w:r w:rsidRPr="00283324">
              <w:t>%</w:t>
            </w:r>
          </w:p>
        </w:tc>
        <w:tc>
          <w:tcPr>
            <w:tcW w:w="737" w:type="dxa"/>
          </w:tcPr>
          <w:p w14:paraId="01968CC1" w14:textId="77777777" w:rsidR="009D0006" w:rsidRPr="00283324" w:rsidRDefault="009D0006" w:rsidP="00676B44">
            <w:pPr>
              <w:pStyle w:val="Tableheader"/>
            </w:pPr>
            <w:r>
              <w:t>n</w:t>
            </w:r>
          </w:p>
        </w:tc>
        <w:tc>
          <w:tcPr>
            <w:tcW w:w="737" w:type="dxa"/>
          </w:tcPr>
          <w:p w14:paraId="07A286D5" w14:textId="77777777" w:rsidR="009D0006" w:rsidRPr="00283324" w:rsidRDefault="009D0006" w:rsidP="00676B44">
            <w:pPr>
              <w:pStyle w:val="Tableheader"/>
            </w:pPr>
            <w:r w:rsidRPr="00283324">
              <w:t>%</w:t>
            </w:r>
          </w:p>
        </w:tc>
        <w:tc>
          <w:tcPr>
            <w:tcW w:w="737" w:type="dxa"/>
          </w:tcPr>
          <w:p w14:paraId="011B4E22" w14:textId="77777777" w:rsidR="009D0006" w:rsidRPr="00283324" w:rsidRDefault="009D0006" w:rsidP="00676B44">
            <w:pPr>
              <w:pStyle w:val="Tableheader"/>
            </w:pPr>
            <w:r>
              <w:t>n</w:t>
            </w:r>
          </w:p>
        </w:tc>
        <w:tc>
          <w:tcPr>
            <w:tcW w:w="737" w:type="dxa"/>
          </w:tcPr>
          <w:p w14:paraId="0F912889" w14:textId="77777777" w:rsidR="009D0006" w:rsidRPr="00283324" w:rsidRDefault="009D0006" w:rsidP="00676B44">
            <w:pPr>
              <w:pStyle w:val="Tableheader"/>
            </w:pPr>
            <w:r w:rsidRPr="00283324">
              <w:t>%</w:t>
            </w:r>
          </w:p>
        </w:tc>
      </w:tr>
      <w:tr w:rsidR="009D0006" w:rsidRPr="007D4D02" w14:paraId="48BD68AA"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238BB10B" w14:textId="77777777" w:rsidR="009D0006" w:rsidRPr="007D4D02" w:rsidRDefault="009D0006" w:rsidP="00676B44">
            <w:pPr>
              <w:pStyle w:val="Tabletext"/>
              <w:rPr>
                <w:lang w:val="en-US"/>
              </w:rPr>
            </w:pPr>
            <w:r w:rsidRPr="007D4D02">
              <w:rPr>
                <w:lang w:val="en-US"/>
              </w:rPr>
              <w:t>Family</w:t>
            </w:r>
          </w:p>
        </w:tc>
        <w:tc>
          <w:tcPr>
            <w:tcW w:w="737" w:type="dxa"/>
          </w:tcPr>
          <w:p w14:paraId="4113CB09" w14:textId="77777777" w:rsidR="009D0006" w:rsidRPr="007D4D02" w:rsidRDefault="009D0006" w:rsidP="00676B44">
            <w:pPr>
              <w:pStyle w:val="Tabletext"/>
            </w:pPr>
            <w:r w:rsidRPr="007D4D02">
              <w:rPr>
                <w:color w:val="000000"/>
              </w:rPr>
              <w:t>314</w:t>
            </w:r>
          </w:p>
        </w:tc>
        <w:tc>
          <w:tcPr>
            <w:tcW w:w="737" w:type="dxa"/>
          </w:tcPr>
          <w:p w14:paraId="2F610285" w14:textId="77777777" w:rsidR="009D0006" w:rsidRPr="007D4D02" w:rsidRDefault="009D0006" w:rsidP="00676B44">
            <w:pPr>
              <w:pStyle w:val="Tabletext"/>
            </w:pPr>
            <w:r w:rsidRPr="007D4D02">
              <w:rPr>
                <w:color w:val="000000"/>
              </w:rPr>
              <w:t>60.4</w:t>
            </w:r>
          </w:p>
        </w:tc>
        <w:tc>
          <w:tcPr>
            <w:tcW w:w="737" w:type="dxa"/>
          </w:tcPr>
          <w:p w14:paraId="37AA7186" w14:textId="77777777" w:rsidR="009D0006" w:rsidRPr="007D4D02" w:rsidRDefault="009D0006" w:rsidP="00676B44">
            <w:pPr>
              <w:pStyle w:val="Tabletext"/>
            </w:pPr>
            <w:r w:rsidRPr="007D4D02">
              <w:rPr>
                <w:color w:val="000000"/>
              </w:rPr>
              <w:t>102</w:t>
            </w:r>
          </w:p>
        </w:tc>
        <w:tc>
          <w:tcPr>
            <w:tcW w:w="737" w:type="dxa"/>
          </w:tcPr>
          <w:p w14:paraId="20D1E6EA" w14:textId="77777777" w:rsidR="009D0006" w:rsidRPr="007D4D02" w:rsidRDefault="009D0006" w:rsidP="00676B44">
            <w:pPr>
              <w:pStyle w:val="Tabletext"/>
            </w:pPr>
            <w:r w:rsidRPr="007D4D02">
              <w:rPr>
                <w:color w:val="000000"/>
              </w:rPr>
              <w:t>54.8</w:t>
            </w:r>
          </w:p>
        </w:tc>
        <w:tc>
          <w:tcPr>
            <w:tcW w:w="737" w:type="dxa"/>
          </w:tcPr>
          <w:p w14:paraId="2F94728E" w14:textId="77777777" w:rsidR="009D0006" w:rsidRPr="007D4D02" w:rsidRDefault="009D0006" w:rsidP="00676B44">
            <w:pPr>
              <w:pStyle w:val="Tabletext"/>
            </w:pPr>
            <w:r w:rsidRPr="007D4D02">
              <w:rPr>
                <w:color w:val="000000"/>
              </w:rPr>
              <w:t>53</w:t>
            </w:r>
          </w:p>
        </w:tc>
        <w:tc>
          <w:tcPr>
            <w:tcW w:w="737" w:type="dxa"/>
          </w:tcPr>
          <w:p w14:paraId="6CFB795D" w14:textId="77777777" w:rsidR="009D0006" w:rsidRPr="007D4D02" w:rsidRDefault="009D0006" w:rsidP="00676B44">
            <w:pPr>
              <w:pStyle w:val="Tabletext"/>
            </w:pPr>
            <w:r w:rsidRPr="007D4D02">
              <w:rPr>
                <w:color w:val="000000"/>
              </w:rPr>
              <w:t>56.4</w:t>
            </w:r>
          </w:p>
        </w:tc>
        <w:tc>
          <w:tcPr>
            <w:tcW w:w="737" w:type="dxa"/>
          </w:tcPr>
          <w:p w14:paraId="066BE571" w14:textId="77777777" w:rsidR="009D0006" w:rsidRPr="007D4D02" w:rsidRDefault="009D0006" w:rsidP="00676B44">
            <w:pPr>
              <w:pStyle w:val="Tabletext"/>
            </w:pPr>
            <w:r w:rsidRPr="007D4D02">
              <w:rPr>
                <w:color w:val="000000"/>
              </w:rPr>
              <w:t>314</w:t>
            </w:r>
          </w:p>
        </w:tc>
        <w:tc>
          <w:tcPr>
            <w:tcW w:w="737" w:type="dxa"/>
          </w:tcPr>
          <w:p w14:paraId="744DCEE1" w14:textId="77777777" w:rsidR="009D0006" w:rsidRPr="007D4D02" w:rsidRDefault="009D0006" w:rsidP="00676B44">
            <w:pPr>
              <w:pStyle w:val="Tabletext"/>
            </w:pPr>
            <w:r w:rsidRPr="007D4D02">
              <w:rPr>
                <w:color w:val="000000"/>
              </w:rPr>
              <w:t>54.1</w:t>
            </w:r>
          </w:p>
        </w:tc>
        <w:tc>
          <w:tcPr>
            <w:tcW w:w="737" w:type="dxa"/>
          </w:tcPr>
          <w:p w14:paraId="68067BBB" w14:textId="77777777" w:rsidR="009D0006" w:rsidRPr="007D4D02" w:rsidRDefault="009D0006" w:rsidP="00676B44">
            <w:pPr>
              <w:pStyle w:val="Tabletext"/>
            </w:pPr>
            <w:r w:rsidRPr="007D4D02">
              <w:rPr>
                <w:color w:val="000000"/>
              </w:rPr>
              <w:t>458</w:t>
            </w:r>
          </w:p>
        </w:tc>
        <w:tc>
          <w:tcPr>
            <w:tcW w:w="737" w:type="dxa"/>
          </w:tcPr>
          <w:p w14:paraId="5BC5A7A6" w14:textId="77777777" w:rsidR="009D0006" w:rsidRPr="007D4D02" w:rsidRDefault="009D0006" w:rsidP="00676B44">
            <w:pPr>
              <w:pStyle w:val="Tabletext"/>
            </w:pPr>
            <w:r w:rsidRPr="007D4D02">
              <w:rPr>
                <w:color w:val="000000"/>
              </w:rPr>
              <w:t>57.5</w:t>
            </w:r>
          </w:p>
        </w:tc>
      </w:tr>
      <w:tr w:rsidR="009D0006" w:rsidRPr="007D4D02" w14:paraId="0A982FFB"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25652809" w14:textId="77777777" w:rsidR="009D0006" w:rsidRPr="007D4D02" w:rsidRDefault="009D0006" w:rsidP="00676B44">
            <w:pPr>
              <w:pStyle w:val="Tabletext"/>
              <w:rPr>
                <w:lang w:val="en-US"/>
              </w:rPr>
            </w:pPr>
            <w:r w:rsidRPr="007D4D02">
              <w:rPr>
                <w:lang w:val="en-US"/>
              </w:rPr>
              <w:t>Friends</w:t>
            </w:r>
          </w:p>
        </w:tc>
        <w:tc>
          <w:tcPr>
            <w:tcW w:w="737" w:type="dxa"/>
          </w:tcPr>
          <w:p w14:paraId="34BDB8C9" w14:textId="77777777" w:rsidR="009D0006" w:rsidRPr="007D4D02" w:rsidRDefault="009D0006" w:rsidP="00676B44">
            <w:pPr>
              <w:pStyle w:val="Tabletext"/>
            </w:pPr>
            <w:r w:rsidRPr="007D4D02">
              <w:rPr>
                <w:color w:val="000000"/>
              </w:rPr>
              <w:t>568</w:t>
            </w:r>
          </w:p>
        </w:tc>
        <w:tc>
          <w:tcPr>
            <w:tcW w:w="737" w:type="dxa"/>
          </w:tcPr>
          <w:p w14:paraId="6D66D6DA" w14:textId="77777777" w:rsidR="009D0006" w:rsidRPr="007D4D02" w:rsidRDefault="009D0006" w:rsidP="00676B44">
            <w:pPr>
              <w:pStyle w:val="Tabletext"/>
            </w:pPr>
            <w:r w:rsidRPr="007D4D02">
              <w:rPr>
                <w:color w:val="000000"/>
              </w:rPr>
              <w:t>90.9</w:t>
            </w:r>
          </w:p>
        </w:tc>
        <w:tc>
          <w:tcPr>
            <w:tcW w:w="737" w:type="dxa"/>
          </w:tcPr>
          <w:p w14:paraId="1D4D4F40" w14:textId="77777777" w:rsidR="009D0006" w:rsidRPr="007D4D02" w:rsidRDefault="009D0006" w:rsidP="00676B44">
            <w:pPr>
              <w:pStyle w:val="Tabletext"/>
            </w:pPr>
            <w:r w:rsidRPr="007D4D02">
              <w:rPr>
                <w:color w:val="000000"/>
              </w:rPr>
              <w:t>183</w:t>
            </w:r>
          </w:p>
        </w:tc>
        <w:tc>
          <w:tcPr>
            <w:tcW w:w="737" w:type="dxa"/>
          </w:tcPr>
          <w:p w14:paraId="39E60D03" w14:textId="77777777" w:rsidR="009D0006" w:rsidRPr="007D4D02" w:rsidRDefault="009D0006" w:rsidP="00676B44">
            <w:pPr>
              <w:pStyle w:val="Tabletext"/>
            </w:pPr>
            <w:r w:rsidRPr="007D4D02">
              <w:rPr>
                <w:color w:val="000000"/>
              </w:rPr>
              <w:t>89.7</w:t>
            </w:r>
          </w:p>
        </w:tc>
        <w:tc>
          <w:tcPr>
            <w:tcW w:w="737" w:type="dxa"/>
          </w:tcPr>
          <w:p w14:paraId="498DFFDC" w14:textId="77777777" w:rsidR="009D0006" w:rsidRPr="007D4D02" w:rsidRDefault="009D0006" w:rsidP="00676B44">
            <w:pPr>
              <w:pStyle w:val="Tabletext"/>
            </w:pPr>
            <w:r w:rsidRPr="007D4D02">
              <w:rPr>
                <w:color w:val="000000"/>
              </w:rPr>
              <w:t>108</w:t>
            </w:r>
          </w:p>
        </w:tc>
        <w:tc>
          <w:tcPr>
            <w:tcW w:w="737" w:type="dxa"/>
          </w:tcPr>
          <w:p w14:paraId="679D779B" w14:textId="77777777" w:rsidR="009D0006" w:rsidRPr="007D4D02" w:rsidRDefault="009D0006" w:rsidP="00676B44">
            <w:pPr>
              <w:pStyle w:val="Tabletext"/>
            </w:pPr>
            <w:r w:rsidRPr="007D4D02">
              <w:rPr>
                <w:color w:val="000000"/>
              </w:rPr>
              <w:t>92.3</w:t>
            </w:r>
          </w:p>
        </w:tc>
        <w:tc>
          <w:tcPr>
            <w:tcW w:w="737" w:type="dxa"/>
          </w:tcPr>
          <w:p w14:paraId="1F02699A" w14:textId="77777777" w:rsidR="009D0006" w:rsidRPr="007D4D02" w:rsidRDefault="009D0006" w:rsidP="00676B44">
            <w:pPr>
              <w:pStyle w:val="Tabletext"/>
            </w:pPr>
            <w:r w:rsidRPr="007D4D02">
              <w:rPr>
                <w:color w:val="000000"/>
              </w:rPr>
              <w:t>593</w:t>
            </w:r>
          </w:p>
        </w:tc>
        <w:tc>
          <w:tcPr>
            <w:tcW w:w="737" w:type="dxa"/>
          </w:tcPr>
          <w:p w14:paraId="3A99E8D3" w14:textId="77777777" w:rsidR="009D0006" w:rsidRPr="007D4D02" w:rsidRDefault="009D0006" w:rsidP="00676B44">
            <w:pPr>
              <w:pStyle w:val="Tabletext"/>
            </w:pPr>
            <w:r w:rsidRPr="007D4D02">
              <w:rPr>
                <w:color w:val="000000"/>
              </w:rPr>
              <w:t>87.9</w:t>
            </w:r>
          </w:p>
        </w:tc>
        <w:tc>
          <w:tcPr>
            <w:tcW w:w="737" w:type="dxa"/>
          </w:tcPr>
          <w:p w14:paraId="3D85C31D" w14:textId="77777777" w:rsidR="009D0006" w:rsidRPr="007D4D02" w:rsidRDefault="009D0006" w:rsidP="00676B44">
            <w:pPr>
              <w:pStyle w:val="Tabletext"/>
            </w:pPr>
            <w:r w:rsidRPr="007D4D02">
              <w:rPr>
                <w:color w:val="000000"/>
              </w:rPr>
              <w:t>916</w:t>
            </w:r>
          </w:p>
        </w:tc>
        <w:tc>
          <w:tcPr>
            <w:tcW w:w="737" w:type="dxa"/>
          </w:tcPr>
          <w:p w14:paraId="4F9B0EEB" w14:textId="77777777" w:rsidR="009D0006" w:rsidRPr="007D4D02" w:rsidRDefault="009D0006" w:rsidP="00676B44">
            <w:pPr>
              <w:pStyle w:val="Tabletext"/>
            </w:pPr>
            <w:r w:rsidRPr="007D4D02">
              <w:rPr>
                <w:color w:val="000000"/>
              </w:rPr>
              <w:t>90.3</w:t>
            </w:r>
          </w:p>
        </w:tc>
      </w:tr>
      <w:tr w:rsidR="009D0006" w:rsidRPr="007D4D02" w14:paraId="710F677D"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0B756529" w14:textId="77777777" w:rsidR="009D0006" w:rsidRPr="007D4D02" w:rsidRDefault="009D0006" w:rsidP="00676B44">
            <w:pPr>
              <w:pStyle w:val="Tabletext"/>
              <w:rPr>
                <w:lang w:val="en-US"/>
              </w:rPr>
            </w:pPr>
            <w:r w:rsidRPr="007D4D02">
              <w:rPr>
                <w:lang w:val="en-US"/>
              </w:rPr>
              <w:t>Classmates</w:t>
            </w:r>
          </w:p>
        </w:tc>
        <w:tc>
          <w:tcPr>
            <w:tcW w:w="737" w:type="dxa"/>
          </w:tcPr>
          <w:p w14:paraId="31B6997B" w14:textId="77777777" w:rsidR="009D0006" w:rsidRPr="007D4D02" w:rsidRDefault="009D0006" w:rsidP="00676B44">
            <w:pPr>
              <w:pStyle w:val="Tabletext"/>
            </w:pPr>
            <w:r w:rsidRPr="007D4D02">
              <w:rPr>
                <w:color w:val="000000"/>
              </w:rPr>
              <w:t>122</w:t>
            </w:r>
          </w:p>
        </w:tc>
        <w:tc>
          <w:tcPr>
            <w:tcW w:w="737" w:type="dxa"/>
          </w:tcPr>
          <w:p w14:paraId="452AD761" w14:textId="77777777" w:rsidR="009D0006" w:rsidRPr="007D4D02" w:rsidRDefault="009D0006" w:rsidP="00676B44">
            <w:pPr>
              <w:pStyle w:val="Tabletext"/>
            </w:pPr>
            <w:r w:rsidRPr="007D4D02">
              <w:rPr>
                <w:color w:val="000000"/>
              </w:rPr>
              <w:t>38.5</w:t>
            </w:r>
          </w:p>
        </w:tc>
        <w:tc>
          <w:tcPr>
            <w:tcW w:w="737" w:type="dxa"/>
          </w:tcPr>
          <w:p w14:paraId="179579F6" w14:textId="77777777" w:rsidR="009D0006" w:rsidRPr="007D4D02" w:rsidRDefault="009D0006" w:rsidP="00676B44">
            <w:pPr>
              <w:pStyle w:val="Tabletext"/>
            </w:pPr>
            <w:r w:rsidRPr="007D4D02">
              <w:rPr>
                <w:color w:val="000000"/>
              </w:rPr>
              <w:t>30</w:t>
            </w:r>
          </w:p>
        </w:tc>
        <w:tc>
          <w:tcPr>
            <w:tcW w:w="737" w:type="dxa"/>
          </w:tcPr>
          <w:p w14:paraId="5C747E0D" w14:textId="77777777" w:rsidR="009D0006" w:rsidRPr="007D4D02" w:rsidRDefault="009D0006" w:rsidP="00676B44">
            <w:pPr>
              <w:pStyle w:val="Tabletext"/>
            </w:pPr>
            <w:r w:rsidRPr="007D4D02">
              <w:rPr>
                <w:color w:val="000000"/>
              </w:rPr>
              <w:t>33.3</w:t>
            </w:r>
          </w:p>
        </w:tc>
        <w:tc>
          <w:tcPr>
            <w:tcW w:w="737" w:type="dxa"/>
          </w:tcPr>
          <w:p w14:paraId="7C148E96" w14:textId="77777777" w:rsidR="009D0006" w:rsidRPr="007D4D02" w:rsidRDefault="009D0006" w:rsidP="00676B44">
            <w:pPr>
              <w:pStyle w:val="Tabletext"/>
            </w:pPr>
            <w:r w:rsidRPr="007D4D02">
              <w:rPr>
                <w:color w:val="000000"/>
              </w:rPr>
              <w:t>18</w:t>
            </w:r>
          </w:p>
        </w:tc>
        <w:tc>
          <w:tcPr>
            <w:tcW w:w="737" w:type="dxa"/>
          </w:tcPr>
          <w:p w14:paraId="3BAF16D7" w14:textId="77777777" w:rsidR="009D0006" w:rsidRPr="007D4D02" w:rsidRDefault="009D0006" w:rsidP="00676B44">
            <w:pPr>
              <w:pStyle w:val="Tabletext"/>
            </w:pPr>
            <w:r w:rsidRPr="007D4D02">
              <w:rPr>
                <w:color w:val="000000"/>
              </w:rPr>
              <w:t>32.1</w:t>
            </w:r>
          </w:p>
        </w:tc>
        <w:tc>
          <w:tcPr>
            <w:tcW w:w="737" w:type="dxa"/>
          </w:tcPr>
          <w:p w14:paraId="470C03CE" w14:textId="77777777" w:rsidR="009D0006" w:rsidRPr="007D4D02" w:rsidRDefault="009D0006" w:rsidP="00676B44">
            <w:pPr>
              <w:pStyle w:val="Tabletext"/>
            </w:pPr>
            <w:r w:rsidRPr="007D4D02">
              <w:rPr>
                <w:color w:val="000000"/>
              </w:rPr>
              <w:t>127</w:t>
            </w:r>
          </w:p>
        </w:tc>
        <w:tc>
          <w:tcPr>
            <w:tcW w:w="737" w:type="dxa"/>
          </w:tcPr>
          <w:p w14:paraId="32FADD8A" w14:textId="77777777" w:rsidR="009D0006" w:rsidRPr="007D4D02" w:rsidRDefault="009D0006" w:rsidP="00676B44">
            <w:pPr>
              <w:pStyle w:val="Tabletext"/>
            </w:pPr>
            <w:r w:rsidRPr="007D4D02">
              <w:rPr>
                <w:color w:val="000000"/>
              </w:rPr>
              <w:t>37.8</w:t>
            </w:r>
          </w:p>
        </w:tc>
        <w:tc>
          <w:tcPr>
            <w:tcW w:w="737" w:type="dxa"/>
          </w:tcPr>
          <w:p w14:paraId="5D11B998" w14:textId="77777777" w:rsidR="009D0006" w:rsidRPr="007D4D02" w:rsidRDefault="009D0006" w:rsidP="00676B44">
            <w:pPr>
              <w:pStyle w:val="Tabletext"/>
            </w:pPr>
            <w:r w:rsidRPr="007D4D02">
              <w:rPr>
                <w:color w:val="000000"/>
              </w:rPr>
              <w:t>231</w:t>
            </w:r>
          </w:p>
        </w:tc>
        <w:tc>
          <w:tcPr>
            <w:tcW w:w="737" w:type="dxa"/>
          </w:tcPr>
          <w:p w14:paraId="0C09DA7B" w14:textId="77777777" w:rsidR="009D0006" w:rsidRPr="007D4D02" w:rsidRDefault="009D0006" w:rsidP="00676B44">
            <w:pPr>
              <w:pStyle w:val="Tabletext"/>
            </w:pPr>
            <w:r w:rsidRPr="007D4D02">
              <w:rPr>
                <w:color w:val="000000"/>
              </w:rPr>
              <w:t>41.5</w:t>
            </w:r>
          </w:p>
        </w:tc>
      </w:tr>
      <w:tr w:rsidR="009D0006" w:rsidRPr="007D4D02" w14:paraId="55576FBA"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77021932" w14:textId="77777777" w:rsidR="009D0006" w:rsidRPr="007D4D02" w:rsidRDefault="009D0006" w:rsidP="00676B44">
            <w:pPr>
              <w:pStyle w:val="Tabletext"/>
              <w:rPr>
                <w:lang w:val="en-US"/>
              </w:rPr>
            </w:pPr>
            <w:r w:rsidRPr="007D4D02">
              <w:rPr>
                <w:lang w:val="en-US"/>
              </w:rPr>
              <w:t>Teachers</w:t>
            </w:r>
          </w:p>
        </w:tc>
        <w:tc>
          <w:tcPr>
            <w:tcW w:w="737" w:type="dxa"/>
          </w:tcPr>
          <w:p w14:paraId="268D9DDC" w14:textId="77777777" w:rsidR="009D0006" w:rsidRPr="007D4D02" w:rsidRDefault="009D0006" w:rsidP="00676B44">
            <w:pPr>
              <w:pStyle w:val="Tabletext"/>
            </w:pPr>
            <w:r w:rsidRPr="007D4D02">
              <w:rPr>
                <w:color w:val="000000"/>
              </w:rPr>
              <w:t>193</w:t>
            </w:r>
          </w:p>
        </w:tc>
        <w:tc>
          <w:tcPr>
            <w:tcW w:w="737" w:type="dxa"/>
          </w:tcPr>
          <w:p w14:paraId="21EDBCCB" w14:textId="77777777" w:rsidR="009D0006" w:rsidRPr="007D4D02" w:rsidRDefault="009D0006" w:rsidP="00676B44">
            <w:pPr>
              <w:pStyle w:val="Tabletext"/>
            </w:pPr>
            <w:r w:rsidRPr="007D4D02">
              <w:rPr>
                <w:color w:val="000000"/>
              </w:rPr>
              <w:t>67.0</w:t>
            </w:r>
          </w:p>
        </w:tc>
        <w:tc>
          <w:tcPr>
            <w:tcW w:w="737" w:type="dxa"/>
          </w:tcPr>
          <w:p w14:paraId="3870703E" w14:textId="77777777" w:rsidR="009D0006" w:rsidRPr="007D4D02" w:rsidRDefault="009D0006" w:rsidP="00676B44">
            <w:pPr>
              <w:pStyle w:val="Tabletext"/>
            </w:pPr>
            <w:r w:rsidRPr="007D4D02">
              <w:rPr>
                <w:color w:val="000000"/>
              </w:rPr>
              <w:t>58</w:t>
            </w:r>
          </w:p>
        </w:tc>
        <w:tc>
          <w:tcPr>
            <w:tcW w:w="737" w:type="dxa"/>
          </w:tcPr>
          <w:p w14:paraId="4C8ED2B7" w14:textId="77777777" w:rsidR="009D0006" w:rsidRPr="007D4D02" w:rsidRDefault="009D0006" w:rsidP="00676B44">
            <w:pPr>
              <w:pStyle w:val="Tabletext"/>
            </w:pPr>
            <w:r w:rsidRPr="007D4D02">
              <w:rPr>
                <w:color w:val="000000"/>
              </w:rPr>
              <w:t>58.6</w:t>
            </w:r>
          </w:p>
        </w:tc>
        <w:tc>
          <w:tcPr>
            <w:tcW w:w="737" w:type="dxa"/>
          </w:tcPr>
          <w:p w14:paraId="1E36884E" w14:textId="77777777" w:rsidR="009D0006" w:rsidRPr="007D4D02" w:rsidRDefault="009D0006" w:rsidP="00676B44">
            <w:pPr>
              <w:pStyle w:val="Tabletext"/>
            </w:pPr>
            <w:r w:rsidRPr="007D4D02">
              <w:rPr>
                <w:color w:val="000000"/>
              </w:rPr>
              <w:t>27</w:t>
            </w:r>
          </w:p>
        </w:tc>
        <w:tc>
          <w:tcPr>
            <w:tcW w:w="737" w:type="dxa"/>
          </w:tcPr>
          <w:p w14:paraId="2D17D94D" w14:textId="77777777" w:rsidR="009D0006" w:rsidRPr="007D4D02" w:rsidRDefault="009D0006" w:rsidP="00676B44">
            <w:pPr>
              <w:pStyle w:val="Tabletext"/>
            </w:pPr>
            <w:r w:rsidRPr="007D4D02">
              <w:rPr>
                <w:color w:val="000000"/>
              </w:rPr>
              <w:t>60.0</w:t>
            </w:r>
          </w:p>
        </w:tc>
        <w:tc>
          <w:tcPr>
            <w:tcW w:w="737" w:type="dxa"/>
          </w:tcPr>
          <w:p w14:paraId="06F824F6" w14:textId="77777777" w:rsidR="009D0006" w:rsidRPr="007D4D02" w:rsidRDefault="009D0006" w:rsidP="00676B44">
            <w:pPr>
              <w:pStyle w:val="Tabletext"/>
            </w:pPr>
            <w:r w:rsidRPr="007D4D02">
              <w:rPr>
                <w:color w:val="000000"/>
              </w:rPr>
              <w:t>196</w:t>
            </w:r>
          </w:p>
        </w:tc>
        <w:tc>
          <w:tcPr>
            <w:tcW w:w="737" w:type="dxa"/>
          </w:tcPr>
          <w:p w14:paraId="78AE9781" w14:textId="77777777" w:rsidR="009D0006" w:rsidRPr="007D4D02" w:rsidRDefault="009D0006" w:rsidP="00676B44">
            <w:pPr>
              <w:pStyle w:val="Tabletext"/>
            </w:pPr>
            <w:r w:rsidRPr="007D4D02">
              <w:rPr>
                <w:color w:val="000000"/>
              </w:rPr>
              <w:t>67.8</w:t>
            </w:r>
          </w:p>
        </w:tc>
        <w:tc>
          <w:tcPr>
            <w:tcW w:w="737" w:type="dxa"/>
          </w:tcPr>
          <w:p w14:paraId="5CF71B29" w14:textId="77777777" w:rsidR="009D0006" w:rsidRPr="007D4D02" w:rsidRDefault="009D0006" w:rsidP="00676B44">
            <w:pPr>
              <w:pStyle w:val="Tabletext"/>
            </w:pPr>
            <w:r w:rsidRPr="007D4D02">
              <w:rPr>
                <w:color w:val="000000"/>
              </w:rPr>
              <w:t>236</w:t>
            </w:r>
          </w:p>
        </w:tc>
        <w:tc>
          <w:tcPr>
            <w:tcW w:w="737" w:type="dxa"/>
          </w:tcPr>
          <w:p w14:paraId="0ED9D1EF" w14:textId="77777777" w:rsidR="009D0006" w:rsidRPr="007D4D02" w:rsidRDefault="009D0006" w:rsidP="00676B44">
            <w:pPr>
              <w:pStyle w:val="Tabletext"/>
            </w:pPr>
            <w:r w:rsidRPr="007D4D02">
              <w:rPr>
                <w:color w:val="000000"/>
              </w:rPr>
              <w:t>65.9</w:t>
            </w:r>
          </w:p>
        </w:tc>
      </w:tr>
    </w:tbl>
    <w:p w14:paraId="16660B5D" w14:textId="77777777" w:rsidR="009D0006" w:rsidRDefault="009D0006" w:rsidP="00603068">
      <w:pPr>
        <w:pStyle w:val="Tableheading"/>
        <w:rPr>
          <w:lang w:val="en-GB"/>
        </w:rPr>
      </w:pPr>
      <w:r>
        <w:rPr>
          <w:lang w:val="en-GB"/>
        </w:rPr>
        <w:t>Table 29.5 Physical or sensory</w:t>
      </w:r>
    </w:p>
    <w:tbl>
      <w:tblPr>
        <w:tblStyle w:val="RCTable"/>
        <w:tblW w:w="9808" w:type="dxa"/>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9D0006" w:rsidRPr="00C50253" w14:paraId="0014B1B2" w14:textId="77777777" w:rsidTr="00676B44">
        <w:trPr>
          <w:cnfStyle w:val="100000000000" w:firstRow="1" w:lastRow="0" w:firstColumn="0" w:lastColumn="0" w:oddVBand="0" w:evenVBand="0" w:oddHBand="0" w:evenHBand="0" w:firstRowFirstColumn="0" w:firstRowLastColumn="0" w:lastRowFirstColumn="0" w:lastRowLastColumn="0"/>
          <w:trHeight w:val="340"/>
        </w:trPr>
        <w:tc>
          <w:tcPr>
            <w:tcW w:w="2438" w:type="dxa"/>
            <w:noWrap/>
          </w:tcPr>
          <w:p w14:paraId="63CEABA0" w14:textId="77777777" w:rsidR="009D0006" w:rsidRPr="00283324" w:rsidRDefault="009D0006" w:rsidP="00676B44">
            <w:pPr>
              <w:pStyle w:val="Tableheader"/>
              <w:rPr>
                <w:lang w:val="en-US"/>
              </w:rPr>
            </w:pPr>
            <w:r w:rsidRPr="00283324">
              <w:rPr>
                <w:lang w:val="en-US"/>
              </w:rPr>
              <w:t>Feel supported</w:t>
            </w:r>
          </w:p>
        </w:tc>
        <w:tc>
          <w:tcPr>
            <w:tcW w:w="737" w:type="dxa"/>
          </w:tcPr>
          <w:p w14:paraId="0A9B05D9" w14:textId="77777777" w:rsidR="009D0006" w:rsidRPr="00283324" w:rsidRDefault="009D0006" w:rsidP="00676B44">
            <w:pPr>
              <w:pStyle w:val="Tableheader"/>
              <w:rPr>
                <w:lang w:val="en-US"/>
              </w:rPr>
            </w:pPr>
            <w:r>
              <w:t>n</w:t>
            </w:r>
          </w:p>
        </w:tc>
        <w:tc>
          <w:tcPr>
            <w:tcW w:w="737" w:type="dxa"/>
          </w:tcPr>
          <w:p w14:paraId="783C1ECF" w14:textId="77777777" w:rsidR="009D0006" w:rsidRPr="00283324" w:rsidRDefault="009D0006" w:rsidP="00676B44">
            <w:pPr>
              <w:pStyle w:val="Tableheader"/>
            </w:pPr>
            <w:r w:rsidRPr="00283324">
              <w:t>%</w:t>
            </w:r>
          </w:p>
        </w:tc>
        <w:tc>
          <w:tcPr>
            <w:tcW w:w="737" w:type="dxa"/>
          </w:tcPr>
          <w:p w14:paraId="3576E841" w14:textId="77777777" w:rsidR="009D0006" w:rsidRPr="00283324" w:rsidRDefault="009D0006" w:rsidP="00676B44">
            <w:pPr>
              <w:pStyle w:val="Tableheader"/>
              <w:rPr>
                <w:lang w:val="en-US"/>
              </w:rPr>
            </w:pPr>
            <w:r>
              <w:t>n</w:t>
            </w:r>
          </w:p>
        </w:tc>
        <w:tc>
          <w:tcPr>
            <w:tcW w:w="737" w:type="dxa"/>
          </w:tcPr>
          <w:p w14:paraId="2DB8E599" w14:textId="77777777" w:rsidR="009D0006" w:rsidRPr="00283324" w:rsidRDefault="009D0006" w:rsidP="00676B44">
            <w:pPr>
              <w:pStyle w:val="Tableheader"/>
            </w:pPr>
            <w:r w:rsidRPr="00283324">
              <w:t>%</w:t>
            </w:r>
          </w:p>
        </w:tc>
        <w:tc>
          <w:tcPr>
            <w:tcW w:w="737" w:type="dxa"/>
          </w:tcPr>
          <w:p w14:paraId="294CEC36" w14:textId="77777777" w:rsidR="009D0006" w:rsidRPr="00283324" w:rsidRDefault="009D0006" w:rsidP="00676B44">
            <w:pPr>
              <w:pStyle w:val="Tableheader"/>
            </w:pPr>
            <w:r>
              <w:t>n</w:t>
            </w:r>
          </w:p>
        </w:tc>
        <w:tc>
          <w:tcPr>
            <w:tcW w:w="737" w:type="dxa"/>
          </w:tcPr>
          <w:p w14:paraId="070E8DFD" w14:textId="77777777" w:rsidR="009D0006" w:rsidRPr="00283324" w:rsidRDefault="009D0006" w:rsidP="00676B44">
            <w:pPr>
              <w:pStyle w:val="Tableheader"/>
            </w:pPr>
            <w:r w:rsidRPr="00283324">
              <w:t>%</w:t>
            </w:r>
          </w:p>
        </w:tc>
        <w:tc>
          <w:tcPr>
            <w:tcW w:w="737" w:type="dxa"/>
          </w:tcPr>
          <w:p w14:paraId="5469E97E" w14:textId="77777777" w:rsidR="009D0006" w:rsidRPr="00283324" w:rsidRDefault="009D0006" w:rsidP="00676B44">
            <w:pPr>
              <w:pStyle w:val="Tableheader"/>
            </w:pPr>
            <w:r>
              <w:t>n</w:t>
            </w:r>
          </w:p>
        </w:tc>
        <w:tc>
          <w:tcPr>
            <w:tcW w:w="737" w:type="dxa"/>
          </w:tcPr>
          <w:p w14:paraId="7E2F64A8" w14:textId="77777777" w:rsidR="009D0006" w:rsidRPr="00283324" w:rsidRDefault="009D0006" w:rsidP="00676B44">
            <w:pPr>
              <w:pStyle w:val="Tableheader"/>
            </w:pPr>
            <w:r w:rsidRPr="00283324">
              <w:t>%</w:t>
            </w:r>
          </w:p>
        </w:tc>
        <w:tc>
          <w:tcPr>
            <w:tcW w:w="737" w:type="dxa"/>
          </w:tcPr>
          <w:p w14:paraId="7B3571B8" w14:textId="77777777" w:rsidR="009D0006" w:rsidRPr="00283324" w:rsidRDefault="009D0006" w:rsidP="00676B44">
            <w:pPr>
              <w:pStyle w:val="Tableheader"/>
            </w:pPr>
            <w:r>
              <w:t>n</w:t>
            </w:r>
          </w:p>
        </w:tc>
        <w:tc>
          <w:tcPr>
            <w:tcW w:w="737" w:type="dxa"/>
          </w:tcPr>
          <w:p w14:paraId="4C58A73D" w14:textId="77777777" w:rsidR="009D0006" w:rsidRPr="00283324" w:rsidRDefault="009D0006" w:rsidP="00676B44">
            <w:pPr>
              <w:pStyle w:val="Tableheader"/>
            </w:pPr>
            <w:r w:rsidRPr="00283324">
              <w:t>%</w:t>
            </w:r>
          </w:p>
        </w:tc>
      </w:tr>
      <w:tr w:rsidR="009D0006" w:rsidRPr="007D4D02" w14:paraId="3CD98432"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34F1A7AC" w14:textId="77777777" w:rsidR="009D0006" w:rsidRPr="007D4D02" w:rsidRDefault="009D0006" w:rsidP="00676B44">
            <w:pPr>
              <w:pStyle w:val="Tabletext"/>
              <w:rPr>
                <w:lang w:val="en-US"/>
              </w:rPr>
            </w:pPr>
            <w:r w:rsidRPr="007D4D02">
              <w:rPr>
                <w:lang w:val="en-US"/>
              </w:rPr>
              <w:t>Family</w:t>
            </w:r>
          </w:p>
        </w:tc>
        <w:tc>
          <w:tcPr>
            <w:tcW w:w="737" w:type="dxa"/>
          </w:tcPr>
          <w:p w14:paraId="35BA3931" w14:textId="77777777" w:rsidR="009D0006" w:rsidRPr="007D4D02" w:rsidRDefault="009D0006" w:rsidP="00676B44">
            <w:pPr>
              <w:pStyle w:val="Tabletext"/>
            </w:pPr>
            <w:r w:rsidRPr="007D4D02">
              <w:rPr>
                <w:color w:val="000000"/>
              </w:rPr>
              <w:t>314</w:t>
            </w:r>
          </w:p>
        </w:tc>
        <w:tc>
          <w:tcPr>
            <w:tcW w:w="737" w:type="dxa"/>
          </w:tcPr>
          <w:p w14:paraId="4430EDC2" w14:textId="77777777" w:rsidR="009D0006" w:rsidRPr="007D4D02" w:rsidRDefault="009D0006" w:rsidP="00676B44">
            <w:pPr>
              <w:pStyle w:val="Tabletext"/>
            </w:pPr>
            <w:r w:rsidRPr="007D4D02">
              <w:rPr>
                <w:color w:val="000000"/>
              </w:rPr>
              <w:t>60.4</w:t>
            </w:r>
          </w:p>
        </w:tc>
        <w:tc>
          <w:tcPr>
            <w:tcW w:w="737" w:type="dxa"/>
          </w:tcPr>
          <w:p w14:paraId="241E06F7" w14:textId="77777777" w:rsidR="009D0006" w:rsidRPr="007D4D02" w:rsidRDefault="009D0006" w:rsidP="00676B44">
            <w:pPr>
              <w:pStyle w:val="Tabletext"/>
            </w:pPr>
            <w:r w:rsidRPr="007D4D02">
              <w:rPr>
                <w:color w:val="000000"/>
              </w:rPr>
              <w:t>102</w:t>
            </w:r>
          </w:p>
        </w:tc>
        <w:tc>
          <w:tcPr>
            <w:tcW w:w="737" w:type="dxa"/>
          </w:tcPr>
          <w:p w14:paraId="2EFE0341" w14:textId="77777777" w:rsidR="009D0006" w:rsidRPr="007D4D02" w:rsidRDefault="009D0006" w:rsidP="00676B44">
            <w:pPr>
              <w:pStyle w:val="Tabletext"/>
            </w:pPr>
            <w:r w:rsidRPr="007D4D02">
              <w:rPr>
                <w:color w:val="000000"/>
              </w:rPr>
              <w:t>54.8</w:t>
            </w:r>
          </w:p>
        </w:tc>
        <w:tc>
          <w:tcPr>
            <w:tcW w:w="737" w:type="dxa"/>
          </w:tcPr>
          <w:p w14:paraId="61CFA010" w14:textId="77777777" w:rsidR="009D0006" w:rsidRPr="007D4D02" w:rsidRDefault="009D0006" w:rsidP="00676B44">
            <w:pPr>
              <w:pStyle w:val="Tabletext"/>
            </w:pPr>
            <w:r w:rsidRPr="007D4D02">
              <w:rPr>
                <w:color w:val="000000"/>
              </w:rPr>
              <w:t>53</w:t>
            </w:r>
          </w:p>
        </w:tc>
        <w:tc>
          <w:tcPr>
            <w:tcW w:w="737" w:type="dxa"/>
          </w:tcPr>
          <w:p w14:paraId="753C82A4" w14:textId="77777777" w:rsidR="009D0006" w:rsidRPr="007D4D02" w:rsidRDefault="009D0006" w:rsidP="00676B44">
            <w:pPr>
              <w:pStyle w:val="Tabletext"/>
            </w:pPr>
            <w:r w:rsidRPr="007D4D02">
              <w:rPr>
                <w:color w:val="000000"/>
              </w:rPr>
              <w:t>56.4</w:t>
            </w:r>
          </w:p>
        </w:tc>
        <w:tc>
          <w:tcPr>
            <w:tcW w:w="737" w:type="dxa"/>
          </w:tcPr>
          <w:p w14:paraId="2D6CBEF2" w14:textId="77777777" w:rsidR="009D0006" w:rsidRPr="007D4D02" w:rsidRDefault="009D0006" w:rsidP="00676B44">
            <w:pPr>
              <w:pStyle w:val="Tabletext"/>
            </w:pPr>
            <w:r w:rsidRPr="007D4D02">
              <w:rPr>
                <w:color w:val="000000"/>
              </w:rPr>
              <w:t>314</w:t>
            </w:r>
          </w:p>
        </w:tc>
        <w:tc>
          <w:tcPr>
            <w:tcW w:w="737" w:type="dxa"/>
          </w:tcPr>
          <w:p w14:paraId="3FE61D03" w14:textId="77777777" w:rsidR="009D0006" w:rsidRPr="007D4D02" w:rsidRDefault="009D0006" w:rsidP="00676B44">
            <w:pPr>
              <w:pStyle w:val="Tabletext"/>
            </w:pPr>
            <w:r w:rsidRPr="007D4D02">
              <w:rPr>
                <w:color w:val="000000"/>
              </w:rPr>
              <w:t>54.1</w:t>
            </w:r>
          </w:p>
        </w:tc>
        <w:tc>
          <w:tcPr>
            <w:tcW w:w="737" w:type="dxa"/>
          </w:tcPr>
          <w:p w14:paraId="79F3C06C" w14:textId="77777777" w:rsidR="009D0006" w:rsidRPr="007D4D02" w:rsidRDefault="009D0006" w:rsidP="00676B44">
            <w:pPr>
              <w:pStyle w:val="Tabletext"/>
            </w:pPr>
            <w:r w:rsidRPr="007D4D02">
              <w:rPr>
                <w:color w:val="000000"/>
              </w:rPr>
              <w:t>458</w:t>
            </w:r>
          </w:p>
        </w:tc>
        <w:tc>
          <w:tcPr>
            <w:tcW w:w="737" w:type="dxa"/>
          </w:tcPr>
          <w:p w14:paraId="1729E241" w14:textId="77777777" w:rsidR="009D0006" w:rsidRPr="007D4D02" w:rsidRDefault="009D0006" w:rsidP="00676B44">
            <w:pPr>
              <w:pStyle w:val="Tabletext"/>
            </w:pPr>
            <w:r w:rsidRPr="007D4D02">
              <w:rPr>
                <w:color w:val="000000"/>
              </w:rPr>
              <w:t>57.5</w:t>
            </w:r>
          </w:p>
        </w:tc>
      </w:tr>
      <w:tr w:rsidR="009D0006" w:rsidRPr="007D4D02" w14:paraId="7E942C3B"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7FB14EEC" w14:textId="77777777" w:rsidR="009D0006" w:rsidRPr="007D4D02" w:rsidRDefault="009D0006" w:rsidP="00676B44">
            <w:pPr>
              <w:pStyle w:val="Tabletext"/>
              <w:rPr>
                <w:lang w:val="en-US"/>
              </w:rPr>
            </w:pPr>
            <w:r w:rsidRPr="007D4D02">
              <w:rPr>
                <w:lang w:val="en-US"/>
              </w:rPr>
              <w:t>Friends</w:t>
            </w:r>
          </w:p>
        </w:tc>
        <w:tc>
          <w:tcPr>
            <w:tcW w:w="737" w:type="dxa"/>
          </w:tcPr>
          <w:p w14:paraId="502DAEFE" w14:textId="77777777" w:rsidR="009D0006" w:rsidRPr="007D4D02" w:rsidRDefault="009D0006" w:rsidP="00676B44">
            <w:pPr>
              <w:pStyle w:val="Tabletext"/>
            </w:pPr>
            <w:r w:rsidRPr="007D4D02">
              <w:rPr>
                <w:color w:val="000000"/>
              </w:rPr>
              <w:t>568</w:t>
            </w:r>
          </w:p>
        </w:tc>
        <w:tc>
          <w:tcPr>
            <w:tcW w:w="737" w:type="dxa"/>
          </w:tcPr>
          <w:p w14:paraId="039F1879" w14:textId="77777777" w:rsidR="009D0006" w:rsidRPr="007D4D02" w:rsidRDefault="009D0006" w:rsidP="00676B44">
            <w:pPr>
              <w:pStyle w:val="Tabletext"/>
            </w:pPr>
            <w:r w:rsidRPr="007D4D02">
              <w:rPr>
                <w:color w:val="000000"/>
              </w:rPr>
              <w:t>90.9</w:t>
            </w:r>
          </w:p>
        </w:tc>
        <w:tc>
          <w:tcPr>
            <w:tcW w:w="737" w:type="dxa"/>
          </w:tcPr>
          <w:p w14:paraId="097A9767" w14:textId="77777777" w:rsidR="009D0006" w:rsidRPr="007D4D02" w:rsidRDefault="009D0006" w:rsidP="00676B44">
            <w:pPr>
              <w:pStyle w:val="Tabletext"/>
            </w:pPr>
            <w:r w:rsidRPr="007D4D02">
              <w:rPr>
                <w:color w:val="000000"/>
              </w:rPr>
              <w:t>183</w:t>
            </w:r>
          </w:p>
        </w:tc>
        <w:tc>
          <w:tcPr>
            <w:tcW w:w="737" w:type="dxa"/>
          </w:tcPr>
          <w:p w14:paraId="3F0EFBCC" w14:textId="77777777" w:rsidR="009D0006" w:rsidRPr="007D4D02" w:rsidRDefault="009D0006" w:rsidP="00676B44">
            <w:pPr>
              <w:pStyle w:val="Tabletext"/>
            </w:pPr>
            <w:r w:rsidRPr="007D4D02">
              <w:rPr>
                <w:color w:val="000000"/>
              </w:rPr>
              <w:t>89.7</w:t>
            </w:r>
          </w:p>
        </w:tc>
        <w:tc>
          <w:tcPr>
            <w:tcW w:w="737" w:type="dxa"/>
          </w:tcPr>
          <w:p w14:paraId="3CDE8F7C" w14:textId="77777777" w:rsidR="009D0006" w:rsidRPr="007D4D02" w:rsidRDefault="009D0006" w:rsidP="00676B44">
            <w:pPr>
              <w:pStyle w:val="Tabletext"/>
            </w:pPr>
            <w:r w:rsidRPr="007D4D02">
              <w:rPr>
                <w:color w:val="000000"/>
              </w:rPr>
              <w:t>108</w:t>
            </w:r>
          </w:p>
        </w:tc>
        <w:tc>
          <w:tcPr>
            <w:tcW w:w="737" w:type="dxa"/>
          </w:tcPr>
          <w:p w14:paraId="413361BC" w14:textId="77777777" w:rsidR="009D0006" w:rsidRPr="007D4D02" w:rsidRDefault="009D0006" w:rsidP="00676B44">
            <w:pPr>
              <w:pStyle w:val="Tabletext"/>
            </w:pPr>
            <w:r w:rsidRPr="007D4D02">
              <w:rPr>
                <w:color w:val="000000"/>
              </w:rPr>
              <w:t>92.3</w:t>
            </w:r>
          </w:p>
        </w:tc>
        <w:tc>
          <w:tcPr>
            <w:tcW w:w="737" w:type="dxa"/>
          </w:tcPr>
          <w:p w14:paraId="6B395365" w14:textId="77777777" w:rsidR="009D0006" w:rsidRPr="007D4D02" w:rsidRDefault="009D0006" w:rsidP="00676B44">
            <w:pPr>
              <w:pStyle w:val="Tabletext"/>
            </w:pPr>
            <w:r w:rsidRPr="007D4D02">
              <w:rPr>
                <w:color w:val="000000"/>
              </w:rPr>
              <w:t>593</w:t>
            </w:r>
          </w:p>
        </w:tc>
        <w:tc>
          <w:tcPr>
            <w:tcW w:w="737" w:type="dxa"/>
          </w:tcPr>
          <w:p w14:paraId="11412B53" w14:textId="77777777" w:rsidR="009D0006" w:rsidRPr="007D4D02" w:rsidRDefault="009D0006" w:rsidP="00676B44">
            <w:pPr>
              <w:pStyle w:val="Tabletext"/>
            </w:pPr>
            <w:r w:rsidRPr="007D4D02">
              <w:rPr>
                <w:color w:val="000000"/>
              </w:rPr>
              <w:t>87.9</w:t>
            </w:r>
          </w:p>
        </w:tc>
        <w:tc>
          <w:tcPr>
            <w:tcW w:w="737" w:type="dxa"/>
          </w:tcPr>
          <w:p w14:paraId="0C27DCB5" w14:textId="77777777" w:rsidR="009D0006" w:rsidRPr="007D4D02" w:rsidRDefault="009D0006" w:rsidP="00676B44">
            <w:pPr>
              <w:pStyle w:val="Tabletext"/>
            </w:pPr>
            <w:r w:rsidRPr="007D4D02">
              <w:rPr>
                <w:color w:val="000000"/>
              </w:rPr>
              <w:t>916</w:t>
            </w:r>
          </w:p>
        </w:tc>
        <w:tc>
          <w:tcPr>
            <w:tcW w:w="737" w:type="dxa"/>
          </w:tcPr>
          <w:p w14:paraId="704ABF27" w14:textId="77777777" w:rsidR="009D0006" w:rsidRPr="007D4D02" w:rsidRDefault="009D0006" w:rsidP="00676B44">
            <w:pPr>
              <w:pStyle w:val="Tabletext"/>
            </w:pPr>
            <w:r w:rsidRPr="007D4D02">
              <w:rPr>
                <w:color w:val="000000"/>
              </w:rPr>
              <w:t>90.3</w:t>
            </w:r>
          </w:p>
        </w:tc>
      </w:tr>
      <w:tr w:rsidR="009D0006" w:rsidRPr="007D4D02" w14:paraId="52390DC7"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1571D763" w14:textId="77777777" w:rsidR="009D0006" w:rsidRPr="007D4D02" w:rsidRDefault="009D0006" w:rsidP="00676B44">
            <w:pPr>
              <w:pStyle w:val="Tabletext"/>
              <w:rPr>
                <w:lang w:val="en-US"/>
              </w:rPr>
            </w:pPr>
            <w:r w:rsidRPr="007D4D02">
              <w:rPr>
                <w:lang w:val="en-US"/>
              </w:rPr>
              <w:t>Classmates</w:t>
            </w:r>
          </w:p>
        </w:tc>
        <w:tc>
          <w:tcPr>
            <w:tcW w:w="737" w:type="dxa"/>
          </w:tcPr>
          <w:p w14:paraId="4B609F7F" w14:textId="77777777" w:rsidR="009D0006" w:rsidRPr="007D4D02" w:rsidRDefault="009D0006" w:rsidP="00676B44">
            <w:pPr>
              <w:pStyle w:val="Tabletext"/>
            </w:pPr>
            <w:r w:rsidRPr="007D4D02">
              <w:rPr>
                <w:color w:val="000000"/>
              </w:rPr>
              <w:t>122</w:t>
            </w:r>
          </w:p>
        </w:tc>
        <w:tc>
          <w:tcPr>
            <w:tcW w:w="737" w:type="dxa"/>
          </w:tcPr>
          <w:p w14:paraId="54D39D42" w14:textId="77777777" w:rsidR="009D0006" w:rsidRPr="007D4D02" w:rsidRDefault="009D0006" w:rsidP="00676B44">
            <w:pPr>
              <w:pStyle w:val="Tabletext"/>
            </w:pPr>
            <w:r w:rsidRPr="007D4D02">
              <w:rPr>
                <w:color w:val="000000"/>
              </w:rPr>
              <w:t>38.5</w:t>
            </w:r>
          </w:p>
        </w:tc>
        <w:tc>
          <w:tcPr>
            <w:tcW w:w="737" w:type="dxa"/>
          </w:tcPr>
          <w:p w14:paraId="5544C9D0" w14:textId="77777777" w:rsidR="009D0006" w:rsidRPr="007D4D02" w:rsidRDefault="009D0006" w:rsidP="00676B44">
            <w:pPr>
              <w:pStyle w:val="Tabletext"/>
            </w:pPr>
            <w:r w:rsidRPr="007D4D02">
              <w:rPr>
                <w:color w:val="000000"/>
              </w:rPr>
              <w:t>30</w:t>
            </w:r>
          </w:p>
        </w:tc>
        <w:tc>
          <w:tcPr>
            <w:tcW w:w="737" w:type="dxa"/>
          </w:tcPr>
          <w:p w14:paraId="4AFF0C6D" w14:textId="77777777" w:rsidR="009D0006" w:rsidRPr="007D4D02" w:rsidRDefault="009D0006" w:rsidP="00676B44">
            <w:pPr>
              <w:pStyle w:val="Tabletext"/>
            </w:pPr>
            <w:r w:rsidRPr="007D4D02">
              <w:rPr>
                <w:color w:val="000000"/>
              </w:rPr>
              <w:t>33.3</w:t>
            </w:r>
          </w:p>
        </w:tc>
        <w:tc>
          <w:tcPr>
            <w:tcW w:w="737" w:type="dxa"/>
          </w:tcPr>
          <w:p w14:paraId="358C7F99" w14:textId="77777777" w:rsidR="009D0006" w:rsidRPr="007D4D02" w:rsidRDefault="009D0006" w:rsidP="00676B44">
            <w:pPr>
              <w:pStyle w:val="Tabletext"/>
            </w:pPr>
            <w:r w:rsidRPr="007D4D02">
              <w:rPr>
                <w:color w:val="000000"/>
              </w:rPr>
              <w:t>18</w:t>
            </w:r>
          </w:p>
        </w:tc>
        <w:tc>
          <w:tcPr>
            <w:tcW w:w="737" w:type="dxa"/>
          </w:tcPr>
          <w:p w14:paraId="6A07EDCA" w14:textId="77777777" w:rsidR="009D0006" w:rsidRPr="007D4D02" w:rsidRDefault="009D0006" w:rsidP="00676B44">
            <w:pPr>
              <w:pStyle w:val="Tabletext"/>
            </w:pPr>
            <w:r w:rsidRPr="007D4D02">
              <w:rPr>
                <w:color w:val="000000"/>
              </w:rPr>
              <w:t>32.1</w:t>
            </w:r>
          </w:p>
        </w:tc>
        <w:tc>
          <w:tcPr>
            <w:tcW w:w="737" w:type="dxa"/>
          </w:tcPr>
          <w:p w14:paraId="4D3A5D16" w14:textId="77777777" w:rsidR="009D0006" w:rsidRPr="007D4D02" w:rsidRDefault="009D0006" w:rsidP="00676B44">
            <w:pPr>
              <w:pStyle w:val="Tabletext"/>
            </w:pPr>
            <w:r w:rsidRPr="007D4D02">
              <w:rPr>
                <w:color w:val="000000"/>
              </w:rPr>
              <w:t>127</w:t>
            </w:r>
          </w:p>
        </w:tc>
        <w:tc>
          <w:tcPr>
            <w:tcW w:w="737" w:type="dxa"/>
          </w:tcPr>
          <w:p w14:paraId="5311F4C0" w14:textId="77777777" w:rsidR="009D0006" w:rsidRPr="007D4D02" w:rsidRDefault="009D0006" w:rsidP="00676B44">
            <w:pPr>
              <w:pStyle w:val="Tabletext"/>
            </w:pPr>
            <w:r w:rsidRPr="007D4D02">
              <w:rPr>
                <w:color w:val="000000"/>
              </w:rPr>
              <w:t>37.8</w:t>
            </w:r>
          </w:p>
        </w:tc>
        <w:tc>
          <w:tcPr>
            <w:tcW w:w="737" w:type="dxa"/>
          </w:tcPr>
          <w:p w14:paraId="72E748D5" w14:textId="77777777" w:rsidR="009D0006" w:rsidRPr="007D4D02" w:rsidRDefault="009D0006" w:rsidP="00676B44">
            <w:pPr>
              <w:pStyle w:val="Tabletext"/>
            </w:pPr>
            <w:r w:rsidRPr="007D4D02">
              <w:rPr>
                <w:color w:val="000000"/>
              </w:rPr>
              <w:t>231</w:t>
            </w:r>
          </w:p>
        </w:tc>
        <w:tc>
          <w:tcPr>
            <w:tcW w:w="737" w:type="dxa"/>
          </w:tcPr>
          <w:p w14:paraId="2DE2007A" w14:textId="77777777" w:rsidR="009D0006" w:rsidRPr="007D4D02" w:rsidRDefault="009D0006" w:rsidP="00676B44">
            <w:pPr>
              <w:pStyle w:val="Tabletext"/>
            </w:pPr>
            <w:r w:rsidRPr="007D4D02">
              <w:rPr>
                <w:color w:val="000000"/>
              </w:rPr>
              <w:t>41.5</w:t>
            </w:r>
          </w:p>
        </w:tc>
      </w:tr>
      <w:tr w:rsidR="009D0006" w:rsidRPr="007D4D02" w14:paraId="2858549C"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71D273BE" w14:textId="77777777" w:rsidR="009D0006" w:rsidRPr="007D4D02" w:rsidRDefault="009D0006" w:rsidP="00676B44">
            <w:pPr>
              <w:pStyle w:val="Tabletext"/>
              <w:rPr>
                <w:lang w:val="en-US"/>
              </w:rPr>
            </w:pPr>
            <w:r w:rsidRPr="007D4D02">
              <w:rPr>
                <w:lang w:val="en-US"/>
              </w:rPr>
              <w:t>Teachers</w:t>
            </w:r>
          </w:p>
        </w:tc>
        <w:tc>
          <w:tcPr>
            <w:tcW w:w="737" w:type="dxa"/>
          </w:tcPr>
          <w:p w14:paraId="31AF21CE" w14:textId="77777777" w:rsidR="009D0006" w:rsidRPr="007D4D02" w:rsidRDefault="009D0006" w:rsidP="00676B44">
            <w:pPr>
              <w:pStyle w:val="Tabletext"/>
            </w:pPr>
            <w:r w:rsidRPr="007D4D02">
              <w:rPr>
                <w:color w:val="000000"/>
              </w:rPr>
              <w:t>193</w:t>
            </w:r>
          </w:p>
        </w:tc>
        <w:tc>
          <w:tcPr>
            <w:tcW w:w="737" w:type="dxa"/>
          </w:tcPr>
          <w:p w14:paraId="26B0B753" w14:textId="77777777" w:rsidR="009D0006" w:rsidRPr="007D4D02" w:rsidRDefault="009D0006" w:rsidP="00676B44">
            <w:pPr>
              <w:pStyle w:val="Tabletext"/>
            </w:pPr>
            <w:r w:rsidRPr="007D4D02">
              <w:rPr>
                <w:color w:val="000000"/>
              </w:rPr>
              <w:t>67.0</w:t>
            </w:r>
          </w:p>
        </w:tc>
        <w:tc>
          <w:tcPr>
            <w:tcW w:w="737" w:type="dxa"/>
          </w:tcPr>
          <w:p w14:paraId="6475BCAC" w14:textId="77777777" w:rsidR="009D0006" w:rsidRPr="007D4D02" w:rsidRDefault="009D0006" w:rsidP="00676B44">
            <w:pPr>
              <w:pStyle w:val="Tabletext"/>
            </w:pPr>
            <w:r w:rsidRPr="007D4D02">
              <w:rPr>
                <w:color w:val="000000"/>
              </w:rPr>
              <w:t>58</w:t>
            </w:r>
          </w:p>
        </w:tc>
        <w:tc>
          <w:tcPr>
            <w:tcW w:w="737" w:type="dxa"/>
          </w:tcPr>
          <w:p w14:paraId="13D4044E" w14:textId="77777777" w:rsidR="009D0006" w:rsidRPr="007D4D02" w:rsidRDefault="009D0006" w:rsidP="00676B44">
            <w:pPr>
              <w:pStyle w:val="Tabletext"/>
            </w:pPr>
            <w:r w:rsidRPr="007D4D02">
              <w:rPr>
                <w:color w:val="000000"/>
              </w:rPr>
              <w:t>58.6</w:t>
            </w:r>
          </w:p>
        </w:tc>
        <w:tc>
          <w:tcPr>
            <w:tcW w:w="737" w:type="dxa"/>
          </w:tcPr>
          <w:p w14:paraId="47B5D471" w14:textId="77777777" w:rsidR="009D0006" w:rsidRPr="007D4D02" w:rsidRDefault="009D0006" w:rsidP="00676B44">
            <w:pPr>
              <w:pStyle w:val="Tabletext"/>
            </w:pPr>
            <w:r w:rsidRPr="007D4D02">
              <w:rPr>
                <w:color w:val="000000"/>
              </w:rPr>
              <w:t>27</w:t>
            </w:r>
          </w:p>
        </w:tc>
        <w:tc>
          <w:tcPr>
            <w:tcW w:w="737" w:type="dxa"/>
          </w:tcPr>
          <w:p w14:paraId="25A3BE0E" w14:textId="77777777" w:rsidR="009D0006" w:rsidRPr="007D4D02" w:rsidRDefault="009D0006" w:rsidP="00676B44">
            <w:pPr>
              <w:pStyle w:val="Tabletext"/>
            </w:pPr>
            <w:r w:rsidRPr="007D4D02">
              <w:rPr>
                <w:color w:val="000000"/>
              </w:rPr>
              <w:t>60.0</w:t>
            </w:r>
          </w:p>
        </w:tc>
        <w:tc>
          <w:tcPr>
            <w:tcW w:w="737" w:type="dxa"/>
          </w:tcPr>
          <w:p w14:paraId="15BEF21C" w14:textId="77777777" w:rsidR="009D0006" w:rsidRPr="007D4D02" w:rsidRDefault="009D0006" w:rsidP="00676B44">
            <w:pPr>
              <w:pStyle w:val="Tabletext"/>
            </w:pPr>
            <w:r w:rsidRPr="007D4D02">
              <w:rPr>
                <w:color w:val="000000"/>
              </w:rPr>
              <w:t>196</w:t>
            </w:r>
          </w:p>
        </w:tc>
        <w:tc>
          <w:tcPr>
            <w:tcW w:w="737" w:type="dxa"/>
          </w:tcPr>
          <w:p w14:paraId="595AD989" w14:textId="77777777" w:rsidR="009D0006" w:rsidRPr="007D4D02" w:rsidRDefault="009D0006" w:rsidP="00676B44">
            <w:pPr>
              <w:pStyle w:val="Tabletext"/>
            </w:pPr>
            <w:r w:rsidRPr="007D4D02">
              <w:rPr>
                <w:color w:val="000000"/>
              </w:rPr>
              <w:t>67.8</w:t>
            </w:r>
          </w:p>
        </w:tc>
        <w:tc>
          <w:tcPr>
            <w:tcW w:w="737" w:type="dxa"/>
          </w:tcPr>
          <w:p w14:paraId="0D5853E9" w14:textId="77777777" w:rsidR="009D0006" w:rsidRPr="007D4D02" w:rsidRDefault="009D0006" w:rsidP="00676B44">
            <w:pPr>
              <w:pStyle w:val="Tabletext"/>
            </w:pPr>
            <w:r w:rsidRPr="007D4D02">
              <w:rPr>
                <w:color w:val="000000"/>
              </w:rPr>
              <w:t>236</w:t>
            </w:r>
          </w:p>
        </w:tc>
        <w:tc>
          <w:tcPr>
            <w:tcW w:w="737" w:type="dxa"/>
          </w:tcPr>
          <w:p w14:paraId="1097BDC8" w14:textId="77777777" w:rsidR="009D0006" w:rsidRPr="007D4D02" w:rsidRDefault="009D0006" w:rsidP="00676B44">
            <w:pPr>
              <w:pStyle w:val="Tabletext"/>
            </w:pPr>
            <w:r w:rsidRPr="007D4D02">
              <w:rPr>
                <w:color w:val="000000"/>
              </w:rPr>
              <w:t>65.9</w:t>
            </w:r>
          </w:p>
        </w:tc>
      </w:tr>
    </w:tbl>
    <w:p w14:paraId="5FB2ABED" w14:textId="77777777" w:rsidR="009D0006" w:rsidRDefault="009D0006" w:rsidP="00676B44">
      <w:pPr>
        <w:pStyle w:val="Tableheading"/>
        <w:rPr>
          <w:lang w:val="en-GB"/>
        </w:rPr>
      </w:pPr>
      <w:r>
        <w:rPr>
          <w:lang w:val="en-GB"/>
        </w:rPr>
        <w:t>Table 29.6 Mental health condition</w:t>
      </w:r>
    </w:p>
    <w:tbl>
      <w:tblPr>
        <w:tblStyle w:val="RCTable"/>
        <w:tblW w:w="9808" w:type="dxa"/>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9D0006" w:rsidRPr="00C50253" w14:paraId="4C18A910" w14:textId="77777777" w:rsidTr="004E2605">
        <w:trPr>
          <w:cnfStyle w:val="100000000000" w:firstRow="1" w:lastRow="0" w:firstColumn="0" w:lastColumn="0" w:oddVBand="0" w:evenVBand="0" w:oddHBand="0" w:evenHBand="0" w:firstRowFirstColumn="0" w:firstRowLastColumn="0" w:lastRowFirstColumn="0" w:lastRowLastColumn="0"/>
          <w:trHeight w:val="340"/>
          <w:tblHeader/>
        </w:trPr>
        <w:tc>
          <w:tcPr>
            <w:tcW w:w="2438" w:type="dxa"/>
            <w:noWrap/>
          </w:tcPr>
          <w:p w14:paraId="647A9955" w14:textId="77777777" w:rsidR="009D0006" w:rsidRPr="00283324" w:rsidRDefault="009D0006" w:rsidP="00676B44">
            <w:pPr>
              <w:pStyle w:val="Tableheader"/>
              <w:rPr>
                <w:lang w:val="en-US"/>
              </w:rPr>
            </w:pPr>
            <w:r w:rsidRPr="00283324">
              <w:rPr>
                <w:lang w:val="en-US"/>
              </w:rPr>
              <w:t>Feel supported</w:t>
            </w:r>
          </w:p>
        </w:tc>
        <w:tc>
          <w:tcPr>
            <w:tcW w:w="737" w:type="dxa"/>
          </w:tcPr>
          <w:p w14:paraId="4E5943D8" w14:textId="77777777" w:rsidR="009D0006" w:rsidRPr="00283324" w:rsidRDefault="009D0006" w:rsidP="00676B44">
            <w:pPr>
              <w:pStyle w:val="Tableheader"/>
              <w:rPr>
                <w:lang w:val="en-US"/>
              </w:rPr>
            </w:pPr>
            <w:r>
              <w:t>n</w:t>
            </w:r>
          </w:p>
        </w:tc>
        <w:tc>
          <w:tcPr>
            <w:tcW w:w="737" w:type="dxa"/>
          </w:tcPr>
          <w:p w14:paraId="518C99DF" w14:textId="77777777" w:rsidR="009D0006" w:rsidRPr="00283324" w:rsidRDefault="009D0006" w:rsidP="00676B44">
            <w:pPr>
              <w:pStyle w:val="Tableheader"/>
            </w:pPr>
            <w:r w:rsidRPr="00283324">
              <w:t>%</w:t>
            </w:r>
          </w:p>
        </w:tc>
        <w:tc>
          <w:tcPr>
            <w:tcW w:w="737" w:type="dxa"/>
          </w:tcPr>
          <w:p w14:paraId="19F7E924" w14:textId="77777777" w:rsidR="009D0006" w:rsidRPr="00283324" w:rsidRDefault="009D0006" w:rsidP="00676B44">
            <w:pPr>
              <w:pStyle w:val="Tableheader"/>
              <w:rPr>
                <w:lang w:val="en-US"/>
              </w:rPr>
            </w:pPr>
            <w:r>
              <w:t>n</w:t>
            </w:r>
          </w:p>
        </w:tc>
        <w:tc>
          <w:tcPr>
            <w:tcW w:w="737" w:type="dxa"/>
          </w:tcPr>
          <w:p w14:paraId="56B7B77C" w14:textId="77777777" w:rsidR="009D0006" w:rsidRPr="00283324" w:rsidRDefault="009D0006" w:rsidP="00676B44">
            <w:pPr>
              <w:pStyle w:val="Tableheader"/>
            </w:pPr>
            <w:r w:rsidRPr="00283324">
              <w:t>%</w:t>
            </w:r>
          </w:p>
        </w:tc>
        <w:tc>
          <w:tcPr>
            <w:tcW w:w="737" w:type="dxa"/>
          </w:tcPr>
          <w:p w14:paraId="6106ECBB" w14:textId="77777777" w:rsidR="009D0006" w:rsidRPr="00283324" w:rsidRDefault="009D0006" w:rsidP="00676B44">
            <w:pPr>
              <w:pStyle w:val="Tableheader"/>
            </w:pPr>
            <w:r>
              <w:t>n</w:t>
            </w:r>
          </w:p>
        </w:tc>
        <w:tc>
          <w:tcPr>
            <w:tcW w:w="737" w:type="dxa"/>
          </w:tcPr>
          <w:p w14:paraId="61B4B638" w14:textId="77777777" w:rsidR="009D0006" w:rsidRPr="00283324" w:rsidRDefault="009D0006" w:rsidP="00676B44">
            <w:pPr>
              <w:pStyle w:val="Tableheader"/>
            </w:pPr>
            <w:r w:rsidRPr="00283324">
              <w:t>%</w:t>
            </w:r>
          </w:p>
        </w:tc>
        <w:tc>
          <w:tcPr>
            <w:tcW w:w="737" w:type="dxa"/>
          </w:tcPr>
          <w:p w14:paraId="6CBF7EF2" w14:textId="77777777" w:rsidR="009D0006" w:rsidRPr="00283324" w:rsidRDefault="009D0006" w:rsidP="00676B44">
            <w:pPr>
              <w:pStyle w:val="Tableheader"/>
            </w:pPr>
            <w:r>
              <w:t>n</w:t>
            </w:r>
          </w:p>
        </w:tc>
        <w:tc>
          <w:tcPr>
            <w:tcW w:w="737" w:type="dxa"/>
          </w:tcPr>
          <w:p w14:paraId="09760CBE" w14:textId="77777777" w:rsidR="009D0006" w:rsidRPr="00283324" w:rsidRDefault="009D0006" w:rsidP="00676B44">
            <w:pPr>
              <w:pStyle w:val="Tableheader"/>
            </w:pPr>
            <w:r w:rsidRPr="00283324">
              <w:t>%</w:t>
            </w:r>
          </w:p>
        </w:tc>
        <w:tc>
          <w:tcPr>
            <w:tcW w:w="737" w:type="dxa"/>
          </w:tcPr>
          <w:p w14:paraId="10D38E32" w14:textId="77777777" w:rsidR="009D0006" w:rsidRPr="00283324" w:rsidRDefault="009D0006" w:rsidP="00676B44">
            <w:pPr>
              <w:pStyle w:val="Tableheader"/>
            </w:pPr>
            <w:r>
              <w:t>n</w:t>
            </w:r>
          </w:p>
        </w:tc>
        <w:tc>
          <w:tcPr>
            <w:tcW w:w="737" w:type="dxa"/>
          </w:tcPr>
          <w:p w14:paraId="1F02DE58" w14:textId="77777777" w:rsidR="009D0006" w:rsidRPr="00283324" w:rsidRDefault="009D0006" w:rsidP="00676B44">
            <w:pPr>
              <w:pStyle w:val="Tableheader"/>
            </w:pPr>
            <w:r w:rsidRPr="00283324">
              <w:t>%</w:t>
            </w:r>
          </w:p>
        </w:tc>
      </w:tr>
      <w:tr w:rsidR="009D0006" w:rsidRPr="007D4D02" w14:paraId="251D4CE0"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691AB582" w14:textId="77777777" w:rsidR="009D0006" w:rsidRPr="007D4D02" w:rsidRDefault="009D0006" w:rsidP="00676B44">
            <w:pPr>
              <w:pStyle w:val="Tabletext"/>
              <w:rPr>
                <w:lang w:val="en-US"/>
              </w:rPr>
            </w:pPr>
            <w:r w:rsidRPr="007D4D02">
              <w:rPr>
                <w:lang w:val="en-US"/>
              </w:rPr>
              <w:t>Family</w:t>
            </w:r>
          </w:p>
        </w:tc>
        <w:tc>
          <w:tcPr>
            <w:tcW w:w="737" w:type="dxa"/>
          </w:tcPr>
          <w:p w14:paraId="40B22F3E" w14:textId="77777777" w:rsidR="009D0006" w:rsidRPr="007D4D02" w:rsidRDefault="009D0006" w:rsidP="00676B44">
            <w:pPr>
              <w:pStyle w:val="Tabletext"/>
            </w:pPr>
            <w:r w:rsidRPr="007D4D02">
              <w:rPr>
                <w:color w:val="000000"/>
              </w:rPr>
              <w:t>314</w:t>
            </w:r>
          </w:p>
        </w:tc>
        <w:tc>
          <w:tcPr>
            <w:tcW w:w="737" w:type="dxa"/>
          </w:tcPr>
          <w:p w14:paraId="0ECB3066" w14:textId="77777777" w:rsidR="009D0006" w:rsidRPr="007D4D02" w:rsidRDefault="009D0006" w:rsidP="00676B44">
            <w:pPr>
              <w:pStyle w:val="Tabletext"/>
            </w:pPr>
            <w:r w:rsidRPr="007D4D02">
              <w:rPr>
                <w:color w:val="000000"/>
              </w:rPr>
              <w:t>60.4</w:t>
            </w:r>
          </w:p>
        </w:tc>
        <w:tc>
          <w:tcPr>
            <w:tcW w:w="737" w:type="dxa"/>
          </w:tcPr>
          <w:p w14:paraId="240C687D" w14:textId="77777777" w:rsidR="009D0006" w:rsidRPr="007D4D02" w:rsidRDefault="009D0006" w:rsidP="00676B44">
            <w:pPr>
              <w:pStyle w:val="Tabletext"/>
            </w:pPr>
            <w:r w:rsidRPr="007D4D02">
              <w:rPr>
                <w:color w:val="000000"/>
              </w:rPr>
              <w:t>102</w:t>
            </w:r>
          </w:p>
        </w:tc>
        <w:tc>
          <w:tcPr>
            <w:tcW w:w="737" w:type="dxa"/>
          </w:tcPr>
          <w:p w14:paraId="0B113611" w14:textId="77777777" w:rsidR="009D0006" w:rsidRPr="007D4D02" w:rsidRDefault="009D0006" w:rsidP="00676B44">
            <w:pPr>
              <w:pStyle w:val="Tabletext"/>
            </w:pPr>
            <w:r w:rsidRPr="007D4D02">
              <w:rPr>
                <w:color w:val="000000"/>
              </w:rPr>
              <w:t>54.8</w:t>
            </w:r>
          </w:p>
        </w:tc>
        <w:tc>
          <w:tcPr>
            <w:tcW w:w="737" w:type="dxa"/>
          </w:tcPr>
          <w:p w14:paraId="2E53D590" w14:textId="77777777" w:rsidR="009D0006" w:rsidRPr="007D4D02" w:rsidRDefault="009D0006" w:rsidP="00676B44">
            <w:pPr>
              <w:pStyle w:val="Tabletext"/>
            </w:pPr>
            <w:r w:rsidRPr="007D4D02">
              <w:rPr>
                <w:color w:val="000000"/>
              </w:rPr>
              <w:t>53</w:t>
            </w:r>
          </w:p>
        </w:tc>
        <w:tc>
          <w:tcPr>
            <w:tcW w:w="737" w:type="dxa"/>
          </w:tcPr>
          <w:p w14:paraId="6134AF4E" w14:textId="77777777" w:rsidR="009D0006" w:rsidRPr="007D4D02" w:rsidRDefault="009D0006" w:rsidP="00676B44">
            <w:pPr>
              <w:pStyle w:val="Tabletext"/>
            </w:pPr>
            <w:r w:rsidRPr="007D4D02">
              <w:rPr>
                <w:color w:val="000000"/>
              </w:rPr>
              <w:t>56.4</w:t>
            </w:r>
          </w:p>
        </w:tc>
        <w:tc>
          <w:tcPr>
            <w:tcW w:w="737" w:type="dxa"/>
          </w:tcPr>
          <w:p w14:paraId="3D3633CE" w14:textId="77777777" w:rsidR="009D0006" w:rsidRPr="007D4D02" w:rsidRDefault="009D0006" w:rsidP="00676B44">
            <w:pPr>
              <w:pStyle w:val="Tabletext"/>
            </w:pPr>
            <w:r w:rsidRPr="007D4D02">
              <w:rPr>
                <w:color w:val="000000"/>
              </w:rPr>
              <w:t>314</w:t>
            </w:r>
          </w:p>
        </w:tc>
        <w:tc>
          <w:tcPr>
            <w:tcW w:w="737" w:type="dxa"/>
          </w:tcPr>
          <w:p w14:paraId="636E31F6" w14:textId="77777777" w:rsidR="009D0006" w:rsidRPr="007D4D02" w:rsidRDefault="009D0006" w:rsidP="00676B44">
            <w:pPr>
              <w:pStyle w:val="Tabletext"/>
            </w:pPr>
            <w:r w:rsidRPr="007D4D02">
              <w:rPr>
                <w:color w:val="000000"/>
              </w:rPr>
              <w:t>54.1</w:t>
            </w:r>
          </w:p>
        </w:tc>
        <w:tc>
          <w:tcPr>
            <w:tcW w:w="737" w:type="dxa"/>
          </w:tcPr>
          <w:p w14:paraId="157F9930" w14:textId="77777777" w:rsidR="009D0006" w:rsidRPr="007D4D02" w:rsidRDefault="009D0006" w:rsidP="00676B44">
            <w:pPr>
              <w:pStyle w:val="Tabletext"/>
            </w:pPr>
            <w:r w:rsidRPr="007D4D02">
              <w:rPr>
                <w:color w:val="000000"/>
              </w:rPr>
              <w:t>458</w:t>
            </w:r>
          </w:p>
        </w:tc>
        <w:tc>
          <w:tcPr>
            <w:tcW w:w="737" w:type="dxa"/>
          </w:tcPr>
          <w:p w14:paraId="5B2492B7" w14:textId="77777777" w:rsidR="009D0006" w:rsidRPr="007D4D02" w:rsidRDefault="009D0006" w:rsidP="00676B44">
            <w:pPr>
              <w:pStyle w:val="Tabletext"/>
            </w:pPr>
            <w:r w:rsidRPr="007D4D02">
              <w:rPr>
                <w:color w:val="000000"/>
              </w:rPr>
              <w:t>57.5</w:t>
            </w:r>
          </w:p>
        </w:tc>
      </w:tr>
      <w:tr w:rsidR="009D0006" w:rsidRPr="007D4D02" w14:paraId="01CAE09C"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701AF168" w14:textId="77777777" w:rsidR="009D0006" w:rsidRPr="007D4D02" w:rsidRDefault="009D0006" w:rsidP="00676B44">
            <w:pPr>
              <w:pStyle w:val="Tabletext"/>
              <w:rPr>
                <w:lang w:val="en-US"/>
              </w:rPr>
            </w:pPr>
            <w:r w:rsidRPr="007D4D02">
              <w:rPr>
                <w:lang w:val="en-US"/>
              </w:rPr>
              <w:t>Friends</w:t>
            </w:r>
          </w:p>
        </w:tc>
        <w:tc>
          <w:tcPr>
            <w:tcW w:w="737" w:type="dxa"/>
          </w:tcPr>
          <w:p w14:paraId="54AC2049" w14:textId="77777777" w:rsidR="009D0006" w:rsidRPr="007D4D02" w:rsidRDefault="009D0006" w:rsidP="00676B44">
            <w:pPr>
              <w:pStyle w:val="Tabletext"/>
            </w:pPr>
            <w:r w:rsidRPr="007D4D02">
              <w:rPr>
                <w:color w:val="000000"/>
              </w:rPr>
              <w:t>568</w:t>
            </w:r>
          </w:p>
        </w:tc>
        <w:tc>
          <w:tcPr>
            <w:tcW w:w="737" w:type="dxa"/>
          </w:tcPr>
          <w:p w14:paraId="6A5F73F2" w14:textId="77777777" w:rsidR="009D0006" w:rsidRPr="007D4D02" w:rsidRDefault="009D0006" w:rsidP="00676B44">
            <w:pPr>
              <w:pStyle w:val="Tabletext"/>
            </w:pPr>
            <w:r w:rsidRPr="007D4D02">
              <w:rPr>
                <w:color w:val="000000"/>
              </w:rPr>
              <w:t>90.9</w:t>
            </w:r>
          </w:p>
        </w:tc>
        <w:tc>
          <w:tcPr>
            <w:tcW w:w="737" w:type="dxa"/>
          </w:tcPr>
          <w:p w14:paraId="6AF00C8A" w14:textId="77777777" w:rsidR="009D0006" w:rsidRPr="007D4D02" w:rsidRDefault="009D0006" w:rsidP="00676B44">
            <w:pPr>
              <w:pStyle w:val="Tabletext"/>
            </w:pPr>
            <w:r w:rsidRPr="007D4D02">
              <w:rPr>
                <w:color w:val="000000"/>
              </w:rPr>
              <w:t>183</w:t>
            </w:r>
          </w:p>
        </w:tc>
        <w:tc>
          <w:tcPr>
            <w:tcW w:w="737" w:type="dxa"/>
          </w:tcPr>
          <w:p w14:paraId="161DED1E" w14:textId="77777777" w:rsidR="009D0006" w:rsidRPr="007D4D02" w:rsidRDefault="009D0006" w:rsidP="00676B44">
            <w:pPr>
              <w:pStyle w:val="Tabletext"/>
            </w:pPr>
            <w:r w:rsidRPr="007D4D02">
              <w:rPr>
                <w:color w:val="000000"/>
              </w:rPr>
              <w:t>89.7</w:t>
            </w:r>
          </w:p>
        </w:tc>
        <w:tc>
          <w:tcPr>
            <w:tcW w:w="737" w:type="dxa"/>
          </w:tcPr>
          <w:p w14:paraId="151E496E" w14:textId="77777777" w:rsidR="009D0006" w:rsidRPr="007D4D02" w:rsidRDefault="009D0006" w:rsidP="00676B44">
            <w:pPr>
              <w:pStyle w:val="Tabletext"/>
            </w:pPr>
            <w:r w:rsidRPr="007D4D02">
              <w:rPr>
                <w:color w:val="000000"/>
              </w:rPr>
              <w:t>108</w:t>
            </w:r>
          </w:p>
        </w:tc>
        <w:tc>
          <w:tcPr>
            <w:tcW w:w="737" w:type="dxa"/>
          </w:tcPr>
          <w:p w14:paraId="45F3B6E9" w14:textId="77777777" w:rsidR="009D0006" w:rsidRPr="007D4D02" w:rsidRDefault="009D0006" w:rsidP="00676B44">
            <w:pPr>
              <w:pStyle w:val="Tabletext"/>
            </w:pPr>
            <w:r w:rsidRPr="007D4D02">
              <w:rPr>
                <w:color w:val="000000"/>
              </w:rPr>
              <w:t>92.3</w:t>
            </w:r>
          </w:p>
        </w:tc>
        <w:tc>
          <w:tcPr>
            <w:tcW w:w="737" w:type="dxa"/>
          </w:tcPr>
          <w:p w14:paraId="31BCDA18" w14:textId="77777777" w:rsidR="009D0006" w:rsidRPr="007D4D02" w:rsidRDefault="009D0006" w:rsidP="00676B44">
            <w:pPr>
              <w:pStyle w:val="Tabletext"/>
            </w:pPr>
            <w:r w:rsidRPr="007D4D02">
              <w:rPr>
                <w:color w:val="000000"/>
              </w:rPr>
              <w:t>593</w:t>
            </w:r>
          </w:p>
        </w:tc>
        <w:tc>
          <w:tcPr>
            <w:tcW w:w="737" w:type="dxa"/>
          </w:tcPr>
          <w:p w14:paraId="35078F34" w14:textId="77777777" w:rsidR="009D0006" w:rsidRPr="007D4D02" w:rsidRDefault="009D0006" w:rsidP="00676B44">
            <w:pPr>
              <w:pStyle w:val="Tabletext"/>
            </w:pPr>
            <w:r w:rsidRPr="007D4D02">
              <w:rPr>
                <w:color w:val="000000"/>
              </w:rPr>
              <w:t>87.9</w:t>
            </w:r>
          </w:p>
        </w:tc>
        <w:tc>
          <w:tcPr>
            <w:tcW w:w="737" w:type="dxa"/>
          </w:tcPr>
          <w:p w14:paraId="7E0D987A" w14:textId="77777777" w:rsidR="009D0006" w:rsidRPr="007D4D02" w:rsidRDefault="009D0006" w:rsidP="00676B44">
            <w:pPr>
              <w:pStyle w:val="Tabletext"/>
            </w:pPr>
            <w:r w:rsidRPr="007D4D02">
              <w:rPr>
                <w:color w:val="000000"/>
              </w:rPr>
              <w:t>916</w:t>
            </w:r>
          </w:p>
        </w:tc>
        <w:tc>
          <w:tcPr>
            <w:tcW w:w="737" w:type="dxa"/>
          </w:tcPr>
          <w:p w14:paraId="6A9F714F" w14:textId="77777777" w:rsidR="009D0006" w:rsidRPr="007D4D02" w:rsidRDefault="009D0006" w:rsidP="00676B44">
            <w:pPr>
              <w:pStyle w:val="Tabletext"/>
            </w:pPr>
            <w:r w:rsidRPr="007D4D02">
              <w:rPr>
                <w:color w:val="000000"/>
              </w:rPr>
              <w:t>90.3</w:t>
            </w:r>
          </w:p>
        </w:tc>
      </w:tr>
      <w:tr w:rsidR="009D0006" w:rsidRPr="007D4D02" w14:paraId="74692BE5" w14:textId="77777777" w:rsidTr="00676B44">
        <w:trPr>
          <w:cnfStyle w:val="000000100000" w:firstRow="0" w:lastRow="0" w:firstColumn="0" w:lastColumn="0" w:oddVBand="0" w:evenVBand="0" w:oddHBand="1" w:evenHBand="0" w:firstRowFirstColumn="0" w:firstRowLastColumn="0" w:lastRowFirstColumn="0" w:lastRowLastColumn="0"/>
          <w:trHeight w:val="340"/>
        </w:trPr>
        <w:tc>
          <w:tcPr>
            <w:tcW w:w="2438" w:type="dxa"/>
            <w:noWrap/>
          </w:tcPr>
          <w:p w14:paraId="5F176C47" w14:textId="77777777" w:rsidR="009D0006" w:rsidRPr="007D4D02" w:rsidRDefault="009D0006" w:rsidP="00676B44">
            <w:pPr>
              <w:pStyle w:val="Tabletext"/>
              <w:rPr>
                <w:lang w:val="en-US"/>
              </w:rPr>
            </w:pPr>
            <w:r w:rsidRPr="007D4D02">
              <w:rPr>
                <w:lang w:val="en-US"/>
              </w:rPr>
              <w:t>Classmates</w:t>
            </w:r>
          </w:p>
        </w:tc>
        <w:tc>
          <w:tcPr>
            <w:tcW w:w="737" w:type="dxa"/>
          </w:tcPr>
          <w:p w14:paraId="20A1D50F" w14:textId="77777777" w:rsidR="009D0006" w:rsidRPr="007D4D02" w:rsidRDefault="009D0006" w:rsidP="00676B44">
            <w:pPr>
              <w:pStyle w:val="Tabletext"/>
            </w:pPr>
            <w:r w:rsidRPr="007D4D02">
              <w:rPr>
                <w:color w:val="000000"/>
              </w:rPr>
              <w:t>122</w:t>
            </w:r>
          </w:p>
        </w:tc>
        <w:tc>
          <w:tcPr>
            <w:tcW w:w="737" w:type="dxa"/>
          </w:tcPr>
          <w:p w14:paraId="7B777531" w14:textId="77777777" w:rsidR="009D0006" w:rsidRPr="007D4D02" w:rsidRDefault="009D0006" w:rsidP="00676B44">
            <w:pPr>
              <w:pStyle w:val="Tabletext"/>
            </w:pPr>
            <w:r w:rsidRPr="007D4D02">
              <w:rPr>
                <w:color w:val="000000"/>
              </w:rPr>
              <w:t>38.5</w:t>
            </w:r>
          </w:p>
        </w:tc>
        <w:tc>
          <w:tcPr>
            <w:tcW w:w="737" w:type="dxa"/>
          </w:tcPr>
          <w:p w14:paraId="30D7C35A" w14:textId="77777777" w:rsidR="009D0006" w:rsidRPr="007D4D02" w:rsidRDefault="009D0006" w:rsidP="00676B44">
            <w:pPr>
              <w:pStyle w:val="Tabletext"/>
            </w:pPr>
            <w:r w:rsidRPr="007D4D02">
              <w:rPr>
                <w:color w:val="000000"/>
              </w:rPr>
              <w:t>30</w:t>
            </w:r>
          </w:p>
        </w:tc>
        <w:tc>
          <w:tcPr>
            <w:tcW w:w="737" w:type="dxa"/>
          </w:tcPr>
          <w:p w14:paraId="606E128F" w14:textId="77777777" w:rsidR="009D0006" w:rsidRPr="007D4D02" w:rsidRDefault="009D0006" w:rsidP="00676B44">
            <w:pPr>
              <w:pStyle w:val="Tabletext"/>
            </w:pPr>
            <w:r w:rsidRPr="007D4D02">
              <w:rPr>
                <w:color w:val="000000"/>
              </w:rPr>
              <w:t>33.3</w:t>
            </w:r>
          </w:p>
        </w:tc>
        <w:tc>
          <w:tcPr>
            <w:tcW w:w="737" w:type="dxa"/>
          </w:tcPr>
          <w:p w14:paraId="79CAE0FF" w14:textId="77777777" w:rsidR="009D0006" w:rsidRPr="007D4D02" w:rsidRDefault="009D0006" w:rsidP="00676B44">
            <w:pPr>
              <w:pStyle w:val="Tabletext"/>
            </w:pPr>
            <w:r w:rsidRPr="007D4D02">
              <w:rPr>
                <w:color w:val="000000"/>
              </w:rPr>
              <w:t>18</w:t>
            </w:r>
          </w:p>
        </w:tc>
        <w:tc>
          <w:tcPr>
            <w:tcW w:w="737" w:type="dxa"/>
          </w:tcPr>
          <w:p w14:paraId="772689CC" w14:textId="77777777" w:rsidR="009D0006" w:rsidRPr="007D4D02" w:rsidRDefault="009D0006" w:rsidP="00676B44">
            <w:pPr>
              <w:pStyle w:val="Tabletext"/>
            </w:pPr>
            <w:r w:rsidRPr="007D4D02">
              <w:rPr>
                <w:color w:val="000000"/>
              </w:rPr>
              <w:t>32.1</w:t>
            </w:r>
          </w:p>
        </w:tc>
        <w:tc>
          <w:tcPr>
            <w:tcW w:w="737" w:type="dxa"/>
          </w:tcPr>
          <w:p w14:paraId="1C815E5C" w14:textId="77777777" w:rsidR="009D0006" w:rsidRPr="007D4D02" w:rsidRDefault="009D0006" w:rsidP="00676B44">
            <w:pPr>
              <w:pStyle w:val="Tabletext"/>
            </w:pPr>
            <w:r w:rsidRPr="007D4D02">
              <w:rPr>
                <w:color w:val="000000"/>
              </w:rPr>
              <w:t>127</w:t>
            </w:r>
          </w:p>
        </w:tc>
        <w:tc>
          <w:tcPr>
            <w:tcW w:w="737" w:type="dxa"/>
          </w:tcPr>
          <w:p w14:paraId="2A0D9DA8" w14:textId="77777777" w:rsidR="009D0006" w:rsidRPr="007D4D02" w:rsidRDefault="009D0006" w:rsidP="00676B44">
            <w:pPr>
              <w:pStyle w:val="Tabletext"/>
            </w:pPr>
            <w:r w:rsidRPr="007D4D02">
              <w:rPr>
                <w:color w:val="000000"/>
              </w:rPr>
              <w:t>37.8</w:t>
            </w:r>
          </w:p>
        </w:tc>
        <w:tc>
          <w:tcPr>
            <w:tcW w:w="737" w:type="dxa"/>
          </w:tcPr>
          <w:p w14:paraId="6765EC47" w14:textId="77777777" w:rsidR="009D0006" w:rsidRPr="007D4D02" w:rsidRDefault="009D0006" w:rsidP="00676B44">
            <w:pPr>
              <w:pStyle w:val="Tabletext"/>
            </w:pPr>
            <w:r w:rsidRPr="007D4D02">
              <w:rPr>
                <w:color w:val="000000"/>
              </w:rPr>
              <w:t>231</w:t>
            </w:r>
          </w:p>
        </w:tc>
        <w:tc>
          <w:tcPr>
            <w:tcW w:w="737" w:type="dxa"/>
          </w:tcPr>
          <w:p w14:paraId="4C264D1D" w14:textId="77777777" w:rsidR="009D0006" w:rsidRPr="007D4D02" w:rsidRDefault="009D0006" w:rsidP="00676B44">
            <w:pPr>
              <w:pStyle w:val="Tabletext"/>
            </w:pPr>
            <w:r w:rsidRPr="007D4D02">
              <w:rPr>
                <w:color w:val="000000"/>
              </w:rPr>
              <w:t>41.5</w:t>
            </w:r>
          </w:p>
        </w:tc>
      </w:tr>
      <w:tr w:rsidR="009D0006" w:rsidRPr="007D4D02" w14:paraId="37B3B568" w14:textId="77777777" w:rsidTr="00676B44">
        <w:trPr>
          <w:cnfStyle w:val="000000010000" w:firstRow="0" w:lastRow="0" w:firstColumn="0" w:lastColumn="0" w:oddVBand="0" w:evenVBand="0" w:oddHBand="0" w:evenHBand="1" w:firstRowFirstColumn="0" w:firstRowLastColumn="0" w:lastRowFirstColumn="0" w:lastRowLastColumn="0"/>
          <w:trHeight w:val="340"/>
        </w:trPr>
        <w:tc>
          <w:tcPr>
            <w:tcW w:w="2438" w:type="dxa"/>
            <w:noWrap/>
          </w:tcPr>
          <w:p w14:paraId="01C5F2A5" w14:textId="77777777" w:rsidR="009D0006" w:rsidRPr="007D4D02" w:rsidRDefault="009D0006" w:rsidP="00676B44">
            <w:pPr>
              <w:pStyle w:val="Tabletext"/>
              <w:rPr>
                <w:lang w:val="en-US"/>
              </w:rPr>
            </w:pPr>
            <w:r w:rsidRPr="007D4D02">
              <w:rPr>
                <w:lang w:val="en-US"/>
              </w:rPr>
              <w:t>Teach</w:t>
            </w:r>
            <w:r w:rsidRPr="007D4D02">
              <w:rPr>
                <w:lang w:val="en-US"/>
              </w:rPr>
              <w:lastRenderedPageBreak/>
              <w:t>ers</w:t>
            </w:r>
          </w:p>
        </w:tc>
        <w:tc>
          <w:tcPr>
            <w:tcW w:w="737" w:type="dxa"/>
          </w:tcPr>
          <w:p w14:paraId="21FA6090" w14:textId="77777777" w:rsidR="009D0006" w:rsidRPr="007D4D02" w:rsidRDefault="009D0006" w:rsidP="00676B44">
            <w:pPr>
              <w:pStyle w:val="Tabletext"/>
            </w:pPr>
            <w:r w:rsidRPr="007D4D02">
              <w:rPr>
                <w:color w:val="000000"/>
              </w:rPr>
              <w:t>193</w:t>
            </w:r>
          </w:p>
        </w:tc>
        <w:tc>
          <w:tcPr>
            <w:tcW w:w="737" w:type="dxa"/>
          </w:tcPr>
          <w:p w14:paraId="1D5725C5" w14:textId="77777777" w:rsidR="009D0006" w:rsidRPr="007D4D02" w:rsidRDefault="009D0006" w:rsidP="00676B44">
            <w:pPr>
              <w:pStyle w:val="Tabletext"/>
            </w:pPr>
            <w:r w:rsidRPr="007D4D02">
              <w:rPr>
                <w:color w:val="000000"/>
              </w:rPr>
              <w:t>67.0</w:t>
            </w:r>
          </w:p>
        </w:tc>
        <w:tc>
          <w:tcPr>
            <w:tcW w:w="737" w:type="dxa"/>
          </w:tcPr>
          <w:p w14:paraId="3350BC8D" w14:textId="77777777" w:rsidR="009D0006" w:rsidRPr="007D4D02" w:rsidRDefault="009D0006" w:rsidP="00676B44">
            <w:pPr>
              <w:pStyle w:val="Tabletext"/>
            </w:pPr>
            <w:r w:rsidRPr="007D4D02">
              <w:rPr>
                <w:color w:val="000000"/>
              </w:rPr>
              <w:t>58</w:t>
            </w:r>
          </w:p>
        </w:tc>
        <w:tc>
          <w:tcPr>
            <w:tcW w:w="737" w:type="dxa"/>
          </w:tcPr>
          <w:p w14:paraId="3B5E39BA" w14:textId="77777777" w:rsidR="009D0006" w:rsidRPr="007D4D02" w:rsidRDefault="009D0006" w:rsidP="00676B44">
            <w:pPr>
              <w:pStyle w:val="Tabletext"/>
            </w:pPr>
            <w:r w:rsidRPr="007D4D02">
              <w:rPr>
                <w:color w:val="000000"/>
              </w:rPr>
              <w:t>58.6</w:t>
            </w:r>
          </w:p>
        </w:tc>
        <w:tc>
          <w:tcPr>
            <w:tcW w:w="737" w:type="dxa"/>
          </w:tcPr>
          <w:p w14:paraId="28D95982" w14:textId="77777777" w:rsidR="009D0006" w:rsidRPr="007D4D02" w:rsidRDefault="009D0006" w:rsidP="00676B44">
            <w:pPr>
              <w:pStyle w:val="Tabletext"/>
            </w:pPr>
            <w:r w:rsidRPr="007D4D02">
              <w:rPr>
                <w:color w:val="000000"/>
              </w:rPr>
              <w:t>27</w:t>
            </w:r>
          </w:p>
        </w:tc>
        <w:tc>
          <w:tcPr>
            <w:tcW w:w="737" w:type="dxa"/>
          </w:tcPr>
          <w:p w14:paraId="354B87E6" w14:textId="77777777" w:rsidR="009D0006" w:rsidRPr="007D4D02" w:rsidRDefault="009D0006" w:rsidP="00676B44">
            <w:pPr>
              <w:pStyle w:val="Tabletext"/>
            </w:pPr>
            <w:r w:rsidRPr="007D4D02">
              <w:rPr>
                <w:color w:val="000000"/>
              </w:rPr>
              <w:t>60.0</w:t>
            </w:r>
          </w:p>
        </w:tc>
        <w:tc>
          <w:tcPr>
            <w:tcW w:w="737" w:type="dxa"/>
          </w:tcPr>
          <w:p w14:paraId="2DA95AD2" w14:textId="77777777" w:rsidR="009D0006" w:rsidRPr="007D4D02" w:rsidRDefault="009D0006" w:rsidP="00676B44">
            <w:pPr>
              <w:pStyle w:val="Tabletext"/>
            </w:pPr>
            <w:r w:rsidRPr="007D4D02">
              <w:rPr>
                <w:color w:val="000000"/>
              </w:rPr>
              <w:t>196</w:t>
            </w:r>
          </w:p>
        </w:tc>
        <w:tc>
          <w:tcPr>
            <w:tcW w:w="737" w:type="dxa"/>
          </w:tcPr>
          <w:p w14:paraId="550E0314" w14:textId="77777777" w:rsidR="009D0006" w:rsidRPr="007D4D02" w:rsidRDefault="009D0006" w:rsidP="00676B44">
            <w:pPr>
              <w:pStyle w:val="Tabletext"/>
            </w:pPr>
            <w:r w:rsidRPr="007D4D02">
              <w:rPr>
                <w:color w:val="000000"/>
              </w:rPr>
              <w:t>67.8</w:t>
            </w:r>
          </w:p>
        </w:tc>
        <w:tc>
          <w:tcPr>
            <w:tcW w:w="737" w:type="dxa"/>
          </w:tcPr>
          <w:p w14:paraId="1598F979" w14:textId="77777777" w:rsidR="009D0006" w:rsidRPr="007D4D02" w:rsidRDefault="009D0006" w:rsidP="00676B44">
            <w:pPr>
              <w:pStyle w:val="Tabletext"/>
            </w:pPr>
            <w:r w:rsidRPr="007D4D02">
              <w:rPr>
                <w:color w:val="000000"/>
              </w:rPr>
              <w:t>236</w:t>
            </w:r>
          </w:p>
        </w:tc>
        <w:tc>
          <w:tcPr>
            <w:tcW w:w="737" w:type="dxa"/>
          </w:tcPr>
          <w:p w14:paraId="28A75D51" w14:textId="77777777" w:rsidR="009D0006" w:rsidRPr="007D4D02" w:rsidRDefault="009D0006" w:rsidP="00676B44">
            <w:pPr>
              <w:pStyle w:val="Tabletext"/>
            </w:pPr>
            <w:r w:rsidRPr="007D4D02">
              <w:rPr>
                <w:color w:val="000000"/>
              </w:rPr>
              <w:t>65.9</w:t>
            </w:r>
          </w:p>
        </w:tc>
      </w:tr>
    </w:tbl>
    <w:p w14:paraId="04432D7A" w14:textId="77777777" w:rsidR="009D0006" w:rsidRPr="00676B44" w:rsidRDefault="009D0006" w:rsidP="00676B44">
      <w:pPr>
        <w:pStyle w:val="TableTextNotebelow"/>
        <w:rPr>
          <w:i/>
          <w:lang w:val="en-GB" w:eastAsia="ja-JP"/>
        </w:rPr>
      </w:pPr>
      <w:r w:rsidRPr="00676B44">
        <w:rPr>
          <w:rFonts w:cs="Arial"/>
          <w:i/>
          <w:lang w:val="en-GB"/>
        </w:rPr>
        <w:t xml:space="preserve">* </w:t>
      </w:r>
      <w:r w:rsidRPr="00676B44">
        <w:rPr>
          <w:i/>
          <w:lang w:val="en-GB"/>
        </w:rPr>
        <w:t xml:space="preserve">In order to be more comparable with general population data, ‘any disability’ does not include participants who only reported ‘mental illness’ and no other disability or long-term health condition. </w:t>
      </w:r>
    </w:p>
    <w:p w14:paraId="138EBD4F" w14:textId="77777777" w:rsidR="009D0006" w:rsidRDefault="009D0006" w:rsidP="00603068">
      <w:pPr>
        <w:spacing w:before="360"/>
      </w:pPr>
      <w:r>
        <w:t xml:space="preserve">As displayed in Tables 29.1-29.6, a slightly lower proportion of participants </w:t>
      </w:r>
      <w:r w:rsidRPr="00692BC1">
        <w:t>with disability</w:t>
      </w:r>
      <w:r>
        <w:t xml:space="preserve"> </w:t>
      </w:r>
      <w:r w:rsidRPr="00692BC1">
        <w:t xml:space="preserve">in </w:t>
      </w:r>
      <w:r w:rsidRPr="00692BC1">
        <w:rPr>
          <w:i/>
          <w:iCs/>
        </w:rPr>
        <w:t>Writing Themselves in 4</w:t>
      </w:r>
      <w:r w:rsidRPr="00692BC1">
        <w:t xml:space="preserve"> </w:t>
      </w:r>
      <w:r>
        <w:t xml:space="preserve">felt supported about their sexuality or gender identity by family members (56.2%; n = 638) than those not reporting disability (59.1%; n = 1256). Similarly, a lower proportion of participants </w:t>
      </w:r>
      <w:r w:rsidRPr="00692BC1">
        <w:t>with disability</w:t>
      </w:r>
      <w:r>
        <w:t xml:space="preserve"> felt supported about their sexuality or gender identity by classmates (39.3%; n = 266) than those not reporting disability (45.1%; n = 724). Overall, 89.5% (n = 1216) of participants with disability reported feeling supported by friends compared to 87.5% (n = 2656) without disability. Similarly, two-thirds (66.2%; n = 382) of participants with disability reported feeling supported by teachers compared to 65.6% (n = 589) of participants without disability. </w:t>
      </w:r>
    </w:p>
    <w:p w14:paraId="66013E30" w14:textId="77777777" w:rsidR="009D0006" w:rsidRDefault="009D0006" w:rsidP="009D0006">
      <w:r>
        <w:t>Among participants reporting disability, less than two-thirds reported feeling supported by family. Approximately 60% of participants with autism/neurodiversity reported feeling supported by family (60.4%; n = 314), followed by participants with a mental health condition (57.5%; n = 458), participants with intellectual disability (56.4%; n = 53), participants with autism/neurodiversity and intellectual disability (54.8%; n = 102) and participants with physical or sensory disability (54.1%; n = 314).</w:t>
      </w:r>
    </w:p>
    <w:p w14:paraId="58BBA402" w14:textId="77777777" w:rsidR="009D0006" w:rsidRDefault="009D0006" w:rsidP="009D0006">
      <w:r>
        <w:t xml:space="preserve">Among participants reporting disability, more than four-fifths reported feeling supported by friends. Over 90% of participants with intellectual disability reported feeling supported by friends (92.3%; n = 108), followed by participants with autism/neurodiversity (90.9%; n = 568), participants with a mental health condition (90.3%; n = 916), participants with autism/neurodiversity and intellectual disability (89.7%; n = 183) and participants with physical or sensory disability (87.9%; n = 593). </w:t>
      </w:r>
    </w:p>
    <w:p w14:paraId="318FC222" w14:textId="77777777" w:rsidR="009D0006" w:rsidRDefault="009D0006" w:rsidP="009D0006">
      <w:r>
        <w:t xml:space="preserve">Among participants reporting disability, less than half reported feeling supported by classmates. Just over two-fifths of participants with a mental health condition reported feeling supported by classmates (41.5%; n = 231), followed by participants with autism/neurodiversity (38.5%; n = 122), participants with a physical or sensory disability (37.8%; n = 127), participants with autism/neurodiversity and intellectual disability (33.3%; n = 30) and participants with an intellectual disability (32.1%; n = 18). </w:t>
      </w:r>
    </w:p>
    <w:p w14:paraId="73177148" w14:textId="77777777" w:rsidR="009D0006" w:rsidRDefault="009D0006" w:rsidP="009D0006">
      <w:r>
        <w:t>Among</w:t>
      </w:r>
      <w:r>
        <w:lastRenderedPageBreak/>
        <w:t xml:space="preserve"> parti</w:t>
      </w:r>
      <w:r>
        <w:lastRenderedPageBreak/>
        <w:t>cipants reporting disability, approximately two-thirds or fewer reported feeling supported by teachers. Participants with a physical or sensory disability had the largest proportion (67.8%; n = 196), followed by participants with autism/neurodiversity (67.0%; n = 193), participants with a mental health condition (65.9%; n = 236), participants with an intellectual disability (60.0%; n = 27) and participants with autism/neurodiversity and intellectual disability (58.6%; n = 58).</w:t>
      </w:r>
    </w:p>
    <w:p w14:paraId="6561DCAD" w14:textId="72304A22" w:rsidR="009D0006" w:rsidRPr="00F979FC" w:rsidRDefault="009D0006" w:rsidP="00153892">
      <w:pPr>
        <w:pStyle w:val="Heading2Numbered"/>
      </w:pPr>
      <w:bookmarkStart w:id="399" w:name="_Toc115968551"/>
      <w:bookmarkStart w:id="400" w:name="_Toc119662418"/>
      <w:r w:rsidRPr="00F979FC">
        <w:t>Feelings of acceptance</w:t>
      </w:r>
      <w:bookmarkEnd w:id="392"/>
      <w:bookmarkEnd w:id="393"/>
      <w:bookmarkEnd w:id="394"/>
      <w:bookmarkEnd w:id="395"/>
      <w:r>
        <w:t xml:space="preserve"> </w:t>
      </w:r>
      <w:r w:rsidRPr="00F979FC">
        <w:t xml:space="preserve">– </w:t>
      </w:r>
      <w:r>
        <w:t>adults</w:t>
      </w:r>
      <w:r w:rsidRPr="00F979FC">
        <w:t xml:space="preserve"> aged </w:t>
      </w:r>
      <w:r>
        <w:t>18+</w:t>
      </w:r>
      <w:r w:rsidRPr="00F979FC">
        <w:t xml:space="preserve"> years</w:t>
      </w:r>
      <w:bookmarkEnd w:id="399"/>
      <w:bookmarkEnd w:id="400"/>
    </w:p>
    <w:p w14:paraId="765BCD0F" w14:textId="77777777" w:rsidR="009D0006" w:rsidRPr="00C03836" w:rsidRDefault="009D0006" w:rsidP="009D0006">
      <w:r w:rsidRPr="00C03836">
        <w:t xml:space="preserve">Participants </w:t>
      </w:r>
      <w:r>
        <w:t>from</w:t>
      </w:r>
      <w:r w:rsidRPr="00C03836">
        <w:t xml:space="preserve"> </w:t>
      </w:r>
      <w:r w:rsidRPr="009E4A81">
        <w:rPr>
          <w:i/>
          <w:iCs/>
        </w:rPr>
        <w:t>Private Lives 3</w:t>
      </w:r>
      <w:r w:rsidRPr="00C03836">
        <w:t xml:space="preserve"> were asked to report on the extent to which they currently felt accepted in a variety of situations. Response options included ‘not applicable’, ‘not at all’, ‘a little’, ‘somewhat’, ‘a lot’ and ‘always’. Responses were analysed only among participants who reported that a situation was applicable to them.</w:t>
      </w:r>
      <w:r>
        <w:t xml:space="preserve"> Table 30 </w:t>
      </w:r>
      <w:r w:rsidRPr="00C03836">
        <w:t xml:space="preserve">displays the numbers and percentages of participants </w:t>
      </w:r>
      <w:r>
        <w:t xml:space="preserve">aged 18+ years </w:t>
      </w:r>
      <w:r w:rsidRPr="00C03836">
        <w:t xml:space="preserve">with disability who felt they were accepted a lot or always in each situation. </w:t>
      </w:r>
    </w:p>
    <w:p w14:paraId="3AD6AE16" w14:textId="77777777" w:rsidR="009D0006" w:rsidRPr="00F979FC" w:rsidRDefault="009D0006" w:rsidP="00676B44">
      <w:pPr>
        <w:pStyle w:val="Tableheading"/>
      </w:pPr>
      <w:bookmarkStart w:id="401" w:name="_Toc37345836"/>
      <w:bookmarkStart w:id="402" w:name="_Toc46861263"/>
      <w:bookmarkStart w:id="403" w:name="_Toc117062748"/>
      <w:bookmarkStart w:id="404" w:name="_Toc119651433"/>
      <w:bookmarkStart w:id="405" w:name="_Hlk37337868"/>
      <w:r>
        <w:t>T</w:t>
      </w:r>
      <w:r w:rsidRPr="008E765C">
        <w:t xml:space="preserve">able </w:t>
      </w:r>
      <w:r w:rsidR="00C9023A">
        <w:fldChar w:fldCharType="begin"/>
      </w:r>
      <w:r w:rsidR="00C9023A">
        <w:instrText xml:space="preserve"> SEQ Table \* ARABIC </w:instrText>
      </w:r>
      <w:r w:rsidR="00C9023A">
        <w:fldChar w:fldCharType="separate"/>
      </w:r>
      <w:r>
        <w:rPr>
          <w:noProof/>
        </w:rPr>
        <w:t>30</w:t>
      </w:r>
      <w:r w:rsidR="00C9023A">
        <w:rPr>
          <w:noProof/>
        </w:rPr>
        <w:fldChar w:fldCharType="end"/>
      </w:r>
      <w:r w:rsidRPr="008E765C">
        <w:t>:</w:t>
      </w:r>
      <w:r>
        <w:t xml:space="preserve"> Proportion of adults with disability aged 18+ years who currently</w:t>
      </w:r>
      <w:r w:rsidRPr="00D92227">
        <w:t xml:space="preserve"> feel accepted ‘a lot’ or ‘always’</w:t>
      </w:r>
      <w:bookmarkEnd w:id="401"/>
      <w:bookmarkEnd w:id="402"/>
      <w:r w:rsidRPr="00F979FC">
        <w:t xml:space="preserve"> </w:t>
      </w:r>
      <w:r>
        <w:t>in the following situations</w:t>
      </w:r>
      <w:bookmarkEnd w:id="403"/>
      <w:bookmarkEnd w:id="404"/>
      <w:r>
        <w:t xml:space="preserve"> </w:t>
      </w:r>
    </w:p>
    <w:tbl>
      <w:tblPr>
        <w:tblStyle w:val="RCTable"/>
        <w:tblW w:w="9864" w:type="dxa"/>
        <w:tblInd w:w="-23" w:type="dxa"/>
        <w:tblLook w:val="04A0" w:firstRow="1" w:lastRow="0" w:firstColumn="1" w:lastColumn="0" w:noHBand="0" w:noVBand="1"/>
      </w:tblPr>
      <w:tblGrid>
        <w:gridCol w:w="6746"/>
        <w:gridCol w:w="1559"/>
        <w:gridCol w:w="1559"/>
      </w:tblGrid>
      <w:tr w:rsidR="009D0006" w:rsidRPr="007D4D02" w14:paraId="7E4E4169" w14:textId="77777777" w:rsidTr="00676B4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8E162B9" w14:textId="77777777" w:rsidR="009D0006" w:rsidRPr="007D4D02" w:rsidRDefault="009D0006" w:rsidP="00676B44">
            <w:pPr>
              <w:pStyle w:val="Tableheader"/>
            </w:pPr>
            <w:r w:rsidRPr="007D4D02">
              <w:t>Currently, to what extent do you feel accepted in the following situations?</w:t>
            </w:r>
          </w:p>
        </w:tc>
        <w:tc>
          <w:tcPr>
            <w:tcW w:w="1559" w:type="dxa"/>
            <w:noWrap/>
            <w:hideMark/>
          </w:tcPr>
          <w:p w14:paraId="59954027" w14:textId="77777777" w:rsidR="009D0006" w:rsidRPr="007D4D02" w:rsidRDefault="009D0006" w:rsidP="00676B44">
            <w:pPr>
              <w:pStyle w:val="Tableheader"/>
            </w:pPr>
            <w:r w:rsidRPr="007D4D02">
              <w:t>n</w:t>
            </w:r>
          </w:p>
        </w:tc>
        <w:tc>
          <w:tcPr>
            <w:tcW w:w="1559" w:type="dxa"/>
            <w:noWrap/>
            <w:hideMark/>
          </w:tcPr>
          <w:p w14:paraId="4DCAF60D" w14:textId="77777777" w:rsidR="009D0006" w:rsidRPr="007D4D02" w:rsidRDefault="009D0006" w:rsidP="00676B44">
            <w:pPr>
              <w:pStyle w:val="Tableheader"/>
            </w:pPr>
            <w:r w:rsidRPr="007D4D02">
              <w:t>%</w:t>
            </w:r>
          </w:p>
        </w:tc>
      </w:tr>
      <w:tr w:rsidR="009D0006" w:rsidRPr="00D92227" w14:paraId="1F2BFFB2"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B30608B" w14:textId="77777777" w:rsidR="009D0006" w:rsidRPr="007D4D02" w:rsidRDefault="009D0006" w:rsidP="00676B44">
            <w:pPr>
              <w:pStyle w:val="Tabletext"/>
            </w:pPr>
            <w:r w:rsidRPr="007D4D02">
              <w:t>LGBTIQ event or venue</w:t>
            </w:r>
          </w:p>
        </w:tc>
        <w:tc>
          <w:tcPr>
            <w:tcW w:w="1559" w:type="dxa"/>
            <w:noWrap/>
          </w:tcPr>
          <w:p w14:paraId="29F470AA" w14:textId="77777777" w:rsidR="009D0006" w:rsidRPr="007D4D02" w:rsidRDefault="009D0006" w:rsidP="00676B44">
            <w:pPr>
              <w:pStyle w:val="Tabletext"/>
            </w:pPr>
            <w:r w:rsidRPr="007D4D02">
              <w:t>1284</w:t>
            </w:r>
          </w:p>
        </w:tc>
        <w:tc>
          <w:tcPr>
            <w:tcW w:w="1559" w:type="dxa"/>
            <w:noWrap/>
          </w:tcPr>
          <w:p w14:paraId="2192FE21" w14:textId="77777777" w:rsidR="009D0006" w:rsidRPr="007D4D02" w:rsidRDefault="009D0006" w:rsidP="00676B44">
            <w:pPr>
              <w:pStyle w:val="Tabletext"/>
            </w:pPr>
            <w:r w:rsidRPr="007D4D02">
              <w:t>59.5</w:t>
            </w:r>
          </w:p>
        </w:tc>
      </w:tr>
      <w:tr w:rsidR="009D0006" w:rsidRPr="00D92227" w14:paraId="0EF2715A" w14:textId="77777777" w:rsidTr="00676B4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5FD22FB" w14:textId="77777777" w:rsidR="009D0006" w:rsidRPr="007D4D02" w:rsidRDefault="009D0006" w:rsidP="00676B44">
            <w:pPr>
              <w:pStyle w:val="Tabletext"/>
            </w:pPr>
            <w:r w:rsidRPr="007D4D02">
              <w:t>At work</w:t>
            </w:r>
          </w:p>
        </w:tc>
        <w:tc>
          <w:tcPr>
            <w:tcW w:w="1559" w:type="dxa"/>
            <w:noWrap/>
          </w:tcPr>
          <w:p w14:paraId="0B33F6CA" w14:textId="77777777" w:rsidR="009D0006" w:rsidRPr="007D4D02" w:rsidRDefault="009D0006" w:rsidP="00676B44">
            <w:pPr>
              <w:pStyle w:val="Tabletext"/>
            </w:pPr>
            <w:r w:rsidRPr="007D4D02">
              <w:t>853</w:t>
            </w:r>
          </w:p>
        </w:tc>
        <w:tc>
          <w:tcPr>
            <w:tcW w:w="1559" w:type="dxa"/>
            <w:noWrap/>
          </w:tcPr>
          <w:p w14:paraId="638F63BF" w14:textId="77777777" w:rsidR="009D0006" w:rsidRPr="007D4D02" w:rsidRDefault="009D0006" w:rsidP="00676B44">
            <w:pPr>
              <w:pStyle w:val="Tabletext"/>
            </w:pPr>
            <w:r w:rsidRPr="007D4D02">
              <w:t>45.9</w:t>
            </w:r>
          </w:p>
        </w:tc>
      </w:tr>
      <w:tr w:rsidR="009D0006" w:rsidRPr="00D92227" w14:paraId="5715E295"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5F350CE" w14:textId="77777777" w:rsidR="009D0006" w:rsidRPr="007D4D02" w:rsidRDefault="009D0006" w:rsidP="00676B44">
            <w:pPr>
              <w:pStyle w:val="Tabletext"/>
            </w:pPr>
            <w:r w:rsidRPr="007D4D02">
              <w:t>At an educational institution</w:t>
            </w:r>
          </w:p>
        </w:tc>
        <w:tc>
          <w:tcPr>
            <w:tcW w:w="1559" w:type="dxa"/>
            <w:noWrap/>
          </w:tcPr>
          <w:p w14:paraId="626FB0C5" w14:textId="77777777" w:rsidR="009D0006" w:rsidRPr="007D4D02" w:rsidRDefault="009D0006" w:rsidP="00676B44">
            <w:pPr>
              <w:pStyle w:val="Tabletext"/>
            </w:pPr>
            <w:r w:rsidRPr="007D4D02">
              <w:t>763</w:t>
            </w:r>
          </w:p>
        </w:tc>
        <w:tc>
          <w:tcPr>
            <w:tcW w:w="1559" w:type="dxa"/>
            <w:noWrap/>
          </w:tcPr>
          <w:p w14:paraId="71DD6FC6" w14:textId="77777777" w:rsidR="009D0006" w:rsidRPr="007D4D02" w:rsidRDefault="009D0006" w:rsidP="00676B44">
            <w:pPr>
              <w:pStyle w:val="Tabletext"/>
            </w:pPr>
            <w:r w:rsidRPr="007D4D02">
              <w:t>46.2</w:t>
            </w:r>
          </w:p>
        </w:tc>
      </w:tr>
      <w:tr w:rsidR="009D0006" w:rsidRPr="00D92227" w14:paraId="616E2003" w14:textId="77777777" w:rsidTr="00676B4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DA25E71" w14:textId="77777777" w:rsidR="009D0006" w:rsidRPr="007D4D02" w:rsidRDefault="009D0006" w:rsidP="00676B44">
            <w:pPr>
              <w:pStyle w:val="Tabletext"/>
            </w:pPr>
            <w:r w:rsidRPr="007D4D02">
              <w:t>LGBTIQ dating app or website</w:t>
            </w:r>
          </w:p>
        </w:tc>
        <w:tc>
          <w:tcPr>
            <w:tcW w:w="1559" w:type="dxa"/>
            <w:noWrap/>
          </w:tcPr>
          <w:p w14:paraId="590E1FF7" w14:textId="77777777" w:rsidR="009D0006" w:rsidRPr="007D4D02" w:rsidRDefault="009D0006" w:rsidP="00676B44">
            <w:pPr>
              <w:pStyle w:val="Tabletext"/>
            </w:pPr>
            <w:r w:rsidRPr="007D4D02">
              <w:t>633</w:t>
            </w:r>
          </w:p>
        </w:tc>
        <w:tc>
          <w:tcPr>
            <w:tcW w:w="1559" w:type="dxa"/>
            <w:noWrap/>
          </w:tcPr>
          <w:p w14:paraId="0DED3DF2" w14:textId="77777777" w:rsidR="009D0006" w:rsidRPr="007D4D02" w:rsidRDefault="009D0006" w:rsidP="00676B44">
            <w:pPr>
              <w:pStyle w:val="Tabletext"/>
            </w:pPr>
            <w:r w:rsidRPr="007D4D02">
              <w:t>44.0</w:t>
            </w:r>
          </w:p>
        </w:tc>
      </w:tr>
      <w:tr w:rsidR="009D0006" w:rsidRPr="00D92227" w14:paraId="77A0C77E"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8CF0EA5" w14:textId="77777777" w:rsidR="009D0006" w:rsidRPr="007D4D02" w:rsidRDefault="009D0006" w:rsidP="00676B44">
            <w:pPr>
              <w:pStyle w:val="Tabletext"/>
            </w:pPr>
            <w:r w:rsidRPr="007D4D02">
              <w:t>With family members</w:t>
            </w:r>
          </w:p>
        </w:tc>
        <w:tc>
          <w:tcPr>
            <w:tcW w:w="1559" w:type="dxa"/>
            <w:noWrap/>
          </w:tcPr>
          <w:p w14:paraId="1A71BDF0" w14:textId="77777777" w:rsidR="009D0006" w:rsidRPr="007D4D02" w:rsidRDefault="009D0006" w:rsidP="00676B44">
            <w:pPr>
              <w:pStyle w:val="Tabletext"/>
            </w:pPr>
            <w:r w:rsidRPr="007D4D02">
              <w:t>1091</w:t>
            </w:r>
          </w:p>
        </w:tc>
        <w:tc>
          <w:tcPr>
            <w:tcW w:w="1559" w:type="dxa"/>
            <w:noWrap/>
          </w:tcPr>
          <w:p w14:paraId="18906C8B" w14:textId="77777777" w:rsidR="009D0006" w:rsidRPr="007D4D02" w:rsidRDefault="009D0006" w:rsidP="00676B44">
            <w:pPr>
              <w:pStyle w:val="Tabletext"/>
            </w:pPr>
            <w:r w:rsidRPr="007D4D02">
              <w:t>43.2</w:t>
            </w:r>
          </w:p>
        </w:tc>
      </w:tr>
      <w:tr w:rsidR="009D0006" w:rsidRPr="00D92227" w14:paraId="72DE5016" w14:textId="77777777" w:rsidTr="00676B4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E12130C" w14:textId="77777777" w:rsidR="009D0006" w:rsidRPr="007D4D02" w:rsidRDefault="009D0006" w:rsidP="00676B44">
            <w:pPr>
              <w:pStyle w:val="Tabletext"/>
            </w:pPr>
            <w:r w:rsidRPr="007D4D02">
              <w:t>Accessing a health or support service</w:t>
            </w:r>
          </w:p>
        </w:tc>
        <w:tc>
          <w:tcPr>
            <w:tcW w:w="1559" w:type="dxa"/>
            <w:noWrap/>
          </w:tcPr>
          <w:p w14:paraId="4671B150" w14:textId="77777777" w:rsidR="009D0006" w:rsidRPr="007D4D02" w:rsidRDefault="009D0006" w:rsidP="00676B44">
            <w:pPr>
              <w:pStyle w:val="Tabletext"/>
            </w:pPr>
            <w:r w:rsidRPr="007D4D02">
              <w:t>839</w:t>
            </w:r>
          </w:p>
        </w:tc>
        <w:tc>
          <w:tcPr>
            <w:tcW w:w="1559" w:type="dxa"/>
            <w:noWrap/>
          </w:tcPr>
          <w:p w14:paraId="12AC30F1" w14:textId="77777777" w:rsidR="009D0006" w:rsidRPr="007D4D02" w:rsidRDefault="009D0006" w:rsidP="00676B44">
            <w:pPr>
              <w:pStyle w:val="Tabletext"/>
            </w:pPr>
            <w:r w:rsidRPr="007D4D02">
              <w:t>34.5</w:t>
            </w:r>
          </w:p>
        </w:tc>
      </w:tr>
      <w:tr w:rsidR="009D0006" w:rsidRPr="00D92227" w14:paraId="42E0B979"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5B34138" w14:textId="77777777" w:rsidR="009D0006" w:rsidRPr="007D4D02" w:rsidRDefault="009D0006" w:rsidP="00676B44">
            <w:pPr>
              <w:pStyle w:val="Tabletext"/>
            </w:pPr>
            <w:r w:rsidRPr="007D4D02">
              <w:t>Social or community events</w:t>
            </w:r>
          </w:p>
        </w:tc>
        <w:tc>
          <w:tcPr>
            <w:tcW w:w="1559" w:type="dxa"/>
            <w:noWrap/>
          </w:tcPr>
          <w:p w14:paraId="58D9EA78" w14:textId="77777777" w:rsidR="009D0006" w:rsidRPr="007D4D02" w:rsidRDefault="009D0006" w:rsidP="00676B44">
            <w:pPr>
              <w:pStyle w:val="Tabletext"/>
            </w:pPr>
            <w:r w:rsidRPr="007D4D02">
              <w:t>608</w:t>
            </w:r>
          </w:p>
        </w:tc>
        <w:tc>
          <w:tcPr>
            <w:tcW w:w="1559" w:type="dxa"/>
            <w:noWrap/>
          </w:tcPr>
          <w:p w14:paraId="3B04D15D" w14:textId="77777777" w:rsidR="009D0006" w:rsidRPr="007D4D02" w:rsidRDefault="009D0006" w:rsidP="00676B44">
            <w:pPr>
              <w:pStyle w:val="Tabletext"/>
            </w:pPr>
            <w:r w:rsidRPr="007D4D02">
              <w:t>25.9</w:t>
            </w:r>
          </w:p>
        </w:tc>
      </w:tr>
      <w:tr w:rsidR="009D0006" w:rsidRPr="00D92227" w14:paraId="4323BF7F" w14:textId="77777777" w:rsidTr="00676B4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23824E2" w14:textId="77777777" w:rsidR="009D0006" w:rsidRPr="00676B44" w:rsidRDefault="009D0006" w:rsidP="00676B44">
            <w:pPr>
              <w:pStyle w:val="Tabletext"/>
            </w:pPr>
            <w:r w:rsidRPr="00676B44">
              <w:t>In public (e.g., in the street or park)</w:t>
            </w:r>
          </w:p>
        </w:tc>
        <w:tc>
          <w:tcPr>
            <w:tcW w:w="1559" w:type="dxa"/>
            <w:noWrap/>
          </w:tcPr>
          <w:p w14:paraId="7EEBC857" w14:textId="77777777" w:rsidR="009D0006" w:rsidRPr="00676B44" w:rsidRDefault="009D0006" w:rsidP="00676B44">
            <w:pPr>
              <w:pStyle w:val="Tabletext"/>
            </w:pPr>
            <w:r w:rsidRPr="00676B44">
              <w:t>585</w:t>
            </w:r>
          </w:p>
        </w:tc>
        <w:tc>
          <w:tcPr>
            <w:tcW w:w="1559" w:type="dxa"/>
            <w:noWrap/>
          </w:tcPr>
          <w:p w14:paraId="3671B46E" w14:textId="77777777" w:rsidR="009D0006" w:rsidRPr="00676B44" w:rsidRDefault="009D0006" w:rsidP="00676B44">
            <w:pPr>
              <w:pStyle w:val="Tabletext"/>
            </w:pPr>
            <w:r w:rsidRPr="00676B44">
              <w:t>23.9</w:t>
            </w:r>
          </w:p>
        </w:tc>
      </w:tr>
      <w:tr w:rsidR="009D0006" w:rsidRPr="00D92227" w14:paraId="20206A1B"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D763551" w14:textId="77777777" w:rsidR="009D0006" w:rsidRPr="00676B44" w:rsidRDefault="009D0006" w:rsidP="00676B44">
            <w:pPr>
              <w:pStyle w:val="Tabletext"/>
            </w:pPr>
            <w:r w:rsidRPr="00676B44">
              <w:t>Mainstream event</w:t>
            </w:r>
          </w:p>
        </w:tc>
        <w:tc>
          <w:tcPr>
            <w:tcW w:w="1559" w:type="dxa"/>
            <w:noWrap/>
          </w:tcPr>
          <w:p w14:paraId="4AE83785" w14:textId="77777777" w:rsidR="009D0006" w:rsidRPr="00676B44" w:rsidRDefault="009D0006" w:rsidP="00676B44">
            <w:pPr>
              <w:pStyle w:val="Tabletext"/>
            </w:pPr>
            <w:r w:rsidRPr="00676B44">
              <w:t>483</w:t>
            </w:r>
          </w:p>
        </w:tc>
        <w:tc>
          <w:tcPr>
            <w:tcW w:w="1559" w:type="dxa"/>
            <w:noWrap/>
          </w:tcPr>
          <w:p w14:paraId="49A6D404" w14:textId="77777777" w:rsidR="009D0006" w:rsidRPr="00676B44" w:rsidRDefault="009D0006" w:rsidP="00676B44">
            <w:pPr>
              <w:pStyle w:val="Tabletext"/>
            </w:pPr>
            <w:r w:rsidRPr="00676B44">
              <w:t>20.9</w:t>
            </w:r>
          </w:p>
        </w:tc>
      </w:tr>
      <w:tr w:rsidR="009D0006" w:rsidRPr="00D92227" w14:paraId="7320CEFB" w14:textId="77777777" w:rsidTr="00676B4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69360AF" w14:textId="77777777" w:rsidR="009D0006" w:rsidRPr="00676B44" w:rsidRDefault="009D0006" w:rsidP="00676B44">
            <w:pPr>
              <w:pStyle w:val="Tabletext"/>
            </w:pPr>
            <w:r w:rsidRPr="00676B44">
              <w:t>Non-LGBTIQ dating app or website</w:t>
            </w:r>
          </w:p>
        </w:tc>
        <w:tc>
          <w:tcPr>
            <w:tcW w:w="1559" w:type="dxa"/>
            <w:noWrap/>
          </w:tcPr>
          <w:p w14:paraId="2EF0C901" w14:textId="77777777" w:rsidR="009D0006" w:rsidRPr="00676B44" w:rsidRDefault="009D0006" w:rsidP="00676B44">
            <w:pPr>
              <w:pStyle w:val="Tabletext"/>
            </w:pPr>
            <w:r w:rsidRPr="00676B44">
              <w:t>196</w:t>
            </w:r>
          </w:p>
        </w:tc>
        <w:tc>
          <w:tcPr>
            <w:tcW w:w="1559" w:type="dxa"/>
            <w:noWrap/>
          </w:tcPr>
          <w:p w14:paraId="665C0460" w14:textId="77777777" w:rsidR="009D0006" w:rsidRPr="00676B44" w:rsidRDefault="009D0006" w:rsidP="00676B44">
            <w:pPr>
              <w:pStyle w:val="Tabletext"/>
            </w:pPr>
            <w:r w:rsidRPr="00676B44">
              <w:t>15.1</w:t>
            </w:r>
          </w:p>
        </w:tc>
      </w:tr>
      <w:tr w:rsidR="009D0006" w:rsidRPr="00D92227" w14:paraId="31DEE9F5" w14:textId="77777777" w:rsidTr="00676B4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CB179E7" w14:textId="77777777" w:rsidR="009D0006" w:rsidRPr="00676B44" w:rsidRDefault="009D0006" w:rsidP="00676B44">
            <w:pPr>
              <w:pStyle w:val="Tabletext"/>
            </w:pPr>
            <w:r w:rsidRPr="00676B44">
              <w:t>Religious or faith-based events or services</w:t>
            </w:r>
          </w:p>
        </w:tc>
        <w:tc>
          <w:tcPr>
            <w:tcW w:w="1559" w:type="dxa"/>
            <w:noWrap/>
          </w:tcPr>
          <w:p w14:paraId="4F9E8389" w14:textId="77777777" w:rsidR="009D0006" w:rsidRPr="00676B44" w:rsidRDefault="009D0006" w:rsidP="00676B44">
            <w:pPr>
              <w:pStyle w:val="Tabletext"/>
            </w:pPr>
            <w:r w:rsidRPr="00676B44">
              <w:t>134</w:t>
            </w:r>
          </w:p>
        </w:tc>
        <w:tc>
          <w:tcPr>
            <w:tcW w:w="1559" w:type="dxa"/>
            <w:noWrap/>
          </w:tcPr>
          <w:p w14:paraId="0F28F8D6" w14:textId="77777777" w:rsidR="009D0006" w:rsidRPr="00676B44" w:rsidRDefault="009D0006" w:rsidP="00676B44">
            <w:pPr>
              <w:pStyle w:val="Tabletext"/>
            </w:pPr>
            <w:r w:rsidRPr="00676B44">
              <w:t>9.7</w:t>
            </w:r>
          </w:p>
        </w:tc>
      </w:tr>
    </w:tbl>
    <w:bookmarkEnd w:id="405"/>
    <w:p w14:paraId="4FC22908" w14:textId="77777777" w:rsidR="009D0006" w:rsidRPr="00676B44" w:rsidRDefault="009D0006" w:rsidP="00676B44">
      <w:pPr>
        <w:pStyle w:val="TableTextNotebelow"/>
        <w:rPr>
          <w:i/>
        </w:rPr>
      </w:pPr>
      <w:r w:rsidRPr="00676B44">
        <w:rPr>
          <w:i/>
        </w:rPr>
        <w:t>Note: Respo</w:t>
      </w:r>
      <w:r w:rsidRPr="00676B44">
        <w:rPr>
          <w:i/>
        </w:rPr>
        <w:lastRenderedPageBreak/>
        <w:t xml:space="preserve">nses were analysed among participants who reported that a situation was applicable to them therefore an overall ‘n’ is not provided. </w:t>
      </w:r>
    </w:p>
    <w:p w14:paraId="1230902B" w14:textId="77777777" w:rsidR="009D0006" w:rsidRPr="008B6944" w:rsidRDefault="009D0006" w:rsidP="00603068">
      <w:pPr>
        <w:spacing w:before="360"/>
      </w:pPr>
      <w:bookmarkStart w:id="406" w:name="_Toc46861101"/>
      <w:r>
        <w:t xml:space="preserve">As displayed in Table 30, participants reporting disability from </w:t>
      </w:r>
      <w:r>
        <w:rPr>
          <w:i/>
          <w:iCs/>
        </w:rPr>
        <w:t>Private Lives 3</w:t>
      </w:r>
      <w:r>
        <w:t xml:space="preserve"> were most likely to feel accepted at an LGBTIQ event or venue (59.5%; n = 1284). Less than half felt accepted at work (45.9%, n = 853), at an education institution (46.2%, n = 763), on LGBTIQ dating apps or websites (44.0%; n = 633), with family members (43.2%; n = 1091) and accessing a health or support service (34.5%, n = 839). Approximately one-quarter of participants felt supported at social or community events (25.9%; n = 608) and in public, such as in the street or park (23.9%; n = 585). Few participants felt accepted at mainstream events (20.9%; n = 483), on non-LGBTIQ dating apps or websites (15.1%; n = 196) or at religious or faith-based events or services (9.7%, n = 134). </w:t>
      </w:r>
    </w:p>
    <w:p w14:paraId="6C177625" w14:textId="77777777" w:rsidR="009D0006" w:rsidRPr="00B56A84" w:rsidRDefault="009D0006" w:rsidP="009D0006">
      <w:r>
        <w:rPr>
          <w:bCs/>
        </w:rPr>
        <w:t xml:space="preserve">The extent to which participants with disability in </w:t>
      </w:r>
      <w:r w:rsidRPr="007D5B9B">
        <w:rPr>
          <w:bCs/>
          <w:i/>
          <w:iCs/>
        </w:rPr>
        <w:t>Private Lives 3</w:t>
      </w:r>
      <w:r>
        <w:rPr>
          <w:bCs/>
        </w:rPr>
        <w:t xml:space="preserve"> </w:t>
      </w:r>
      <w:r>
        <w:t>feel accepted at LGBTIQ events, with family members, at work and when accessing a health or support service was analysed according to the Disability Flag categories. Tables 31.1-31.4 display these results</w:t>
      </w:r>
      <w:r w:rsidRPr="00F979FC">
        <w:t xml:space="preserve">. </w:t>
      </w:r>
    </w:p>
    <w:p w14:paraId="5B1C4FF1" w14:textId="77777777" w:rsidR="009D0006" w:rsidRDefault="009D0006" w:rsidP="00676B44">
      <w:pPr>
        <w:pStyle w:val="Tableheading"/>
      </w:pPr>
      <w:bookmarkStart w:id="407" w:name="_Toc117062749"/>
      <w:bookmarkStart w:id="408" w:name="_Toc119651434"/>
      <w:r w:rsidRPr="008E765C">
        <w:t>Table</w:t>
      </w:r>
      <w:r>
        <w:t>s</w:t>
      </w:r>
      <w:r w:rsidRPr="008E765C">
        <w:t xml:space="preserve"> </w:t>
      </w:r>
      <w:r w:rsidR="00C9023A">
        <w:fldChar w:fldCharType="begin"/>
      </w:r>
      <w:r w:rsidR="00C9023A">
        <w:instrText xml:space="preserve"> SEQ Table \* ARABIC </w:instrText>
      </w:r>
      <w:r w:rsidR="00C9023A">
        <w:fldChar w:fldCharType="separate"/>
      </w:r>
      <w:r>
        <w:rPr>
          <w:noProof/>
        </w:rPr>
        <w:t>31</w:t>
      </w:r>
      <w:r w:rsidR="00C9023A">
        <w:rPr>
          <w:noProof/>
        </w:rPr>
        <w:fldChar w:fldCharType="end"/>
      </w:r>
      <w:r>
        <w:t>.1-31.4</w:t>
      </w:r>
      <w:r w:rsidRPr="008E765C">
        <w:t>:</w:t>
      </w:r>
      <w:r>
        <w:t xml:space="preserve"> Proportion of adults with disability aged 18+ years who currently</w:t>
      </w:r>
      <w:r w:rsidRPr="00D92227">
        <w:t xml:space="preserve"> feel accepted ‘a lot</w:t>
      </w:r>
      <w:r>
        <w:t>’ or ‘</w:t>
      </w:r>
      <w:r w:rsidRPr="00D92227">
        <w:t>always’</w:t>
      </w:r>
      <w:r>
        <w:t xml:space="preserve">, grouped </w:t>
      </w:r>
      <w:r w:rsidRPr="00D92227">
        <w:t xml:space="preserve">by </w:t>
      </w:r>
      <w:bookmarkEnd w:id="406"/>
      <w:r>
        <w:t>Disability Flag category</w:t>
      </w:r>
      <w:bookmarkEnd w:id="407"/>
      <w:bookmarkEnd w:id="408"/>
      <w:r>
        <w:t xml:space="preserve"> </w:t>
      </w:r>
    </w:p>
    <w:p w14:paraId="6833BCF8" w14:textId="77777777" w:rsidR="009D0006" w:rsidRDefault="009D0006" w:rsidP="00676B44">
      <w:pPr>
        <w:pStyle w:val="Tableheading"/>
      </w:pPr>
      <w:r>
        <w:t>Table 31.1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66149D9" w14:textId="77777777" w:rsidTr="00CB72A3">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23E56FEE" w14:textId="77777777" w:rsidR="009D0006" w:rsidRPr="003F4D73" w:rsidRDefault="009D0006" w:rsidP="00CB72A3">
            <w:pPr>
              <w:pStyle w:val="Tableheader"/>
            </w:pPr>
            <w:r w:rsidRPr="003F4D73">
              <w:t>Feel accepted a lot or always</w:t>
            </w:r>
          </w:p>
        </w:tc>
        <w:tc>
          <w:tcPr>
            <w:tcW w:w="1559" w:type="dxa"/>
            <w:noWrap/>
            <w:hideMark/>
          </w:tcPr>
          <w:p w14:paraId="3403BE46" w14:textId="77777777" w:rsidR="009D0006" w:rsidRPr="003F4D73" w:rsidRDefault="009D0006" w:rsidP="00CB72A3">
            <w:pPr>
              <w:pStyle w:val="Tableheader"/>
            </w:pPr>
            <w:r>
              <w:t>n</w:t>
            </w:r>
          </w:p>
        </w:tc>
        <w:tc>
          <w:tcPr>
            <w:tcW w:w="1559" w:type="dxa"/>
            <w:noWrap/>
            <w:hideMark/>
          </w:tcPr>
          <w:p w14:paraId="0EA761D8" w14:textId="77777777" w:rsidR="009D0006" w:rsidRPr="003F4D73" w:rsidRDefault="009D0006" w:rsidP="00CB72A3">
            <w:pPr>
              <w:pStyle w:val="Tableheader"/>
            </w:pPr>
            <w:r w:rsidRPr="003F4D73">
              <w:t>%</w:t>
            </w:r>
          </w:p>
        </w:tc>
      </w:tr>
      <w:tr w:rsidR="009D0006" w:rsidRPr="003F4D73" w14:paraId="010FEB2E" w14:textId="77777777" w:rsidTr="00CB72A3">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D5AF462" w14:textId="77777777" w:rsidR="009D0006" w:rsidRPr="003F4D73" w:rsidRDefault="009D0006" w:rsidP="00CB72A3">
            <w:pPr>
              <w:pStyle w:val="Tabletext"/>
            </w:pPr>
            <w:r w:rsidRPr="003F4D73">
              <w:t>LGBTIQ event</w:t>
            </w:r>
          </w:p>
        </w:tc>
        <w:tc>
          <w:tcPr>
            <w:tcW w:w="1559" w:type="dxa"/>
            <w:noWrap/>
            <w:hideMark/>
          </w:tcPr>
          <w:p w14:paraId="455E1251" w14:textId="77777777" w:rsidR="009D0006" w:rsidRPr="003F4D73" w:rsidRDefault="009D0006" w:rsidP="00CB72A3">
            <w:pPr>
              <w:pStyle w:val="Tabletext"/>
            </w:pPr>
            <w:r w:rsidRPr="003F4D73">
              <w:t>248</w:t>
            </w:r>
          </w:p>
        </w:tc>
        <w:tc>
          <w:tcPr>
            <w:tcW w:w="1559" w:type="dxa"/>
            <w:noWrap/>
            <w:hideMark/>
          </w:tcPr>
          <w:p w14:paraId="44F1888A" w14:textId="77777777" w:rsidR="009D0006" w:rsidRPr="003F4D73" w:rsidRDefault="009D0006" w:rsidP="00CB72A3">
            <w:pPr>
              <w:pStyle w:val="Tabletext"/>
            </w:pPr>
            <w:r w:rsidRPr="003F4D73">
              <w:t>65.6</w:t>
            </w:r>
          </w:p>
        </w:tc>
      </w:tr>
      <w:tr w:rsidR="009D0006" w:rsidRPr="003F4D73" w14:paraId="15065C95" w14:textId="77777777" w:rsidTr="00CB72A3">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ABDFD68" w14:textId="77777777" w:rsidR="009D0006" w:rsidRPr="003F4D73" w:rsidRDefault="009D0006" w:rsidP="00CB72A3">
            <w:pPr>
              <w:pStyle w:val="Tabletext"/>
            </w:pPr>
            <w:r w:rsidRPr="003F4D73">
              <w:t>At work</w:t>
            </w:r>
          </w:p>
        </w:tc>
        <w:tc>
          <w:tcPr>
            <w:tcW w:w="1559" w:type="dxa"/>
            <w:noWrap/>
            <w:hideMark/>
          </w:tcPr>
          <w:p w14:paraId="45AF5360" w14:textId="77777777" w:rsidR="009D0006" w:rsidRPr="003F4D73" w:rsidRDefault="009D0006" w:rsidP="00CB72A3">
            <w:pPr>
              <w:pStyle w:val="Tabletext"/>
            </w:pPr>
            <w:r w:rsidRPr="003F4D73">
              <w:t>205</w:t>
            </w:r>
          </w:p>
        </w:tc>
        <w:tc>
          <w:tcPr>
            <w:tcW w:w="1559" w:type="dxa"/>
            <w:noWrap/>
            <w:hideMark/>
          </w:tcPr>
          <w:p w14:paraId="721E71F3" w14:textId="77777777" w:rsidR="009D0006" w:rsidRPr="003F4D73" w:rsidRDefault="009D0006" w:rsidP="00CB72A3">
            <w:pPr>
              <w:pStyle w:val="Tabletext"/>
            </w:pPr>
            <w:r w:rsidRPr="003F4D73">
              <w:t>59.1</w:t>
            </w:r>
          </w:p>
        </w:tc>
      </w:tr>
      <w:tr w:rsidR="009D0006" w:rsidRPr="003F4D73" w14:paraId="4E0051A5" w14:textId="77777777" w:rsidTr="00CB72A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01A89C9" w14:textId="77777777" w:rsidR="009D0006" w:rsidRPr="003F4D73" w:rsidRDefault="009D0006" w:rsidP="00CB72A3">
            <w:pPr>
              <w:pStyle w:val="Tabletext"/>
            </w:pPr>
            <w:r w:rsidRPr="003F4D73">
              <w:t>With family members</w:t>
            </w:r>
          </w:p>
        </w:tc>
        <w:tc>
          <w:tcPr>
            <w:tcW w:w="1559" w:type="dxa"/>
            <w:noWrap/>
            <w:hideMark/>
          </w:tcPr>
          <w:p w14:paraId="0524ACB4" w14:textId="77777777" w:rsidR="009D0006" w:rsidRPr="003F4D73" w:rsidRDefault="009D0006" w:rsidP="00CB72A3">
            <w:pPr>
              <w:pStyle w:val="Tabletext"/>
            </w:pPr>
            <w:r w:rsidRPr="003F4D73">
              <w:t>223</w:t>
            </w:r>
          </w:p>
        </w:tc>
        <w:tc>
          <w:tcPr>
            <w:tcW w:w="1559" w:type="dxa"/>
            <w:noWrap/>
            <w:hideMark/>
          </w:tcPr>
          <w:p w14:paraId="6B023035" w14:textId="77777777" w:rsidR="009D0006" w:rsidRPr="003F4D73" w:rsidRDefault="009D0006" w:rsidP="00CB72A3">
            <w:pPr>
              <w:pStyle w:val="Tabletext"/>
            </w:pPr>
            <w:r w:rsidRPr="003F4D73">
              <w:t>52.7</w:t>
            </w:r>
          </w:p>
        </w:tc>
      </w:tr>
      <w:tr w:rsidR="009D0006" w:rsidRPr="003F4D73" w14:paraId="606E2F2D" w14:textId="77777777" w:rsidTr="00CB72A3">
        <w:trPr>
          <w:cnfStyle w:val="000000010000" w:firstRow="0" w:lastRow="0" w:firstColumn="0" w:lastColumn="0" w:oddVBand="0" w:evenVBand="0" w:oddHBand="0" w:evenHBand="1" w:firstRowFirstColumn="0" w:firstRowLastColumn="0" w:lastRowFirstColumn="0" w:lastRowLastColumn="0"/>
          <w:trHeight w:val="57"/>
        </w:trPr>
        <w:tc>
          <w:tcPr>
            <w:tcW w:w="6746" w:type="dxa"/>
            <w:noWrap/>
            <w:hideMark/>
          </w:tcPr>
          <w:p w14:paraId="7D491276" w14:textId="77777777" w:rsidR="009D0006" w:rsidRPr="003F4D73" w:rsidRDefault="009D0006" w:rsidP="00CB72A3">
            <w:pPr>
              <w:pStyle w:val="Tabletext"/>
            </w:pPr>
            <w:r w:rsidRPr="003F4D73">
              <w:t>Accessing a health or support service</w:t>
            </w:r>
          </w:p>
        </w:tc>
        <w:tc>
          <w:tcPr>
            <w:tcW w:w="1559" w:type="dxa"/>
            <w:noWrap/>
            <w:hideMark/>
          </w:tcPr>
          <w:p w14:paraId="77562BCE" w14:textId="77777777" w:rsidR="009D0006" w:rsidRPr="003F4D73" w:rsidRDefault="009D0006" w:rsidP="00CB72A3">
            <w:pPr>
              <w:pStyle w:val="Tabletext"/>
            </w:pPr>
            <w:r w:rsidRPr="003F4D73">
              <w:t>167</w:t>
            </w:r>
          </w:p>
        </w:tc>
        <w:tc>
          <w:tcPr>
            <w:tcW w:w="1559" w:type="dxa"/>
            <w:noWrap/>
            <w:hideMark/>
          </w:tcPr>
          <w:p w14:paraId="3FDB7040" w14:textId="77777777" w:rsidR="009D0006" w:rsidRPr="003F4D73" w:rsidRDefault="009D0006" w:rsidP="00CB72A3">
            <w:pPr>
              <w:pStyle w:val="Tabletext"/>
            </w:pPr>
            <w:r w:rsidRPr="003F4D73">
              <w:t>40.7</w:t>
            </w:r>
          </w:p>
        </w:tc>
      </w:tr>
    </w:tbl>
    <w:p w14:paraId="7E14A8B6" w14:textId="77777777" w:rsidR="009D0006" w:rsidRDefault="009D0006" w:rsidP="00603068">
      <w:pPr>
        <w:pStyle w:val="Tableheading"/>
      </w:pPr>
      <w:r>
        <w:t>Table 31.2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1A1E778" w14:textId="77777777" w:rsidTr="00CB72A3">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79994660" w14:textId="77777777" w:rsidR="009D0006" w:rsidRPr="003F4D73" w:rsidRDefault="009D0006" w:rsidP="00CB72A3">
            <w:pPr>
              <w:pStyle w:val="Tableheader"/>
            </w:pPr>
            <w:r w:rsidRPr="003F4D73">
              <w:t>Feel accepted a lot or always</w:t>
            </w:r>
          </w:p>
        </w:tc>
        <w:tc>
          <w:tcPr>
            <w:tcW w:w="1559" w:type="dxa"/>
            <w:hideMark/>
          </w:tcPr>
          <w:p w14:paraId="082DBF40" w14:textId="77777777" w:rsidR="009D0006" w:rsidRPr="003F4D73" w:rsidRDefault="009D0006" w:rsidP="00CB72A3">
            <w:pPr>
              <w:pStyle w:val="Tableheader"/>
            </w:pPr>
            <w:r>
              <w:t>n</w:t>
            </w:r>
          </w:p>
        </w:tc>
        <w:tc>
          <w:tcPr>
            <w:tcW w:w="1559" w:type="dxa"/>
            <w:hideMark/>
          </w:tcPr>
          <w:p w14:paraId="5E0E9CCA" w14:textId="77777777" w:rsidR="009D0006" w:rsidRPr="003F4D73" w:rsidRDefault="009D0006" w:rsidP="00CB72A3">
            <w:pPr>
              <w:pStyle w:val="Tableheader"/>
            </w:pPr>
            <w:r w:rsidRPr="003F4D73">
              <w:t>%</w:t>
            </w:r>
          </w:p>
        </w:tc>
      </w:tr>
      <w:tr w:rsidR="009D0006" w:rsidRPr="003F4D73" w14:paraId="0AF59B1C" w14:textId="77777777" w:rsidTr="00CB72A3">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6B39CA9F" w14:textId="77777777" w:rsidR="009D0006" w:rsidRPr="003F4D73" w:rsidRDefault="009D0006" w:rsidP="00CB72A3">
            <w:pPr>
              <w:pStyle w:val="Tabletext"/>
            </w:pPr>
            <w:r w:rsidRPr="003F4D73">
              <w:t>LGBTIQ event</w:t>
            </w:r>
          </w:p>
        </w:tc>
        <w:tc>
          <w:tcPr>
            <w:tcW w:w="1559" w:type="dxa"/>
            <w:hideMark/>
          </w:tcPr>
          <w:p w14:paraId="231F227C" w14:textId="77777777" w:rsidR="009D0006" w:rsidRPr="003F4D73" w:rsidRDefault="009D0006" w:rsidP="00CB72A3">
            <w:pPr>
              <w:pStyle w:val="Tabletext"/>
            </w:pPr>
            <w:r w:rsidRPr="003F4D73">
              <w:t>719</w:t>
            </w:r>
          </w:p>
        </w:tc>
        <w:tc>
          <w:tcPr>
            <w:tcW w:w="1559" w:type="dxa"/>
            <w:hideMark/>
          </w:tcPr>
          <w:p w14:paraId="7C7AB819" w14:textId="77777777" w:rsidR="009D0006" w:rsidRPr="003F4D73" w:rsidRDefault="009D0006" w:rsidP="00CB72A3">
            <w:pPr>
              <w:pStyle w:val="Tabletext"/>
            </w:pPr>
            <w:r w:rsidRPr="003F4D73">
              <w:t>61.9</w:t>
            </w:r>
          </w:p>
        </w:tc>
      </w:tr>
      <w:tr w:rsidR="009D0006" w:rsidRPr="003F4D73" w14:paraId="20F6B886" w14:textId="77777777" w:rsidTr="00CB72A3">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B4C36C0" w14:textId="77777777" w:rsidR="009D0006" w:rsidRPr="003F4D73" w:rsidRDefault="009D0006" w:rsidP="00CB72A3">
            <w:pPr>
              <w:pStyle w:val="Tabletext"/>
            </w:pPr>
            <w:r w:rsidRPr="003F4D73">
              <w:t>At work</w:t>
            </w:r>
          </w:p>
        </w:tc>
        <w:tc>
          <w:tcPr>
            <w:tcW w:w="1559" w:type="dxa"/>
            <w:hideMark/>
          </w:tcPr>
          <w:p w14:paraId="05DD125C" w14:textId="77777777" w:rsidR="009D0006" w:rsidRPr="003F4D73" w:rsidRDefault="009D0006" w:rsidP="00CB72A3">
            <w:pPr>
              <w:pStyle w:val="Tabletext"/>
            </w:pPr>
            <w:r w:rsidRPr="003F4D73">
              <w:t>475</w:t>
            </w:r>
          </w:p>
        </w:tc>
        <w:tc>
          <w:tcPr>
            <w:tcW w:w="1559" w:type="dxa"/>
            <w:hideMark/>
          </w:tcPr>
          <w:p w14:paraId="0D160627" w14:textId="77777777" w:rsidR="009D0006" w:rsidRPr="003F4D73" w:rsidRDefault="009D0006" w:rsidP="00CB72A3">
            <w:pPr>
              <w:pStyle w:val="Tabletext"/>
            </w:pPr>
            <w:r w:rsidRPr="003F4D73">
              <w:t>48</w:t>
            </w:r>
            <w:r>
              <w:t>.0</w:t>
            </w:r>
          </w:p>
        </w:tc>
      </w:tr>
      <w:tr w:rsidR="009D0006" w:rsidRPr="003F4D73" w14:paraId="6A26A2DE" w14:textId="77777777" w:rsidTr="00CB72A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411A28E" w14:textId="77777777" w:rsidR="009D0006" w:rsidRPr="003F4D73" w:rsidRDefault="009D0006" w:rsidP="00CB72A3">
            <w:pPr>
              <w:pStyle w:val="Tabletext"/>
            </w:pPr>
            <w:r w:rsidRPr="003F4D73">
              <w:t>With family members</w:t>
            </w:r>
          </w:p>
        </w:tc>
        <w:tc>
          <w:tcPr>
            <w:tcW w:w="1559" w:type="dxa"/>
            <w:hideMark/>
          </w:tcPr>
          <w:p w14:paraId="2395EC11" w14:textId="77777777" w:rsidR="009D0006" w:rsidRPr="003F4D73" w:rsidRDefault="009D0006" w:rsidP="00CB72A3">
            <w:pPr>
              <w:pStyle w:val="Tabletext"/>
            </w:pPr>
            <w:r w:rsidRPr="003F4D73">
              <w:t>582</w:t>
            </w:r>
          </w:p>
        </w:tc>
        <w:tc>
          <w:tcPr>
            <w:tcW w:w="1559" w:type="dxa"/>
            <w:hideMark/>
          </w:tcPr>
          <w:p w14:paraId="498E10C8" w14:textId="77777777" w:rsidR="009D0006" w:rsidRPr="003F4D73" w:rsidRDefault="009D0006" w:rsidP="00CB72A3">
            <w:pPr>
              <w:pStyle w:val="Tabletext"/>
            </w:pPr>
            <w:r w:rsidRPr="003F4D73">
              <w:t>43.3</w:t>
            </w:r>
          </w:p>
        </w:tc>
      </w:tr>
      <w:tr w:rsidR="009D0006" w:rsidRPr="003F4D73" w14:paraId="6DC44639" w14:textId="77777777" w:rsidTr="00CB72A3">
        <w:trPr>
          <w:cnfStyle w:val="000000010000" w:firstRow="0" w:lastRow="0" w:firstColumn="0" w:lastColumn="0" w:oddVBand="0" w:evenVBand="0" w:oddHBand="0" w:evenHBand="1" w:firstRowFirstColumn="0" w:firstRowLastColumn="0" w:lastRowFirstColumn="0" w:lastRowLastColumn="0"/>
          <w:trHeight w:val="57"/>
        </w:trPr>
        <w:tc>
          <w:tcPr>
            <w:tcW w:w="6746" w:type="dxa"/>
            <w:noWrap/>
            <w:hideMark/>
          </w:tcPr>
          <w:p w14:paraId="67431329" w14:textId="77777777" w:rsidR="009D0006" w:rsidRPr="003F4D73" w:rsidRDefault="009D0006" w:rsidP="00CB72A3">
            <w:pPr>
              <w:pStyle w:val="Tabletext"/>
            </w:pPr>
            <w:r w:rsidRPr="003F4D73">
              <w:t>Accessing a health or support service</w:t>
            </w:r>
          </w:p>
        </w:tc>
        <w:tc>
          <w:tcPr>
            <w:tcW w:w="1559" w:type="dxa"/>
            <w:hideMark/>
          </w:tcPr>
          <w:p w14:paraId="1342F70C" w14:textId="77777777" w:rsidR="009D0006" w:rsidRPr="003F4D73" w:rsidRDefault="009D0006" w:rsidP="00CB72A3">
            <w:pPr>
              <w:pStyle w:val="Tabletext"/>
            </w:pPr>
            <w:r w:rsidRPr="003F4D73">
              <w:t>449</w:t>
            </w:r>
          </w:p>
        </w:tc>
        <w:tc>
          <w:tcPr>
            <w:tcW w:w="1559" w:type="dxa"/>
            <w:hideMark/>
          </w:tcPr>
          <w:p w14:paraId="0B0C3119" w14:textId="77777777" w:rsidR="009D0006" w:rsidRPr="003F4D73" w:rsidRDefault="009D0006" w:rsidP="00CB72A3">
            <w:pPr>
              <w:pStyle w:val="Tabletext"/>
            </w:pPr>
            <w:r w:rsidRPr="003F4D73">
              <w:t>35.2</w:t>
            </w:r>
          </w:p>
        </w:tc>
      </w:tr>
    </w:tbl>
    <w:p w14:paraId="1DC6F71D" w14:textId="77777777" w:rsidR="009D0006" w:rsidRDefault="009D0006" w:rsidP="00603068">
      <w:pPr>
        <w:pStyle w:val="Tableheading"/>
      </w:pPr>
      <w:r>
        <w:t xml:space="preserve">Table 31.3 </w:t>
      </w:r>
      <w:r>
        <w:lastRenderedPageBreak/>
        <w:t>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BC92302"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7502D77E" w14:textId="77777777" w:rsidR="009D0006" w:rsidRPr="003F4D73" w:rsidRDefault="009D0006" w:rsidP="00C3759B">
            <w:pPr>
              <w:pStyle w:val="Tableheader"/>
            </w:pPr>
            <w:r w:rsidRPr="003F4D73">
              <w:t>Feel accepted a lot or always</w:t>
            </w:r>
          </w:p>
        </w:tc>
        <w:tc>
          <w:tcPr>
            <w:tcW w:w="1559" w:type="dxa"/>
            <w:noWrap/>
            <w:hideMark/>
          </w:tcPr>
          <w:p w14:paraId="0911F350" w14:textId="77777777" w:rsidR="009D0006" w:rsidRPr="003F4D73" w:rsidRDefault="009D0006" w:rsidP="00C3759B">
            <w:pPr>
              <w:pStyle w:val="Tableheader"/>
            </w:pPr>
            <w:r>
              <w:t>n</w:t>
            </w:r>
          </w:p>
        </w:tc>
        <w:tc>
          <w:tcPr>
            <w:tcW w:w="1559" w:type="dxa"/>
            <w:noWrap/>
            <w:hideMark/>
          </w:tcPr>
          <w:p w14:paraId="10B00554" w14:textId="77777777" w:rsidR="009D0006" w:rsidRPr="003F4D73" w:rsidRDefault="009D0006" w:rsidP="00C3759B">
            <w:pPr>
              <w:pStyle w:val="Tableheader"/>
            </w:pPr>
            <w:r w:rsidRPr="003F4D73">
              <w:t>%</w:t>
            </w:r>
          </w:p>
        </w:tc>
      </w:tr>
      <w:tr w:rsidR="009D0006" w:rsidRPr="003F4D73" w14:paraId="5D598E8C"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E50E61B" w14:textId="77777777" w:rsidR="009D0006" w:rsidRPr="003F4D73" w:rsidRDefault="009D0006" w:rsidP="00C3759B">
            <w:pPr>
              <w:pStyle w:val="Tabletext"/>
            </w:pPr>
            <w:r w:rsidRPr="003F4D73">
              <w:t>LGBTIQ event</w:t>
            </w:r>
          </w:p>
        </w:tc>
        <w:tc>
          <w:tcPr>
            <w:tcW w:w="1559" w:type="dxa"/>
            <w:noWrap/>
            <w:hideMark/>
          </w:tcPr>
          <w:p w14:paraId="0098869C" w14:textId="77777777" w:rsidR="009D0006" w:rsidRPr="003F4D73" w:rsidRDefault="009D0006" w:rsidP="00C3759B">
            <w:pPr>
              <w:pStyle w:val="Tabletext"/>
            </w:pPr>
            <w:r w:rsidRPr="003F4D73">
              <w:t>362</w:t>
            </w:r>
          </w:p>
        </w:tc>
        <w:tc>
          <w:tcPr>
            <w:tcW w:w="1559" w:type="dxa"/>
            <w:noWrap/>
            <w:hideMark/>
          </w:tcPr>
          <w:p w14:paraId="7670B841" w14:textId="77777777" w:rsidR="009D0006" w:rsidRPr="003F4D73" w:rsidRDefault="009D0006" w:rsidP="00C3759B">
            <w:pPr>
              <w:pStyle w:val="Tabletext"/>
            </w:pPr>
            <w:r w:rsidRPr="003F4D73">
              <w:t>55.4</w:t>
            </w:r>
          </w:p>
        </w:tc>
      </w:tr>
      <w:tr w:rsidR="009D0006" w:rsidRPr="003F4D73" w14:paraId="155559C3"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FBE7CAE" w14:textId="77777777" w:rsidR="009D0006" w:rsidRPr="003F4D73" w:rsidRDefault="009D0006" w:rsidP="00C3759B">
            <w:pPr>
              <w:pStyle w:val="Tabletext"/>
            </w:pPr>
            <w:r w:rsidRPr="003F4D73">
              <w:t>At work</w:t>
            </w:r>
          </w:p>
        </w:tc>
        <w:tc>
          <w:tcPr>
            <w:tcW w:w="1559" w:type="dxa"/>
            <w:noWrap/>
            <w:hideMark/>
          </w:tcPr>
          <w:p w14:paraId="59C207A9" w14:textId="77777777" w:rsidR="009D0006" w:rsidRPr="003F4D73" w:rsidRDefault="009D0006" w:rsidP="00C3759B">
            <w:pPr>
              <w:pStyle w:val="Tabletext"/>
            </w:pPr>
            <w:r w:rsidRPr="003F4D73">
              <w:t>173</w:t>
            </w:r>
          </w:p>
        </w:tc>
        <w:tc>
          <w:tcPr>
            <w:tcW w:w="1559" w:type="dxa"/>
            <w:noWrap/>
            <w:hideMark/>
          </w:tcPr>
          <w:p w14:paraId="03ACC02E" w14:textId="77777777" w:rsidR="009D0006" w:rsidRPr="003F4D73" w:rsidRDefault="009D0006" w:rsidP="00C3759B">
            <w:pPr>
              <w:pStyle w:val="Tabletext"/>
            </w:pPr>
            <w:r w:rsidRPr="003F4D73">
              <w:t>42.4</w:t>
            </w:r>
          </w:p>
        </w:tc>
      </w:tr>
      <w:tr w:rsidR="009D0006" w:rsidRPr="003F4D73" w14:paraId="0AAE48A3"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6615866" w14:textId="77777777" w:rsidR="009D0006" w:rsidRPr="003F4D73" w:rsidRDefault="009D0006" w:rsidP="00C3759B">
            <w:pPr>
              <w:pStyle w:val="Tabletext"/>
            </w:pPr>
            <w:r w:rsidRPr="003F4D73">
              <w:t>With family members</w:t>
            </w:r>
          </w:p>
        </w:tc>
        <w:tc>
          <w:tcPr>
            <w:tcW w:w="1559" w:type="dxa"/>
            <w:noWrap/>
            <w:hideMark/>
          </w:tcPr>
          <w:p w14:paraId="5F88EA43" w14:textId="77777777" w:rsidR="009D0006" w:rsidRPr="003F4D73" w:rsidRDefault="009D0006" w:rsidP="00C3759B">
            <w:pPr>
              <w:pStyle w:val="Tabletext"/>
            </w:pPr>
            <w:r w:rsidRPr="003F4D73">
              <w:t>286</w:t>
            </w:r>
          </w:p>
        </w:tc>
        <w:tc>
          <w:tcPr>
            <w:tcW w:w="1559" w:type="dxa"/>
            <w:noWrap/>
            <w:hideMark/>
          </w:tcPr>
          <w:p w14:paraId="229008CC" w14:textId="77777777" w:rsidR="009D0006" w:rsidRPr="003F4D73" w:rsidRDefault="009D0006" w:rsidP="00C3759B">
            <w:pPr>
              <w:pStyle w:val="Tabletext"/>
            </w:pPr>
            <w:r w:rsidRPr="003F4D73">
              <w:t>37.6</w:t>
            </w:r>
          </w:p>
        </w:tc>
      </w:tr>
      <w:tr w:rsidR="009D0006" w:rsidRPr="003F4D73" w14:paraId="536E945E" w14:textId="77777777" w:rsidTr="00C3759B">
        <w:trPr>
          <w:cnfStyle w:val="000000010000" w:firstRow="0" w:lastRow="0" w:firstColumn="0" w:lastColumn="0" w:oddVBand="0" w:evenVBand="0" w:oddHBand="0" w:evenHBand="1" w:firstRowFirstColumn="0" w:firstRowLastColumn="0" w:lastRowFirstColumn="0" w:lastRowLastColumn="0"/>
          <w:trHeight w:val="57"/>
        </w:trPr>
        <w:tc>
          <w:tcPr>
            <w:tcW w:w="6746" w:type="dxa"/>
            <w:noWrap/>
            <w:hideMark/>
          </w:tcPr>
          <w:p w14:paraId="5B25567A" w14:textId="77777777" w:rsidR="009D0006" w:rsidRPr="003F4D73" w:rsidRDefault="009D0006" w:rsidP="00C3759B">
            <w:pPr>
              <w:pStyle w:val="Tabletext"/>
            </w:pPr>
            <w:r w:rsidRPr="003F4D73">
              <w:t>Accessing a health or support service</w:t>
            </w:r>
          </w:p>
        </w:tc>
        <w:tc>
          <w:tcPr>
            <w:tcW w:w="1559" w:type="dxa"/>
            <w:noWrap/>
            <w:hideMark/>
          </w:tcPr>
          <w:p w14:paraId="4273682D" w14:textId="77777777" w:rsidR="009D0006" w:rsidRPr="003F4D73" w:rsidRDefault="009D0006" w:rsidP="00C3759B">
            <w:pPr>
              <w:pStyle w:val="Tabletext"/>
            </w:pPr>
            <w:r w:rsidRPr="003F4D73">
              <w:t>223</w:t>
            </w:r>
          </w:p>
        </w:tc>
        <w:tc>
          <w:tcPr>
            <w:tcW w:w="1559" w:type="dxa"/>
            <w:noWrap/>
            <w:hideMark/>
          </w:tcPr>
          <w:p w14:paraId="607068BA" w14:textId="77777777" w:rsidR="009D0006" w:rsidRPr="003F4D73" w:rsidRDefault="009D0006" w:rsidP="00C3759B">
            <w:pPr>
              <w:pStyle w:val="Tabletext"/>
            </w:pPr>
            <w:r w:rsidRPr="003F4D73">
              <w:t>29.9</w:t>
            </w:r>
          </w:p>
        </w:tc>
      </w:tr>
    </w:tbl>
    <w:p w14:paraId="543EAA19" w14:textId="77777777" w:rsidR="009D0006" w:rsidRDefault="009D0006" w:rsidP="00603068">
      <w:pPr>
        <w:pStyle w:val="Tableheading"/>
      </w:pPr>
      <w:r>
        <w:t>Table 31.4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D21158B"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031053A8" w14:textId="77777777" w:rsidR="009D0006" w:rsidRPr="003F4D73" w:rsidRDefault="009D0006" w:rsidP="00C3759B">
            <w:pPr>
              <w:pStyle w:val="Tableheader"/>
            </w:pPr>
            <w:r w:rsidRPr="003F4D73">
              <w:t>Feel accepted a lot or always</w:t>
            </w:r>
          </w:p>
        </w:tc>
        <w:tc>
          <w:tcPr>
            <w:tcW w:w="1559" w:type="dxa"/>
            <w:hideMark/>
          </w:tcPr>
          <w:p w14:paraId="24660DF4" w14:textId="77777777" w:rsidR="009D0006" w:rsidRPr="003F4D73" w:rsidRDefault="009D0006" w:rsidP="00C3759B">
            <w:pPr>
              <w:pStyle w:val="Tableheader"/>
            </w:pPr>
            <w:r>
              <w:t>n</w:t>
            </w:r>
          </w:p>
        </w:tc>
        <w:tc>
          <w:tcPr>
            <w:tcW w:w="1559" w:type="dxa"/>
            <w:hideMark/>
          </w:tcPr>
          <w:p w14:paraId="7A320CC7" w14:textId="77777777" w:rsidR="009D0006" w:rsidRPr="003F4D73" w:rsidRDefault="009D0006" w:rsidP="00C3759B">
            <w:pPr>
              <w:pStyle w:val="Tableheader"/>
            </w:pPr>
            <w:r w:rsidRPr="003F4D73">
              <w:t>%</w:t>
            </w:r>
          </w:p>
        </w:tc>
      </w:tr>
      <w:tr w:rsidR="009D0006" w:rsidRPr="003F4D73" w14:paraId="5F2741CD"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29445B07" w14:textId="77777777" w:rsidR="009D0006" w:rsidRPr="003F4D73" w:rsidRDefault="009D0006" w:rsidP="00C3759B">
            <w:pPr>
              <w:pStyle w:val="Tabletext"/>
            </w:pPr>
            <w:r w:rsidRPr="003F4D73">
              <w:t>LGBTIQ event</w:t>
            </w:r>
          </w:p>
        </w:tc>
        <w:tc>
          <w:tcPr>
            <w:tcW w:w="1559" w:type="dxa"/>
            <w:hideMark/>
          </w:tcPr>
          <w:p w14:paraId="3E64D3D1" w14:textId="77777777" w:rsidR="009D0006" w:rsidRPr="003F4D73" w:rsidRDefault="009D0006" w:rsidP="00C3759B">
            <w:pPr>
              <w:pStyle w:val="Tabletext"/>
            </w:pPr>
            <w:r w:rsidRPr="003F4D73">
              <w:t>2384</w:t>
            </w:r>
          </w:p>
        </w:tc>
        <w:tc>
          <w:tcPr>
            <w:tcW w:w="1559" w:type="dxa"/>
            <w:hideMark/>
          </w:tcPr>
          <w:p w14:paraId="3D1EBC36" w14:textId="77777777" w:rsidR="009D0006" w:rsidRPr="003F4D73" w:rsidRDefault="009D0006" w:rsidP="00C3759B">
            <w:pPr>
              <w:pStyle w:val="Tabletext"/>
            </w:pPr>
            <w:r w:rsidRPr="003F4D73">
              <w:t>71.5</w:t>
            </w:r>
          </w:p>
        </w:tc>
      </w:tr>
      <w:tr w:rsidR="009D0006" w:rsidRPr="003F4D73" w14:paraId="7AA86741"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0143BAE" w14:textId="77777777" w:rsidR="009D0006" w:rsidRPr="003F4D73" w:rsidRDefault="009D0006" w:rsidP="00C3759B">
            <w:pPr>
              <w:pStyle w:val="Tabletext"/>
            </w:pPr>
            <w:r w:rsidRPr="003F4D73">
              <w:t>At work</w:t>
            </w:r>
          </w:p>
        </w:tc>
        <w:tc>
          <w:tcPr>
            <w:tcW w:w="1559" w:type="dxa"/>
            <w:hideMark/>
          </w:tcPr>
          <w:p w14:paraId="23422C66" w14:textId="77777777" w:rsidR="009D0006" w:rsidRPr="003F4D73" w:rsidRDefault="009D0006" w:rsidP="00C3759B">
            <w:pPr>
              <w:pStyle w:val="Tabletext"/>
            </w:pPr>
            <w:r w:rsidRPr="003F4D73">
              <w:t>3115</w:t>
            </w:r>
          </w:p>
        </w:tc>
        <w:tc>
          <w:tcPr>
            <w:tcW w:w="1559" w:type="dxa"/>
            <w:hideMark/>
          </w:tcPr>
          <w:p w14:paraId="3CAE02A6" w14:textId="77777777" w:rsidR="009D0006" w:rsidRPr="003F4D73" w:rsidRDefault="009D0006" w:rsidP="00C3759B">
            <w:pPr>
              <w:pStyle w:val="Tabletext"/>
            </w:pPr>
            <w:r w:rsidRPr="003F4D73">
              <w:t>67.9</w:t>
            </w:r>
          </w:p>
        </w:tc>
      </w:tr>
      <w:tr w:rsidR="009D0006" w:rsidRPr="003F4D73" w14:paraId="02322439"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98E175C" w14:textId="77777777" w:rsidR="009D0006" w:rsidRPr="003F4D73" w:rsidRDefault="009D0006" w:rsidP="00C3759B">
            <w:pPr>
              <w:pStyle w:val="Tabletext"/>
            </w:pPr>
            <w:r w:rsidRPr="003F4D73">
              <w:t>With family members</w:t>
            </w:r>
          </w:p>
        </w:tc>
        <w:tc>
          <w:tcPr>
            <w:tcW w:w="1559" w:type="dxa"/>
            <w:hideMark/>
          </w:tcPr>
          <w:p w14:paraId="4B22E9E1" w14:textId="77777777" w:rsidR="009D0006" w:rsidRPr="003F4D73" w:rsidRDefault="009D0006" w:rsidP="00C3759B">
            <w:pPr>
              <w:pStyle w:val="Tabletext"/>
            </w:pPr>
            <w:r w:rsidRPr="003F4D73">
              <w:t>2215</w:t>
            </w:r>
          </w:p>
        </w:tc>
        <w:tc>
          <w:tcPr>
            <w:tcW w:w="1559" w:type="dxa"/>
            <w:hideMark/>
          </w:tcPr>
          <w:p w14:paraId="15734531" w14:textId="77777777" w:rsidR="009D0006" w:rsidRPr="003F4D73" w:rsidRDefault="009D0006" w:rsidP="00C3759B">
            <w:pPr>
              <w:pStyle w:val="Tabletext"/>
            </w:pPr>
            <w:r w:rsidRPr="003F4D73">
              <w:t>58.8</w:t>
            </w:r>
          </w:p>
        </w:tc>
      </w:tr>
      <w:tr w:rsidR="009D0006" w:rsidRPr="003F4D73" w14:paraId="2B099B13" w14:textId="77777777" w:rsidTr="00C3759B">
        <w:trPr>
          <w:cnfStyle w:val="000000010000" w:firstRow="0" w:lastRow="0" w:firstColumn="0" w:lastColumn="0" w:oddVBand="0" w:evenVBand="0" w:oddHBand="0" w:evenHBand="1" w:firstRowFirstColumn="0" w:firstRowLastColumn="0" w:lastRowFirstColumn="0" w:lastRowLastColumn="0"/>
          <w:trHeight w:val="57"/>
        </w:trPr>
        <w:tc>
          <w:tcPr>
            <w:tcW w:w="6746" w:type="dxa"/>
            <w:noWrap/>
            <w:hideMark/>
          </w:tcPr>
          <w:p w14:paraId="58A453C1" w14:textId="77777777" w:rsidR="009D0006" w:rsidRPr="003F4D73" w:rsidRDefault="009D0006" w:rsidP="00C3759B">
            <w:pPr>
              <w:pStyle w:val="Tabletext"/>
            </w:pPr>
            <w:r w:rsidRPr="003F4D73">
              <w:t>Accessing a health or support service</w:t>
            </w:r>
          </w:p>
        </w:tc>
        <w:tc>
          <w:tcPr>
            <w:tcW w:w="1559" w:type="dxa"/>
            <w:hideMark/>
          </w:tcPr>
          <w:p w14:paraId="332E0409" w14:textId="77777777" w:rsidR="009D0006" w:rsidRPr="003F4D73" w:rsidRDefault="009D0006" w:rsidP="00C3759B">
            <w:pPr>
              <w:pStyle w:val="Tabletext"/>
            </w:pPr>
            <w:r w:rsidRPr="003F4D73">
              <w:t>1785</w:t>
            </w:r>
          </w:p>
        </w:tc>
        <w:tc>
          <w:tcPr>
            <w:tcW w:w="1559" w:type="dxa"/>
            <w:hideMark/>
          </w:tcPr>
          <w:p w14:paraId="075D8D7D" w14:textId="77777777" w:rsidR="009D0006" w:rsidRPr="003F4D73" w:rsidRDefault="009D0006" w:rsidP="00C3759B">
            <w:pPr>
              <w:pStyle w:val="Tabletext"/>
            </w:pPr>
            <w:r w:rsidRPr="003F4D73">
              <w:t>50.6</w:t>
            </w:r>
          </w:p>
        </w:tc>
      </w:tr>
    </w:tbl>
    <w:p w14:paraId="49B039CD" w14:textId="77777777" w:rsidR="009D0006" w:rsidRPr="009E4A81" w:rsidRDefault="009D0006" w:rsidP="00603068">
      <w:pPr>
        <w:spacing w:before="360"/>
      </w:pPr>
      <w:r>
        <w:t>As displayed in Table 31.1-31.4, participants with no disability had the largest proportion who reported feeling supported across all four settings. P</w:t>
      </w:r>
      <w:r w:rsidRPr="009E4A81">
        <w:t xml:space="preserve">articipants with no disability reported feeling the most accepted at an LGBTIQ event (71.5%; n = 2384), followed by participants </w:t>
      </w:r>
      <w:r>
        <w:t xml:space="preserve">categorised </w:t>
      </w:r>
      <w:r w:rsidRPr="009E4A81">
        <w:t>with a mild disability (65.6%; n = 248), a moderate disability (61.9%; n = 719) and a severe disability (55.4%; n = 362).</w:t>
      </w:r>
    </w:p>
    <w:p w14:paraId="08A6485D" w14:textId="77777777" w:rsidR="009D0006" w:rsidRPr="009E4A81" w:rsidRDefault="009D0006" w:rsidP="009D0006">
      <w:r w:rsidRPr="009E4A81">
        <w:t xml:space="preserve">Participants with no disability also reported feeling the most accepted at work (67.9%; n = 3115), followed by participants </w:t>
      </w:r>
      <w:r>
        <w:t xml:space="preserve">categorised </w:t>
      </w:r>
      <w:r w:rsidRPr="009E4A81">
        <w:t>with a mild disability (59.1%; n = 205), a moderate disability (48.0%; n = 475) and a severe disability (42.4%; n = 173).</w:t>
      </w:r>
    </w:p>
    <w:p w14:paraId="6E32D7EC" w14:textId="77777777" w:rsidR="009D0006" w:rsidRPr="009E4A81" w:rsidRDefault="009D0006" w:rsidP="009D0006">
      <w:r w:rsidRPr="009E4A81">
        <w:t xml:space="preserve">Similarly, participants with no disability reported feeling the most accepted with family members (58.8%; n = 2215), followed by participants </w:t>
      </w:r>
      <w:r>
        <w:t xml:space="preserve">categorised </w:t>
      </w:r>
      <w:r w:rsidRPr="009E4A81">
        <w:t>with a mild disability (52.7%; n = 223), a moderate disability (43.3%; n = 286) and a severe disability (37.6%; n = 286).</w:t>
      </w:r>
    </w:p>
    <w:p w14:paraId="2F926528" w14:textId="77777777" w:rsidR="009D0006" w:rsidRPr="009E4A81" w:rsidRDefault="009D0006" w:rsidP="009D0006">
      <w:r w:rsidRPr="009E4A81">
        <w:t xml:space="preserve">Finally, participants with no disability reported feeling the most accepted accessing a health or support service (50.6%; n = 1785), followed by participants </w:t>
      </w:r>
      <w:r>
        <w:t xml:space="preserve">categorised </w:t>
      </w:r>
      <w:r w:rsidRPr="009E4A81">
        <w:t>with a mild disability (40.7%; n = 167), a moderate disability (35.2%; n = 449) and a severe disability (29.9%; n = 223).</w:t>
      </w:r>
    </w:p>
    <w:p w14:paraId="1E3F8314" w14:textId="7E189E71" w:rsidR="009D0006" w:rsidRPr="00F979FC" w:rsidRDefault="009D0006" w:rsidP="00153892">
      <w:pPr>
        <w:pStyle w:val="Heading2Numbered"/>
      </w:pPr>
      <w:bookmarkStart w:id="409" w:name="_Toc115968552"/>
      <w:bookmarkStart w:id="410" w:name="_Toc119662419"/>
      <w:r w:rsidRPr="00F979FC">
        <w:t>Summary</w:t>
      </w:r>
      <w:bookmarkEnd w:id="396"/>
      <w:r>
        <w:t xml:space="preserve"> and</w:t>
      </w:r>
      <w:r>
        <w:lastRenderedPageBreak/>
        <w:t xml:space="preserve"> relation to existing literature</w:t>
      </w:r>
      <w:bookmarkEnd w:id="409"/>
      <w:bookmarkEnd w:id="410"/>
    </w:p>
    <w:p w14:paraId="05945E0D" w14:textId="77777777" w:rsidR="009D0006" w:rsidRDefault="009D0006" w:rsidP="009D0006">
      <w:r>
        <w:t xml:space="preserve">LGBTQA+ young people and adults with disability consistently felt less supported than those without disability and this trend was generally more pronounced for young people with autism/neurodiversity and intellectual disability as well as adults categorised with more severe disabilities. The majority </w:t>
      </w:r>
      <w:r w:rsidRPr="0014508F">
        <w:t>of participants</w:t>
      </w:r>
      <w:r>
        <w:t xml:space="preserve"> </w:t>
      </w:r>
      <w:r w:rsidRPr="00692BC1">
        <w:t xml:space="preserve">with disability </w:t>
      </w:r>
      <w:r>
        <w:t xml:space="preserve">aged 14-21 years </w:t>
      </w:r>
      <w:r w:rsidRPr="00692BC1">
        <w:t xml:space="preserve">in </w:t>
      </w:r>
      <w:r w:rsidRPr="00CF669D">
        <w:rPr>
          <w:i/>
          <w:iCs/>
        </w:rPr>
        <w:t xml:space="preserve">Writing Themselves </w:t>
      </w:r>
      <w:r>
        <w:rPr>
          <w:i/>
          <w:iCs/>
        </w:rPr>
        <w:t>I</w:t>
      </w:r>
      <w:r w:rsidRPr="00CF669D">
        <w:rPr>
          <w:i/>
          <w:iCs/>
        </w:rPr>
        <w:t>n 4</w:t>
      </w:r>
      <w:r w:rsidRPr="009E4A81">
        <w:rPr>
          <w:i/>
          <w:iCs/>
        </w:rPr>
        <w:t xml:space="preserve"> </w:t>
      </w:r>
      <w:r>
        <w:t>had disclosed their sexual orientation or gender identity to friends, family or classmates. However, less than one-half had disclosed their sexual orientation or gender identity to co-workers, teachers or sports teammates.</w:t>
      </w:r>
    </w:p>
    <w:p w14:paraId="27E8CCA6" w14:textId="77777777" w:rsidR="009D0006" w:rsidRDefault="009D0006" w:rsidP="009D0006">
      <w:r>
        <w:t>Nine-tenths of p</w:t>
      </w:r>
      <w:r w:rsidRPr="0014508F">
        <w:t>articipants</w:t>
      </w:r>
      <w:r>
        <w:t xml:space="preserve"> </w:t>
      </w:r>
      <w:r w:rsidRPr="00692BC1">
        <w:t xml:space="preserve">with disability </w:t>
      </w:r>
      <w:r>
        <w:t xml:space="preserve">aged 14-21 years </w:t>
      </w:r>
      <w:r w:rsidRPr="00692BC1">
        <w:t xml:space="preserve">in </w:t>
      </w:r>
      <w:r w:rsidRPr="00692BC1">
        <w:rPr>
          <w:i/>
          <w:iCs/>
        </w:rPr>
        <w:t>Writing Themselves in 4</w:t>
      </w:r>
      <w:r w:rsidRPr="00692BC1">
        <w:t xml:space="preserve"> </w:t>
      </w:r>
      <w:r>
        <w:t xml:space="preserve">who had disclosed their sexual orientation or gender identity reported feeling supported by friends, followed by two-thirds of teachers and sports teammates. A little over one-half of those who had disclosed to family and co-workers felt supported, while less than half who had disclosed their sexual orientation or gender identity to classmates felt supported. Importantly, a lower proportion of participants </w:t>
      </w:r>
      <w:r w:rsidRPr="00692BC1">
        <w:t>with disability</w:t>
      </w:r>
      <w:r>
        <w:t xml:space="preserve"> </w:t>
      </w:r>
      <w:r w:rsidRPr="00692BC1">
        <w:t xml:space="preserve">in </w:t>
      </w:r>
      <w:r w:rsidRPr="00692BC1">
        <w:rPr>
          <w:i/>
          <w:iCs/>
        </w:rPr>
        <w:t>Writing Themselves in 4</w:t>
      </w:r>
      <w:r w:rsidRPr="00692BC1">
        <w:t xml:space="preserve"> </w:t>
      </w:r>
      <w:r>
        <w:t>felt supported about their sexual orientation or gender identity by family members or classmates than those not reporting disability.</w:t>
      </w:r>
    </w:p>
    <w:p w14:paraId="28FFD16D" w14:textId="77777777" w:rsidR="009D0006" w:rsidRPr="00603068" w:rsidRDefault="009D0006" w:rsidP="00603068">
      <w:r w:rsidRPr="00603068">
        <w:t>Among participants aged 18 years or older in Private Lives 3, participants with no disability reported feeling more accepted at an LGBTIQ event, at work, with family and when accessing a health or support service than participants with disability.</w:t>
      </w:r>
    </w:p>
    <w:p w14:paraId="79120342" w14:textId="77777777" w:rsidR="009D0006" w:rsidRPr="00603068" w:rsidRDefault="009D0006" w:rsidP="00603068">
      <w:r w:rsidRPr="00603068">
        <w:t>The findings of this analysis complement and further enhance existing research that details the experiences of LGBTQA+ people with disability disclosing their sexuality or gender identity to significant others. Existing research details how, for many LGBTQA+ young people with disability, the experience of coming out may be markedly different to the experiences of LGBTQA+ young people without disability. It is also important to note that some literature has drawn comparisons between ‘coming out’ regarding sexual orientation or gender identity and ‘coming out’ regarding disability, particularly invisible disability, which may not be immediately known without disclosure.</w:t>
      </w:r>
      <w:r w:rsidRPr="00603068">
        <w:fldChar w:fldCharType="begin"/>
      </w:r>
      <w:r w:rsidRPr="00603068">
        <w:instrText xml:space="preserve"> ADDIN ZOTERO_ITEM CSL_CITATION {"citationID":"XKk9mBXr","properties":{"formattedCitation":"(38)","plainCitation":"(38)","noteIndex":0},"citationItems":[{"id":"hc6yy1rM/6eugCVj9","uris":["http://zotero.org/users/4948307/items/C3T5PTIW"],"itemData":{"id":9949,"type":"article-journal","abstract":"Perhaps the best opening line in disability studies comes from Georgina Kleege: “Writing this book made me blind.” Following this honorable tradition, I begin my explication of disability studies through my own experience with a similar starting point: “Feminism made me disabled.” Honoring as well the tradition of making theory through narrative, I also follow Helen Keller, who like Kleege situates her knowledge in the local. From these exemplary works of feminist disability studies, I develop an explication of how I grew disability studies and how it grew me. Throughout, I consider the categories of disabled and nondisabled and the ways in which they have developed in disability studies literature broadly. I conclude by asserting the importance of both access and identity and community for disabled people. Keywords: feminist disability studies, disability identity, misfitting, history of disability studies","container-title":"Disability Studies Quarterly","DOI":"10.18061/dsq.v34i2.4254","ISSN":"2159-8371","issue":"2","language":"en","note":"number: 2","source":"dsq-sds.org","title":"The Story of My Work: How I Became Disabled","title-short":"The Story of My Work","URL":"https://dsq-sds.org/article/view/4254","volume":"34","author":[{"family":"Garland-Thomson","given":"Rosemarie"}],"accessed":{"date-parts":[["2021",11,2]]},"issued":{"date-parts":[["2014",3,18]]}}}],"schema":"https://github.com/citation-style-language/schema/raw/master/csl-citation.json"} </w:instrText>
      </w:r>
      <w:r w:rsidRPr="00603068">
        <w:fldChar w:fldCharType="separate"/>
      </w:r>
      <w:r w:rsidRPr="00603068">
        <w:t>(38)</w:t>
      </w:r>
      <w:r w:rsidRPr="00603068">
        <w:fldChar w:fldCharType="end"/>
      </w:r>
      <w:r w:rsidRPr="00603068">
        <w:t xml:space="preserve"> Moreover, literature has observed that LGBTQA+ people with disability may face difficulties with acceptance from LGBTQA+ communities regarding their disability and from disability communities regarding their sexual orientation.</w:t>
      </w:r>
      <w:r w:rsidRPr="00603068">
        <w:fldChar w:fldCharType="begin"/>
      </w:r>
      <w:r w:rsidRPr="00603068">
        <w:instrText xml:space="preserve"> ADDIN ZOTERO_ITEM CSL_CITATION {"citationID":"a1i1ucesg0f","properties":{"formattedCitation":"(39,40)","plainCitation":"(39,40)","noteIndex":0},"citationItems":[{"id":"hc6yy1rM/D2mBumDK","uris":["http://zotero.org/users/4948307/items/RKH8S3SS"],"itemData":{"id":"Z7ANDQFf/v3umwoYQ","type":"article-journal","abstract":"Background Empirical research on homosexuality among people with an intellectual disability (ID) is limited and, to date, very little is known regarding the personal experiences of gay and lesbian people with an ID. This study set out to answer the question: What are the lived experiences of a specific cohort of homosexual people with an intellectual disability living in the Netherlands? Method To answer this question, a qualitative study was performed in which 21 people with a mild ID were interviewed via semi-structured interviews. In this study, 19 participants were men and two were women (average age = 40.5 years). Results Participants reported positive and negative experiences, and talked about their gay or lesbian identity. Almost half of the participants ( n = 10) reported that they had experienced sexual abuse including partner violence ( n = 6). Additionally, they indicated that there was a lack of support for homosexual people with an ID. Conclusion Specific problems impact the lives of homosexual people with ID, namely the high prevalence of negative sexual experiences, the lack of support, training and sex education, and their search for a suitable partner.","archive":"Cinahl","archive_location":"104310736. Language: English. Entry Date: 20130206. Revision Date: 20200708. Publication Type: Journal Article","container-title":"Journal of Intellectual Disability Research","DOI":"10.1111/j.1365-2788.2011.01532.x","ISSN":"0964-2633","issue":"3","page":"257-267","source":"EBSCOhost","title":"Homosexuality among people with a mild intellectual disability: an explorative study on the lived experiences of homosexual people in the Netherlands with a mild intellectual disability","volume":"57","author":[{"family":"Stoffelen","given":"J."},{"family":"Kok","given":"G."},{"family":"Hospers","given":"H."},{"family":"Curfs","given":"L. M. G."}],"issued":{"date-parts":[["2013"]]}}},{"id":"hc6yy1rM/0bnpBiia","uris":["http://zotero.org/users/4948307/items/K83VAZBV"],"itemData":{"id":"Z7ANDQFf/003bRP4S","type":"article-journal","abstract":"This article explores how stigma intersects with both the disability and the lesbian communities. Despite decades of research reporting the consequences of stigma facing non-dominant groups in areas including sexual orientation and disability, lesbians continue to encounter attitudinal and environmental barriers that threaten their general health and quality of life. It is important to examine and understand the impact of the intersection of multiple threats individuals encounter as a result of their membership in multiple marginalized groups. This article examines the body of research that investigates the stigma associated with being lesbian with a disability in pursuit of the basic tenets of life and the supports and systematic change required to mitigate the associated pressures. Conclusions and implications are discussed at the end of the article.","archive":"Cinahl","archive_location":"112088368. Language: English. Entry Date: 20160112. Revision Date: 20170515. Publication Type: Article","container-title":"Journal of Rehabilitation","ISSN":"0022-4154","issue":"4","page":"49-56","source":"EBSCOhost","title":"Addressing Disability Stigma within the Lesbian Community","volume":"81","author":[{"family":"Vaughn","given":"Mya"},{"family":"McEntee","given":"Barbara"},{"family":"Schoen","given":"Barbara"},{"family":"McGrady","given":"Michele"}],"issued":{"date-parts":[["2015"]]}}}],"schema":"https://github.com/citation-style-language/schema/raw/master/csl-citation.json"} </w:instrText>
      </w:r>
      <w:r w:rsidRPr="00603068">
        <w:fldChar w:fldCharType="separate"/>
      </w:r>
      <w:r w:rsidRPr="00603068">
        <w:t>(39,40)</w:t>
      </w:r>
      <w:r w:rsidRPr="00603068">
        <w:fldChar w:fldCharType="end"/>
      </w:r>
      <w:r w:rsidRPr="00603068">
        <w:t xml:space="preserve"> These patterns reflect the “dual marginalisation” experienced by LGBT people with intellectual disabilities, who are ‘initially </w:t>
      </w:r>
      <w:r w:rsidRPr="00603068">
        <w:lastRenderedPageBreak/>
        <w:t>marginalised by their disability and pushed farther from social ‘acceptability’ because of their sexual orientation or gender expression’.</w:t>
      </w:r>
      <w:r w:rsidRPr="00603068">
        <w:fldChar w:fldCharType="begin"/>
      </w:r>
      <w:r w:rsidRPr="00603068">
        <w:instrText xml:space="preserve"> ADDIN ZOTERO_ITEM CSL_CITATION {"citationID":"GSNW9AaL","properties":{"formattedCitation":"(22)","plainCitation":"(22)","noteIndex":0},"citationItems":[{"id":"hc6yy1rM/N4GYtR03","uris":["http://zotero.org/users/4948307/items/XSR73PQ6"],"itemData":{"id":6991,"type":"article-journal","abstract":"This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M"},{"family":"Frawley","given":"Patsie"},{"family":"Gallego","given":"Gisselle"}],"issued":{"date-parts":[["2018",6,1]]}}}],"schema":"https://github.com/citation-style-language/schema/raw/master/csl-citation.json"} </w:instrText>
      </w:r>
      <w:r w:rsidRPr="00603068">
        <w:fldChar w:fldCharType="separate"/>
      </w:r>
      <w:r w:rsidRPr="00603068">
        <w:t>(22)</w:t>
      </w:r>
      <w:r w:rsidRPr="00603068">
        <w:fldChar w:fldCharType="end"/>
      </w:r>
    </w:p>
    <w:p w14:paraId="6F3095B2" w14:textId="77777777" w:rsidR="009D0006" w:rsidRDefault="009D0006" w:rsidP="009D0006">
      <w:pPr>
        <w:rPr>
          <w:rFonts w:ascii="Roboto" w:eastAsia="MS Mincho" w:hAnsi="Roboto" w:cs="Arial"/>
          <w:color w:val="000000" w:themeColor="text1"/>
          <w:spacing w:val="5"/>
          <w:sz w:val="52"/>
          <w:szCs w:val="52"/>
          <w:lang w:bidi="en-US"/>
        </w:rPr>
      </w:pPr>
      <w:bookmarkStart w:id="411" w:name="_Toc45633230"/>
      <w:bookmarkStart w:id="412" w:name="_Toc58252071"/>
      <w:r>
        <w:br w:type="page"/>
      </w:r>
    </w:p>
    <w:p w14:paraId="35EBC567" w14:textId="21FF6BB9" w:rsidR="009D0006" w:rsidRPr="00BD62CA" w:rsidRDefault="009D0006" w:rsidP="00153892">
      <w:pPr>
        <w:pStyle w:val="Heading1Numbered"/>
      </w:pPr>
      <w:bookmarkStart w:id="413" w:name="_Toc115968553"/>
      <w:bookmarkStart w:id="414" w:name="_Toc119662420"/>
      <w:r>
        <w:t>Safety in e</w:t>
      </w:r>
      <w:r w:rsidRPr="00BD62CA">
        <w:lastRenderedPageBreak/>
        <w:t>ducational settings</w:t>
      </w:r>
      <w:bookmarkEnd w:id="411"/>
      <w:bookmarkEnd w:id="412"/>
      <w:bookmarkEnd w:id="413"/>
      <w:bookmarkEnd w:id="414"/>
    </w:p>
    <w:p w14:paraId="3100BE16" w14:textId="77777777" w:rsidR="009D0006" w:rsidRDefault="009D0006" w:rsidP="009D0006">
      <w:bookmarkStart w:id="415" w:name="_Toc40178133"/>
      <w:bookmarkStart w:id="416" w:name="_Toc40192120"/>
      <w:bookmarkStart w:id="417" w:name="_Toc58252072"/>
      <w:bookmarkStart w:id="418" w:name="_Toc45633231"/>
      <w:r>
        <w:t>In previous research, y</w:t>
      </w:r>
      <w:r w:rsidRPr="00BD62CA">
        <w:t xml:space="preserve">oung people in discriminatory or unsupportive educational environments </w:t>
      </w:r>
      <w:r>
        <w:t>reported</w:t>
      </w:r>
      <w:r w:rsidRPr="00BD62CA">
        <w:t xml:space="preserve"> poorer educational </w:t>
      </w:r>
      <w:r>
        <w:t>attainment and truancy</w:t>
      </w:r>
      <w:r w:rsidRPr="00BD62CA">
        <w:t>.</w:t>
      </w:r>
      <w:r w:rsidRPr="009F2DDE">
        <w:fldChar w:fldCharType="begin"/>
      </w:r>
      <w:r>
        <w:instrText xml:space="preserve"> ADDIN ZOTERO_ITEM CSL_CITATION {"citationID":"a1q5tds94u3","properties":{"formattedCitation":"(34,41,42)","plainCitation":"(34,41,42)","noteIndex":0},"citationItems":[{"id":804,"uris":["http://zotero.org/groups/2463045/items/ZBYNG4U8"],"itemData":{"id":804,"type":"report","abstract":"This report presents the findings of the third 'Writing Themselves In' survey, which has been conducted every 6 years since 1998. This survey asks same-sex attracted and gender-questioning young people across Australia about their experiences and the issues they face. In 2010, 3,134 young people participated, aged between 14 and 21, from remote, rural, and urban areas. Survey topics include sexual attraction and sexual feelings, first realisation, sexual identity, sexual experience, sexually transmitted infections, pregnancy, verbal and physical abuse, links between abuse and negative health, drug use and self harm, feeing safe, schooling, internet use, disclosure and support, support as a buffer against homophobia, school policies and school culture, sexuality education and sources of information, sex education at school, and the influence of religion and rurality. Based on the findings, the report also presents recommendations for public education.","event-place":"Melbourne, Victoria","language":"en","note":"OCLC: 692249476","publisher":"Australian Research Centre in Sex, Health and Society, La Trobe University","publisher-place":"Melbourne, Victoria","source":"Open WorldCat","title":"Writing Themselves in 3: The third national study on the sexual health and wellbeing of same sex attracted and gender questioning young people.","title-short":"Writing themselves in 3","author":[{"family":"Hillier","given":"Lynne"},{"family":"Jones","given":"Tiffany"},{"family":"Monagle","given":"Marisa"},{"family":"Overton","given":"Naomi"},{"family":"Gahan","given":"Luke"},{"family":"Blackman","given":"Jennifer"},{"family":"Mitchell","given":"Anne"},{"literal":"La Trobe University"},{"family":"Australian Research Centre in Sex","given":"Health","suffix":"and Society"}],"issued":{"date-parts":[["2010"]]},"citation-key":"hillierWritingThemselvesThird2010"}},{"id":"hc6yy1rM/PWqbjEoR","uris":["http://zotero.org/users/4948307/items/LQK6IU72"],"itemData":{"id":"Z7ANDQFf/n45Os4t8","type":"book","title":"Growing up Queer: Issues facing Young Australians who are Gender Variant and Sexuality Diverse","author":[{"family":"Robinson","given":"Kerry"},{"family":"Bansel","given":"Peter"},{"family":"Denson","given":"Nida"},{"family":"Ovenden","given":"Georgia"},{"family":"Davies","given":"Cristyn"}],"issued":{"date-parts":[["2014",1,1]]}}},{"id":2658,"uris":["http://zotero.org/groups/2463045/items/A6VYNT8K"],"itemData":{"id":2658,"type":"report","event-place":"Melbourne","publisher":"Australian Research Centre in Sex, Health and Society","publisher-place":"Melbourne","title":"From blues to rainbows: the mental health and wellbeing of gender diverse and transgender young people in Australia","author":[{"family":"Smith","given":"Elizabeth"},{"family":"Jones","given":"Tiffany"},{"family":"Ward","given":"Roz"},{"family":"Dixon","given":"Jennifer"},{"family":"Mitchell","given":"Anne"},{"family":"Hillier","given":"Lynne"}],"issued":{"date-parts":[["2014"]]},"citation-key":"smithBluesRainbowsMental2014"}}],"schema":"https://github.com/citation-style-language/schema/raw/master/csl-citation.json"} </w:instrText>
      </w:r>
      <w:r w:rsidRPr="009F2DDE">
        <w:fldChar w:fldCharType="separate"/>
      </w:r>
      <w:r>
        <w:rPr>
          <w:lang w:val="en-GB"/>
        </w:rPr>
        <w:t>(34,41,42)</w:t>
      </w:r>
      <w:r w:rsidRPr="009F2DDE">
        <w:fldChar w:fldCharType="end"/>
      </w:r>
      <w:r w:rsidRPr="00BD62CA">
        <w:t xml:space="preserve"> </w:t>
      </w:r>
      <w:r>
        <w:t>Moreover, young people</w:t>
      </w:r>
      <w:r w:rsidRPr="00BD62CA">
        <w:t xml:space="preserve"> </w:t>
      </w:r>
      <w:r>
        <w:t>with</w:t>
      </w:r>
      <w:r w:rsidRPr="00BD62CA">
        <w:t xml:space="preserve"> unsupportive classmates </w:t>
      </w:r>
      <w:r>
        <w:t>were</w:t>
      </w:r>
      <w:r w:rsidRPr="00BD62CA">
        <w:t xml:space="preserve"> more likely to</w:t>
      </w:r>
      <w:r>
        <w:t xml:space="preserve"> report</w:t>
      </w:r>
      <w:r w:rsidRPr="00BD62CA">
        <w:t xml:space="preserve"> </w:t>
      </w:r>
      <w:r>
        <w:t>changing</w:t>
      </w:r>
      <w:r w:rsidRPr="00BD62CA">
        <w:t xml:space="preserve"> schools, </w:t>
      </w:r>
      <w:r>
        <w:t>truancy</w:t>
      </w:r>
      <w:r w:rsidRPr="00BD62CA">
        <w:t xml:space="preserve">, </w:t>
      </w:r>
      <w:r>
        <w:t>avoiding</w:t>
      </w:r>
      <w:r w:rsidRPr="00BD62CA">
        <w:t xml:space="preserve"> the change rooms and </w:t>
      </w:r>
      <w:r>
        <w:t>avoiding</w:t>
      </w:r>
      <w:r w:rsidRPr="00BD62CA">
        <w:t xml:space="preserve"> extra-curricular activities.</w:t>
      </w:r>
      <w:r w:rsidRPr="009F2DDE">
        <w:fldChar w:fldCharType="begin"/>
      </w:r>
      <w:r>
        <w:instrText xml:space="preserve"> ADDIN ZOTERO_ITEM CSL_CITATION {"citationID":"a1b5tin0vt1","properties":{"formattedCitation":"(34)","plainCitation":"(34)","noteIndex":0},"citationItems":[{"id":2658,"uris":["http://zotero.org/groups/2463045/items/A6VYNT8K"],"itemData":{"id":2658,"type":"report","event-place":"Melbourne","publisher":"Australian Research Centre in Sex, Health and Society","publisher-place":"Melbourne","title":"From blues to rainbows: the mental health and wellbeing of gender diverse and transgender young people in Australia","author":[{"family":"Smith","given":"Elizabeth"},{"family":"Jones","given":"Tiffany"},{"family":"Ward","given":"Roz"},{"family":"Dixon","given":"Jennifer"},{"family":"Mitchell","given":"Anne"},{"family":"Hillier","given":"Lynne"}],"issued":{"date-parts":[["2014"]]},"citation-key":"smithBluesRainbowsMental2014"}}],"schema":"https://github.com/citation-style-language/schema/raw/master/csl-citation.json"} </w:instrText>
      </w:r>
      <w:r w:rsidRPr="009F2DDE">
        <w:fldChar w:fldCharType="separate"/>
      </w:r>
      <w:r>
        <w:rPr>
          <w:lang w:val="en-GB"/>
        </w:rPr>
        <w:t>(34)</w:t>
      </w:r>
      <w:r w:rsidRPr="009F2DDE">
        <w:fldChar w:fldCharType="end"/>
      </w:r>
      <w:r w:rsidRPr="009F2DDE">
        <w:t xml:space="preserve"> </w:t>
      </w:r>
      <w:r>
        <w:t>On the other hand</w:t>
      </w:r>
      <w:r w:rsidRPr="00BD62CA">
        <w:t xml:space="preserve">, </w:t>
      </w:r>
      <w:r>
        <w:t xml:space="preserve">young LGB people in </w:t>
      </w:r>
      <w:r w:rsidRPr="00BD62CA">
        <w:t xml:space="preserve">educational settings </w:t>
      </w:r>
      <w:r>
        <w:t xml:space="preserve">that are supportive </w:t>
      </w:r>
      <w:r w:rsidRPr="00BD62CA">
        <w:t xml:space="preserve">of LGBTQA+ </w:t>
      </w:r>
      <w:r>
        <w:t>people were found to report better</w:t>
      </w:r>
      <w:r w:rsidRPr="00BD62CA">
        <w:t xml:space="preserve"> mental health, </w:t>
      </w:r>
      <w:r>
        <w:t xml:space="preserve">higher social </w:t>
      </w:r>
      <w:r w:rsidRPr="00BD62CA">
        <w:t xml:space="preserve">connectedness and </w:t>
      </w:r>
      <w:r>
        <w:t xml:space="preserve">improved </w:t>
      </w:r>
      <w:r w:rsidRPr="00BD62CA">
        <w:t xml:space="preserve">educational </w:t>
      </w:r>
      <w:r>
        <w:t>attainment</w:t>
      </w:r>
      <w:r w:rsidRPr="00BD62CA">
        <w:t>.</w:t>
      </w:r>
      <w:r w:rsidRPr="009F2DDE">
        <w:fldChar w:fldCharType="begin"/>
      </w:r>
      <w:r>
        <w:instrText xml:space="preserve"> ADDIN ZOTERO_ITEM CSL_CITATION {"citationID":"ajbaath58v","properties":{"formattedCitation":"(34,41)","plainCitation":"(34,41)","noteIndex":0},"citationItems":[{"id":804,"uris":["http://zotero.org/groups/2463045/items/ZBYNG4U8"],"itemData":{"id":804,"type":"report","abstract":"This report presents the findings of the third 'Writing Themselves In' survey, which has been conducted every 6 years since 1998. This survey asks same-sex attracted and gender-questioning young people across Australia about their experiences and the issues they face. In 2010, 3,134 young people participated, aged between 14 and 21, from remote, rural, and urban areas. Survey topics include sexual attraction and sexual feelings, first realisation, sexual identity, sexual experience, sexually transmitted infections, pregnancy, verbal and physical abuse, links between abuse and negative health, drug use and self harm, feeing safe, schooling, internet use, disclosure and support, support as a buffer against homophobia, school policies and school culture, sexuality education and sources of information, sex education at school, and the influence of religion and rurality. Based on the findings, the report also presents recommendations for public education.","event-place":"Melbourne, Victoria","language":"en","note":"OCLC: 692249476","publisher":"Australian Research Centre in Sex, Health and Society, La Trobe University","publisher-place":"Melbourne, Victoria","source":"Open WorldCat","title":"Writing Themselves in 3: The third national study on the sexual health and wellbeing of same sex attracted and gender questioning young people.","title-short":"Writing themselves in 3","author":[{"family":"Hillier","given":"Lynne"},{"family":"Jones","given":"Tiffany"},{"family":"Monagle","given":"Marisa"},{"family":"Overton","given":"Naomi"},{"family":"Gahan","given":"Luke"},{"family":"Blackman","given":"Jennifer"},{"family":"Mitchell","given":"Anne"},{"literal":"La Trobe University"},{"family":"Australian Research Centre in Sex","given":"Health","suffix":"and Society"}],"issued":{"date-parts":[["2010"]]},"citation-key":"hillierWritingThemselvesThird2010"}},{"id":2658,"uris":["http://zotero.org/groups/2463045/items/A6VYNT8K"],"itemData":{"id":2658,"type":"report","event-place":"Melbourne","publisher":"Australian Research Centre in Sex, Health and Society","publisher-place":"Melbourne","title":"From blues to rainbows: the mental health and wellbeing of gender diverse and transgender young people in Australia","author":[{"family":"Smith","given":"Elizabeth"},{"family":"Jones","given":"Tiffany"},{"family":"Ward","given":"Roz"},{"family":"Dixon","given":"Jennifer"},{"family":"Mitchell","given":"Anne"},{"family":"Hillier","given":"Lynne"}],"issued":{"date-parts":[["2014"]]},"citation-key":"smithBluesRainbowsMental2014"}}],"schema":"https://github.com/citation-style-language/schema/raw/master/csl-citation.json"} </w:instrText>
      </w:r>
      <w:r w:rsidRPr="009F2DDE">
        <w:fldChar w:fldCharType="separate"/>
      </w:r>
      <w:r>
        <w:rPr>
          <w:lang w:val="en-GB"/>
        </w:rPr>
        <w:t>(34,41)</w:t>
      </w:r>
      <w:r w:rsidRPr="009F2DDE">
        <w:fldChar w:fldCharType="end"/>
      </w:r>
      <w:r w:rsidRPr="00BD62CA">
        <w:t xml:space="preserve"> </w:t>
      </w:r>
    </w:p>
    <w:p w14:paraId="04891847" w14:textId="77777777" w:rsidR="009D0006" w:rsidRDefault="009D0006" w:rsidP="009D0006">
      <w:r w:rsidRPr="007C2EA9">
        <w:t xml:space="preserve">Although research examining specific settings is limited, studies have documented abuse or violence against LGBTQ people with disability across a range of </w:t>
      </w:r>
      <w:r>
        <w:t xml:space="preserve">educational </w:t>
      </w:r>
      <w:r w:rsidRPr="007C2EA9">
        <w:t xml:space="preserve">settings, </w:t>
      </w:r>
      <w:r>
        <w:t>including</w:t>
      </w:r>
      <w:r w:rsidRPr="007C2EA9">
        <w:t xml:space="preserve"> in school and university</w:t>
      </w:r>
      <w:r>
        <w:t>.</w:t>
      </w:r>
      <w:r w:rsidRPr="007C2EA9">
        <w:fldChar w:fldCharType="begin"/>
      </w:r>
      <w:r>
        <w:instrText xml:space="preserve"> ADDIN ZOTERO_ITEM CSL_CITATION {"citationID":"NdX50AtA","properties":{"formattedCitation":"(43\\uc0\\u8211{}45)","plainCitation":"(43–45)","noteIndex":0},"citationItems":[{"id":"hc6yy1rM/a3VfWPDc","uris":["http://zotero.org/users/4948307/items/PCJYHUVT"],"itemData":{"id":3744,"type":"article-journal","abstract":"Despite prejudice-based harassment's associations with serious physical and mental health risks, research examining multiple forms of harassment among children/adolescents is lacking. This study documents the prevalence of prejudice-based harassment (i.e., harassment on the basis of gender, race/ethnicity, weight or physical appearance, sexual orientation, and disability status) among a large, statewide, school-based Midwestern U.S. sample of 162,034 adolescents. Weight-/appearance-based harassment was most prevalent among both girls (25.3%) and boys (19.8%). Adolescents from certain vulnerable groups experienced higher rates of multiple types of harassment, even when controlling for other sociodemographic characteristics. Prejudice-based harassment experiences are prevalent among adolescent girls and boys. Differential rates of each type of harassment are reported across groups within the corresponding sociodemographic status (e.g., white female adolescents report a significantly lower rate of race-based harassment (4.8%), as compared to Native American (18.6%), mixed/other race (18.9%), Hispanic/Latina (21.5%), Asian/Pacific Islander (24.2%), or Black/African American (24.8%) female adolescents); but a pattern of cross-harassment also is evident, such that differences in prevalence of each harassment type emerge across a variety of statuses (e.g., disability-based harassment was statistically significantly higher among discordant heterosexual (12.7%), gay (13.0%), bisexual (15.3%), and unsure (15.3%) male adolescents than among heterosexual male (7.2%) adolescents). Adolescents from specific sociodemographic groups are particularly vulnerable to certain types of harassment.","archive":"Cinahl","archive_location":"116764588. Language: English. Entry Date: 20180725. Revision Date: 20170421. Publication Type: journal article","container-title":"Journal of Adolescence","DOI":"10.1016/j.adolescence.2016.05.012","ISSN":"0140-1971","page":"68-75","source":"EBSCOhost","title":"Youth experiences with multiple types of prejudice-based harassment","volume":"51","author":[{"family":"Bucchianeri","given":"Michaela M."},{"family":"Gower","given":"Amy L."},{"family":"McMorris","given":"Barbara J."},{"family":"Eisenberg","given":"Marla E."}],"issued":{"date-parts":[["2016"]]}}},{"id":"hc6yy1rM/nsPCm5Qt","uris":["http://zotero.org/users/4948307/items/7I2M7HCM"],"itemData":{"id":5694,"type":"article-journal","abstract":"Research about students with disabilities and students identifying as LGBQ (lesbian, gay, bisexual, or questioning) reveals that both populations report more suicidality and peer victimization and less school connectedness than do their peers. No study has previously examined the intersection of these identities with regard to peer victimization, school connectedness, and suicidality. Using a sample of 11,364 high school students, we examined the relationships among these identities, peer victimization, and school connectedness with suicidal ideation. Compared with their peers without either identity, students identifying with one of these identities reported higher levels of suicidal ideation. School connectedness and peer victimization each moderated the association between identity and suicidal ideation. In addition, students who were victimized more than their peers and who identified both with a disability and as LGBQ (n = 250) reported the highest levels of suicidal ideation. School-based victimization and suicide prevention programs should consider students’ multiple identities. © The Author(s) 2017.","archive":"Scopus","container-title":"Exceptional Children","DOI":"10.1177/0014402917736261","ISSN":"00144029","issue":"2","language":"English","page":"141-158","title":"Suicidality and intersectionality among students identifying as nonheterosexual and with a disability","volume":"84","author":[{"family":"King","given":"M. T."},{"family":"Merrin","given":"G. J."},{"family":"Espelage","given":"D. L."},{"family":"Grant","given":"N. J."},{"family":"Bub","given":"K. L."}],"issued":{"date-parts":[["2018"]]}}},{"id":"hc6yy1rM/2L3TPB4G","uris":["http://zotero.org/users/4948307/items/NFWJASUG"],"itemData":{"id":4100,"type":"article-journal","abstract":"The present, exploratory study examined retrospective and current peer victimization in a multi-university sample of 58 college students with disabilities, 18 (31%) of whom identified as sexual minorities. Fifty-seven participants reported peer victimization during childhood, and approximately half reported experiencing peer victimization in the past 2 months. Students who identified as sexual minorities reported more retrospective victimization but current victimization did not differ between the two groups. Current and retrospective peer victimization were significantly correlated with present psychological distress. Professionals who work with students with disabilities should be aware of the high prevalence of peer victimization and its psychological correlates in this population.","archive":"Cinahl","archive_location":"148802434. Language: English. Entry Date: 20210223. Revision Date: 20210228. Publication Type: Article","container-title":"Sexuality &amp; Disability","DOI":"10.1007/s11195-020-09669-6","ISSN":"0146-1044","issue":"1","page":"97-111","source":"EBSCOhost","title":"Retrospective and Current Peer Victimization in College Students with Disabilities: Examining the Intersectionality of Sexual Orientation and Gender","volume":"39","author":[{"family":"Lund","given":"Emily M."},{"family":"Ross","given":"Scott W."}],"issued":{"date-parts":[["2021"]]}}}],"schema":"https://github.com/citation-style-language/schema/raw/master/csl-citation.json"} </w:instrText>
      </w:r>
      <w:r w:rsidRPr="007C2EA9">
        <w:fldChar w:fldCharType="separate"/>
      </w:r>
      <w:r w:rsidRPr="000D3E75">
        <w:rPr>
          <w:lang w:val="en-GB"/>
        </w:rPr>
        <w:t>(43–45)</w:t>
      </w:r>
      <w:r w:rsidRPr="007C2EA9">
        <w:fldChar w:fldCharType="end"/>
      </w:r>
      <w:r>
        <w:t xml:space="preserve"> In the </w:t>
      </w:r>
      <w:r w:rsidRPr="00FA6F3B">
        <w:rPr>
          <w:i/>
          <w:iCs/>
        </w:rPr>
        <w:t>Writing Themselves In 4</w:t>
      </w:r>
      <w:r>
        <w:t xml:space="preserve"> survey, young people aged 14-21 years were asked about their experiences related to feeling safe in education settings. This chapter focuses on the results of those who reported a disability.</w:t>
      </w:r>
    </w:p>
    <w:p w14:paraId="1A0542A7" w14:textId="5ED449CF" w:rsidR="009D0006" w:rsidRPr="00BD62CA" w:rsidRDefault="009D0006" w:rsidP="00153892">
      <w:pPr>
        <w:pStyle w:val="Heading2Numbered"/>
      </w:pPr>
      <w:bookmarkStart w:id="419" w:name="_Hlk51856720"/>
      <w:bookmarkStart w:id="420" w:name="_Toc115968554"/>
      <w:bookmarkStart w:id="421" w:name="_Toc119662421"/>
      <w:r w:rsidRPr="00BD62CA">
        <w:t>Experiences of feeling unsafe or uncomfortable</w:t>
      </w:r>
      <w:bookmarkEnd w:id="415"/>
      <w:bookmarkEnd w:id="416"/>
      <w:bookmarkEnd w:id="417"/>
      <w:bookmarkEnd w:id="418"/>
      <w:bookmarkEnd w:id="419"/>
      <w:r w:rsidRPr="00BD62CA">
        <w:t xml:space="preserve"> – young people aged 14-21 years</w:t>
      </w:r>
      <w:bookmarkEnd w:id="420"/>
      <w:bookmarkEnd w:id="421"/>
    </w:p>
    <w:p w14:paraId="56DAB9D6" w14:textId="77777777" w:rsidR="009D0006" w:rsidRPr="00BD62CA" w:rsidRDefault="009D0006" w:rsidP="009D0006">
      <w:pPr>
        <w:rPr>
          <w:b/>
          <w:sz w:val="16"/>
          <w:szCs w:val="16"/>
        </w:rPr>
      </w:pPr>
      <w:r w:rsidRPr="00BD62CA">
        <w:t>Participants were asked if they had felt unsafe or uncomfortable at their education</w:t>
      </w:r>
      <w:r>
        <w:t>al</w:t>
      </w:r>
      <w:r w:rsidRPr="00BD62CA">
        <w:t xml:space="preserve"> setting due to their sexuality or gender identity in the past 12 months. Table</w:t>
      </w:r>
      <w:r>
        <w:t>s</w:t>
      </w:r>
      <w:r w:rsidRPr="00BD62CA">
        <w:t xml:space="preserve"> </w:t>
      </w:r>
      <w:r>
        <w:t>32.1-32.4</w:t>
      </w:r>
      <w:r w:rsidRPr="00BD62CA">
        <w:t xml:space="preserve"> display the results.</w:t>
      </w:r>
    </w:p>
    <w:p w14:paraId="20183749" w14:textId="59FFC8D2" w:rsidR="009D0006" w:rsidRDefault="009D0006" w:rsidP="00603068">
      <w:pPr>
        <w:pStyle w:val="Tableheading"/>
      </w:pPr>
      <w:bookmarkStart w:id="422" w:name="_Toc117062750"/>
      <w:bookmarkStart w:id="423" w:name="_Toc119651435"/>
      <w:r w:rsidRPr="00FA6F3B">
        <w:rPr>
          <w:bCs/>
        </w:rPr>
        <w:t>Table</w:t>
      </w:r>
      <w:r>
        <w:rPr>
          <w:bCs/>
        </w:rPr>
        <w:t>s</w:t>
      </w:r>
      <w:r w:rsidRPr="00FA6F3B">
        <w:rPr>
          <w:bCs/>
        </w:rPr>
        <w:t xml:space="preserve"> </w:t>
      </w:r>
      <w:r w:rsidRPr="00A472DF">
        <w:rPr>
          <w:bCs/>
          <w:sz w:val="18"/>
          <w:szCs w:val="18"/>
        </w:rPr>
        <w:fldChar w:fldCharType="begin"/>
      </w:r>
      <w:r w:rsidRPr="00FA6F3B">
        <w:rPr>
          <w:bCs/>
        </w:rPr>
        <w:instrText xml:space="preserve"> SEQ Table \* ARABIC </w:instrText>
      </w:r>
      <w:r w:rsidRPr="00A472DF">
        <w:rPr>
          <w:bCs/>
          <w:sz w:val="18"/>
          <w:szCs w:val="18"/>
        </w:rPr>
        <w:fldChar w:fldCharType="separate"/>
      </w:r>
      <w:r>
        <w:rPr>
          <w:bCs/>
          <w:noProof/>
        </w:rPr>
        <w:t>32</w:t>
      </w:r>
      <w:r w:rsidRPr="00A472DF">
        <w:rPr>
          <w:bCs/>
          <w:sz w:val="18"/>
          <w:szCs w:val="18"/>
        </w:rPr>
        <w:fldChar w:fldCharType="end"/>
      </w:r>
      <w:r>
        <w:rPr>
          <w:bCs/>
          <w:sz w:val="18"/>
          <w:szCs w:val="18"/>
        </w:rPr>
        <w:t>.</w:t>
      </w:r>
      <w:r>
        <w:rPr>
          <w:bCs/>
        </w:rPr>
        <w:t>1-32.4</w:t>
      </w:r>
      <w:r>
        <w:t xml:space="preserve">: Proportion of young people with disability aged 14-21 years who reported feeling </w:t>
      </w:r>
      <w:r w:rsidRPr="00BD62CA">
        <w:t xml:space="preserve">unsafe or uncomfortable </w:t>
      </w:r>
      <w:r>
        <w:t>in their</w:t>
      </w:r>
      <w:r w:rsidRPr="00BD62CA">
        <w:t xml:space="preserve"> educational setting</w:t>
      </w:r>
      <w:r>
        <w:t xml:space="preserve"> </w:t>
      </w:r>
      <w:r w:rsidRPr="00BD62CA">
        <w:t xml:space="preserve">due to </w:t>
      </w:r>
      <w:r>
        <w:t xml:space="preserve">their </w:t>
      </w:r>
      <w:r w:rsidRPr="00BD62CA">
        <w:t xml:space="preserve">sexuality or gender identity in </w:t>
      </w:r>
      <w:r>
        <w:t xml:space="preserve">the </w:t>
      </w:r>
      <w:r w:rsidRPr="00BD62CA">
        <w:t>past 12 months</w:t>
      </w:r>
      <w:bookmarkEnd w:id="422"/>
      <w:bookmarkEnd w:id="423"/>
    </w:p>
    <w:p w14:paraId="5C0DBE9D" w14:textId="77777777" w:rsidR="009D0006" w:rsidRDefault="009D0006" w:rsidP="00603068">
      <w:pPr>
        <w:pStyle w:val="Tableheading"/>
      </w:pPr>
      <w:r>
        <w:t>Table 32.1 Secondary school</w:t>
      </w:r>
    </w:p>
    <w:tbl>
      <w:tblPr>
        <w:tblStyle w:val="RCTable"/>
        <w:tblW w:w="9864" w:type="dxa"/>
        <w:tblLook w:val="04A0" w:firstRow="1" w:lastRow="0" w:firstColumn="1" w:lastColumn="0" w:noHBand="0" w:noVBand="1"/>
      </w:tblPr>
      <w:tblGrid>
        <w:gridCol w:w="6746"/>
        <w:gridCol w:w="1559"/>
        <w:gridCol w:w="1559"/>
      </w:tblGrid>
      <w:tr w:rsidR="009D0006" w:rsidRPr="003F4D73" w14:paraId="76EEBB98"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165677BC" w14:textId="77777777" w:rsidR="009D0006" w:rsidRPr="003F4D73" w:rsidRDefault="009D0006" w:rsidP="00C3759B">
            <w:pPr>
              <w:pStyle w:val="Tableheader"/>
            </w:pPr>
            <w:r w:rsidRPr="00BD62CA">
              <w:t>Felt unsafe or uncomfortable</w:t>
            </w:r>
          </w:p>
        </w:tc>
        <w:tc>
          <w:tcPr>
            <w:tcW w:w="1559" w:type="dxa"/>
            <w:noWrap/>
            <w:hideMark/>
          </w:tcPr>
          <w:p w14:paraId="0E3C33F4" w14:textId="77777777" w:rsidR="009D0006" w:rsidRPr="003F4D73" w:rsidRDefault="009D0006" w:rsidP="00C3759B">
            <w:pPr>
              <w:pStyle w:val="Tableheader"/>
            </w:pPr>
            <w:r>
              <w:t>n</w:t>
            </w:r>
          </w:p>
        </w:tc>
        <w:tc>
          <w:tcPr>
            <w:tcW w:w="1559" w:type="dxa"/>
            <w:noWrap/>
            <w:hideMark/>
          </w:tcPr>
          <w:p w14:paraId="36A1C426" w14:textId="77777777" w:rsidR="009D0006" w:rsidRPr="003F4D73" w:rsidRDefault="009D0006" w:rsidP="00C3759B">
            <w:pPr>
              <w:pStyle w:val="Tableheader"/>
            </w:pPr>
            <w:r w:rsidRPr="003F4D73">
              <w:t>%</w:t>
            </w:r>
          </w:p>
        </w:tc>
      </w:tr>
      <w:tr w:rsidR="009D0006" w:rsidRPr="003F4D73" w14:paraId="218CB9A2"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F9FB599" w14:textId="77777777" w:rsidR="009D0006" w:rsidRPr="003F4D73" w:rsidRDefault="009D0006" w:rsidP="00C3759B">
            <w:pPr>
              <w:pStyle w:val="Tabletext"/>
            </w:pPr>
            <w:r>
              <w:t>No</w:t>
            </w:r>
          </w:p>
        </w:tc>
        <w:tc>
          <w:tcPr>
            <w:tcW w:w="1559" w:type="dxa"/>
            <w:noWrap/>
          </w:tcPr>
          <w:p w14:paraId="6D068054" w14:textId="77777777" w:rsidR="009D0006" w:rsidRPr="003F4D73" w:rsidRDefault="009D0006" w:rsidP="00C3759B">
            <w:pPr>
              <w:pStyle w:val="Tabletext"/>
            </w:pPr>
            <w:r>
              <w:rPr>
                <w:color w:val="000000"/>
              </w:rPr>
              <w:t>443</w:t>
            </w:r>
          </w:p>
        </w:tc>
        <w:tc>
          <w:tcPr>
            <w:tcW w:w="1559" w:type="dxa"/>
            <w:noWrap/>
          </w:tcPr>
          <w:p w14:paraId="2D75F6E0" w14:textId="77777777" w:rsidR="009D0006" w:rsidRPr="003F4D73" w:rsidRDefault="009D0006" w:rsidP="00C3759B">
            <w:pPr>
              <w:pStyle w:val="Tabletext"/>
            </w:pPr>
            <w:r>
              <w:rPr>
                <w:color w:val="000000"/>
              </w:rPr>
              <w:t>35.2</w:t>
            </w:r>
          </w:p>
        </w:tc>
      </w:tr>
      <w:tr w:rsidR="009D0006" w:rsidRPr="003F4D73" w14:paraId="30EAB8DA"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EBA2F8E" w14:textId="77777777" w:rsidR="009D0006" w:rsidRPr="003F4D73" w:rsidRDefault="009D0006" w:rsidP="00C3759B">
            <w:pPr>
              <w:pStyle w:val="Tabletext"/>
            </w:pPr>
            <w:r>
              <w:t>Yes</w:t>
            </w:r>
          </w:p>
        </w:tc>
        <w:tc>
          <w:tcPr>
            <w:tcW w:w="1559" w:type="dxa"/>
            <w:noWrap/>
          </w:tcPr>
          <w:p w14:paraId="37BF1ACD" w14:textId="77777777" w:rsidR="009D0006" w:rsidRPr="003F4D73" w:rsidRDefault="009D0006" w:rsidP="00C3759B">
            <w:pPr>
              <w:pStyle w:val="Tabletext"/>
            </w:pPr>
            <w:r>
              <w:rPr>
                <w:color w:val="000000"/>
              </w:rPr>
              <w:t>815</w:t>
            </w:r>
          </w:p>
        </w:tc>
        <w:tc>
          <w:tcPr>
            <w:tcW w:w="1559" w:type="dxa"/>
            <w:noWrap/>
          </w:tcPr>
          <w:p w14:paraId="3973F780" w14:textId="77777777" w:rsidR="009D0006" w:rsidRPr="003F4D73" w:rsidRDefault="009D0006" w:rsidP="00C3759B">
            <w:pPr>
              <w:pStyle w:val="Tabletext"/>
            </w:pPr>
            <w:r>
              <w:rPr>
                <w:color w:val="000000"/>
              </w:rPr>
              <w:t>64.8</w:t>
            </w:r>
          </w:p>
        </w:tc>
      </w:tr>
    </w:tbl>
    <w:p w14:paraId="37C24462" w14:textId="77777777" w:rsidR="009D0006" w:rsidRDefault="009D0006" w:rsidP="00603068">
      <w:pPr>
        <w:pStyle w:val="Tableheading"/>
      </w:pPr>
      <w:r>
        <w:t>Table 32.2 TAFE</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25C19B8"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32C63E7E" w14:textId="77777777" w:rsidR="009D0006" w:rsidRPr="003F4D73" w:rsidRDefault="009D0006" w:rsidP="00C3759B">
            <w:pPr>
              <w:pStyle w:val="Tableheader"/>
            </w:pPr>
            <w:r w:rsidRPr="00BD62CA">
              <w:t>Felt unsafe or uncomfortable</w:t>
            </w:r>
          </w:p>
        </w:tc>
        <w:tc>
          <w:tcPr>
            <w:tcW w:w="1559" w:type="dxa"/>
            <w:hideMark/>
          </w:tcPr>
          <w:p w14:paraId="7A5827E9" w14:textId="77777777" w:rsidR="009D0006" w:rsidRPr="003F4D73" w:rsidRDefault="009D0006" w:rsidP="00C3759B">
            <w:pPr>
              <w:pStyle w:val="Tableheader"/>
            </w:pPr>
            <w:r>
              <w:t>n</w:t>
            </w:r>
          </w:p>
        </w:tc>
        <w:tc>
          <w:tcPr>
            <w:tcW w:w="1559" w:type="dxa"/>
            <w:hideMark/>
          </w:tcPr>
          <w:p w14:paraId="23000211" w14:textId="77777777" w:rsidR="009D0006" w:rsidRPr="003F4D73" w:rsidRDefault="009D0006" w:rsidP="00C3759B">
            <w:pPr>
              <w:pStyle w:val="Tableheader"/>
            </w:pPr>
            <w:r w:rsidRPr="003F4D73">
              <w:t>%</w:t>
            </w:r>
          </w:p>
        </w:tc>
      </w:tr>
      <w:tr w:rsidR="009D0006" w:rsidRPr="003F4D73" w14:paraId="242562F8"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25395FD" w14:textId="77777777" w:rsidR="009D0006" w:rsidRPr="003F4D73" w:rsidRDefault="009D0006" w:rsidP="00C3759B">
            <w:pPr>
              <w:pStyle w:val="Tabletext"/>
            </w:pPr>
            <w:r>
              <w:t>No</w:t>
            </w:r>
          </w:p>
        </w:tc>
        <w:tc>
          <w:tcPr>
            <w:tcW w:w="1559" w:type="dxa"/>
          </w:tcPr>
          <w:p w14:paraId="4BADE533" w14:textId="77777777" w:rsidR="009D0006" w:rsidRPr="003F4D73" w:rsidRDefault="009D0006" w:rsidP="00C3759B">
            <w:pPr>
              <w:pStyle w:val="Tabletext"/>
            </w:pPr>
            <w:r>
              <w:rPr>
                <w:color w:val="000000"/>
              </w:rPr>
              <w:t>147</w:t>
            </w:r>
          </w:p>
        </w:tc>
        <w:tc>
          <w:tcPr>
            <w:tcW w:w="1559" w:type="dxa"/>
          </w:tcPr>
          <w:p w14:paraId="693EAAA5" w14:textId="77777777" w:rsidR="009D0006" w:rsidRPr="003F4D73" w:rsidRDefault="009D0006" w:rsidP="00C3759B">
            <w:pPr>
              <w:pStyle w:val="Tabletext"/>
            </w:pPr>
            <w:r>
              <w:rPr>
                <w:color w:val="000000"/>
              </w:rPr>
              <w:t>57.2</w:t>
            </w:r>
          </w:p>
        </w:tc>
      </w:tr>
      <w:tr w:rsidR="009D0006" w:rsidRPr="003F4D73" w14:paraId="13E6DFED"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9529491" w14:textId="77777777" w:rsidR="009D0006" w:rsidRPr="003F4D73" w:rsidRDefault="009D0006" w:rsidP="00C3759B">
            <w:pPr>
              <w:pStyle w:val="Tabletext"/>
            </w:pPr>
            <w:r>
              <w:t>Yes</w:t>
            </w:r>
          </w:p>
        </w:tc>
        <w:tc>
          <w:tcPr>
            <w:tcW w:w="1559" w:type="dxa"/>
          </w:tcPr>
          <w:p w14:paraId="001A5BAB" w14:textId="77777777" w:rsidR="009D0006" w:rsidRPr="003F4D73" w:rsidRDefault="009D0006" w:rsidP="00C3759B">
            <w:pPr>
              <w:pStyle w:val="Tabletext"/>
            </w:pPr>
            <w:r>
              <w:rPr>
                <w:color w:val="000000"/>
              </w:rPr>
              <w:t>110</w:t>
            </w:r>
          </w:p>
        </w:tc>
        <w:tc>
          <w:tcPr>
            <w:tcW w:w="1559" w:type="dxa"/>
          </w:tcPr>
          <w:p w14:paraId="0E3B4C32" w14:textId="77777777" w:rsidR="009D0006" w:rsidRPr="003F4D73" w:rsidRDefault="009D0006" w:rsidP="00C3759B">
            <w:pPr>
              <w:pStyle w:val="Tabletext"/>
            </w:pPr>
            <w:r>
              <w:rPr>
                <w:color w:val="000000"/>
              </w:rPr>
              <w:t>42.8</w:t>
            </w:r>
          </w:p>
        </w:tc>
      </w:tr>
    </w:tbl>
    <w:p w14:paraId="1B294D11" w14:textId="77777777" w:rsidR="009D0006" w:rsidRDefault="009D0006" w:rsidP="00603068">
      <w:pPr>
        <w:pStyle w:val="Tableheading"/>
      </w:pPr>
      <w:r>
        <w:t xml:space="preserve">Table 32.3 </w:t>
      </w:r>
      <w:r>
        <w:lastRenderedPageBreak/>
        <w:t>University</w:t>
      </w:r>
    </w:p>
    <w:tbl>
      <w:tblPr>
        <w:tblStyle w:val="RCTable"/>
        <w:tblW w:w="9864" w:type="dxa"/>
        <w:tblLook w:val="04A0" w:firstRow="1" w:lastRow="0" w:firstColumn="1" w:lastColumn="0" w:noHBand="0" w:noVBand="1"/>
      </w:tblPr>
      <w:tblGrid>
        <w:gridCol w:w="6746"/>
        <w:gridCol w:w="1559"/>
        <w:gridCol w:w="1559"/>
      </w:tblGrid>
      <w:tr w:rsidR="009D0006" w:rsidRPr="003F4D73" w14:paraId="06877690"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1A7E332A" w14:textId="77777777" w:rsidR="009D0006" w:rsidRPr="003F4D73" w:rsidRDefault="009D0006" w:rsidP="00C3759B">
            <w:pPr>
              <w:pStyle w:val="Tableheader"/>
            </w:pPr>
            <w:r w:rsidRPr="00BD62CA">
              <w:t>Felt unsafe or uncomfortable</w:t>
            </w:r>
          </w:p>
        </w:tc>
        <w:tc>
          <w:tcPr>
            <w:tcW w:w="1559" w:type="dxa"/>
            <w:noWrap/>
            <w:hideMark/>
          </w:tcPr>
          <w:p w14:paraId="767DA1D4" w14:textId="77777777" w:rsidR="009D0006" w:rsidRPr="003F4D73" w:rsidRDefault="009D0006" w:rsidP="00C3759B">
            <w:pPr>
              <w:pStyle w:val="Tableheader"/>
            </w:pPr>
            <w:r>
              <w:t>n</w:t>
            </w:r>
          </w:p>
        </w:tc>
        <w:tc>
          <w:tcPr>
            <w:tcW w:w="1559" w:type="dxa"/>
            <w:noWrap/>
            <w:hideMark/>
          </w:tcPr>
          <w:p w14:paraId="4CB63E79" w14:textId="77777777" w:rsidR="009D0006" w:rsidRPr="003F4D73" w:rsidRDefault="009D0006" w:rsidP="00C3759B">
            <w:pPr>
              <w:pStyle w:val="Tableheader"/>
            </w:pPr>
            <w:r w:rsidRPr="003F4D73">
              <w:t>%</w:t>
            </w:r>
          </w:p>
        </w:tc>
      </w:tr>
      <w:tr w:rsidR="009D0006" w:rsidRPr="003F4D73" w14:paraId="577028E5"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5DC142F" w14:textId="77777777" w:rsidR="009D0006" w:rsidRPr="003F4D73" w:rsidRDefault="009D0006" w:rsidP="00C3759B">
            <w:pPr>
              <w:pStyle w:val="Tabletext"/>
            </w:pPr>
            <w:r>
              <w:t>No</w:t>
            </w:r>
          </w:p>
        </w:tc>
        <w:tc>
          <w:tcPr>
            <w:tcW w:w="1559" w:type="dxa"/>
            <w:noWrap/>
          </w:tcPr>
          <w:p w14:paraId="36FF0672" w14:textId="77777777" w:rsidR="009D0006" w:rsidRPr="003F4D73" w:rsidRDefault="009D0006" w:rsidP="00C3759B">
            <w:pPr>
              <w:pStyle w:val="Tabletext"/>
            </w:pPr>
            <w:r>
              <w:rPr>
                <w:color w:val="000000"/>
              </w:rPr>
              <w:t>376</w:t>
            </w:r>
          </w:p>
        </w:tc>
        <w:tc>
          <w:tcPr>
            <w:tcW w:w="1559" w:type="dxa"/>
            <w:noWrap/>
          </w:tcPr>
          <w:p w14:paraId="70A7262B" w14:textId="77777777" w:rsidR="009D0006" w:rsidRPr="003F4D73" w:rsidRDefault="009D0006" w:rsidP="00C3759B">
            <w:pPr>
              <w:pStyle w:val="Tabletext"/>
            </w:pPr>
            <w:r>
              <w:rPr>
                <w:color w:val="000000"/>
              </w:rPr>
              <w:t>60.1</w:t>
            </w:r>
          </w:p>
        </w:tc>
      </w:tr>
      <w:tr w:rsidR="009D0006" w:rsidRPr="003F4D73" w14:paraId="6F91303F"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4DDBAFA" w14:textId="77777777" w:rsidR="009D0006" w:rsidRPr="003F4D73" w:rsidRDefault="009D0006" w:rsidP="00C3759B">
            <w:pPr>
              <w:pStyle w:val="Tabletext"/>
            </w:pPr>
            <w:r>
              <w:t>Yes</w:t>
            </w:r>
          </w:p>
        </w:tc>
        <w:tc>
          <w:tcPr>
            <w:tcW w:w="1559" w:type="dxa"/>
            <w:noWrap/>
          </w:tcPr>
          <w:p w14:paraId="495ABDDF" w14:textId="77777777" w:rsidR="009D0006" w:rsidRPr="003F4D73" w:rsidRDefault="009D0006" w:rsidP="00C3759B">
            <w:pPr>
              <w:pStyle w:val="Tabletext"/>
            </w:pPr>
            <w:r>
              <w:rPr>
                <w:color w:val="000000"/>
              </w:rPr>
              <w:t>250</w:t>
            </w:r>
          </w:p>
        </w:tc>
        <w:tc>
          <w:tcPr>
            <w:tcW w:w="1559" w:type="dxa"/>
            <w:noWrap/>
          </w:tcPr>
          <w:p w14:paraId="3932DE91" w14:textId="77777777" w:rsidR="009D0006" w:rsidRPr="003F4D73" w:rsidRDefault="009D0006" w:rsidP="00C3759B">
            <w:pPr>
              <w:pStyle w:val="Tabletext"/>
            </w:pPr>
            <w:r>
              <w:rPr>
                <w:color w:val="000000"/>
              </w:rPr>
              <w:t>39.9</w:t>
            </w:r>
          </w:p>
        </w:tc>
      </w:tr>
    </w:tbl>
    <w:p w14:paraId="2FF4DD58" w14:textId="77777777" w:rsidR="009D0006" w:rsidRDefault="009D0006" w:rsidP="004E2605">
      <w:pPr>
        <w:pStyle w:val="Tableheading"/>
        <w:spacing w:before="120"/>
      </w:pPr>
      <w:r>
        <w:t>Table 32.4 Total</w:t>
      </w:r>
    </w:p>
    <w:tbl>
      <w:tblPr>
        <w:tblStyle w:val="RCTable"/>
        <w:tblW w:w="9864" w:type="dxa"/>
        <w:tblLook w:val="04A0" w:firstRow="1" w:lastRow="0" w:firstColumn="1" w:lastColumn="0" w:noHBand="0" w:noVBand="1"/>
      </w:tblPr>
      <w:tblGrid>
        <w:gridCol w:w="6746"/>
        <w:gridCol w:w="1559"/>
        <w:gridCol w:w="1559"/>
      </w:tblGrid>
      <w:tr w:rsidR="009D0006" w:rsidRPr="003F4D73" w14:paraId="5C12933A" w14:textId="77777777" w:rsidTr="00C3759B">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5FDC4791" w14:textId="77777777" w:rsidR="009D0006" w:rsidRPr="003F4D73" w:rsidRDefault="009D0006" w:rsidP="00C3759B">
            <w:pPr>
              <w:pStyle w:val="Tableheader"/>
            </w:pPr>
            <w:r w:rsidRPr="00BD62CA">
              <w:t>Felt unsafe or uncomfortable</w:t>
            </w:r>
          </w:p>
        </w:tc>
        <w:tc>
          <w:tcPr>
            <w:tcW w:w="1559" w:type="dxa"/>
            <w:hideMark/>
          </w:tcPr>
          <w:p w14:paraId="20B27446" w14:textId="77777777" w:rsidR="009D0006" w:rsidRPr="003F4D73" w:rsidRDefault="009D0006" w:rsidP="00C3759B">
            <w:pPr>
              <w:pStyle w:val="Tableheader"/>
            </w:pPr>
            <w:r>
              <w:t>n</w:t>
            </w:r>
          </w:p>
        </w:tc>
        <w:tc>
          <w:tcPr>
            <w:tcW w:w="1559" w:type="dxa"/>
            <w:hideMark/>
          </w:tcPr>
          <w:p w14:paraId="792358CC" w14:textId="77777777" w:rsidR="009D0006" w:rsidRPr="003F4D73" w:rsidRDefault="009D0006" w:rsidP="00C3759B">
            <w:pPr>
              <w:pStyle w:val="Tableheader"/>
            </w:pPr>
            <w:r w:rsidRPr="003F4D73">
              <w:t>%</w:t>
            </w:r>
          </w:p>
        </w:tc>
      </w:tr>
      <w:tr w:rsidR="009D0006" w:rsidRPr="003F4D73" w14:paraId="4E7A2753" w14:textId="77777777" w:rsidTr="00C3759B">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FA7017E" w14:textId="77777777" w:rsidR="009D0006" w:rsidRPr="003F4D73" w:rsidRDefault="009D0006" w:rsidP="00C3759B">
            <w:pPr>
              <w:pStyle w:val="Tabletext"/>
            </w:pPr>
            <w:r>
              <w:t>No</w:t>
            </w:r>
          </w:p>
        </w:tc>
        <w:tc>
          <w:tcPr>
            <w:tcW w:w="1559" w:type="dxa"/>
          </w:tcPr>
          <w:p w14:paraId="54F12E6A" w14:textId="77777777" w:rsidR="009D0006" w:rsidRPr="003F4D73" w:rsidRDefault="009D0006" w:rsidP="00C3759B">
            <w:pPr>
              <w:pStyle w:val="Tabletext"/>
            </w:pPr>
            <w:r>
              <w:rPr>
                <w:color w:val="000000"/>
              </w:rPr>
              <w:t>1083</w:t>
            </w:r>
          </w:p>
        </w:tc>
        <w:tc>
          <w:tcPr>
            <w:tcW w:w="1559" w:type="dxa"/>
          </w:tcPr>
          <w:p w14:paraId="438E8B13" w14:textId="77777777" w:rsidR="009D0006" w:rsidRPr="003F4D73" w:rsidRDefault="009D0006" w:rsidP="00C3759B">
            <w:pPr>
              <w:pStyle w:val="Tabletext"/>
            </w:pPr>
            <w:r>
              <w:rPr>
                <w:color w:val="000000"/>
              </w:rPr>
              <w:t>46.1</w:t>
            </w:r>
          </w:p>
        </w:tc>
      </w:tr>
      <w:tr w:rsidR="009D0006" w:rsidRPr="003F4D73" w14:paraId="29856C87" w14:textId="77777777" w:rsidTr="00C3759B">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F4389AC" w14:textId="77777777" w:rsidR="009D0006" w:rsidRPr="003F4D73" w:rsidRDefault="009D0006" w:rsidP="00C3759B">
            <w:pPr>
              <w:pStyle w:val="Tabletext"/>
            </w:pPr>
            <w:r>
              <w:t>Yes</w:t>
            </w:r>
          </w:p>
        </w:tc>
        <w:tc>
          <w:tcPr>
            <w:tcW w:w="1559" w:type="dxa"/>
          </w:tcPr>
          <w:p w14:paraId="1D056241" w14:textId="77777777" w:rsidR="009D0006" w:rsidRPr="003F4D73" w:rsidRDefault="009D0006" w:rsidP="00C3759B">
            <w:pPr>
              <w:pStyle w:val="Tabletext"/>
            </w:pPr>
            <w:r>
              <w:rPr>
                <w:color w:val="000000"/>
              </w:rPr>
              <w:t>1265</w:t>
            </w:r>
          </w:p>
        </w:tc>
        <w:tc>
          <w:tcPr>
            <w:tcW w:w="1559" w:type="dxa"/>
          </w:tcPr>
          <w:p w14:paraId="72971820" w14:textId="77777777" w:rsidR="009D0006" w:rsidRPr="003F4D73" w:rsidRDefault="009D0006" w:rsidP="00C3759B">
            <w:pPr>
              <w:pStyle w:val="Tabletext"/>
            </w:pPr>
            <w:r>
              <w:rPr>
                <w:color w:val="000000"/>
              </w:rPr>
              <w:t>53.9</w:t>
            </w:r>
          </w:p>
        </w:tc>
      </w:tr>
    </w:tbl>
    <w:p w14:paraId="099DEE56" w14:textId="77777777" w:rsidR="009D0006" w:rsidRPr="007431EA" w:rsidRDefault="009D0006" w:rsidP="004E2605">
      <w:r>
        <w:t>More than half (53.9%; n= 1265) of p</w:t>
      </w:r>
      <w:r w:rsidRPr="00542E35">
        <w:t>articipants</w:t>
      </w:r>
      <w:r>
        <w:t xml:space="preserve"> reporting disability</w:t>
      </w:r>
      <w:r w:rsidRPr="00542E35">
        <w:t xml:space="preserve"> in</w:t>
      </w:r>
      <w:r>
        <w:t xml:space="preserve"> </w:t>
      </w:r>
      <w:r>
        <w:rPr>
          <w:i/>
          <w:iCs/>
        </w:rPr>
        <w:t>Writing Themselves In 4</w:t>
      </w:r>
      <w:r>
        <w:t xml:space="preserve"> felt unsafe or uncomfortable in their educational setting. Feeling unsafe or uncomfortable in their educational setting was reported most frequently by participants who attended secondary school (64.8%; n = 815), followed by participants who attended TAFE (42.8%, n = 110) and participants who attended university (39.9%; n = 250).</w:t>
      </w:r>
      <w:bookmarkStart w:id="424" w:name="_Toc58252073"/>
    </w:p>
    <w:p w14:paraId="757F56C2" w14:textId="11206D7B" w:rsidR="009D0006" w:rsidRPr="00BD62CA" w:rsidRDefault="009D0006" w:rsidP="004E2605">
      <w:pPr>
        <w:pStyle w:val="Heading3Numbered"/>
        <w:spacing w:before="240"/>
      </w:pPr>
      <w:bookmarkStart w:id="425" w:name="_Toc115968555"/>
      <w:r w:rsidRPr="00BD62CA">
        <w:t xml:space="preserve">Experiences of feeling unsafe or uncomfortable by </w:t>
      </w:r>
      <w:bookmarkEnd w:id="424"/>
      <w:r w:rsidRPr="00BD62CA">
        <w:t>disability – young people aged 14-21 years</w:t>
      </w:r>
      <w:bookmarkEnd w:id="425"/>
    </w:p>
    <w:p w14:paraId="31303C26" w14:textId="628A3B42" w:rsidR="009D0006" w:rsidRDefault="009D0006" w:rsidP="004E2605">
      <w:pPr>
        <w:pStyle w:val="Tableheading"/>
        <w:spacing w:before="0"/>
      </w:pPr>
      <w:bookmarkStart w:id="426" w:name="_Toc117062751"/>
      <w:bookmarkStart w:id="427" w:name="_Toc119651436"/>
      <w:r w:rsidRPr="00FA6F3B">
        <w:rPr>
          <w:bCs/>
        </w:rPr>
        <w:t>Table</w:t>
      </w:r>
      <w:r>
        <w:rPr>
          <w:bCs/>
        </w:rPr>
        <w:t>s</w:t>
      </w:r>
      <w:r w:rsidRPr="00FA6F3B">
        <w:rPr>
          <w:bCs/>
        </w:rPr>
        <w:t xml:space="preserve"> </w:t>
      </w:r>
      <w:r w:rsidRPr="00A472DF">
        <w:rPr>
          <w:bCs/>
          <w:sz w:val="18"/>
          <w:szCs w:val="18"/>
        </w:rPr>
        <w:fldChar w:fldCharType="begin"/>
      </w:r>
      <w:r w:rsidRPr="00FA6F3B">
        <w:rPr>
          <w:bCs/>
        </w:rPr>
        <w:instrText xml:space="preserve"> SEQ Table \* ARABIC </w:instrText>
      </w:r>
      <w:r w:rsidRPr="00A472DF">
        <w:rPr>
          <w:bCs/>
          <w:sz w:val="18"/>
          <w:szCs w:val="18"/>
        </w:rPr>
        <w:fldChar w:fldCharType="separate"/>
      </w:r>
      <w:r>
        <w:rPr>
          <w:bCs/>
          <w:noProof/>
        </w:rPr>
        <w:t>33</w:t>
      </w:r>
      <w:r w:rsidRPr="00A472DF">
        <w:rPr>
          <w:bCs/>
          <w:sz w:val="18"/>
          <w:szCs w:val="18"/>
        </w:rPr>
        <w:fldChar w:fldCharType="end"/>
      </w:r>
      <w:r>
        <w:rPr>
          <w:bCs/>
          <w:sz w:val="18"/>
          <w:szCs w:val="18"/>
        </w:rPr>
        <w:t>.</w:t>
      </w:r>
      <w:r w:rsidRPr="00DC65BC">
        <w:rPr>
          <w:bCs/>
        </w:rPr>
        <w:t>1-33.7</w:t>
      </w:r>
      <w:r>
        <w:t xml:space="preserve">: Proportion of young people aged 14-21 years who reported feeling </w:t>
      </w:r>
      <w:r w:rsidRPr="00BD62CA">
        <w:t xml:space="preserve">unsafe or uncomfortable </w:t>
      </w:r>
      <w:r>
        <w:t xml:space="preserve">in their educational setting </w:t>
      </w:r>
      <w:r w:rsidRPr="00BD62CA">
        <w:t>due</w:t>
      </w:r>
      <w:r w:rsidRPr="00B76456">
        <w:t xml:space="preserve"> to </w:t>
      </w:r>
      <w:r>
        <w:t>their</w:t>
      </w:r>
      <w:r w:rsidRPr="00B76456">
        <w:t xml:space="preserve"> sexuality or gender identity in </w:t>
      </w:r>
      <w:r>
        <w:t xml:space="preserve">the </w:t>
      </w:r>
      <w:r w:rsidRPr="00B76456">
        <w:t>past 12 months</w:t>
      </w:r>
      <w:r>
        <w:t xml:space="preserve">, grouped </w:t>
      </w:r>
      <w:r w:rsidRPr="00B76456">
        <w:t>by disability</w:t>
      </w:r>
      <w:bookmarkEnd w:id="426"/>
      <w:bookmarkEnd w:id="427"/>
    </w:p>
    <w:p w14:paraId="22805865" w14:textId="77777777" w:rsidR="009D0006" w:rsidRPr="00BD62CA" w:rsidRDefault="009D0006" w:rsidP="00603068">
      <w:pPr>
        <w:pStyle w:val="Tableheading"/>
      </w:pPr>
      <w:r>
        <w:t>Table 33.1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6FC7A918"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30CBE552" w14:textId="77777777" w:rsidR="009D0006" w:rsidRPr="00D52852" w:rsidRDefault="009D0006" w:rsidP="00C3759B">
            <w:pPr>
              <w:pStyle w:val="Tableheader"/>
            </w:pPr>
            <w:r w:rsidRPr="00D52852">
              <w:t>Felt unsafe or uncomfortab</w:t>
            </w:r>
            <w:r>
              <w:t>l</w:t>
            </w:r>
            <w:r w:rsidRPr="00D52852">
              <w:t>e</w:t>
            </w:r>
          </w:p>
        </w:tc>
        <w:tc>
          <w:tcPr>
            <w:tcW w:w="1559" w:type="dxa"/>
            <w:noWrap/>
          </w:tcPr>
          <w:p w14:paraId="19295155" w14:textId="77777777" w:rsidR="009D0006" w:rsidRPr="00D52852" w:rsidRDefault="009D0006" w:rsidP="00C3759B">
            <w:pPr>
              <w:pStyle w:val="Tableheader"/>
            </w:pPr>
            <w:r w:rsidRPr="00D52852">
              <w:t>n</w:t>
            </w:r>
          </w:p>
        </w:tc>
        <w:tc>
          <w:tcPr>
            <w:tcW w:w="1559" w:type="dxa"/>
            <w:noWrap/>
          </w:tcPr>
          <w:p w14:paraId="6121FBD9" w14:textId="77777777" w:rsidR="009D0006" w:rsidRPr="00D52852" w:rsidRDefault="009D0006" w:rsidP="00C3759B">
            <w:pPr>
              <w:pStyle w:val="Tableheader"/>
            </w:pPr>
            <w:r w:rsidRPr="00D52852">
              <w:t>%</w:t>
            </w:r>
          </w:p>
        </w:tc>
      </w:tr>
      <w:tr w:rsidR="009D0006" w:rsidRPr="002B6A0A" w14:paraId="51B3152C"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9AEE1D2" w14:textId="77777777" w:rsidR="009D0006" w:rsidRPr="002B6A0A" w:rsidRDefault="009D0006" w:rsidP="00C3759B">
            <w:pPr>
              <w:pStyle w:val="Tabletext"/>
            </w:pPr>
            <w:r w:rsidRPr="002B6A0A">
              <w:t>No</w:t>
            </w:r>
          </w:p>
        </w:tc>
        <w:tc>
          <w:tcPr>
            <w:tcW w:w="1559" w:type="dxa"/>
            <w:noWrap/>
          </w:tcPr>
          <w:p w14:paraId="251A28E8" w14:textId="77777777" w:rsidR="009D0006" w:rsidRPr="002B6A0A" w:rsidRDefault="009D0006" w:rsidP="00C3759B">
            <w:pPr>
              <w:pStyle w:val="Tabletext"/>
            </w:pPr>
            <w:r w:rsidRPr="002B6A0A">
              <w:rPr>
                <w:color w:val="000000"/>
              </w:rPr>
              <w:t>583</w:t>
            </w:r>
          </w:p>
        </w:tc>
        <w:tc>
          <w:tcPr>
            <w:tcW w:w="1559" w:type="dxa"/>
            <w:noWrap/>
          </w:tcPr>
          <w:p w14:paraId="77A00A2B" w14:textId="77777777" w:rsidR="009D0006" w:rsidRPr="002B6A0A" w:rsidRDefault="009D0006" w:rsidP="00C3759B">
            <w:pPr>
              <w:pStyle w:val="Tabletext"/>
            </w:pPr>
            <w:r w:rsidRPr="002B6A0A">
              <w:rPr>
                <w:color w:val="000000"/>
              </w:rPr>
              <w:t>43.3</w:t>
            </w:r>
          </w:p>
        </w:tc>
      </w:tr>
      <w:tr w:rsidR="009D0006" w:rsidRPr="002B6A0A" w14:paraId="06FCD7CF"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E401512" w14:textId="77777777" w:rsidR="009D0006" w:rsidRPr="002B6A0A" w:rsidRDefault="009D0006" w:rsidP="00C3759B">
            <w:pPr>
              <w:pStyle w:val="Tabletext"/>
            </w:pPr>
            <w:r w:rsidRPr="002B6A0A">
              <w:t>Yes</w:t>
            </w:r>
          </w:p>
        </w:tc>
        <w:tc>
          <w:tcPr>
            <w:tcW w:w="1559" w:type="dxa"/>
            <w:noWrap/>
          </w:tcPr>
          <w:p w14:paraId="5B753671" w14:textId="77777777" w:rsidR="009D0006" w:rsidRPr="002B6A0A" w:rsidRDefault="009D0006" w:rsidP="00C3759B">
            <w:pPr>
              <w:pStyle w:val="Tabletext"/>
            </w:pPr>
            <w:r w:rsidRPr="002B6A0A">
              <w:rPr>
                <w:color w:val="000000"/>
              </w:rPr>
              <w:t>763</w:t>
            </w:r>
          </w:p>
        </w:tc>
        <w:tc>
          <w:tcPr>
            <w:tcW w:w="1559" w:type="dxa"/>
            <w:noWrap/>
          </w:tcPr>
          <w:p w14:paraId="3AB68443" w14:textId="77777777" w:rsidR="009D0006" w:rsidRPr="002B6A0A" w:rsidRDefault="009D0006" w:rsidP="00C3759B">
            <w:pPr>
              <w:pStyle w:val="Tabletext"/>
            </w:pPr>
            <w:r w:rsidRPr="002B6A0A">
              <w:rPr>
                <w:color w:val="000000"/>
              </w:rPr>
              <w:t>56.7</w:t>
            </w:r>
          </w:p>
        </w:tc>
      </w:tr>
    </w:tbl>
    <w:p w14:paraId="2CEFCF08" w14:textId="77777777" w:rsidR="009D0006" w:rsidRDefault="009D0006" w:rsidP="00603068">
      <w:pPr>
        <w:pStyle w:val="Tableheading"/>
        <w:rPr>
          <w:lang w:val="en-GB"/>
        </w:rPr>
      </w:pPr>
      <w:r>
        <w:rPr>
          <w:lang w:val="en-GB"/>
        </w:rPr>
        <w:t>Table 33.2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42677" w14:paraId="3776910F"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06E62D8B" w14:textId="77777777" w:rsidR="009D0006" w:rsidRPr="00C42677" w:rsidRDefault="009D0006" w:rsidP="00C3759B">
            <w:pPr>
              <w:pStyle w:val="Tableheader"/>
            </w:pPr>
            <w:r w:rsidRPr="00C42677">
              <w:t>Felt unsafe or uncomfortable</w:t>
            </w:r>
          </w:p>
        </w:tc>
        <w:tc>
          <w:tcPr>
            <w:tcW w:w="1559" w:type="dxa"/>
          </w:tcPr>
          <w:p w14:paraId="476DD37C" w14:textId="77777777" w:rsidR="009D0006" w:rsidRPr="00C42677" w:rsidRDefault="009D0006" w:rsidP="00C3759B">
            <w:pPr>
              <w:pStyle w:val="Tableheader"/>
            </w:pPr>
            <w:r w:rsidRPr="00C42677">
              <w:t>n</w:t>
            </w:r>
          </w:p>
        </w:tc>
        <w:tc>
          <w:tcPr>
            <w:tcW w:w="1559" w:type="dxa"/>
          </w:tcPr>
          <w:p w14:paraId="5B571968" w14:textId="77777777" w:rsidR="009D0006" w:rsidRPr="00C42677" w:rsidRDefault="009D0006" w:rsidP="00C3759B">
            <w:pPr>
              <w:pStyle w:val="Tableheader"/>
            </w:pPr>
            <w:r w:rsidRPr="00C42677">
              <w:t>%</w:t>
            </w:r>
          </w:p>
        </w:tc>
      </w:tr>
      <w:tr w:rsidR="009D0006" w:rsidRPr="002B6A0A" w14:paraId="2F1E34E9"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AA7C3F7" w14:textId="77777777" w:rsidR="009D0006" w:rsidRPr="002B6A0A" w:rsidRDefault="009D0006" w:rsidP="00C3759B">
            <w:pPr>
              <w:pStyle w:val="Tabletext"/>
            </w:pPr>
            <w:r w:rsidRPr="002B6A0A">
              <w:t>No</w:t>
            </w:r>
          </w:p>
        </w:tc>
        <w:tc>
          <w:tcPr>
            <w:tcW w:w="1559" w:type="dxa"/>
          </w:tcPr>
          <w:p w14:paraId="7115BA90" w14:textId="77777777" w:rsidR="009D0006" w:rsidRPr="002B6A0A" w:rsidRDefault="009D0006" w:rsidP="00C3759B">
            <w:pPr>
              <w:pStyle w:val="Tabletext"/>
            </w:pPr>
            <w:r w:rsidRPr="002B6A0A">
              <w:rPr>
                <w:color w:val="000000"/>
              </w:rPr>
              <w:t>1717</w:t>
            </w:r>
          </w:p>
        </w:tc>
        <w:tc>
          <w:tcPr>
            <w:tcW w:w="1559" w:type="dxa"/>
          </w:tcPr>
          <w:p w14:paraId="69A30C5D" w14:textId="77777777" w:rsidR="009D0006" w:rsidRPr="002B6A0A" w:rsidRDefault="009D0006" w:rsidP="00C3759B">
            <w:pPr>
              <w:pStyle w:val="Tabletext"/>
            </w:pPr>
            <w:r w:rsidRPr="002B6A0A">
              <w:rPr>
                <w:color w:val="000000"/>
              </w:rPr>
              <w:t>54.9</w:t>
            </w:r>
          </w:p>
        </w:tc>
      </w:tr>
      <w:tr w:rsidR="009D0006" w:rsidRPr="002B6A0A" w14:paraId="0540059A"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34E0A26A" w14:textId="77777777" w:rsidR="009D0006" w:rsidRPr="002B6A0A" w:rsidRDefault="009D0006" w:rsidP="00C3759B">
            <w:pPr>
              <w:pStyle w:val="Tabletext"/>
            </w:pPr>
            <w:r w:rsidRPr="002B6A0A">
              <w:t>Yes</w:t>
            </w:r>
          </w:p>
        </w:tc>
        <w:tc>
          <w:tcPr>
            <w:tcW w:w="1559" w:type="dxa"/>
          </w:tcPr>
          <w:p w14:paraId="28C39932" w14:textId="77777777" w:rsidR="009D0006" w:rsidRPr="002B6A0A" w:rsidRDefault="009D0006" w:rsidP="00C3759B">
            <w:pPr>
              <w:pStyle w:val="Tabletext"/>
            </w:pPr>
            <w:r w:rsidRPr="002B6A0A">
              <w:rPr>
                <w:color w:val="000000"/>
              </w:rPr>
              <w:t>1412</w:t>
            </w:r>
          </w:p>
        </w:tc>
        <w:tc>
          <w:tcPr>
            <w:tcW w:w="1559" w:type="dxa"/>
          </w:tcPr>
          <w:p w14:paraId="72D8E116" w14:textId="77777777" w:rsidR="009D0006" w:rsidRPr="002B6A0A" w:rsidRDefault="009D0006" w:rsidP="00C3759B">
            <w:pPr>
              <w:pStyle w:val="Tabletext"/>
            </w:pPr>
            <w:r w:rsidRPr="002B6A0A">
              <w:rPr>
                <w:color w:val="000000"/>
              </w:rPr>
              <w:t>45.1</w:t>
            </w:r>
          </w:p>
        </w:tc>
      </w:tr>
    </w:tbl>
    <w:p w14:paraId="04239B1F" w14:textId="77777777" w:rsidR="009D0006" w:rsidRDefault="009D0006" w:rsidP="00603068">
      <w:pPr>
        <w:pStyle w:val="Tableheading"/>
      </w:pPr>
      <w:r>
        <w:t>Table 33.3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42677" w14:paraId="25D57C28"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6502B440" w14:textId="77777777" w:rsidR="009D0006" w:rsidRPr="00C42677" w:rsidRDefault="009D0006" w:rsidP="00C3759B">
            <w:pPr>
              <w:pStyle w:val="Tableheader"/>
              <w:rPr>
                <w:lang w:val="en-US"/>
              </w:rPr>
            </w:pPr>
            <w:r w:rsidRPr="00C42677">
              <w:t>Felt unsafe or uncomfortable</w:t>
            </w:r>
          </w:p>
        </w:tc>
        <w:tc>
          <w:tcPr>
            <w:tcW w:w="1559" w:type="dxa"/>
          </w:tcPr>
          <w:p w14:paraId="33C9D9BC" w14:textId="77777777" w:rsidR="009D0006" w:rsidRPr="00C42677" w:rsidRDefault="009D0006" w:rsidP="00C3759B">
            <w:pPr>
              <w:pStyle w:val="Tableheader"/>
              <w:rPr>
                <w:lang w:val="en-US"/>
              </w:rPr>
            </w:pPr>
            <w:r w:rsidRPr="00C42677">
              <w:t>n</w:t>
            </w:r>
          </w:p>
        </w:tc>
        <w:tc>
          <w:tcPr>
            <w:tcW w:w="1559" w:type="dxa"/>
          </w:tcPr>
          <w:p w14:paraId="61B2DD02" w14:textId="77777777" w:rsidR="009D0006" w:rsidRPr="00C42677" w:rsidRDefault="009D0006" w:rsidP="00C3759B">
            <w:pPr>
              <w:pStyle w:val="Tableheader"/>
            </w:pPr>
            <w:r w:rsidRPr="00C42677">
              <w:t>%</w:t>
            </w:r>
          </w:p>
        </w:tc>
      </w:tr>
      <w:tr w:rsidR="009D0006" w:rsidRPr="002B6A0A" w14:paraId="0FA51112"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A08C9A0" w14:textId="77777777" w:rsidR="009D0006" w:rsidRPr="002B6A0A" w:rsidRDefault="009D0006" w:rsidP="00C3759B">
            <w:pPr>
              <w:pStyle w:val="Tabletext"/>
              <w:rPr>
                <w:lang w:val="en-US"/>
              </w:rPr>
            </w:pPr>
            <w:r w:rsidRPr="002B6A0A">
              <w:t>No</w:t>
            </w:r>
          </w:p>
        </w:tc>
        <w:tc>
          <w:tcPr>
            <w:tcW w:w="1559" w:type="dxa"/>
          </w:tcPr>
          <w:p w14:paraId="0E2BB05B" w14:textId="77777777" w:rsidR="009D0006" w:rsidRPr="002B6A0A" w:rsidRDefault="009D0006" w:rsidP="00C3759B">
            <w:pPr>
              <w:pStyle w:val="Tabletext"/>
            </w:pPr>
            <w:r w:rsidRPr="002B6A0A">
              <w:rPr>
                <w:color w:val="000000"/>
              </w:rPr>
              <w:t>274</w:t>
            </w:r>
          </w:p>
        </w:tc>
        <w:tc>
          <w:tcPr>
            <w:tcW w:w="1559" w:type="dxa"/>
          </w:tcPr>
          <w:p w14:paraId="3D19537F" w14:textId="77777777" w:rsidR="009D0006" w:rsidRPr="002B6A0A" w:rsidRDefault="009D0006" w:rsidP="00C3759B">
            <w:pPr>
              <w:pStyle w:val="Tabletext"/>
            </w:pPr>
            <w:r w:rsidRPr="002B6A0A">
              <w:rPr>
                <w:color w:val="000000"/>
              </w:rPr>
              <w:t>44.7</w:t>
            </w:r>
          </w:p>
        </w:tc>
      </w:tr>
      <w:tr w:rsidR="009D0006" w:rsidRPr="002B6A0A" w14:paraId="24C814A7"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A8CA286" w14:textId="77777777" w:rsidR="009D0006" w:rsidRPr="002B6A0A" w:rsidRDefault="009D0006" w:rsidP="00C3759B">
            <w:pPr>
              <w:pStyle w:val="Tabletext"/>
              <w:rPr>
                <w:lang w:val="en-US"/>
              </w:rPr>
            </w:pPr>
            <w:r w:rsidRPr="002B6A0A">
              <w:t>Yes</w:t>
            </w:r>
          </w:p>
        </w:tc>
        <w:tc>
          <w:tcPr>
            <w:tcW w:w="1559" w:type="dxa"/>
          </w:tcPr>
          <w:p w14:paraId="1043D75C" w14:textId="77777777" w:rsidR="009D0006" w:rsidRPr="002B6A0A" w:rsidRDefault="009D0006" w:rsidP="00C3759B">
            <w:pPr>
              <w:pStyle w:val="Tabletext"/>
            </w:pPr>
            <w:r w:rsidRPr="002B6A0A">
              <w:rPr>
                <w:color w:val="000000"/>
              </w:rPr>
              <w:t>339</w:t>
            </w:r>
          </w:p>
        </w:tc>
        <w:tc>
          <w:tcPr>
            <w:tcW w:w="1559" w:type="dxa"/>
          </w:tcPr>
          <w:p w14:paraId="15A98E62" w14:textId="77777777" w:rsidR="009D0006" w:rsidRPr="002B6A0A" w:rsidRDefault="009D0006" w:rsidP="00C3759B">
            <w:pPr>
              <w:pStyle w:val="Tabletext"/>
            </w:pPr>
            <w:r w:rsidRPr="002B6A0A">
              <w:rPr>
                <w:color w:val="000000"/>
              </w:rPr>
              <w:t>55.3</w:t>
            </w:r>
          </w:p>
        </w:tc>
      </w:tr>
    </w:tbl>
    <w:p w14:paraId="2ACD1659" w14:textId="77777777" w:rsidR="009D0006" w:rsidRDefault="009D0006" w:rsidP="00603068">
      <w:pPr>
        <w:pStyle w:val="Tableheading"/>
        <w:rPr>
          <w:lang w:val="en-GB"/>
        </w:rPr>
      </w:pPr>
      <w:r>
        <w:rPr>
          <w:lang w:val="en-GB"/>
        </w:rPr>
        <w:t xml:space="preserve">Table 33.4 </w:t>
      </w:r>
      <w:r>
        <w:rPr>
          <w:lang w:val="en-GB"/>
        </w:rPr>
        <w:lastRenderedPageBreak/>
        <w:t>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42677" w14:paraId="38006A17"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18DF1958" w14:textId="77777777" w:rsidR="009D0006" w:rsidRPr="00C42677" w:rsidRDefault="009D0006" w:rsidP="00C3759B">
            <w:pPr>
              <w:pStyle w:val="Tableheader"/>
              <w:rPr>
                <w:lang w:val="en-US"/>
              </w:rPr>
            </w:pPr>
            <w:r w:rsidRPr="00C42677">
              <w:t>Felt unsafe or uncomfortable</w:t>
            </w:r>
          </w:p>
        </w:tc>
        <w:tc>
          <w:tcPr>
            <w:tcW w:w="1559" w:type="dxa"/>
          </w:tcPr>
          <w:p w14:paraId="41DC039C" w14:textId="77777777" w:rsidR="009D0006" w:rsidRPr="00C42677" w:rsidRDefault="009D0006" w:rsidP="00C3759B">
            <w:pPr>
              <w:pStyle w:val="Tableheader"/>
              <w:rPr>
                <w:lang w:val="en-US"/>
              </w:rPr>
            </w:pPr>
            <w:r w:rsidRPr="00C42677">
              <w:t>n</w:t>
            </w:r>
          </w:p>
        </w:tc>
        <w:tc>
          <w:tcPr>
            <w:tcW w:w="1559" w:type="dxa"/>
          </w:tcPr>
          <w:p w14:paraId="30834BD1" w14:textId="77777777" w:rsidR="009D0006" w:rsidRPr="00C42677" w:rsidRDefault="009D0006" w:rsidP="00C3759B">
            <w:pPr>
              <w:pStyle w:val="Tableheader"/>
            </w:pPr>
            <w:r w:rsidRPr="00C42677">
              <w:t>%</w:t>
            </w:r>
          </w:p>
        </w:tc>
      </w:tr>
      <w:tr w:rsidR="009D0006" w:rsidRPr="002B6A0A" w14:paraId="6278D965"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2F2D40B" w14:textId="77777777" w:rsidR="009D0006" w:rsidRPr="002B6A0A" w:rsidRDefault="009D0006" w:rsidP="00C3759B">
            <w:pPr>
              <w:pStyle w:val="Tabletext"/>
              <w:rPr>
                <w:lang w:val="en-US"/>
              </w:rPr>
            </w:pPr>
            <w:r w:rsidRPr="002B6A0A">
              <w:t>No</w:t>
            </w:r>
          </w:p>
        </w:tc>
        <w:tc>
          <w:tcPr>
            <w:tcW w:w="1559" w:type="dxa"/>
          </w:tcPr>
          <w:p w14:paraId="38BD5BC0" w14:textId="77777777" w:rsidR="009D0006" w:rsidRPr="002B6A0A" w:rsidRDefault="009D0006" w:rsidP="00C3759B">
            <w:pPr>
              <w:pStyle w:val="Tabletext"/>
            </w:pPr>
            <w:r w:rsidRPr="002B6A0A">
              <w:rPr>
                <w:color w:val="000000"/>
              </w:rPr>
              <w:t>62</w:t>
            </w:r>
          </w:p>
        </w:tc>
        <w:tc>
          <w:tcPr>
            <w:tcW w:w="1559" w:type="dxa"/>
          </w:tcPr>
          <w:p w14:paraId="53759F9B" w14:textId="77777777" w:rsidR="009D0006" w:rsidRPr="002B6A0A" w:rsidRDefault="009D0006" w:rsidP="00C3759B">
            <w:pPr>
              <w:pStyle w:val="Tabletext"/>
            </w:pPr>
            <w:r w:rsidRPr="002B6A0A">
              <w:rPr>
                <w:color w:val="000000"/>
              </w:rPr>
              <w:t>32.1</w:t>
            </w:r>
          </w:p>
        </w:tc>
      </w:tr>
      <w:tr w:rsidR="009D0006" w:rsidRPr="002B6A0A" w14:paraId="72257BCA"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138DA99" w14:textId="77777777" w:rsidR="009D0006" w:rsidRPr="002B6A0A" w:rsidRDefault="009D0006" w:rsidP="00C3759B">
            <w:pPr>
              <w:pStyle w:val="Tabletext"/>
              <w:rPr>
                <w:lang w:val="en-US"/>
              </w:rPr>
            </w:pPr>
            <w:r w:rsidRPr="002B6A0A">
              <w:t>Yes</w:t>
            </w:r>
          </w:p>
        </w:tc>
        <w:tc>
          <w:tcPr>
            <w:tcW w:w="1559" w:type="dxa"/>
          </w:tcPr>
          <w:p w14:paraId="0D26F06F" w14:textId="77777777" w:rsidR="009D0006" w:rsidRPr="002B6A0A" w:rsidRDefault="009D0006" w:rsidP="00C3759B">
            <w:pPr>
              <w:pStyle w:val="Tabletext"/>
            </w:pPr>
            <w:r w:rsidRPr="002B6A0A">
              <w:rPr>
                <w:color w:val="000000"/>
              </w:rPr>
              <w:t>131</w:t>
            </w:r>
          </w:p>
        </w:tc>
        <w:tc>
          <w:tcPr>
            <w:tcW w:w="1559" w:type="dxa"/>
          </w:tcPr>
          <w:p w14:paraId="29E2856D" w14:textId="77777777" w:rsidR="009D0006" w:rsidRPr="002B6A0A" w:rsidRDefault="009D0006" w:rsidP="00C3759B">
            <w:pPr>
              <w:pStyle w:val="Tabletext"/>
            </w:pPr>
            <w:r w:rsidRPr="002B6A0A">
              <w:rPr>
                <w:color w:val="000000"/>
              </w:rPr>
              <w:t>67.9</w:t>
            </w:r>
          </w:p>
        </w:tc>
      </w:tr>
    </w:tbl>
    <w:p w14:paraId="230AE261" w14:textId="77777777" w:rsidR="009D0006" w:rsidRDefault="009D0006" w:rsidP="00603068">
      <w:pPr>
        <w:pStyle w:val="Tableheading"/>
        <w:rPr>
          <w:lang w:val="en-GB"/>
        </w:rPr>
      </w:pPr>
      <w:r>
        <w:rPr>
          <w:lang w:val="en-GB"/>
        </w:rPr>
        <w:t>Table 33.5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47C7A83C"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739B6F96" w14:textId="77777777" w:rsidR="009D0006" w:rsidRPr="00C42677" w:rsidRDefault="009D0006" w:rsidP="00C3759B">
            <w:pPr>
              <w:pStyle w:val="Tableheader"/>
              <w:rPr>
                <w:lang w:val="en-US"/>
              </w:rPr>
            </w:pPr>
            <w:r w:rsidRPr="00C42677">
              <w:t>Felt unsafe or uncomfortable</w:t>
            </w:r>
          </w:p>
        </w:tc>
        <w:tc>
          <w:tcPr>
            <w:tcW w:w="1559" w:type="dxa"/>
          </w:tcPr>
          <w:p w14:paraId="2D14D138" w14:textId="77777777" w:rsidR="009D0006" w:rsidRPr="00C42677" w:rsidRDefault="009D0006" w:rsidP="00C3759B">
            <w:pPr>
              <w:pStyle w:val="Tableheader"/>
            </w:pPr>
            <w:r w:rsidRPr="00C42677">
              <w:t>n</w:t>
            </w:r>
          </w:p>
        </w:tc>
        <w:tc>
          <w:tcPr>
            <w:tcW w:w="1559" w:type="dxa"/>
          </w:tcPr>
          <w:p w14:paraId="12AB1169" w14:textId="77777777" w:rsidR="009D0006" w:rsidRPr="00C42677" w:rsidRDefault="009D0006" w:rsidP="00C3759B">
            <w:pPr>
              <w:pStyle w:val="Tableheader"/>
            </w:pPr>
            <w:r w:rsidRPr="00C42677">
              <w:t>%</w:t>
            </w:r>
          </w:p>
        </w:tc>
      </w:tr>
      <w:tr w:rsidR="009D0006" w:rsidRPr="002B6A0A" w14:paraId="59118BB3"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18DDD63" w14:textId="77777777" w:rsidR="009D0006" w:rsidRPr="002B6A0A" w:rsidRDefault="009D0006" w:rsidP="00C3759B">
            <w:pPr>
              <w:pStyle w:val="Tabletext"/>
              <w:rPr>
                <w:lang w:val="en-US"/>
              </w:rPr>
            </w:pPr>
            <w:r w:rsidRPr="002B6A0A">
              <w:t>No</w:t>
            </w:r>
          </w:p>
        </w:tc>
        <w:tc>
          <w:tcPr>
            <w:tcW w:w="1559" w:type="dxa"/>
          </w:tcPr>
          <w:p w14:paraId="4A7305C4" w14:textId="77777777" w:rsidR="009D0006" w:rsidRPr="002B6A0A" w:rsidRDefault="009D0006" w:rsidP="00C3759B">
            <w:pPr>
              <w:pStyle w:val="Tabletext"/>
            </w:pPr>
            <w:r w:rsidRPr="002B6A0A">
              <w:rPr>
                <w:color w:val="000000"/>
              </w:rPr>
              <w:t>53</w:t>
            </w:r>
          </w:p>
        </w:tc>
        <w:tc>
          <w:tcPr>
            <w:tcW w:w="1559" w:type="dxa"/>
          </w:tcPr>
          <w:p w14:paraId="39B11223" w14:textId="77777777" w:rsidR="009D0006" w:rsidRPr="002B6A0A" w:rsidRDefault="009D0006" w:rsidP="00C3759B">
            <w:pPr>
              <w:pStyle w:val="Tabletext"/>
            </w:pPr>
            <w:r w:rsidRPr="002B6A0A">
              <w:rPr>
                <w:color w:val="000000"/>
              </w:rPr>
              <w:t>42.1</w:t>
            </w:r>
          </w:p>
        </w:tc>
      </w:tr>
      <w:tr w:rsidR="009D0006" w:rsidRPr="002B6A0A" w14:paraId="73408F28"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1293AB5" w14:textId="77777777" w:rsidR="009D0006" w:rsidRPr="002B6A0A" w:rsidRDefault="009D0006" w:rsidP="00C3759B">
            <w:pPr>
              <w:pStyle w:val="Tabletext"/>
              <w:rPr>
                <w:lang w:val="en-US"/>
              </w:rPr>
            </w:pPr>
            <w:r w:rsidRPr="002B6A0A">
              <w:t>Yes</w:t>
            </w:r>
          </w:p>
        </w:tc>
        <w:tc>
          <w:tcPr>
            <w:tcW w:w="1559" w:type="dxa"/>
          </w:tcPr>
          <w:p w14:paraId="75BDDBB6" w14:textId="77777777" w:rsidR="009D0006" w:rsidRPr="002B6A0A" w:rsidRDefault="009D0006" w:rsidP="00C3759B">
            <w:pPr>
              <w:pStyle w:val="Tabletext"/>
            </w:pPr>
            <w:r w:rsidRPr="002B6A0A">
              <w:rPr>
                <w:color w:val="000000"/>
              </w:rPr>
              <w:t>73</w:t>
            </w:r>
          </w:p>
        </w:tc>
        <w:tc>
          <w:tcPr>
            <w:tcW w:w="1559" w:type="dxa"/>
          </w:tcPr>
          <w:p w14:paraId="0FA2CA88" w14:textId="77777777" w:rsidR="009D0006" w:rsidRPr="002B6A0A" w:rsidRDefault="009D0006" w:rsidP="00C3759B">
            <w:pPr>
              <w:pStyle w:val="Tabletext"/>
            </w:pPr>
            <w:r w:rsidRPr="002B6A0A">
              <w:rPr>
                <w:color w:val="000000"/>
              </w:rPr>
              <w:t>57.9</w:t>
            </w:r>
          </w:p>
        </w:tc>
      </w:tr>
    </w:tbl>
    <w:p w14:paraId="0EC0E3E0" w14:textId="77777777" w:rsidR="009D0006" w:rsidRDefault="009D0006" w:rsidP="00603068">
      <w:pPr>
        <w:pStyle w:val="Tableheading"/>
        <w:rPr>
          <w:lang w:val="en-GB"/>
        </w:rPr>
      </w:pPr>
      <w:r>
        <w:rPr>
          <w:lang w:val="en-GB"/>
        </w:rPr>
        <w:t>Table 33.6 Physical or sensory</w:t>
      </w:r>
    </w:p>
    <w:tbl>
      <w:tblPr>
        <w:tblStyle w:val="RCTable"/>
        <w:tblW w:w="9864" w:type="dxa"/>
        <w:tblLayout w:type="fixed"/>
        <w:tblLook w:val="04A0" w:firstRow="1" w:lastRow="0" w:firstColumn="1" w:lastColumn="0" w:noHBand="0" w:noVBand="1"/>
      </w:tblPr>
      <w:tblGrid>
        <w:gridCol w:w="6746"/>
        <w:gridCol w:w="1559"/>
        <w:gridCol w:w="1559"/>
      </w:tblGrid>
      <w:tr w:rsidR="009D0006" w:rsidRPr="00C50253" w14:paraId="3EF94A53"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18F2C30C" w14:textId="77777777" w:rsidR="009D0006" w:rsidRPr="00C42677" w:rsidRDefault="009D0006" w:rsidP="00C3759B">
            <w:pPr>
              <w:pStyle w:val="Tableheader"/>
              <w:rPr>
                <w:lang w:val="en-US"/>
              </w:rPr>
            </w:pPr>
            <w:r w:rsidRPr="00C42677">
              <w:t>Felt unsafe or uncomfortable</w:t>
            </w:r>
          </w:p>
        </w:tc>
        <w:tc>
          <w:tcPr>
            <w:tcW w:w="1559" w:type="dxa"/>
          </w:tcPr>
          <w:p w14:paraId="34315F74" w14:textId="77777777" w:rsidR="009D0006" w:rsidRPr="00C42677" w:rsidRDefault="009D0006" w:rsidP="00C3759B">
            <w:pPr>
              <w:pStyle w:val="Tableheader"/>
            </w:pPr>
            <w:r w:rsidRPr="00C42677">
              <w:t>n</w:t>
            </w:r>
          </w:p>
        </w:tc>
        <w:tc>
          <w:tcPr>
            <w:tcW w:w="1559" w:type="dxa"/>
          </w:tcPr>
          <w:p w14:paraId="6527B28A" w14:textId="77777777" w:rsidR="009D0006" w:rsidRPr="00C42677" w:rsidRDefault="009D0006" w:rsidP="00C3759B">
            <w:pPr>
              <w:pStyle w:val="Tableheader"/>
            </w:pPr>
            <w:r w:rsidRPr="00C42677">
              <w:t>%</w:t>
            </w:r>
          </w:p>
        </w:tc>
      </w:tr>
      <w:tr w:rsidR="009D0006" w:rsidRPr="002B6A0A" w14:paraId="4AB874A6"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CA52518" w14:textId="77777777" w:rsidR="009D0006" w:rsidRPr="002B6A0A" w:rsidRDefault="009D0006" w:rsidP="00C3759B">
            <w:pPr>
              <w:pStyle w:val="Tabletext"/>
              <w:rPr>
                <w:lang w:val="en-US"/>
              </w:rPr>
            </w:pPr>
            <w:r w:rsidRPr="002B6A0A">
              <w:t>No</w:t>
            </w:r>
          </w:p>
        </w:tc>
        <w:tc>
          <w:tcPr>
            <w:tcW w:w="1559" w:type="dxa"/>
          </w:tcPr>
          <w:p w14:paraId="668D0CD7" w14:textId="77777777" w:rsidR="009D0006" w:rsidRPr="002B6A0A" w:rsidRDefault="009D0006" w:rsidP="00C3759B">
            <w:pPr>
              <w:pStyle w:val="Tabletext"/>
            </w:pPr>
            <w:r w:rsidRPr="002B6A0A">
              <w:rPr>
                <w:color w:val="000000"/>
              </w:rPr>
              <w:t>276</w:t>
            </w:r>
          </w:p>
        </w:tc>
        <w:tc>
          <w:tcPr>
            <w:tcW w:w="1559" w:type="dxa"/>
          </w:tcPr>
          <w:p w14:paraId="4C328F83" w14:textId="77777777" w:rsidR="009D0006" w:rsidRPr="002B6A0A" w:rsidRDefault="009D0006" w:rsidP="00C3759B">
            <w:pPr>
              <w:pStyle w:val="Tabletext"/>
            </w:pPr>
            <w:r w:rsidRPr="002B6A0A">
              <w:rPr>
                <w:color w:val="000000"/>
              </w:rPr>
              <w:t>41.6</w:t>
            </w:r>
          </w:p>
        </w:tc>
      </w:tr>
      <w:tr w:rsidR="009D0006" w:rsidRPr="002B6A0A" w14:paraId="503A8C34"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215FD8E7" w14:textId="77777777" w:rsidR="009D0006" w:rsidRPr="002B6A0A" w:rsidRDefault="009D0006" w:rsidP="00C3759B">
            <w:pPr>
              <w:pStyle w:val="Tabletext"/>
              <w:rPr>
                <w:lang w:val="en-US"/>
              </w:rPr>
            </w:pPr>
            <w:r w:rsidRPr="002B6A0A">
              <w:t>Yes</w:t>
            </w:r>
          </w:p>
        </w:tc>
        <w:tc>
          <w:tcPr>
            <w:tcW w:w="1559" w:type="dxa"/>
          </w:tcPr>
          <w:p w14:paraId="7510CC2A" w14:textId="77777777" w:rsidR="009D0006" w:rsidRPr="002B6A0A" w:rsidRDefault="009D0006" w:rsidP="00C3759B">
            <w:pPr>
              <w:pStyle w:val="Tabletext"/>
            </w:pPr>
            <w:r w:rsidRPr="002B6A0A">
              <w:rPr>
                <w:color w:val="000000"/>
              </w:rPr>
              <w:t>388</w:t>
            </w:r>
          </w:p>
        </w:tc>
        <w:tc>
          <w:tcPr>
            <w:tcW w:w="1559" w:type="dxa"/>
          </w:tcPr>
          <w:p w14:paraId="20755495" w14:textId="77777777" w:rsidR="009D0006" w:rsidRPr="002B6A0A" w:rsidRDefault="009D0006" w:rsidP="00C3759B">
            <w:pPr>
              <w:pStyle w:val="Tabletext"/>
            </w:pPr>
            <w:r w:rsidRPr="002B6A0A">
              <w:rPr>
                <w:color w:val="000000"/>
              </w:rPr>
              <w:t>58.4</w:t>
            </w:r>
          </w:p>
        </w:tc>
      </w:tr>
    </w:tbl>
    <w:p w14:paraId="712189F1" w14:textId="77777777" w:rsidR="009D0006" w:rsidRDefault="009D0006" w:rsidP="00603068">
      <w:pPr>
        <w:pStyle w:val="Tableheading"/>
        <w:rPr>
          <w:lang w:val="en-GB"/>
        </w:rPr>
      </w:pPr>
      <w:r>
        <w:rPr>
          <w:lang w:val="en-GB"/>
        </w:rPr>
        <w:t>Table 33.7 Mental health condition</w:t>
      </w:r>
    </w:p>
    <w:tbl>
      <w:tblPr>
        <w:tblStyle w:val="RCTable"/>
        <w:tblW w:w="9864" w:type="dxa"/>
        <w:tblLayout w:type="fixed"/>
        <w:tblLook w:val="04A0" w:firstRow="1" w:lastRow="0" w:firstColumn="1" w:lastColumn="0" w:noHBand="0" w:noVBand="1"/>
      </w:tblPr>
      <w:tblGrid>
        <w:gridCol w:w="6746"/>
        <w:gridCol w:w="1559"/>
        <w:gridCol w:w="1559"/>
      </w:tblGrid>
      <w:tr w:rsidR="009D0006" w:rsidRPr="00C42677" w14:paraId="11E788A5" w14:textId="77777777" w:rsidTr="00C3759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EB5E7B3" w14:textId="77777777" w:rsidR="009D0006" w:rsidRPr="00C42677" w:rsidRDefault="009D0006" w:rsidP="00C3759B">
            <w:pPr>
              <w:pStyle w:val="Tableheader"/>
              <w:rPr>
                <w:lang w:val="en-US"/>
              </w:rPr>
            </w:pPr>
            <w:r w:rsidRPr="00C42677">
              <w:t>Felt unsafe or uncomfortable</w:t>
            </w:r>
          </w:p>
        </w:tc>
        <w:tc>
          <w:tcPr>
            <w:tcW w:w="1559" w:type="dxa"/>
          </w:tcPr>
          <w:p w14:paraId="13868F54" w14:textId="77777777" w:rsidR="009D0006" w:rsidRPr="00C42677" w:rsidRDefault="009D0006" w:rsidP="00C3759B">
            <w:pPr>
              <w:pStyle w:val="Tableheader"/>
            </w:pPr>
            <w:r w:rsidRPr="00C42677">
              <w:t>n</w:t>
            </w:r>
          </w:p>
        </w:tc>
        <w:tc>
          <w:tcPr>
            <w:tcW w:w="1559" w:type="dxa"/>
          </w:tcPr>
          <w:p w14:paraId="2C354011" w14:textId="77777777" w:rsidR="009D0006" w:rsidRPr="00C42677" w:rsidRDefault="009D0006" w:rsidP="00C3759B">
            <w:pPr>
              <w:pStyle w:val="Tableheader"/>
            </w:pPr>
            <w:r w:rsidRPr="00C42677">
              <w:t>%</w:t>
            </w:r>
          </w:p>
        </w:tc>
      </w:tr>
      <w:tr w:rsidR="009D0006" w:rsidRPr="002B6A0A" w14:paraId="6E778B43" w14:textId="77777777" w:rsidTr="00C3759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A71EBD1" w14:textId="77777777" w:rsidR="009D0006" w:rsidRPr="002B6A0A" w:rsidRDefault="009D0006" w:rsidP="00C3759B">
            <w:pPr>
              <w:pStyle w:val="Tabletext"/>
              <w:rPr>
                <w:lang w:val="en-US"/>
              </w:rPr>
            </w:pPr>
            <w:r w:rsidRPr="002B6A0A">
              <w:t>No</w:t>
            </w:r>
          </w:p>
        </w:tc>
        <w:tc>
          <w:tcPr>
            <w:tcW w:w="1559" w:type="dxa"/>
          </w:tcPr>
          <w:p w14:paraId="7F70B4DF" w14:textId="77777777" w:rsidR="009D0006" w:rsidRPr="002B6A0A" w:rsidRDefault="009D0006" w:rsidP="00C3759B">
            <w:pPr>
              <w:pStyle w:val="Tabletext"/>
            </w:pPr>
            <w:r w:rsidRPr="002B6A0A">
              <w:rPr>
                <w:color w:val="000000"/>
              </w:rPr>
              <w:t>500</w:t>
            </w:r>
          </w:p>
        </w:tc>
        <w:tc>
          <w:tcPr>
            <w:tcW w:w="1559" w:type="dxa"/>
          </w:tcPr>
          <w:p w14:paraId="21D7CA45" w14:textId="77777777" w:rsidR="009D0006" w:rsidRPr="002B6A0A" w:rsidRDefault="009D0006" w:rsidP="00C3759B">
            <w:pPr>
              <w:pStyle w:val="Tabletext"/>
            </w:pPr>
            <w:r w:rsidRPr="002B6A0A">
              <w:rPr>
                <w:color w:val="000000"/>
              </w:rPr>
              <w:t>49.9</w:t>
            </w:r>
          </w:p>
        </w:tc>
      </w:tr>
      <w:tr w:rsidR="009D0006" w:rsidRPr="002B6A0A" w14:paraId="58FBA656" w14:textId="77777777" w:rsidTr="00C3759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B266D24" w14:textId="77777777" w:rsidR="009D0006" w:rsidRPr="002B6A0A" w:rsidRDefault="009D0006" w:rsidP="00C3759B">
            <w:pPr>
              <w:pStyle w:val="Tabletext"/>
              <w:rPr>
                <w:lang w:val="en-US"/>
              </w:rPr>
            </w:pPr>
            <w:r w:rsidRPr="002B6A0A">
              <w:t>Yes</w:t>
            </w:r>
          </w:p>
        </w:tc>
        <w:tc>
          <w:tcPr>
            <w:tcW w:w="1559" w:type="dxa"/>
          </w:tcPr>
          <w:p w14:paraId="0C35FC30" w14:textId="77777777" w:rsidR="009D0006" w:rsidRPr="002B6A0A" w:rsidRDefault="009D0006" w:rsidP="00C3759B">
            <w:pPr>
              <w:pStyle w:val="Tabletext"/>
            </w:pPr>
            <w:r w:rsidRPr="002B6A0A">
              <w:rPr>
                <w:color w:val="000000"/>
              </w:rPr>
              <w:t>502</w:t>
            </w:r>
          </w:p>
        </w:tc>
        <w:tc>
          <w:tcPr>
            <w:tcW w:w="1559" w:type="dxa"/>
          </w:tcPr>
          <w:p w14:paraId="0E186587" w14:textId="77777777" w:rsidR="009D0006" w:rsidRPr="002B6A0A" w:rsidRDefault="009D0006" w:rsidP="00C3759B">
            <w:pPr>
              <w:pStyle w:val="Tabletext"/>
            </w:pPr>
            <w:r w:rsidRPr="002B6A0A">
              <w:rPr>
                <w:color w:val="000000"/>
              </w:rPr>
              <w:t>50.1</w:t>
            </w:r>
          </w:p>
        </w:tc>
      </w:tr>
    </w:tbl>
    <w:p w14:paraId="49291738" w14:textId="77777777" w:rsidR="009D0006" w:rsidRPr="00C3759B" w:rsidRDefault="009D0006" w:rsidP="00C3759B">
      <w:pPr>
        <w:pStyle w:val="TableTextNotebelow"/>
        <w:rPr>
          <w:i/>
          <w:lang w:val="en-GB" w:eastAsia="ja-JP"/>
        </w:rPr>
      </w:pPr>
      <w:r w:rsidRPr="00C3759B">
        <w:rPr>
          <w:rFonts w:cs="Arial"/>
          <w:i/>
          <w:lang w:val="en-GB"/>
        </w:rPr>
        <w:t xml:space="preserve">* </w:t>
      </w:r>
      <w:r w:rsidRPr="00C3759B">
        <w:rPr>
          <w:i/>
          <w:lang w:val="en-GB"/>
        </w:rPr>
        <w:t xml:space="preserve">In order to be more comparable with general population data, ‘any disability’ does not include participants who only reported ‘mental illness’ and no other disability or long-term health condition. </w:t>
      </w:r>
    </w:p>
    <w:p w14:paraId="0A76C3A7" w14:textId="77777777" w:rsidR="009D0006" w:rsidRDefault="009D0006" w:rsidP="00603068">
      <w:pPr>
        <w:spacing w:before="360"/>
      </w:pPr>
      <w:r w:rsidRPr="00542E35">
        <w:t>As shown in Table</w:t>
      </w:r>
      <w:r>
        <w:t>s</w:t>
      </w:r>
      <w:r w:rsidRPr="00542E35">
        <w:t xml:space="preserve"> </w:t>
      </w:r>
      <w:r>
        <w:t xml:space="preserve">33.1-33.7, a higher proportion of participants with disability in </w:t>
      </w:r>
      <w:r>
        <w:rPr>
          <w:i/>
          <w:iCs/>
        </w:rPr>
        <w:t>Writing Themselves In 4</w:t>
      </w:r>
      <w:r>
        <w:t xml:space="preserve"> felt unsafe or uncomfortable in their educational setting (56.7%; n = 763) than those not reporting disability (45.1%; n = 1412). </w:t>
      </w:r>
    </w:p>
    <w:p w14:paraId="093C9BDD" w14:textId="77777777" w:rsidR="009D0006" w:rsidRDefault="009D0006" w:rsidP="00603068">
      <w:r>
        <w:t>Participants with autism/neurodiversity</w:t>
      </w:r>
      <w:r w:rsidRPr="00542E35">
        <w:t xml:space="preserve"> and intellectual disability</w:t>
      </w:r>
      <w:r>
        <w:t xml:space="preserve"> had the largest proportion who felt unsafe or uncomfortable in their educational setting (67.9%; n = 131), followed by participants with a physical or sensory disability (58.4%; n = 388), participants with an intellectual disability (57.9%; n = 73), participants with autism/neurodiversity (55.3%; n = 339) and participants with a mental health condition (50.1%; n = 502).</w:t>
      </w:r>
      <w:bookmarkStart w:id="428" w:name="_Toc58252075"/>
    </w:p>
    <w:p w14:paraId="7534179E" w14:textId="2414D503" w:rsidR="009D0006" w:rsidRPr="00BD62CA" w:rsidRDefault="009D0006" w:rsidP="00153892">
      <w:pPr>
        <w:pStyle w:val="Heading2Numbered"/>
      </w:pPr>
      <w:bookmarkStart w:id="429" w:name="_Toc115968556"/>
      <w:bookmarkStart w:id="430" w:name="_Toc119662422"/>
      <w:r w:rsidRPr="00BD62CA">
        <w:t>Feeling saf</w:t>
      </w:r>
      <w:r w:rsidRPr="00BD62CA">
        <w:lastRenderedPageBreak/>
        <w:t>e to engage in activities</w:t>
      </w:r>
      <w:bookmarkEnd w:id="428"/>
      <w:r w:rsidRPr="00BD62CA">
        <w:t xml:space="preserve"> – young people aged 14-21 years</w:t>
      </w:r>
      <w:bookmarkEnd w:id="429"/>
      <w:bookmarkEnd w:id="430"/>
    </w:p>
    <w:p w14:paraId="6A7AFA4A" w14:textId="77777777" w:rsidR="009D0006" w:rsidRPr="00BD62CA" w:rsidRDefault="009D0006" w:rsidP="00603068">
      <w:pPr>
        <w:rPr>
          <w:lang w:bidi="en-US"/>
        </w:rPr>
      </w:pPr>
      <w:r w:rsidRPr="00BD62CA">
        <w:rPr>
          <w:lang w:bidi="en-US"/>
        </w:rPr>
        <w:t xml:space="preserve">Participants who reported attending an educational institution in the past 12 months were asked to respond to a series of statements about feelings of safety, preceded </w:t>
      </w:r>
      <w:r>
        <w:rPr>
          <w:lang w:bidi="en-US"/>
        </w:rPr>
        <w:t>by</w:t>
      </w:r>
      <w:r w:rsidRPr="00BD62CA">
        <w:rPr>
          <w:lang w:bidi="en-US"/>
        </w:rPr>
        <w:t xml:space="preserve"> the statement, ‘During the past 12 months, at your educational setting have you felt that you could safely…’ Responses are displayed in Table</w:t>
      </w:r>
      <w:r>
        <w:rPr>
          <w:lang w:bidi="en-US"/>
        </w:rPr>
        <w:t>s</w:t>
      </w:r>
      <w:r w:rsidRPr="00BD62CA">
        <w:rPr>
          <w:lang w:bidi="en-US"/>
        </w:rPr>
        <w:t xml:space="preserve"> </w:t>
      </w:r>
      <w:r>
        <w:rPr>
          <w:lang w:bidi="en-US"/>
        </w:rPr>
        <w:t>34.1-34.4</w:t>
      </w:r>
      <w:r w:rsidRPr="00BD62CA">
        <w:rPr>
          <w:lang w:bidi="en-US"/>
        </w:rPr>
        <w:t>.</w:t>
      </w:r>
    </w:p>
    <w:p w14:paraId="0AE0C652" w14:textId="167804A1" w:rsidR="009D0006" w:rsidRDefault="009D0006" w:rsidP="00603068">
      <w:pPr>
        <w:pStyle w:val="Tableheading"/>
      </w:pPr>
      <w:bookmarkStart w:id="431" w:name="_Toc45633910"/>
      <w:bookmarkStart w:id="432" w:name="_Toc117062752"/>
      <w:bookmarkStart w:id="433" w:name="_Toc119651437"/>
      <w:r w:rsidRPr="00FA6F3B">
        <w:rPr>
          <w:bCs/>
        </w:rPr>
        <w:t xml:space="preserve">Table </w:t>
      </w:r>
      <w:r w:rsidRPr="00E3097C">
        <w:rPr>
          <w:bCs/>
          <w:sz w:val="18"/>
          <w:szCs w:val="18"/>
        </w:rPr>
        <w:fldChar w:fldCharType="begin"/>
      </w:r>
      <w:r w:rsidRPr="00FA6F3B">
        <w:rPr>
          <w:bCs/>
        </w:rPr>
        <w:instrText xml:space="preserve"> SEQ Table \* ARABIC </w:instrText>
      </w:r>
      <w:r w:rsidRPr="00E3097C">
        <w:rPr>
          <w:bCs/>
          <w:sz w:val="18"/>
          <w:szCs w:val="18"/>
        </w:rPr>
        <w:fldChar w:fldCharType="separate"/>
      </w:r>
      <w:r>
        <w:rPr>
          <w:bCs/>
          <w:noProof/>
        </w:rPr>
        <w:t>34</w:t>
      </w:r>
      <w:r w:rsidRPr="00E3097C">
        <w:rPr>
          <w:bCs/>
          <w:sz w:val="18"/>
          <w:szCs w:val="18"/>
        </w:rPr>
        <w:fldChar w:fldCharType="end"/>
      </w:r>
      <w:r>
        <w:t xml:space="preserve">: </w:t>
      </w:r>
      <w:r w:rsidRPr="00BD62CA">
        <w:t>Perceived safety when engaging in LGBTIQA+ affirming practices</w:t>
      </w:r>
      <w:bookmarkEnd w:id="431"/>
      <w:r>
        <w:t xml:space="preserve"> among young people with disability aged 14-21 years</w:t>
      </w:r>
      <w:bookmarkEnd w:id="432"/>
      <w:bookmarkEnd w:id="433"/>
    </w:p>
    <w:p w14:paraId="6C24FEAB" w14:textId="77777777" w:rsidR="009D0006" w:rsidRDefault="009D0006" w:rsidP="00603068">
      <w:pPr>
        <w:pStyle w:val="Tableheading"/>
      </w:pPr>
      <w:r>
        <w:t>Table 34.1 Secondary school</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2A10BAC" w14:textId="77777777" w:rsidTr="00C3759B">
        <w:trPr>
          <w:cnfStyle w:val="100000000000" w:firstRow="1" w:lastRow="0" w:firstColumn="0" w:lastColumn="0" w:oddVBand="0" w:evenVBand="0" w:oddHBand="0" w:evenHBand="0" w:firstRowFirstColumn="0" w:firstRowLastColumn="0" w:lastRowFirstColumn="0" w:lastRowLastColumn="0"/>
          <w:trHeight w:val="269"/>
        </w:trPr>
        <w:tc>
          <w:tcPr>
            <w:tcW w:w="6746" w:type="dxa"/>
            <w:noWrap/>
            <w:hideMark/>
          </w:tcPr>
          <w:p w14:paraId="624ADFE1" w14:textId="77777777" w:rsidR="009D0006" w:rsidRPr="003F4D73" w:rsidRDefault="009D0006" w:rsidP="00643AB1">
            <w:pPr>
              <w:pStyle w:val="Tableheader"/>
            </w:pPr>
            <w:r w:rsidRPr="00BD62CA">
              <w:t xml:space="preserve">During the past 12 months at your education setting have </w:t>
            </w:r>
            <w:r>
              <w:t>you</w:t>
            </w:r>
            <w:r w:rsidRPr="00BD62CA">
              <w:t xml:space="preserve"> felt that </w:t>
            </w:r>
            <w:r>
              <w:t xml:space="preserve">you </w:t>
            </w:r>
            <w:r w:rsidRPr="00BD62CA">
              <w:rPr>
                <w:u w:val="single"/>
              </w:rPr>
              <w:t>could</w:t>
            </w:r>
            <w:r w:rsidRPr="00BD62CA">
              <w:t xml:space="preserve"> safely ...</w:t>
            </w:r>
          </w:p>
        </w:tc>
        <w:tc>
          <w:tcPr>
            <w:tcW w:w="1559" w:type="dxa"/>
            <w:noWrap/>
            <w:hideMark/>
          </w:tcPr>
          <w:p w14:paraId="6D7B9B05" w14:textId="77777777" w:rsidR="009D0006" w:rsidRPr="003F4D73" w:rsidRDefault="009D0006" w:rsidP="00643AB1">
            <w:pPr>
              <w:pStyle w:val="Tableheader"/>
            </w:pPr>
            <w:r>
              <w:t>n</w:t>
            </w:r>
          </w:p>
        </w:tc>
        <w:tc>
          <w:tcPr>
            <w:tcW w:w="1559" w:type="dxa"/>
            <w:noWrap/>
            <w:hideMark/>
          </w:tcPr>
          <w:p w14:paraId="39F6F851" w14:textId="77777777" w:rsidR="009D0006" w:rsidRPr="003F4D73" w:rsidRDefault="009D0006" w:rsidP="00643AB1">
            <w:pPr>
              <w:pStyle w:val="Tableheader"/>
            </w:pPr>
            <w:r w:rsidRPr="003F4D73">
              <w:t>%</w:t>
            </w:r>
          </w:p>
        </w:tc>
      </w:tr>
      <w:tr w:rsidR="009D0006" w:rsidRPr="003F4D73" w14:paraId="3F7957FB" w14:textId="77777777" w:rsidTr="00C3759B">
        <w:trPr>
          <w:cnfStyle w:val="000000100000" w:firstRow="0" w:lastRow="0" w:firstColumn="0" w:lastColumn="0" w:oddVBand="0" w:evenVBand="0" w:oddHBand="1" w:evenHBand="0" w:firstRowFirstColumn="0" w:firstRowLastColumn="0" w:lastRowFirstColumn="0" w:lastRowLastColumn="0"/>
          <w:trHeight w:val="253"/>
        </w:trPr>
        <w:tc>
          <w:tcPr>
            <w:tcW w:w="6746" w:type="dxa"/>
            <w:noWrap/>
            <w:hideMark/>
          </w:tcPr>
          <w:p w14:paraId="0749B3EF" w14:textId="77777777" w:rsidR="009D0006" w:rsidRPr="00BD62CA" w:rsidRDefault="009D0006" w:rsidP="00643AB1">
            <w:pPr>
              <w:pStyle w:val="Tabletext"/>
              <w:rPr>
                <w:lang w:val="en-US"/>
              </w:rPr>
            </w:pPr>
            <w:r w:rsidRPr="00BD62CA">
              <w:rPr>
                <w:lang w:val="en-US"/>
              </w:rPr>
              <w:t>openly identify as LGBTIQA+</w:t>
            </w:r>
          </w:p>
        </w:tc>
        <w:tc>
          <w:tcPr>
            <w:tcW w:w="1559" w:type="dxa"/>
            <w:noWrap/>
          </w:tcPr>
          <w:p w14:paraId="31888143" w14:textId="77777777" w:rsidR="009D0006" w:rsidRPr="003F4D73" w:rsidRDefault="009D0006" w:rsidP="00643AB1">
            <w:pPr>
              <w:pStyle w:val="Tabletext"/>
            </w:pPr>
            <w:r>
              <w:t>656</w:t>
            </w:r>
          </w:p>
        </w:tc>
        <w:tc>
          <w:tcPr>
            <w:tcW w:w="1559" w:type="dxa"/>
            <w:noWrap/>
          </w:tcPr>
          <w:p w14:paraId="5CD3ABF9" w14:textId="77777777" w:rsidR="009D0006" w:rsidRPr="003F4D73" w:rsidRDefault="009D0006" w:rsidP="00643AB1">
            <w:pPr>
              <w:pStyle w:val="Tabletext"/>
            </w:pPr>
            <w:r>
              <w:t>52.7</w:t>
            </w:r>
          </w:p>
        </w:tc>
      </w:tr>
    </w:tbl>
    <w:p w14:paraId="2D3120EF" w14:textId="77777777" w:rsidR="009D0006" w:rsidRDefault="009D0006" w:rsidP="00603068">
      <w:pPr>
        <w:pStyle w:val="Tableheading"/>
      </w:pPr>
      <w:r>
        <w:t>Table 34.2 TAFE</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E6BDA07" w14:textId="77777777" w:rsidTr="000F0835">
        <w:trPr>
          <w:cnfStyle w:val="100000000000" w:firstRow="1" w:lastRow="0" w:firstColumn="0" w:lastColumn="0" w:oddVBand="0" w:evenVBand="0" w:oddHBand="0" w:evenHBand="0" w:firstRowFirstColumn="0" w:firstRowLastColumn="0" w:lastRowFirstColumn="0" w:lastRowLastColumn="0"/>
          <w:trHeight w:val="269"/>
        </w:trPr>
        <w:tc>
          <w:tcPr>
            <w:tcW w:w="6746" w:type="dxa"/>
            <w:noWrap/>
            <w:hideMark/>
          </w:tcPr>
          <w:p w14:paraId="50C9481D" w14:textId="77777777" w:rsidR="009D0006" w:rsidRPr="003F4D73" w:rsidRDefault="009D0006" w:rsidP="000F0835">
            <w:pPr>
              <w:pStyle w:val="Tableheader"/>
            </w:pPr>
            <w:r w:rsidRPr="00BD62CA">
              <w:t xml:space="preserve">During the past 12 months at your education setting have </w:t>
            </w:r>
            <w:r>
              <w:t>you</w:t>
            </w:r>
            <w:r w:rsidRPr="00BD62CA">
              <w:t xml:space="preserve"> felt that </w:t>
            </w:r>
            <w:r>
              <w:t xml:space="preserve">you </w:t>
            </w:r>
            <w:r w:rsidRPr="00BD62CA">
              <w:rPr>
                <w:u w:val="single"/>
              </w:rPr>
              <w:t>could</w:t>
            </w:r>
            <w:r w:rsidRPr="00BD62CA">
              <w:t xml:space="preserve"> safely ...</w:t>
            </w:r>
          </w:p>
        </w:tc>
        <w:tc>
          <w:tcPr>
            <w:tcW w:w="1559" w:type="dxa"/>
            <w:hideMark/>
          </w:tcPr>
          <w:p w14:paraId="54E071D3" w14:textId="77777777" w:rsidR="009D0006" w:rsidRPr="003F4D73" w:rsidRDefault="009D0006" w:rsidP="000F0835">
            <w:pPr>
              <w:pStyle w:val="Tableheader"/>
            </w:pPr>
            <w:r>
              <w:t>n</w:t>
            </w:r>
          </w:p>
        </w:tc>
        <w:tc>
          <w:tcPr>
            <w:tcW w:w="1559" w:type="dxa"/>
            <w:hideMark/>
          </w:tcPr>
          <w:p w14:paraId="417B9E11" w14:textId="77777777" w:rsidR="009D0006" w:rsidRPr="003F4D73" w:rsidRDefault="009D0006" w:rsidP="000F0835">
            <w:pPr>
              <w:pStyle w:val="Tableheader"/>
            </w:pPr>
            <w:r w:rsidRPr="003F4D73">
              <w:t>%</w:t>
            </w:r>
          </w:p>
        </w:tc>
      </w:tr>
      <w:tr w:rsidR="009D0006" w:rsidRPr="003F4D73" w14:paraId="2F68CBF8" w14:textId="77777777" w:rsidTr="000F0835">
        <w:trPr>
          <w:cnfStyle w:val="000000100000" w:firstRow="0" w:lastRow="0" w:firstColumn="0" w:lastColumn="0" w:oddVBand="0" w:evenVBand="0" w:oddHBand="1" w:evenHBand="0" w:firstRowFirstColumn="0" w:firstRowLastColumn="0" w:lastRowFirstColumn="0" w:lastRowLastColumn="0"/>
          <w:trHeight w:val="253"/>
        </w:trPr>
        <w:tc>
          <w:tcPr>
            <w:tcW w:w="6746" w:type="dxa"/>
            <w:noWrap/>
            <w:hideMark/>
          </w:tcPr>
          <w:p w14:paraId="4A980EF1" w14:textId="77777777" w:rsidR="009D0006" w:rsidRPr="00BD62CA" w:rsidRDefault="009D0006" w:rsidP="000F0835">
            <w:pPr>
              <w:pStyle w:val="Tabletext"/>
              <w:rPr>
                <w:lang w:val="en-US"/>
              </w:rPr>
            </w:pPr>
            <w:r w:rsidRPr="00BD62CA">
              <w:rPr>
                <w:lang w:val="en-US"/>
              </w:rPr>
              <w:t>openly identify as LGBTIQA+</w:t>
            </w:r>
          </w:p>
        </w:tc>
        <w:tc>
          <w:tcPr>
            <w:tcW w:w="1559" w:type="dxa"/>
          </w:tcPr>
          <w:p w14:paraId="46820992" w14:textId="77777777" w:rsidR="009D0006" w:rsidRPr="003F4D73" w:rsidRDefault="009D0006" w:rsidP="000F0835">
            <w:pPr>
              <w:pStyle w:val="Tabletext"/>
            </w:pPr>
            <w:r>
              <w:t>169</w:t>
            </w:r>
          </w:p>
        </w:tc>
        <w:tc>
          <w:tcPr>
            <w:tcW w:w="1559" w:type="dxa"/>
          </w:tcPr>
          <w:p w14:paraId="05B5ED99" w14:textId="77777777" w:rsidR="009D0006" w:rsidRPr="003F4D73" w:rsidRDefault="009D0006" w:rsidP="000F0835">
            <w:pPr>
              <w:pStyle w:val="Tabletext"/>
            </w:pPr>
            <w:r>
              <w:t>66.3</w:t>
            </w:r>
          </w:p>
        </w:tc>
      </w:tr>
    </w:tbl>
    <w:p w14:paraId="6265A436" w14:textId="77777777" w:rsidR="009D0006" w:rsidRDefault="009D0006" w:rsidP="00603068">
      <w:pPr>
        <w:pStyle w:val="Tableheading"/>
      </w:pPr>
      <w:r>
        <w:t>Table 34.3 University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6A08F68" w14:textId="77777777" w:rsidTr="000F0835">
        <w:trPr>
          <w:cnfStyle w:val="100000000000" w:firstRow="1" w:lastRow="0" w:firstColumn="0" w:lastColumn="0" w:oddVBand="0" w:evenVBand="0" w:oddHBand="0" w:evenHBand="0" w:firstRowFirstColumn="0" w:firstRowLastColumn="0" w:lastRowFirstColumn="0" w:lastRowLastColumn="0"/>
          <w:trHeight w:val="269"/>
        </w:trPr>
        <w:tc>
          <w:tcPr>
            <w:tcW w:w="6746" w:type="dxa"/>
            <w:noWrap/>
            <w:hideMark/>
          </w:tcPr>
          <w:p w14:paraId="70599184" w14:textId="77777777" w:rsidR="009D0006" w:rsidRPr="003F4D73" w:rsidRDefault="009D0006" w:rsidP="000F0835">
            <w:pPr>
              <w:pStyle w:val="Tableheader"/>
            </w:pPr>
            <w:r w:rsidRPr="00BD62CA">
              <w:t xml:space="preserve">During the past 12 months at your education setting have </w:t>
            </w:r>
            <w:r>
              <w:t>you</w:t>
            </w:r>
            <w:r w:rsidRPr="00BD62CA">
              <w:t xml:space="preserve"> felt that </w:t>
            </w:r>
            <w:r>
              <w:t xml:space="preserve">you </w:t>
            </w:r>
            <w:r w:rsidRPr="00BD62CA">
              <w:rPr>
                <w:u w:val="single"/>
              </w:rPr>
              <w:t>could</w:t>
            </w:r>
            <w:r w:rsidRPr="00BD62CA">
              <w:t xml:space="preserve"> safely ...</w:t>
            </w:r>
          </w:p>
        </w:tc>
        <w:tc>
          <w:tcPr>
            <w:tcW w:w="1559" w:type="dxa"/>
            <w:noWrap/>
            <w:hideMark/>
          </w:tcPr>
          <w:p w14:paraId="3730765B" w14:textId="77777777" w:rsidR="009D0006" w:rsidRPr="003F4D73" w:rsidRDefault="009D0006" w:rsidP="000F0835">
            <w:pPr>
              <w:pStyle w:val="Tableheader"/>
            </w:pPr>
            <w:r>
              <w:t>n</w:t>
            </w:r>
          </w:p>
        </w:tc>
        <w:tc>
          <w:tcPr>
            <w:tcW w:w="1559" w:type="dxa"/>
            <w:noWrap/>
            <w:hideMark/>
          </w:tcPr>
          <w:p w14:paraId="59394F35" w14:textId="77777777" w:rsidR="009D0006" w:rsidRPr="003F4D73" w:rsidRDefault="009D0006" w:rsidP="000F0835">
            <w:pPr>
              <w:pStyle w:val="Tableheader"/>
            </w:pPr>
            <w:r w:rsidRPr="003F4D73">
              <w:t>%</w:t>
            </w:r>
          </w:p>
        </w:tc>
      </w:tr>
      <w:tr w:rsidR="009D0006" w:rsidRPr="003F4D73" w14:paraId="26393E88" w14:textId="77777777" w:rsidTr="000F0835">
        <w:trPr>
          <w:cnfStyle w:val="000000100000" w:firstRow="0" w:lastRow="0" w:firstColumn="0" w:lastColumn="0" w:oddVBand="0" w:evenVBand="0" w:oddHBand="1" w:evenHBand="0" w:firstRowFirstColumn="0" w:firstRowLastColumn="0" w:lastRowFirstColumn="0" w:lastRowLastColumn="0"/>
          <w:trHeight w:val="253"/>
        </w:trPr>
        <w:tc>
          <w:tcPr>
            <w:tcW w:w="6746" w:type="dxa"/>
            <w:noWrap/>
            <w:hideMark/>
          </w:tcPr>
          <w:p w14:paraId="58AA3284" w14:textId="77777777" w:rsidR="009D0006" w:rsidRPr="00BD62CA" w:rsidRDefault="009D0006" w:rsidP="000F0835">
            <w:pPr>
              <w:pStyle w:val="Tabletext"/>
              <w:rPr>
                <w:lang w:val="en-US"/>
              </w:rPr>
            </w:pPr>
            <w:r w:rsidRPr="00BD62CA">
              <w:rPr>
                <w:lang w:val="en-US"/>
              </w:rPr>
              <w:t>openly identify as LGBTIQA+</w:t>
            </w:r>
          </w:p>
        </w:tc>
        <w:tc>
          <w:tcPr>
            <w:tcW w:w="1559" w:type="dxa"/>
            <w:noWrap/>
          </w:tcPr>
          <w:p w14:paraId="1460D277" w14:textId="77777777" w:rsidR="009D0006" w:rsidRPr="003F4D73" w:rsidRDefault="009D0006" w:rsidP="000F0835">
            <w:pPr>
              <w:pStyle w:val="Tabletext"/>
            </w:pPr>
            <w:r>
              <w:t>467</w:t>
            </w:r>
          </w:p>
        </w:tc>
        <w:tc>
          <w:tcPr>
            <w:tcW w:w="1559" w:type="dxa"/>
            <w:noWrap/>
          </w:tcPr>
          <w:p w14:paraId="6176D0E8" w14:textId="77777777" w:rsidR="009D0006" w:rsidRPr="003F4D73" w:rsidRDefault="009D0006" w:rsidP="000F0835">
            <w:pPr>
              <w:pStyle w:val="Tabletext"/>
            </w:pPr>
            <w:r>
              <w:t>75.1</w:t>
            </w:r>
          </w:p>
        </w:tc>
      </w:tr>
    </w:tbl>
    <w:p w14:paraId="7D20B09C" w14:textId="77777777" w:rsidR="009D0006" w:rsidRDefault="009D0006" w:rsidP="00603068">
      <w:pPr>
        <w:pStyle w:val="Tableheading"/>
      </w:pPr>
      <w:r>
        <w:t>Table 34.4 Total</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5B7A836" w14:textId="77777777" w:rsidTr="004E2605">
        <w:trPr>
          <w:cnfStyle w:val="100000000000" w:firstRow="1" w:lastRow="0" w:firstColumn="0" w:lastColumn="0" w:oddVBand="0" w:evenVBand="0" w:oddHBand="0" w:evenHBand="0" w:firstRowFirstColumn="0" w:firstRowLastColumn="0" w:lastRowFirstColumn="0" w:lastRowLastColumn="0"/>
          <w:trHeight w:val="283"/>
        </w:trPr>
        <w:tc>
          <w:tcPr>
            <w:tcW w:w="6746" w:type="dxa"/>
            <w:noWrap/>
            <w:hideMark/>
          </w:tcPr>
          <w:p w14:paraId="6A243C44" w14:textId="77777777" w:rsidR="009D0006" w:rsidRPr="003F4D73" w:rsidRDefault="009D0006" w:rsidP="000F0835">
            <w:pPr>
              <w:pStyle w:val="Tableheader"/>
            </w:pPr>
            <w:r w:rsidRPr="00BD62CA">
              <w:t xml:space="preserve">During the past 12 months at your education setting have </w:t>
            </w:r>
            <w:r>
              <w:t>you</w:t>
            </w:r>
            <w:r w:rsidRPr="00BD62CA">
              <w:t xml:space="preserve"> felt that </w:t>
            </w:r>
            <w:r>
              <w:t xml:space="preserve">you </w:t>
            </w:r>
            <w:r w:rsidRPr="00BD62CA">
              <w:rPr>
                <w:u w:val="single"/>
              </w:rPr>
              <w:t>could</w:t>
            </w:r>
            <w:r w:rsidRPr="00BD62CA">
              <w:t xml:space="preserve"> safely ...</w:t>
            </w:r>
          </w:p>
        </w:tc>
        <w:tc>
          <w:tcPr>
            <w:tcW w:w="1559" w:type="dxa"/>
            <w:hideMark/>
          </w:tcPr>
          <w:p w14:paraId="0B28F69D" w14:textId="77777777" w:rsidR="009D0006" w:rsidRPr="003F4D73" w:rsidRDefault="009D0006" w:rsidP="000F0835">
            <w:pPr>
              <w:pStyle w:val="Tableheader"/>
            </w:pPr>
            <w:r>
              <w:t>n</w:t>
            </w:r>
          </w:p>
        </w:tc>
        <w:tc>
          <w:tcPr>
            <w:tcW w:w="1559" w:type="dxa"/>
            <w:hideMark/>
          </w:tcPr>
          <w:p w14:paraId="3D89ACD1" w14:textId="77777777" w:rsidR="009D0006" w:rsidRPr="003F4D73" w:rsidRDefault="009D0006" w:rsidP="000F0835">
            <w:pPr>
              <w:pStyle w:val="Tableheader"/>
            </w:pPr>
            <w:r w:rsidRPr="003F4D73">
              <w:t>%</w:t>
            </w:r>
          </w:p>
        </w:tc>
      </w:tr>
      <w:tr w:rsidR="009D0006" w:rsidRPr="003F4D73" w14:paraId="72092DED" w14:textId="77777777" w:rsidTr="000F0835">
        <w:trPr>
          <w:cnfStyle w:val="000000100000" w:firstRow="0" w:lastRow="0" w:firstColumn="0" w:lastColumn="0" w:oddVBand="0" w:evenVBand="0" w:oddHBand="1" w:evenHBand="0" w:firstRowFirstColumn="0" w:firstRowLastColumn="0" w:lastRowFirstColumn="0" w:lastRowLastColumn="0"/>
          <w:trHeight w:val="373"/>
        </w:trPr>
        <w:tc>
          <w:tcPr>
            <w:tcW w:w="6746" w:type="dxa"/>
            <w:noWrap/>
            <w:hideMark/>
          </w:tcPr>
          <w:p w14:paraId="51BD1B19" w14:textId="77777777" w:rsidR="009D0006" w:rsidRPr="00BD62CA" w:rsidRDefault="009D0006" w:rsidP="000F0835">
            <w:pPr>
              <w:pStyle w:val="Tabletext"/>
              <w:rPr>
                <w:lang w:val="en-US"/>
              </w:rPr>
            </w:pPr>
            <w:r w:rsidRPr="00BD62CA">
              <w:rPr>
                <w:lang w:val="en-US"/>
              </w:rPr>
              <w:t>openly identify as LGBTIQA+</w:t>
            </w:r>
          </w:p>
        </w:tc>
        <w:tc>
          <w:tcPr>
            <w:tcW w:w="1559" w:type="dxa"/>
          </w:tcPr>
          <w:p w14:paraId="5EC5751B" w14:textId="77777777" w:rsidR="009D0006" w:rsidRPr="003F4D73" w:rsidRDefault="009D0006" w:rsidP="000F0835">
            <w:pPr>
              <w:pStyle w:val="Tabletext"/>
            </w:pPr>
            <w:r>
              <w:t>1414</w:t>
            </w:r>
          </w:p>
        </w:tc>
        <w:tc>
          <w:tcPr>
            <w:tcW w:w="1559" w:type="dxa"/>
          </w:tcPr>
          <w:p w14:paraId="582A83A5" w14:textId="77777777" w:rsidR="009D0006" w:rsidRPr="003F4D73" w:rsidRDefault="009D0006" w:rsidP="000F0835">
            <w:pPr>
              <w:pStyle w:val="Tabletext"/>
            </w:pPr>
            <w:r>
              <w:t>60.8</w:t>
            </w:r>
          </w:p>
        </w:tc>
      </w:tr>
    </w:tbl>
    <w:p w14:paraId="0E622B51" w14:textId="77777777" w:rsidR="009D0006" w:rsidRPr="00BD62CA" w:rsidRDefault="009D0006" w:rsidP="00603068">
      <w:pPr>
        <w:spacing w:before="360"/>
      </w:pPr>
      <w:r>
        <w:t>As shown in Tables 34.1-34.4, 60.8% (n = 1414) of participants with a disability who attended an educational setting felt that they could safely identify as LGBTIQA+. Participants who attended university felt the safest to openly identify as LGBTIQA+ at their educational setting (75.1%; n = 467), followed by participants who attended TAFE (66.3%; n = 169) and participants who attended secondary school (52.7%; n = 656).</w:t>
      </w:r>
    </w:p>
    <w:p w14:paraId="67247A05" w14:textId="77777777" w:rsidR="009D0006" w:rsidRDefault="009D0006" w:rsidP="009D0006">
      <w:pPr>
        <w:rPr>
          <w:lang w:bidi="en-US"/>
        </w:rPr>
      </w:pPr>
      <w:r w:rsidRPr="00BD62CA">
        <w:t>Trans and g</w:t>
      </w:r>
      <w:r w:rsidRPr="00BD62CA">
        <w:lastRenderedPageBreak/>
        <w:t xml:space="preserve">ender diverse participants were then asked </w:t>
      </w:r>
      <w:r w:rsidRPr="00BD62CA">
        <w:rPr>
          <w:lang w:bidi="en-US"/>
        </w:rPr>
        <w:t>‘during the past 12 months, at your educational setting have you felt that you could safely…</w:t>
      </w:r>
      <w:r>
        <w:rPr>
          <w:lang w:bidi="en-US"/>
        </w:rPr>
        <w:t>?</w:t>
      </w:r>
      <w:r w:rsidRPr="00BD62CA">
        <w:rPr>
          <w:lang w:bidi="en-US"/>
        </w:rPr>
        <w:t>’ Responses are displayed in Table</w:t>
      </w:r>
      <w:r>
        <w:rPr>
          <w:lang w:bidi="en-US"/>
        </w:rPr>
        <w:t>s</w:t>
      </w:r>
      <w:r w:rsidRPr="00BD62CA">
        <w:rPr>
          <w:lang w:bidi="en-US"/>
        </w:rPr>
        <w:t xml:space="preserve"> </w:t>
      </w:r>
      <w:r>
        <w:rPr>
          <w:lang w:bidi="en-US"/>
        </w:rPr>
        <w:t>35.1-35.4</w:t>
      </w:r>
      <w:r w:rsidRPr="00BD62CA">
        <w:rPr>
          <w:lang w:bidi="en-US"/>
        </w:rPr>
        <w:t>.</w:t>
      </w:r>
    </w:p>
    <w:p w14:paraId="7D6A0979" w14:textId="0E196DE1" w:rsidR="009D0006" w:rsidRDefault="009D0006" w:rsidP="00603068">
      <w:pPr>
        <w:pStyle w:val="Tableheading"/>
      </w:pPr>
      <w:bookmarkStart w:id="434" w:name="_Toc117062753"/>
      <w:bookmarkStart w:id="435" w:name="_Toc119651438"/>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35</w:t>
      </w:r>
      <w:r w:rsidRPr="00985828">
        <w:rPr>
          <w:bCs/>
          <w:sz w:val="18"/>
          <w:szCs w:val="18"/>
        </w:rPr>
        <w:fldChar w:fldCharType="end"/>
      </w:r>
      <w:r>
        <w:rPr>
          <w:bCs/>
        </w:rPr>
        <w:t>.1-35.4</w:t>
      </w:r>
      <w:r>
        <w:t xml:space="preserve">: </w:t>
      </w:r>
      <w:r w:rsidRPr="00BD62CA">
        <w:t>Perceived safety engaging in gender affirming acts in educational settings</w:t>
      </w:r>
      <w:r>
        <w:t xml:space="preserve"> among young people with disability aged 14-21 years</w:t>
      </w:r>
      <w:bookmarkEnd w:id="434"/>
      <w:bookmarkEnd w:id="435"/>
    </w:p>
    <w:p w14:paraId="67FA6A3B" w14:textId="77777777" w:rsidR="009D0006" w:rsidRDefault="009D0006" w:rsidP="00603068">
      <w:pPr>
        <w:pStyle w:val="Tableheading"/>
      </w:pPr>
      <w:r>
        <w:t>Table 35.1 Secondary school</w:t>
      </w:r>
    </w:p>
    <w:tbl>
      <w:tblPr>
        <w:tblStyle w:val="RCTable"/>
        <w:tblW w:w="9864" w:type="dxa"/>
        <w:tblLook w:val="04A0" w:firstRow="1" w:lastRow="0" w:firstColumn="1" w:lastColumn="0" w:noHBand="0" w:noVBand="1"/>
      </w:tblPr>
      <w:tblGrid>
        <w:gridCol w:w="6746"/>
        <w:gridCol w:w="1559"/>
        <w:gridCol w:w="1559"/>
      </w:tblGrid>
      <w:tr w:rsidR="009D0006" w:rsidRPr="003F4D73" w14:paraId="24A6844D" w14:textId="77777777" w:rsidTr="000F0835">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0CCA3C44" w14:textId="77777777" w:rsidR="009D0006" w:rsidRPr="003F4D73" w:rsidRDefault="009D0006" w:rsidP="000F0835">
            <w:pPr>
              <w:pStyle w:val="Tableheader"/>
            </w:pPr>
            <w:r w:rsidRPr="00BD62CA">
              <w:t xml:space="preserve">During the past 12 months at your education setting have I felt that I </w:t>
            </w:r>
            <w:r w:rsidRPr="00BD62CA">
              <w:rPr>
                <w:u w:val="single"/>
              </w:rPr>
              <w:t>could</w:t>
            </w:r>
            <w:r w:rsidRPr="00BD62CA">
              <w:t xml:space="preserve"> safely ...</w:t>
            </w:r>
          </w:p>
        </w:tc>
        <w:tc>
          <w:tcPr>
            <w:tcW w:w="1559" w:type="dxa"/>
            <w:noWrap/>
            <w:hideMark/>
          </w:tcPr>
          <w:p w14:paraId="4576C695" w14:textId="77777777" w:rsidR="009D0006" w:rsidRPr="003F4D73" w:rsidRDefault="009D0006" w:rsidP="000F0835">
            <w:pPr>
              <w:pStyle w:val="Tableheader"/>
            </w:pPr>
            <w:r>
              <w:t>n</w:t>
            </w:r>
          </w:p>
        </w:tc>
        <w:tc>
          <w:tcPr>
            <w:tcW w:w="1559" w:type="dxa"/>
            <w:noWrap/>
            <w:hideMark/>
          </w:tcPr>
          <w:p w14:paraId="78AD1FB6" w14:textId="77777777" w:rsidR="009D0006" w:rsidRPr="003F4D73" w:rsidRDefault="009D0006" w:rsidP="000F0835">
            <w:pPr>
              <w:pStyle w:val="Tableheader"/>
            </w:pPr>
            <w:r w:rsidRPr="003F4D73">
              <w:t>%</w:t>
            </w:r>
          </w:p>
        </w:tc>
      </w:tr>
      <w:tr w:rsidR="009D0006" w:rsidRPr="003F4D73" w14:paraId="54B20AEB" w14:textId="77777777" w:rsidTr="000F0835">
        <w:trPr>
          <w:cnfStyle w:val="000000100000" w:firstRow="0" w:lastRow="0" w:firstColumn="0" w:lastColumn="0" w:oddVBand="0" w:evenVBand="0" w:oddHBand="1" w:evenHBand="0" w:firstRowFirstColumn="0" w:firstRowLastColumn="0" w:lastRowFirstColumn="0" w:lastRowLastColumn="0"/>
          <w:trHeight w:val="242"/>
        </w:trPr>
        <w:tc>
          <w:tcPr>
            <w:tcW w:w="6746" w:type="dxa"/>
            <w:noWrap/>
            <w:hideMark/>
          </w:tcPr>
          <w:p w14:paraId="232E4921" w14:textId="77777777" w:rsidR="009D0006" w:rsidRPr="001C226A" w:rsidRDefault="009D0006" w:rsidP="000F0835">
            <w:pPr>
              <w:pStyle w:val="Tabletext"/>
              <w:rPr>
                <w:color w:val="0D0D0D"/>
              </w:rPr>
            </w:pPr>
            <w:r w:rsidRPr="001C226A">
              <w:t>use the bathrooms that match my gender identity</w:t>
            </w:r>
          </w:p>
        </w:tc>
        <w:tc>
          <w:tcPr>
            <w:tcW w:w="1559" w:type="dxa"/>
            <w:noWrap/>
          </w:tcPr>
          <w:p w14:paraId="41B83195" w14:textId="77777777" w:rsidR="009D0006" w:rsidRPr="003F4D73" w:rsidRDefault="009D0006" w:rsidP="000F0835">
            <w:pPr>
              <w:pStyle w:val="Tabletext"/>
              <w:rPr>
                <w:color w:val="0D0D0D"/>
              </w:rPr>
            </w:pPr>
            <w:r>
              <w:rPr>
                <w:color w:val="0D0D0D"/>
              </w:rPr>
              <w:t>130</w:t>
            </w:r>
          </w:p>
        </w:tc>
        <w:tc>
          <w:tcPr>
            <w:tcW w:w="1559" w:type="dxa"/>
            <w:noWrap/>
          </w:tcPr>
          <w:p w14:paraId="5252FC9E" w14:textId="77777777" w:rsidR="009D0006" w:rsidRPr="003F4D73" w:rsidRDefault="009D0006" w:rsidP="000F0835">
            <w:pPr>
              <w:pStyle w:val="Tabletext"/>
              <w:rPr>
                <w:color w:val="0D0D0D"/>
              </w:rPr>
            </w:pPr>
            <w:r>
              <w:rPr>
                <w:color w:val="0D0D0D"/>
              </w:rPr>
              <w:t>26.9</w:t>
            </w:r>
          </w:p>
        </w:tc>
      </w:tr>
      <w:tr w:rsidR="009D0006" w:rsidRPr="003F4D73" w14:paraId="49D62C8A" w14:textId="77777777" w:rsidTr="000F0835">
        <w:trPr>
          <w:cnfStyle w:val="000000010000" w:firstRow="0" w:lastRow="0" w:firstColumn="0" w:lastColumn="0" w:oddVBand="0" w:evenVBand="0" w:oddHBand="0" w:evenHBand="1" w:firstRowFirstColumn="0" w:firstRowLastColumn="0" w:lastRowFirstColumn="0" w:lastRowLastColumn="0"/>
          <w:trHeight w:val="242"/>
        </w:trPr>
        <w:tc>
          <w:tcPr>
            <w:tcW w:w="6746" w:type="dxa"/>
            <w:noWrap/>
            <w:hideMark/>
          </w:tcPr>
          <w:p w14:paraId="4D59CB30" w14:textId="77777777" w:rsidR="009D0006" w:rsidRPr="001C226A" w:rsidRDefault="009D0006" w:rsidP="000F0835">
            <w:pPr>
              <w:pStyle w:val="Tabletext"/>
              <w:rPr>
                <w:color w:val="0D0D0D"/>
                <w:lang w:val="en-US"/>
              </w:rPr>
            </w:pPr>
            <w:r w:rsidRPr="001C226A">
              <w:t>use my chosen name or pronouns</w:t>
            </w:r>
          </w:p>
        </w:tc>
        <w:tc>
          <w:tcPr>
            <w:tcW w:w="1559" w:type="dxa"/>
            <w:noWrap/>
          </w:tcPr>
          <w:p w14:paraId="08D4C6E9" w14:textId="77777777" w:rsidR="009D0006" w:rsidRPr="003F4D73" w:rsidRDefault="009D0006" w:rsidP="000F0835">
            <w:pPr>
              <w:pStyle w:val="Tabletext"/>
              <w:rPr>
                <w:color w:val="0D0D0D"/>
              </w:rPr>
            </w:pPr>
            <w:r>
              <w:rPr>
                <w:color w:val="0D0D0D"/>
              </w:rPr>
              <w:t>195</w:t>
            </w:r>
          </w:p>
        </w:tc>
        <w:tc>
          <w:tcPr>
            <w:tcW w:w="1559" w:type="dxa"/>
            <w:noWrap/>
          </w:tcPr>
          <w:p w14:paraId="65DF7D48" w14:textId="77777777" w:rsidR="009D0006" w:rsidRPr="003F4D73" w:rsidRDefault="009D0006" w:rsidP="000F0835">
            <w:pPr>
              <w:pStyle w:val="Tabletext"/>
              <w:rPr>
                <w:color w:val="0D0D0D"/>
              </w:rPr>
            </w:pPr>
            <w:r>
              <w:rPr>
                <w:color w:val="0D0D0D"/>
              </w:rPr>
              <w:t>40.3</w:t>
            </w:r>
          </w:p>
        </w:tc>
      </w:tr>
    </w:tbl>
    <w:p w14:paraId="38778DDD" w14:textId="77777777" w:rsidR="009D0006" w:rsidRDefault="009D0006" w:rsidP="00603068">
      <w:pPr>
        <w:pStyle w:val="Tableheading"/>
        <w:rPr>
          <w:lang w:bidi="en-US"/>
        </w:rPr>
      </w:pPr>
      <w:r>
        <w:rPr>
          <w:lang w:bidi="en-US"/>
        </w:rPr>
        <w:t>Table 35.2 TAFE</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E8F48B2" w14:textId="77777777" w:rsidTr="000F0835">
        <w:trPr>
          <w:cnfStyle w:val="100000000000" w:firstRow="1" w:lastRow="0" w:firstColumn="0" w:lastColumn="0" w:oddVBand="0" w:evenVBand="0" w:oddHBand="0" w:evenHBand="0" w:firstRowFirstColumn="0" w:firstRowLastColumn="0" w:lastRowFirstColumn="0" w:lastRowLastColumn="0"/>
          <w:trHeight w:val="260"/>
        </w:trPr>
        <w:tc>
          <w:tcPr>
            <w:tcW w:w="6746" w:type="dxa"/>
            <w:noWrap/>
            <w:hideMark/>
          </w:tcPr>
          <w:p w14:paraId="5D8A280E" w14:textId="77777777" w:rsidR="009D0006" w:rsidRPr="003F4D73" w:rsidRDefault="009D0006" w:rsidP="000F0835">
            <w:pPr>
              <w:pStyle w:val="Tableheader"/>
            </w:pPr>
            <w:r w:rsidRPr="00BD62CA">
              <w:t xml:space="preserve">During the past 12 months at your education setting have I felt that I </w:t>
            </w:r>
            <w:r w:rsidRPr="00BD62CA">
              <w:rPr>
                <w:u w:val="single"/>
              </w:rPr>
              <w:t>could</w:t>
            </w:r>
            <w:r w:rsidRPr="00BD62CA">
              <w:t xml:space="preserve"> safely ...</w:t>
            </w:r>
          </w:p>
        </w:tc>
        <w:tc>
          <w:tcPr>
            <w:tcW w:w="1559" w:type="dxa"/>
            <w:hideMark/>
          </w:tcPr>
          <w:p w14:paraId="182F99F3" w14:textId="77777777" w:rsidR="009D0006" w:rsidRPr="003F4D73" w:rsidRDefault="009D0006" w:rsidP="000F0835">
            <w:pPr>
              <w:pStyle w:val="Tableheader"/>
            </w:pPr>
            <w:r>
              <w:t>n</w:t>
            </w:r>
          </w:p>
        </w:tc>
        <w:tc>
          <w:tcPr>
            <w:tcW w:w="1559" w:type="dxa"/>
            <w:hideMark/>
          </w:tcPr>
          <w:p w14:paraId="7531B23A" w14:textId="77777777" w:rsidR="009D0006" w:rsidRPr="003F4D73" w:rsidRDefault="009D0006" w:rsidP="000F0835">
            <w:pPr>
              <w:pStyle w:val="Tableheader"/>
            </w:pPr>
            <w:r w:rsidRPr="003F4D73">
              <w:t>%</w:t>
            </w:r>
          </w:p>
        </w:tc>
      </w:tr>
      <w:tr w:rsidR="009D0006" w:rsidRPr="003F4D73" w14:paraId="6452A989" w14:textId="77777777" w:rsidTr="000F0835">
        <w:trPr>
          <w:cnfStyle w:val="000000100000" w:firstRow="0" w:lastRow="0" w:firstColumn="0" w:lastColumn="0" w:oddVBand="0" w:evenVBand="0" w:oddHBand="1" w:evenHBand="0" w:firstRowFirstColumn="0" w:firstRowLastColumn="0" w:lastRowFirstColumn="0" w:lastRowLastColumn="0"/>
          <w:trHeight w:val="245"/>
        </w:trPr>
        <w:tc>
          <w:tcPr>
            <w:tcW w:w="6746" w:type="dxa"/>
            <w:noWrap/>
            <w:hideMark/>
          </w:tcPr>
          <w:p w14:paraId="29E47E40" w14:textId="77777777" w:rsidR="009D0006" w:rsidRPr="001C226A" w:rsidRDefault="009D0006" w:rsidP="000F0835">
            <w:pPr>
              <w:pStyle w:val="Tabletext"/>
              <w:rPr>
                <w:color w:val="0D0D0D"/>
              </w:rPr>
            </w:pPr>
            <w:r w:rsidRPr="001C226A">
              <w:t>use the bathrooms that match my gender identity</w:t>
            </w:r>
          </w:p>
        </w:tc>
        <w:tc>
          <w:tcPr>
            <w:tcW w:w="1559" w:type="dxa"/>
          </w:tcPr>
          <w:p w14:paraId="3DCC2FD2" w14:textId="77777777" w:rsidR="009D0006" w:rsidRPr="003F4D73" w:rsidRDefault="009D0006" w:rsidP="000F0835">
            <w:pPr>
              <w:pStyle w:val="Tabletext"/>
              <w:rPr>
                <w:color w:val="0D0D0D"/>
              </w:rPr>
            </w:pPr>
            <w:r>
              <w:rPr>
                <w:color w:val="0D0D0D"/>
              </w:rPr>
              <w:t>65</w:t>
            </w:r>
          </w:p>
        </w:tc>
        <w:tc>
          <w:tcPr>
            <w:tcW w:w="1559" w:type="dxa"/>
          </w:tcPr>
          <w:p w14:paraId="5D536B92" w14:textId="77777777" w:rsidR="009D0006" w:rsidRPr="003F4D73" w:rsidRDefault="009D0006" w:rsidP="000F0835">
            <w:pPr>
              <w:pStyle w:val="Tabletext"/>
              <w:rPr>
                <w:color w:val="0D0D0D"/>
              </w:rPr>
            </w:pPr>
            <w:r>
              <w:rPr>
                <w:color w:val="0D0D0D"/>
              </w:rPr>
              <w:t>49.2</w:t>
            </w:r>
          </w:p>
        </w:tc>
      </w:tr>
      <w:tr w:rsidR="009D0006" w:rsidRPr="003F4D73" w14:paraId="719D4A82" w14:textId="77777777" w:rsidTr="000F0835">
        <w:trPr>
          <w:cnfStyle w:val="000000010000" w:firstRow="0" w:lastRow="0" w:firstColumn="0" w:lastColumn="0" w:oddVBand="0" w:evenVBand="0" w:oddHBand="0" w:evenHBand="1" w:firstRowFirstColumn="0" w:firstRowLastColumn="0" w:lastRowFirstColumn="0" w:lastRowLastColumn="0"/>
          <w:trHeight w:val="245"/>
        </w:trPr>
        <w:tc>
          <w:tcPr>
            <w:tcW w:w="6746" w:type="dxa"/>
            <w:noWrap/>
            <w:hideMark/>
          </w:tcPr>
          <w:p w14:paraId="523EE361" w14:textId="77777777" w:rsidR="009D0006" w:rsidRPr="001C226A" w:rsidRDefault="009D0006" w:rsidP="000F0835">
            <w:pPr>
              <w:pStyle w:val="Tabletext"/>
              <w:rPr>
                <w:color w:val="0D0D0D"/>
                <w:lang w:val="en-US"/>
              </w:rPr>
            </w:pPr>
            <w:r w:rsidRPr="001C226A">
              <w:t>use my chosen name or pronouns</w:t>
            </w:r>
          </w:p>
        </w:tc>
        <w:tc>
          <w:tcPr>
            <w:tcW w:w="1559" w:type="dxa"/>
          </w:tcPr>
          <w:p w14:paraId="51A5EEAF" w14:textId="77777777" w:rsidR="009D0006" w:rsidRPr="003F4D73" w:rsidRDefault="009D0006" w:rsidP="000F0835">
            <w:pPr>
              <w:pStyle w:val="Tabletext"/>
              <w:rPr>
                <w:color w:val="0D0D0D"/>
              </w:rPr>
            </w:pPr>
            <w:r>
              <w:rPr>
                <w:color w:val="0D0D0D"/>
              </w:rPr>
              <w:t>77</w:t>
            </w:r>
          </w:p>
        </w:tc>
        <w:tc>
          <w:tcPr>
            <w:tcW w:w="1559" w:type="dxa"/>
          </w:tcPr>
          <w:p w14:paraId="65C27F5F" w14:textId="77777777" w:rsidR="009D0006" w:rsidRPr="003F4D73" w:rsidRDefault="009D0006" w:rsidP="000F0835">
            <w:pPr>
              <w:pStyle w:val="Tabletext"/>
              <w:rPr>
                <w:color w:val="0D0D0D"/>
              </w:rPr>
            </w:pPr>
            <w:r>
              <w:rPr>
                <w:color w:val="0D0D0D"/>
              </w:rPr>
              <w:t>58.3</w:t>
            </w:r>
          </w:p>
        </w:tc>
      </w:tr>
    </w:tbl>
    <w:p w14:paraId="3A4045C1" w14:textId="77777777" w:rsidR="009D0006" w:rsidRDefault="009D0006" w:rsidP="00603068">
      <w:pPr>
        <w:pStyle w:val="Tableheading"/>
        <w:rPr>
          <w:lang w:bidi="en-US"/>
        </w:rPr>
      </w:pPr>
      <w:r>
        <w:rPr>
          <w:lang w:bidi="en-US"/>
        </w:rPr>
        <w:t>Table 35.3 University</w:t>
      </w:r>
    </w:p>
    <w:tbl>
      <w:tblPr>
        <w:tblStyle w:val="RCTable"/>
        <w:tblW w:w="9864" w:type="dxa"/>
        <w:tblLook w:val="04A0" w:firstRow="1" w:lastRow="0" w:firstColumn="1" w:lastColumn="0" w:noHBand="0" w:noVBand="1"/>
      </w:tblPr>
      <w:tblGrid>
        <w:gridCol w:w="6746"/>
        <w:gridCol w:w="1559"/>
        <w:gridCol w:w="1559"/>
      </w:tblGrid>
      <w:tr w:rsidR="009D0006" w:rsidRPr="003F4D73" w14:paraId="1DFA4F1B" w14:textId="77777777" w:rsidTr="000F0835">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4EC0BF93" w14:textId="77777777" w:rsidR="009D0006" w:rsidRPr="003F4D73" w:rsidRDefault="009D0006" w:rsidP="000F0835">
            <w:pPr>
              <w:pStyle w:val="Tableheader"/>
            </w:pPr>
            <w:r w:rsidRPr="00BD62CA">
              <w:t xml:space="preserve">During the past 12 months at your education setting have I felt that I </w:t>
            </w:r>
            <w:r w:rsidRPr="00BD62CA">
              <w:rPr>
                <w:u w:val="single"/>
              </w:rPr>
              <w:t>could</w:t>
            </w:r>
            <w:r w:rsidRPr="00BD62CA">
              <w:t xml:space="preserve"> safely ...</w:t>
            </w:r>
          </w:p>
        </w:tc>
        <w:tc>
          <w:tcPr>
            <w:tcW w:w="1559" w:type="dxa"/>
            <w:noWrap/>
            <w:hideMark/>
          </w:tcPr>
          <w:p w14:paraId="538248A9" w14:textId="77777777" w:rsidR="009D0006" w:rsidRPr="003F4D73" w:rsidRDefault="009D0006" w:rsidP="000F0835">
            <w:pPr>
              <w:pStyle w:val="Tableheader"/>
            </w:pPr>
            <w:r>
              <w:t>n</w:t>
            </w:r>
          </w:p>
        </w:tc>
        <w:tc>
          <w:tcPr>
            <w:tcW w:w="1559" w:type="dxa"/>
            <w:noWrap/>
            <w:hideMark/>
          </w:tcPr>
          <w:p w14:paraId="482A6891" w14:textId="77777777" w:rsidR="009D0006" w:rsidRPr="003F4D73" w:rsidRDefault="009D0006" w:rsidP="000F0835">
            <w:pPr>
              <w:pStyle w:val="Tableheader"/>
            </w:pPr>
            <w:r w:rsidRPr="003F4D73">
              <w:t>%</w:t>
            </w:r>
          </w:p>
        </w:tc>
      </w:tr>
      <w:tr w:rsidR="009D0006" w:rsidRPr="003F4D73" w14:paraId="64FC5B69" w14:textId="77777777" w:rsidTr="000F0835">
        <w:trPr>
          <w:cnfStyle w:val="000000100000" w:firstRow="0" w:lastRow="0" w:firstColumn="0" w:lastColumn="0" w:oddVBand="0" w:evenVBand="0" w:oddHBand="1" w:evenHBand="0" w:firstRowFirstColumn="0" w:firstRowLastColumn="0" w:lastRowFirstColumn="0" w:lastRowLastColumn="0"/>
          <w:trHeight w:val="242"/>
        </w:trPr>
        <w:tc>
          <w:tcPr>
            <w:tcW w:w="6746" w:type="dxa"/>
            <w:noWrap/>
            <w:hideMark/>
          </w:tcPr>
          <w:p w14:paraId="26B97CC7" w14:textId="77777777" w:rsidR="009D0006" w:rsidRPr="001C226A" w:rsidRDefault="009D0006" w:rsidP="000F0835">
            <w:pPr>
              <w:pStyle w:val="Tabletext"/>
              <w:rPr>
                <w:color w:val="0D0D0D"/>
              </w:rPr>
            </w:pPr>
            <w:r w:rsidRPr="001C226A">
              <w:t>use the bathrooms that match my gender identity</w:t>
            </w:r>
          </w:p>
        </w:tc>
        <w:tc>
          <w:tcPr>
            <w:tcW w:w="1559" w:type="dxa"/>
            <w:noWrap/>
          </w:tcPr>
          <w:p w14:paraId="34F49A16" w14:textId="77777777" w:rsidR="009D0006" w:rsidRPr="003F4D73" w:rsidRDefault="009D0006" w:rsidP="000F0835">
            <w:pPr>
              <w:pStyle w:val="Tabletext"/>
              <w:rPr>
                <w:color w:val="0D0D0D"/>
              </w:rPr>
            </w:pPr>
            <w:r>
              <w:rPr>
                <w:color w:val="0D0D0D"/>
              </w:rPr>
              <w:t>142</w:t>
            </w:r>
          </w:p>
        </w:tc>
        <w:tc>
          <w:tcPr>
            <w:tcW w:w="1559" w:type="dxa"/>
            <w:noWrap/>
          </w:tcPr>
          <w:p w14:paraId="26C815E3" w14:textId="77777777" w:rsidR="009D0006" w:rsidRPr="003F4D73" w:rsidRDefault="009D0006" w:rsidP="000F0835">
            <w:pPr>
              <w:pStyle w:val="Tabletext"/>
              <w:rPr>
                <w:color w:val="0D0D0D"/>
              </w:rPr>
            </w:pPr>
            <w:r>
              <w:rPr>
                <w:color w:val="0D0D0D"/>
              </w:rPr>
              <w:t>53.4</w:t>
            </w:r>
          </w:p>
        </w:tc>
      </w:tr>
      <w:tr w:rsidR="009D0006" w:rsidRPr="003F4D73" w14:paraId="237DA5A1" w14:textId="77777777" w:rsidTr="000F0835">
        <w:trPr>
          <w:cnfStyle w:val="000000010000" w:firstRow="0" w:lastRow="0" w:firstColumn="0" w:lastColumn="0" w:oddVBand="0" w:evenVBand="0" w:oddHBand="0" w:evenHBand="1" w:firstRowFirstColumn="0" w:firstRowLastColumn="0" w:lastRowFirstColumn="0" w:lastRowLastColumn="0"/>
          <w:trHeight w:val="242"/>
        </w:trPr>
        <w:tc>
          <w:tcPr>
            <w:tcW w:w="6746" w:type="dxa"/>
            <w:noWrap/>
            <w:hideMark/>
          </w:tcPr>
          <w:p w14:paraId="404BC2F5" w14:textId="77777777" w:rsidR="009D0006" w:rsidRPr="001C226A" w:rsidRDefault="009D0006" w:rsidP="000F0835">
            <w:pPr>
              <w:pStyle w:val="Tabletext"/>
              <w:rPr>
                <w:color w:val="0D0D0D"/>
                <w:lang w:val="en-US"/>
              </w:rPr>
            </w:pPr>
            <w:r w:rsidRPr="001C226A">
              <w:t>use my chosen name or pronouns</w:t>
            </w:r>
          </w:p>
        </w:tc>
        <w:tc>
          <w:tcPr>
            <w:tcW w:w="1559" w:type="dxa"/>
            <w:noWrap/>
          </w:tcPr>
          <w:p w14:paraId="3582F57D" w14:textId="77777777" w:rsidR="009D0006" w:rsidRPr="003F4D73" w:rsidRDefault="009D0006" w:rsidP="000F0835">
            <w:pPr>
              <w:pStyle w:val="Tabletext"/>
              <w:rPr>
                <w:color w:val="0D0D0D"/>
              </w:rPr>
            </w:pPr>
            <w:r>
              <w:rPr>
                <w:color w:val="0D0D0D"/>
              </w:rPr>
              <w:t>184</w:t>
            </w:r>
          </w:p>
        </w:tc>
        <w:tc>
          <w:tcPr>
            <w:tcW w:w="1559" w:type="dxa"/>
            <w:noWrap/>
          </w:tcPr>
          <w:p w14:paraId="7C1096FF" w14:textId="77777777" w:rsidR="009D0006" w:rsidRPr="003F4D73" w:rsidRDefault="009D0006" w:rsidP="000F0835">
            <w:pPr>
              <w:pStyle w:val="Tabletext"/>
              <w:rPr>
                <w:color w:val="0D0D0D"/>
              </w:rPr>
            </w:pPr>
            <w:r>
              <w:rPr>
                <w:color w:val="0D0D0D"/>
              </w:rPr>
              <w:t>69.2</w:t>
            </w:r>
          </w:p>
        </w:tc>
      </w:tr>
    </w:tbl>
    <w:p w14:paraId="2647E808" w14:textId="77777777" w:rsidR="009D0006" w:rsidRDefault="009D0006" w:rsidP="00603068">
      <w:pPr>
        <w:pStyle w:val="Tableheading"/>
        <w:rPr>
          <w:lang w:bidi="en-US"/>
        </w:rPr>
      </w:pPr>
      <w:r>
        <w:rPr>
          <w:lang w:bidi="en-US"/>
        </w:rPr>
        <w:t>Table 35.4 Total</w:t>
      </w:r>
    </w:p>
    <w:tbl>
      <w:tblPr>
        <w:tblStyle w:val="RCTable"/>
        <w:tblW w:w="9864" w:type="dxa"/>
        <w:tblLook w:val="04A0" w:firstRow="1" w:lastRow="0" w:firstColumn="1" w:lastColumn="0" w:noHBand="0" w:noVBand="1"/>
      </w:tblPr>
      <w:tblGrid>
        <w:gridCol w:w="6746"/>
        <w:gridCol w:w="1559"/>
        <w:gridCol w:w="1559"/>
      </w:tblGrid>
      <w:tr w:rsidR="009D0006" w:rsidRPr="003F4D73" w14:paraId="2195360B" w14:textId="77777777" w:rsidTr="000F0835">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2F9D4CE1" w14:textId="77777777" w:rsidR="009D0006" w:rsidRPr="003F4D73" w:rsidRDefault="009D0006" w:rsidP="000F0835">
            <w:pPr>
              <w:pStyle w:val="Tableheader"/>
            </w:pPr>
            <w:r w:rsidRPr="00BD62CA">
              <w:t xml:space="preserve">During the past 12 months at your education setting have I felt that I </w:t>
            </w:r>
            <w:r w:rsidRPr="00BD62CA">
              <w:rPr>
                <w:u w:val="single"/>
              </w:rPr>
              <w:t>could</w:t>
            </w:r>
            <w:r w:rsidRPr="00BD62CA">
              <w:t xml:space="preserve"> safely ...</w:t>
            </w:r>
          </w:p>
        </w:tc>
        <w:tc>
          <w:tcPr>
            <w:tcW w:w="1559" w:type="dxa"/>
            <w:hideMark/>
          </w:tcPr>
          <w:p w14:paraId="409B22A3" w14:textId="77777777" w:rsidR="009D0006" w:rsidRPr="003F4D73" w:rsidRDefault="009D0006" w:rsidP="000F0835">
            <w:pPr>
              <w:pStyle w:val="Tableheader"/>
            </w:pPr>
            <w:r>
              <w:t>n</w:t>
            </w:r>
          </w:p>
        </w:tc>
        <w:tc>
          <w:tcPr>
            <w:tcW w:w="1559" w:type="dxa"/>
            <w:hideMark/>
          </w:tcPr>
          <w:p w14:paraId="1A8CAB52" w14:textId="77777777" w:rsidR="009D0006" w:rsidRPr="003F4D73" w:rsidRDefault="009D0006" w:rsidP="000F0835">
            <w:pPr>
              <w:pStyle w:val="Tableheader"/>
            </w:pPr>
            <w:r w:rsidRPr="003F4D73">
              <w:t>%</w:t>
            </w:r>
          </w:p>
        </w:tc>
      </w:tr>
      <w:tr w:rsidR="009D0006" w:rsidRPr="003F4D73" w14:paraId="7C140504" w14:textId="77777777" w:rsidTr="000F0835">
        <w:trPr>
          <w:cnfStyle w:val="000000100000" w:firstRow="0" w:lastRow="0" w:firstColumn="0" w:lastColumn="0" w:oddVBand="0" w:evenVBand="0" w:oddHBand="1" w:evenHBand="0" w:firstRowFirstColumn="0" w:firstRowLastColumn="0" w:lastRowFirstColumn="0" w:lastRowLastColumn="0"/>
          <w:trHeight w:val="242"/>
        </w:trPr>
        <w:tc>
          <w:tcPr>
            <w:tcW w:w="6746" w:type="dxa"/>
            <w:noWrap/>
            <w:hideMark/>
          </w:tcPr>
          <w:p w14:paraId="744701E2" w14:textId="77777777" w:rsidR="009D0006" w:rsidRPr="001C226A" w:rsidRDefault="009D0006" w:rsidP="000F0835">
            <w:pPr>
              <w:pStyle w:val="Tabletext"/>
              <w:rPr>
                <w:color w:val="0D0D0D"/>
              </w:rPr>
            </w:pPr>
            <w:r w:rsidRPr="001C226A">
              <w:t>use the bathrooms that match my gender identity</w:t>
            </w:r>
          </w:p>
        </w:tc>
        <w:tc>
          <w:tcPr>
            <w:tcW w:w="1559" w:type="dxa"/>
          </w:tcPr>
          <w:p w14:paraId="63203CA7" w14:textId="77777777" w:rsidR="009D0006" w:rsidRPr="003F4D73" w:rsidRDefault="009D0006" w:rsidP="000F0835">
            <w:pPr>
              <w:pStyle w:val="Tabletext"/>
              <w:rPr>
                <w:color w:val="0D0D0D"/>
              </w:rPr>
            </w:pPr>
            <w:r>
              <w:rPr>
                <w:color w:val="0D0D0D"/>
              </w:rPr>
              <w:t>394</w:t>
            </w:r>
          </w:p>
        </w:tc>
        <w:tc>
          <w:tcPr>
            <w:tcW w:w="1559" w:type="dxa"/>
          </w:tcPr>
          <w:p w14:paraId="66C3AEC1" w14:textId="77777777" w:rsidR="009D0006" w:rsidRPr="003F4D73" w:rsidRDefault="009D0006" w:rsidP="000F0835">
            <w:pPr>
              <w:pStyle w:val="Tabletext"/>
              <w:rPr>
                <w:color w:val="0D0D0D"/>
              </w:rPr>
            </w:pPr>
            <w:r>
              <w:rPr>
                <w:color w:val="0D0D0D"/>
              </w:rPr>
              <w:t>39.9</w:t>
            </w:r>
          </w:p>
        </w:tc>
      </w:tr>
      <w:tr w:rsidR="009D0006" w:rsidRPr="003F4D73" w14:paraId="5FD06270" w14:textId="77777777" w:rsidTr="000F0835">
        <w:trPr>
          <w:cnfStyle w:val="000000010000" w:firstRow="0" w:lastRow="0" w:firstColumn="0" w:lastColumn="0" w:oddVBand="0" w:evenVBand="0" w:oddHBand="0" w:evenHBand="1" w:firstRowFirstColumn="0" w:firstRowLastColumn="0" w:lastRowFirstColumn="0" w:lastRowLastColumn="0"/>
          <w:trHeight w:val="242"/>
        </w:trPr>
        <w:tc>
          <w:tcPr>
            <w:tcW w:w="6746" w:type="dxa"/>
            <w:noWrap/>
            <w:hideMark/>
          </w:tcPr>
          <w:p w14:paraId="271161AA" w14:textId="77777777" w:rsidR="009D0006" w:rsidRPr="001C226A" w:rsidRDefault="009D0006" w:rsidP="000F0835">
            <w:pPr>
              <w:pStyle w:val="Tabletext"/>
              <w:rPr>
                <w:color w:val="0D0D0D"/>
                <w:lang w:val="en-US"/>
              </w:rPr>
            </w:pPr>
            <w:r w:rsidRPr="001C226A">
              <w:t>use my chosen name or pronouns</w:t>
            </w:r>
          </w:p>
        </w:tc>
        <w:tc>
          <w:tcPr>
            <w:tcW w:w="1559" w:type="dxa"/>
          </w:tcPr>
          <w:p w14:paraId="60DC904C" w14:textId="77777777" w:rsidR="009D0006" w:rsidRPr="003F4D73" w:rsidRDefault="009D0006" w:rsidP="000F0835">
            <w:pPr>
              <w:pStyle w:val="Tabletext"/>
              <w:rPr>
                <w:color w:val="0D0D0D"/>
              </w:rPr>
            </w:pPr>
            <w:r>
              <w:rPr>
                <w:color w:val="0D0D0D"/>
              </w:rPr>
              <w:t>530</w:t>
            </w:r>
          </w:p>
        </w:tc>
        <w:tc>
          <w:tcPr>
            <w:tcW w:w="1559" w:type="dxa"/>
          </w:tcPr>
          <w:p w14:paraId="08988FC6" w14:textId="77777777" w:rsidR="009D0006" w:rsidRPr="003F4D73" w:rsidRDefault="009D0006" w:rsidP="000F0835">
            <w:pPr>
              <w:pStyle w:val="Tabletext"/>
              <w:rPr>
                <w:color w:val="0D0D0D"/>
              </w:rPr>
            </w:pPr>
            <w:r>
              <w:rPr>
                <w:color w:val="0D0D0D"/>
              </w:rPr>
              <w:t>53.7</w:t>
            </w:r>
          </w:p>
        </w:tc>
      </w:tr>
    </w:tbl>
    <w:p w14:paraId="0FB08D23" w14:textId="77777777" w:rsidR="009D0006" w:rsidRDefault="009D0006" w:rsidP="00603068">
      <w:pPr>
        <w:spacing w:before="360"/>
      </w:pPr>
      <w:r>
        <w:t xml:space="preserve">Only 39.9% (n = 394) of </w:t>
      </w:r>
      <w:r w:rsidRPr="00542E35">
        <w:t xml:space="preserve">trans or gender diverse </w:t>
      </w:r>
      <w:r>
        <w:t>p</w:t>
      </w:r>
      <w:r w:rsidRPr="00542E35">
        <w:t xml:space="preserve">articipants with </w:t>
      </w:r>
      <w:r>
        <w:t xml:space="preserve">a </w:t>
      </w:r>
      <w:r w:rsidRPr="00542E35">
        <w:t xml:space="preserve">disability </w:t>
      </w:r>
      <w:r>
        <w:t>and who attended an educational setting felt safe to use the bathrooms that matched their gender identity. Participants who attended university felt the safest to use the bathrooms that matched their gender identity (53.2%; n = 142), followed by participants who attended TAFE (49.2%; n = 65). Less than one-third (26.9%; n = 130) of participants who attended secondary school felt safe to use the bathroom that matched their gender identity.</w:t>
      </w:r>
    </w:p>
    <w:p w14:paraId="03232307" w14:textId="77777777" w:rsidR="009D0006" w:rsidRPr="00542E35" w:rsidRDefault="009D0006" w:rsidP="00603068">
      <w:pPr>
        <w:spacing w:before="360"/>
      </w:pPr>
      <w:r>
        <w:t>Just over h</w:t>
      </w:r>
      <w:r>
        <w:lastRenderedPageBreak/>
        <w:t>alf (53.7%; n = 530) of trans or gender diverse participants with a disability and who attended an educational setting felt safe to use their chosen name or pronouns at their educational setting. Just over two-thirds (69.2%; n = 184) of participants who attended university felt safe to use their chosen name or pronouns, followed by participants who attended TAFE (58.3%; n = 77). Less than half (40.3%; n = 195) of those who attended a secondary school felt safe to use their chosen names or pronouns.</w:t>
      </w:r>
    </w:p>
    <w:p w14:paraId="76037691" w14:textId="4E3C98F3" w:rsidR="009D0006" w:rsidRPr="00BD62CA" w:rsidRDefault="009D0006" w:rsidP="00153892">
      <w:pPr>
        <w:pStyle w:val="Heading2Numbered"/>
      </w:pPr>
      <w:bookmarkStart w:id="436" w:name="_Toc40178134"/>
      <w:bookmarkStart w:id="437" w:name="_Toc40192121"/>
      <w:bookmarkStart w:id="438" w:name="_Toc45633233"/>
      <w:bookmarkStart w:id="439" w:name="_Toc58252077"/>
      <w:bookmarkStart w:id="440" w:name="_Toc115968557"/>
      <w:bookmarkStart w:id="441" w:name="_Toc119662423"/>
      <w:r>
        <w:t>Any missed</w:t>
      </w:r>
      <w:r w:rsidRPr="00BD62CA">
        <w:t xml:space="preserve"> days in the past 12 months</w:t>
      </w:r>
      <w:bookmarkEnd w:id="436"/>
      <w:bookmarkEnd w:id="437"/>
      <w:bookmarkEnd w:id="438"/>
      <w:bookmarkEnd w:id="439"/>
      <w:r w:rsidRPr="00BD62CA">
        <w:t xml:space="preserve"> – young people aged 14-21 years</w:t>
      </w:r>
      <w:bookmarkEnd w:id="440"/>
      <w:bookmarkEnd w:id="441"/>
    </w:p>
    <w:p w14:paraId="7DE88D43" w14:textId="77777777" w:rsidR="009D0006" w:rsidRPr="00BD62CA" w:rsidRDefault="009D0006" w:rsidP="009D0006">
      <w:r w:rsidRPr="00BD62CA">
        <w:t xml:space="preserve">Participants were asked how many days they had missed </w:t>
      </w:r>
      <w:r>
        <w:t>at</w:t>
      </w:r>
      <w:r w:rsidRPr="00BD62CA">
        <w:t xml:space="preserve"> their educational setting due to feeling unsafe or uncomfortable in the last 12 months. The wording of the question was tailored to those at secondary school</w:t>
      </w:r>
      <w:r>
        <w:t xml:space="preserve">, </w:t>
      </w:r>
      <w:r w:rsidRPr="00BD62CA">
        <w:t>TAFE and university</w:t>
      </w:r>
      <w:r>
        <w:t>. Responses were analysed according to whether participants had missed one or more days.</w:t>
      </w:r>
    </w:p>
    <w:p w14:paraId="5D804C88" w14:textId="10007B3C" w:rsidR="009D0006" w:rsidRDefault="009D0006" w:rsidP="00603068">
      <w:pPr>
        <w:pStyle w:val="Tableheading"/>
      </w:pPr>
      <w:bookmarkStart w:id="442" w:name="_Toc45633540"/>
      <w:bookmarkStart w:id="443" w:name="_Toc117062754"/>
      <w:bookmarkStart w:id="444" w:name="_Toc119651439"/>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36</w:t>
      </w:r>
      <w:r w:rsidRPr="00985828">
        <w:rPr>
          <w:bCs/>
          <w:sz w:val="18"/>
          <w:szCs w:val="18"/>
        </w:rPr>
        <w:fldChar w:fldCharType="end"/>
      </w:r>
      <w:r>
        <w:rPr>
          <w:bCs/>
        </w:rPr>
        <w:t>.1-36.4</w:t>
      </w:r>
      <w:r>
        <w:t>: Any missed days</w:t>
      </w:r>
      <w:r w:rsidRPr="00BD62CA">
        <w:t xml:space="preserve"> due to feeling unsafe or uncomfortable at their educational setting in the past 12 months </w:t>
      </w:r>
      <w:bookmarkEnd w:id="442"/>
      <w:r>
        <w:t>among young people with disability aged 14-21 years</w:t>
      </w:r>
      <w:bookmarkEnd w:id="443"/>
      <w:bookmarkEnd w:id="444"/>
    </w:p>
    <w:p w14:paraId="1E04EDBA" w14:textId="77777777" w:rsidR="009D0006" w:rsidRPr="005619E1" w:rsidRDefault="009D0006" w:rsidP="00603068">
      <w:pPr>
        <w:pStyle w:val="Tableheading"/>
      </w:pPr>
      <w:r>
        <w:t>Table 36.1 Secondary school</w:t>
      </w:r>
    </w:p>
    <w:tbl>
      <w:tblPr>
        <w:tblStyle w:val="RCTable"/>
        <w:tblW w:w="9864" w:type="dxa"/>
        <w:tblLook w:val="04A0" w:firstRow="1" w:lastRow="0" w:firstColumn="1" w:lastColumn="0" w:noHBand="0" w:noVBand="1"/>
      </w:tblPr>
      <w:tblGrid>
        <w:gridCol w:w="6746"/>
        <w:gridCol w:w="1559"/>
        <w:gridCol w:w="1559"/>
      </w:tblGrid>
      <w:tr w:rsidR="009D0006" w:rsidRPr="003F4D73" w14:paraId="48BEC4D4" w14:textId="77777777" w:rsidTr="000F083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E20B6C3" w14:textId="77777777" w:rsidR="009D0006" w:rsidRPr="003F4D73" w:rsidRDefault="009D0006" w:rsidP="000F0835">
            <w:pPr>
              <w:pStyle w:val="Tableheader"/>
            </w:pPr>
            <w:r>
              <w:t>One or more days missed</w:t>
            </w:r>
          </w:p>
        </w:tc>
        <w:tc>
          <w:tcPr>
            <w:tcW w:w="1559" w:type="dxa"/>
            <w:noWrap/>
            <w:hideMark/>
          </w:tcPr>
          <w:p w14:paraId="0810278B" w14:textId="77777777" w:rsidR="009D0006" w:rsidRPr="003F4D73" w:rsidRDefault="009D0006" w:rsidP="000F0835">
            <w:pPr>
              <w:pStyle w:val="Tableheader"/>
            </w:pPr>
            <w:r>
              <w:t>n</w:t>
            </w:r>
          </w:p>
        </w:tc>
        <w:tc>
          <w:tcPr>
            <w:tcW w:w="1559" w:type="dxa"/>
            <w:noWrap/>
            <w:hideMark/>
          </w:tcPr>
          <w:p w14:paraId="6EC9A4A8" w14:textId="77777777" w:rsidR="009D0006" w:rsidRPr="003F4D73" w:rsidRDefault="009D0006" w:rsidP="000F0835">
            <w:pPr>
              <w:pStyle w:val="Tableheader"/>
            </w:pPr>
            <w:r w:rsidRPr="003F4D73">
              <w:t>%</w:t>
            </w:r>
          </w:p>
        </w:tc>
      </w:tr>
      <w:tr w:rsidR="009D0006" w:rsidRPr="003F4D73" w14:paraId="6AC3E698" w14:textId="77777777" w:rsidTr="000F083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991E656" w14:textId="77777777" w:rsidR="009D0006" w:rsidRPr="003F4D73" w:rsidRDefault="009D0006" w:rsidP="000F0835">
            <w:pPr>
              <w:pStyle w:val="Tabletext"/>
            </w:pPr>
            <w:r>
              <w:t>No</w:t>
            </w:r>
          </w:p>
        </w:tc>
        <w:tc>
          <w:tcPr>
            <w:tcW w:w="1559" w:type="dxa"/>
            <w:noWrap/>
          </w:tcPr>
          <w:p w14:paraId="4D3E4B9B" w14:textId="77777777" w:rsidR="009D0006" w:rsidRPr="003F4D73" w:rsidRDefault="009D0006" w:rsidP="000F0835">
            <w:pPr>
              <w:pStyle w:val="Tabletext"/>
            </w:pPr>
            <w:r>
              <w:rPr>
                <w:color w:val="000000"/>
              </w:rPr>
              <w:t>574</w:t>
            </w:r>
          </w:p>
        </w:tc>
        <w:tc>
          <w:tcPr>
            <w:tcW w:w="1559" w:type="dxa"/>
            <w:noWrap/>
          </w:tcPr>
          <w:p w14:paraId="69E75565" w14:textId="77777777" w:rsidR="009D0006" w:rsidRPr="003F4D73" w:rsidRDefault="009D0006" w:rsidP="000F0835">
            <w:pPr>
              <w:pStyle w:val="Tabletext"/>
            </w:pPr>
            <w:r>
              <w:rPr>
                <w:color w:val="000000"/>
              </w:rPr>
              <w:t>49.1</w:t>
            </w:r>
          </w:p>
        </w:tc>
      </w:tr>
      <w:tr w:rsidR="009D0006" w:rsidRPr="003F4D73" w14:paraId="6F696E1E" w14:textId="77777777" w:rsidTr="000F083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8724C6D" w14:textId="77777777" w:rsidR="009D0006" w:rsidRPr="003F4D73" w:rsidRDefault="009D0006" w:rsidP="000F0835">
            <w:pPr>
              <w:pStyle w:val="Tabletext"/>
            </w:pPr>
            <w:r>
              <w:t>Yes</w:t>
            </w:r>
          </w:p>
        </w:tc>
        <w:tc>
          <w:tcPr>
            <w:tcW w:w="1559" w:type="dxa"/>
            <w:noWrap/>
          </w:tcPr>
          <w:p w14:paraId="53EAF16D" w14:textId="77777777" w:rsidR="009D0006" w:rsidRPr="003F4D73" w:rsidRDefault="009D0006" w:rsidP="000F0835">
            <w:pPr>
              <w:pStyle w:val="Tabletext"/>
            </w:pPr>
            <w:r>
              <w:rPr>
                <w:color w:val="000000"/>
              </w:rPr>
              <w:t>595</w:t>
            </w:r>
          </w:p>
        </w:tc>
        <w:tc>
          <w:tcPr>
            <w:tcW w:w="1559" w:type="dxa"/>
            <w:noWrap/>
          </w:tcPr>
          <w:p w14:paraId="773CB7F0" w14:textId="77777777" w:rsidR="009D0006" w:rsidRPr="003F4D73" w:rsidRDefault="009D0006" w:rsidP="000F0835">
            <w:pPr>
              <w:pStyle w:val="Tabletext"/>
            </w:pPr>
            <w:r>
              <w:rPr>
                <w:color w:val="000000"/>
              </w:rPr>
              <w:t>50.9</w:t>
            </w:r>
          </w:p>
        </w:tc>
      </w:tr>
    </w:tbl>
    <w:p w14:paraId="3AB25F86" w14:textId="77777777" w:rsidR="009D0006" w:rsidRDefault="009D0006" w:rsidP="00603068">
      <w:pPr>
        <w:pStyle w:val="Tableheading"/>
      </w:pPr>
      <w:r>
        <w:t>Table 36.2 TAFE</w:t>
      </w:r>
    </w:p>
    <w:tbl>
      <w:tblPr>
        <w:tblStyle w:val="RCTable"/>
        <w:tblW w:w="9864" w:type="dxa"/>
        <w:tblLook w:val="04A0" w:firstRow="1" w:lastRow="0" w:firstColumn="1" w:lastColumn="0" w:noHBand="0" w:noVBand="1"/>
      </w:tblPr>
      <w:tblGrid>
        <w:gridCol w:w="6746"/>
        <w:gridCol w:w="1559"/>
        <w:gridCol w:w="1559"/>
      </w:tblGrid>
      <w:tr w:rsidR="009D0006" w:rsidRPr="003F4D73" w14:paraId="07BD64EF" w14:textId="77777777" w:rsidTr="000F083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8075D70" w14:textId="77777777" w:rsidR="009D0006" w:rsidRPr="003F4D73" w:rsidRDefault="009D0006" w:rsidP="000F0835">
            <w:pPr>
              <w:pStyle w:val="Tableheader"/>
            </w:pPr>
            <w:r>
              <w:t>One or more days missed</w:t>
            </w:r>
          </w:p>
        </w:tc>
        <w:tc>
          <w:tcPr>
            <w:tcW w:w="1559" w:type="dxa"/>
            <w:hideMark/>
          </w:tcPr>
          <w:p w14:paraId="7D986FA5" w14:textId="77777777" w:rsidR="009D0006" w:rsidRPr="003F4D73" w:rsidRDefault="009D0006" w:rsidP="000F0835">
            <w:pPr>
              <w:pStyle w:val="Tableheader"/>
            </w:pPr>
            <w:r>
              <w:t>n</w:t>
            </w:r>
          </w:p>
        </w:tc>
        <w:tc>
          <w:tcPr>
            <w:tcW w:w="1559" w:type="dxa"/>
            <w:hideMark/>
          </w:tcPr>
          <w:p w14:paraId="5C00049A" w14:textId="77777777" w:rsidR="009D0006" w:rsidRPr="003F4D73" w:rsidRDefault="009D0006" w:rsidP="000F0835">
            <w:pPr>
              <w:pStyle w:val="Tableheader"/>
            </w:pPr>
            <w:r w:rsidRPr="003F4D73">
              <w:t>%</w:t>
            </w:r>
          </w:p>
        </w:tc>
      </w:tr>
      <w:tr w:rsidR="009D0006" w:rsidRPr="003F4D73" w14:paraId="304C584B" w14:textId="77777777" w:rsidTr="000F083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7D5E843" w14:textId="77777777" w:rsidR="009D0006" w:rsidRPr="003F4D73" w:rsidRDefault="009D0006" w:rsidP="000F0835">
            <w:pPr>
              <w:pStyle w:val="Tabletext"/>
            </w:pPr>
            <w:r>
              <w:t>No</w:t>
            </w:r>
          </w:p>
        </w:tc>
        <w:tc>
          <w:tcPr>
            <w:tcW w:w="1559" w:type="dxa"/>
          </w:tcPr>
          <w:p w14:paraId="343C1819" w14:textId="77777777" w:rsidR="009D0006" w:rsidRPr="003F4D73" w:rsidRDefault="009D0006" w:rsidP="000F0835">
            <w:pPr>
              <w:pStyle w:val="Tabletext"/>
            </w:pPr>
            <w:r>
              <w:rPr>
                <w:color w:val="000000"/>
              </w:rPr>
              <w:t>105</w:t>
            </w:r>
          </w:p>
        </w:tc>
        <w:tc>
          <w:tcPr>
            <w:tcW w:w="1559" w:type="dxa"/>
          </w:tcPr>
          <w:p w14:paraId="0075550C" w14:textId="77777777" w:rsidR="009D0006" w:rsidRPr="003F4D73" w:rsidRDefault="009D0006" w:rsidP="000F0835">
            <w:pPr>
              <w:pStyle w:val="Tabletext"/>
            </w:pPr>
            <w:r>
              <w:rPr>
                <w:color w:val="000000"/>
              </w:rPr>
              <w:t>59.0</w:t>
            </w:r>
          </w:p>
        </w:tc>
      </w:tr>
      <w:tr w:rsidR="009D0006" w:rsidRPr="003F4D73" w14:paraId="0B025D72" w14:textId="77777777" w:rsidTr="000F083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BE41228" w14:textId="77777777" w:rsidR="009D0006" w:rsidRPr="003F4D73" w:rsidRDefault="009D0006" w:rsidP="000F0835">
            <w:pPr>
              <w:pStyle w:val="Tabletext"/>
            </w:pPr>
            <w:r>
              <w:t>Yes</w:t>
            </w:r>
          </w:p>
        </w:tc>
        <w:tc>
          <w:tcPr>
            <w:tcW w:w="1559" w:type="dxa"/>
          </w:tcPr>
          <w:p w14:paraId="779976DC" w14:textId="77777777" w:rsidR="009D0006" w:rsidRPr="003F4D73" w:rsidRDefault="009D0006" w:rsidP="000F0835">
            <w:pPr>
              <w:pStyle w:val="Tabletext"/>
            </w:pPr>
            <w:r>
              <w:rPr>
                <w:color w:val="000000"/>
              </w:rPr>
              <w:t>73</w:t>
            </w:r>
          </w:p>
        </w:tc>
        <w:tc>
          <w:tcPr>
            <w:tcW w:w="1559" w:type="dxa"/>
          </w:tcPr>
          <w:p w14:paraId="5571D4ED" w14:textId="77777777" w:rsidR="009D0006" w:rsidRPr="003F4D73" w:rsidRDefault="009D0006" w:rsidP="000F0835">
            <w:pPr>
              <w:pStyle w:val="Tabletext"/>
            </w:pPr>
            <w:r>
              <w:rPr>
                <w:color w:val="000000"/>
              </w:rPr>
              <w:t>41.0</w:t>
            </w:r>
          </w:p>
        </w:tc>
      </w:tr>
    </w:tbl>
    <w:p w14:paraId="74C78D9E" w14:textId="77777777" w:rsidR="009D0006" w:rsidRDefault="009D0006" w:rsidP="00603068">
      <w:pPr>
        <w:pStyle w:val="Tableheading"/>
      </w:pPr>
      <w:r>
        <w:t>Table 36.3 University</w:t>
      </w:r>
    </w:p>
    <w:tbl>
      <w:tblPr>
        <w:tblStyle w:val="RCTable"/>
        <w:tblW w:w="9864" w:type="dxa"/>
        <w:tblLook w:val="04A0" w:firstRow="1" w:lastRow="0" w:firstColumn="1" w:lastColumn="0" w:noHBand="0" w:noVBand="1"/>
      </w:tblPr>
      <w:tblGrid>
        <w:gridCol w:w="6746"/>
        <w:gridCol w:w="1559"/>
        <w:gridCol w:w="1559"/>
      </w:tblGrid>
      <w:tr w:rsidR="009D0006" w:rsidRPr="003F4D73" w14:paraId="45EB9BB2" w14:textId="77777777" w:rsidTr="000F083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690D0E0" w14:textId="77777777" w:rsidR="009D0006" w:rsidRPr="003F4D73" w:rsidRDefault="009D0006" w:rsidP="000F0835">
            <w:pPr>
              <w:pStyle w:val="Tableheader"/>
            </w:pPr>
            <w:r>
              <w:t>One or more days missed</w:t>
            </w:r>
          </w:p>
        </w:tc>
        <w:tc>
          <w:tcPr>
            <w:tcW w:w="1559" w:type="dxa"/>
            <w:noWrap/>
            <w:hideMark/>
          </w:tcPr>
          <w:p w14:paraId="1CA9D933" w14:textId="77777777" w:rsidR="009D0006" w:rsidRPr="003F4D73" w:rsidRDefault="009D0006" w:rsidP="000F0835">
            <w:pPr>
              <w:pStyle w:val="Tableheader"/>
            </w:pPr>
            <w:r>
              <w:t>n</w:t>
            </w:r>
          </w:p>
        </w:tc>
        <w:tc>
          <w:tcPr>
            <w:tcW w:w="1559" w:type="dxa"/>
            <w:noWrap/>
            <w:hideMark/>
          </w:tcPr>
          <w:p w14:paraId="3AFE395E" w14:textId="77777777" w:rsidR="009D0006" w:rsidRPr="003F4D73" w:rsidRDefault="009D0006" w:rsidP="000F0835">
            <w:pPr>
              <w:pStyle w:val="Tableheader"/>
            </w:pPr>
            <w:r w:rsidRPr="003F4D73">
              <w:t>%</w:t>
            </w:r>
          </w:p>
        </w:tc>
      </w:tr>
      <w:tr w:rsidR="009D0006" w:rsidRPr="003F4D73" w14:paraId="25525A5E" w14:textId="77777777" w:rsidTr="000F083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AC0DF9D" w14:textId="77777777" w:rsidR="009D0006" w:rsidRPr="003F4D73" w:rsidRDefault="009D0006" w:rsidP="000F0835">
            <w:pPr>
              <w:pStyle w:val="Tabletext"/>
            </w:pPr>
            <w:r>
              <w:t>No</w:t>
            </w:r>
          </w:p>
        </w:tc>
        <w:tc>
          <w:tcPr>
            <w:tcW w:w="1559" w:type="dxa"/>
            <w:noWrap/>
          </w:tcPr>
          <w:p w14:paraId="544F9613" w14:textId="77777777" w:rsidR="009D0006" w:rsidRPr="003F4D73" w:rsidRDefault="009D0006" w:rsidP="000F0835">
            <w:pPr>
              <w:pStyle w:val="Tabletext"/>
            </w:pPr>
            <w:r>
              <w:rPr>
                <w:color w:val="000000"/>
              </w:rPr>
              <w:t>426</w:t>
            </w:r>
          </w:p>
        </w:tc>
        <w:tc>
          <w:tcPr>
            <w:tcW w:w="1559" w:type="dxa"/>
            <w:noWrap/>
          </w:tcPr>
          <w:p w14:paraId="0C3D437A" w14:textId="77777777" w:rsidR="009D0006" w:rsidRPr="003F4D73" w:rsidRDefault="009D0006" w:rsidP="000F0835">
            <w:pPr>
              <w:pStyle w:val="Tabletext"/>
            </w:pPr>
            <w:r>
              <w:rPr>
                <w:color w:val="000000"/>
              </w:rPr>
              <w:t>73.4</w:t>
            </w:r>
          </w:p>
        </w:tc>
      </w:tr>
      <w:tr w:rsidR="009D0006" w:rsidRPr="003F4D73" w14:paraId="34CEF384" w14:textId="77777777" w:rsidTr="000F083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36180B8" w14:textId="77777777" w:rsidR="009D0006" w:rsidRPr="003F4D73" w:rsidRDefault="009D0006" w:rsidP="000F0835">
            <w:pPr>
              <w:pStyle w:val="Tabletext"/>
            </w:pPr>
            <w:r>
              <w:t>Yes</w:t>
            </w:r>
          </w:p>
        </w:tc>
        <w:tc>
          <w:tcPr>
            <w:tcW w:w="1559" w:type="dxa"/>
            <w:noWrap/>
          </w:tcPr>
          <w:p w14:paraId="2E93F201" w14:textId="77777777" w:rsidR="009D0006" w:rsidRPr="003F4D73" w:rsidRDefault="009D0006" w:rsidP="000F0835">
            <w:pPr>
              <w:pStyle w:val="Tabletext"/>
            </w:pPr>
            <w:r>
              <w:rPr>
                <w:color w:val="000000"/>
              </w:rPr>
              <w:t>154</w:t>
            </w:r>
          </w:p>
        </w:tc>
        <w:tc>
          <w:tcPr>
            <w:tcW w:w="1559" w:type="dxa"/>
            <w:noWrap/>
          </w:tcPr>
          <w:p w14:paraId="7CB7DE0F" w14:textId="77777777" w:rsidR="009D0006" w:rsidRPr="003F4D73" w:rsidRDefault="009D0006" w:rsidP="000F0835">
            <w:pPr>
              <w:pStyle w:val="Tabletext"/>
            </w:pPr>
            <w:r>
              <w:rPr>
                <w:color w:val="000000"/>
              </w:rPr>
              <w:t>26.6</w:t>
            </w:r>
          </w:p>
        </w:tc>
      </w:tr>
    </w:tbl>
    <w:p w14:paraId="68DC6CAF" w14:textId="77777777" w:rsidR="004E2605" w:rsidRDefault="004E2605">
      <w:pPr>
        <w:spacing w:before="0"/>
        <w:rPr>
          <w:rFonts w:eastAsiaTheme="majorEastAsia" w:cstheme="majorBidi"/>
          <w:b/>
          <w:color w:val="000000" w:themeColor="text1"/>
        </w:rPr>
      </w:pPr>
      <w:r>
        <w:br w:type="page"/>
      </w:r>
    </w:p>
    <w:p w14:paraId="0260D16B" w14:textId="7D48B1DD" w:rsidR="009D0006" w:rsidRDefault="009D0006" w:rsidP="00603068">
      <w:pPr>
        <w:pStyle w:val="Tableheading"/>
      </w:pPr>
      <w:r>
        <w:t xml:space="preserve">Table 36.4 </w:t>
      </w:r>
      <w:r>
        <w:lastRenderedPageBreak/>
        <w:t>Total</w:t>
      </w:r>
    </w:p>
    <w:tbl>
      <w:tblPr>
        <w:tblStyle w:val="RCTable"/>
        <w:tblW w:w="9864" w:type="dxa"/>
        <w:tblLook w:val="04A0" w:firstRow="1" w:lastRow="0" w:firstColumn="1" w:lastColumn="0" w:noHBand="0" w:noVBand="1"/>
      </w:tblPr>
      <w:tblGrid>
        <w:gridCol w:w="6746"/>
        <w:gridCol w:w="1559"/>
        <w:gridCol w:w="1559"/>
      </w:tblGrid>
      <w:tr w:rsidR="009D0006" w:rsidRPr="003F4D73" w14:paraId="0568069B" w14:textId="77777777" w:rsidTr="00FD139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74EADC4" w14:textId="77777777" w:rsidR="009D0006" w:rsidRPr="003F4D73" w:rsidRDefault="009D0006" w:rsidP="00FD1390">
            <w:pPr>
              <w:pStyle w:val="Tableheader"/>
            </w:pPr>
            <w:r>
              <w:t>One or more days missed</w:t>
            </w:r>
          </w:p>
        </w:tc>
        <w:tc>
          <w:tcPr>
            <w:tcW w:w="1559" w:type="dxa"/>
            <w:hideMark/>
          </w:tcPr>
          <w:p w14:paraId="006D2561" w14:textId="77777777" w:rsidR="009D0006" w:rsidRPr="003F4D73" w:rsidRDefault="009D0006" w:rsidP="00FD1390">
            <w:pPr>
              <w:pStyle w:val="Tableheader"/>
            </w:pPr>
            <w:r>
              <w:t>n</w:t>
            </w:r>
          </w:p>
        </w:tc>
        <w:tc>
          <w:tcPr>
            <w:tcW w:w="1559" w:type="dxa"/>
            <w:hideMark/>
          </w:tcPr>
          <w:p w14:paraId="763FB74D" w14:textId="77777777" w:rsidR="009D0006" w:rsidRPr="003F4D73" w:rsidRDefault="009D0006" w:rsidP="00FD1390">
            <w:pPr>
              <w:pStyle w:val="Tableheader"/>
            </w:pPr>
            <w:r w:rsidRPr="003F4D73">
              <w:t>%</w:t>
            </w:r>
          </w:p>
        </w:tc>
      </w:tr>
      <w:tr w:rsidR="009D0006" w:rsidRPr="003F4D73" w14:paraId="524DF5AD" w14:textId="77777777" w:rsidTr="00FD139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2D20A1B" w14:textId="77777777" w:rsidR="009D0006" w:rsidRPr="003F4D73" w:rsidRDefault="009D0006" w:rsidP="00FD1390">
            <w:pPr>
              <w:pStyle w:val="Tabletext"/>
            </w:pPr>
            <w:r>
              <w:t>No</w:t>
            </w:r>
          </w:p>
        </w:tc>
        <w:tc>
          <w:tcPr>
            <w:tcW w:w="1559" w:type="dxa"/>
          </w:tcPr>
          <w:p w14:paraId="4EDA5E36" w14:textId="77777777" w:rsidR="009D0006" w:rsidRPr="003F4D73" w:rsidRDefault="009D0006" w:rsidP="00FD1390">
            <w:pPr>
              <w:pStyle w:val="Tabletext"/>
            </w:pPr>
            <w:r>
              <w:rPr>
                <w:color w:val="000000"/>
              </w:rPr>
              <w:t>1205</w:t>
            </w:r>
          </w:p>
        </w:tc>
        <w:tc>
          <w:tcPr>
            <w:tcW w:w="1559" w:type="dxa"/>
          </w:tcPr>
          <w:p w14:paraId="2A5D247F" w14:textId="77777777" w:rsidR="009D0006" w:rsidRPr="003F4D73" w:rsidRDefault="009D0006" w:rsidP="00FD1390">
            <w:pPr>
              <w:pStyle w:val="Tabletext"/>
            </w:pPr>
            <w:r>
              <w:rPr>
                <w:color w:val="000000"/>
              </w:rPr>
              <w:t>57.0</w:t>
            </w:r>
          </w:p>
        </w:tc>
      </w:tr>
      <w:tr w:rsidR="009D0006" w:rsidRPr="003F4D73" w14:paraId="41AE5853" w14:textId="77777777" w:rsidTr="00FD139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3D6CA03" w14:textId="77777777" w:rsidR="009D0006" w:rsidRPr="003F4D73" w:rsidRDefault="009D0006" w:rsidP="00FD1390">
            <w:pPr>
              <w:pStyle w:val="Tabletext"/>
            </w:pPr>
            <w:r>
              <w:t>Yes</w:t>
            </w:r>
          </w:p>
        </w:tc>
        <w:tc>
          <w:tcPr>
            <w:tcW w:w="1559" w:type="dxa"/>
          </w:tcPr>
          <w:p w14:paraId="3210989A" w14:textId="77777777" w:rsidR="009D0006" w:rsidRPr="003F4D73" w:rsidRDefault="009D0006" w:rsidP="00FD1390">
            <w:pPr>
              <w:pStyle w:val="Tabletext"/>
            </w:pPr>
            <w:r>
              <w:rPr>
                <w:color w:val="000000"/>
              </w:rPr>
              <w:t>910</w:t>
            </w:r>
          </w:p>
        </w:tc>
        <w:tc>
          <w:tcPr>
            <w:tcW w:w="1559" w:type="dxa"/>
          </w:tcPr>
          <w:p w14:paraId="41BB18AC" w14:textId="77777777" w:rsidR="009D0006" w:rsidRPr="003F4D73" w:rsidRDefault="009D0006" w:rsidP="00FD1390">
            <w:pPr>
              <w:pStyle w:val="Tabletext"/>
            </w:pPr>
            <w:r>
              <w:rPr>
                <w:color w:val="000000"/>
              </w:rPr>
              <w:t>43.0</w:t>
            </w:r>
          </w:p>
        </w:tc>
      </w:tr>
    </w:tbl>
    <w:p w14:paraId="23DA2D0B" w14:textId="77777777" w:rsidR="009D0006" w:rsidRPr="007431EA" w:rsidRDefault="009D0006" w:rsidP="00603068">
      <w:pPr>
        <w:spacing w:before="360"/>
      </w:pPr>
      <w:r>
        <w:t xml:space="preserve">As displayed in Table 36.1-36.4, </w:t>
      </w:r>
      <w:r w:rsidRPr="00542E35">
        <w:t>43.0%</w:t>
      </w:r>
      <w:r>
        <w:t xml:space="preserve"> (n = 910)</w:t>
      </w:r>
      <w:r w:rsidRPr="00542E35">
        <w:t xml:space="preserve"> of participants </w:t>
      </w:r>
      <w:r>
        <w:t xml:space="preserve">with a disability in </w:t>
      </w:r>
      <w:r>
        <w:rPr>
          <w:i/>
          <w:iCs/>
        </w:rPr>
        <w:t>Writing Themselves In 4</w:t>
      </w:r>
      <w:r>
        <w:t xml:space="preserve"> had missed at least one day of school, TAFE or university in the past 12 months. The highest proportion of participants who had missed days at their educational setting was among those who attended secondary school (50.9%; n = 595), followed by participants who attended TAFE (41.0%; n = 73), and was lowest among participants who attended university (26.6%; n = 154).</w:t>
      </w:r>
      <w:bookmarkStart w:id="445" w:name="_Toc58252078"/>
    </w:p>
    <w:p w14:paraId="6113CF75" w14:textId="05C47959" w:rsidR="009D0006" w:rsidRPr="008E542F" w:rsidRDefault="009D0006" w:rsidP="00153892">
      <w:pPr>
        <w:pStyle w:val="Heading3Numbered"/>
      </w:pPr>
      <w:bookmarkStart w:id="446" w:name="_Toc115968558"/>
      <w:r>
        <w:t>Any missed days</w:t>
      </w:r>
      <w:r w:rsidRPr="008E542F">
        <w:t xml:space="preserve"> in past 12 months by </w:t>
      </w:r>
      <w:bookmarkEnd w:id="445"/>
      <w:r w:rsidRPr="008E542F">
        <w:t>disability – young people aged 14-21 years</w:t>
      </w:r>
      <w:bookmarkEnd w:id="446"/>
    </w:p>
    <w:p w14:paraId="500AADD8" w14:textId="6CA4CF74" w:rsidR="009D0006" w:rsidRDefault="009D0006" w:rsidP="00603068">
      <w:pPr>
        <w:pStyle w:val="Tableheading"/>
      </w:pPr>
      <w:bookmarkStart w:id="447" w:name="_Toc117062755"/>
      <w:bookmarkStart w:id="448" w:name="_Toc119651440"/>
      <w:r w:rsidRPr="00FA6F3B">
        <w:rPr>
          <w:bCs/>
        </w:rPr>
        <w:t xml:space="preserve">Table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37</w:t>
      </w:r>
      <w:r w:rsidRPr="00985828">
        <w:rPr>
          <w:bCs/>
          <w:sz w:val="18"/>
          <w:szCs w:val="18"/>
        </w:rPr>
        <w:fldChar w:fldCharType="end"/>
      </w:r>
      <w:r>
        <w:t xml:space="preserve">: </w:t>
      </w:r>
      <w:r w:rsidRPr="00BD62CA">
        <w:t>Any missed day</w:t>
      </w:r>
      <w:r>
        <w:t>s</w:t>
      </w:r>
      <w:r w:rsidRPr="00BD62CA">
        <w:t xml:space="preserve"> due to feeling unsafe or uncomfortable at their educational setting in the past 12 months</w:t>
      </w:r>
      <w:r>
        <w:t xml:space="preserve"> among young people aged 14-21 years, grouped</w:t>
      </w:r>
      <w:r w:rsidRPr="00BD62CA">
        <w:t xml:space="preserve"> by </w:t>
      </w:r>
      <w:r>
        <w:t>disability</w:t>
      </w:r>
      <w:bookmarkEnd w:id="447"/>
      <w:bookmarkEnd w:id="448"/>
    </w:p>
    <w:p w14:paraId="44BC185A" w14:textId="77777777" w:rsidR="009D0006" w:rsidRPr="00AC50A3" w:rsidRDefault="009D0006" w:rsidP="00603068">
      <w:pPr>
        <w:pStyle w:val="Tableheading"/>
      </w:pPr>
      <w:r>
        <w:t>Table 37.1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11472DC1"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7EFF0936" w14:textId="77777777" w:rsidR="009D0006" w:rsidRPr="009D09A5" w:rsidRDefault="009D0006" w:rsidP="00FD1390">
            <w:pPr>
              <w:pStyle w:val="Tableheader"/>
            </w:pPr>
            <w:r w:rsidRPr="009D09A5">
              <w:t>One or more days missed</w:t>
            </w:r>
          </w:p>
        </w:tc>
        <w:tc>
          <w:tcPr>
            <w:tcW w:w="1559" w:type="dxa"/>
            <w:noWrap/>
          </w:tcPr>
          <w:p w14:paraId="191158A0" w14:textId="77777777" w:rsidR="009D0006" w:rsidRPr="009D09A5" w:rsidRDefault="009D0006" w:rsidP="00FD1390">
            <w:pPr>
              <w:pStyle w:val="Tableheader"/>
            </w:pPr>
            <w:r w:rsidRPr="009D09A5">
              <w:t>n</w:t>
            </w:r>
          </w:p>
        </w:tc>
        <w:tc>
          <w:tcPr>
            <w:tcW w:w="1559" w:type="dxa"/>
            <w:noWrap/>
          </w:tcPr>
          <w:p w14:paraId="4981BD47" w14:textId="77777777" w:rsidR="009D0006" w:rsidRPr="009D09A5" w:rsidRDefault="009D0006" w:rsidP="00FD1390">
            <w:pPr>
              <w:pStyle w:val="Tableheader"/>
            </w:pPr>
            <w:r w:rsidRPr="009D09A5">
              <w:t>%</w:t>
            </w:r>
          </w:p>
        </w:tc>
      </w:tr>
      <w:tr w:rsidR="009D0006" w:rsidRPr="002B6A0A" w14:paraId="26E5F303"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2B2FA3C" w14:textId="77777777" w:rsidR="009D0006" w:rsidRPr="002B6A0A" w:rsidRDefault="009D0006" w:rsidP="00FD1390">
            <w:pPr>
              <w:pStyle w:val="Tabletext"/>
            </w:pPr>
            <w:r w:rsidRPr="002B6A0A">
              <w:t>No</w:t>
            </w:r>
          </w:p>
        </w:tc>
        <w:tc>
          <w:tcPr>
            <w:tcW w:w="1559" w:type="dxa"/>
            <w:noWrap/>
          </w:tcPr>
          <w:p w14:paraId="5736C7AE" w14:textId="77777777" w:rsidR="009D0006" w:rsidRPr="002B6A0A" w:rsidRDefault="009D0006" w:rsidP="00FD1390">
            <w:pPr>
              <w:pStyle w:val="Tabletext"/>
            </w:pPr>
            <w:r w:rsidRPr="002B6A0A">
              <w:rPr>
                <w:color w:val="000000"/>
              </w:rPr>
              <w:t>679</w:t>
            </w:r>
          </w:p>
        </w:tc>
        <w:tc>
          <w:tcPr>
            <w:tcW w:w="1559" w:type="dxa"/>
            <w:noWrap/>
          </w:tcPr>
          <w:p w14:paraId="6B975006" w14:textId="77777777" w:rsidR="009D0006" w:rsidRPr="002B6A0A" w:rsidRDefault="009D0006" w:rsidP="00FD1390">
            <w:pPr>
              <w:pStyle w:val="Tabletext"/>
            </w:pPr>
            <w:r w:rsidRPr="002B6A0A">
              <w:rPr>
                <w:color w:val="000000"/>
              </w:rPr>
              <w:t>56.5</w:t>
            </w:r>
          </w:p>
        </w:tc>
      </w:tr>
      <w:tr w:rsidR="009D0006" w:rsidRPr="002B6A0A" w14:paraId="71C6A782"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EA8853E" w14:textId="77777777" w:rsidR="009D0006" w:rsidRPr="002B6A0A" w:rsidRDefault="009D0006" w:rsidP="00FD1390">
            <w:pPr>
              <w:pStyle w:val="Tabletext"/>
            </w:pPr>
            <w:r w:rsidRPr="002B6A0A">
              <w:t>Yes</w:t>
            </w:r>
          </w:p>
        </w:tc>
        <w:tc>
          <w:tcPr>
            <w:tcW w:w="1559" w:type="dxa"/>
            <w:noWrap/>
          </w:tcPr>
          <w:p w14:paraId="020C7C7C" w14:textId="77777777" w:rsidR="009D0006" w:rsidRPr="002B6A0A" w:rsidRDefault="009D0006" w:rsidP="00FD1390">
            <w:pPr>
              <w:pStyle w:val="Tabletext"/>
            </w:pPr>
            <w:r w:rsidRPr="002B6A0A">
              <w:rPr>
                <w:color w:val="000000"/>
              </w:rPr>
              <w:t>522</w:t>
            </w:r>
          </w:p>
        </w:tc>
        <w:tc>
          <w:tcPr>
            <w:tcW w:w="1559" w:type="dxa"/>
            <w:noWrap/>
          </w:tcPr>
          <w:p w14:paraId="3410562C" w14:textId="77777777" w:rsidR="009D0006" w:rsidRPr="002B6A0A" w:rsidRDefault="009D0006" w:rsidP="00FD1390">
            <w:pPr>
              <w:pStyle w:val="Tabletext"/>
            </w:pPr>
            <w:r w:rsidRPr="002B6A0A">
              <w:rPr>
                <w:color w:val="000000"/>
              </w:rPr>
              <w:t>43.5</w:t>
            </w:r>
          </w:p>
        </w:tc>
      </w:tr>
    </w:tbl>
    <w:p w14:paraId="6D1508AE" w14:textId="77777777" w:rsidR="009D0006" w:rsidRDefault="009D0006" w:rsidP="00603068">
      <w:pPr>
        <w:pStyle w:val="Tableheading"/>
        <w:rPr>
          <w:lang w:val="en-GB"/>
        </w:rPr>
      </w:pPr>
      <w:r>
        <w:rPr>
          <w:lang w:val="en-GB"/>
        </w:rPr>
        <w:t>Table 37.2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D09A5" w14:paraId="333FFD4F"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5AFAEF20" w14:textId="77777777" w:rsidR="009D0006" w:rsidRPr="009D09A5" w:rsidRDefault="009D0006" w:rsidP="00FD1390">
            <w:pPr>
              <w:pStyle w:val="Tableheader"/>
            </w:pPr>
            <w:r w:rsidRPr="009D09A5">
              <w:t>One or more days missed</w:t>
            </w:r>
          </w:p>
        </w:tc>
        <w:tc>
          <w:tcPr>
            <w:tcW w:w="1559" w:type="dxa"/>
          </w:tcPr>
          <w:p w14:paraId="67B47876" w14:textId="77777777" w:rsidR="009D0006" w:rsidRPr="009D09A5" w:rsidRDefault="009D0006" w:rsidP="00FD1390">
            <w:pPr>
              <w:pStyle w:val="Tableheader"/>
            </w:pPr>
            <w:r w:rsidRPr="009D09A5">
              <w:t>n</w:t>
            </w:r>
          </w:p>
        </w:tc>
        <w:tc>
          <w:tcPr>
            <w:tcW w:w="1559" w:type="dxa"/>
          </w:tcPr>
          <w:p w14:paraId="117E3EE8" w14:textId="77777777" w:rsidR="009D0006" w:rsidRPr="009D09A5" w:rsidRDefault="009D0006" w:rsidP="00FD1390">
            <w:pPr>
              <w:pStyle w:val="Tableheader"/>
            </w:pPr>
            <w:r w:rsidRPr="009D09A5">
              <w:t>%</w:t>
            </w:r>
          </w:p>
        </w:tc>
      </w:tr>
      <w:tr w:rsidR="009D0006" w:rsidRPr="002B6A0A" w14:paraId="58267BDE"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8E58DED" w14:textId="77777777" w:rsidR="009D0006" w:rsidRPr="002B6A0A" w:rsidRDefault="009D0006" w:rsidP="00FD1390">
            <w:pPr>
              <w:pStyle w:val="Tabletext"/>
            </w:pPr>
            <w:r w:rsidRPr="002B6A0A">
              <w:t>No</w:t>
            </w:r>
          </w:p>
        </w:tc>
        <w:tc>
          <w:tcPr>
            <w:tcW w:w="1559" w:type="dxa"/>
          </w:tcPr>
          <w:p w14:paraId="598288D9" w14:textId="77777777" w:rsidR="009D0006" w:rsidRPr="002B6A0A" w:rsidRDefault="009D0006" w:rsidP="00FD1390">
            <w:pPr>
              <w:pStyle w:val="Tabletext"/>
            </w:pPr>
            <w:r w:rsidRPr="002B6A0A">
              <w:rPr>
                <w:color w:val="000000"/>
              </w:rPr>
              <w:t>2202</w:t>
            </w:r>
          </w:p>
        </w:tc>
        <w:tc>
          <w:tcPr>
            <w:tcW w:w="1559" w:type="dxa"/>
          </w:tcPr>
          <w:p w14:paraId="7FC8DF2B" w14:textId="77777777" w:rsidR="009D0006" w:rsidRPr="002B6A0A" w:rsidRDefault="009D0006" w:rsidP="00FD1390">
            <w:pPr>
              <w:pStyle w:val="Tabletext"/>
            </w:pPr>
            <w:r w:rsidRPr="002B6A0A">
              <w:rPr>
                <w:color w:val="000000"/>
              </w:rPr>
              <w:t>74.6</w:t>
            </w:r>
          </w:p>
        </w:tc>
      </w:tr>
      <w:tr w:rsidR="009D0006" w:rsidRPr="002B6A0A" w14:paraId="4EF5F8D9"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76AC83E" w14:textId="77777777" w:rsidR="009D0006" w:rsidRPr="002B6A0A" w:rsidRDefault="009D0006" w:rsidP="00FD1390">
            <w:pPr>
              <w:pStyle w:val="Tabletext"/>
            </w:pPr>
            <w:r w:rsidRPr="002B6A0A">
              <w:t>Yes</w:t>
            </w:r>
          </w:p>
        </w:tc>
        <w:tc>
          <w:tcPr>
            <w:tcW w:w="1559" w:type="dxa"/>
          </w:tcPr>
          <w:p w14:paraId="3690CF23" w14:textId="77777777" w:rsidR="009D0006" w:rsidRPr="002B6A0A" w:rsidRDefault="009D0006" w:rsidP="00FD1390">
            <w:pPr>
              <w:pStyle w:val="Tabletext"/>
            </w:pPr>
            <w:r w:rsidRPr="002B6A0A">
              <w:rPr>
                <w:color w:val="000000"/>
              </w:rPr>
              <w:t>748</w:t>
            </w:r>
          </w:p>
        </w:tc>
        <w:tc>
          <w:tcPr>
            <w:tcW w:w="1559" w:type="dxa"/>
          </w:tcPr>
          <w:p w14:paraId="6C6738AB" w14:textId="77777777" w:rsidR="009D0006" w:rsidRPr="002B6A0A" w:rsidRDefault="009D0006" w:rsidP="00FD1390">
            <w:pPr>
              <w:pStyle w:val="Tabletext"/>
            </w:pPr>
            <w:r w:rsidRPr="002B6A0A">
              <w:rPr>
                <w:color w:val="000000"/>
              </w:rPr>
              <w:t>25.4</w:t>
            </w:r>
          </w:p>
        </w:tc>
      </w:tr>
    </w:tbl>
    <w:p w14:paraId="4D587911" w14:textId="77777777" w:rsidR="009D0006" w:rsidRDefault="009D0006" w:rsidP="00603068">
      <w:pPr>
        <w:pStyle w:val="Tableheading"/>
        <w:rPr>
          <w:lang w:val="en-GB"/>
        </w:rPr>
      </w:pPr>
      <w:r>
        <w:rPr>
          <w:lang w:val="en-GB"/>
        </w:rPr>
        <w:t>Table 37.3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D09A5" w14:paraId="7CE750ED"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56297204" w14:textId="77777777" w:rsidR="009D0006" w:rsidRPr="009D09A5" w:rsidRDefault="009D0006" w:rsidP="00FD1390">
            <w:pPr>
              <w:pStyle w:val="Tableheader"/>
              <w:rPr>
                <w:lang w:val="en-US"/>
              </w:rPr>
            </w:pPr>
            <w:r w:rsidRPr="009D09A5">
              <w:t>Day or days missed</w:t>
            </w:r>
          </w:p>
        </w:tc>
        <w:tc>
          <w:tcPr>
            <w:tcW w:w="1559" w:type="dxa"/>
          </w:tcPr>
          <w:p w14:paraId="0F07F26D" w14:textId="77777777" w:rsidR="009D0006" w:rsidRPr="009D09A5" w:rsidRDefault="009D0006" w:rsidP="00FD1390">
            <w:pPr>
              <w:pStyle w:val="Tableheader"/>
              <w:rPr>
                <w:lang w:val="en-US"/>
              </w:rPr>
            </w:pPr>
            <w:r w:rsidRPr="009D09A5">
              <w:t>n</w:t>
            </w:r>
          </w:p>
        </w:tc>
        <w:tc>
          <w:tcPr>
            <w:tcW w:w="1559" w:type="dxa"/>
          </w:tcPr>
          <w:p w14:paraId="3EEBF373" w14:textId="77777777" w:rsidR="009D0006" w:rsidRPr="009D09A5" w:rsidRDefault="009D0006" w:rsidP="00FD1390">
            <w:pPr>
              <w:pStyle w:val="Tableheader"/>
            </w:pPr>
            <w:r w:rsidRPr="009D09A5">
              <w:t>%</w:t>
            </w:r>
          </w:p>
        </w:tc>
      </w:tr>
      <w:tr w:rsidR="009D0006" w:rsidRPr="002B6A0A" w14:paraId="34C413E9"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1187F3F" w14:textId="77777777" w:rsidR="009D0006" w:rsidRPr="002B6A0A" w:rsidRDefault="009D0006" w:rsidP="00FD1390">
            <w:pPr>
              <w:pStyle w:val="Tabletext"/>
              <w:rPr>
                <w:lang w:val="en-US"/>
              </w:rPr>
            </w:pPr>
            <w:r w:rsidRPr="002B6A0A">
              <w:t>No</w:t>
            </w:r>
          </w:p>
        </w:tc>
        <w:tc>
          <w:tcPr>
            <w:tcW w:w="1559" w:type="dxa"/>
          </w:tcPr>
          <w:p w14:paraId="33D66423" w14:textId="77777777" w:rsidR="009D0006" w:rsidRPr="002B6A0A" w:rsidRDefault="009D0006" w:rsidP="00FD1390">
            <w:pPr>
              <w:pStyle w:val="Tabletext"/>
            </w:pPr>
            <w:r w:rsidRPr="002B6A0A">
              <w:rPr>
                <w:color w:val="000000"/>
              </w:rPr>
              <w:t>312</w:t>
            </w:r>
          </w:p>
        </w:tc>
        <w:tc>
          <w:tcPr>
            <w:tcW w:w="1559" w:type="dxa"/>
          </w:tcPr>
          <w:p w14:paraId="42CC5ACC" w14:textId="77777777" w:rsidR="009D0006" w:rsidRPr="002B6A0A" w:rsidRDefault="009D0006" w:rsidP="00FD1390">
            <w:pPr>
              <w:pStyle w:val="Tabletext"/>
            </w:pPr>
            <w:r w:rsidRPr="002B6A0A">
              <w:rPr>
                <w:color w:val="000000"/>
              </w:rPr>
              <w:t>56.5</w:t>
            </w:r>
          </w:p>
        </w:tc>
      </w:tr>
      <w:tr w:rsidR="009D0006" w:rsidRPr="002B6A0A" w14:paraId="242CCBCA"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613C9647" w14:textId="77777777" w:rsidR="009D0006" w:rsidRPr="002B6A0A" w:rsidRDefault="009D0006" w:rsidP="00FD1390">
            <w:pPr>
              <w:pStyle w:val="Tabletext"/>
              <w:rPr>
                <w:lang w:val="en-US"/>
              </w:rPr>
            </w:pPr>
            <w:r w:rsidRPr="002B6A0A">
              <w:t>Yes</w:t>
            </w:r>
          </w:p>
        </w:tc>
        <w:tc>
          <w:tcPr>
            <w:tcW w:w="1559" w:type="dxa"/>
          </w:tcPr>
          <w:p w14:paraId="6C5E0A51" w14:textId="77777777" w:rsidR="009D0006" w:rsidRPr="002B6A0A" w:rsidRDefault="009D0006" w:rsidP="00FD1390">
            <w:pPr>
              <w:pStyle w:val="Tabletext"/>
            </w:pPr>
            <w:r w:rsidRPr="002B6A0A">
              <w:rPr>
                <w:color w:val="000000"/>
              </w:rPr>
              <w:t>240</w:t>
            </w:r>
          </w:p>
        </w:tc>
        <w:tc>
          <w:tcPr>
            <w:tcW w:w="1559" w:type="dxa"/>
          </w:tcPr>
          <w:p w14:paraId="6EBEAE2C" w14:textId="77777777" w:rsidR="009D0006" w:rsidRPr="002B6A0A" w:rsidRDefault="009D0006" w:rsidP="00FD1390">
            <w:pPr>
              <w:pStyle w:val="Tabletext"/>
            </w:pPr>
            <w:r w:rsidRPr="002B6A0A">
              <w:rPr>
                <w:color w:val="000000"/>
              </w:rPr>
              <w:t>43.5</w:t>
            </w:r>
          </w:p>
        </w:tc>
      </w:tr>
    </w:tbl>
    <w:p w14:paraId="3F06E0AC" w14:textId="77777777" w:rsidR="004E2605" w:rsidRDefault="004E2605">
      <w:pPr>
        <w:spacing w:before="0"/>
        <w:rPr>
          <w:rFonts w:eastAsiaTheme="majorEastAsia" w:cstheme="majorBidi"/>
          <w:b/>
          <w:color w:val="000000" w:themeColor="text1"/>
          <w:lang w:val="en-GB"/>
        </w:rPr>
      </w:pPr>
      <w:r>
        <w:rPr>
          <w:lang w:val="en-GB"/>
        </w:rPr>
        <w:br w:type="page"/>
      </w:r>
    </w:p>
    <w:p w14:paraId="6592DD52" w14:textId="2D876A54" w:rsidR="009D0006" w:rsidRDefault="009D0006" w:rsidP="00603068">
      <w:pPr>
        <w:pStyle w:val="Tableheading"/>
        <w:rPr>
          <w:lang w:val="en-GB"/>
        </w:rPr>
      </w:pPr>
      <w:r>
        <w:rPr>
          <w:lang w:val="en-GB"/>
        </w:rPr>
        <w:t xml:space="preserve">Table 37.4 </w:t>
      </w:r>
      <w:r>
        <w:rPr>
          <w:lang w:val="en-GB"/>
        </w:rPr>
        <w:lastRenderedPageBreak/>
        <w:t>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D09A5" w14:paraId="10BA91CF"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4E4183EE" w14:textId="77777777" w:rsidR="009D0006" w:rsidRPr="009D09A5" w:rsidRDefault="009D0006" w:rsidP="00FD1390">
            <w:pPr>
              <w:pStyle w:val="Tableheader"/>
              <w:rPr>
                <w:lang w:val="en-US"/>
              </w:rPr>
            </w:pPr>
            <w:r w:rsidRPr="009D09A5">
              <w:t>Day or days missed</w:t>
            </w:r>
          </w:p>
        </w:tc>
        <w:tc>
          <w:tcPr>
            <w:tcW w:w="1559" w:type="dxa"/>
          </w:tcPr>
          <w:p w14:paraId="426F25F1" w14:textId="77777777" w:rsidR="009D0006" w:rsidRPr="009D09A5" w:rsidRDefault="009D0006" w:rsidP="00FD1390">
            <w:pPr>
              <w:pStyle w:val="Tableheader"/>
              <w:rPr>
                <w:lang w:val="en-US"/>
              </w:rPr>
            </w:pPr>
            <w:r w:rsidRPr="009D09A5">
              <w:t>n</w:t>
            </w:r>
          </w:p>
        </w:tc>
        <w:tc>
          <w:tcPr>
            <w:tcW w:w="1559" w:type="dxa"/>
          </w:tcPr>
          <w:p w14:paraId="3D0F5848" w14:textId="77777777" w:rsidR="009D0006" w:rsidRPr="009D09A5" w:rsidRDefault="009D0006" w:rsidP="00FD1390">
            <w:pPr>
              <w:pStyle w:val="Tableheader"/>
            </w:pPr>
            <w:r w:rsidRPr="009D09A5">
              <w:t>%</w:t>
            </w:r>
          </w:p>
        </w:tc>
      </w:tr>
      <w:tr w:rsidR="009D0006" w:rsidRPr="002B6A0A" w14:paraId="3F5ED8B3"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07868E5" w14:textId="77777777" w:rsidR="009D0006" w:rsidRPr="002B6A0A" w:rsidRDefault="009D0006" w:rsidP="00FD1390">
            <w:pPr>
              <w:pStyle w:val="Tabletext"/>
              <w:rPr>
                <w:lang w:val="en-US"/>
              </w:rPr>
            </w:pPr>
            <w:r w:rsidRPr="002B6A0A">
              <w:t>No</w:t>
            </w:r>
          </w:p>
        </w:tc>
        <w:tc>
          <w:tcPr>
            <w:tcW w:w="1559" w:type="dxa"/>
          </w:tcPr>
          <w:p w14:paraId="065D09F6" w14:textId="77777777" w:rsidR="009D0006" w:rsidRPr="002B6A0A" w:rsidRDefault="009D0006" w:rsidP="00FD1390">
            <w:pPr>
              <w:pStyle w:val="Tabletext"/>
            </w:pPr>
            <w:r w:rsidRPr="002B6A0A">
              <w:rPr>
                <w:color w:val="000000"/>
              </w:rPr>
              <w:t>84</w:t>
            </w:r>
          </w:p>
        </w:tc>
        <w:tc>
          <w:tcPr>
            <w:tcW w:w="1559" w:type="dxa"/>
          </w:tcPr>
          <w:p w14:paraId="3A53E401" w14:textId="77777777" w:rsidR="009D0006" w:rsidRPr="002B6A0A" w:rsidRDefault="009D0006" w:rsidP="00FD1390">
            <w:pPr>
              <w:pStyle w:val="Tabletext"/>
            </w:pPr>
            <w:r w:rsidRPr="002B6A0A">
              <w:rPr>
                <w:color w:val="000000"/>
              </w:rPr>
              <w:t>50.9</w:t>
            </w:r>
          </w:p>
        </w:tc>
      </w:tr>
      <w:tr w:rsidR="009D0006" w:rsidRPr="002B6A0A" w14:paraId="1252F34B"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34AC18CE" w14:textId="77777777" w:rsidR="009D0006" w:rsidRPr="002B6A0A" w:rsidRDefault="009D0006" w:rsidP="00FD1390">
            <w:pPr>
              <w:pStyle w:val="Tabletext"/>
              <w:rPr>
                <w:lang w:val="en-US"/>
              </w:rPr>
            </w:pPr>
            <w:r w:rsidRPr="002B6A0A">
              <w:t>Yes</w:t>
            </w:r>
          </w:p>
        </w:tc>
        <w:tc>
          <w:tcPr>
            <w:tcW w:w="1559" w:type="dxa"/>
          </w:tcPr>
          <w:p w14:paraId="49405F24" w14:textId="77777777" w:rsidR="009D0006" w:rsidRPr="002B6A0A" w:rsidRDefault="009D0006" w:rsidP="00FD1390">
            <w:pPr>
              <w:pStyle w:val="Tabletext"/>
            </w:pPr>
            <w:r w:rsidRPr="002B6A0A">
              <w:rPr>
                <w:color w:val="000000"/>
              </w:rPr>
              <w:t>81</w:t>
            </w:r>
          </w:p>
        </w:tc>
        <w:tc>
          <w:tcPr>
            <w:tcW w:w="1559" w:type="dxa"/>
          </w:tcPr>
          <w:p w14:paraId="458ECCC8" w14:textId="77777777" w:rsidR="009D0006" w:rsidRPr="002B6A0A" w:rsidRDefault="009D0006" w:rsidP="00FD1390">
            <w:pPr>
              <w:pStyle w:val="Tabletext"/>
            </w:pPr>
            <w:r w:rsidRPr="002B6A0A">
              <w:rPr>
                <w:color w:val="000000"/>
              </w:rPr>
              <w:t>49.1</w:t>
            </w:r>
          </w:p>
        </w:tc>
      </w:tr>
    </w:tbl>
    <w:p w14:paraId="134C4789" w14:textId="77777777" w:rsidR="009D0006" w:rsidRDefault="009D0006" w:rsidP="00603068">
      <w:pPr>
        <w:pStyle w:val="Tableheading"/>
        <w:rPr>
          <w:lang w:val="en-GB"/>
        </w:rPr>
      </w:pPr>
      <w:r>
        <w:rPr>
          <w:lang w:val="en-GB"/>
        </w:rPr>
        <w:t>Table 37.5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2E2ABE98"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70610A97" w14:textId="77777777" w:rsidR="009D0006" w:rsidRPr="009D09A5" w:rsidRDefault="009D0006" w:rsidP="00FD1390">
            <w:pPr>
              <w:pStyle w:val="Tableheader"/>
              <w:rPr>
                <w:lang w:val="en-US"/>
              </w:rPr>
            </w:pPr>
            <w:r w:rsidRPr="009D09A5">
              <w:t>Day or days missed</w:t>
            </w:r>
          </w:p>
        </w:tc>
        <w:tc>
          <w:tcPr>
            <w:tcW w:w="1559" w:type="dxa"/>
          </w:tcPr>
          <w:p w14:paraId="55E0290F" w14:textId="77777777" w:rsidR="009D0006" w:rsidRPr="009D09A5" w:rsidRDefault="009D0006" w:rsidP="00FD1390">
            <w:pPr>
              <w:pStyle w:val="Tableheader"/>
            </w:pPr>
            <w:r w:rsidRPr="009D09A5">
              <w:t>n</w:t>
            </w:r>
          </w:p>
        </w:tc>
        <w:tc>
          <w:tcPr>
            <w:tcW w:w="1559" w:type="dxa"/>
          </w:tcPr>
          <w:p w14:paraId="1393F500" w14:textId="77777777" w:rsidR="009D0006" w:rsidRPr="009D09A5" w:rsidRDefault="009D0006" w:rsidP="00FD1390">
            <w:pPr>
              <w:pStyle w:val="Tableheader"/>
            </w:pPr>
            <w:r w:rsidRPr="009D09A5">
              <w:t>%</w:t>
            </w:r>
          </w:p>
        </w:tc>
      </w:tr>
      <w:tr w:rsidR="009D0006" w:rsidRPr="002B6A0A" w14:paraId="3AE04F1D"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8DE8C89" w14:textId="77777777" w:rsidR="009D0006" w:rsidRPr="002B6A0A" w:rsidRDefault="009D0006" w:rsidP="00FD1390">
            <w:pPr>
              <w:pStyle w:val="Tabletext"/>
              <w:rPr>
                <w:lang w:val="en-US"/>
              </w:rPr>
            </w:pPr>
            <w:r w:rsidRPr="002B6A0A">
              <w:t>No</w:t>
            </w:r>
          </w:p>
        </w:tc>
        <w:tc>
          <w:tcPr>
            <w:tcW w:w="1559" w:type="dxa"/>
          </w:tcPr>
          <w:p w14:paraId="4CC229E7" w14:textId="77777777" w:rsidR="009D0006" w:rsidRPr="002B6A0A" w:rsidRDefault="009D0006" w:rsidP="00FD1390">
            <w:pPr>
              <w:pStyle w:val="Tabletext"/>
            </w:pPr>
            <w:r w:rsidRPr="002B6A0A">
              <w:rPr>
                <w:color w:val="000000"/>
              </w:rPr>
              <w:t>60</w:t>
            </w:r>
          </w:p>
        </w:tc>
        <w:tc>
          <w:tcPr>
            <w:tcW w:w="1559" w:type="dxa"/>
          </w:tcPr>
          <w:p w14:paraId="4FCE5D5B" w14:textId="77777777" w:rsidR="009D0006" w:rsidRPr="002B6A0A" w:rsidRDefault="009D0006" w:rsidP="00FD1390">
            <w:pPr>
              <w:pStyle w:val="Tabletext"/>
            </w:pPr>
            <w:r w:rsidRPr="002B6A0A">
              <w:rPr>
                <w:color w:val="000000"/>
              </w:rPr>
              <w:t>53.6</w:t>
            </w:r>
          </w:p>
        </w:tc>
      </w:tr>
      <w:tr w:rsidR="009D0006" w:rsidRPr="002B6A0A" w14:paraId="5C9463DB"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A47EA52" w14:textId="77777777" w:rsidR="009D0006" w:rsidRPr="002B6A0A" w:rsidRDefault="009D0006" w:rsidP="00FD1390">
            <w:pPr>
              <w:pStyle w:val="Tabletext"/>
              <w:rPr>
                <w:lang w:val="en-US"/>
              </w:rPr>
            </w:pPr>
            <w:r w:rsidRPr="002B6A0A">
              <w:t>Yes</w:t>
            </w:r>
          </w:p>
        </w:tc>
        <w:tc>
          <w:tcPr>
            <w:tcW w:w="1559" w:type="dxa"/>
          </w:tcPr>
          <w:p w14:paraId="43F51D03" w14:textId="77777777" w:rsidR="009D0006" w:rsidRPr="002B6A0A" w:rsidRDefault="009D0006" w:rsidP="00FD1390">
            <w:pPr>
              <w:pStyle w:val="Tabletext"/>
            </w:pPr>
            <w:r w:rsidRPr="002B6A0A">
              <w:rPr>
                <w:color w:val="000000"/>
              </w:rPr>
              <w:t>52</w:t>
            </w:r>
          </w:p>
        </w:tc>
        <w:tc>
          <w:tcPr>
            <w:tcW w:w="1559" w:type="dxa"/>
          </w:tcPr>
          <w:p w14:paraId="2D66D209" w14:textId="77777777" w:rsidR="009D0006" w:rsidRPr="002B6A0A" w:rsidRDefault="009D0006" w:rsidP="00FD1390">
            <w:pPr>
              <w:pStyle w:val="Tabletext"/>
            </w:pPr>
            <w:r w:rsidRPr="002B6A0A">
              <w:rPr>
                <w:color w:val="000000"/>
              </w:rPr>
              <w:t>46.4</w:t>
            </w:r>
          </w:p>
        </w:tc>
      </w:tr>
    </w:tbl>
    <w:p w14:paraId="43C7B86D" w14:textId="77777777" w:rsidR="009D0006" w:rsidRDefault="009D0006" w:rsidP="00603068">
      <w:pPr>
        <w:pStyle w:val="Tableheading"/>
        <w:rPr>
          <w:lang w:val="en-GB"/>
        </w:rPr>
      </w:pPr>
      <w:r>
        <w:rPr>
          <w:lang w:val="en-GB"/>
        </w:rPr>
        <w:t>Table 37.6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D09A5" w14:paraId="751E4474"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5FFB0EB4" w14:textId="77777777" w:rsidR="009D0006" w:rsidRPr="009D09A5" w:rsidRDefault="009D0006" w:rsidP="00FD1390">
            <w:pPr>
              <w:pStyle w:val="Tableheader"/>
              <w:rPr>
                <w:lang w:val="en-US"/>
              </w:rPr>
            </w:pPr>
            <w:r w:rsidRPr="009D09A5">
              <w:t>Day or days missed</w:t>
            </w:r>
          </w:p>
        </w:tc>
        <w:tc>
          <w:tcPr>
            <w:tcW w:w="1559" w:type="dxa"/>
          </w:tcPr>
          <w:p w14:paraId="3D6FF8D1" w14:textId="77777777" w:rsidR="009D0006" w:rsidRPr="009D09A5" w:rsidRDefault="009D0006" w:rsidP="00FD1390">
            <w:pPr>
              <w:pStyle w:val="Tableheader"/>
            </w:pPr>
            <w:r w:rsidRPr="009D09A5">
              <w:t>n</w:t>
            </w:r>
          </w:p>
        </w:tc>
        <w:tc>
          <w:tcPr>
            <w:tcW w:w="1559" w:type="dxa"/>
          </w:tcPr>
          <w:p w14:paraId="0BA93336" w14:textId="77777777" w:rsidR="009D0006" w:rsidRPr="009D09A5" w:rsidRDefault="009D0006" w:rsidP="00FD1390">
            <w:pPr>
              <w:pStyle w:val="Tableheader"/>
            </w:pPr>
            <w:r w:rsidRPr="009D09A5">
              <w:t>%</w:t>
            </w:r>
          </w:p>
        </w:tc>
      </w:tr>
      <w:tr w:rsidR="009D0006" w:rsidRPr="002B6A0A" w14:paraId="49C3DF49"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5350BEE" w14:textId="77777777" w:rsidR="009D0006" w:rsidRPr="002B6A0A" w:rsidRDefault="009D0006" w:rsidP="00FD1390">
            <w:pPr>
              <w:pStyle w:val="Tabletext"/>
              <w:rPr>
                <w:lang w:val="en-US"/>
              </w:rPr>
            </w:pPr>
            <w:r w:rsidRPr="002B6A0A">
              <w:t>No</w:t>
            </w:r>
          </w:p>
        </w:tc>
        <w:tc>
          <w:tcPr>
            <w:tcW w:w="1559" w:type="dxa"/>
          </w:tcPr>
          <w:p w14:paraId="7F17719D" w14:textId="77777777" w:rsidR="009D0006" w:rsidRPr="002B6A0A" w:rsidRDefault="009D0006" w:rsidP="00FD1390">
            <w:pPr>
              <w:pStyle w:val="Tabletext"/>
            </w:pPr>
            <w:r w:rsidRPr="002B6A0A">
              <w:rPr>
                <w:color w:val="000000"/>
              </w:rPr>
              <w:t>322</w:t>
            </w:r>
          </w:p>
        </w:tc>
        <w:tc>
          <w:tcPr>
            <w:tcW w:w="1559" w:type="dxa"/>
          </w:tcPr>
          <w:p w14:paraId="416E912A" w14:textId="77777777" w:rsidR="009D0006" w:rsidRPr="002B6A0A" w:rsidRDefault="009D0006" w:rsidP="00FD1390">
            <w:pPr>
              <w:pStyle w:val="Tabletext"/>
            </w:pPr>
            <w:r w:rsidRPr="002B6A0A">
              <w:rPr>
                <w:color w:val="000000"/>
              </w:rPr>
              <w:t>54.6</w:t>
            </w:r>
          </w:p>
        </w:tc>
      </w:tr>
      <w:tr w:rsidR="009D0006" w:rsidRPr="002B6A0A" w14:paraId="58F1D4EC"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A59C3FD" w14:textId="77777777" w:rsidR="009D0006" w:rsidRPr="002B6A0A" w:rsidRDefault="009D0006" w:rsidP="00FD1390">
            <w:pPr>
              <w:pStyle w:val="Tabletext"/>
              <w:rPr>
                <w:lang w:val="en-US"/>
              </w:rPr>
            </w:pPr>
            <w:r w:rsidRPr="002B6A0A">
              <w:t>Yes</w:t>
            </w:r>
          </w:p>
        </w:tc>
        <w:tc>
          <w:tcPr>
            <w:tcW w:w="1559" w:type="dxa"/>
          </w:tcPr>
          <w:p w14:paraId="60C0C442" w14:textId="77777777" w:rsidR="009D0006" w:rsidRPr="002B6A0A" w:rsidRDefault="009D0006" w:rsidP="00FD1390">
            <w:pPr>
              <w:pStyle w:val="Tabletext"/>
            </w:pPr>
            <w:r w:rsidRPr="002B6A0A">
              <w:rPr>
                <w:color w:val="000000"/>
              </w:rPr>
              <w:t>268</w:t>
            </w:r>
          </w:p>
        </w:tc>
        <w:tc>
          <w:tcPr>
            <w:tcW w:w="1559" w:type="dxa"/>
          </w:tcPr>
          <w:p w14:paraId="5E3601D9" w14:textId="77777777" w:rsidR="009D0006" w:rsidRPr="002B6A0A" w:rsidRDefault="009D0006" w:rsidP="00FD1390">
            <w:pPr>
              <w:pStyle w:val="Tabletext"/>
            </w:pPr>
            <w:r w:rsidRPr="002B6A0A">
              <w:rPr>
                <w:color w:val="000000"/>
              </w:rPr>
              <w:t>45.4</w:t>
            </w:r>
          </w:p>
        </w:tc>
      </w:tr>
    </w:tbl>
    <w:p w14:paraId="50823B93" w14:textId="77777777" w:rsidR="009D0006" w:rsidRDefault="009D0006" w:rsidP="00603068">
      <w:pPr>
        <w:pStyle w:val="Tableheading"/>
        <w:rPr>
          <w:lang w:val="en-GB"/>
        </w:rPr>
      </w:pPr>
      <w:r>
        <w:rPr>
          <w:lang w:val="en-GB"/>
        </w:rPr>
        <w:t>Table 37.7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447F16B6"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F344813" w14:textId="77777777" w:rsidR="009D0006" w:rsidRPr="009D09A5" w:rsidRDefault="009D0006" w:rsidP="00FD1390">
            <w:pPr>
              <w:pStyle w:val="Tableheader"/>
              <w:rPr>
                <w:lang w:val="en-US"/>
              </w:rPr>
            </w:pPr>
            <w:r w:rsidRPr="009D09A5">
              <w:t>Day or days missed</w:t>
            </w:r>
          </w:p>
        </w:tc>
        <w:tc>
          <w:tcPr>
            <w:tcW w:w="1559" w:type="dxa"/>
          </w:tcPr>
          <w:p w14:paraId="03BDDA4C" w14:textId="77777777" w:rsidR="009D0006" w:rsidRPr="009D09A5" w:rsidRDefault="009D0006" w:rsidP="00FD1390">
            <w:pPr>
              <w:pStyle w:val="Tableheader"/>
            </w:pPr>
            <w:r w:rsidRPr="009D09A5">
              <w:t>n</w:t>
            </w:r>
          </w:p>
        </w:tc>
        <w:tc>
          <w:tcPr>
            <w:tcW w:w="1559" w:type="dxa"/>
          </w:tcPr>
          <w:p w14:paraId="256C3D79" w14:textId="77777777" w:rsidR="009D0006" w:rsidRPr="009D09A5" w:rsidRDefault="009D0006" w:rsidP="00FD1390">
            <w:pPr>
              <w:pStyle w:val="Tableheader"/>
            </w:pPr>
            <w:r w:rsidRPr="009D09A5">
              <w:t>%</w:t>
            </w:r>
          </w:p>
        </w:tc>
      </w:tr>
      <w:tr w:rsidR="009D0006" w:rsidRPr="002B6A0A" w14:paraId="755143DF"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A971018" w14:textId="77777777" w:rsidR="009D0006" w:rsidRPr="002B6A0A" w:rsidRDefault="009D0006" w:rsidP="00FD1390">
            <w:pPr>
              <w:pStyle w:val="Tabletext"/>
              <w:rPr>
                <w:lang w:val="en-US"/>
              </w:rPr>
            </w:pPr>
            <w:r w:rsidRPr="002B6A0A">
              <w:t>No</w:t>
            </w:r>
          </w:p>
        </w:tc>
        <w:tc>
          <w:tcPr>
            <w:tcW w:w="1559" w:type="dxa"/>
          </w:tcPr>
          <w:p w14:paraId="70514999" w14:textId="77777777" w:rsidR="009D0006" w:rsidRPr="002B6A0A" w:rsidRDefault="009D0006" w:rsidP="00FD1390">
            <w:pPr>
              <w:pStyle w:val="Tabletext"/>
            </w:pPr>
            <w:r w:rsidRPr="002B6A0A">
              <w:rPr>
                <w:color w:val="000000"/>
              </w:rPr>
              <w:t>526</w:t>
            </w:r>
          </w:p>
        </w:tc>
        <w:tc>
          <w:tcPr>
            <w:tcW w:w="1559" w:type="dxa"/>
          </w:tcPr>
          <w:p w14:paraId="79816D76" w14:textId="77777777" w:rsidR="009D0006" w:rsidRPr="002B6A0A" w:rsidRDefault="009D0006" w:rsidP="00FD1390">
            <w:pPr>
              <w:pStyle w:val="Tabletext"/>
            </w:pPr>
            <w:r w:rsidRPr="002B6A0A">
              <w:rPr>
                <w:color w:val="000000"/>
              </w:rPr>
              <w:t>57.5</w:t>
            </w:r>
          </w:p>
        </w:tc>
      </w:tr>
      <w:tr w:rsidR="009D0006" w:rsidRPr="002B6A0A" w14:paraId="555300F9"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9A5B387" w14:textId="77777777" w:rsidR="009D0006" w:rsidRPr="002B6A0A" w:rsidRDefault="009D0006" w:rsidP="00FD1390">
            <w:pPr>
              <w:pStyle w:val="Tabletext"/>
              <w:rPr>
                <w:lang w:val="en-US"/>
              </w:rPr>
            </w:pPr>
            <w:r w:rsidRPr="002B6A0A">
              <w:t>Yes</w:t>
            </w:r>
          </w:p>
        </w:tc>
        <w:tc>
          <w:tcPr>
            <w:tcW w:w="1559" w:type="dxa"/>
          </w:tcPr>
          <w:p w14:paraId="74E52312" w14:textId="77777777" w:rsidR="009D0006" w:rsidRPr="002B6A0A" w:rsidRDefault="009D0006" w:rsidP="00FD1390">
            <w:pPr>
              <w:pStyle w:val="Tabletext"/>
            </w:pPr>
            <w:r w:rsidRPr="002B6A0A">
              <w:rPr>
                <w:color w:val="000000"/>
              </w:rPr>
              <w:t>388</w:t>
            </w:r>
          </w:p>
        </w:tc>
        <w:tc>
          <w:tcPr>
            <w:tcW w:w="1559" w:type="dxa"/>
          </w:tcPr>
          <w:p w14:paraId="157F725C" w14:textId="77777777" w:rsidR="009D0006" w:rsidRPr="002B6A0A" w:rsidRDefault="009D0006" w:rsidP="00FD1390">
            <w:pPr>
              <w:pStyle w:val="Tabletext"/>
            </w:pPr>
            <w:r w:rsidRPr="002B6A0A">
              <w:rPr>
                <w:color w:val="000000"/>
              </w:rPr>
              <w:t>42.5</w:t>
            </w:r>
          </w:p>
        </w:tc>
      </w:tr>
    </w:tbl>
    <w:p w14:paraId="6C592A38" w14:textId="77777777" w:rsidR="009D0006" w:rsidRPr="00FD1390" w:rsidRDefault="009D0006" w:rsidP="00FD1390">
      <w:pPr>
        <w:pStyle w:val="TableTextNotebelow"/>
        <w:rPr>
          <w:i/>
          <w:lang w:val="en-GB" w:eastAsia="ja-JP"/>
        </w:rPr>
      </w:pPr>
      <w:r w:rsidRPr="00FD1390">
        <w:rPr>
          <w:rFonts w:cs="Arial"/>
          <w:i/>
          <w:lang w:val="en-GB"/>
        </w:rPr>
        <w:t xml:space="preserve">* </w:t>
      </w:r>
      <w:r w:rsidRPr="00FD1390">
        <w:rPr>
          <w:i/>
          <w:lang w:val="en-GB"/>
        </w:rPr>
        <w:t xml:space="preserve">In order to be more comparable with general population data, ‘any disability’ does not include participants who only reported ‘mental illness’ and no other disability or long-term health condition. </w:t>
      </w:r>
    </w:p>
    <w:p w14:paraId="587E74BB" w14:textId="77777777" w:rsidR="009D0006" w:rsidRPr="00542E35" w:rsidRDefault="009D0006" w:rsidP="00603068">
      <w:pPr>
        <w:spacing w:before="360"/>
      </w:pPr>
      <w:r w:rsidRPr="00542E35">
        <w:t>As displayed in Table</w:t>
      </w:r>
      <w:r>
        <w:t>s</w:t>
      </w:r>
      <w:r w:rsidRPr="00542E35">
        <w:t xml:space="preserve"> </w:t>
      </w:r>
      <w:r>
        <w:t xml:space="preserve">37.1-37.7, a higher proportion (43.5%; n = 522) of participants with disability in </w:t>
      </w:r>
      <w:r>
        <w:rPr>
          <w:i/>
          <w:iCs/>
        </w:rPr>
        <w:t>Writing Themselves In 4</w:t>
      </w:r>
      <w:r>
        <w:t xml:space="preserve"> had missed at least one day at their educational setting in the past 12 months due to feeling unsafe or uncomfortable than those not reporting disability (25.4%; n = 748). Participants with autism/neurodiversity and intellectual disability had the largest proportion who reported missing at least one day at their educational setting in the past 12 months (49.1%; n = 81), followed by participants with an intellectual disability (46.4%; n = 52), participants with a physical or sensory disability (45.4%; n = 268), participants with autism/neurodiversity (43.5%; n = 240) and participants with a mental health condition (42.5%; n = 388).</w:t>
      </w:r>
    </w:p>
    <w:p w14:paraId="0650FEC2" w14:textId="5D70015B" w:rsidR="009D0006" w:rsidRPr="00FA6F3B" w:rsidRDefault="009D0006" w:rsidP="00153892">
      <w:pPr>
        <w:pStyle w:val="Heading2Numbered"/>
        <w:rPr>
          <w:lang w:val="en-GB"/>
        </w:rPr>
      </w:pPr>
      <w:bookmarkStart w:id="449" w:name="_Toc58252080"/>
      <w:bookmarkStart w:id="450" w:name="_Toc115968559"/>
      <w:bookmarkStart w:id="451" w:name="_Toc119662424"/>
      <w:r w:rsidRPr="00FA6F3B">
        <w:rPr>
          <w:lang w:val="en-GB"/>
        </w:rPr>
        <w:t>Summary</w:t>
      </w:r>
      <w:bookmarkEnd w:id="449"/>
      <w:r w:rsidRPr="00FA6F3B">
        <w:rPr>
          <w:lang w:val="en-GB"/>
        </w:rPr>
        <w:t xml:space="preserve"> </w:t>
      </w:r>
      <w:r>
        <w:rPr>
          <w:lang w:val="en-GB"/>
        </w:rPr>
        <w:t>and</w:t>
      </w:r>
      <w:r>
        <w:rPr>
          <w:lang w:val="en-GB"/>
        </w:rPr>
        <w:lastRenderedPageBreak/>
        <w:t xml:space="preserve"> relation to existing literature</w:t>
      </w:r>
      <w:bookmarkEnd w:id="450"/>
      <w:bookmarkEnd w:id="451"/>
    </w:p>
    <w:p w14:paraId="6C49FD44" w14:textId="77777777" w:rsidR="009D0006" w:rsidRDefault="009D0006" w:rsidP="00603068">
      <w:r>
        <w:t xml:space="preserve">More than half of </w:t>
      </w:r>
      <w:r w:rsidRPr="00F535C1">
        <w:t>participants with disability aged 14-21 years in</w:t>
      </w:r>
      <w:r w:rsidRPr="00F535C1">
        <w:rPr>
          <w:i/>
          <w:iCs/>
        </w:rPr>
        <w:t xml:space="preserve"> Writing Themselves In 4</w:t>
      </w:r>
      <w:r>
        <w:rPr>
          <w:i/>
          <w:iCs/>
        </w:rPr>
        <w:t xml:space="preserve"> </w:t>
      </w:r>
      <w:r>
        <w:t xml:space="preserve">felt unsafe or uncomfortable in their educational setting in the past 12 months. Feeling unsafe or uncomfortable in their educational setting was reported most frequently by participants who attended secondary school, followed by participants who attended TAFE and participants who attended university. A higher proportion of participants with disability in </w:t>
      </w:r>
      <w:r>
        <w:rPr>
          <w:i/>
          <w:iCs/>
        </w:rPr>
        <w:t>Writing Themselves In 4</w:t>
      </w:r>
      <w:r>
        <w:t xml:space="preserve"> felt unsafe or uncomfortable in their educational setting than those not reporting disability.</w:t>
      </w:r>
    </w:p>
    <w:p w14:paraId="6D85FAA8" w14:textId="77777777" w:rsidR="009D0006" w:rsidRPr="00603068" w:rsidRDefault="009D0006" w:rsidP="00603068">
      <w:r>
        <w:t xml:space="preserve">Among </w:t>
      </w:r>
      <w:r w:rsidRPr="00F535C1">
        <w:t>participants with disability aged 14-21 years in</w:t>
      </w:r>
      <w:r w:rsidRPr="00F535C1">
        <w:rPr>
          <w:i/>
          <w:iCs/>
        </w:rPr>
        <w:t xml:space="preserve"> Writing Themselves In 4</w:t>
      </w:r>
      <w:r>
        <w:t xml:space="preserve">, those who attended university felt the safest to openly identify as LGBTIQA+ at their educational setting, followed by participants who attended TAFE and participants who attended secondary school. Only two-fifths of </w:t>
      </w:r>
      <w:r w:rsidRPr="00542E35">
        <w:t>trans or gender diverse</w:t>
      </w:r>
      <w:r>
        <w:t xml:space="preserve"> p</w:t>
      </w:r>
      <w:r w:rsidRPr="00542E35">
        <w:t xml:space="preserve">articipants with </w:t>
      </w:r>
      <w:r>
        <w:t xml:space="preserve">a </w:t>
      </w:r>
      <w:r w:rsidRPr="00603068">
        <w:t>disability and who attended an educational setting felt safe to use the bathrooms that matched their gender identity.</w:t>
      </w:r>
    </w:p>
    <w:p w14:paraId="47EE0108" w14:textId="77777777" w:rsidR="009D0006" w:rsidRPr="00603068" w:rsidRDefault="009D0006" w:rsidP="00603068">
      <w:r w:rsidRPr="00603068">
        <w:t>Overall, two-fifths of participants with a disability in Writing Themselves In 4, had missed at least one day of school in the past 12 months. The highest proportion of participants who had missed days at their educational setting was among those who attended secondary school, followed by participants who attended TAFE, and was lowest among participants who attended university. Importantly, a much higher proportion of participants with disability in Writing Themselves In 4 had missed at least one day of school at their educational setting in the past 12 months than those not reporting disability.</w:t>
      </w:r>
    </w:p>
    <w:p w14:paraId="10AA6F71" w14:textId="77777777" w:rsidR="009D0006" w:rsidRPr="00603068" w:rsidRDefault="009D0006" w:rsidP="00603068">
      <w:r w:rsidRPr="00603068">
        <w:t>Previous research has linked school absenteeism and experiences of victimisation among   LGB students, with associated implications for academic achievement.</w:t>
      </w:r>
      <w:r w:rsidRPr="00603068">
        <w:fldChar w:fldCharType="begin"/>
      </w:r>
      <w:r w:rsidRPr="00603068">
        <w:instrText xml:space="preserve"> ADDIN ZOTERO_ITEM CSL_CITATION {"citationID":"a16rrstvmhl","properties":{"formattedCitation":"(46)","plainCitation":"(46)","noteIndex":0},"citationItems":[{"id":5770,"uris":["http://zotero.org/groups/2463045/items/8937LZKF"],"itemData":{"id":5770,"type":"article-journal","container-title":"American Journal of Public Health","DOI":"https://doi.org/10.2105/AJPH.2013.301785","issue":"6","page":"1124-1128","title":"Sexual-orientation disparities in school: The mediational role of indicators of victimization in achievement and truancy because of feeling unsafe","volume":"104","author":[{"family":"Birkett","given":"Michelle"},{"family":"Russell","given":"Stephen T."},{"family":"Corliss","given":"Heather L."}],"issued":{"date-parts":[["2014"]]},"citation-key":"birkettSexualorientationDisparitiesSchool2014"}}],"schema":"https://github.com/citation-style-language/schema/raw/master/csl-citation.json"} </w:instrText>
      </w:r>
      <w:r w:rsidRPr="00603068">
        <w:fldChar w:fldCharType="separate"/>
      </w:r>
      <w:r w:rsidRPr="00603068">
        <w:t>(46)</w:t>
      </w:r>
      <w:r w:rsidRPr="00603068">
        <w:fldChar w:fldCharType="end"/>
      </w:r>
      <w:r w:rsidRPr="00603068">
        <w:t xml:space="preserve"> This is potentially more challenging for those with disability due to dual marginalisation based on their disability as well as their gender or sexual identity.</w:t>
      </w:r>
      <w:r w:rsidRPr="00603068">
        <w:fldChar w:fldCharType="begin"/>
      </w:r>
      <w:r w:rsidRPr="00603068">
        <w:instrText xml:space="preserve"> ADDIN ZOTERO_ITEM CSL_CITATION {"citationID":"af0a6ust94","properties":{"formattedCitation":"(22)","plainCitation":"(22)","noteIndex":0},"citationItems":[{"id":"hc6yy1rM/N4GYtR03","uris":["http://zotero.org/users/4948307/items/XSR73PQ6"],"itemData":{"id":"9AHQqkZF/qat61HvA","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M"},{"family":"Frawley","given":"Patsie"},{"family":"Gallego","given":"Gisselle"}],"issued":{"date-parts":[["2018",6,1]]}}}],"schema":"https://github.com/citation-style-language/schema/raw/master/csl-citation.json"} </w:instrText>
      </w:r>
      <w:r w:rsidRPr="00603068">
        <w:fldChar w:fldCharType="separate"/>
      </w:r>
      <w:r w:rsidRPr="00603068">
        <w:t>(22)</w:t>
      </w:r>
      <w:r w:rsidRPr="00603068">
        <w:fldChar w:fldCharType="end"/>
      </w:r>
      <w:r w:rsidRPr="00603068">
        <w:t xml:space="preserve"> Feeling unsafe or uncomfortable at school or in other education settings can also arise from multiple different experiences. For example, studies in different areas of the world have documented not only experiences of bullying toward LGBT students, but also experiences of not feeling accepted, included or respected, or experiences of additional forms of disadvantage.</w:t>
      </w:r>
      <w:r w:rsidRPr="00603068">
        <w:fldChar w:fldCharType="begin"/>
      </w:r>
      <w:r w:rsidRPr="00603068">
        <w:instrText xml:space="preserve"> ADDIN ZOTERO_ITEM CSL_CITATION {"citationID":"alb41p31sg","properties":{"formattedCitation":"(47)","plainCitation":"(47)","noteIndex":0},"citationItems":[{"id":5782,"uris":["http://zotero.org/groups/2463045/items/VPY2XMBJ"],"itemData":{"id":5782,"type":"article-journal","abstract":"The magnitude of gender identity-related disparities in school-based outcomes is unknown because of a lack of representative studies that include measures of gender identity. By utilizing a representative sample generalizable to a broader population, this study elucidates the size of gender identity-related disparities, independent of sexual orientation, in school experiences associated with school connectedness and perceptions of school climate. Additionally, the inclusion of and comparison to results of a large non-representative sample allows for more direct comparisons to previous studies of the school experiences of transgender youth. The analyses in this study primarily draw on a sample of 31,896 youth representative of the middle and high school population in California who participated in the 2013–2015 California Student Survey (a subsample of the California Healthy Kids Survey, which includes the largest known sample of transgender youth). Over half the sample identified their sex as female (51.3%), and 398 identified as transgender (1.0%). The sample was racially and ethnically diverse: 30.7% identified as multiracial, 33.0% as White, 11.1% as Asian, 7.4% as Black, and 52.9% as Hispanic. Findings from multilevel analyses show that relative to non-transgender youth, transgender youth were more likely to be truant from school, to experience victimization and bias-based bullying, and to report more negative perceptions of school climate, though did not differ in self-reported grades. The findings have implications for improving school policies and practices to create safer and more supportive school climates for all youth.","container-title":"Journal of Youth and Adolescence","DOI":"10.1007/s10964-018-0866-x","ISSN":"1573-6601","issue":"8","journalAbbreviation":"J Youth Adolescence","language":"en","page":"1731-1742","source":"Springer Link","title":"Safe schools? Transgender youth’s school experiences and perceptions of school climate","title-short":"Safe Schools?","volume":"47","author":[{"family":"Day","given":"Jack K."},{"family":"Perez-Brumer","given":"Amaya"},{"family":"Russell","given":"Stephen T."}],"issued":{"date-parts":[["2018"]]},"citation-key":"daySafeSchoolsTransgender2018"}}],"schema":"https://github.com/citation-style-language/schema/raw/master/csl-citation.json"} </w:instrText>
      </w:r>
      <w:r w:rsidRPr="00603068">
        <w:fldChar w:fldCharType="separate"/>
      </w:r>
      <w:r w:rsidRPr="00603068">
        <w:t>(47)</w:t>
      </w:r>
      <w:r w:rsidRPr="00603068">
        <w:fldChar w:fldCharType="end"/>
      </w:r>
      <w:r w:rsidRPr="00603068">
        <w:t xml:space="preserve"> One study in Australia found a wide range of different negative experiences reported by sexuality and gender diverse secondary school students.</w:t>
      </w:r>
      <w:r w:rsidRPr="00603068">
        <w:fldChar w:fldCharType="begin"/>
      </w:r>
      <w:r w:rsidRPr="00603068">
        <w:instrText xml:space="preserve"> ADDIN ZOTERO_ITEM CSL_CITATION {"citationID":"avj7smu837","properties":{"formattedCitation":"(48)","plainCitation":"(48)","noteIndex":0},"citationItems":[{"id":5784,"uris":["http://zotero.org/groups/2463045/items/MBH89UGF"],"itemData":{"id":5784,"type":"report","event-place":"Sydney","language":"en","note":"DOI: 10.4225/35/5aa0636045a3a","publisher":"Centre for Education Research, School of Education, Western Sydney University,","publisher-place":"Sydney","source":"researchdirect.westernsydney.edu.au","title":"Free2Be?: Exploring the schooling experiences of Australia’s sexuality and gender diverse secondary school students","title-short":"Free2Be?","URL":"https://researchdirect.westernsydney.edu.au/islandora/object/uws%3A32727/","author":[{"family":"Ullman","given":"Jacqueline"}],"accessed":{"date-parts":[["2022",2,4]]},"issued":{"date-parts":[["2015"]]},"citation-key":"ullmanFree2BeExploringSchooling2015"}}],"schema":"https://github.com/citation-style-language/schema/raw/master/csl-citation.json"} </w:instrText>
      </w:r>
      <w:r w:rsidRPr="00603068">
        <w:fldChar w:fldCharType="separate"/>
      </w:r>
      <w:r w:rsidRPr="00603068">
        <w:t>(48)</w:t>
      </w:r>
      <w:r w:rsidRPr="00603068">
        <w:fldChar w:fldCharType="end"/>
      </w:r>
      <w:r w:rsidRPr="00603068">
        <w:t xml:space="preserve"> Studies have also found that in the general population, people with disability </w:t>
      </w:r>
      <w:r w:rsidRPr="00603068">
        <w:lastRenderedPageBreak/>
        <w:t>can report a range of different forms of bullying or victimisation at school.</w:t>
      </w:r>
      <w:r w:rsidRPr="00603068">
        <w:fldChar w:fldCharType="begin"/>
      </w:r>
      <w:r w:rsidRPr="00603068">
        <w:instrText xml:space="preserve"> ADDIN ZOTERO_ITEM CSL_CITATION {"citationID":"a1rgre593r1","properties":{"formattedCitation":"(49)","plainCitation":"(49)","noteIndex":0},"citationItems":[{"id":5787,"uris":["http://zotero.org/groups/2463045/items/2ZV9KDTG"],"itemData":{"id":5787,"type":"article-journal","abstract":"Addressing bullying victimization of students with disability is a significant challenge for schools. While social support can protect against bullying victimization in the general population, its role in mediating the relationship between disability and bullying is under-researched. This paper examined covert bullying prevalence (encompassing relational, social and indirect aggression) and its relationship to social support (peer, family, and teacher) among a national sample of 4,753 Australian 8–14 year olds, 490 of whom self-identified as living with disability. Positive teacher and peer support predicted the reduced probability of bullying victimization among students overall, but low support levels among students with disability negated this effect. Interventions to address covert bullying of students with disability need to focus on whole-school approaches that reduce opportunities for victimization of students with disability.","container-title":"Journal of School Violence","DOI":"10.1080/15388220.2019.1644180","ISSN":"1538-8220","issue":"4","note":"publisher: Routledge\n_eprint: https://doi.org/10.1080/15388220.2019.1644180","page":"613-629","source":"Taylor and Francis+NEJM","title":"The impact of social network characteristics and gender on covert bullying in Australian students with disability in the middle years","volume":"18","author":[{"family":"Moffat","given":"Anna K."},{"family":"Redmond","given":"Gerry"},{"family":"Raghavendra","given":"Parimala"}],"issued":{"date-parts":[["2019"]]},"citation-key":"moffatImpactSocialNetwork2019"}}],"schema":"https://github.com/citation-style-language/schema/raw/master/csl-citation.json"} </w:instrText>
      </w:r>
      <w:r w:rsidRPr="00603068">
        <w:fldChar w:fldCharType="separate"/>
      </w:r>
      <w:r w:rsidRPr="00603068">
        <w:t>(49)</w:t>
      </w:r>
      <w:r w:rsidRPr="00603068">
        <w:fldChar w:fldCharType="end"/>
      </w:r>
      <w:r w:rsidRPr="00603068">
        <w:t xml:space="preserve"> In addition, for students in general, lacking a feeling of connectedness to school has been linked to mental health outcomes.</w:t>
      </w:r>
      <w:r w:rsidRPr="00603068">
        <w:fldChar w:fldCharType="begin"/>
      </w:r>
      <w:r w:rsidRPr="00603068">
        <w:instrText xml:space="preserve"> ADDIN ZOTERO_ITEM CSL_CITATION {"citationID":"a6i54gava8","properties":{"formattedCitation":"(50)","plainCitation":"(50)","noteIndex":0},"citationItems":[{"id":5790,"uris":["http://zotero.org/groups/2463045/items/HZPMRWFE"],"itemData":{"id":5790,"type":"article-journal","abstract":"There is limited prospective research on the relation between school connectedness (i.e., the extent to which students feel accepted, valued, respected, and included in the school) and mental health symptoms in adolescents. A sample of 2,022 students (999 boys and 1,023 girls) ages 12 to 14 years were measured at 2 time points (12 months apart) on school connectedness and mental health symptoms (general functioning, depression, and anxiety symptoms). School connectedness correlated extensively with concurrent mental health symptoms at both time points (between 38% and 55% covariation with depression, 26% to 46% with general functioning, and 9% and 16% for anxiety symptoms). Using hierarchical linear modeling, school connectedness also predicted depressive symptoms 1 year later for both boys and girls, anxiety symptoms for girls, and general functioning for boys, even after controlling for prior symptoms. The reverse, however, was not true: Prior mental health symptoms did not predict school connectedness 1 year later when controlling for prior school connectedness. Results suggest a stronger than previously reported association with school connectedness and adolescent depressive symptoms in particular and a predictive link from school connectedness to future mental health problems.","container-title":"Journal of Clinical Child &amp; Adolescent Psychology","DOI":"10.1207/s15374424jccp3502_1","ISSN":"1537-4416","issue":"2","note":"publisher: Routledge\n_eprint: https://doi.org/10.1207/s15374424jccp3502_1\nPMID: 16597213","page":"170-179","source":"Taylor and Francis+NEJM","title":"School connectedness is an underemphasized parameter in adolescent mental health: Results of a community prediction study","title-short":"School Connectedness Is an Underemphasized Parameter in Adolescent Mental Health","volume":"35","author":[{"family":"Shochet","given":"Ian M."},{"family":"Dadds","given":"Mark R."},{"family":"Ham","given":"David"},{"family":"Montague","given":"Roslyn"}],"issued":{"date-parts":[["2006"]]},"citation-key":"shochetSchoolConnectednessUnderemphasized2006"}}],"schema":"https://github.com/citation-style-language/schema/raw/master/csl-citation.json"} </w:instrText>
      </w:r>
      <w:r w:rsidRPr="00603068">
        <w:fldChar w:fldCharType="separate"/>
      </w:r>
      <w:r w:rsidRPr="00603068">
        <w:t>(50)</w:t>
      </w:r>
      <w:r w:rsidRPr="00603068">
        <w:fldChar w:fldCharType="end"/>
      </w:r>
      <w:r w:rsidRPr="00603068">
        <w:t xml:space="preserve"> </w:t>
      </w:r>
    </w:p>
    <w:p w14:paraId="75820C3A" w14:textId="77777777" w:rsidR="009D0006" w:rsidRDefault="009D0006" w:rsidP="009D0006">
      <w:pPr>
        <w:rPr>
          <w:rFonts w:ascii="Roboto" w:eastAsia="MS Mincho" w:hAnsi="Roboto" w:cs="Arial"/>
          <w:color w:val="000000" w:themeColor="text1"/>
          <w:spacing w:val="5"/>
          <w:sz w:val="52"/>
          <w:szCs w:val="52"/>
          <w:lang w:bidi="en-US"/>
        </w:rPr>
      </w:pPr>
      <w:bookmarkStart w:id="452" w:name="_Toc58252088"/>
      <w:r>
        <w:br w:type="page"/>
      </w:r>
    </w:p>
    <w:p w14:paraId="191C0688" w14:textId="2CF0D87A" w:rsidR="009D0006" w:rsidRPr="000073E5" w:rsidRDefault="009D0006" w:rsidP="00153892">
      <w:pPr>
        <w:pStyle w:val="Heading1Numbered"/>
      </w:pPr>
      <w:bookmarkStart w:id="453" w:name="_Toc115968560"/>
      <w:bookmarkStart w:id="454" w:name="_Toc119662425"/>
      <w:r w:rsidRPr="000073E5">
        <w:t>Experiences</w:t>
      </w:r>
      <w:r w:rsidRPr="000073E5">
        <w:lastRenderedPageBreak/>
        <w:t xml:space="preserve"> of harassment, abuse</w:t>
      </w:r>
      <w:bookmarkEnd w:id="452"/>
      <w:r w:rsidRPr="000073E5">
        <w:t xml:space="preserve"> and discrimination</w:t>
      </w:r>
      <w:bookmarkEnd w:id="453"/>
      <w:bookmarkEnd w:id="454"/>
    </w:p>
    <w:p w14:paraId="633353D0" w14:textId="77777777" w:rsidR="009D0006" w:rsidRPr="000449C1" w:rsidRDefault="009D0006" w:rsidP="009D0006">
      <w:bookmarkStart w:id="455" w:name="_Toc40192112"/>
      <w:bookmarkStart w:id="456" w:name="_Toc48749218"/>
      <w:bookmarkStart w:id="457" w:name="_Toc58252089"/>
      <w:bookmarkStart w:id="458" w:name="_Hlk45614526"/>
      <w:r>
        <w:t>V</w:t>
      </w:r>
      <w:r w:rsidRPr="000449C1">
        <w:t>arious studies provide evidence that LGBT people with disabilit</w:t>
      </w:r>
      <w:r>
        <w:t>y</w:t>
      </w:r>
      <w:r w:rsidRPr="000449C1">
        <w:t xml:space="preserve"> experience harassment, verbal abuse, physical violence, </w:t>
      </w:r>
      <w:r>
        <w:t xml:space="preserve">neglect </w:t>
      </w:r>
      <w:r w:rsidRPr="000449C1">
        <w:t>and sexual assault at higher rates than LGBT people without disabilit</w:t>
      </w:r>
      <w:r>
        <w:t>y.</w:t>
      </w:r>
      <w:r w:rsidRPr="000449C1">
        <w:fldChar w:fldCharType="begin"/>
      </w:r>
      <w:r>
        <w:instrText xml:space="preserve"> ADDIN ZOTERO_ITEM CSL_CITATION {"citationID":"VcWv0GGU","properties":{"formattedCitation":"(43,51,52)","plainCitation":"(43,51,52)","noteIndex":0},"citationItems":[{"id":"hc6yy1rM/a3VfWPDc","uris":["http://zotero.org/users/4948307/items/PCJYHUVT"],"itemData":{"id":4016,"type":"article-journal","abstract":"Despite prejudice-based harassment's associations with serious physical and mental health risks, research examining multiple forms of harassment among children/adolescents is lacking. This study documents the prevalence of prejudice-based harassment (i.e., harassment on the basis of gender, race/ethnicity, weight or physical appearance, sexual orientation, and disability status) among a large, statewide, school-based Midwestern U.S. sample of 162,034 adolescents. Weight-/appearance-based harassment was most prevalent among both girls (25.3%) and boys (19.8%). Adolescents from certain vulnerable groups experienced higher rates of multiple types of harassment, even when controlling for other sociodemographic characteristics. Prejudice-based harassment experiences are prevalent among adolescent girls and boys. Differential rates of each type of harassment are reported across groups within the corresponding sociodemographic status (e.g., white female adolescents report a significantly lower rate of race-based harassment (4.8%), as compared to Native American (18.6%), mixed/other race (18.9%), Hispanic/Latina (21.5%), Asian/Pacific Islander (24.2%), or Black/African American (24.8%) female adolescents); but a pattern of cross-harassment also is evident, such that differences in prevalence of each harassment type emerge across a variety of statuses (e.g., disability-based harassment was statistically significantly higher among discordant heterosexual (12.7%), gay (13.0%), bisexual (15.3%), and unsure (15.3%) male adolescents than among heterosexual male (7.2%) adolescents). Adolescents from specific sociodemographic groups are particularly vulnerable to certain types of harassment.","archive":"Cinahl","archive_location":"116764588. Language: English. Entry Date: 20180725. Revision Date: 20170421. Publication Type: journal article","container-title":"Journal of Adolescence","DOI":"10.1016/j.adolescence.2016.05.012","ISSN":"0140-1971","page":"68-75","source":"EBSCOhost","title":"Youth experiences with multiple types of prejudice-based harassment","volume":"51","author":[{"family":"Bucchianeri","given":"Michaela M."},{"family":"Gower","given":"Amy L."},{"family":"McMorris","given":"Barbara J."},{"family":"Eisenberg","given":"Marla E."}],"issued":{"date-parts":[["2016"]]}}},{"id":"hc6yy1rM/4KP81inl","uris":["http://zotero.org/users/4948307/items/IB9U2PC3"],"itemData":{"id":140,"type":"report","language":"en","note":"OCLC: 976431115","source":"Open WorldCat","title":"The everyday experiences of lesbian, gay, bisexual, transgender and intersex (LGBTI) people living with disability","title-short":"LGBTI+ History Month","author":[{"family":"Leonard","given":"William"},{"family":"Mann","given":"Rosemary"}],"issued":{"date-parts":[["2018"]]}}},{"id":"hc6yy1rM/dBVzB2Ry","uris":["http://zotero.org/users/4948307/items/H8836S2S"],"itemData":{"id":4321,"type":"article-journal","abstract":"This study examined the extent to which disability status, alone and in combination with other social identities, was associated with differential levels of exposure to peer victimization. Logistic analyses of survey responses from eleventh graders completing the 2008 Oregon Healthy Teen survey (N = 7,091) utilized an intersectional, intercategorical method. Findings revealed that youth with disabilities were significantly more likely to report exposure to peer victimization, compared to youth without disabilities. The highest odds of exposure to peer victimization were found among disabled sexual minority males (adjusted odds ratio [AOR] = 10.8 [5.84, 19.9]) and females (AOR = 4.0 [3.06, 5.25]). In order to effectively address the problem of peer victimization, it will be important to focus on youth with multiple marginalized identities including disability.","archive":"Cinahl","archive_location":"97315998. Language: English. Entry Date: 20140804. Revision Date: 20190304. Publication Type: Article","container-title":"Journal of School Violence","DOI":"10.1080/15388220.2014.894914","ISSN":"1538-8220","issue":"4","page":"396-421","source":"EBSCOhost","title":"Lost in the Margins? Intersections Between Disability and Other Nondominant Statuses With Regard to Peer Victimization","volume":"13","author":[{"family":"McGee","given":"Marjorie G."}],"issued":{"date-parts":[["2014"]]}}}],"schema":"https://github.com/citation-style-language/schema/raw/master/csl-citation.json"} </w:instrText>
      </w:r>
      <w:r w:rsidRPr="000449C1">
        <w:fldChar w:fldCharType="separate"/>
      </w:r>
      <w:r>
        <w:rPr>
          <w:lang w:val="en-GB"/>
        </w:rPr>
        <w:t>(43,51,52)</w:t>
      </w:r>
      <w:r w:rsidRPr="000449C1">
        <w:fldChar w:fldCharType="end"/>
      </w:r>
      <w:r w:rsidRPr="000449C1">
        <w:t xml:space="preserve"> LGBTQ people with disability </w:t>
      </w:r>
      <w:r>
        <w:t xml:space="preserve">commonly </w:t>
      </w:r>
      <w:r w:rsidRPr="000449C1">
        <w:t>report feeling isolated and ostracised from both the LGBTQ and disability communities. For example, lesbian-identifying people with disability reported feeling excluded from both the lesbian community and the disability community in the U</w:t>
      </w:r>
      <w:r>
        <w:t>.</w:t>
      </w:r>
      <w:r w:rsidRPr="000449C1">
        <w:t>S</w:t>
      </w:r>
      <w:r>
        <w:t>.</w:t>
      </w:r>
      <w:r w:rsidRPr="000449C1">
        <w:fldChar w:fldCharType="begin"/>
      </w:r>
      <w:r>
        <w:instrText xml:space="preserve"> ADDIN ZOTERO_ITEM CSL_CITATION {"citationID":"QqKYA26a","properties":{"formattedCitation":"(40)","plainCitation":"(40)","noteIndex":0},"citationItems":[{"id":"hc6yy1rM/0bnpBiia","uris":["http://zotero.org/users/4948307/items/K83VAZBV"],"itemData":{"id":4206,"type":"article-journal","abstract":"This article explores how stigma intersects with both the disability and the lesbian communities. Despite decades of research reporting the consequences of stigma facing non-dominant groups in areas including sexual orientation and disability, lesbians continue to encounter attitudinal and environmental barriers that threaten their general health and quality of life. It is important to examine and understand the impact of the intersection of multiple threats individuals encounter as a result of their membership in multiple marginalized groups. This article examines the body of research that investigates the stigma associated with being lesbian with a disability in pursuit of the basic tenets of life and the supports and systematic change required to mitigate the associated pressures. Conclusions and implications are discussed at the end of the article.","archive":"Cinahl","archive_location":"112088368. Language: English. Entry Date: 20160112. Revision Date: 20170515. Publication Type: Article","container-title":"Journal of Rehabilitation","ISSN":"0022-4154","issue":"4","page":"49-56","source":"EBSCOhost","title":"Addressing Disability Stigma within the Lesbian Community","volume":"81","author":[{"family":"Vaughn","given":"Mya"},{"family":"McEntee","given":"Barbara"},{"family":"Schoen","given":"Barbara"},{"family":"McGrady","given":"Michele"}],"issued":{"date-parts":[["2015"]]}}}],"schema":"https://github.com/citation-style-language/schema/raw/master/csl-citation.json"} </w:instrText>
      </w:r>
      <w:r w:rsidRPr="000449C1">
        <w:fldChar w:fldCharType="separate"/>
      </w:r>
      <w:r>
        <w:rPr>
          <w:lang w:val="en-GB"/>
        </w:rPr>
        <w:t>(40)</w:t>
      </w:r>
      <w:r w:rsidRPr="000449C1">
        <w:fldChar w:fldCharType="end"/>
      </w:r>
      <w:r w:rsidRPr="000449C1">
        <w:t>, and those with cognitive disabilities were reported to experience having their sexual autonomy controlled by medical profession gatekeepers. Similarly, gay-identifying people with intellectual disabilities reported feeling lonely and isolated from society in the Netherlands</w:t>
      </w:r>
      <w:r w:rsidRPr="009F2DDE">
        <w:fldChar w:fldCharType="begin"/>
      </w:r>
      <w:r>
        <w:instrText xml:space="preserve"> ADDIN ZOTERO_ITEM CSL_CITATION {"citationID":"ab779mfm0h","properties":{"formattedCitation":"(39)","plainCitation":"(39)","noteIndex":0},"citationItems":[{"id":"hc6yy1rM/D2mBumDK","uris":["http://zotero.org/users/4948307/items/RKH8S3SS"],"itemData":{"id":"Z7ANDQFf/v3umwoYQ","type":"article-journal","abstract":"Background Empirical research on homosexuality among people with an intellectual disability (ID) is limited and, to date, very little is known regarding the personal experiences of gay and lesbian people with an ID. This study set out to answer the question: What are the lived experiences of a specific cohort of homosexual people with an intellectual disability living in the Netherlands? Method To answer this question, a qualitative study was performed in which 21 people with a mild ID were interviewed via semi-structured interviews. In this study, 19 participants were men and two were women (average age = 40.5 years). Results Participants reported positive and negative experiences, and talked about their gay or lesbian identity. Almost half of the participants ( n = 10) reported that they had experienced sexual abuse including partner violence ( n = 6). Additionally, they indicated that there was a lack of support for homosexual people with an ID. Conclusion Specific problems impact the lives of homosexual people with ID, namely the high prevalence of negative sexual experiences, the lack of support, training and sex education, and their search for a suitable partner.","archive":"Cinahl","archive_location":"104310736. Language: English. Entry Date: 20130206. Revision Date: 20200708. Publication Type: Journal Article","container-title":"Journal of Intellectual Disability Research","DOI":"10.1111/j.1365-2788.2011.01532.x","ISSN":"0964-2633","issue":"3","page":"257-267","source":"EBSCOhost","title":"Homosexuality among people with a mild intellectual disability: an explorative study on the lived experiences of homosexual people in the Netherlands with a mild intellectual disability","volume":"57","author":[{"family":"Stoffelen","given":"J."},{"family":"Kok","given":"G."},{"family":"Hospers","given":"H."},{"family":"Curfs","given":"L. M. G."}],"issued":{"date-parts":[["2013"]]}}}],"schema":"https://github.com/citation-style-language/schema/raw/master/csl-citation.json"} </w:instrText>
      </w:r>
      <w:r w:rsidRPr="009F2DDE">
        <w:fldChar w:fldCharType="separate"/>
      </w:r>
      <w:r>
        <w:rPr>
          <w:lang w:val="en-GB"/>
        </w:rPr>
        <w:t>(39)</w:t>
      </w:r>
      <w:r w:rsidRPr="009F2DDE">
        <w:fldChar w:fldCharType="end"/>
      </w:r>
      <w:r>
        <w:t>,</w:t>
      </w:r>
      <w:r w:rsidRPr="000449C1">
        <w:t xml:space="preserve"> </w:t>
      </w:r>
      <w:r>
        <w:t xml:space="preserve">reflecting </w:t>
      </w:r>
      <w:r w:rsidRPr="000449C1">
        <w:t xml:space="preserve">the </w:t>
      </w:r>
      <w:r>
        <w:t>multiple</w:t>
      </w:r>
      <w:r w:rsidRPr="000449C1">
        <w:t xml:space="preserve"> marginali</w:t>
      </w:r>
      <w:r>
        <w:t>s</w:t>
      </w:r>
      <w:r w:rsidRPr="000449C1">
        <w:t>ation experienced by LGBT people with disabilit</w:t>
      </w:r>
      <w:r>
        <w:t>y.</w:t>
      </w:r>
      <w:r w:rsidRPr="000449C1">
        <w:fldChar w:fldCharType="begin"/>
      </w:r>
      <w:r>
        <w:instrText xml:space="preserve"> ADDIN ZOTERO_ITEM CSL_CITATION {"citationID":"hzSSkcv4","properties":{"formattedCitation":"(22)","plainCitation":"(22)","noteIndex":0},"citationItems":[{"id":"hc6yy1rM/N4GYtR03","uris":["http://zotero.org/users/4948307/items/XSR73PQ6"],"itemData":{"id":6991,"type":"article-journal","abstract":"This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M"},{"family":"Frawley","given":"Patsie"},{"family":"Gallego","given":"Gisselle"}],"issued":{"date-parts":[["2018",6,1]]}}}],"schema":"https://github.com/citation-style-language/schema/raw/master/csl-citation.json"} </w:instrText>
      </w:r>
      <w:r w:rsidRPr="000449C1">
        <w:fldChar w:fldCharType="separate"/>
      </w:r>
      <w:r>
        <w:rPr>
          <w:lang w:val="en-GB"/>
        </w:rPr>
        <w:t>(22)</w:t>
      </w:r>
      <w:r w:rsidRPr="000449C1">
        <w:fldChar w:fldCharType="end"/>
      </w:r>
    </w:p>
    <w:p w14:paraId="43234C8C" w14:textId="2EAD80AF" w:rsidR="009D0006" w:rsidRPr="000073E5" w:rsidRDefault="009D0006" w:rsidP="00153892">
      <w:pPr>
        <w:pStyle w:val="Heading2Numbered"/>
      </w:pPr>
      <w:bookmarkStart w:id="459" w:name="_Toc115968561"/>
      <w:bookmarkStart w:id="460" w:name="_Toc119662426"/>
      <w:r w:rsidRPr="000073E5">
        <w:t>Experiences of harassment</w:t>
      </w:r>
      <w:bookmarkEnd w:id="455"/>
      <w:r w:rsidRPr="000073E5">
        <w:t xml:space="preserve"> based on </w:t>
      </w:r>
      <w:bookmarkEnd w:id="456"/>
      <w:r w:rsidRPr="000073E5">
        <w:t>sexuality or gender identity</w:t>
      </w:r>
      <w:bookmarkEnd w:id="457"/>
      <w:r w:rsidRPr="000073E5">
        <w:t xml:space="preserve"> among participants with disability – young people aged 14-21 years</w:t>
      </w:r>
      <w:bookmarkEnd w:id="459"/>
      <w:bookmarkEnd w:id="460"/>
    </w:p>
    <w:p w14:paraId="3C3C659C" w14:textId="77777777" w:rsidR="009D0006" w:rsidRPr="000073E5" w:rsidRDefault="009D0006" w:rsidP="009D0006">
      <w:bookmarkStart w:id="461" w:name="_Hlk45615144"/>
      <w:r w:rsidRPr="000073E5">
        <w:t xml:space="preserve">Participants </w:t>
      </w:r>
      <w:r>
        <w:t xml:space="preserve">in </w:t>
      </w:r>
      <w:r w:rsidRPr="005F1427">
        <w:rPr>
          <w:i/>
          <w:iCs/>
        </w:rPr>
        <w:t>Writing Themselves In 4</w:t>
      </w:r>
      <w:r>
        <w:t xml:space="preserve"> </w:t>
      </w:r>
      <w:r w:rsidRPr="000073E5">
        <w:t>were asked if</w:t>
      </w:r>
      <w:r>
        <w:t>,</w:t>
      </w:r>
      <w:r w:rsidRPr="000073E5">
        <w:t xml:space="preserve"> in the past 12 months or ever in their lifetimes</w:t>
      </w:r>
      <w:r>
        <w:t>,</w:t>
      </w:r>
      <w:r w:rsidRPr="000073E5">
        <w:t xml:space="preserve"> they had experienced any of the following forms of harassment or assault based on their sexuality or gender identity:</w:t>
      </w:r>
    </w:p>
    <w:p w14:paraId="7412E7D6" w14:textId="77777777" w:rsidR="009D0006" w:rsidRPr="000073E5" w:rsidRDefault="009D0006" w:rsidP="00603068">
      <w:pPr>
        <w:pStyle w:val="Bulletlist"/>
        <w:rPr>
          <w:lang w:val="en-US"/>
        </w:rPr>
      </w:pPr>
      <w:r w:rsidRPr="000073E5">
        <w:rPr>
          <w:lang w:val="en-US"/>
        </w:rPr>
        <w:t>Verbal (e.g.</w:t>
      </w:r>
      <w:r>
        <w:rPr>
          <w:lang w:val="en-US"/>
        </w:rPr>
        <w:t>,</w:t>
      </w:r>
      <w:r w:rsidRPr="000073E5">
        <w:rPr>
          <w:lang w:val="en-US"/>
        </w:rPr>
        <w:t xml:space="preserve"> been called names or threatened) </w:t>
      </w:r>
    </w:p>
    <w:p w14:paraId="1454F89A" w14:textId="77777777" w:rsidR="009D0006" w:rsidRPr="000073E5" w:rsidRDefault="009D0006" w:rsidP="00603068">
      <w:pPr>
        <w:pStyle w:val="Bulletlist"/>
        <w:rPr>
          <w:lang w:val="en-US"/>
        </w:rPr>
      </w:pPr>
      <w:r w:rsidRPr="000073E5">
        <w:rPr>
          <w:lang w:val="en-US"/>
        </w:rPr>
        <w:t>Physical (e.g.</w:t>
      </w:r>
      <w:r>
        <w:rPr>
          <w:lang w:val="en-US"/>
        </w:rPr>
        <w:t>,</w:t>
      </w:r>
      <w:r w:rsidRPr="000073E5">
        <w:rPr>
          <w:lang w:val="en-US"/>
        </w:rPr>
        <w:t xml:space="preserve"> being shoved, punched or injured with a weapon)</w:t>
      </w:r>
    </w:p>
    <w:p w14:paraId="1AD1E92A" w14:textId="77777777" w:rsidR="009D0006" w:rsidRPr="000073E5" w:rsidRDefault="009D0006" w:rsidP="00603068">
      <w:pPr>
        <w:pStyle w:val="Bulletlist"/>
        <w:rPr>
          <w:lang w:val="en-US"/>
        </w:rPr>
      </w:pPr>
      <w:r w:rsidRPr="000073E5">
        <w:rPr>
          <w:lang w:val="en-US"/>
        </w:rPr>
        <w:t>Sexual (e.g.</w:t>
      </w:r>
      <w:r>
        <w:rPr>
          <w:lang w:val="en-US"/>
        </w:rPr>
        <w:t>,</w:t>
      </w:r>
      <w:r w:rsidRPr="000073E5">
        <w:rPr>
          <w:lang w:val="en-US"/>
        </w:rPr>
        <w:t xml:space="preserve"> unwanted touching, sexual remarks, sexual messages or being forced to perform any unwanted sexual act)</w:t>
      </w:r>
    </w:p>
    <w:p w14:paraId="01EAB319" w14:textId="77777777" w:rsidR="009D0006" w:rsidRDefault="009D0006" w:rsidP="009D0006">
      <w:r w:rsidRPr="000073E5">
        <w:t xml:space="preserve">In total, </w:t>
      </w:r>
      <w:r>
        <w:t xml:space="preserve">2416 </w:t>
      </w:r>
      <w:r w:rsidRPr="000073E5">
        <w:t xml:space="preserve">participants </w:t>
      </w:r>
      <w:r>
        <w:t xml:space="preserve">with disability </w:t>
      </w:r>
      <w:r w:rsidRPr="000073E5">
        <w:t xml:space="preserve">responded to questions regarding experiences of verbal harassment, </w:t>
      </w:r>
      <w:r>
        <w:t xml:space="preserve">2145 </w:t>
      </w:r>
      <w:r w:rsidRPr="000073E5">
        <w:t xml:space="preserve">responded to questions regarding experiences of </w:t>
      </w:r>
      <w:r>
        <w:t xml:space="preserve">physical </w:t>
      </w:r>
      <w:r w:rsidRPr="000073E5">
        <w:t xml:space="preserve">harassment or assault and </w:t>
      </w:r>
      <w:r>
        <w:t xml:space="preserve">2219 </w:t>
      </w:r>
      <w:r w:rsidRPr="000073E5">
        <w:t xml:space="preserve">responded to questions regarding experiences of sexual harassment or assault. Figure </w:t>
      </w:r>
      <w:r>
        <w:t>4</w:t>
      </w:r>
      <w:r w:rsidRPr="000073E5">
        <w:t xml:space="preserve"> displays their responses.</w:t>
      </w:r>
    </w:p>
    <w:p w14:paraId="23E57A75" w14:textId="77777777" w:rsidR="009D0006" w:rsidRDefault="009D0006" w:rsidP="009D0006">
      <w:pPr>
        <w:rPr>
          <w:sz w:val="18"/>
          <w:szCs w:val="18"/>
        </w:rPr>
      </w:pPr>
      <w:r>
        <w:br w:type="page"/>
      </w:r>
    </w:p>
    <w:p w14:paraId="3597B313" w14:textId="77777777" w:rsidR="009D0006" w:rsidRPr="000073E5" w:rsidRDefault="009D0006" w:rsidP="00FD1390">
      <w:pPr>
        <w:pStyle w:val="FigureHeading"/>
      </w:pPr>
      <w:bookmarkStart w:id="462" w:name="_Toc48137935"/>
      <w:bookmarkStart w:id="463" w:name="_Toc49781903"/>
      <w:bookmarkStart w:id="464" w:name="_Toc117062854"/>
      <w:bookmarkStart w:id="465" w:name="_Toc119657410"/>
      <w:bookmarkStart w:id="466" w:name="_Hlk50059149"/>
      <w:r w:rsidRPr="00FE11A5">
        <w:rPr>
          <w:bCs/>
        </w:rPr>
        <w:t xml:space="preserve">Figure </w:t>
      </w:r>
      <w:r w:rsidRPr="00FE11A5">
        <w:rPr>
          <w:bCs/>
        </w:rPr>
        <w:fldChar w:fldCharType="begin"/>
      </w:r>
      <w:r w:rsidRPr="00FE11A5">
        <w:rPr>
          <w:bCs/>
        </w:rPr>
        <w:instrText xml:space="preserve"> SE</w:instrText>
      </w:r>
      <w:r w:rsidRPr="00FE11A5">
        <w:rPr>
          <w:bCs/>
        </w:rPr>
        <w:lastRenderedPageBreak/>
        <w:instrText xml:space="preserve">Q Figure \* ARABIC </w:instrText>
      </w:r>
      <w:r w:rsidRPr="00FE11A5">
        <w:rPr>
          <w:bCs/>
        </w:rPr>
        <w:fldChar w:fldCharType="separate"/>
      </w:r>
      <w:r>
        <w:rPr>
          <w:bCs/>
          <w:noProof/>
        </w:rPr>
        <w:t>4</w:t>
      </w:r>
      <w:r w:rsidRPr="00FE11A5">
        <w:rPr>
          <w:bCs/>
        </w:rPr>
        <w:fldChar w:fldCharType="end"/>
      </w:r>
      <w:r>
        <w:t xml:space="preserve">: </w:t>
      </w:r>
      <w:r w:rsidRPr="000073E5">
        <w:t xml:space="preserve">Experiences of verbal, physical and sexual harassment or assault based on </w:t>
      </w:r>
      <w:r>
        <w:t>sexual orientation</w:t>
      </w:r>
      <w:r w:rsidRPr="000073E5">
        <w:t xml:space="preserve"> or gender identity</w:t>
      </w:r>
      <w:bookmarkEnd w:id="462"/>
      <w:bookmarkEnd w:id="463"/>
      <w:r w:rsidRPr="000073E5">
        <w:t xml:space="preserve"> among </w:t>
      </w:r>
      <w:r>
        <w:t xml:space="preserve">young people </w:t>
      </w:r>
      <w:r w:rsidRPr="000073E5">
        <w:t>with disability</w:t>
      </w:r>
      <w:r>
        <w:t xml:space="preserve"> aged 14-21 years</w:t>
      </w:r>
      <w:bookmarkEnd w:id="464"/>
      <w:bookmarkEnd w:id="465"/>
    </w:p>
    <w:bookmarkEnd w:id="458"/>
    <w:bookmarkEnd w:id="466"/>
    <w:p w14:paraId="17BD9ED8" w14:textId="77777777" w:rsidR="009D0006" w:rsidRPr="000073E5" w:rsidRDefault="009D0006" w:rsidP="009D0006">
      <w:pPr>
        <w:spacing w:after="200" w:line="276" w:lineRule="auto"/>
        <w:jc w:val="center"/>
        <w:rPr>
          <w:rFonts w:ascii="Roboto" w:eastAsia="MS Mincho" w:hAnsi="Roboto"/>
          <w:noProof/>
          <w:sz w:val="18"/>
          <w:szCs w:val="18"/>
        </w:rPr>
      </w:pPr>
      <w:r>
        <w:rPr>
          <w:noProof/>
          <w:lang w:eastAsia="en-AU"/>
        </w:rPr>
        <w:drawing>
          <wp:inline distT="0" distB="0" distL="0" distR="0" wp14:anchorId="3EC28AEF" wp14:editId="4858BFB3">
            <wp:extent cx="5731510" cy="3101340"/>
            <wp:effectExtent l="0" t="0" r="0" b="0"/>
            <wp:docPr id="4" name="Chart 4" descr="A figure that shows different coloured columns. These columns indicate the percentage of young people with disability who reported experiencing verbal, physical or sexual harassment or assault either in the past 12 months or ever. ">
              <a:extLst xmlns:a="http://schemas.openxmlformats.org/drawingml/2006/main">
                <a:ext uri="{FF2B5EF4-FFF2-40B4-BE49-F238E27FC236}">
                  <a16:creationId xmlns:a16="http://schemas.microsoft.com/office/drawing/2014/main" id="{D90F223C-F5CE-F643-BB70-0C8833C34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838E1F" w14:textId="77777777" w:rsidR="009D0006" w:rsidRDefault="009D0006" w:rsidP="009D0006">
      <w:r>
        <w:t xml:space="preserve">Verbal abuse was the most frequently experienced form of harassment or assault based on sexual orientation or gender identity reported by participants with disability in </w:t>
      </w:r>
      <w:r>
        <w:rPr>
          <w:i/>
          <w:iCs/>
        </w:rPr>
        <w:t>Writing Themselves In 4,</w:t>
      </w:r>
      <w:r>
        <w:t xml:space="preserve"> with two-thirds (66.3%; n = 1601) of participants reporting experiences of verbal harassment in their lifetime and almost half (48.4%; n = 1170) experiencing verbal harassment in the past 12 months. Two-fifths of participants (39.3%; n = 871) had experienced sexual harassment in their lifetime, with 29.7% (n = 660) reporting experiences of sexual assault in the past 12 months. Physical harassment was experienced by 20.0% (n = 430) of participants in their lifetime and by 12.4% (n = 265) of participants in the past 12 months.</w:t>
      </w:r>
    </w:p>
    <w:p w14:paraId="6593D384" w14:textId="77777777" w:rsidR="009D0006" w:rsidRDefault="009D0006" w:rsidP="00603068">
      <w:pPr>
        <w:pStyle w:val="Tableheading"/>
      </w:pPr>
      <w:bookmarkStart w:id="467" w:name="_Toc117062756"/>
      <w:bookmarkStart w:id="468" w:name="_Toc119651441"/>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38</w:t>
      </w:r>
      <w:r w:rsidRPr="00985828">
        <w:rPr>
          <w:bCs/>
          <w:sz w:val="18"/>
          <w:szCs w:val="18"/>
        </w:rPr>
        <w:fldChar w:fldCharType="end"/>
      </w:r>
      <w:r>
        <w:t>.1-38.7:</w:t>
      </w:r>
      <w:r w:rsidRPr="000073E5">
        <w:t xml:space="preserve"> Experiences of verbal, physical and sexual harassment or assault based on </w:t>
      </w:r>
      <w:r>
        <w:t>sexual orientation</w:t>
      </w:r>
      <w:r w:rsidRPr="000073E5">
        <w:t xml:space="preserve"> or gender identity in the past 12 months </w:t>
      </w:r>
      <w:r>
        <w:t>among young people aged 14-21 years, grouped by disability</w:t>
      </w:r>
      <w:bookmarkEnd w:id="467"/>
      <w:bookmarkEnd w:id="468"/>
    </w:p>
    <w:p w14:paraId="73265F58" w14:textId="77777777" w:rsidR="009D0006" w:rsidRPr="00560232" w:rsidRDefault="009D0006" w:rsidP="00603068">
      <w:pPr>
        <w:pStyle w:val="Tableheading"/>
      </w:pPr>
      <w:r>
        <w:t>Table 38.1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4A230D89"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2249E7E" w14:textId="77777777" w:rsidR="009D0006" w:rsidRPr="00560232" w:rsidRDefault="009D0006" w:rsidP="00FD1390">
            <w:pPr>
              <w:pStyle w:val="Tableheader"/>
            </w:pPr>
            <w:r w:rsidRPr="00560232">
              <w:t>Harassment or assault in past 12 months</w:t>
            </w:r>
          </w:p>
        </w:tc>
        <w:tc>
          <w:tcPr>
            <w:tcW w:w="1559" w:type="dxa"/>
            <w:noWrap/>
          </w:tcPr>
          <w:p w14:paraId="71E1146C" w14:textId="77777777" w:rsidR="009D0006" w:rsidRPr="00560232" w:rsidRDefault="009D0006" w:rsidP="00FD1390">
            <w:pPr>
              <w:pStyle w:val="Tableheader"/>
            </w:pPr>
            <w:r w:rsidRPr="00560232">
              <w:t>n</w:t>
            </w:r>
          </w:p>
        </w:tc>
        <w:tc>
          <w:tcPr>
            <w:tcW w:w="1559" w:type="dxa"/>
            <w:noWrap/>
          </w:tcPr>
          <w:p w14:paraId="62D96C77" w14:textId="77777777" w:rsidR="009D0006" w:rsidRPr="00560232" w:rsidRDefault="009D0006" w:rsidP="00FD1390">
            <w:pPr>
              <w:pStyle w:val="Tableheader"/>
            </w:pPr>
            <w:r w:rsidRPr="00560232">
              <w:t>%</w:t>
            </w:r>
          </w:p>
        </w:tc>
      </w:tr>
      <w:tr w:rsidR="009D0006" w:rsidRPr="00CC74AD" w14:paraId="37AD7422"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DCB27B9" w14:textId="77777777" w:rsidR="009D0006" w:rsidRPr="00CC74AD" w:rsidRDefault="009D0006" w:rsidP="00FD1390">
            <w:pPr>
              <w:pStyle w:val="Tabletext"/>
            </w:pPr>
            <w:r w:rsidRPr="00CC74AD">
              <w:t>Verbal</w:t>
            </w:r>
          </w:p>
        </w:tc>
        <w:tc>
          <w:tcPr>
            <w:tcW w:w="1559" w:type="dxa"/>
            <w:noWrap/>
          </w:tcPr>
          <w:p w14:paraId="35BFADB6" w14:textId="77777777" w:rsidR="009D0006" w:rsidRPr="00CC74AD" w:rsidRDefault="009D0006" w:rsidP="00FD1390">
            <w:pPr>
              <w:pStyle w:val="Tabletext"/>
            </w:pPr>
            <w:r w:rsidRPr="00CC74AD">
              <w:rPr>
                <w:color w:val="000000"/>
              </w:rPr>
              <w:t>730</w:t>
            </w:r>
          </w:p>
        </w:tc>
        <w:tc>
          <w:tcPr>
            <w:tcW w:w="1559" w:type="dxa"/>
            <w:noWrap/>
          </w:tcPr>
          <w:p w14:paraId="1578003A" w14:textId="77777777" w:rsidR="009D0006" w:rsidRPr="00CC74AD" w:rsidRDefault="009D0006" w:rsidP="00FD1390">
            <w:pPr>
              <w:pStyle w:val="Tabletext"/>
            </w:pPr>
            <w:r w:rsidRPr="00CC74AD">
              <w:rPr>
                <w:color w:val="000000"/>
              </w:rPr>
              <w:t>52.7</w:t>
            </w:r>
          </w:p>
        </w:tc>
      </w:tr>
      <w:tr w:rsidR="009D0006" w:rsidRPr="00CC74AD" w14:paraId="3286B5BF"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44D05A2" w14:textId="77777777" w:rsidR="009D0006" w:rsidRPr="00CC74AD" w:rsidRDefault="009D0006" w:rsidP="00FD1390">
            <w:pPr>
              <w:pStyle w:val="Tabletext"/>
            </w:pPr>
            <w:r w:rsidRPr="00CC74AD">
              <w:t>Physical</w:t>
            </w:r>
          </w:p>
        </w:tc>
        <w:tc>
          <w:tcPr>
            <w:tcW w:w="1559" w:type="dxa"/>
            <w:noWrap/>
          </w:tcPr>
          <w:p w14:paraId="69DDE40D" w14:textId="77777777" w:rsidR="009D0006" w:rsidRPr="00CC74AD" w:rsidRDefault="009D0006" w:rsidP="00FD1390">
            <w:pPr>
              <w:pStyle w:val="Tabletext"/>
            </w:pPr>
            <w:r w:rsidRPr="00CC74AD">
              <w:rPr>
                <w:color w:val="000000"/>
              </w:rPr>
              <w:t>185</w:t>
            </w:r>
          </w:p>
        </w:tc>
        <w:tc>
          <w:tcPr>
            <w:tcW w:w="1559" w:type="dxa"/>
            <w:noWrap/>
          </w:tcPr>
          <w:p w14:paraId="0082BC84" w14:textId="77777777" w:rsidR="009D0006" w:rsidRPr="00CC74AD" w:rsidRDefault="009D0006" w:rsidP="00FD1390">
            <w:pPr>
              <w:pStyle w:val="Tabletext"/>
            </w:pPr>
            <w:r w:rsidRPr="00CC74AD">
              <w:rPr>
                <w:color w:val="000000"/>
              </w:rPr>
              <w:t>15.0</w:t>
            </w:r>
          </w:p>
        </w:tc>
      </w:tr>
      <w:tr w:rsidR="009D0006" w:rsidRPr="00CC74AD" w14:paraId="1250A472"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4F73727" w14:textId="77777777" w:rsidR="009D0006" w:rsidRPr="00CC74AD" w:rsidRDefault="009D0006" w:rsidP="00FD1390">
            <w:pPr>
              <w:pStyle w:val="Tabletext"/>
            </w:pPr>
            <w:r w:rsidRPr="00CC74AD">
              <w:t>Sexual</w:t>
            </w:r>
          </w:p>
        </w:tc>
        <w:tc>
          <w:tcPr>
            <w:tcW w:w="1559" w:type="dxa"/>
            <w:noWrap/>
          </w:tcPr>
          <w:p w14:paraId="4B0BC58C" w14:textId="77777777" w:rsidR="009D0006" w:rsidRPr="00CC74AD" w:rsidRDefault="009D0006" w:rsidP="00FD1390">
            <w:pPr>
              <w:pStyle w:val="Tabletext"/>
            </w:pPr>
            <w:r w:rsidRPr="00CC74AD">
              <w:rPr>
                <w:color w:val="000000"/>
              </w:rPr>
              <w:t>406</w:t>
            </w:r>
          </w:p>
        </w:tc>
        <w:tc>
          <w:tcPr>
            <w:tcW w:w="1559" w:type="dxa"/>
            <w:noWrap/>
          </w:tcPr>
          <w:p w14:paraId="1DA65D29" w14:textId="77777777" w:rsidR="009D0006" w:rsidRPr="00CC74AD" w:rsidRDefault="009D0006" w:rsidP="00FD1390">
            <w:pPr>
              <w:pStyle w:val="Tabletext"/>
            </w:pPr>
            <w:r w:rsidRPr="00CC74AD">
              <w:rPr>
                <w:color w:val="000000"/>
              </w:rPr>
              <w:t>31.7</w:t>
            </w:r>
          </w:p>
        </w:tc>
      </w:tr>
    </w:tbl>
    <w:p w14:paraId="3AC165E2" w14:textId="77777777" w:rsidR="009D0006" w:rsidRDefault="009D0006" w:rsidP="00603068">
      <w:pPr>
        <w:pStyle w:val="Tableheading"/>
        <w:rPr>
          <w:lang w:val="en-GB"/>
        </w:rPr>
      </w:pPr>
      <w:r>
        <w:rPr>
          <w:lang w:val="en-GB"/>
        </w:rPr>
        <w:t xml:space="preserve">Table 38.2 </w:t>
      </w:r>
      <w:r>
        <w:rPr>
          <w:lang w:val="en-GB"/>
        </w:rPr>
        <w:lastRenderedPageBreak/>
        <w:t>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6E75D51E"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86E58FC" w14:textId="77777777" w:rsidR="009D0006" w:rsidRPr="00560232" w:rsidRDefault="009D0006" w:rsidP="00FD1390">
            <w:pPr>
              <w:pStyle w:val="Tableheader"/>
            </w:pPr>
            <w:r w:rsidRPr="00560232">
              <w:t>Harassment or assault in past 12 months</w:t>
            </w:r>
          </w:p>
        </w:tc>
        <w:tc>
          <w:tcPr>
            <w:tcW w:w="1559" w:type="dxa"/>
          </w:tcPr>
          <w:p w14:paraId="2C5872C5" w14:textId="77777777" w:rsidR="009D0006" w:rsidRPr="00560232" w:rsidRDefault="009D0006" w:rsidP="00FD1390">
            <w:pPr>
              <w:pStyle w:val="Tableheader"/>
            </w:pPr>
            <w:r w:rsidRPr="00560232">
              <w:t>n</w:t>
            </w:r>
          </w:p>
        </w:tc>
        <w:tc>
          <w:tcPr>
            <w:tcW w:w="1559" w:type="dxa"/>
          </w:tcPr>
          <w:p w14:paraId="5837C462" w14:textId="77777777" w:rsidR="009D0006" w:rsidRPr="00560232" w:rsidRDefault="009D0006" w:rsidP="00FD1390">
            <w:pPr>
              <w:pStyle w:val="Tableheader"/>
            </w:pPr>
            <w:r w:rsidRPr="00560232">
              <w:t>%</w:t>
            </w:r>
          </w:p>
        </w:tc>
      </w:tr>
      <w:tr w:rsidR="009D0006" w:rsidRPr="00CC74AD" w14:paraId="37631B56"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97DC0DB" w14:textId="77777777" w:rsidR="009D0006" w:rsidRPr="00CC74AD" w:rsidRDefault="009D0006" w:rsidP="00FD1390">
            <w:pPr>
              <w:pStyle w:val="Tabletext"/>
            </w:pPr>
            <w:r w:rsidRPr="00CC74AD">
              <w:t>Verbal</w:t>
            </w:r>
          </w:p>
        </w:tc>
        <w:tc>
          <w:tcPr>
            <w:tcW w:w="1559" w:type="dxa"/>
          </w:tcPr>
          <w:p w14:paraId="285C6D33" w14:textId="77777777" w:rsidR="009D0006" w:rsidRPr="00CC74AD" w:rsidRDefault="009D0006" w:rsidP="00FD1390">
            <w:pPr>
              <w:pStyle w:val="Tabletext"/>
            </w:pPr>
            <w:r w:rsidRPr="00CC74AD">
              <w:rPr>
                <w:color w:val="000000"/>
              </w:rPr>
              <w:t>1089</w:t>
            </w:r>
          </w:p>
        </w:tc>
        <w:tc>
          <w:tcPr>
            <w:tcW w:w="1559" w:type="dxa"/>
          </w:tcPr>
          <w:p w14:paraId="7CD5F69F" w14:textId="77777777" w:rsidR="009D0006" w:rsidRPr="00CC74AD" w:rsidRDefault="009D0006" w:rsidP="00FD1390">
            <w:pPr>
              <w:pStyle w:val="Tabletext"/>
            </w:pPr>
            <w:r w:rsidRPr="00CC74AD">
              <w:rPr>
                <w:color w:val="000000"/>
              </w:rPr>
              <w:t>34.7</w:t>
            </w:r>
          </w:p>
        </w:tc>
      </w:tr>
      <w:tr w:rsidR="009D0006" w:rsidRPr="00CC74AD" w14:paraId="5558B91E"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01C8988" w14:textId="77777777" w:rsidR="009D0006" w:rsidRPr="00CC74AD" w:rsidRDefault="009D0006" w:rsidP="00FD1390">
            <w:pPr>
              <w:pStyle w:val="Tabletext"/>
            </w:pPr>
            <w:r w:rsidRPr="00CC74AD">
              <w:t>Physical</w:t>
            </w:r>
          </w:p>
        </w:tc>
        <w:tc>
          <w:tcPr>
            <w:tcW w:w="1559" w:type="dxa"/>
          </w:tcPr>
          <w:p w14:paraId="11D517B3" w14:textId="77777777" w:rsidR="009D0006" w:rsidRPr="00CC74AD" w:rsidRDefault="009D0006" w:rsidP="00FD1390">
            <w:pPr>
              <w:pStyle w:val="Tabletext"/>
            </w:pPr>
            <w:r w:rsidRPr="00CC74AD">
              <w:rPr>
                <w:color w:val="000000"/>
              </w:rPr>
              <w:t>207</w:t>
            </w:r>
          </w:p>
        </w:tc>
        <w:tc>
          <w:tcPr>
            <w:tcW w:w="1559" w:type="dxa"/>
          </w:tcPr>
          <w:p w14:paraId="36FAFA15" w14:textId="77777777" w:rsidR="009D0006" w:rsidRPr="00CC74AD" w:rsidRDefault="009D0006" w:rsidP="00FD1390">
            <w:pPr>
              <w:pStyle w:val="Tabletext"/>
            </w:pPr>
            <w:r w:rsidRPr="00CC74AD">
              <w:rPr>
                <w:color w:val="000000"/>
              </w:rPr>
              <w:t>7.5</w:t>
            </w:r>
          </w:p>
        </w:tc>
      </w:tr>
      <w:tr w:rsidR="009D0006" w:rsidRPr="00CC74AD" w14:paraId="4AED2EBE"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47C2844C" w14:textId="77777777" w:rsidR="009D0006" w:rsidRPr="00CC74AD" w:rsidRDefault="009D0006" w:rsidP="00FD1390">
            <w:pPr>
              <w:pStyle w:val="Tabletext"/>
            </w:pPr>
            <w:r w:rsidRPr="00CC74AD">
              <w:t>Sexual</w:t>
            </w:r>
          </w:p>
        </w:tc>
        <w:tc>
          <w:tcPr>
            <w:tcW w:w="1559" w:type="dxa"/>
          </w:tcPr>
          <w:p w14:paraId="0C5A2DA1" w14:textId="77777777" w:rsidR="009D0006" w:rsidRPr="00CC74AD" w:rsidRDefault="009D0006" w:rsidP="00FD1390">
            <w:pPr>
              <w:pStyle w:val="Tabletext"/>
            </w:pPr>
            <w:r w:rsidRPr="00CC74AD">
              <w:rPr>
                <w:color w:val="000000"/>
              </w:rPr>
              <w:t>517</w:t>
            </w:r>
          </w:p>
        </w:tc>
        <w:tc>
          <w:tcPr>
            <w:tcW w:w="1559" w:type="dxa"/>
          </w:tcPr>
          <w:p w14:paraId="7A95410B" w14:textId="77777777" w:rsidR="009D0006" w:rsidRPr="00CC74AD" w:rsidRDefault="009D0006" w:rsidP="00FD1390">
            <w:pPr>
              <w:pStyle w:val="Tabletext"/>
            </w:pPr>
            <w:r w:rsidRPr="00CC74AD">
              <w:rPr>
                <w:color w:val="000000"/>
              </w:rPr>
              <w:t>18.5</w:t>
            </w:r>
          </w:p>
        </w:tc>
      </w:tr>
    </w:tbl>
    <w:p w14:paraId="082710A9" w14:textId="77777777" w:rsidR="009D0006" w:rsidRDefault="009D0006" w:rsidP="00603068">
      <w:pPr>
        <w:pStyle w:val="Tableheading"/>
        <w:rPr>
          <w:lang w:val="en-GB"/>
        </w:rPr>
      </w:pPr>
      <w:r>
        <w:rPr>
          <w:lang w:val="en-GB"/>
        </w:rPr>
        <w:t>Table 38.3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703AF47F"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5DB6CA81" w14:textId="77777777" w:rsidR="009D0006" w:rsidRPr="000C3B61" w:rsidRDefault="009D0006" w:rsidP="00FD1390">
            <w:pPr>
              <w:pStyle w:val="Tableheader"/>
              <w:rPr>
                <w:lang w:val="en-US"/>
              </w:rPr>
            </w:pPr>
            <w:r w:rsidRPr="000C3B61">
              <w:t>Harassment or assault in past 12 months</w:t>
            </w:r>
          </w:p>
        </w:tc>
        <w:tc>
          <w:tcPr>
            <w:tcW w:w="1559" w:type="dxa"/>
          </w:tcPr>
          <w:p w14:paraId="4883B006" w14:textId="77777777" w:rsidR="009D0006" w:rsidRPr="000C3B61" w:rsidRDefault="009D0006" w:rsidP="00FD1390">
            <w:pPr>
              <w:pStyle w:val="Tableheader"/>
              <w:rPr>
                <w:lang w:val="en-US"/>
              </w:rPr>
            </w:pPr>
            <w:r w:rsidRPr="000C3B61">
              <w:t>n</w:t>
            </w:r>
          </w:p>
        </w:tc>
        <w:tc>
          <w:tcPr>
            <w:tcW w:w="1559" w:type="dxa"/>
          </w:tcPr>
          <w:p w14:paraId="7F04A500" w14:textId="77777777" w:rsidR="009D0006" w:rsidRPr="000C3B61" w:rsidRDefault="009D0006" w:rsidP="00FD1390">
            <w:pPr>
              <w:pStyle w:val="Tableheader"/>
            </w:pPr>
            <w:r w:rsidRPr="000C3B61">
              <w:t>%</w:t>
            </w:r>
          </w:p>
        </w:tc>
      </w:tr>
      <w:tr w:rsidR="009D0006" w:rsidRPr="00CC74AD" w14:paraId="2D36E47B"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0C2A3F3" w14:textId="77777777" w:rsidR="009D0006" w:rsidRPr="00CC74AD" w:rsidRDefault="009D0006" w:rsidP="00FD1390">
            <w:pPr>
              <w:pStyle w:val="Tabletext"/>
              <w:rPr>
                <w:lang w:val="en-US"/>
              </w:rPr>
            </w:pPr>
            <w:r w:rsidRPr="00CC74AD">
              <w:rPr>
                <w:lang w:val="en-US"/>
              </w:rPr>
              <w:t>Verbal</w:t>
            </w:r>
          </w:p>
        </w:tc>
        <w:tc>
          <w:tcPr>
            <w:tcW w:w="1559" w:type="dxa"/>
          </w:tcPr>
          <w:p w14:paraId="661865D6" w14:textId="77777777" w:rsidR="009D0006" w:rsidRPr="00CC74AD" w:rsidRDefault="009D0006" w:rsidP="00FD1390">
            <w:pPr>
              <w:pStyle w:val="Tabletext"/>
            </w:pPr>
            <w:r w:rsidRPr="00CC74AD">
              <w:rPr>
                <w:color w:val="000000"/>
              </w:rPr>
              <w:t>317</w:t>
            </w:r>
          </w:p>
        </w:tc>
        <w:tc>
          <w:tcPr>
            <w:tcW w:w="1559" w:type="dxa"/>
          </w:tcPr>
          <w:p w14:paraId="5107A44C" w14:textId="77777777" w:rsidR="009D0006" w:rsidRPr="00CC74AD" w:rsidRDefault="009D0006" w:rsidP="00FD1390">
            <w:pPr>
              <w:pStyle w:val="Tabletext"/>
            </w:pPr>
            <w:r w:rsidRPr="00CC74AD">
              <w:rPr>
                <w:color w:val="000000"/>
              </w:rPr>
              <w:t>50.6</w:t>
            </w:r>
          </w:p>
        </w:tc>
      </w:tr>
      <w:tr w:rsidR="009D0006" w:rsidRPr="00CC74AD" w14:paraId="5BD0424F"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2DE8199A" w14:textId="77777777" w:rsidR="009D0006" w:rsidRPr="00CC74AD" w:rsidRDefault="009D0006" w:rsidP="00FD1390">
            <w:pPr>
              <w:pStyle w:val="Tabletext"/>
              <w:rPr>
                <w:lang w:val="en-US"/>
              </w:rPr>
            </w:pPr>
            <w:r w:rsidRPr="00CC74AD">
              <w:rPr>
                <w:lang w:val="en-US"/>
              </w:rPr>
              <w:t>Physical</w:t>
            </w:r>
          </w:p>
        </w:tc>
        <w:tc>
          <w:tcPr>
            <w:tcW w:w="1559" w:type="dxa"/>
          </w:tcPr>
          <w:p w14:paraId="3C2AF765" w14:textId="77777777" w:rsidR="009D0006" w:rsidRPr="00CC74AD" w:rsidRDefault="009D0006" w:rsidP="00FD1390">
            <w:pPr>
              <w:pStyle w:val="Tabletext"/>
            </w:pPr>
            <w:r w:rsidRPr="00CC74AD">
              <w:rPr>
                <w:color w:val="000000"/>
              </w:rPr>
              <w:t>68</w:t>
            </w:r>
          </w:p>
        </w:tc>
        <w:tc>
          <w:tcPr>
            <w:tcW w:w="1559" w:type="dxa"/>
          </w:tcPr>
          <w:p w14:paraId="5761BE59" w14:textId="77777777" w:rsidR="009D0006" w:rsidRPr="00CC74AD" w:rsidRDefault="009D0006" w:rsidP="00FD1390">
            <w:pPr>
              <w:pStyle w:val="Tabletext"/>
            </w:pPr>
            <w:r w:rsidRPr="00CC74AD">
              <w:rPr>
                <w:color w:val="000000"/>
              </w:rPr>
              <w:t>11.9</w:t>
            </w:r>
          </w:p>
        </w:tc>
      </w:tr>
      <w:tr w:rsidR="009D0006" w:rsidRPr="00CC74AD" w14:paraId="08648667"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F8CB2B4" w14:textId="77777777" w:rsidR="009D0006" w:rsidRPr="00CC74AD" w:rsidRDefault="009D0006" w:rsidP="00FD1390">
            <w:pPr>
              <w:pStyle w:val="Tabletext"/>
              <w:rPr>
                <w:lang w:val="en-US"/>
              </w:rPr>
            </w:pPr>
            <w:r w:rsidRPr="00CC74AD">
              <w:rPr>
                <w:lang w:val="en-US"/>
              </w:rPr>
              <w:t>Sexual</w:t>
            </w:r>
          </w:p>
        </w:tc>
        <w:tc>
          <w:tcPr>
            <w:tcW w:w="1559" w:type="dxa"/>
          </w:tcPr>
          <w:p w14:paraId="33B093B6" w14:textId="77777777" w:rsidR="009D0006" w:rsidRPr="00CC74AD" w:rsidRDefault="009D0006" w:rsidP="00FD1390">
            <w:pPr>
              <w:pStyle w:val="Tabletext"/>
            </w:pPr>
            <w:r w:rsidRPr="00CC74AD">
              <w:rPr>
                <w:color w:val="000000"/>
              </w:rPr>
              <w:t>186</w:t>
            </w:r>
          </w:p>
        </w:tc>
        <w:tc>
          <w:tcPr>
            <w:tcW w:w="1559" w:type="dxa"/>
          </w:tcPr>
          <w:p w14:paraId="181F6B4F" w14:textId="77777777" w:rsidR="009D0006" w:rsidRPr="00CC74AD" w:rsidRDefault="009D0006" w:rsidP="00FD1390">
            <w:pPr>
              <w:pStyle w:val="Tabletext"/>
            </w:pPr>
            <w:r w:rsidRPr="00CC74AD">
              <w:rPr>
                <w:color w:val="000000"/>
              </w:rPr>
              <w:t>31.4</w:t>
            </w:r>
          </w:p>
        </w:tc>
      </w:tr>
    </w:tbl>
    <w:p w14:paraId="1384C296" w14:textId="77777777" w:rsidR="009D0006" w:rsidRDefault="009D0006" w:rsidP="00603068">
      <w:pPr>
        <w:pStyle w:val="Tableheading"/>
        <w:rPr>
          <w:lang w:val="en-GB"/>
        </w:rPr>
      </w:pPr>
      <w:r>
        <w:rPr>
          <w:lang w:val="en-GB"/>
        </w:rPr>
        <w:t>Table 38.4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14EE4D2E" w14:textId="77777777" w:rsidTr="00FD1390">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6729AB90" w14:textId="77777777" w:rsidR="009D0006" w:rsidRPr="000C3B61" w:rsidRDefault="009D0006" w:rsidP="00FD1390">
            <w:pPr>
              <w:pStyle w:val="Tableheader"/>
              <w:rPr>
                <w:lang w:val="en-US"/>
              </w:rPr>
            </w:pPr>
            <w:r w:rsidRPr="000C3B61">
              <w:t>Harassment or assault in past 12 months</w:t>
            </w:r>
          </w:p>
        </w:tc>
        <w:tc>
          <w:tcPr>
            <w:tcW w:w="1559" w:type="dxa"/>
          </w:tcPr>
          <w:p w14:paraId="44A7A08F" w14:textId="77777777" w:rsidR="009D0006" w:rsidRPr="000C3B61" w:rsidRDefault="009D0006" w:rsidP="00FD1390">
            <w:pPr>
              <w:pStyle w:val="Tableheader"/>
              <w:rPr>
                <w:lang w:val="en-US"/>
              </w:rPr>
            </w:pPr>
            <w:r w:rsidRPr="000C3B61">
              <w:t>n</w:t>
            </w:r>
          </w:p>
        </w:tc>
        <w:tc>
          <w:tcPr>
            <w:tcW w:w="1559" w:type="dxa"/>
          </w:tcPr>
          <w:p w14:paraId="6DC76158" w14:textId="77777777" w:rsidR="009D0006" w:rsidRPr="000C3B61" w:rsidRDefault="009D0006" w:rsidP="00FD1390">
            <w:pPr>
              <w:pStyle w:val="Tableheader"/>
            </w:pPr>
            <w:r w:rsidRPr="000C3B61">
              <w:t>%</w:t>
            </w:r>
          </w:p>
        </w:tc>
      </w:tr>
      <w:tr w:rsidR="009D0006" w:rsidRPr="00CC74AD" w14:paraId="7220E90E"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151399E2" w14:textId="77777777" w:rsidR="009D0006" w:rsidRPr="00CC74AD" w:rsidRDefault="009D0006" w:rsidP="00FD1390">
            <w:pPr>
              <w:pStyle w:val="Tabletext"/>
              <w:rPr>
                <w:lang w:val="en-US"/>
              </w:rPr>
            </w:pPr>
            <w:r w:rsidRPr="00CC74AD">
              <w:rPr>
                <w:lang w:val="en-US"/>
              </w:rPr>
              <w:t>Verbal</w:t>
            </w:r>
          </w:p>
        </w:tc>
        <w:tc>
          <w:tcPr>
            <w:tcW w:w="1559" w:type="dxa"/>
          </w:tcPr>
          <w:p w14:paraId="2C03211C" w14:textId="77777777" w:rsidR="009D0006" w:rsidRPr="00CC74AD" w:rsidRDefault="009D0006" w:rsidP="00FD1390">
            <w:pPr>
              <w:pStyle w:val="Tabletext"/>
            </w:pPr>
            <w:r w:rsidRPr="00CC74AD">
              <w:rPr>
                <w:color w:val="000000"/>
              </w:rPr>
              <w:t>134</w:t>
            </w:r>
          </w:p>
        </w:tc>
        <w:tc>
          <w:tcPr>
            <w:tcW w:w="1559" w:type="dxa"/>
          </w:tcPr>
          <w:p w14:paraId="0F19F6E2" w14:textId="77777777" w:rsidR="009D0006" w:rsidRPr="00CC74AD" w:rsidRDefault="009D0006" w:rsidP="00FD1390">
            <w:pPr>
              <w:pStyle w:val="Tabletext"/>
            </w:pPr>
            <w:r w:rsidRPr="00CC74AD">
              <w:rPr>
                <w:color w:val="000000"/>
              </w:rPr>
              <w:t>63.5</w:t>
            </w:r>
          </w:p>
        </w:tc>
      </w:tr>
      <w:tr w:rsidR="009D0006" w:rsidRPr="00CC74AD" w14:paraId="57BC8B42" w14:textId="77777777" w:rsidTr="00FD1390">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399BDB0" w14:textId="77777777" w:rsidR="009D0006" w:rsidRPr="00CC74AD" w:rsidRDefault="009D0006" w:rsidP="00FD1390">
            <w:pPr>
              <w:pStyle w:val="Tabletext"/>
              <w:rPr>
                <w:lang w:val="en-US"/>
              </w:rPr>
            </w:pPr>
            <w:r w:rsidRPr="00CC74AD">
              <w:rPr>
                <w:lang w:val="en-US"/>
              </w:rPr>
              <w:t>Physical</w:t>
            </w:r>
          </w:p>
        </w:tc>
        <w:tc>
          <w:tcPr>
            <w:tcW w:w="1559" w:type="dxa"/>
          </w:tcPr>
          <w:p w14:paraId="6C0EEFA9" w14:textId="77777777" w:rsidR="009D0006" w:rsidRPr="00CC74AD" w:rsidRDefault="009D0006" w:rsidP="00FD1390">
            <w:pPr>
              <w:pStyle w:val="Tabletext"/>
            </w:pPr>
            <w:r w:rsidRPr="00CC74AD">
              <w:rPr>
                <w:color w:val="000000"/>
              </w:rPr>
              <w:t>43</w:t>
            </w:r>
          </w:p>
        </w:tc>
        <w:tc>
          <w:tcPr>
            <w:tcW w:w="1559" w:type="dxa"/>
          </w:tcPr>
          <w:p w14:paraId="140D27CC" w14:textId="77777777" w:rsidR="009D0006" w:rsidRPr="00CC74AD" w:rsidRDefault="009D0006" w:rsidP="00FD1390">
            <w:pPr>
              <w:pStyle w:val="Tabletext"/>
            </w:pPr>
            <w:r w:rsidRPr="00CC74AD">
              <w:rPr>
                <w:color w:val="000000"/>
              </w:rPr>
              <w:t>23.1</w:t>
            </w:r>
          </w:p>
        </w:tc>
      </w:tr>
      <w:tr w:rsidR="009D0006" w:rsidRPr="00CC74AD" w14:paraId="37E6F265" w14:textId="77777777" w:rsidTr="00FD1390">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7374E1F" w14:textId="77777777" w:rsidR="009D0006" w:rsidRPr="00CC74AD" w:rsidRDefault="009D0006" w:rsidP="00FD1390">
            <w:pPr>
              <w:pStyle w:val="Tabletext"/>
              <w:rPr>
                <w:lang w:val="en-US"/>
              </w:rPr>
            </w:pPr>
            <w:r w:rsidRPr="00CC74AD">
              <w:rPr>
                <w:lang w:val="en-US"/>
              </w:rPr>
              <w:t>Sexual</w:t>
            </w:r>
          </w:p>
        </w:tc>
        <w:tc>
          <w:tcPr>
            <w:tcW w:w="1559" w:type="dxa"/>
          </w:tcPr>
          <w:p w14:paraId="1FBCF1BA" w14:textId="77777777" w:rsidR="009D0006" w:rsidRPr="00CC74AD" w:rsidRDefault="009D0006" w:rsidP="00FD1390">
            <w:pPr>
              <w:pStyle w:val="Tabletext"/>
            </w:pPr>
            <w:r w:rsidRPr="00CC74AD">
              <w:rPr>
                <w:color w:val="000000"/>
              </w:rPr>
              <w:t>63</w:t>
            </w:r>
          </w:p>
        </w:tc>
        <w:tc>
          <w:tcPr>
            <w:tcW w:w="1559" w:type="dxa"/>
          </w:tcPr>
          <w:p w14:paraId="2E9226CA" w14:textId="77777777" w:rsidR="009D0006" w:rsidRPr="00CC74AD" w:rsidRDefault="009D0006" w:rsidP="00FD1390">
            <w:pPr>
              <w:pStyle w:val="Tabletext"/>
            </w:pPr>
            <w:r w:rsidRPr="00CC74AD">
              <w:rPr>
                <w:color w:val="000000"/>
              </w:rPr>
              <w:t>33.0</w:t>
            </w:r>
          </w:p>
        </w:tc>
      </w:tr>
    </w:tbl>
    <w:p w14:paraId="31EDCC75" w14:textId="77777777" w:rsidR="009D0006" w:rsidRDefault="009D0006" w:rsidP="00603068">
      <w:pPr>
        <w:pStyle w:val="Tableheading"/>
        <w:rPr>
          <w:lang w:val="en-GB"/>
        </w:rPr>
      </w:pPr>
      <w:r>
        <w:rPr>
          <w:lang w:val="en-GB"/>
        </w:rPr>
        <w:t>Table 38.5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6DA97751" w14:textId="77777777" w:rsidTr="00030563">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0AC96E16" w14:textId="77777777" w:rsidR="009D0006" w:rsidRPr="000C3B61" w:rsidRDefault="009D0006" w:rsidP="00030563">
            <w:pPr>
              <w:pStyle w:val="Tableheader"/>
              <w:rPr>
                <w:lang w:val="en-US"/>
              </w:rPr>
            </w:pPr>
            <w:r w:rsidRPr="000C3B61">
              <w:t>Harassment or assault in past 12 months</w:t>
            </w:r>
          </w:p>
        </w:tc>
        <w:tc>
          <w:tcPr>
            <w:tcW w:w="1559" w:type="dxa"/>
          </w:tcPr>
          <w:p w14:paraId="6C9103B4" w14:textId="77777777" w:rsidR="009D0006" w:rsidRPr="000C3B61" w:rsidRDefault="009D0006" w:rsidP="00030563">
            <w:pPr>
              <w:pStyle w:val="Tableheader"/>
            </w:pPr>
            <w:r w:rsidRPr="000C3B61">
              <w:t>n</w:t>
            </w:r>
          </w:p>
        </w:tc>
        <w:tc>
          <w:tcPr>
            <w:tcW w:w="1559" w:type="dxa"/>
          </w:tcPr>
          <w:p w14:paraId="1247F5B2" w14:textId="77777777" w:rsidR="009D0006" w:rsidRPr="000C3B61" w:rsidRDefault="009D0006" w:rsidP="00030563">
            <w:pPr>
              <w:pStyle w:val="Tableheader"/>
            </w:pPr>
            <w:r w:rsidRPr="000C3B61">
              <w:t>%</w:t>
            </w:r>
          </w:p>
        </w:tc>
      </w:tr>
      <w:tr w:rsidR="009D0006" w:rsidRPr="00CC74AD" w14:paraId="6AB7F217"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19534D79" w14:textId="77777777" w:rsidR="009D0006" w:rsidRPr="00CC74AD" w:rsidRDefault="009D0006" w:rsidP="00030563">
            <w:pPr>
              <w:pStyle w:val="Tabletext"/>
              <w:rPr>
                <w:lang w:val="en-US"/>
              </w:rPr>
            </w:pPr>
            <w:r w:rsidRPr="00CC74AD">
              <w:rPr>
                <w:lang w:val="en-US"/>
              </w:rPr>
              <w:t>Verbal</w:t>
            </w:r>
          </w:p>
        </w:tc>
        <w:tc>
          <w:tcPr>
            <w:tcW w:w="1559" w:type="dxa"/>
          </w:tcPr>
          <w:p w14:paraId="2BCFD5ED" w14:textId="77777777" w:rsidR="009D0006" w:rsidRPr="00CC74AD" w:rsidRDefault="009D0006" w:rsidP="00030563">
            <w:pPr>
              <w:pStyle w:val="Tabletext"/>
            </w:pPr>
            <w:r w:rsidRPr="00CC74AD">
              <w:rPr>
                <w:color w:val="000000"/>
              </w:rPr>
              <w:t>75</w:t>
            </w:r>
          </w:p>
        </w:tc>
        <w:tc>
          <w:tcPr>
            <w:tcW w:w="1559" w:type="dxa"/>
          </w:tcPr>
          <w:p w14:paraId="5F4EBD10" w14:textId="77777777" w:rsidR="009D0006" w:rsidRPr="00CC74AD" w:rsidRDefault="009D0006" w:rsidP="00030563">
            <w:pPr>
              <w:pStyle w:val="Tabletext"/>
            </w:pPr>
            <w:r w:rsidRPr="00CC74AD">
              <w:rPr>
                <w:color w:val="000000"/>
              </w:rPr>
              <w:t>59.5</w:t>
            </w:r>
          </w:p>
        </w:tc>
      </w:tr>
      <w:tr w:rsidR="009D0006" w:rsidRPr="00CC74AD" w14:paraId="129E7089" w14:textId="77777777" w:rsidTr="00030563">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2DCF500C" w14:textId="77777777" w:rsidR="009D0006" w:rsidRPr="00CC74AD" w:rsidRDefault="009D0006" w:rsidP="00030563">
            <w:pPr>
              <w:pStyle w:val="Tabletext"/>
              <w:rPr>
                <w:lang w:val="en-US"/>
              </w:rPr>
            </w:pPr>
            <w:r w:rsidRPr="00CC74AD">
              <w:rPr>
                <w:lang w:val="en-US"/>
              </w:rPr>
              <w:t>Physical</w:t>
            </w:r>
          </w:p>
        </w:tc>
        <w:tc>
          <w:tcPr>
            <w:tcW w:w="1559" w:type="dxa"/>
          </w:tcPr>
          <w:p w14:paraId="053EA139" w14:textId="77777777" w:rsidR="009D0006" w:rsidRPr="00CC74AD" w:rsidRDefault="009D0006" w:rsidP="00030563">
            <w:pPr>
              <w:pStyle w:val="Tabletext"/>
            </w:pPr>
            <w:r w:rsidRPr="00CC74AD">
              <w:rPr>
                <w:color w:val="000000"/>
              </w:rPr>
              <w:t>21</w:t>
            </w:r>
          </w:p>
        </w:tc>
        <w:tc>
          <w:tcPr>
            <w:tcW w:w="1559" w:type="dxa"/>
          </w:tcPr>
          <w:p w14:paraId="4EBBB869" w14:textId="77777777" w:rsidR="009D0006" w:rsidRPr="00CC74AD" w:rsidRDefault="009D0006" w:rsidP="00030563">
            <w:pPr>
              <w:pStyle w:val="Tabletext"/>
            </w:pPr>
            <w:r w:rsidRPr="00CC74AD">
              <w:rPr>
                <w:color w:val="000000"/>
              </w:rPr>
              <w:t>19.6</w:t>
            </w:r>
          </w:p>
        </w:tc>
      </w:tr>
      <w:tr w:rsidR="009D0006" w:rsidRPr="00CC74AD" w14:paraId="50C917FA"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34FE9D2" w14:textId="77777777" w:rsidR="009D0006" w:rsidRPr="00CC74AD" w:rsidRDefault="009D0006" w:rsidP="00030563">
            <w:pPr>
              <w:pStyle w:val="Tabletext"/>
              <w:rPr>
                <w:lang w:val="en-US"/>
              </w:rPr>
            </w:pPr>
            <w:r w:rsidRPr="00CC74AD">
              <w:rPr>
                <w:lang w:val="en-US"/>
              </w:rPr>
              <w:t>Sexual</w:t>
            </w:r>
          </w:p>
        </w:tc>
        <w:tc>
          <w:tcPr>
            <w:tcW w:w="1559" w:type="dxa"/>
          </w:tcPr>
          <w:p w14:paraId="0BCA0405" w14:textId="77777777" w:rsidR="009D0006" w:rsidRPr="00CC74AD" w:rsidRDefault="009D0006" w:rsidP="00030563">
            <w:pPr>
              <w:pStyle w:val="Tabletext"/>
            </w:pPr>
            <w:r w:rsidRPr="00CC74AD">
              <w:rPr>
                <w:color w:val="000000"/>
              </w:rPr>
              <w:t>40</w:t>
            </w:r>
          </w:p>
        </w:tc>
        <w:tc>
          <w:tcPr>
            <w:tcW w:w="1559" w:type="dxa"/>
          </w:tcPr>
          <w:p w14:paraId="6008E86A" w14:textId="77777777" w:rsidR="009D0006" w:rsidRPr="00CC74AD" w:rsidRDefault="009D0006" w:rsidP="00030563">
            <w:pPr>
              <w:pStyle w:val="Tabletext"/>
            </w:pPr>
            <w:r w:rsidRPr="00CC74AD">
              <w:rPr>
                <w:color w:val="000000"/>
              </w:rPr>
              <w:t>36.4</w:t>
            </w:r>
          </w:p>
        </w:tc>
      </w:tr>
    </w:tbl>
    <w:p w14:paraId="03560B1C" w14:textId="77777777" w:rsidR="009D0006" w:rsidRDefault="009D0006" w:rsidP="00603068">
      <w:pPr>
        <w:pStyle w:val="Tableheading"/>
        <w:rPr>
          <w:lang w:val="en-GB"/>
        </w:rPr>
      </w:pPr>
      <w:r>
        <w:rPr>
          <w:lang w:val="en-GB"/>
        </w:rPr>
        <w:t>Table 38.6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C3B61" w14:paraId="08766D69" w14:textId="77777777" w:rsidTr="00030563">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16F4EE77" w14:textId="77777777" w:rsidR="009D0006" w:rsidRPr="000C3B61" w:rsidRDefault="009D0006" w:rsidP="00030563">
            <w:pPr>
              <w:pStyle w:val="Tableheader"/>
              <w:rPr>
                <w:lang w:val="en-US"/>
              </w:rPr>
            </w:pPr>
            <w:r w:rsidRPr="000C3B61">
              <w:t>Harassment or assault in past 12 months</w:t>
            </w:r>
          </w:p>
        </w:tc>
        <w:tc>
          <w:tcPr>
            <w:tcW w:w="1559" w:type="dxa"/>
          </w:tcPr>
          <w:p w14:paraId="4D6D1509" w14:textId="77777777" w:rsidR="009D0006" w:rsidRPr="000C3B61" w:rsidRDefault="009D0006" w:rsidP="00030563">
            <w:pPr>
              <w:pStyle w:val="Tableheader"/>
            </w:pPr>
            <w:r w:rsidRPr="000C3B61">
              <w:t>n</w:t>
            </w:r>
          </w:p>
        </w:tc>
        <w:tc>
          <w:tcPr>
            <w:tcW w:w="1559" w:type="dxa"/>
          </w:tcPr>
          <w:p w14:paraId="6CCCD0E2" w14:textId="77777777" w:rsidR="009D0006" w:rsidRPr="000C3B61" w:rsidRDefault="009D0006" w:rsidP="00030563">
            <w:pPr>
              <w:pStyle w:val="Tableheader"/>
            </w:pPr>
            <w:r w:rsidRPr="000C3B61">
              <w:t>%</w:t>
            </w:r>
          </w:p>
        </w:tc>
      </w:tr>
      <w:tr w:rsidR="009D0006" w:rsidRPr="00CC74AD" w14:paraId="23E7F628"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424FF9A3" w14:textId="77777777" w:rsidR="009D0006" w:rsidRPr="00CC74AD" w:rsidRDefault="009D0006" w:rsidP="00030563">
            <w:pPr>
              <w:pStyle w:val="Tabletext"/>
              <w:rPr>
                <w:lang w:val="en-US"/>
              </w:rPr>
            </w:pPr>
            <w:r w:rsidRPr="00CC74AD">
              <w:rPr>
                <w:lang w:val="en-US"/>
              </w:rPr>
              <w:t>Verbal</w:t>
            </w:r>
          </w:p>
        </w:tc>
        <w:tc>
          <w:tcPr>
            <w:tcW w:w="1559" w:type="dxa"/>
          </w:tcPr>
          <w:p w14:paraId="1128A74D" w14:textId="77777777" w:rsidR="009D0006" w:rsidRPr="00CC74AD" w:rsidRDefault="009D0006" w:rsidP="00030563">
            <w:pPr>
              <w:pStyle w:val="Tabletext"/>
            </w:pPr>
            <w:r w:rsidRPr="00CC74AD">
              <w:rPr>
                <w:color w:val="000000"/>
              </w:rPr>
              <w:t>371</w:t>
            </w:r>
          </w:p>
        </w:tc>
        <w:tc>
          <w:tcPr>
            <w:tcW w:w="1559" w:type="dxa"/>
          </w:tcPr>
          <w:p w14:paraId="5FA6FA94" w14:textId="77777777" w:rsidR="009D0006" w:rsidRPr="00CC74AD" w:rsidRDefault="009D0006" w:rsidP="00030563">
            <w:pPr>
              <w:pStyle w:val="Tabletext"/>
            </w:pPr>
            <w:r w:rsidRPr="00CC74AD">
              <w:rPr>
                <w:color w:val="000000"/>
              </w:rPr>
              <w:t>53.8</w:t>
            </w:r>
          </w:p>
        </w:tc>
      </w:tr>
      <w:tr w:rsidR="009D0006" w:rsidRPr="00CC74AD" w14:paraId="1F6ADAD5" w14:textId="77777777" w:rsidTr="00030563">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4DB0FB6" w14:textId="77777777" w:rsidR="009D0006" w:rsidRPr="00CC74AD" w:rsidRDefault="009D0006" w:rsidP="00030563">
            <w:pPr>
              <w:pStyle w:val="Tabletext"/>
              <w:rPr>
                <w:lang w:val="en-US"/>
              </w:rPr>
            </w:pPr>
            <w:r w:rsidRPr="00CC74AD">
              <w:rPr>
                <w:lang w:val="en-US"/>
              </w:rPr>
              <w:t>Physical</w:t>
            </w:r>
          </w:p>
        </w:tc>
        <w:tc>
          <w:tcPr>
            <w:tcW w:w="1559" w:type="dxa"/>
          </w:tcPr>
          <w:p w14:paraId="32F66EEB" w14:textId="77777777" w:rsidR="009D0006" w:rsidRPr="00CC74AD" w:rsidRDefault="009D0006" w:rsidP="00030563">
            <w:pPr>
              <w:pStyle w:val="Tabletext"/>
            </w:pPr>
            <w:r w:rsidRPr="00CC74AD">
              <w:rPr>
                <w:color w:val="000000"/>
              </w:rPr>
              <w:t>101</w:t>
            </w:r>
          </w:p>
        </w:tc>
        <w:tc>
          <w:tcPr>
            <w:tcW w:w="1559" w:type="dxa"/>
          </w:tcPr>
          <w:p w14:paraId="3309F0E2" w14:textId="77777777" w:rsidR="009D0006" w:rsidRPr="00CC74AD" w:rsidRDefault="009D0006" w:rsidP="00030563">
            <w:pPr>
              <w:pStyle w:val="Tabletext"/>
            </w:pPr>
            <w:r w:rsidRPr="00CC74AD">
              <w:rPr>
                <w:color w:val="000000"/>
              </w:rPr>
              <w:t>16.4</w:t>
            </w:r>
          </w:p>
        </w:tc>
      </w:tr>
      <w:tr w:rsidR="009D0006" w:rsidRPr="00CC74AD" w14:paraId="509A67E0"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159D0DA" w14:textId="77777777" w:rsidR="009D0006" w:rsidRPr="00CC74AD" w:rsidRDefault="009D0006" w:rsidP="00030563">
            <w:pPr>
              <w:pStyle w:val="Tabletext"/>
              <w:rPr>
                <w:lang w:val="en-US"/>
              </w:rPr>
            </w:pPr>
            <w:r w:rsidRPr="00CC74AD">
              <w:rPr>
                <w:lang w:val="en-US"/>
              </w:rPr>
              <w:t>Sexual</w:t>
            </w:r>
          </w:p>
        </w:tc>
        <w:tc>
          <w:tcPr>
            <w:tcW w:w="1559" w:type="dxa"/>
          </w:tcPr>
          <w:p w14:paraId="4DAE333B" w14:textId="77777777" w:rsidR="009D0006" w:rsidRPr="00CC74AD" w:rsidRDefault="009D0006" w:rsidP="00030563">
            <w:pPr>
              <w:pStyle w:val="Tabletext"/>
            </w:pPr>
            <w:r w:rsidRPr="00CC74AD">
              <w:rPr>
                <w:color w:val="000000"/>
              </w:rPr>
              <w:t>203</w:t>
            </w:r>
          </w:p>
        </w:tc>
        <w:tc>
          <w:tcPr>
            <w:tcW w:w="1559" w:type="dxa"/>
          </w:tcPr>
          <w:p w14:paraId="2EF037D3" w14:textId="77777777" w:rsidR="009D0006" w:rsidRPr="00CC74AD" w:rsidRDefault="009D0006" w:rsidP="00030563">
            <w:pPr>
              <w:pStyle w:val="Tabletext"/>
            </w:pPr>
            <w:r w:rsidRPr="00CC74AD">
              <w:rPr>
                <w:color w:val="000000"/>
              </w:rPr>
              <w:t>32.0</w:t>
            </w:r>
          </w:p>
        </w:tc>
      </w:tr>
    </w:tbl>
    <w:p w14:paraId="4E8FEE7D" w14:textId="77777777" w:rsidR="009D0006" w:rsidRDefault="009D0006" w:rsidP="00603068">
      <w:pPr>
        <w:pStyle w:val="Tableheading"/>
        <w:rPr>
          <w:lang w:val="en-GB"/>
        </w:rPr>
      </w:pPr>
      <w:r>
        <w:rPr>
          <w:lang w:val="en-GB"/>
        </w:rPr>
        <w:t>Table 38.7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C3B61" w14:paraId="10E2FD29" w14:textId="77777777" w:rsidTr="004E2605">
        <w:trPr>
          <w:cnfStyle w:val="100000000000" w:firstRow="1" w:lastRow="0" w:firstColumn="0" w:lastColumn="0" w:oddVBand="0" w:evenVBand="0" w:oddHBand="0" w:evenHBand="0" w:firstRowFirstColumn="0" w:firstRowLastColumn="0" w:lastRowFirstColumn="0" w:lastRowLastColumn="0"/>
          <w:trHeight w:val="340"/>
          <w:tblHeader/>
        </w:trPr>
        <w:tc>
          <w:tcPr>
            <w:tcW w:w="6746" w:type="dxa"/>
            <w:noWrap/>
          </w:tcPr>
          <w:p w14:paraId="02BD23C1" w14:textId="77777777" w:rsidR="009D0006" w:rsidRPr="000C3B61" w:rsidRDefault="009D0006" w:rsidP="00030563">
            <w:pPr>
              <w:pStyle w:val="Tableheader"/>
              <w:rPr>
                <w:lang w:val="en-US"/>
              </w:rPr>
            </w:pPr>
            <w:r w:rsidRPr="000C3B61">
              <w:t>Harassment or assault in past 12 months</w:t>
            </w:r>
          </w:p>
        </w:tc>
        <w:tc>
          <w:tcPr>
            <w:tcW w:w="1559" w:type="dxa"/>
          </w:tcPr>
          <w:p w14:paraId="2D115DA2" w14:textId="77777777" w:rsidR="009D0006" w:rsidRPr="000C3B61" w:rsidRDefault="009D0006" w:rsidP="00030563">
            <w:pPr>
              <w:pStyle w:val="Tableheader"/>
            </w:pPr>
            <w:r w:rsidRPr="000C3B61">
              <w:t>n</w:t>
            </w:r>
          </w:p>
        </w:tc>
        <w:tc>
          <w:tcPr>
            <w:tcW w:w="1559" w:type="dxa"/>
          </w:tcPr>
          <w:p w14:paraId="0E41E460" w14:textId="77777777" w:rsidR="009D0006" w:rsidRPr="000C3B61" w:rsidRDefault="009D0006" w:rsidP="00030563">
            <w:pPr>
              <w:pStyle w:val="Tableheader"/>
            </w:pPr>
            <w:r w:rsidRPr="000C3B61">
              <w:t>%</w:t>
            </w:r>
          </w:p>
        </w:tc>
      </w:tr>
      <w:tr w:rsidR="009D0006" w:rsidRPr="00CC74AD" w14:paraId="1DD301CB"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F16CFE7" w14:textId="77777777" w:rsidR="009D0006" w:rsidRPr="00CC74AD" w:rsidRDefault="009D0006" w:rsidP="00030563">
            <w:pPr>
              <w:pStyle w:val="Tabletext"/>
              <w:rPr>
                <w:lang w:val="en-US"/>
              </w:rPr>
            </w:pPr>
            <w:r w:rsidRPr="00CC74AD">
              <w:rPr>
                <w:lang w:val="en-US"/>
              </w:rPr>
              <w:t>Verbal</w:t>
            </w:r>
          </w:p>
        </w:tc>
        <w:tc>
          <w:tcPr>
            <w:tcW w:w="1559" w:type="dxa"/>
          </w:tcPr>
          <w:p w14:paraId="5932D218" w14:textId="77777777" w:rsidR="009D0006" w:rsidRPr="00CC74AD" w:rsidRDefault="009D0006" w:rsidP="00030563">
            <w:pPr>
              <w:pStyle w:val="Tabletext"/>
            </w:pPr>
            <w:r w:rsidRPr="00CC74AD">
              <w:rPr>
                <w:color w:val="000000"/>
              </w:rPr>
              <w:t>440</w:t>
            </w:r>
          </w:p>
        </w:tc>
        <w:tc>
          <w:tcPr>
            <w:tcW w:w="1559" w:type="dxa"/>
          </w:tcPr>
          <w:p w14:paraId="0DB2C241" w14:textId="77777777" w:rsidR="009D0006" w:rsidRPr="00CC74AD" w:rsidRDefault="009D0006" w:rsidP="00030563">
            <w:pPr>
              <w:pStyle w:val="Tabletext"/>
            </w:pPr>
            <w:r w:rsidRPr="00CC74AD">
              <w:rPr>
                <w:color w:val="000000"/>
              </w:rPr>
              <w:t>42.7</w:t>
            </w:r>
          </w:p>
        </w:tc>
      </w:tr>
      <w:tr w:rsidR="009D0006" w:rsidRPr="00CC74AD" w14:paraId="44DB6648" w14:textId="77777777" w:rsidTr="00030563">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2F89BD7" w14:textId="77777777" w:rsidR="009D0006" w:rsidRPr="00CC74AD" w:rsidRDefault="009D0006" w:rsidP="00030563">
            <w:pPr>
              <w:pStyle w:val="Tabletext"/>
              <w:rPr>
                <w:lang w:val="en-US"/>
              </w:rPr>
            </w:pPr>
            <w:r w:rsidRPr="00CC74AD">
              <w:rPr>
                <w:lang w:val="en-US"/>
              </w:rPr>
              <w:t>Physical</w:t>
            </w:r>
          </w:p>
        </w:tc>
        <w:tc>
          <w:tcPr>
            <w:tcW w:w="1559" w:type="dxa"/>
          </w:tcPr>
          <w:p w14:paraId="567F71CD" w14:textId="77777777" w:rsidR="009D0006" w:rsidRPr="00CC74AD" w:rsidRDefault="009D0006" w:rsidP="00030563">
            <w:pPr>
              <w:pStyle w:val="Tabletext"/>
            </w:pPr>
            <w:r w:rsidRPr="00CC74AD">
              <w:rPr>
                <w:color w:val="000000"/>
              </w:rPr>
              <w:t>80</w:t>
            </w:r>
          </w:p>
        </w:tc>
        <w:tc>
          <w:tcPr>
            <w:tcW w:w="1559" w:type="dxa"/>
          </w:tcPr>
          <w:p w14:paraId="723DB87C" w14:textId="77777777" w:rsidR="009D0006" w:rsidRPr="00CC74AD" w:rsidRDefault="009D0006" w:rsidP="00030563">
            <w:pPr>
              <w:pStyle w:val="Tabletext"/>
            </w:pPr>
            <w:r w:rsidRPr="00CC74AD">
              <w:rPr>
                <w:color w:val="000000"/>
              </w:rPr>
              <w:t>8.8</w:t>
            </w:r>
          </w:p>
        </w:tc>
      </w:tr>
      <w:tr w:rsidR="009D0006" w:rsidRPr="00CC74AD" w14:paraId="0697A30A" w14:textId="77777777" w:rsidTr="00030563">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FEFAE1A" w14:textId="77777777" w:rsidR="009D0006" w:rsidRPr="00CC74AD" w:rsidRDefault="009D0006" w:rsidP="00030563">
            <w:pPr>
              <w:pStyle w:val="Tabletext"/>
              <w:rPr>
                <w:lang w:val="en-US"/>
              </w:rPr>
            </w:pPr>
            <w:r w:rsidRPr="00CC74AD">
              <w:rPr>
                <w:lang w:val="en-US"/>
              </w:rPr>
              <w:t>Sexual</w:t>
            </w:r>
          </w:p>
        </w:tc>
        <w:tc>
          <w:tcPr>
            <w:tcW w:w="1559" w:type="dxa"/>
          </w:tcPr>
          <w:p w14:paraId="18F6DC09" w14:textId="77777777" w:rsidR="009D0006" w:rsidRPr="00CC74AD" w:rsidRDefault="009D0006" w:rsidP="00030563">
            <w:pPr>
              <w:pStyle w:val="Tabletext"/>
            </w:pPr>
            <w:r w:rsidRPr="00CC74AD">
              <w:rPr>
                <w:color w:val="000000"/>
              </w:rPr>
              <w:t>254</w:t>
            </w:r>
          </w:p>
        </w:tc>
        <w:tc>
          <w:tcPr>
            <w:tcW w:w="1559" w:type="dxa"/>
          </w:tcPr>
          <w:p w14:paraId="51640EC6" w14:textId="77777777" w:rsidR="009D0006" w:rsidRPr="00CC74AD" w:rsidRDefault="009D0006" w:rsidP="00030563">
            <w:pPr>
              <w:pStyle w:val="Tabletext"/>
            </w:pPr>
            <w:r w:rsidRPr="00CC74AD">
              <w:rPr>
                <w:color w:val="000000"/>
              </w:rPr>
              <w:t>27.1</w:t>
            </w:r>
          </w:p>
        </w:tc>
      </w:tr>
    </w:tbl>
    <w:p w14:paraId="025679B3" w14:textId="77777777" w:rsidR="009D0006" w:rsidRPr="00030563" w:rsidRDefault="009D0006" w:rsidP="00030563">
      <w:pPr>
        <w:pStyle w:val="TableTextNotebelow"/>
        <w:rPr>
          <w:i/>
          <w:lang w:val="en-GB" w:eastAsia="ja-JP"/>
        </w:rPr>
      </w:pPr>
      <w:r w:rsidRPr="00030563">
        <w:rPr>
          <w:rFonts w:cs="Arial"/>
          <w:i/>
          <w:lang w:val="en-GB"/>
        </w:rPr>
        <w:t xml:space="preserve">* </w:t>
      </w:r>
      <w:r w:rsidRPr="00030563">
        <w:rPr>
          <w:i/>
          <w:lang w:val="en-GB"/>
        </w:rPr>
        <w:t xml:space="preserve">In order to be more comparable with general population data, ‘any disability’ does not include participants who only reported ‘mental illness’ and no other disability or long-term health condition. </w:t>
      </w:r>
    </w:p>
    <w:p w14:paraId="481E921E" w14:textId="77777777" w:rsidR="009D0006" w:rsidRDefault="009D0006" w:rsidP="00603068">
      <w:pPr>
        <w:spacing w:before="360"/>
      </w:pPr>
      <w:r w:rsidRPr="009E6C59">
        <w:t>As shown in Table</w:t>
      </w:r>
      <w:r>
        <w:t>s</w:t>
      </w:r>
      <w:r w:rsidRPr="009E6C59">
        <w:t xml:space="preserve"> </w:t>
      </w:r>
      <w:r>
        <w:t>38.1-38.7</w:t>
      </w:r>
      <w:r w:rsidRPr="009E6C59">
        <w:t xml:space="preserve">, </w:t>
      </w:r>
      <w:r>
        <w:t xml:space="preserve">a substantially higher proportion of participants with disability in </w:t>
      </w:r>
      <w:r>
        <w:rPr>
          <w:i/>
          <w:iCs/>
        </w:rPr>
        <w:t>Writing Themselves In 4</w:t>
      </w:r>
      <w:r>
        <w:t xml:space="preserve"> reported experiences of verbal harassment in the past 12 months (52.7%; n = 730) than those not reporting disability (34.7%; n = 1089). Twice the proportion of participants with disability reported experiences of physical harassment (15.0%; n = 185) compared to those not reporting disability (7.5%; n = 207). Similarly, a substantially higher proportion of participants with disability reported experiences of sexual assault in the past 12 months (31.7%; n = 185) than those without disability (18.5%; n = 517).</w:t>
      </w:r>
    </w:p>
    <w:p w14:paraId="2533A89B" w14:textId="77777777" w:rsidR="009D0006" w:rsidRDefault="009D0006" w:rsidP="00F40437">
      <w:r>
        <w:t>Among participants reporting disability, over half had experienced verbal harassment in the past 12 months. Approximately two-thirds of participants with autism/neurodiversity</w:t>
      </w:r>
      <w:r w:rsidRPr="00CF1646">
        <w:t xml:space="preserve"> and intellectual disability</w:t>
      </w:r>
      <w:r>
        <w:t xml:space="preserve"> reported experiences of verbal harassment (63.5%; n = 134), followed by participants with intellectual disability (59.5%; n = 75), participants with physical or sensory disability (53.8%; n = 371), participants with autism/neurodiversity (50.6%; n = 317) and participants with a mental health condition (42.7%; n = 440). </w:t>
      </w:r>
      <w:r w:rsidRPr="00B2427B">
        <w:t xml:space="preserve">It is also worth noting that </w:t>
      </w:r>
      <w:r w:rsidRPr="005F1427">
        <w:t>62.0</w:t>
      </w:r>
      <w:r w:rsidRPr="00B2427B">
        <w:t>% (</w:t>
      </w:r>
      <w:r w:rsidRPr="005F1427">
        <w:t>n</w:t>
      </w:r>
      <w:r w:rsidRPr="00B2427B">
        <w:t xml:space="preserve"> = </w:t>
      </w:r>
      <w:r w:rsidRPr="005F1427">
        <w:t>209</w:t>
      </w:r>
      <w:r w:rsidRPr="00B2427B">
        <w:t xml:space="preserve">) of the overall group of participants with intellectual disability, with or without </w:t>
      </w:r>
      <w:r>
        <w:t>autism/neurodiversity</w:t>
      </w:r>
      <w:r w:rsidRPr="00B2427B">
        <w:t>, reported verbal harassment in the past 12 months.</w:t>
      </w:r>
    </w:p>
    <w:p w14:paraId="0266735C" w14:textId="77777777" w:rsidR="009D0006" w:rsidRDefault="009D0006" w:rsidP="00F40437">
      <w:r>
        <w:t>Among participants reporting disability, more than 1 in 10 participants had experienced physical harassment in the past 12 months. More than one-fifth of participants with autism/neurodiversity</w:t>
      </w:r>
      <w:r w:rsidRPr="00CF1646">
        <w:t xml:space="preserve"> and intellectual disability</w:t>
      </w:r>
      <w:r>
        <w:t xml:space="preserve"> reported experiences of physical harassment (23.1%; n = 43), followed by participants with intellectual disability (19.6%; n = 21), participants with physical or sensory disability (16.4%; n = 101), participants with autism/neurodiversity (11.9%; n = 68) and participants with a mental health condition (8.8%; n = 80). </w:t>
      </w:r>
      <w:r w:rsidRPr="00666F3E">
        <w:t xml:space="preserve">It is also worth noting that </w:t>
      </w:r>
      <w:r w:rsidRPr="005F1427">
        <w:t>21.8</w:t>
      </w:r>
      <w:r w:rsidRPr="00666F3E">
        <w:t>% (</w:t>
      </w:r>
      <w:r w:rsidRPr="005F1427">
        <w:t>n</w:t>
      </w:r>
      <w:r w:rsidRPr="00666F3E">
        <w:t xml:space="preserve"> = </w:t>
      </w:r>
      <w:r w:rsidRPr="005F1427">
        <w:t>64</w:t>
      </w:r>
      <w:r w:rsidRPr="00666F3E">
        <w:t xml:space="preserve">) of the overall group of participants with intellectual disability, with or without </w:t>
      </w:r>
      <w:r>
        <w:t>autism/neurodiversity</w:t>
      </w:r>
      <w:r w:rsidRPr="00666F3E">
        <w:t>, reported physical harassment</w:t>
      </w:r>
      <w:r w:rsidRPr="00454460">
        <w:t xml:space="preserve"> in the past 12 months.</w:t>
      </w:r>
    </w:p>
    <w:p w14:paraId="35C41243" w14:textId="77777777" w:rsidR="009D0006" w:rsidRPr="00521F59" w:rsidRDefault="009D0006" w:rsidP="00F40437">
      <w:r>
        <w:t>Among parti</w:t>
      </w:r>
      <w:r>
        <w:lastRenderedPageBreak/>
        <w:t>cipants reporting disability, almost one-third had experienced sexual assault in the past 12 months. More than one-third of those with intellectual disability had experienced sexual assault (36.4%; n = 40), followed by participants with autism/neurodiversity</w:t>
      </w:r>
      <w:r w:rsidRPr="00CF1646">
        <w:t xml:space="preserve"> and intellectual disability</w:t>
      </w:r>
      <w:r>
        <w:t xml:space="preserve"> (33.0%; n = 63), participants with physical or sensory disability (32.0%; n = 203), participants with autism/neurodiversity (31.4%; n = 186) and participants with a mental health condition (27.1%; n = 254). </w:t>
      </w:r>
      <w:r w:rsidRPr="00666F3E">
        <w:t xml:space="preserve">It is also worth noting that </w:t>
      </w:r>
      <w:r w:rsidRPr="005F1427">
        <w:t>34.2</w:t>
      </w:r>
      <w:r w:rsidRPr="00666F3E">
        <w:t>% (</w:t>
      </w:r>
      <w:r w:rsidRPr="005F1427">
        <w:t>n</w:t>
      </w:r>
      <w:r w:rsidRPr="00666F3E">
        <w:t xml:space="preserve"> = </w:t>
      </w:r>
      <w:r w:rsidRPr="005F1427">
        <w:t>103</w:t>
      </w:r>
      <w:r w:rsidRPr="00666F3E">
        <w:t xml:space="preserve">) of the overall group of participants with intellectual disability, with or without </w:t>
      </w:r>
      <w:r>
        <w:t>autism/neurodiversity</w:t>
      </w:r>
      <w:r w:rsidRPr="00666F3E">
        <w:t>, reported sexual assault in the past 12 months.</w:t>
      </w:r>
    </w:p>
    <w:p w14:paraId="328D1FC2" w14:textId="77777777" w:rsidR="009D0006" w:rsidRDefault="009D0006" w:rsidP="001153FB">
      <w:pPr>
        <w:pStyle w:val="Tableheading"/>
      </w:pPr>
      <w:bookmarkStart w:id="469" w:name="_Toc117062757"/>
      <w:bookmarkStart w:id="470" w:name="_Toc119651442"/>
      <w:r w:rsidRPr="00A14FB1">
        <w:t>Table</w:t>
      </w:r>
      <w:r>
        <w:t>s</w:t>
      </w:r>
      <w:r w:rsidRPr="00A14FB1">
        <w:t xml:space="preserve"> </w:t>
      </w:r>
      <w:r w:rsidR="00C9023A">
        <w:fldChar w:fldCharType="begin"/>
      </w:r>
      <w:r w:rsidR="00C9023A">
        <w:instrText xml:space="preserve"> SEQ Table \* ARAB</w:instrText>
      </w:r>
      <w:r w:rsidR="00C9023A">
        <w:instrText xml:space="preserve">IC </w:instrText>
      </w:r>
      <w:r w:rsidR="00C9023A">
        <w:fldChar w:fldCharType="separate"/>
      </w:r>
      <w:r>
        <w:rPr>
          <w:noProof/>
        </w:rPr>
        <w:t>39</w:t>
      </w:r>
      <w:r w:rsidR="00C9023A">
        <w:rPr>
          <w:noProof/>
        </w:rPr>
        <w:fldChar w:fldCharType="end"/>
      </w:r>
      <w:r>
        <w:t>.1-39.7</w:t>
      </w:r>
      <w:r w:rsidRPr="00A14FB1">
        <w:t xml:space="preserve"> Ever experienced verbal, physical or sexual harassment or assault based on sexual orientation or gender identity among young people aged 14-21 years, grouped by disability</w:t>
      </w:r>
      <w:bookmarkEnd w:id="469"/>
      <w:bookmarkEnd w:id="470"/>
    </w:p>
    <w:p w14:paraId="6B082114" w14:textId="77777777" w:rsidR="009D0006" w:rsidRPr="00A14FB1" w:rsidRDefault="009D0006" w:rsidP="001153FB">
      <w:pPr>
        <w:pStyle w:val="Tableheading"/>
      </w:pPr>
      <w:r>
        <w:t>Table 39.1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0C4CAEDF" w14:textId="77777777" w:rsidTr="00F40437">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31E9E0AC" w14:textId="77777777" w:rsidR="009D0006" w:rsidRPr="005251E7" w:rsidRDefault="009D0006" w:rsidP="00F40437">
            <w:pPr>
              <w:pStyle w:val="Tableheader"/>
            </w:pPr>
            <w:r w:rsidRPr="005251E7">
              <w:t>Harassment or assault ever in lifetime</w:t>
            </w:r>
          </w:p>
        </w:tc>
        <w:tc>
          <w:tcPr>
            <w:tcW w:w="1559" w:type="dxa"/>
            <w:noWrap/>
          </w:tcPr>
          <w:p w14:paraId="745CE93E" w14:textId="77777777" w:rsidR="009D0006" w:rsidRPr="005251E7" w:rsidRDefault="009D0006" w:rsidP="00F40437">
            <w:pPr>
              <w:pStyle w:val="Tableheader"/>
            </w:pPr>
            <w:r w:rsidRPr="005251E7">
              <w:t>n</w:t>
            </w:r>
          </w:p>
        </w:tc>
        <w:tc>
          <w:tcPr>
            <w:tcW w:w="1559" w:type="dxa"/>
            <w:noWrap/>
          </w:tcPr>
          <w:p w14:paraId="2B6CE9A8" w14:textId="77777777" w:rsidR="009D0006" w:rsidRPr="005251E7" w:rsidRDefault="009D0006" w:rsidP="00F40437">
            <w:pPr>
              <w:pStyle w:val="Tableheader"/>
            </w:pPr>
            <w:r w:rsidRPr="005251E7">
              <w:t>%</w:t>
            </w:r>
          </w:p>
        </w:tc>
      </w:tr>
      <w:tr w:rsidR="009D0006" w:rsidRPr="00CC74AD" w14:paraId="6097DF63" w14:textId="77777777" w:rsidTr="00F40437">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4DD5682" w14:textId="77777777" w:rsidR="009D0006" w:rsidRPr="00CC74AD" w:rsidRDefault="009D0006" w:rsidP="00F40437">
            <w:pPr>
              <w:pStyle w:val="Tabletext"/>
            </w:pPr>
            <w:r w:rsidRPr="00CC74AD">
              <w:t>Verbal</w:t>
            </w:r>
          </w:p>
        </w:tc>
        <w:tc>
          <w:tcPr>
            <w:tcW w:w="1559" w:type="dxa"/>
            <w:noWrap/>
          </w:tcPr>
          <w:p w14:paraId="6A4CAD97" w14:textId="77777777" w:rsidR="009D0006" w:rsidRPr="00CC74AD" w:rsidRDefault="009D0006" w:rsidP="00F40437">
            <w:pPr>
              <w:pStyle w:val="Tabletext"/>
            </w:pPr>
            <w:r w:rsidRPr="00CC74AD">
              <w:rPr>
                <w:color w:val="000000"/>
              </w:rPr>
              <w:t>985</w:t>
            </w:r>
          </w:p>
        </w:tc>
        <w:tc>
          <w:tcPr>
            <w:tcW w:w="1559" w:type="dxa"/>
            <w:noWrap/>
          </w:tcPr>
          <w:p w14:paraId="1AAC5725" w14:textId="77777777" w:rsidR="009D0006" w:rsidRPr="00CC74AD" w:rsidRDefault="009D0006" w:rsidP="00F40437">
            <w:pPr>
              <w:pStyle w:val="Tabletext"/>
            </w:pPr>
            <w:r w:rsidRPr="00CC74AD">
              <w:rPr>
                <w:color w:val="000000"/>
              </w:rPr>
              <w:t>71.1</w:t>
            </w:r>
          </w:p>
        </w:tc>
      </w:tr>
      <w:tr w:rsidR="009D0006" w:rsidRPr="00CC74AD" w14:paraId="33B82E7E" w14:textId="77777777" w:rsidTr="00F40437">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3D61B49A" w14:textId="77777777" w:rsidR="009D0006" w:rsidRPr="00CC74AD" w:rsidRDefault="009D0006" w:rsidP="00F40437">
            <w:pPr>
              <w:pStyle w:val="Tabletext"/>
            </w:pPr>
            <w:r w:rsidRPr="00CC74AD">
              <w:t>Physical</w:t>
            </w:r>
          </w:p>
        </w:tc>
        <w:tc>
          <w:tcPr>
            <w:tcW w:w="1559" w:type="dxa"/>
            <w:noWrap/>
          </w:tcPr>
          <w:p w14:paraId="685A5767" w14:textId="77777777" w:rsidR="009D0006" w:rsidRPr="00CC74AD" w:rsidRDefault="009D0006" w:rsidP="00F40437">
            <w:pPr>
              <w:pStyle w:val="Tabletext"/>
            </w:pPr>
            <w:r w:rsidRPr="00CC74AD">
              <w:rPr>
                <w:color w:val="000000"/>
              </w:rPr>
              <w:t>301</w:t>
            </w:r>
          </w:p>
        </w:tc>
        <w:tc>
          <w:tcPr>
            <w:tcW w:w="1559" w:type="dxa"/>
            <w:noWrap/>
          </w:tcPr>
          <w:p w14:paraId="6CD7F3FD" w14:textId="77777777" w:rsidR="009D0006" w:rsidRPr="00CC74AD" w:rsidRDefault="009D0006" w:rsidP="00F40437">
            <w:pPr>
              <w:pStyle w:val="Tabletext"/>
            </w:pPr>
            <w:r w:rsidRPr="00CC74AD">
              <w:rPr>
                <w:color w:val="000000"/>
              </w:rPr>
              <w:t>24.3</w:t>
            </w:r>
          </w:p>
        </w:tc>
      </w:tr>
      <w:tr w:rsidR="009D0006" w:rsidRPr="00CC74AD" w14:paraId="7799A075" w14:textId="77777777" w:rsidTr="00F40437">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BDC5BBC" w14:textId="77777777" w:rsidR="009D0006" w:rsidRPr="00CC74AD" w:rsidRDefault="009D0006" w:rsidP="00F40437">
            <w:pPr>
              <w:pStyle w:val="Tabletext"/>
            </w:pPr>
            <w:r w:rsidRPr="00CC74AD">
              <w:t>Sexual</w:t>
            </w:r>
          </w:p>
        </w:tc>
        <w:tc>
          <w:tcPr>
            <w:tcW w:w="1559" w:type="dxa"/>
            <w:noWrap/>
          </w:tcPr>
          <w:p w14:paraId="0FB80B79" w14:textId="77777777" w:rsidR="009D0006" w:rsidRPr="00CC74AD" w:rsidRDefault="009D0006" w:rsidP="00F40437">
            <w:pPr>
              <w:pStyle w:val="Tabletext"/>
            </w:pPr>
            <w:r w:rsidRPr="00CC74AD">
              <w:rPr>
                <w:color w:val="000000"/>
              </w:rPr>
              <w:t>529</w:t>
            </w:r>
          </w:p>
        </w:tc>
        <w:tc>
          <w:tcPr>
            <w:tcW w:w="1559" w:type="dxa"/>
            <w:noWrap/>
          </w:tcPr>
          <w:p w14:paraId="229CE212" w14:textId="77777777" w:rsidR="009D0006" w:rsidRPr="00CC74AD" w:rsidRDefault="009D0006" w:rsidP="00F40437">
            <w:pPr>
              <w:pStyle w:val="Tabletext"/>
            </w:pPr>
            <w:r w:rsidRPr="00CC74AD">
              <w:rPr>
                <w:color w:val="000000"/>
              </w:rPr>
              <w:t>41.3</w:t>
            </w:r>
          </w:p>
        </w:tc>
      </w:tr>
    </w:tbl>
    <w:p w14:paraId="5BAD9320" w14:textId="77777777" w:rsidR="009D0006" w:rsidRDefault="009D0006" w:rsidP="001153FB">
      <w:pPr>
        <w:pStyle w:val="Tableheading"/>
        <w:rPr>
          <w:lang w:val="en-GB"/>
        </w:rPr>
      </w:pPr>
      <w:r>
        <w:rPr>
          <w:lang w:val="en-GB"/>
        </w:rPr>
        <w:t>Table 39.2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5251E7" w14:paraId="4F75E366" w14:textId="77777777" w:rsidTr="0042121A">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CF21EBF" w14:textId="77777777" w:rsidR="009D0006" w:rsidRPr="005251E7" w:rsidRDefault="009D0006" w:rsidP="0042121A">
            <w:pPr>
              <w:pStyle w:val="Tableheader"/>
            </w:pPr>
            <w:r w:rsidRPr="005251E7">
              <w:t>Harassment or assault ever in lifetime</w:t>
            </w:r>
          </w:p>
        </w:tc>
        <w:tc>
          <w:tcPr>
            <w:tcW w:w="1559" w:type="dxa"/>
          </w:tcPr>
          <w:p w14:paraId="5F926358" w14:textId="77777777" w:rsidR="009D0006" w:rsidRPr="005251E7" w:rsidRDefault="009D0006" w:rsidP="0042121A">
            <w:pPr>
              <w:pStyle w:val="Tableheader"/>
            </w:pPr>
            <w:r w:rsidRPr="005251E7">
              <w:t>n</w:t>
            </w:r>
          </w:p>
        </w:tc>
        <w:tc>
          <w:tcPr>
            <w:tcW w:w="1559" w:type="dxa"/>
          </w:tcPr>
          <w:p w14:paraId="0DFA1EA2" w14:textId="77777777" w:rsidR="009D0006" w:rsidRPr="005251E7" w:rsidRDefault="009D0006" w:rsidP="0042121A">
            <w:pPr>
              <w:pStyle w:val="Tableheader"/>
            </w:pPr>
            <w:r w:rsidRPr="005251E7">
              <w:t>%</w:t>
            </w:r>
          </w:p>
        </w:tc>
      </w:tr>
      <w:tr w:rsidR="009D0006" w:rsidRPr="00CC74AD" w14:paraId="111A7D39"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8A1A2E2" w14:textId="77777777" w:rsidR="009D0006" w:rsidRPr="00CC74AD" w:rsidRDefault="009D0006" w:rsidP="0042121A">
            <w:pPr>
              <w:pStyle w:val="Tabletext"/>
            </w:pPr>
            <w:r w:rsidRPr="00CC74AD">
              <w:t>Verbal</w:t>
            </w:r>
          </w:p>
        </w:tc>
        <w:tc>
          <w:tcPr>
            <w:tcW w:w="1559" w:type="dxa"/>
          </w:tcPr>
          <w:p w14:paraId="6BF2A858" w14:textId="77777777" w:rsidR="009D0006" w:rsidRPr="00CC74AD" w:rsidRDefault="009D0006" w:rsidP="0042121A">
            <w:pPr>
              <w:pStyle w:val="Tabletext"/>
            </w:pPr>
            <w:r w:rsidRPr="00CC74AD">
              <w:rPr>
                <w:color w:val="000000"/>
              </w:rPr>
              <w:t>1609</w:t>
            </w:r>
          </w:p>
        </w:tc>
        <w:tc>
          <w:tcPr>
            <w:tcW w:w="1559" w:type="dxa"/>
          </w:tcPr>
          <w:p w14:paraId="573115B4" w14:textId="77777777" w:rsidR="009D0006" w:rsidRPr="00CC74AD" w:rsidRDefault="009D0006" w:rsidP="0042121A">
            <w:pPr>
              <w:pStyle w:val="Tabletext"/>
            </w:pPr>
            <w:r w:rsidRPr="00CC74AD">
              <w:rPr>
                <w:color w:val="000000"/>
              </w:rPr>
              <w:t>51.3</w:t>
            </w:r>
          </w:p>
        </w:tc>
      </w:tr>
      <w:tr w:rsidR="009D0006" w:rsidRPr="00CC74AD" w14:paraId="03F5E426"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042BD96" w14:textId="77777777" w:rsidR="009D0006" w:rsidRPr="00CC74AD" w:rsidRDefault="009D0006" w:rsidP="0042121A">
            <w:pPr>
              <w:pStyle w:val="Tabletext"/>
            </w:pPr>
            <w:r w:rsidRPr="00CC74AD">
              <w:t>Physical</w:t>
            </w:r>
          </w:p>
        </w:tc>
        <w:tc>
          <w:tcPr>
            <w:tcW w:w="1559" w:type="dxa"/>
          </w:tcPr>
          <w:p w14:paraId="5B700114" w14:textId="77777777" w:rsidR="009D0006" w:rsidRPr="00CC74AD" w:rsidRDefault="009D0006" w:rsidP="0042121A">
            <w:pPr>
              <w:pStyle w:val="Tabletext"/>
            </w:pPr>
            <w:r w:rsidRPr="00CC74AD">
              <w:rPr>
                <w:color w:val="000000"/>
              </w:rPr>
              <w:t>333</w:t>
            </w:r>
          </w:p>
        </w:tc>
        <w:tc>
          <w:tcPr>
            <w:tcW w:w="1559" w:type="dxa"/>
          </w:tcPr>
          <w:p w14:paraId="72E63115" w14:textId="77777777" w:rsidR="009D0006" w:rsidRPr="00CC74AD" w:rsidRDefault="009D0006" w:rsidP="0042121A">
            <w:pPr>
              <w:pStyle w:val="Tabletext"/>
            </w:pPr>
            <w:r w:rsidRPr="00CC74AD">
              <w:rPr>
                <w:color w:val="000000"/>
              </w:rPr>
              <w:t>12.1</w:t>
            </w:r>
          </w:p>
        </w:tc>
      </w:tr>
      <w:tr w:rsidR="009D0006" w:rsidRPr="00CC74AD" w14:paraId="7E1AAD8B"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B3E407A" w14:textId="77777777" w:rsidR="009D0006" w:rsidRPr="00CC74AD" w:rsidRDefault="009D0006" w:rsidP="0042121A">
            <w:pPr>
              <w:pStyle w:val="Tabletext"/>
            </w:pPr>
            <w:r w:rsidRPr="00CC74AD">
              <w:t>Sexual</w:t>
            </w:r>
          </w:p>
        </w:tc>
        <w:tc>
          <w:tcPr>
            <w:tcW w:w="1559" w:type="dxa"/>
          </w:tcPr>
          <w:p w14:paraId="6E3C4469" w14:textId="77777777" w:rsidR="009D0006" w:rsidRPr="00CC74AD" w:rsidRDefault="009D0006" w:rsidP="0042121A">
            <w:pPr>
              <w:pStyle w:val="Tabletext"/>
            </w:pPr>
            <w:r w:rsidRPr="00CC74AD">
              <w:rPr>
                <w:color w:val="000000"/>
              </w:rPr>
              <w:t>654</w:t>
            </w:r>
          </w:p>
        </w:tc>
        <w:tc>
          <w:tcPr>
            <w:tcW w:w="1559" w:type="dxa"/>
          </w:tcPr>
          <w:p w14:paraId="191963E9" w14:textId="77777777" w:rsidR="009D0006" w:rsidRPr="00CC74AD" w:rsidRDefault="009D0006" w:rsidP="0042121A">
            <w:pPr>
              <w:pStyle w:val="Tabletext"/>
            </w:pPr>
            <w:r w:rsidRPr="00CC74AD">
              <w:rPr>
                <w:color w:val="000000"/>
              </w:rPr>
              <w:t>23.3</w:t>
            </w:r>
          </w:p>
        </w:tc>
      </w:tr>
    </w:tbl>
    <w:p w14:paraId="6080ADC6" w14:textId="77777777" w:rsidR="009D0006" w:rsidRDefault="009D0006" w:rsidP="001153FB">
      <w:pPr>
        <w:pStyle w:val="Tableheading"/>
        <w:rPr>
          <w:lang w:val="en-GB"/>
        </w:rPr>
      </w:pPr>
      <w:r>
        <w:rPr>
          <w:lang w:val="en-GB"/>
        </w:rPr>
        <w:t>Table 39.3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0DC5FA35" w14:textId="77777777" w:rsidTr="0042121A">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43975D92" w14:textId="77777777" w:rsidR="009D0006" w:rsidRPr="005251E7" w:rsidRDefault="009D0006" w:rsidP="0042121A">
            <w:pPr>
              <w:pStyle w:val="Tableheader"/>
              <w:rPr>
                <w:lang w:val="en-US"/>
              </w:rPr>
            </w:pPr>
            <w:r w:rsidRPr="005251E7">
              <w:t>Harassment or assault ever in lifetime</w:t>
            </w:r>
          </w:p>
        </w:tc>
        <w:tc>
          <w:tcPr>
            <w:tcW w:w="1559" w:type="dxa"/>
          </w:tcPr>
          <w:p w14:paraId="20ED7F4F" w14:textId="77777777" w:rsidR="009D0006" w:rsidRPr="005251E7" w:rsidRDefault="009D0006" w:rsidP="0042121A">
            <w:pPr>
              <w:pStyle w:val="Tableheader"/>
              <w:rPr>
                <w:lang w:val="en-US"/>
              </w:rPr>
            </w:pPr>
            <w:r w:rsidRPr="005251E7">
              <w:t>n</w:t>
            </w:r>
          </w:p>
        </w:tc>
        <w:tc>
          <w:tcPr>
            <w:tcW w:w="1559" w:type="dxa"/>
          </w:tcPr>
          <w:p w14:paraId="5239C84C" w14:textId="77777777" w:rsidR="009D0006" w:rsidRPr="005251E7" w:rsidRDefault="009D0006" w:rsidP="0042121A">
            <w:pPr>
              <w:pStyle w:val="Tableheader"/>
            </w:pPr>
            <w:r w:rsidRPr="005251E7">
              <w:t>%</w:t>
            </w:r>
          </w:p>
        </w:tc>
      </w:tr>
      <w:tr w:rsidR="009D0006" w:rsidRPr="00CC74AD" w14:paraId="5A24AF8A"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F1C7A9F" w14:textId="77777777" w:rsidR="009D0006" w:rsidRPr="00CC74AD" w:rsidRDefault="009D0006" w:rsidP="0042121A">
            <w:pPr>
              <w:pStyle w:val="Tabletext"/>
              <w:rPr>
                <w:lang w:val="en-US"/>
              </w:rPr>
            </w:pPr>
            <w:r w:rsidRPr="00CC74AD">
              <w:rPr>
                <w:lang w:val="en-US"/>
              </w:rPr>
              <w:t>Verbal</w:t>
            </w:r>
          </w:p>
        </w:tc>
        <w:tc>
          <w:tcPr>
            <w:tcW w:w="1559" w:type="dxa"/>
          </w:tcPr>
          <w:p w14:paraId="02992EE2" w14:textId="77777777" w:rsidR="009D0006" w:rsidRPr="00CC74AD" w:rsidRDefault="009D0006" w:rsidP="0042121A">
            <w:pPr>
              <w:pStyle w:val="Tabletext"/>
            </w:pPr>
            <w:r w:rsidRPr="00CC74AD">
              <w:rPr>
                <w:color w:val="000000"/>
              </w:rPr>
              <w:t>436</w:t>
            </w:r>
          </w:p>
        </w:tc>
        <w:tc>
          <w:tcPr>
            <w:tcW w:w="1559" w:type="dxa"/>
          </w:tcPr>
          <w:p w14:paraId="49A8572A" w14:textId="77777777" w:rsidR="009D0006" w:rsidRPr="00CC74AD" w:rsidRDefault="009D0006" w:rsidP="0042121A">
            <w:pPr>
              <w:pStyle w:val="Tabletext"/>
            </w:pPr>
            <w:r w:rsidRPr="00CC74AD">
              <w:rPr>
                <w:color w:val="000000"/>
              </w:rPr>
              <w:t>69.6</w:t>
            </w:r>
          </w:p>
        </w:tc>
      </w:tr>
      <w:tr w:rsidR="009D0006" w:rsidRPr="00CC74AD" w14:paraId="24E973D0"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C6F2456" w14:textId="77777777" w:rsidR="009D0006" w:rsidRPr="00CC74AD" w:rsidRDefault="009D0006" w:rsidP="0042121A">
            <w:pPr>
              <w:pStyle w:val="Tabletext"/>
              <w:rPr>
                <w:lang w:val="en-US"/>
              </w:rPr>
            </w:pPr>
            <w:r w:rsidRPr="00CC74AD">
              <w:rPr>
                <w:lang w:val="en-US"/>
              </w:rPr>
              <w:t>Physical</w:t>
            </w:r>
          </w:p>
        </w:tc>
        <w:tc>
          <w:tcPr>
            <w:tcW w:w="1559" w:type="dxa"/>
          </w:tcPr>
          <w:p w14:paraId="5ED1E3F6" w14:textId="77777777" w:rsidR="009D0006" w:rsidRPr="00CC74AD" w:rsidRDefault="009D0006" w:rsidP="0042121A">
            <w:pPr>
              <w:pStyle w:val="Tabletext"/>
            </w:pPr>
            <w:r w:rsidRPr="00CC74AD">
              <w:rPr>
                <w:color w:val="000000"/>
              </w:rPr>
              <w:t>124</w:t>
            </w:r>
          </w:p>
        </w:tc>
        <w:tc>
          <w:tcPr>
            <w:tcW w:w="1559" w:type="dxa"/>
          </w:tcPr>
          <w:p w14:paraId="352343B6" w14:textId="77777777" w:rsidR="009D0006" w:rsidRPr="00CC74AD" w:rsidRDefault="009D0006" w:rsidP="0042121A">
            <w:pPr>
              <w:pStyle w:val="Tabletext"/>
            </w:pPr>
            <w:r w:rsidRPr="00CC74AD">
              <w:rPr>
                <w:color w:val="000000"/>
              </w:rPr>
              <w:t>21.7</w:t>
            </w:r>
          </w:p>
        </w:tc>
      </w:tr>
      <w:tr w:rsidR="009D0006" w:rsidRPr="00CC74AD" w14:paraId="6C87AA38"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B0CAC1C" w14:textId="77777777" w:rsidR="009D0006" w:rsidRPr="00CC74AD" w:rsidRDefault="009D0006" w:rsidP="0042121A">
            <w:pPr>
              <w:pStyle w:val="Tabletext"/>
              <w:rPr>
                <w:lang w:val="en-US"/>
              </w:rPr>
            </w:pPr>
            <w:r w:rsidRPr="00CC74AD">
              <w:rPr>
                <w:lang w:val="en-US"/>
              </w:rPr>
              <w:t>Sexual</w:t>
            </w:r>
          </w:p>
        </w:tc>
        <w:tc>
          <w:tcPr>
            <w:tcW w:w="1559" w:type="dxa"/>
          </w:tcPr>
          <w:p w14:paraId="203374D5" w14:textId="77777777" w:rsidR="009D0006" w:rsidRPr="00CC74AD" w:rsidRDefault="009D0006" w:rsidP="0042121A">
            <w:pPr>
              <w:pStyle w:val="Tabletext"/>
            </w:pPr>
            <w:r w:rsidRPr="00CC74AD">
              <w:rPr>
                <w:color w:val="000000"/>
              </w:rPr>
              <w:t>241</w:t>
            </w:r>
          </w:p>
        </w:tc>
        <w:tc>
          <w:tcPr>
            <w:tcW w:w="1559" w:type="dxa"/>
          </w:tcPr>
          <w:p w14:paraId="7115CDDE" w14:textId="77777777" w:rsidR="009D0006" w:rsidRPr="00CC74AD" w:rsidRDefault="009D0006" w:rsidP="0042121A">
            <w:pPr>
              <w:pStyle w:val="Tabletext"/>
            </w:pPr>
            <w:r w:rsidRPr="00CC74AD">
              <w:rPr>
                <w:color w:val="000000"/>
              </w:rPr>
              <w:t>40.7</w:t>
            </w:r>
          </w:p>
        </w:tc>
      </w:tr>
    </w:tbl>
    <w:p w14:paraId="2B9A07D4" w14:textId="77777777" w:rsidR="009D0006" w:rsidRDefault="009D0006" w:rsidP="001153FB">
      <w:pPr>
        <w:pStyle w:val="Tableheading"/>
        <w:rPr>
          <w:lang w:val="en-GB"/>
        </w:rPr>
      </w:pPr>
      <w:r>
        <w:rPr>
          <w:lang w:val="en-GB"/>
        </w:rPr>
        <w:t>Table 39.4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5BE37DE8" w14:textId="77777777" w:rsidTr="004E2605">
        <w:trPr>
          <w:cnfStyle w:val="100000000000" w:firstRow="1" w:lastRow="0" w:firstColumn="0" w:lastColumn="0" w:oddVBand="0" w:evenVBand="0" w:oddHBand="0" w:evenHBand="0" w:firstRowFirstColumn="0" w:firstRowLastColumn="0" w:lastRowFirstColumn="0" w:lastRowLastColumn="0"/>
          <w:trHeight w:val="340"/>
          <w:tblHeader/>
        </w:trPr>
        <w:tc>
          <w:tcPr>
            <w:tcW w:w="6746" w:type="dxa"/>
            <w:noWrap/>
          </w:tcPr>
          <w:p w14:paraId="4F2B0FA1" w14:textId="77777777" w:rsidR="009D0006" w:rsidRPr="005251E7" w:rsidRDefault="009D0006" w:rsidP="0042121A">
            <w:pPr>
              <w:pStyle w:val="Tableheader"/>
              <w:rPr>
                <w:lang w:val="en-US"/>
              </w:rPr>
            </w:pPr>
            <w:r w:rsidRPr="005251E7">
              <w:t>Harassment or assault ever in lifetime</w:t>
            </w:r>
          </w:p>
        </w:tc>
        <w:tc>
          <w:tcPr>
            <w:tcW w:w="1559" w:type="dxa"/>
          </w:tcPr>
          <w:p w14:paraId="4203757F" w14:textId="77777777" w:rsidR="009D0006" w:rsidRPr="005251E7" w:rsidRDefault="009D0006" w:rsidP="0042121A">
            <w:pPr>
              <w:pStyle w:val="Tableheader"/>
              <w:rPr>
                <w:lang w:val="en-US"/>
              </w:rPr>
            </w:pPr>
            <w:r w:rsidRPr="005251E7">
              <w:t>n</w:t>
            </w:r>
          </w:p>
        </w:tc>
        <w:tc>
          <w:tcPr>
            <w:tcW w:w="1559" w:type="dxa"/>
          </w:tcPr>
          <w:p w14:paraId="19BF5318" w14:textId="77777777" w:rsidR="009D0006" w:rsidRPr="005251E7" w:rsidRDefault="009D0006" w:rsidP="0042121A">
            <w:pPr>
              <w:pStyle w:val="Tableheader"/>
            </w:pPr>
            <w:r w:rsidRPr="005251E7">
              <w:t>%</w:t>
            </w:r>
          </w:p>
        </w:tc>
      </w:tr>
      <w:tr w:rsidR="009D0006" w:rsidRPr="00CC74AD" w14:paraId="0B76C65D"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41622458" w14:textId="77777777" w:rsidR="009D0006" w:rsidRPr="00CC74AD" w:rsidRDefault="009D0006" w:rsidP="0042121A">
            <w:pPr>
              <w:pStyle w:val="Tabletext"/>
              <w:rPr>
                <w:lang w:val="en-US"/>
              </w:rPr>
            </w:pPr>
            <w:r w:rsidRPr="00CC74AD">
              <w:rPr>
                <w:lang w:val="en-US"/>
              </w:rPr>
              <w:t>Verbal</w:t>
            </w:r>
          </w:p>
        </w:tc>
        <w:tc>
          <w:tcPr>
            <w:tcW w:w="1559" w:type="dxa"/>
          </w:tcPr>
          <w:p w14:paraId="6D190F7E" w14:textId="77777777" w:rsidR="009D0006" w:rsidRPr="00CC74AD" w:rsidRDefault="009D0006" w:rsidP="0042121A">
            <w:pPr>
              <w:pStyle w:val="Tabletext"/>
            </w:pPr>
            <w:r w:rsidRPr="00CC74AD">
              <w:rPr>
                <w:color w:val="000000"/>
              </w:rPr>
              <w:t>168</w:t>
            </w:r>
          </w:p>
        </w:tc>
        <w:tc>
          <w:tcPr>
            <w:tcW w:w="1559" w:type="dxa"/>
          </w:tcPr>
          <w:p w14:paraId="75745892" w14:textId="77777777" w:rsidR="009D0006" w:rsidRPr="00CC74AD" w:rsidRDefault="009D0006" w:rsidP="0042121A">
            <w:pPr>
              <w:pStyle w:val="Tabletext"/>
            </w:pPr>
            <w:r w:rsidRPr="00CC74AD">
              <w:rPr>
                <w:color w:val="000000"/>
              </w:rPr>
              <w:t>79.6</w:t>
            </w:r>
          </w:p>
        </w:tc>
      </w:tr>
      <w:tr w:rsidR="009D0006" w:rsidRPr="00CC74AD" w14:paraId="617BEB87"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66A491DC" w14:textId="77777777" w:rsidR="009D0006" w:rsidRPr="00CC74AD" w:rsidRDefault="009D0006" w:rsidP="0042121A">
            <w:pPr>
              <w:pStyle w:val="Tabletext"/>
              <w:rPr>
                <w:lang w:val="en-US"/>
              </w:rPr>
            </w:pPr>
            <w:r w:rsidRPr="00CC74AD">
              <w:rPr>
                <w:lang w:val="en-US"/>
              </w:rPr>
              <w:t>Physical</w:t>
            </w:r>
          </w:p>
        </w:tc>
        <w:tc>
          <w:tcPr>
            <w:tcW w:w="1559" w:type="dxa"/>
          </w:tcPr>
          <w:p w14:paraId="527C87FA" w14:textId="77777777" w:rsidR="009D0006" w:rsidRPr="00CC74AD" w:rsidRDefault="009D0006" w:rsidP="0042121A">
            <w:pPr>
              <w:pStyle w:val="Tabletext"/>
            </w:pPr>
            <w:r w:rsidRPr="00CC74AD">
              <w:rPr>
                <w:color w:val="000000"/>
              </w:rPr>
              <w:t>62</w:t>
            </w:r>
          </w:p>
        </w:tc>
        <w:tc>
          <w:tcPr>
            <w:tcW w:w="1559" w:type="dxa"/>
          </w:tcPr>
          <w:p w14:paraId="0E79609C" w14:textId="77777777" w:rsidR="009D0006" w:rsidRPr="00CC74AD" w:rsidRDefault="009D0006" w:rsidP="0042121A">
            <w:pPr>
              <w:pStyle w:val="Tabletext"/>
            </w:pPr>
            <w:r w:rsidRPr="00CC74AD">
              <w:rPr>
                <w:color w:val="000000"/>
              </w:rPr>
              <w:t>33.3</w:t>
            </w:r>
          </w:p>
        </w:tc>
      </w:tr>
      <w:tr w:rsidR="009D0006" w:rsidRPr="00CC74AD" w14:paraId="43412C49"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A079659" w14:textId="77777777" w:rsidR="009D0006" w:rsidRPr="00CC74AD" w:rsidRDefault="009D0006" w:rsidP="0042121A">
            <w:pPr>
              <w:pStyle w:val="Tabletext"/>
              <w:rPr>
                <w:lang w:val="en-US"/>
              </w:rPr>
            </w:pPr>
            <w:r w:rsidRPr="00CC74AD">
              <w:rPr>
                <w:lang w:val="en-US"/>
              </w:rPr>
              <w:t>Sexual</w:t>
            </w:r>
          </w:p>
        </w:tc>
        <w:tc>
          <w:tcPr>
            <w:tcW w:w="1559" w:type="dxa"/>
          </w:tcPr>
          <w:p w14:paraId="401FBB49" w14:textId="77777777" w:rsidR="009D0006" w:rsidRPr="00CC74AD" w:rsidRDefault="009D0006" w:rsidP="0042121A">
            <w:pPr>
              <w:pStyle w:val="Tabletext"/>
            </w:pPr>
            <w:r w:rsidRPr="00CC74AD">
              <w:rPr>
                <w:color w:val="000000"/>
              </w:rPr>
              <w:t>86</w:t>
            </w:r>
          </w:p>
        </w:tc>
        <w:tc>
          <w:tcPr>
            <w:tcW w:w="1559" w:type="dxa"/>
          </w:tcPr>
          <w:p w14:paraId="1C60A907" w14:textId="77777777" w:rsidR="009D0006" w:rsidRPr="00CC74AD" w:rsidRDefault="009D0006" w:rsidP="0042121A">
            <w:pPr>
              <w:pStyle w:val="Tabletext"/>
            </w:pPr>
            <w:r w:rsidRPr="00CC74AD">
              <w:rPr>
                <w:color w:val="000000"/>
              </w:rPr>
              <w:t>4</w:t>
            </w:r>
            <w:r w:rsidRPr="00CC74AD">
              <w:rPr>
                <w:color w:val="000000"/>
              </w:rPr>
              <w:lastRenderedPageBreak/>
              <w:t>5.0</w:t>
            </w:r>
          </w:p>
        </w:tc>
      </w:tr>
    </w:tbl>
    <w:p w14:paraId="364CD5F2" w14:textId="77777777" w:rsidR="009D0006" w:rsidRDefault="009D0006" w:rsidP="001153FB">
      <w:pPr>
        <w:pStyle w:val="Tableheading"/>
        <w:rPr>
          <w:lang w:val="en-GB"/>
        </w:rPr>
      </w:pPr>
      <w:r>
        <w:rPr>
          <w:lang w:val="en-GB"/>
        </w:rPr>
        <w:t>Table 39.5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5500408F" w14:textId="77777777" w:rsidTr="0042121A">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3CB86E32" w14:textId="77777777" w:rsidR="009D0006" w:rsidRPr="004D1D98" w:rsidRDefault="009D0006" w:rsidP="0042121A">
            <w:pPr>
              <w:pStyle w:val="Tableheader"/>
              <w:rPr>
                <w:lang w:val="en-US"/>
              </w:rPr>
            </w:pPr>
            <w:r w:rsidRPr="004D1D98">
              <w:t>Harassment or assault ever in lifetime</w:t>
            </w:r>
          </w:p>
        </w:tc>
        <w:tc>
          <w:tcPr>
            <w:tcW w:w="1559" w:type="dxa"/>
          </w:tcPr>
          <w:p w14:paraId="0A68405F" w14:textId="77777777" w:rsidR="009D0006" w:rsidRPr="004D1D98" w:rsidRDefault="009D0006" w:rsidP="0042121A">
            <w:pPr>
              <w:pStyle w:val="Tableheader"/>
            </w:pPr>
            <w:r w:rsidRPr="004D1D98">
              <w:t>n</w:t>
            </w:r>
          </w:p>
        </w:tc>
        <w:tc>
          <w:tcPr>
            <w:tcW w:w="1559" w:type="dxa"/>
          </w:tcPr>
          <w:p w14:paraId="5C7A2592" w14:textId="77777777" w:rsidR="009D0006" w:rsidRPr="004D1D98" w:rsidRDefault="009D0006" w:rsidP="0042121A">
            <w:pPr>
              <w:pStyle w:val="Tableheader"/>
            </w:pPr>
            <w:r w:rsidRPr="004D1D98">
              <w:t>%</w:t>
            </w:r>
          </w:p>
        </w:tc>
      </w:tr>
      <w:tr w:rsidR="009D0006" w:rsidRPr="00CC74AD" w14:paraId="4127DA3B"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05B984B8" w14:textId="77777777" w:rsidR="009D0006" w:rsidRPr="00CC74AD" w:rsidRDefault="009D0006" w:rsidP="0042121A">
            <w:pPr>
              <w:pStyle w:val="Tabletext"/>
              <w:rPr>
                <w:lang w:val="en-US"/>
              </w:rPr>
            </w:pPr>
            <w:r w:rsidRPr="00CC74AD">
              <w:rPr>
                <w:lang w:val="en-US"/>
              </w:rPr>
              <w:t>Verbal</w:t>
            </w:r>
          </w:p>
        </w:tc>
        <w:tc>
          <w:tcPr>
            <w:tcW w:w="1559" w:type="dxa"/>
          </w:tcPr>
          <w:p w14:paraId="3925475C" w14:textId="77777777" w:rsidR="009D0006" w:rsidRPr="00CC74AD" w:rsidRDefault="009D0006" w:rsidP="0042121A">
            <w:pPr>
              <w:pStyle w:val="Tabletext"/>
            </w:pPr>
            <w:r w:rsidRPr="00CC74AD">
              <w:rPr>
                <w:color w:val="000000"/>
              </w:rPr>
              <w:t>92</w:t>
            </w:r>
          </w:p>
        </w:tc>
        <w:tc>
          <w:tcPr>
            <w:tcW w:w="1559" w:type="dxa"/>
          </w:tcPr>
          <w:p w14:paraId="662F56F5" w14:textId="77777777" w:rsidR="009D0006" w:rsidRPr="00CC74AD" w:rsidRDefault="009D0006" w:rsidP="0042121A">
            <w:pPr>
              <w:pStyle w:val="Tabletext"/>
            </w:pPr>
            <w:r w:rsidRPr="00CC74AD">
              <w:rPr>
                <w:color w:val="000000"/>
              </w:rPr>
              <w:t>73.0</w:t>
            </w:r>
          </w:p>
        </w:tc>
      </w:tr>
      <w:tr w:rsidR="009D0006" w:rsidRPr="00CC74AD" w14:paraId="4C8CF521"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30EBF27C" w14:textId="77777777" w:rsidR="009D0006" w:rsidRPr="00CC74AD" w:rsidRDefault="009D0006" w:rsidP="0042121A">
            <w:pPr>
              <w:pStyle w:val="Tabletext"/>
              <w:rPr>
                <w:lang w:val="en-US"/>
              </w:rPr>
            </w:pPr>
            <w:r w:rsidRPr="00CC74AD">
              <w:rPr>
                <w:lang w:val="en-US"/>
              </w:rPr>
              <w:t>Physical</w:t>
            </w:r>
          </w:p>
        </w:tc>
        <w:tc>
          <w:tcPr>
            <w:tcW w:w="1559" w:type="dxa"/>
          </w:tcPr>
          <w:p w14:paraId="66C24BD9" w14:textId="77777777" w:rsidR="009D0006" w:rsidRPr="00CC74AD" w:rsidRDefault="009D0006" w:rsidP="0042121A">
            <w:pPr>
              <w:pStyle w:val="Tabletext"/>
            </w:pPr>
            <w:r w:rsidRPr="00CC74AD">
              <w:rPr>
                <w:color w:val="000000"/>
              </w:rPr>
              <w:t>31</w:t>
            </w:r>
          </w:p>
        </w:tc>
        <w:tc>
          <w:tcPr>
            <w:tcW w:w="1559" w:type="dxa"/>
          </w:tcPr>
          <w:p w14:paraId="46E4A4A4" w14:textId="77777777" w:rsidR="009D0006" w:rsidRPr="00CC74AD" w:rsidRDefault="009D0006" w:rsidP="0042121A">
            <w:pPr>
              <w:pStyle w:val="Tabletext"/>
            </w:pPr>
            <w:r w:rsidRPr="00CC74AD">
              <w:rPr>
                <w:color w:val="000000"/>
              </w:rPr>
              <w:t>29.0</w:t>
            </w:r>
          </w:p>
        </w:tc>
      </w:tr>
      <w:tr w:rsidR="009D0006" w:rsidRPr="00CC74AD" w14:paraId="06DA8B8B"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6A4CCC0" w14:textId="77777777" w:rsidR="009D0006" w:rsidRPr="00CC74AD" w:rsidRDefault="009D0006" w:rsidP="0042121A">
            <w:pPr>
              <w:pStyle w:val="Tabletext"/>
              <w:rPr>
                <w:lang w:val="en-US"/>
              </w:rPr>
            </w:pPr>
            <w:r w:rsidRPr="00CC74AD">
              <w:rPr>
                <w:lang w:val="en-US"/>
              </w:rPr>
              <w:t>Sexual</w:t>
            </w:r>
          </w:p>
        </w:tc>
        <w:tc>
          <w:tcPr>
            <w:tcW w:w="1559" w:type="dxa"/>
          </w:tcPr>
          <w:p w14:paraId="0B4FD2D2" w14:textId="77777777" w:rsidR="009D0006" w:rsidRPr="00CC74AD" w:rsidRDefault="009D0006" w:rsidP="0042121A">
            <w:pPr>
              <w:pStyle w:val="Tabletext"/>
            </w:pPr>
            <w:r w:rsidRPr="00CC74AD">
              <w:rPr>
                <w:color w:val="000000"/>
              </w:rPr>
              <w:t>49</w:t>
            </w:r>
          </w:p>
        </w:tc>
        <w:tc>
          <w:tcPr>
            <w:tcW w:w="1559" w:type="dxa"/>
          </w:tcPr>
          <w:p w14:paraId="10577971" w14:textId="77777777" w:rsidR="009D0006" w:rsidRPr="00CC74AD" w:rsidRDefault="009D0006" w:rsidP="0042121A">
            <w:pPr>
              <w:pStyle w:val="Tabletext"/>
            </w:pPr>
            <w:r w:rsidRPr="00CC74AD">
              <w:rPr>
                <w:color w:val="000000"/>
              </w:rPr>
              <w:t>44.5</w:t>
            </w:r>
          </w:p>
        </w:tc>
      </w:tr>
    </w:tbl>
    <w:p w14:paraId="0927FC69" w14:textId="77777777" w:rsidR="009D0006" w:rsidRDefault="009D0006" w:rsidP="001153FB">
      <w:pPr>
        <w:pStyle w:val="Tableheading"/>
        <w:rPr>
          <w:lang w:val="en-GB"/>
        </w:rPr>
      </w:pPr>
      <w:r>
        <w:rPr>
          <w:lang w:val="en-GB"/>
        </w:rPr>
        <w:t>Table 39.6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41D98FF4" w14:textId="77777777" w:rsidTr="0042121A">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5E0B025D" w14:textId="77777777" w:rsidR="009D0006" w:rsidRPr="004D1D98" w:rsidRDefault="009D0006" w:rsidP="0042121A">
            <w:pPr>
              <w:pStyle w:val="Tableheader"/>
              <w:rPr>
                <w:lang w:val="en-US"/>
              </w:rPr>
            </w:pPr>
            <w:r w:rsidRPr="004D1D98">
              <w:t>Harassment or assault ever in lifetime</w:t>
            </w:r>
          </w:p>
        </w:tc>
        <w:tc>
          <w:tcPr>
            <w:tcW w:w="1559" w:type="dxa"/>
          </w:tcPr>
          <w:p w14:paraId="676688CB" w14:textId="77777777" w:rsidR="009D0006" w:rsidRPr="004D1D98" w:rsidRDefault="009D0006" w:rsidP="0042121A">
            <w:pPr>
              <w:pStyle w:val="Tableheader"/>
            </w:pPr>
            <w:r w:rsidRPr="004D1D98">
              <w:t>n</w:t>
            </w:r>
          </w:p>
        </w:tc>
        <w:tc>
          <w:tcPr>
            <w:tcW w:w="1559" w:type="dxa"/>
          </w:tcPr>
          <w:p w14:paraId="639AB9DF" w14:textId="77777777" w:rsidR="009D0006" w:rsidRPr="004D1D98" w:rsidRDefault="009D0006" w:rsidP="0042121A">
            <w:pPr>
              <w:pStyle w:val="Tableheader"/>
            </w:pPr>
            <w:r w:rsidRPr="004D1D98">
              <w:t>%</w:t>
            </w:r>
          </w:p>
        </w:tc>
      </w:tr>
      <w:tr w:rsidR="009D0006" w:rsidRPr="00CC74AD" w14:paraId="1E7FAD88"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52746BB7" w14:textId="77777777" w:rsidR="009D0006" w:rsidRPr="00CC74AD" w:rsidRDefault="009D0006" w:rsidP="0042121A">
            <w:pPr>
              <w:pStyle w:val="Tabletext"/>
              <w:rPr>
                <w:lang w:val="en-US"/>
              </w:rPr>
            </w:pPr>
            <w:r w:rsidRPr="00CC74AD">
              <w:rPr>
                <w:lang w:val="en-US"/>
              </w:rPr>
              <w:t>Verbal</w:t>
            </w:r>
          </w:p>
        </w:tc>
        <w:tc>
          <w:tcPr>
            <w:tcW w:w="1559" w:type="dxa"/>
          </w:tcPr>
          <w:p w14:paraId="575530C8" w14:textId="77777777" w:rsidR="009D0006" w:rsidRPr="00CC74AD" w:rsidRDefault="009D0006" w:rsidP="0042121A">
            <w:pPr>
              <w:pStyle w:val="Tabletext"/>
            </w:pPr>
            <w:r w:rsidRPr="00CC74AD">
              <w:rPr>
                <w:color w:val="000000"/>
              </w:rPr>
              <w:t>497</w:t>
            </w:r>
          </w:p>
        </w:tc>
        <w:tc>
          <w:tcPr>
            <w:tcW w:w="1559" w:type="dxa"/>
          </w:tcPr>
          <w:p w14:paraId="7A3D58AC" w14:textId="77777777" w:rsidR="009D0006" w:rsidRPr="00CC74AD" w:rsidRDefault="009D0006" w:rsidP="0042121A">
            <w:pPr>
              <w:pStyle w:val="Tabletext"/>
            </w:pPr>
            <w:r w:rsidRPr="00CC74AD">
              <w:rPr>
                <w:color w:val="000000"/>
              </w:rPr>
              <w:t>72.0</w:t>
            </w:r>
          </w:p>
        </w:tc>
      </w:tr>
      <w:tr w:rsidR="009D0006" w:rsidRPr="00CC74AD" w14:paraId="330FC54B"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2330F560" w14:textId="77777777" w:rsidR="009D0006" w:rsidRPr="00CC74AD" w:rsidRDefault="009D0006" w:rsidP="0042121A">
            <w:pPr>
              <w:pStyle w:val="Tabletext"/>
              <w:rPr>
                <w:lang w:val="en-US"/>
              </w:rPr>
            </w:pPr>
            <w:r w:rsidRPr="00CC74AD">
              <w:rPr>
                <w:lang w:val="en-US"/>
              </w:rPr>
              <w:t>Physical</w:t>
            </w:r>
          </w:p>
        </w:tc>
        <w:tc>
          <w:tcPr>
            <w:tcW w:w="1559" w:type="dxa"/>
          </w:tcPr>
          <w:p w14:paraId="28423BD8" w14:textId="77777777" w:rsidR="009D0006" w:rsidRPr="00CC74AD" w:rsidRDefault="009D0006" w:rsidP="0042121A">
            <w:pPr>
              <w:pStyle w:val="Tabletext"/>
            </w:pPr>
            <w:r w:rsidRPr="00CC74AD">
              <w:rPr>
                <w:color w:val="000000"/>
              </w:rPr>
              <w:t>166</w:t>
            </w:r>
          </w:p>
        </w:tc>
        <w:tc>
          <w:tcPr>
            <w:tcW w:w="1559" w:type="dxa"/>
          </w:tcPr>
          <w:p w14:paraId="0FFE8A64" w14:textId="77777777" w:rsidR="009D0006" w:rsidRPr="00CC74AD" w:rsidRDefault="009D0006" w:rsidP="0042121A">
            <w:pPr>
              <w:pStyle w:val="Tabletext"/>
            </w:pPr>
            <w:r w:rsidRPr="00CC74AD">
              <w:rPr>
                <w:color w:val="000000"/>
              </w:rPr>
              <w:t>27.0</w:t>
            </w:r>
          </w:p>
        </w:tc>
      </w:tr>
      <w:tr w:rsidR="009D0006" w:rsidRPr="00CC74AD" w14:paraId="4B81BAFF"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F10931A" w14:textId="77777777" w:rsidR="009D0006" w:rsidRPr="00CC74AD" w:rsidRDefault="009D0006" w:rsidP="0042121A">
            <w:pPr>
              <w:pStyle w:val="Tabletext"/>
              <w:rPr>
                <w:lang w:val="en-US"/>
              </w:rPr>
            </w:pPr>
            <w:r w:rsidRPr="00CC74AD">
              <w:rPr>
                <w:lang w:val="en-US"/>
              </w:rPr>
              <w:t>Sexual</w:t>
            </w:r>
          </w:p>
        </w:tc>
        <w:tc>
          <w:tcPr>
            <w:tcW w:w="1559" w:type="dxa"/>
          </w:tcPr>
          <w:p w14:paraId="39E849E0" w14:textId="77777777" w:rsidR="009D0006" w:rsidRPr="00CC74AD" w:rsidRDefault="009D0006" w:rsidP="0042121A">
            <w:pPr>
              <w:pStyle w:val="Tabletext"/>
            </w:pPr>
            <w:r w:rsidRPr="00CC74AD">
              <w:rPr>
                <w:color w:val="000000"/>
              </w:rPr>
              <w:t>272</w:t>
            </w:r>
          </w:p>
        </w:tc>
        <w:tc>
          <w:tcPr>
            <w:tcW w:w="1559" w:type="dxa"/>
          </w:tcPr>
          <w:p w14:paraId="1F66F2EA" w14:textId="77777777" w:rsidR="009D0006" w:rsidRPr="00CC74AD" w:rsidRDefault="009D0006" w:rsidP="0042121A">
            <w:pPr>
              <w:pStyle w:val="Tabletext"/>
            </w:pPr>
            <w:r w:rsidRPr="00CC74AD">
              <w:rPr>
                <w:color w:val="000000"/>
              </w:rPr>
              <w:t>42.9</w:t>
            </w:r>
          </w:p>
        </w:tc>
      </w:tr>
    </w:tbl>
    <w:p w14:paraId="4AEFA71F" w14:textId="77777777" w:rsidR="009D0006" w:rsidRDefault="009D0006" w:rsidP="001153FB">
      <w:pPr>
        <w:pStyle w:val="Tableheading"/>
        <w:rPr>
          <w:lang w:val="en-GB"/>
        </w:rPr>
      </w:pPr>
      <w:r>
        <w:rPr>
          <w:lang w:val="en-GB"/>
        </w:rPr>
        <w:t>Table 39.7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4D1D98" w14:paraId="4F8B332D" w14:textId="77777777" w:rsidTr="0042121A">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66EB2BF9" w14:textId="77777777" w:rsidR="009D0006" w:rsidRPr="004D1D98" w:rsidRDefault="009D0006" w:rsidP="0042121A">
            <w:pPr>
              <w:pStyle w:val="Tableheader"/>
              <w:rPr>
                <w:lang w:val="en-US"/>
              </w:rPr>
            </w:pPr>
            <w:r w:rsidRPr="004D1D98">
              <w:t>Harassment or assault ever in lifetime</w:t>
            </w:r>
          </w:p>
        </w:tc>
        <w:tc>
          <w:tcPr>
            <w:tcW w:w="1559" w:type="dxa"/>
          </w:tcPr>
          <w:p w14:paraId="6702D5E2" w14:textId="77777777" w:rsidR="009D0006" w:rsidRPr="004D1D98" w:rsidRDefault="009D0006" w:rsidP="0042121A">
            <w:pPr>
              <w:pStyle w:val="Tableheader"/>
            </w:pPr>
            <w:r w:rsidRPr="004D1D98">
              <w:t>n</w:t>
            </w:r>
          </w:p>
        </w:tc>
        <w:tc>
          <w:tcPr>
            <w:tcW w:w="1559" w:type="dxa"/>
          </w:tcPr>
          <w:p w14:paraId="72D4248D" w14:textId="77777777" w:rsidR="009D0006" w:rsidRPr="004D1D98" w:rsidRDefault="009D0006" w:rsidP="0042121A">
            <w:pPr>
              <w:pStyle w:val="Tableheader"/>
            </w:pPr>
            <w:r w:rsidRPr="004D1D98">
              <w:t>%</w:t>
            </w:r>
          </w:p>
        </w:tc>
      </w:tr>
      <w:tr w:rsidR="009D0006" w:rsidRPr="00CC74AD" w14:paraId="6C0CDAD1"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A372C3A" w14:textId="77777777" w:rsidR="009D0006" w:rsidRPr="00CC74AD" w:rsidRDefault="009D0006" w:rsidP="0042121A">
            <w:pPr>
              <w:pStyle w:val="Tabletext"/>
              <w:rPr>
                <w:lang w:val="en-US"/>
              </w:rPr>
            </w:pPr>
            <w:r w:rsidRPr="00CC74AD">
              <w:rPr>
                <w:lang w:val="en-US"/>
              </w:rPr>
              <w:t>Verbal</w:t>
            </w:r>
          </w:p>
        </w:tc>
        <w:tc>
          <w:tcPr>
            <w:tcW w:w="1559" w:type="dxa"/>
          </w:tcPr>
          <w:p w14:paraId="21A86F9C" w14:textId="77777777" w:rsidR="009D0006" w:rsidRPr="00CC74AD" w:rsidRDefault="009D0006" w:rsidP="0042121A">
            <w:pPr>
              <w:pStyle w:val="Tabletext"/>
            </w:pPr>
            <w:r w:rsidRPr="00CC74AD">
              <w:rPr>
                <w:color w:val="000000"/>
              </w:rPr>
              <w:t>616</w:t>
            </w:r>
          </w:p>
        </w:tc>
        <w:tc>
          <w:tcPr>
            <w:tcW w:w="1559" w:type="dxa"/>
          </w:tcPr>
          <w:p w14:paraId="55CE7289" w14:textId="77777777" w:rsidR="009D0006" w:rsidRPr="00CC74AD" w:rsidRDefault="009D0006" w:rsidP="0042121A">
            <w:pPr>
              <w:pStyle w:val="Tabletext"/>
            </w:pPr>
            <w:r w:rsidRPr="00CC74AD">
              <w:rPr>
                <w:color w:val="000000"/>
              </w:rPr>
              <w:t>59.7</w:t>
            </w:r>
          </w:p>
        </w:tc>
      </w:tr>
      <w:tr w:rsidR="009D0006" w:rsidRPr="00CC74AD" w14:paraId="0E037EDB" w14:textId="77777777" w:rsidTr="0042121A">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4337717" w14:textId="77777777" w:rsidR="009D0006" w:rsidRPr="00CC74AD" w:rsidRDefault="009D0006" w:rsidP="0042121A">
            <w:pPr>
              <w:pStyle w:val="Tabletext"/>
              <w:rPr>
                <w:lang w:val="en-US"/>
              </w:rPr>
            </w:pPr>
            <w:r w:rsidRPr="00CC74AD">
              <w:rPr>
                <w:lang w:val="en-US"/>
              </w:rPr>
              <w:t>Physical</w:t>
            </w:r>
          </w:p>
        </w:tc>
        <w:tc>
          <w:tcPr>
            <w:tcW w:w="1559" w:type="dxa"/>
          </w:tcPr>
          <w:p w14:paraId="056C8E3E" w14:textId="77777777" w:rsidR="009D0006" w:rsidRPr="00CC74AD" w:rsidRDefault="009D0006" w:rsidP="0042121A">
            <w:pPr>
              <w:pStyle w:val="Tabletext"/>
            </w:pPr>
            <w:r w:rsidRPr="00CC74AD">
              <w:rPr>
                <w:color w:val="000000"/>
              </w:rPr>
              <w:t>129</w:t>
            </w:r>
          </w:p>
        </w:tc>
        <w:tc>
          <w:tcPr>
            <w:tcW w:w="1559" w:type="dxa"/>
          </w:tcPr>
          <w:p w14:paraId="30998EAE" w14:textId="77777777" w:rsidR="009D0006" w:rsidRPr="00CC74AD" w:rsidRDefault="009D0006" w:rsidP="0042121A">
            <w:pPr>
              <w:pStyle w:val="Tabletext"/>
            </w:pPr>
            <w:r w:rsidRPr="00CC74AD">
              <w:rPr>
                <w:color w:val="000000"/>
              </w:rPr>
              <w:t>14.2</w:t>
            </w:r>
          </w:p>
        </w:tc>
      </w:tr>
      <w:tr w:rsidR="009D0006" w:rsidRPr="00CC74AD" w14:paraId="27DD6AA6" w14:textId="77777777" w:rsidTr="0042121A">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72662A3" w14:textId="77777777" w:rsidR="009D0006" w:rsidRPr="00CC74AD" w:rsidRDefault="009D0006" w:rsidP="0042121A">
            <w:pPr>
              <w:pStyle w:val="Tabletext"/>
              <w:rPr>
                <w:lang w:val="en-US"/>
              </w:rPr>
            </w:pPr>
            <w:r w:rsidRPr="00CC74AD">
              <w:rPr>
                <w:lang w:val="en-US"/>
              </w:rPr>
              <w:t>Sexual</w:t>
            </w:r>
          </w:p>
        </w:tc>
        <w:tc>
          <w:tcPr>
            <w:tcW w:w="1559" w:type="dxa"/>
          </w:tcPr>
          <w:p w14:paraId="56A2E134" w14:textId="77777777" w:rsidR="009D0006" w:rsidRPr="00CC74AD" w:rsidRDefault="009D0006" w:rsidP="0042121A">
            <w:pPr>
              <w:pStyle w:val="Tabletext"/>
            </w:pPr>
            <w:r w:rsidRPr="00CC74AD">
              <w:rPr>
                <w:color w:val="000000"/>
              </w:rPr>
              <w:t>342</w:t>
            </w:r>
          </w:p>
        </w:tc>
        <w:tc>
          <w:tcPr>
            <w:tcW w:w="1559" w:type="dxa"/>
          </w:tcPr>
          <w:p w14:paraId="41A66780" w14:textId="77777777" w:rsidR="009D0006" w:rsidRPr="00CC74AD" w:rsidRDefault="009D0006" w:rsidP="0042121A">
            <w:pPr>
              <w:pStyle w:val="Tabletext"/>
            </w:pPr>
            <w:r w:rsidRPr="00CC74AD">
              <w:rPr>
                <w:color w:val="000000"/>
              </w:rPr>
              <w:t>36.4</w:t>
            </w:r>
          </w:p>
        </w:tc>
      </w:tr>
    </w:tbl>
    <w:p w14:paraId="74513147" w14:textId="77777777" w:rsidR="009D0006" w:rsidRPr="0042121A" w:rsidRDefault="009D0006" w:rsidP="0042121A">
      <w:pPr>
        <w:pStyle w:val="TableTextNotebelow"/>
        <w:rPr>
          <w:i/>
          <w:lang w:val="en-GB" w:eastAsia="ja-JP"/>
        </w:rPr>
      </w:pPr>
      <w:r w:rsidRPr="0042121A">
        <w:rPr>
          <w:rFonts w:cs="Arial"/>
          <w:i/>
          <w:lang w:val="en-GB"/>
        </w:rPr>
        <w:t xml:space="preserve">* </w:t>
      </w:r>
      <w:r w:rsidRPr="0042121A">
        <w:rPr>
          <w:i/>
          <w:lang w:val="en-GB"/>
        </w:rPr>
        <w:t xml:space="preserve">In order to be more comparable with general population data, ‘any disability’ does not include participants who only reported ‘mental illness’ and no other disability or long-term health condition. </w:t>
      </w:r>
    </w:p>
    <w:p w14:paraId="45BD1CDA" w14:textId="77777777" w:rsidR="009D0006" w:rsidRDefault="009D0006" w:rsidP="001153FB">
      <w:pPr>
        <w:spacing w:before="360"/>
      </w:pPr>
      <w:r>
        <w:t>A</w:t>
      </w:r>
      <w:r w:rsidRPr="002D2E21">
        <w:t>s displayed in Table</w:t>
      </w:r>
      <w:r>
        <w:t>s</w:t>
      </w:r>
      <w:r w:rsidRPr="002D2E21">
        <w:t xml:space="preserve"> </w:t>
      </w:r>
      <w:r>
        <w:t xml:space="preserve">39.1-39.7, and similar to recent experiences of harassment, a substantially higher proportion of participants with disability in </w:t>
      </w:r>
      <w:r>
        <w:rPr>
          <w:i/>
          <w:iCs/>
        </w:rPr>
        <w:t>Writing Themselves In 4</w:t>
      </w:r>
      <w:r>
        <w:t xml:space="preserve"> reported experiences of verbal harassment ever in their lifetime (71.1%; n = 985) compared to participants not reporting disability (51.3%; n = 1609). Approximately double the proportion of participants with disability experienced physical harassment ever in their lifetime (24.3%; n = 301) compared to participants without disability (12.1%; n = 333). Additionally, a substantially higher proportion of people with disability reported experiences of sexual assault (41.3%; n = 529) than participants without disability (23.3%; n = 654).</w:t>
      </w:r>
    </w:p>
    <w:p w14:paraId="0308C2CC" w14:textId="77777777" w:rsidR="009D0006" w:rsidRDefault="009D0006" w:rsidP="0042121A">
      <w:r>
        <w:t>Among participants reporting disability, almost three-quarters had experienced verbal harassment ever in their lifetime. Almost 80% of participants with autism/neurodiversity with intell</w:t>
      </w:r>
      <w:r>
        <w:lastRenderedPageBreak/>
        <w:t xml:space="preserve">ectual disability had experienced verbal harassment in their lifetime (79.6%, n = 168), followed by participants with intellectual disability (73.0%; n = 92), participants with physical or sensory disability (72.0%; n = 497), participants with autism/neurodiversity (69.6%; n = 436) and participants with a mental health condition (59.7%; n = 616). </w:t>
      </w:r>
      <w:r w:rsidRPr="00666F3E">
        <w:t xml:space="preserve">It is also worth noting that </w:t>
      </w:r>
      <w:r w:rsidRPr="00EA469E">
        <w:t>77.2</w:t>
      </w:r>
      <w:r w:rsidRPr="00666F3E">
        <w:t>% (</w:t>
      </w:r>
      <w:r w:rsidRPr="00EA469E">
        <w:t>n</w:t>
      </w:r>
      <w:r w:rsidRPr="00666F3E">
        <w:t xml:space="preserve"> = </w:t>
      </w:r>
      <w:r w:rsidRPr="00EA469E">
        <w:t>260</w:t>
      </w:r>
      <w:r w:rsidRPr="00666F3E">
        <w:t xml:space="preserve">) of the overall group of participants with intellectual disability, with or without </w:t>
      </w:r>
      <w:r>
        <w:t>autism/neurodiversity</w:t>
      </w:r>
      <w:r w:rsidRPr="00666F3E">
        <w:t xml:space="preserve">, reported </w:t>
      </w:r>
      <w:r w:rsidRPr="00454460">
        <w:t>ever experiencing verbal harassment.</w:t>
      </w:r>
    </w:p>
    <w:p w14:paraId="7C423A07" w14:textId="77777777" w:rsidR="009D0006" w:rsidRDefault="009D0006" w:rsidP="0042121A">
      <w:r>
        <w:t>Among participants reporting disability, almost one-quarter had experienced physical harassment ever in their lifetime. Approximately one-third of participants with autism/neurodiversity</w:t>
      </w:r>
      <w:r w:rsidRPr="00CF1646">
        <w:t xml:space="preserve"> and intellectual disability</w:t>
      </w:r>
      <w:r>
        <w:t xml:space="preserve"> reported experiences of physical harassment (33.3%; n = 62), followed by participants with intellectual disability (29.0%; n = 31), participants with physical or sensory disability (27.0%; n = 166), participants with autism/neurodiversity (21.7%; n = 124) and participants with a mental health condition (14.2%; n = 129). </w:t>
      </w:r>
      <w:r w:rsidRPr="00666F3E">
        <w:t xml:space="preserve">It is further worth noting that </w:t>
      </w:r>
      <w:r w:rsidRPr="00EA469E">
        <w:t>31.7</w:t>
      </w:r>
      <w:r w:rsidRPr="00666F3E">
        <w:t>% (</w:t>
      </w:r>
      <w:r w:rsidRPr="00EA469E">
        <w:t>n</w:t>
      </w:r>
      <w:r w:rsidRPr="00666F3E">
        <w:t xml:space="preserve"> = </w:t>
      </w:r>
      <w:r w:rsidRPr="00EA469E">
        <w:t>93</w:t>
      </w:r>
      <w:r w:rsidRPr="00666F3E">
        <w:t xml:space="preserve">) of the overall group of participants with intellectual disability, with or without </w:t>
      </w:r>
      <w:r>
        <w:t>autism/neurodiversity</w:t>
      </w:r>
      <w:r w:rsidRPr="00666F3E">
        <w:t xml:space="preserve">, reported </w:t>
      </w:r>
      <w:r w:rsidRPr="00454460">
        <w:t>ever experiencing physical harassment.</w:t>
      </w:r>
    </w:p>
    <w:p w14:paraId="3DA122F0" w14:textId="77777777" w:rsidR="009D0006" w:rsidRDefault="009D0006" w:rsidP="0042121A">
      <w:r>
        <w:t>Among participants reporting disability, more than two-fifths had experienced sexual assault ever in their lifetime. A little less than half of participants with autism/neurodiversity</w:t>
      </w:r>
      <w:r w:rsidRPr="00CF1646">
        <w:t xml:space="preserve"> and intellectual disability</w:t>
      </w:r>
      <w:r>
        <w:t xml:space="preserve"> reported experiences of sexual assault (45.0%; n = 86), followed by participants with intellectual disability (44.5%; n = 49), participants with physical or sensory disability (42.9%; n = 272), participants with autism/neurodiversity (40.7%; n = 241) and participants with a mental health condition (36.4%; n = 342). </w:t>
      </w:r>
      <w:r w:rsidRPr="00666F3E">
        <w:t xml:space="preserve">It is also worth noting that </w:t>
      </w:r>
      <w:r w:rsidRPr="00EA469E">
        <w:t>44.9</w:t>
      </w:r>
      <w:r w:rsidRPr="00666F3E">
        <w:t>% (</w:t>
      </w:r>
      <w:r w:rsidRPr="00EA469E">
        <w:t>n</w:t>
      </w:r>
      <w:r w:rsidRPr="00666F3E">
        <w:t xml:space="preserve"> = </w:t>
      </w:r>
      <w:r w:rsidRPr="00EA469E">
        <w:t>135</w:t>
      </w:r>
      <w:r w:rsidRPr="00666F3E">
        <w:t xml:space="preserve">) of the overall group of participants with intellectual disability, with or without </w:t>
      </w:r>
      <w:r>
        <w:t>autism/neurodiversity</w:t>
      </w:r>
      <w:r w:rsidRPr="00666F3E">
        <w:t xml:space="preserve">, reported </w:t>
      </w:r>
      <w:r w:rsidRPr="00454460">
        <w:t>ever experiencing sexual assault.</w:t>
      </w:r>
      <w:r>
        <w:t xml:space="preserve"> </w:t>
      </w:r>
    </w:p>
    <w:p w14:paraId="73958FE4" w14:textId="512E9489" w:rsidR="009D0006" w:rsidRPr="000073E5" w:rsidRDefault="009D0006" w:rsidP="00153892">
      <w:pPr>
        <w:pStyle w:val="Heading2Numbered"/>
      </w:pPr>
      <w:bookmarkStart w:id="471" w:name="_Toc40192113"/>
      <w:bookmarkStart w:id="472" w:name="_Toc48749219"/>
      <w:bookmarkStart w:id="473" w:name="_Toc58252090"/>
      <w:bookmarkStart w:id="474" w:name="_Toc115968562"/>
      <w:bookmarkStart w:id="475" w:name="_Toc119662427"/>
      <w:bookmarkStart w:id="476" w:name="_Hlk45615229"/>
      <w:bookmarkStart w:id="477" w:name="_Hlk51877756"/>
      <w:bookmarkEnd w:id="461"/>
      <w:r w:rsidRPr="000073E5">
        <w:t>Experiences of harassment or assault based on sexuality or gender identity in the past 12 months by location</w:t>
      </w:r>
      <w:bookmarkEnd w:id="471"/>
      <w:bookmarkEnd w:id="472"/>
      <w:bookmarkEnd w:id="473"/>
      <w:r w:rsidRPr="000073E5">
        <w:t xml:space="preserve"> – young people aged 14-21 years</w:t>
      </w:r>
      <w:bookmarkEnd w:id="474"/>
      <w:bookmarkEnd w:id="475"/>
    </w:p>
    <w:p w14:paraId="4BBE1B1C" w14:textId="77777777" w:rsidR="009D0006" w:rsidRPr="000073E5" w:rsidRDefault="009D0006" w:rsidP="009D0006">
      <w:r w:rsidRPr="000073E5">
        <w:t>Participants who reported having experienced verbal, physical or sexual harassment or assault based on their sexual</w:t>
      </w:r>
      <w:r>
        <w:t xml:space="preserve"> orientation</w:t>
      </w:r>
      <w:r w:rsidRPr="000073E5">
        <w:t xml:space="preserve"> or gender identity in the past 12 months were asked to in</w:t>
      </w:r>
      <w:r w:rsidRPr="000073E5">
        <w:lastRenderedPageBreak/>
        <w:t xml:space="preserve">dicate where these experiences had occurred. They were presented with the following list of locations and could select all those that applied: </w:t>
      </w:r>
    </w:p>
    <w:p w14:paraId="5722CF9F" w14:textId="77777777" w:rsidR="009D0006" w:rsidRPr="000073E5" w:rsidRDefault="009D0006" w:rsidP="00D51760">
      <w:pPr>
        <w:pStyle w:val="Bulletlist"/>
        <w:rPr>
          <w:lang w:val="en-US"/>
        </w:rPr>
      </w:pPr>
      <w:r w:rsidRPr="000073E5">
        <w:rPr>
          <w:lang w:val="en-US"/>
        </w:rPr>
        <w:t>Educational institution (e.g.</w:t>
      </w:r>
      <w:r>
        <w:rPr>
          <w:lang w:val="en-US"/>
        </w:rPr>
        <w:t>,</w:t>
      </w:r>
      <w:r w:rsidRPr="000073E5">
        <w:rPr>
          <w:lang w:val="en-US"/>
        </w:rPr>
        <w:t xml:space="preserve"> school, university, TAFE)</w:t>
      </w:r>
    </w:p>
    <w:p w14:paraId="6D83E76B" w14:textId="77777777" w:rsidR="009D0006" w:rsidRPr="000073E5" w:rsidRDefault="009D0006" w:rsidP="00D51760">
      <w:pPr>
        <w:pStyle w:val="Bulletlist"/>
        <w:rPr>
          <w:lang w:val="en-US"/>
        </w:rPr>
      </w:pPr>
      <w:r w:rsidRPr="000073E5">
        <w:rPr>
          <w:lang w:val="en-US"/>
        </w:rPr>
        <w:t>Home</w:t>
      </w:r>
    </w:p>
    <w:p w14:paraId="7851D9D8" w14:textId="77777777" w:rsidR="009D0006" w:rsidRPr="000073E5" w:rsidRDefault="009D0006" w:rsidP="00D51760">
      <w:pPr>
        <w:pStyle w:val="Bulletlist"/>
        <w:rPr>
          <w:lang w:val="en-US"/>
        </w:rPr>
      </w:pPr>
      <w:r w:rsidRPr="000073E5">
        <w:rPr>
          <w:lang w:val="en-US"/>
        </w:rPr>
        <w:t>Public (e.g.</w:t>
      </w:r>
      <w:r>
        <w:rPr>
          <w:lang w:val="en-US"/>
        </w:rPr>
        <w:t>,</w:t>
      </w:r>
      <w:r w:rsidRPr="000073E5">
        <w:rPr>
          <w:lang w:val="en-US"/>
        </w:rPr>
        <w:t xml:space="preserve"> transport, street)</w:t>
      </w:r>
    </w:p>
    <w:p w14:paraId="771F3BE9" w14:textId="77777777" w:rsidR="009D0006" w:rsidRPr="000073E5" w:rsidRDefault="009D0006" w:rsidP="00D51760">
      <w:pPr>
        <w:pStyle w:val="Bulletlist"/>
        <w:rPr>
          <w:lang w:val="en-US"/>
        </w:rPr>
      </w:pPr>
      <w:r w:rsidRPr="000073E5">
        <w:rPr>
          <w:lang w:val="en-US"/>
        </w:rPr>
        <w:t>Sport</w:t>
      </w:r>
    </w:p>
    <w:p w14:paraId="044A5102" w14:textId="77777777" w:rsidR="009D0006" w:rsidRPr="000073E5" w:rsidRDefault="009D0006" w:rsidP="00D51760">
      <w:pPr>
        <w:pStyle w:val="Bulletlist"/>
        <w:rPr>
          <w:lang w:val="en-US"/>
        </w:rPr>
      </w:pPr>
      <w:r w:rsidRPr="000073E5">
        <w:rPr>
          <w:lang w:val="en-US"/>
        </w:rPr>
        <w:t>Work</w:t>
      </w:r>
    </w:p>
    <w:p w14:paraId="32127AD7" w14:textId="77777777" w:rsidR="009D0006" w:rsidRPr="000073E5" w:rsidRDefault="009D0006" w:rsidP="00D51760">
      <w:pPr>
        <w:pStyle w:val="Bulletlist"/>
        <w:rPr>
          <w:lang w:val="en-US"/>
        </w:rPr>
      </w:pPr>
      <w:r w:rsidRPr="000073E5">
        <w:rPr>
          <w:lang w:val="en-US"/>
        </w:rPr>
        <w:t>Somewhere else</w:t>
      </w:r>
    </w:p>
    <w:p w14:paraId="09FF5E07" w14:textId="77777777" w:rsidR="009D0006" w:rsidRPr="000073E5" w:rsidRDefault="009D0006" w:rsidP="00D51760">
      <w:pPr>
        <w:pStyle w:val="Bulletlist"/>
        <w:rPr>
          <w:lang w:val="en-US"/>
        </w:rPr>
      </w:pPr>
      <w:r w:rsidRPr="000073E5">
        <w:rPr>
          <w:lang w:val="en-US"/>
        </w:rPr>
        <w:t>None</w:t>
      </w:r>
    </w:p>
    <w:p w14:paraId="24C6F6CE" w14:textId="77777777" w:rsidR="009D0006" w:rsidRDefault="009D0006" w:rsidP="009D0006">
      <w:pPr>
        <w:rPr>
          <w:rFonts w:ascii="Roboto Medium" w:hAnsi="Roboto Medium"/>
          <w:sz w:val="23"/>
        </w:rPr>
      </w:pPr>
      <w:r w:rsidRPr="000073E5">
        <w:t>Note that the analysis of responses was contingent upon their answers to prior questions about their background. For example, educational institution was analysed among participants who reported being at an educational institution in the past 12 months, sport was analysed among participants who reported participating in sport in the past 12 months and work was analysed among participants who reported working in the past 12 months.</w:t>
      </w:r>
      <w:r>
        <w:t xml:space="preserve"> </w:t>
      </w:r>
      <w:r w:rsidRPr="000073E5">
        <w:t>Table</w:t>
      </w:r>
      <w:r>
        <w:t>s</w:t>
      </w:r>
      <w:r w:rsidRPr="000073E5">
        <w:t xml:space="preserve"> </w:t>
      </w:r>
      <w:r>
        <w:t>40.1-40.3</w:t>
      </w:r>
      <w:r w:rsidRPr="000073E5">
        <w:t xml:space="preserve"> displays their responses</w:t>
      </w:r>
      <w:r>
        <w:t>.</w:t>
      </w:r>
      <w:r w:rsidRPr="000073E5">
        <w:t xml:space="preserve"> </w:t>
      </w:r>
    </w:p>
    <w:p w14:paraId="7FF70284" w14:textId="77777777" w:rsidR="009D0006" w:rsidRDefault="009D0006" w:rsidP="001153FB">
      <w:pPr>
        <w:pStyle w:val="Tableheading"/>
      </w:pPr>
      <w:bookmarkStart w:id="478" w:name="_Toc117062758"/>
      <w:bookmarkStart w:id="479" w:name="_Toc119651443"/>
      <w:r w:rsidRPr="007E07C6">
        <w:rPr>
          <w:bCs/>
        </w:rPr>
        <w:t>Table</w:t>
      </w:r>
      <w:r>
        <w:rPr>
          <w:bCs/>
        </w:rPr>
        <w:t>s</w:t>
      </w:r>
      <w:r w:rsidRPr="007E07C6">
        <w:rPr>
          <w:bCs/>
        </w:rPr>
        <w:t xml:space="preserve"> </w:t>
      </w:r>
      <w:r w:rsidRPr="007E07C6">
        <w:rPr>
          <w:bCs/>
        </w:rPr>
        <w:fldChar w:fldCharType="begin"/>
      </w:r>
      <w:r w:rsidRPr="007E07C6">
        <w:rPr>
          <w:bCs/>
        </w:rPr>
        <w:instrText xml:space="preserve"> SEQ Table \* ARABIC </w:instrText>
      </w:r>
      <w:r w:rsidRPr="007E07C6">
        <w:rPr>
          <w:bCs/>
        </w:rPr>
        <w:fldChar w:fldCharType="separate"/>
      </w:r>
      <w:r>
        <w:rPr>
          <w:bCs/>
          <w:noProof/>
        </w:rPr>
        <w:t>40</w:t>
      </w:r>
      <w:r w:rsidRPr="007E07C6">
        <w:rPr>
          <w:bCs/>
        </w:rPr>
        <w:fldChar w:fldCharType="end"/>
      </w:r>
      <w:r>
        <w:rPr>
          <w:bCs/>
        </w:rPr>
        <w:t>.1-40.3:</w:t>
      </w:r>
      <w:r>
        <w:t xml:space="preserve"> </w:t>
      </w:r>
      <w:r w:rsidRPr="000073E5">
        <w:t xml:space="preserve">Experiences of verbal, physical and sexual harassment or assault based on sexuality or gender identity in the past 12 months by setting among </w:t>
      </w:r>
      <w:r>
        <w:t xml:space="preserve">young </w:t>
      </w:r>
      <w:r w:rsidRPr="000073E5">
        <w:t>people with disability</w:t>
      </w:r>
      <w:r>
        <w:t xml:space="preserve"> aged 14-21 years</w:t>
      </w:r>
      <w:bookmarkEnd w:id="478"/>
      <w:bookmarkEnd w:id="479"/>
    </w:p>
    <w:p w14:paraId="42287F4F" w14:textId="77777777" w:rsidR="009D0006" w:rsidRPr="000073E5" w:rsidRDefault="009D0006" w:rsidP="001153FB">
      <w:pPr>
        <w:pStyle w:val="Tableheading"/>
      </w:pPr>
      <w:r>
        <w:t>Table 40.1 Verbal (n=2416)</w:t>
      </w:r>
    </w:p>
    <w:tbl>
      <w:tblPr>
        <w:tblStyle w:val="RCTable"/>
        <w:tblW w:w="9864" w:type="dxa"/>
        <w:tblLayout w:type="fixed"/>
        <w:tblLook w:val="04A0" w:firstRow="1" w:lastRow="0" w:firstColumn="1" w:lastColumn="0" w:noHBand="0" w:noVBand="1"/>
      </w:tblPr>
      <w:tblGrid>
        <w:gridCol w:w="6746"/>
        <w:gridCol w:w="1559"/>
        <w:gridCol w:w="1559"/>
      </w:tblGrid>
      <w:tr w:rsidR="009D0006" w:rsidRPr="00023D24" w14:paraId="1031018A" w14:textId="77777777" w:rsidTr="00D5176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6A8CF32" w14:textId="77777777" w:rsidR="009D0006" w:rsidRPr="004D1D98" w:rsidRDefault="009D0006" w:rsidP="00D51760">
            <w:pPr>
              <w:pStyle w:val="Tableheader"/>
            </w:pPr>
            <w:r w:rsidRPr="004D1D98">
              <w:t>Setting</w:t>
            </w:r>
          </w:p>
        </w:tc>
        <w:tc>
          <w:tcPr>
            <w:tcW w:w="1559" w:type="dxa"/>
            <w:noWrap/>
            <w:hideMark/>
          </w:tcPr>
          <w:p w14:paraId="35216E4E" w14:textId="77777777" w:rsidR="009D0006" w:rsidRPr="004D1D98" w:rsidRDefault="009D0006" w:rsidP="00D51760">
            <w:pPr>
              <w:pStyle w:val="Tableheader"/>
            </w:pPr>
            <w:r w:rsidRPr="004D1D98">
              <w:rPr>
                <w:lang w:val="en-US"/>
              </w:rPr>
              <w:t>n</w:t>
            </w:r>
          </w:p>
        </w:tc>
        <w:tc>
          <w:tcPr>
            <w:tcW w:w="1559" w:type="dxa"/>
            <w:noWrap/>
            <w:hideMark/>
          </w:tcPr>
          <w:p w14:paraId="5E918891" w14:textId="77777777" w:rsidR="009D0006" w:rsidRPr="004D1D98" w:rsidRDefault="009D0006" w:rsidP="00D51760">
            <w:pPr>
              <w:pStyle w:val="Tableheader"/>
            </w:pPr>
            <w:r w:rsidRPr="004D1D98">
              <w:rPr>
                <w:lang w:val="en-US"/>
              </w:rPr>
              <w:t>%</w:t>
            </w:r>
          </w:p>
        </w:tc>
      </w:tr>
      <w:tr w:rsidR="009D0006" w:rsidRPr="00023D24" w14:paraId="7C83F02F"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314BCF6" w14:textId="77777777" w:rsidR="009D0006" w:rsidRPr="00023D24" w:rsidRDefault="009D0006" w:rsidP="00D51760">
            <w:pPr>
              <w:pStyle w:val="Tabletext"/>
              <w:rPr>
                <w:lang w:val="en-US"/>
              </w:rPr>
            </w:pPr>
            <w:r w:rsidRPr="00023D24">
              <w:rPr>
                <w:lang w:val="en-US"/>
              </w:rPr>
              <w:t xml:space="preserve">Educational institution </w:t>
            </w:r>
          </w:p>
        </w:tc>
        <w:tc>
          <w:tcPr>
            <w:tcW w:w="1559" w:type="dxa"/>
            <w:noWrap/>
          </w:tcPr>
          <w:p w14:paraId="0DA1FB31" w14:textId="77777777" w:rsidR="009D0006" w:rsidRPr="00023D24" w:rsidRDefault="009D0006" w:rsidP="00D51760">
            <w:pPr>
              <w:pStyle w:val="Tabletext"/>
            </w:pPr>
            <w:r w:rsidRPr="00023D24">
              <w:t>540</w:t>
            </w:r>
          </w:p>
        </w:tc>
        <w:tc>
          <w:tcPr>
            <w:tcW w:w="1559" w:type="dxa"/>
            <w:noWrap/>
          </w:tcPr>
          <w:p w14:paraId="1A2E47C4" w14:textId="77777777" w:rsidR="009D0006" w:rsidRPr="00023D24" w:rsidRDefault="009D0006" w:rsidP="00D51760">
            <w:pPr>
              <w:pStyle w:val="Tabletext"/>
            </w:pPr>
            <w:r w:rsidRPr="00023D24">
              <w:t>22.4</w:t>
            </w:r>
          </w:p>
        </w:tc>
      </w:tr>
      <w:tr w:rsidR="009D0006" w:rsidRPr="00023D24" w14:paraId="066661A9"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6CA22DF0" w14:textId="77777777" w:rsidR="009D0006" w:rsidRPr="00023D24" w:rsidRDefault="009D0006" w:rsidP="00D51760">
            <w:pPr>
              <w:pStyle w:val="Tabletext"/>
            </w:pPr>
            <w:r w:rsidRPr="00023D24">
              <w:rPr>
                <w:lang w:val="en-US"/>
              </w:rPr>
              <w:t>Home</w:t>
            </w:r>
          </w:p>
        </w:tc>
        <w:tc>
          <w:tcPr>
            <w:tcW w:w="1559" w:type="dxa"/>
            <w:noWrap/>
          </w:tcPr>
          <w:p w14:paraId="24C93B90" w14:textId="77777777" w:rsidR="009D0006" w:rsidRPr="00023D24" w:rsidRDefault="009D0006" w:rsidP="00D51760">
            <w:pPr>
              <w:pStyle w:val="Tabletext"/>
            </w:pPr>
            <w:r w:rsidRPr="00023D24">
              <w:t>311</w:t>
            </w:r>
          </w:p>
        </w:tc>
        <w:tc>
          <w:tcPr>
            <w:tcW w:w="1559" w:type="dxa"/>
            <w:noWrap/>
          </w:tcPr>
          <w:p w14:paraId="56FEC207" w14:textId="77777777" w:rsidR="009D0006" w:rsidRPr="00023D24" w:rsidRDefault="009D0006" w:rsidP="00D51760">
            <w:pPr>
              <w:pStyle w:val="Tabletext"/>
            </w:pPr>
            <w:r w:rsidRPr="00023D24">
              <w:t>12.9</w:t>
            </w:r>
          </w:p>
        </w:tc>
      </w:tr>
      <w:tr w:rsidR="009D0006" w:rsidRPr="00023D24" w14:paraId="689EB9FA"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0BD3F14" w14:textId="77777777" w:rsidR="009D0006" w:rsidRPr="00023D24" w:rsidRDefault="009D0006" w:rsidP="00D51760">
            <w:pPr>
              <w:pStyle w:val="Tabletext"/>
              <w:rPr>
                <w:lang w:val="en-US"/>
              </w:rPr>
            </w:pPr>
            <w:r w:rsidRPr="00023D24">
              <w:rPr>
                <w:lang w:val="en-US"/>
              </w:rPr>
              <w:t>Public</w:t>
            </w:r>
          </w:p>
        </w:tc>
        <w:tc>
          <w:tcPr>
            <w:tcW w:w="1559" w:type="dxa"/>
            <w:noWrap/>
          </w:tcPr>
          <w:p w14:paraId="17299BF7" w14:textId="77777777" w:rsidR="009D0006" w:rsidRPr="00023D24" w:rsidRDefault="009D0006" w:rsidP="00D51760">
            <w:pPr>
              <w:pStyle w:val="Tabletext"/>
            </w:pPr>
            <w:r w:rsidRPr="00023D24">
              <w:t>595</w:t>
            </w:r>
          </w:p>
        </w:tc>
        <w:tc>
          <w:tcPr>
            <w:tcW w:w="1559" w:type="dxa"/>
            <w:noWrap/>
          </w:tcPr>
          <w:p w14:paraId="325100F6" w14:textId="77777777" w:rsidR="009D0006" w:rsidRPr="00023D24" w:rsidRDefault="009D0006" w:rsidP="00D51760">
            <w:pPr>
              <w:pStyle w:val="Tabletext"/>
            </w:pPr>
            <w:r w:rsidRPr="00023D24">
              <w:t>24.6</w:t>
            </w:r>
          </w:p>
        </w:tc>
      </w:tr>
      <w:tr w:rsidR="009D0006" w:rsidRPr="00023D24" w14:paraId="53FD549F"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C519924" w14:textId="77777777" w:rsidR="009D0006" w:rsidRPr="00023D24" w:rsidRDefault="009D0006" w:rsidP="00D51760">
            <w:pPr>
              <w:pStyle w:val="Tabletext"/>
              <w:rPr>
                <w:lang w:val="en-US"/>
              </w:rPr>
            </w:pPr>
            <w:r w:rsidRPr="00023D24">
              <w:rPr>
                <w:lang w:val="en-US"/>
              </w:rPr>
              <w:t>Sport</w:t>
            </w:r>
          </w:p>
        </w:tc>
        <w:tc>
          <w:tcPr>
            <w:tcW w:w="1559" w:type="dxa"/>
            <w:noWrap/>
          </w:tcPr>
          <w:p w14:paraId="516CD471" w14:textId="77777777" w:rsidR="009D0006" w:rsidRPr="00023D24" w:rsidRDefault="009D0006" w:rsidP="00D51760">
            <w:pPr>
              <w:pStyle w:val="Tabletext"/>
            </w:pPr>
            <w:r w:rsidRPr="00023D24">
              <w:t>34</w:t>
            </w:r>
          </w:p>
        </w:tc>
        <w:tc>
          <w:tcPr>
            <w:tcW w:w="1559" w:type="dxa"/>
            <w:noWrap/>
          </w:tcPr>
          <w:p w14:paraId="571ECF23" w14:textId="77777777" w:rsidR="009D0006" w:rsidRPr="00023D24" w:rsidRDefault="009D0006" w:rsidP="00D51760">
            <w:pPr>
              <w:pStyle w:val="Tabletext"/>
            </w:pPr>
            <w:r w:rsidRPr="00023D24">
              <w:t>1.4</w:t>
            </w:r>
          </w:p>
        </w:tc>
      </w:tr>
      <w:tr w:rsidR="009D0006" w:rsidRPr="00023D24" w14:paraId="464AEB47"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8A4289C" w14:textId="77777777" w:rsidR="009D0006" w:rsidRPr="00023D24" w:rsidRDefault="009D0006" w:rsidP="00D51760">
            <w:pPr>
              <w:pStyle w:val="Tabletext"/>
              <w:rPr>
                <w:rFonts w:eastAsia="MS Mincho"/>
              </w:rPr>
            </w:pPr>
            <w:r w:rsidRPr="00023D24">
              <w:rPr>
                <w:lang w:val="en-US"/>
              </w:rPr>
              <w:t>Work</w:t>
            </w:r>
          </w:p>
        </w:tc>
        <w:tc>
          <w:tcPr>
            <w:tcW w:w="1559" w:type="dxa"/>
            <w:noWrap/>
          </w:tcPr>
          <w:p w14:paraId="0CB6C224" w14:textId="77777777" w:rsidR="009D0006" w:rsidRPr="00023D24" w:rsidRDefault="009D0006" w:rsidP="00D51760">
            <w:pPr>
              <w:pStyle w:val="Tabletext"/>
              <w:rPr>
                <w:rFonts w:eastAsia="MS Mincho"/>
              </w:rPr>
            </w:pPr>
            <w:r w:rsidRPr="00023D24">
              <w:t>109</w:t>
            </w:r>
          </w:p>
        </w:tc>
        <w:tc>
          <w:tcPr>
            <w:tcW w:w="1559" w:type="dxa"/>
            <w:noWrap/>
          </w:tcPr>
          <w:p w14:paraId="5A428DE8" w14:textId="77777777" w:rsidR="009D0006" w:rsidRPr="00023D24" w:rsidRDefault="009D0006" w:rsidP="00D51760">
            <w:pPr>
              <w:pStyle w:val="Tabletext"/>
              <w:rPr>
                <w:rFonts w:eastAsia="MS Mincho"/>
              </w:rPr>
            </w:pPr>
            <w:r w:rsidRPr="00023D24">
              <w:t>4.5</w:t>
            </w:r>
          </w:p>
        </w:tc>
      </w:tr>
      <w:tr w:rsidR="009D0006" w:rsidRPr="00023D24" w14:paraId="725DB643"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330CF25" w14:textId="77777777" w:rsidR="009D0006" w:rsidRPr="00023D24" w:rsidRDefault="009D0006" w:rsidP="00D51760">
            <w:pPr>
              <w:pStyle w:val="Tabletext"/>
              <w:rPr>
                <w:rFonts w:eastAsia="MS Mincho"/>
              </w:rPr>
            </w:pPr>
            <w:r w:rsidRPr="00023D24">
              <w:rPr>
                <w:lang w:val="en-US"/>
              </w:rPr>
              <w:t>Somewhere else</w:t>
            </w:r>
          </w:p>
        </w:tc>
        <w:tc>
          <w:tcPr>
            <w:tcW w:w="1559" w:type="dxa"/>
            <w:noWrap/>
          </w:tcPr>
          <w:p w14:paraId="42879BCD" w14:textId="77777777" w:rsidR="009D0006" w:rsidRPr="00023D24" w:rsidRDefault="009D0006" w:rsidP="00D51760">
            <w:pPr>
              <w:pStyle w:val="Tabletext"/>
              <w:rPr>
                <w:rFonts w:eastAsia="MS Mincho"/>
              </w:rPr>
            </w:pPr>
            <w:r w:rsidRPr="00023D24">
              <w:t>282</w:t>
            </w:r>
          </w:p>
        </w:tc>
        <w:tc>
          <w:tcPr>
            <w:tcW w:w="1559" w:type="dxa"/>
            <w:noWrap/>
          </w:tcPr>
          <w:p w14:paraId="6770EDBF" w14:textId="77777777" w:rsidR="009D0006" w:rsidRPr="00023D24" w:rsidRDefault="009D0006" w:rsidP="00D51760">
            <w:pPr>
              <w:pStyle w:val="Tabletext"/>
              <w:rPr>
                <w:rFonts w:eastAsia="MS Mincho"/>
              </w:rPr>
            </w:pPr>
            <w:r w:rsidRPr="00023D24">
              <w:t>11.7</w:t>
            </w:r>
          </w:p>
        </w:tc>
      </w:tr>
      <w:tr w:rsidR="009D0006" w:rsidRPr="00023D24" w14:paraId="5B49186D"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0262E8A" w14:textId="77777777" w:rsidR="009D0006" w:rsidRPr="00023D24" w:rsidRDefault="009D0006" w:rsidP="00D51760">
            <w:pPr>
              <w:pStyle w:val="Tabletext"/>
              <w:rPr>
                <w:rFonts w:eastAsia="MS Mincho"/>
                <w:b/>
                <w:bCs/>
              </w:rPr>
            </w:pPr>
            <w:r w:rsidRPr="00023D24">
              <w:rPr>
                <w:b/>
                <w:bCs/>
                <w:lang w:val="en-US"/>
              </w:rPr>
              <w:t>One or more of the above</w:t>
            </w:r>
          </w:p>
        </w:tc>
        <w:tc>
          <w:tcPr>
            <w:tcW w:w="1559" w:type="dxa"/>
            <w:noWrap/>
          </w:tcPr>
          <w:p w14:paraId="23D423E6" w14:textId="77777777" w:rsidR="009D0006" w:rsidRPr="00023D24" w:rsidRDefault="009D0006" w:rsidP="00D51760">
            <w:pPr>
              <w:pStyle w:val="Tabletext"/>
              <w:rPr>
                <w:rFonts w:eastAsia="MS Mincho"/>
                <w:b/>
                <w:bCs/>
              </w:rPr>
            </w:pPr>
            <w:r w:rsidRPr="00023D24">
              <w:rPr>
                <w:rFonts w:eastAsia="MS Mincho"/>
                <w:b/>
                <w:bCs/>
              </w:rPr>
              <w:t>1170</w:t>
            </w:r>
          </w:p>
        </w:tc>
        <w:tc>
          <w:tcPr>
            <w:tcW w:w="1559" w:type="dxa"/>
            <w:noWrap/>
          </w:tcPr>
          <w:p w14:paraId="1C71F823" w14:textId="77777777" w:rsidR="009D0006" w:rsidRPr="00023D24" w:rsidRDefault="009D0006" w:rsidP="00D51760">
            <w:pPr>
              <w:pStyle w:val="Tabletext"/>
              <w:rPr>
                <w:rFonts w:eastAsia="MS Mincho"/>
                <w:b/>
                <w:bCs/>
              </w:rPr>
            </w:pPr>
            <w:r w:rsidRPr="00023D24">
              <w:rPr>
                <w:rFonts w:eastAsia="MS Mincho"/>
                <w:b/>
                <w:bCs/>
              </w:rPr>
              <w:t>48.4</w:t>
            </w:r>
          </w:p>
        </w:tc>
      </w:tr>
    </w:tbl>
    <w:p w14:paraId="1E3AF2E7" w14:textId="77777777" w:rsidR="009D0006" w:rsidRDefault="009D0006" w:rsidP="001153FB">
      <w:pPr>
        <w:pStyle w:val="Tableheading"/>
      </w:pPr>
      <w:bookmarkStart w:id="480" w:name="_Toc48137915"/>
      <w:bookmarkStart w:id="481" w:name="_Toc49781989"/>
      <w:r>
        <w:t>Table 40.2 Physical (n=2145)</w:t>
      </w:r>
    </w:p>
    <w:tbl>
      <w:tblPr>
        <w:tblStyle w:val="RCTable"/>
        <w:tblW w:w="9864" w:type="dxa"/>
        <w:tblLayout w:type="fixed"/>
        <w:tblLook w:val="04A0" w:firstRow="1" w:lastRow="0" w:firstColumn="1" w:lastColumn="0" w:noHBand="0" w:noVBand="1"/>
      </w:tblPr>
      <w:tblGrid>
        <w:gridCol w:w="6746"/>
        <w:gridCol w:w="1559"/>
        <w:gridCol w:w="1559"/>
      </w:tblGrid>
      <w:tr w:rsidR="009D0006" w:rsidRPr="00023D24" w14:paraId="1DAA0898"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56855192" w14:textId="77777777" w:rsidR="009D0006" w:rsidRPr="00023D24" w:rsidRDefault="009D0006" w:rsidP="00D51760">
            <w:pPr>
              <w:pStyle w:val="Tableheader"/>
            </w:pPr>
            <w:r>
              <w:t>Setting</w:t>
            </w:r>
          </w:p>
        </w:tc>
        <w:tc>
          <w:tcPr>
            <w:tcW w:w="1559" w:type="dxa"/>
          </w:tcPr>
          <w:p w14:paraId="53973D15" w14:textId="77777777" w:rsidR="009D0006" w:rsidRPr="00023D24" w:rsidRDefault="009D0006" w:rsidP="00D51760">
            <w:pPr>
              <w:pStyle w:val="Tableheader"/>
              <w:rPr>
                <w:lang w:val="en-US"/>
              </w:rPr>
            </w:pPr>
            <w:r w:rsidRPr="00023D24">
              <w:rPr>
                <w:lang w:val="en-US"/>
              </w:rPr>
              <w:t>n</w:t>
            </w:r>
          </w:p>
        </w:tc>
        <w:tc>
          <w:tcPr>
            <w:tcW w:w="1559" w:type="dxa"/>
          </w:tcPr>
          <w:p w14:paraId="6C0F2FCF" w14:textId="77777777" w:rsidR="009D0006" w:rsidRPr="00023D24" w:rsidRDefault="009D0006" w:rsidP="00D51760">
            <w:pPr>
              <w:pStyle w:val="Tableheader"/>
              <w:rPr>
                <w:lang w:val="en-US"/>
              </w:rPr>
            </w:pPr>
            <w:r w:rsidRPr="00023D24">
              <w:rPr>
                <w:lang w:val="en-US"/>
              </w:rPr>
              <w:t>%</w:t>
            </w:r>
          </w:p>
        </w:tc>
      </w:tr>
      <w:tr w:rsidR="009D0006" w:rsidRPr="00023D24" w14:paraId="39D228EE"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F187461" w14:textId="77777777" w:rsidR="009D0006" w:rsidRPr="00023D24" w:rsidRDefault="009D0006" w:rsidP="00D51760">
            <w:pPr>
              <w:pStyle w:val="Tabletext"/>
              <w:rPr>
                <w:lang w:val="en-US"/>
              </w:rPr>
            </w:pPr>
            <w:r w:rsidRPr="00023D24">
              <w:rPr>
                <w:lang w:val="en-US"/>
              </w:rPr>
              <w:t xml:space="preserve">Educational institution </w:t>
            </w:r>
          </w:p>
        </w:tc>
        <w:tc>
          <w:tcPr>
            <w:tcW w:w="1559" w:type="dxa"/>
          </w:tcPr>
          <w:p w14:paraId="083579D2" w14:textId="77777777" w:rsidR="009D0006" w:rsidRPr="00023D24" w:rsidRDefault="009D0006" w:rsidP="00D51760">
            <w:pPr>
              <w:pStyle w:val="Tabletext"/>
            </w:pPr>
            <w:r w:rsidRPr="00023D24">
              <w:t>105</w:t>
            </w:r>
          </w:p>
        </w:tc>
        <w:tc>
          <w:tcPr>
            <w:tcW w:w="1559" w:type="dxa"/>
          </w:tcPr>
          <w:p w14:paraId="068F12D5" w14:textId="77777777" w:rsidR="009D0006" w:rsidRPr="00023D24" w:rsidRDefault="009D0006" w:rsidP="00D51760">
            <w:pPr>
              <w:pStyle w:val="Tabletext"/>
            </w:pPr>
            <w:r w:rsidRPr="00023D24">
              <w:t>4.9</w:t>
            </w:r>
          </w:p>
        </w:tc>
      </w:tr>
      <w:tr w:rsidR="009D0006" w:rsidRPr="00023D24" w14:paraId="7AD89DDB"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E790B1A" w14:textId="77777777" w:rsidR="009D0006" w:rsidRPr="00023D24" w:rsidRDefault="009D0006" w:rsidP="00D51760">
            <w:pPr>
              <w:pStyle w:val="Tabletext"/>
            </w:pPr>
            <w:r w:rsidRPr="00023D24">
              <w:rPr>
                <w:lang w:val="en-US"/>
              </w:rPr>
              <w:t>Home</w:t>
            </w:r>
          </w:p>
        </w:tc>
        <w:tc>
          <w:tcPr>
            <w:tcW w:w="1559" w:type="dxa"/>
          </w:tcPr>
          <w:p w14:paraId="14ABB9B7" w14:textId="77777777" w:rsidR="009D0006" w:rsidRPr="00023D24" w:rsidRDefault="009D0006" w:rsidP="00D51760">
            <w:pPr>
              <w:pStyle w:val="Tabletext"/>
            </w:pPr>
            <w:r w:rsidRPr="00023D24">
              <w:t>60</w:t>
            </w:r>
          </w:p>
        </w:tc>
        <w:tc>
          <w:tcPr>
            <w:tcW w:w="1559" w:type="dxa"/>
          </w:tcPr>
          <w:p w14:paraId="1B007015" w14:textId="77777777" w:rsidR="009D0006" w:rsidRPr="00023D24" w:rsidRDefault="009D0006" w:rsidP="00D51760">
            <w:pPr>
              <w:pStyle w:val="Tabletext"/>
            </w:pPr>
            <w:r w:rsidRPr="00023D24">
              <w:t>2.8</w:t>
            </w:r>
          </w:p>
        </w:tc>
      </w:tr>
      <w:tr w:rsidR="009D0006" w:rsidRPr="00023D24" w14:paraId="5D758DD7"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32CDEA8" w14:textId="77777777" w:rsidR="009D0006" w:rsidRPr="00023D24" w:rsidRDefault="009D0006" w:rsidP="00D51760">
            <w:pPr>
              <w:pStyle w:val="Tabletext"/>
              <w:rPr>
                <w:lang w:val="en-US"/>
              </w:rPr>
            </w:pPr>
            <w:r w:rsidRPr="00023D24">
              <w:rPr>
                <w:lang w:val="en-US"/>
              </w:rPr>
              <w:t>Public</w:t>
            </w:r>
          </w:p>
        </w:tc>
        <w:tc>
          <w:tcPr>
            <w:tcW w:w="1559" w:type="dxa"/>
          </w:tcPr>
          <w:p w14:paraId="4B66B5DC" w14:textId="77777777" w:rsidR="009D0006" w:rsidRPr="00023D24" w:rsidRDefault="009D0006" w:rsidP="00D51760">
            <w:pPr>
              <w:pStyle w:val="Tabletext"/>
            </w:pPr>
            <w:r w:rsidRPr="00023D24">
              <w:t>114</w:t>
            </w:r>
          </w:p>
        </w:tc>
        <w:tc>
          <w:tcPr>
            <w:tcW w:w="1559" w:type="dxa"/>
          </w:tcPr>
          <w:p w14:paraId="3E5BA92A" w14:textId="77777777" w:rsidR="009D0006" w:rsidRPr="00023D24" w:rsidRDefault="009D0006" w:rsidP="00D51760">
            <w:pPr>
              <w:pStyle w:val="Tabletext"/>
            </w:pPr>
            <w:r w:rsidRPr="00023D24">
              <w:lastRenderedPageBreak/>
              <w:t>5.3</w:t>
            </w:r>
          </w:p>
        </w:tc>
      </w:tr>
      <w:tr w:rsidR="009D0006" w:rsidRPr="00023D24" w14:paraId="2AE44390"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1CF6C4B" w14:textId="77777777" w:rsidR="009D0006" w:rsidRPr="00023D24" w:rsidRDefault="009D0006" w:rsidP="00D51760">
            <w:pPr>
              <w:pStyle w:val="Tabletext"/>
              <w:rPr>
                <w:lang w:val="en-US"/>
              </w:rPr>
            </w:pPr>
            <w:r w:rsidRPr="00023D24">
              <w:rPr>
                <w:lang w:val="en-US"/>
              </w:rPr>
              <w:t>Sport</w:t>
            </w:r>
          </w:p>
        </w:tc>
        <w:tc>
          <w:tcPr>
            <w:tcW w:w="1559" w:type="dxa"/>
          </w:tcPr>
          <w:p w14:paraId="0D7A1E0A" w14:textId="77777777" w:rsidR="009D0006" w:rsidRPr="00023D24" w:rsidRDefault="009D0006" w:rsidP="00D51760">
            <w:pPr>
              <w:pStyle w:val="Tabletext"/>
            </w:pPr>
            <w:r w:rsidRPr="00023D24">
              <w:t>11</w:t>
            </w:r>
          </w:p>
        </w:tc>
        <w:tc>
          <w:tcPr>
            <w:tcW w:w="1559" w:type="dxa"/>
          </w:tcPr>
          <w:p w14:paraId="20DF203B" w14:textId="77777777" w:rsidR="009D0006" w:rsidRPr="00023D24" w:rsidRDefault="009D0006" w:rsidP="00D51760">
            <w:pPr>
              <w:pStyle w:val="Tabletext"/>
            </w:pPr>
            <w:r w:rsidRPr="00023D24">
              <w:t>0.5</w:t>
            </w:r>
          </w:p>
        </w:tc>
      </w:tr>
      <w:tr w:rsidR="009D0006" w:rsidRPr="00023D24" w14:paraId="2033DE53"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200B3C5" w14:textId="77777777" w:rsidR="009D0006" w:rsidRPr="00023D24" w:rsidRDefault="009D0006" w:rsidP="00D51760">
            <w:pPr>
              <w:pStyle w:val="Tabletext"/>
              <w:rPr>
                <w:rFonts w:eastAsia="MS Mincho"/>
              </w:rPr>
            </w:pPr>
            <w:r w:rsidRPr="00023D24">
              <w:rPr>
                <w:lang w:val="en-US"/>
              </w:rPr>
              <w:t>Work</w:t>
            </w:r>
          </w:p>
        </w:tc>
        <w:tc>
          <w:tcPr>
            <w:tcW w:w="1559" w:type="dxa"/>
          </w:tcPr>
          <w:p w14:paraId="3FFD58D8" w14:textId="77777777" w:rsidR="009D0006" w:rsidRPr="00023D24" w:rsidRDefault="009D0006" w:rsidP="00D51760">
            <w:pPr>
              <w:pStyle w:val="Tabletext"/>
              <w:rPr>
                <w:rFonts w:eastAsia="MS Mincho"/>
              </w:rPr>
            </w:pPr>
            <w:r w:rsidRPr="00023D24">
              <w:t>12</w:t>
            </w:r>
          </w:p>
        </w:tc>
        <w:tc>
          <w:tcPr>
            <w:tcW w:w="1559" w:type="dxa"/>
          </w:tcPr>
          <w:p w14:paraId="75462CDC" w14:textId="77777777" w:rsidR="009D0006" w:rsidRPr="00023D24" w:rsidRDefault="009D0006" w:rsidP="00D51760">
            <w:pPr>
              <w:pStyle w:val="Tabletext"/>
              <w:rPr>
                <w:rFonts w:eastAsia="MS Mincho"/>
              </w:rPr>
            </w:pPr>
            <w:r w:rsidRPr="00023D24">
              <w:t>0.6</w:t>
            </w:r>
          </w:p>
        </w:tc>
      </w:tr>
      <w:tr w:rsidR="009D0006" w:rsidRPr="00023D24" w14:paraId="5D22B7E8" w14:textId="77777777" w:rsidTr="00D51760">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0E4C6EF" w14:textId="77777777" w:rsidR="009D0006" w:rsidRPr="00023D24" w:rsidRDefault="009D0006" w:rsidP="00D51760">
            <w:pPr>
              <w:pStyle w:val="Tabletext"/>
              <w:rPr>
                <w:rFonts w:eastAsia="MS Mincho"/>
              </w:rPr>
            </w:pPr>
            <w:r w:rsidRPr="00023D24">
              <w:rPr>
                <w:lang w:val="en-US"/>
              </w:rPr>
              <w:t>Somewhere else</w:t>
            </w:r>
          </w:p>
        </w:tc>
        <w:tc>
          <w:tcPr>
            <w:tcW w:w="1559" w:type="dxa"/>
          </w:tcPr>
          <w:p w14:paraId="63B07BD0" w14:textId="77777777" w:rsidR="009D0006" w:rsidRPr="00023D24" w:rsidRDefault="009D0006" w:rsidP="00D51760">
            <w:pPr>
              <w:pStyle w:val="Tabletext"/>
              <w:rPr>
                <w:rFonts w:eastAsia="MS Mincho"/>
              </w:rPr>
            </w:pPr>
            <w:r w:rsidRPr="00023D24">
              <w:t>41</w:t>
            </w:r>
          </w:p>
        </w:tc>
        <w:tc>
          <w:tcPr>
            <w:tcW w:w="1559" w:type="dxa"/>
          </w:tcPr>
          <w:p w14:paraId="048AD53A" w14:textId="77777777" w:rsidR="009D0006" w:rsidRPr="00023D24" w:rsidRDefault="009D0006" w:rsidP="00D51760">
            <w:pPr>
              <w:pStyle w:val="Tabletext"/>
              <w:rPr>
                <w:rFonts w:eastAsia="MS Mincho"/>
              </w:rPr>
            </w:pPr>
            <w:r w:rsidRPr="00023D24">
              <w:t>1.9</w:t>
            </w:r>
          </w:p>
        </w:tc>
      </w:tr>
      <w:tr w:rsidR="009D0006" w:rsidRPr="00023D24" w14:paraId="0859CCD7" w14:textId="77777777" w:rsidTr="00D5176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7F63512" w14:textId="77777777" w:rsidR="009D0006" w:rsidRPr="00023D24" w:rsidRDefault="009D0006" w:rsidP="00D51760">
            <w:pPr>
              <w:pStyle w:val="Tabletext"/>
              <w:rPr>
                <w:rFonts w:eastAsia="MS Mincho"/>
                <w:b/>
                <w:bCs/>
              </w:rPr>
            </w:pPr>
            <w:r w:rsidRPr="00023D24">
              <w:rPr>
                <w:b/>
                <w:bCs/>
                <w:lang w:val="en-US"/>
              </w:rPr>
              <w:t>One or more of the above</w:t>
            </w:r>
          </w:p>
        </w:tc>
        <w:tc>
          <w:tcPr>
            <w:tcW w:w="1559" w:type="dxa"/>
          </w:tcPr>
          <w:p w14:paraId="5B5EBBB2" w14:textId="77777777" w:rsidR="009D0006" w:rsidRPr="00023D24" w:rsidRDefault="009D0006" w:rsidP="00D51760">
            <w:pPr>
              <w:pStyle w:val="Tabletext"/>
              <w:rPr>
                <w:rFonts w:eastAsia="MS Mincho"/>
                <w:b/>
                <w:bCs/>
              </w:rPr>
            </w:pPr>
            <w:r w:rsidRPr="00023D24">
              <w:rPr>
                <w:rFonts w:eastAsia="MS Mincho"/>
                <w:b/>
                <w:bCs/>
              </w:rPr>
              <w:t>343</w:t>
            </w:r>
          </w:p>
        </w:tc>
        <w:tc>
          <w:tcPr>
            <w:tcW w:w="1559" w:type="dxa"/>
          </w:tcPr>
          <w:p w14:paraId="5C53726E" w14:textId="77777777" w:rsidR="009D0006" w:rsidRPr="00023D24" w:rsidRDefault="009D0006" w:rsidP="00D51760">
            <w:pPr>
              <w:pStyle w:val="Tabletext"/>
              <w:rPr>
                <w:rFonts w:eastAsia="MS Mincho"/>
                <w:b/>
                <w:bCs/>
              </w:rPr>
            </w:pPr>
            <w:r w:rsidRPr="00023D24">
              <w:rPr>
                <w:rFonts w:eastAsia="MS Mincho"/>
                <w:b/>
                <w:bCs/>
              </w:rPr>
              <w:t>15.4</w:t>
            </w:r>
          </w:p>
        </w:tc>
      </w:tr>
    </w:tbl>
    <w:p w14:paraId="781416A4" w14:textId="77777777" w:rsidR="009D0006" w:rsidRDefault="009D0006" w:rsidP="001153FB">
      <w:pPr>
        <w:pStyle w:val="Tableheading"/>
      </w:pPr>
      <w:r>
        <w:t>Table 40.3 Sexual (n=2124)</w:t>
      </w:r>
    </w:p>
    <w:tbl>
      <w:tblPr>
        <w:tblStyle w:val="RCTable"/>
        <w:tblW w:w="9864" w:type="dxa"/>
        <w:tblLayout w:type="fixed"/>
        <w:tblLook w:val="04A0" w:firstRow="1" w:lastRow="0" w:firstColumn="1" w:lastColumn="0" w:noHBand="0" w:noVBand="1"/>
      </w:tblPr>
      <w:tblGrid>
        <w:gridCol w:w="6746"/>
        <w:gridCol w:w="1559"/>
        <w:gridCol w:w="1559"/>
      </w:tblGrid>
      <w:tr w:rsidR="009D0006" w:rsidRPr="00023D24" w14:paraId="0F6AF568" w14:textId="77777777" w:rsidTr="00C45093">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5B576CF" w14:textId="77777777" w:rsidR="009D0006" w:rsidRPr="00023D24" w:rsidRDefault="009D0006" w:rsidP="00C45093">
            <w:pPr>
              <w:pStyle w:val="Tableheader"/>
            </w:pPr>
            <w:r>
              <w:t>Setting</w:t>
            </w:r>
          </w:p>
        </w:tc>
        <w:tc>
          <w:tcPr>
            <w:tcW w:w="1559" w:type="dxa"/>
            <w:noWrap/>
            <w:hideMark/>
          </w:tcPr>
          <w:p w14:paraId="0D9BA5F7" w14:textId="77777777" w:rsidR="009D0006" w:rsidRPr="00023D24" w:rsidRDefault="009D0006" w:rsidP="00C45093">
            <w:pPr>
              <w:pStyle w:val="Tableheader"/>
            </w:pPr>
            <w:r w:rsidRPr="00023D24">
              <w:rPr>
                <w:lang w:val="en-US"/>
              </w:rPr>
              <w:t>n</w:t>
            </w:r>
          </w:p>
        </w:tc>
        <w:tc>
          <w:tcPr>
            <w:tcW w:w="1559" w:type="dxa"/>
            <w:noWrap/>
            <w:hideMark/>
          </w:tcPr>
          <w:p w14:paraId="273AA224" w14:textId="77777777" w:rsidR="009D0006" w:rsidRPr="00023D24" w:rsidRDefault="009D0006" w:rsidP="00C45093">
            <w:pPr>
              <w:pStyle w:val="Tableheader"/>
            </w:pPr>
            <w:r w:rsidRPr="00023D24">
              <w:rPr>
                <w:lang w:val="en-US"/>
              </w:rPr>
              <w:t>%</w:t>
            </w:r>
          </w:p>
        </w:tc>
      </w:tr>
      <w:tr w:rsidR="009D0006" w:rsidRPr="00023D24" w14:paraId="22DB6EA7"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5553E59" w14:textId="77777777" w:rsidR="009D0006" w:rsidRPr="00023D24" w:rsidRDefault="009D0006" w:rsidP="00C45093">
            <w:pPr>
              <w:pStyle w:val="Tabletext"/>
              <w:rPr>
                <w:lang w:val="en-US"/>
              </w:rPr>
            </w:pPr>
            <w:r w:rsidRPr="00023D24">
              <w:rPr>
                <w:lang w:val="en-US"/>
              </w:rPr>
              <w:t xml:space="preserve">Educational institution </w:t>
            </w:r>
          </w:p>
        </w:tc>
        <w:tc>
          <w:tcPr>
            <w:tcW w:w="1559" w:type="dxa"/>
            <w:noWrap/>
          </w:tcPr>
          <w:p w14:paraId="02458C37" w14:textId="77777777" w:rsidR="009D0006" w:rsidRPr="00023D24" w:rsidRDefault="009D0006" w:rsidP="00C45093">
            <w:pPr>
              <w:pStyle w:val="Tabletext"/>
            </w:pPr>
            <w:r w:rsidRPr="00023D24">
              <w:t>74</w:t>
            </w:r>
          </w:p>
        </w:tc>
        <w:tc>
          <w:tcPr>
            <w:tcW w:w="1559" w:type="dxa"/>
            <w:noWrap/>
          </w:tcPr>
          <w:p w14:paraId="4120D014" w14:textId="77777777" w:rsidR="009D0006" w:rsidRPr="00023D24" w:rsidRDefault="009D0006" w:rsidP="00C45093">
            <w:pPr>
              <w:pStyle w:val="Tabletext"/>
            </w:pPr>
            <w:r w:rsidRPr="00023D24">
              <w:t>3.5</w:t>
            </w:r>
          </w:p>
        </w:tc>
      </w:tr>
      <w:tr w:rsidR="009D0006" w:rsidRPr="00023D24" w14:paraId="74A16A4B"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730CFEA" w14:textId="77777777" w:rsidR="009D0006" w:rsidRPr="00023D24" w:rsidRDefault="009D0006" w:rsidP="00C45093">
            <w:pPr>
              <w:pStyle w:val="Tabletext"/>
            </w:pPr>
            <w:r w:rsidRPr="00023D24">
              <w:rPr>
                <w:lang w:val="en-US"/>
              </w:rPr>
              <w:t>Home</w:t>
            </w:r>
          </w:p>
        </w:tc>
        <w:tc>
          <w:tcPr>
            <w:tcW w:w="1559" w:type="dxa"/>
            <w:noWrap/>
          </w:tcPr>
          <w:p w14:paraId="06A51648" w14:textId="77777777" w:rsidR="009D0006" w:rsidRPr="00023D24" w:rsidRDefault="009D0006" w:rsidP="00C45093">
            <w:pPr>
              <w:pStyle w:val="Tabletext"/>
            </w:pPr>
            <w:r w:rsidRPr="00023D24">
              <w:t>278</w:t>
            </w:r>
          </w:p>
        </w:tc>
        <w:tc>
          <w:tcPr>
            <w:tcW w:w="1559" w:type="dxa"/>
            <w:noWrap/>
          </w:tcPr>
          <w:p w14:paraId="06548C92" w14:textId="77777777" w:rsidR="009D0006" w:rsidRPr="00023D24" w:rsidRDefault="009D0006" w:rsidP="00C45093">
            <w:pPr>
              <w:pStyle w:val="Tabletext"/>
            </w:pPr>
            <w:r w:rsidRPr="00023D24">
              <w:t>13.1</w:t>
            </w:r>
          </w:p>
        </w:tc>
      </w:tr>
      <w:tr w:rsidR="009D0006" w:rsidRPr="00023D24" w14:paraId="4709BC99"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F77B45B" w14:textId="77777777" w:rsidR="009D0006" w:rsidRPr="00023D24" w:rsidRDefault="009D0006" w:rsidP="00C45093">
            <w:pPr>
              <w:pStyle w:val="Tabletext"/>
              <w:rPr>
                <w:lang w:val="en-US"/>
              </w:rPr>
            </w:pPr>
            <w:r w:rsidRPr="00023D24">
              <w:rPr>
                <w:lang w:val="en-US"/>
              </w:rPr>
              <w:t>Public</w:t>
            </w:r>
          </w:p>
        </w:tc>
        <w:tc>
          <w:tcPr>
            <w:tcW w:w="1559" w:type="dxa"/>
            <w:noWrap/>
          </w:tcPr>
          <w:p w14:paraId="5E4F03AA" w14:textId="77777777" w:rsidR="009D0006" w:rsidRPr="00023D24" w:rsidRDefault="009D0006" w:rsidP="00C45093">
            <w:pPr>
              <w:pStyle w:val="Tabletext"/>
            </w:pPr>
            <w:r w:rsidRPr="00023D24">
              <w:t>4</w:t>
            </w:r>
          </w:p>
        </w:tc>
        <w:tc>
          <w:tcPr>
            <w:tcW w:w="1559" w:type="dxa"/>
            <w:noWrap/>
          </w:tcPr>
          <w:p w14:paraId="184C6D4C" w14:textId="77777777" w:rsidR="009D0006" w:rsidRPr="00023D24" w:rsidRDefault="009D0006" w:rsidP="00C45093">
            <w:pPr>
              <w:pStyle w:val="Tabletext"/>
            </w:pPr>
            <w:r w:rsidRPr="00023D24">
              <w:t>0.2</w:t>
            </w:r>
          </w:p>
        </w:tc>
      </w:tr>
      <w:tr w:rsidR="009D0006" w:rsidRPr="00023D24" w14:paraId="75C26948"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B951811" w14:textId="77777777" w:rsidR="009D0006" w:rsidRPr="00023D24" w:rsidRDefault="009D0006" w:rsidP="00C45093">
            <w:pPr>
              <w:pStyle w:val="Tabletext"/>
              <w:rPr>
                <w:lang w:val="en-US"/>
              </w:rPr>
            </w:pPr>
            <w:r w:rsidRPr="00023D24">
              <w:rPr>
                <w:lang w:val="en-US"/>
              </w:rPr>
              <w:t>Sport</w:t>
            </w:r>
          </w:p>
        </w:tc>
        <w:tc>
          <w:tcPr>
            <w:tcW w:w="1559" w:type="dxa"/>
            <w:noWrap/>
          </w:tcPr>
          <w:p w14:paraId="01C91FE4" w14:textId="77777777" w:rsidR="009D0006" w:rsidRPr="00023D24" w:rsidRDefault="009D0006" w:rsidP="00C45093">
            <w:pPr>
              <w:pStyle w:val="Tabletext"/>
            </w:pPr>
            <w:r w:rsidRPr="00023D24">
              <w:t>59</w:t>
            </w:r>
          </w:p>
        </w:tc>
        <w:tc>
          <w:tcPr>
            <w:tcW w:w="1559" w:type="dxa"/>
            <w:noWrap/>
          </w:tcPr>
          <w:p w14:paraId="1BD92DE5" w14:textId="77777777" w:rsidR="009D0006" w:rsidRPr="00023D24" w:rsidRDefault="009D0006" w:rsidP="00C45093">
            <w:pPr>
              <w:pStyle w:val="Tabletext"/>
            </w:pPr>
            <w:r w:rsidRPr="00023D24">
              <w:t>2.8</w:t>
            </w:r>
          </w:p>
        </w:tc>
      </w:tr>
      <w:tr w:rsidR="009D0006" w:rsidRPr="00023D24" w14:paraId="027928C0"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E4DDDC0" w14:textId="77777777" w:rsidR="009D0006" w:rsidRPr="00023D24" w:rsidRDefault="009D0006" w:rsidP="00C45093">
            <w:pPr>
              <w:pStyle w:val="Tabletext"/>
              <w:rPr>
                <w:rFonts w:eastAsia="MS Mincho"/>
              </w:rPr>
            </w:pPr>
            <w:r w:rsidRPr="00023D24">
              <w:rPr>
                <w:lang w:val="en-US"/>
              </w:rPr>
              <w:t>Work</w:t>
            </w:r>
          </w:p>
        </w:tc>
        <w:tc>
          <w:tcPr>
            <w:tcW w:w="1559" w:type="dxa"/>
            <w:noWrap/>
          </w:tcPr>
          <w:p w14:paraId="4C40EC7C" w14:textId="77777777" w:rsidR="009D0006" w:rsidRPr="00023D24" w:rsidRDefault="009D0006" w:rsidP="00C45093">
            <w:pPr>
              <w:pStyle w:val="Tabletext"/>
              <w:rPr>
                <w:rFonts w:eastAsia="MS Mincho"/>
              </w:rPr>
            </w:pPr>
            <w:r w:rsidRPr="00023D24">
              <w:t>292</w:t>
            </w:r>
          </w:p>
        </w:tc>
        <w:tc>
          <w:tcPr>
            <w:tcW w:w="1559" w:type="dxa"/>
            <w:noWrap/>
          </w:tcPr>
          <w:p w14:paraId="71BD33CD" w14:textId="77777777" w:rsidR="009D0006" w:rsidRPr="00023D24" w:rsidRDefault="009D0006" w:rsidP="00C45093">
            <w:pPr>
              <w:pStyle w:val="Tabletext"/>
              <w:rPr>
                <w:rFonts w:eastAsia="MS Mincho"/>
              </w:rPr>
            </w:pPr>
            <w:r w:rsidRPr="00023D24">
              <w:t>13.8</w:t>
            </w:r>
          </w:p>
        </w:tc>
      </w:tr>
      <w:tr w:rsidR="009D0006" w:rsidRPr="00023D24" w14:paraId="0C901F66"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D1D092A" w14:textId="77777777" w:rsidR="009D0006" w:rsidRPr="00023D24" w:rsidRDefault="009D0006" w:rsidP="00C45093">
            <w:pPr>
              <w:pStyle w:val="Tabletext"/>
              <w:rPr>
                <w:rFonts w:eastAsia="MS Mincho"/>
              </w:rPr>
            </w:pPr>
            <w:r w:rsidRPr="00023D24">
              <w:rPr>
                <w:lang w:val="en-US"/>
              </w:rPr>
              <w:t>Somewhere else</w:t>
            </w:r>
          </w:p>
        </w:tc>
        <w:tc>
          <w:tcPr>
            <w:tcW w:w="1559" w:type="dxa"/>
            <w:noWrap/>
          </w:tcPr>
          <w:p w14:paraId="5DF59209" w14:textId="77777777" w:rsidR="009D0006" w:rsidRPr="00023D24" w:rsidRDefault="009D0006" w:rsidP="00C45093">
            <w:pPr>
              <w:pStyle w:val="Tabletext"/>
              <w:rPr>
                <w:rFonts w:eastAsia="MS Mincho"/>
              </w:rPr>
            </w:pPr>
            <w:r w:rsidRPr="00023D24">
              <w:t>74</w:t>
            </w:r>
          </w:p>
        </w:tc>
        <w:tc>
          <w:tcPr>
            <w:tcW w:w="1559" w:type="dxa"/>
            <w:noWrap/>
          </w:tcPr>
          <w:p w14:paraId="30F044E7" w14:textId="77777777" w:rsidR="009D0006" w:rsidRPr="00023D24" w:rsidRDefault="009D0006" w:rsidP="00C45093">
            <w:pPr>
              <w:pStyle w:val="Tabletext"/>
              <w:rPr>
                <w:rFonts w:eastAsia="MS Mincho"/>
              </w:rPr>
            </w:pPr>
            <w:r w:rsidRPr="00023D24">
              <w:t>3.5</w:t>
            </w:r>
          </w:p>
        </w:tc>
      </w:tr>
      <w:tr w:rsidR="009D0006" w:rsidRPr="00023D24" w14:paraId="27384646"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011387E" w14:textId="77777777" w:rsidR="009D0006" w:rsidRPr="00023D24" w:rsidRDefault="009D0006" w:rsidP="00C45093">
            <w:pPr>
              <w:pStyle w:val="Tabletext"/>
              <w:rPr>
                <w:rFonts w:eastAsia="MS Mincho"/>
                <w:b/>
                <w:bCs/>
              </w:rPr>
            </w:pPr>
            <w:r w:rsidRPr="00023D24">
              <w:rPr>
                <w:b/>
                <w:bCs/>
                <w:lang w:val="en-US"/>
              </w:rPr>
              <w:t>One or more of the above</w:t>
            </w:r>
          </w:p>
        </w:tc>
        <w:tc>
          <w:tcPr>
            <w:tcW w:w="1559" w:type="dxa"/>
            <w:noWrap/>
          </w:tcPr>
          <w:p w14:paraId="7FB0E23B" w14:textId="77777777" w:rsidR="009D0006" w:rsidRPr="00023D24" w:rsidRDefault="009D0006" w:rsidP="00C45093">
            <w:pPr>
              <w:pStyle w:val="Tabletext"/>
              <w:rPr>
                <w:rFonts w:eastAsia="MS Mincho"/>
                <w:b/>
                <w:bCs/>
              </w:rPr>
            </w:pPr>
            <w:r w:rsidRPr="00023D24">
              <w:rPr>
                <w:rFonts w:eastAsia="MS Mincho"/>
                <w:b/>
                <w:bCs/>
              </w:rPr>
              <w:t>565</w:t>
            </w:r>
          </w:p>
        </w:tc>
        <w:tc>
          <w:tcPr>
            <w:tcW w:w="1559" w:type="dxa"/>
            <w:noWrap/>
          </w:tcPr>
          <w:p w14:paraId="3FE3F4EF" w14:textId="77777777" w:rsidR="009D0006" w:rsidRPr="00023D24" w:rsidRDefault="009D0006" w:rsidP="00C45093">
            <w:pPr>
              <w:pStyle w:val="Tabletext"/>
              <w:rPr>
                <w:rFonts w:eastAsia="MS Mincho"/>
                <w:b/>
                <w:bCs/>
              </w:rPr>
            </w:pPr>
            <w:r w:rsidRPr="00023D24">
              <w:rPr>
                <w:rFonts w:eastAsia="MS Mincho"/>
                <w:b/>
                <w:bCs/>
              </w:rPr>
              <w:t>26.6</w:t>
            </w:r>
          </w:p>
        </w:tc>
      </w:tr>
    </w:tbl>
    <w:p w14:paraId="77257E98" w14:textId="77777777" w:rsidR="009D0006" w:rsidRDefault="009D0006" w:rsidP="001153FB">
      <w:pPr>
        <w:spacing w:before="360"/>
      </w:pPr>
      <w:r w:rsidRPr="007E07C6">
        <w:t xml:space="preserve">As shown in Table </w:t>
      </w:r>
      <w:r>
        <w:t>40.1</w:t>
      </w:r>
      <w:r w:rsidRPr="007E07C6">
        <w:t>,</w:t>
      </w:r>
      <w:r>
        <w:t xml:space="preserve"> participants with disability in </w:t>
      </w:r>
      <w:r>
        <w:rPr>
          <w:i/>
          <w:iCs/>
        </w:rPr>
        <w:t>Writing Themselves In 4</w:t>
      </w:r>
      <w:r>
        <w:t xml:space="preserve"> who experienced verbal harassment in the past 12 months most frequently reported these experiences occurring within a public setting (24.6%; n = 595) followed by an education institution (22.4%; n = 540), at home (12.9%; n = 311), somewhere else that was not listed (11.7%; n = 282), at work (4.5%; n = 109) and when participating in sport (1.4%; n = 34). Almost half of participants with disability reported verbal harassment occurring at one or more of the listed settings in the past 12 months (48.4%; n = 1170). </w:t>
      </w:r>
    </w:p>
    <w:p w14:paraId="74767E35" w14:textId="77777777" w:rsidR="009D0006" w:rsidRDefault="009D0006" w:rsidP="009D0006">
      <w:r>
        <w:t xml:space="preserve">Participants with disability who experienced physical harassment most frequently reported these experiences occurring within a public setting (5.3%; n = 114) followed by an education institution (4.9%; n = 105), at home (2.8%; n = 60), somewhere else that was not listed (1.9%; n = 41), at work (0.6%; n = 12) and when participating in sport (0.5%; n = 11). Overall, 15.4% (n = 343) of participants reported physical harassment occurring at one or more of the listed settings. </w:t>
      </w:r>
    </w:p>
    <w:p w14:paraId="00D4B42A" w14:textId="77777777" w:rsidR="009D0006" w:rsidRPr="005F5610" w:rsidRDefault="009D0006" w:rsidP="009D0006">
      <w:r>
        <w:t>Participants with disability who experienced sexual assault most frequently reported these experiences occurring at work (</w:t>
      </w:r>
      <w:r w:rsidRPr="005F5610">
        <w:t>13.8%; n = 292), followed by at home (13.1%, n = 278), an education institution (3.5%; n = 74), somewhere</w:t>
      </w:r>
      <w:r>
        <w:t xml:space="preserve"> else that was</w:t>
      </w:r>
      <w:r w:rsidRPr="005F5610">
        <w:t xml:space="preserve"> not listed (3.5%; n = 565), whe</w:t>
      </w:r>
      <w:r w:rsidRPr="005F5610">
        <w:lastRenderedPageBreak/>
        <w:t xml:space="preserve">n participating in sport (2.8%; n = 59) and in a public setting (0.2%; n = 4). </w:t>
      </w:r>
      <w:r>
        <w:t>More than one-quarter of participants reported sexual assault occurring at one or more of the listed settings (26.6%; n = 565).</w:t>
      </w:r>
    </w:p>
    <w:p w14:paraId="7B105AF0" w14:textId="77777777" w:rsidR="009D0006" w:rsidRPr="002D2E21" w:rsidRDefault="009D0006" w:rsidP="009D0006">
      <w:r w:rsidRPr="002D2E21">
        <w:t xml:space="preserve">As </w:t>
      </w:r>
      <w:r>
        <w:t>illustrated above and</w:t>
      </w:r>
      <w:r w:rsidRPr="002D2E21">
        <w:t xml:space="preserve"> in </w:t>
      </w:r>
      <w:r>
        <w:t>T</w:t>
      </w:r>
      <w:r w:rsidRPr="002D2E21">
        <w:t>able</w:t>
      </w:r>
      <w:r>
        <w:t xml:space="preserve"> 40.1</w:t>
      </w:r>
      <w:r w:rsidRPr="002D2E21">
        <w:t xml:space="preserve">, experiences of verbal harassment were found to be highest in a public setting, followed by an educational setting. This differs from the proportions for the overall sample as reported in the </w:t>
      </w:r>
      <w:r w:rsidRPr="006F7F75">
        <w:rPr>
          <w:i/>
          <w:iCs/>
        </w:rPr>
        <w:t>Writing Themselves In 4</w:t>
      </w:r>
      <w:r w:rsidRPr="002D2E21">
        <w:t xml:space="preserve"> report, which </w:t>
      </w:r>
      <w:r>
        <w:t>observed</w:t>
      </w:r>
      <w:r w:rsidRPr="002D2E21">
        <w:t xml:space="preserve"> experiences of verbal harassment </w:t>
      </w:r>
      <w:r>
        <w:t>most</w:t>
      </w:r>
      <w:r w:rsidRPr="002D2E21">
        <w:t xml:space="preserve"> </w:t>
      </w:r>
      <w:r>
        <w:t>frequently</w:t>
      </w:r>
      <w:r w:rsidRPr="002D2E21">
        <w:t xml:space="preserve"> </w:t>
      </w:r>
      <w:r>
        <w:t>at</w:t>
      </w:r>
      <w:r w:rsidRPr="002D2E21">
        <w:t xml:space="preserve"> educational institutions. Additionally, rates of sexual assault among participants with disability </w:t>
      </w:r>
      <w:r>
        <w:t>was</w:t>
      </w:r>
      <w:r w:rsidRPr="002D2E21">
        <w:t xml:space="preserve"> substantially higher than among the broader sample of </w:t>
      </w:r>
      <w:r w:rsidRPr="004D09D9">
        <w:rPr>
          <w:i/>
          <w:iCs/>
        </w:rPr>
        <w:t>Writing Themselves In 4</w:t>
      </w:r>
      <w:r w:rsidRPr="002D2E21">
        <w:t xml:space="preserve"> participants</w:t>
      </w:r>
      <w:r>
        <w:t>, particularly at home and at work.</w:t>
      </w:r>
    </w:p>
    <w:p w14:paraId="3D7DA56C" w14:textId="0305393E" w:rsidR="009D0006" w:rsidRPr="000073E5" w:rsidRDefault="009D0006" w:rsidP="00153892">
      <w:pPr>
        <w:pStyle w:val="Heading2Numbered"/>
      </w:pPr>
      <w:bookmarkStart w:id="482" w:name="_Toc40192114"/>
      <w:bookmarkStart w:id="483" w:name="_Toc48749220"/>
      <w:bookmarkStart w:id="484" w:name="_Toc58252092"/>
      <w:bookmarkStart w:id="485" w:name="_Toc115968563"/>
      <w:bookmarkStart w:id="486" w:name="_Toc119662428"/>
      <w:bookmarkEnd w:id="476"/>
      <w:bookmarkEnd w:id="480"/>
      <w:bookmarkEnd w:id="481"/>
      <w:r w:rsidRPr="000073E5">
        <w:t xml:space="preserve">Harassment </w:t>
      </w:r>
      <w:r>
        <w:t xml:space="preserve">or assault </w:t>
      </w:r>
      <w:r w:rsidRPr="000073E5">
        <w:t>perpetrators</w:t>
      </w:r>
      <w:bookmarkEnd w:id="482"/>
      <w:bookmarkEnd w:id="483"/>
      <w:bookmarkEnd w:id="484"/>
      <w:r w:rsidRPr="000073E5">
        <w:t xml:space="preserve"> – young people aged 14-21 years</w:t>
      </w:r>
      <w:bookmarkEnd w:id="485"/>
      <w:bookmarkEnd w:id="486"/>
    </w:p>
    <w:p w14:paraId="183FE565" w14:textId="77777777" w:rsidR="009D0006" w:rsidRPr="000073E5" w:rsidRDefault="009D0006" w:rsidP="009D0006">
      <w:r w:rsidRPr="000073E5">
        <w:t xml:space="preserve">After being asked where it occurred, those participants who experienced one or more forms of harassment or </w:t>
      </w:r>
      <w:r>
        <w:t>assault</w:t>
      </w:r>
      <w:r w:rsidRPr="000073E5">
        <w:t xml:space="preserve"> were asked </w:t>
      </w:r>
      <w:r>
        <w:t>about</w:t>
      </w:r>
      <w:r w:rsidRPr="000073E5">
        <w:t xml:space="preserve"> the perpetrator. The response options presented were tailored to each context. </w:t>
      </w:r>
    </w:p>
    <w:p w14:paraId="66502044" w14:textId="7A71C175" w:rsidR="009D0006" w:rsidRPr="000073E5" w:rsidRDefault="009D0006" w:rsidP="00153892">
      <w:pPr>
        <w:pStyle w:val="Heading3Numbered"/>
      </w:pPr>
      <w:bookmarkStart w:id="487" w:name="_Toc58252093"/>
      <w:bookmarkStart w:id="488" w:name="_Toc115968564"/>
      <w:r w:rsidRPr="000073E5">
        <w:t xml:space="preserve">Perpetrators of harassment </w:t>
      </w:r>
      <w:r>
        <w:t xml:space="preserve">or assault </w:t>
      </w:r>
      <w:r w:rsidRPr="000073E5">
        <w:t>in education settings</w:t>
      </w:r>
      <w:bookmarkEnd w:id="487"/>
      <w:r w:rsidRPr="000073E5">
        <w:t xml:space="preserve"> – young people aged 14-21 years</w:t>
      </w:r>
      <w:bookmarkEnd w:id="488"/>
    </w:p>
    <w:p w14:paraId="2AF2C2F8" w14:textId="77777777" w:rsidR="009D0006" w:rsidRPr="000073E5" w:rsidRDefault="009D0006" w:rsidP="009D0006">
      <w:r w:rsidRPr="000073E5">
        <w:t xml:space="preserve">Participants who reported having experienced harassment based on their </w:t>
      </w:r>
      <w:r>
        <w:t>sexual orientation</w:t>
      </w:r>
      <w:r w:rsidRPr="000073E5">
        <w:t xml:space="preserve"> or gender identity in the past 12 months at an educational institution were asked who </w:t>
      </w:r>
      <w:r>
        <w:t xml:space="preserve">was </w:t>
      </w:r>
      <w:r w:rsidRPr="000073E5">
        <w:t>the perpetrator</w:t>
      </w:r>
      <w:r>
        <w:t xml:space="preserve"> or perpetrators</w:t>
      </w:r>
      <w:r w:rsidRPr="000073E5">
        <w:t>.</w:t>
      </w:r>
      <w:r>
        <w:t xml:space="preserve"> </w:t>
      </w:r>
      <w:r w:rsidRPr="000073E5">
        <w:t xml:space="preserve">Table </w:t>
      </w:r>
      <w:r>
        <w:t>41</w:t>
      </w:r>
      <w:r w:rsidRPr="000073E5">
        <w:t xml:space="preserve"> displays the results. Multiple responses were permitted.</w:t>
      </w:r>
    </w:p>
    <w:p w14:paraId="18A4EB5F" w14:textId="77777777" w:rsidR="009D0006" w:rsidRDefault="009D0006" w:rsidP="001153FB">
      <w:pPr>
        <w:pStyle w:val="Tableheading"/>
      </w:pPr>
      <w:bookmarkStart w:id="489" w:name="_Toc117062759"/>
      <w:bookmarkStart w:id="490" w:name="_Toc119651444"/>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41</w:t>
      </w:r>
      <w:r w:rsidRPr="004D09D9">
        <w:rPr>
          <w:bCs/>
        </w:rPr>
        <w:fldChar w:fldCharType="end"/>
      </w:r>
      <w:r>
        <w:t xml:space="preserve">: </w:t>
      </w:r>
      <w:r w:rsidRPr="000073E5">
        <w:t xml:space="preserve">Perpetrators of harassment </w:t>
      </w:r>
      <w:r>
        <w:t xml:space="preserve">or assault </w:t>
      </w:r>
      <w:r w:rsidRPr="000073E5">
        <w:t>in education settings</w:t>
      </w:r>
      <w:r>
        <w:t xml:space="preserve"> among young people with disability aged 14-21 years</w:t>
      </w:r>
      <w:r w:rsidRPr="000073E5">
        <w:t xml:space="preserve"> </w:t>
      </w:r>
      <w:r>
        <w:t>(n = 942)</w:t>
      </w:r>
      <w:bookmarkEnd w:id="489"/>
      <w:bookmarkEnd w:id="490"/>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22BA522D"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09E64A6C" w14:textId="77777777" w:rsidR="009D0006" w:rsidRPr="00F979FC" w:rsidRDefault="009D0006" w:rsidP="00C45093">
            <w:pPr>
              <w:pStyle w:val="Tableheader"/>
              <w:rPr>
                <w:lang w:val="en-US"/>
              </w:rPr>
            </w:pPr>
            <w:r w:rsidRPr="00F979FC">
              <w:rPr>
                <w:lang w:val="en-US"/>
              </w:rPr>
              <w:t> </w:t>
            </w:r>
            <w:r>
              <w:rPr>
                <w:lang w:val="en-US"/>
              </w:rPr>
              <w:t>Perpetrator</w:t>
            </w:r>
          </w:p>
        </w:tc>
        <w:tc>
          <w:tcPr>
            <w:tcW w:w="1559" w:type="dxa"/>
            <w:noWrap/>
            <w:hideMark/>
          </w:tcPr>
          <w:p w14:paraId="62C1B978" w14:textId="77777777" w:rsidR="009D0006" w:rsidRPr="00F979FC" w:rsidRDefault="009D0006" w:rsidP="00C45093">
            <w:pPr>
              <w:pStyle w:val="Tableheader"/>
              <w:rPr>
                <w:lang w:val="en-US"/>
              </w:rPr>
            </w:pPr>
            <w:r>
              <w:rPr>
                <w:lang w:val="en-US"/>
              </w:rPr>
              <w:t>n</w:t>
            </w:r>
          </w:p>
        </w:tc>
        <w:tc>
          <w:tcPr>
            <w:tcW w:w="1559" w:type="dxa"/>
            <w:noWrap/>
            <w:hideMark/>
          </w:tcPr>
          <w:p w14:paraId="3CF51F30" w14:textId="77777777" w:rsidR="009D0006" w:rsidRPr="00F979FC" w:rsidRDefault="009D0006" w:rsidP="00C45093">
            <w:pPr>
              <w:pStyle w:val="Tableheader"/>
              <w:rPr>
                <w:lang w:val="en-US"/>
              </w:rPr>
            </w:pPr>
            <w:r w:rsidRPr="00F979FC">
              <w:rPr>
                <w:lang w:val="en-US"/>
              </w:rPr>
              <w:t>%</w:t>
            </w:r>
          </w:p>
        </w:tc>
      </w:tr>
      <w:tr w:rsidR="009D0006" w:rsidRPr="00F979FC" w14:paraId="5CF886D9"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0EF44BD" w14:textId="77777777" w:rsidR="009D0006" w:rsidRPr="00096A79" w:rsidRDefault="009D0006" w:rsidP="00C45093">
            <w:pPr>
              <w:pStyle w:val="Tabletext"/>
              <w:rPr>
                <w:b/>
                <w:bCs/>
                <w:lang w:val="en-US"/>
              </w:rPr>
            </w:pPr>
            <w:r>
              <w:t>Student or students from my year</w:t>
            </w:r>
          </w:p>
        </w:tc>
        <w:tc>
          <w:tcPr>
            <w:tcW w:w="1559" w:type="dxa"/>
            <w:noWrap/>
            <w:hideMark/>
          </w:tcPr>
          <w:p w14:paraId="562CEFEF" w14:textId="77777777" w:rsidR="009D0006" w:rsidRPr="00F979FC" w:rsidRDefault="009D0006" w:rsidP="00C45093">
            <w:pPr>
              <w:pStyle w:val="Tabletext"/>
              <w:rPr>
                <w:b/>
                <w:bCs/>
                <w:lang w:val="en-US"/>
              </w:rPr>
            </w:pPr>
            <w:r>
              <w:t>487</w:t>
            </w:r>
          </w:p>
        </w:tc>
        <w:tc>
          <w:tcPr>
            <w:tcW w:w="1559" w:type="dxa"/>
            <w:noWrap/>
            <w:hideMark/>
          </w:tcPr>
          <w:p w14:paraId="14FD8589" w14:textId="77777777" w:rsidR="009D0006" w:rsidRPr="00F979FC" w:rsidRDefault="009D0006" w:rsidP="00C45093">
            <w:pPr>
              <w:pStyle w:val="Tabletext"/>
              <w:rPr>
                <w:lang w:val="en-US"/>
              </w:rPr>
            </w:pPr>
            <w:r>
              <w:t>80.2</w:t>
            </w:r>
          </w:p>
        </w:tc>
      </w:tr>
      <w:tr w:rsidR="009D0006" w:rsidRPr="00F979FC" w14:paraId="39CF9490"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55A27DF" w14:textId="77777777" w:rsidR="009D0006" w:rsidRPr="00096A79" w:rsidRDefault="009D0006" w:rsidP="00C45093">
            <w:pPr>
              <w:pStyle w:val="Tabletext"/>
              <w:rPr>
                <w:lang w:val="en-US"/>
              </w:rPr>
            </w:pPr>
            <w:r>
              <w:t>Student or students from another year</w:t>
            </w:r>
          </w:p>
        </w:tc>
        <w:tc>
          <w:tcPr>
            <w:tcW w:w="1559" w:type="dxa"/>
            <w:noWrap/>
          </w:tcPr>
          <w:p w14:paraId="2EB86536" w14:textId="77777777" w:rsidR="009D0006" w:rsidRPr="00F979FC" w:rsidRDefault="009D0006" w:rsidP="00C45093">
            <w:pPr>
              <w:pStyle w:val="Tabletext"/>
              <w:rPr>
                <w:lang w:val="en-US"/>
              </w:rPr>
            </w:pPr>
            <w:r>
              <w:t>296</w:t>
            </w:r>
          </w:p>
        </w:tc>
        <w:tc>
          <w:tcPr>
            <w:tcW w:w="1559" w:type="dxa"/>
            <w:noWrap/>
          </w:tcPr>
          <w:p w14:paraId="730FA23B" w14:textId="77777777" w:rsidR="009D0006" w:rsidRPr="00F979FC" w:rsidRDefault="009D0006" w:rsidP="00C45093">
            <w:pPr>
              <w:pStyle w:val="Tabletext"/>
              <w:rPr>
                <w:lang w:val="en-US"/>
              </w:rPr>
            </w:pPr>
            <w:r>
              <w:t>48.8</w:t>
            </w:r>
          </w:p>
        </w:tc>
      </w:tr>
      <w:tr w:rsidR="009D0006" w:rsidRPr="00F979FC" w14:paraId="28C88E8C"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B833E23" w14:textId="77777777" w:rsidR="009D0006" w:rsidRPr="00096A79" w:rsidRDefault="009D0006" w:rsidP="00C45093">
            <w:pPr>
              <w:pStyle w:val="Tabletext"/>
              <w:rPr>
                <w:lang w:val="en-US"/>
              </w:rPr>
            </w:pPr>
            <w:r>
              <w:t>Teacher or teachers</w:t>
            </w:r>
          </w:p>
        </w:tc>
        <w:tc>
          <w:tcPr>
            <w:tcW w:w="1559" w:type="dxa"/>
            <w:noWrap/>
          </w:tcPr>
          <w:p w14:paraId="24F3BF26" w14:textId="77777777" w:rsidR="009D0006" w:rsidRPr="00F979FC" w:rsidRDefault="009D0006" w:rsidP="00C45093">
            <w:pPr>
              <w:pStyle w:val="Tabletext"/>
              <w:rPr>
                <w:lang w:val="en-US"/>
              </w:rPr>
            </w:pPr>
            <w:r>
              <w:t>61</w:t>
            </w:r>
          </w:p>
        </w:tc>
        <w:tc>
          <w:tcPr>
            <w:tcW w:w="1559" w:type="dxa"/>
            <w:noWrap/>
          </w:tcPr>
          <w:p w14:paraId="35F8E727" w14:textId="77777777" w:rsidR="009D0006" w:rsidRPr="00F979FC" w:rsidRDefault="009D0006" w:rsidP="00C45093">
            <w:pPr>
              <w:pStyle w:val="Tabletext"/>
              <w:rPr>
                <w:lang w:val="en-US"/>
              </w:rPr>
            </w:pPr>
            <w:r>
              <w:t>10.1</w:t>
            </w:r>
          </w:p>
        </w:tc>
      </w:tr>
      <w:tr w:rsidR="009D0006" w:rsidRPr="00F979FC" w14:paraId="7545ED1D"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111605C" w14:textId="77777777" w:rsidR="009D0006" w:rsidRPr="00096A79" w:rsidRDefault="009D0006" w:rsidP="00C45093">
            <w:pPr>
              <w:pStyle w:val="Tabletext"/>
              <w:rPr>
                <w:b/>
                <w:bCs/>
                <w:lang w:val="en-US"/>
              </w:rPr>
            </w:pPr>
            <w:r>
              <w:t>Someone else</w:t>
            </w:r>
          </w:p>
        </w:tc>
        <w:tc>
          <w:tcPr>
            <w:tcW w:w="1559" w:type="dxa"/>
            <w:noWrap/>
          </w:tcPr>
          <w:p w14:paraId="02AA788D" w14:textId="77777777" w:rsidR="009D0006" w:rsidRPr="00F979FC" w:rsidRDefault="009D0006" w:rsidP="00C45093">
            <w:pPr>
              <w:pStyle w:val="Tabletext"/>
              <w:rPr>
                <w:b/>
                <w:bCs/>
                <w:lang w:val="en-US"/>
              </w:rPr>
            </w:pPr>
            <w:r>
              <w:t>47</w:t>
            </w:r>
          </w:p>
        </w:tc>
        <w:tc>
          <w:tcPr>
            <w:tcW w:w="1559" w:type="dxa"/>
            <w:noWrap/>
          </w:tcPr>
          <w:p w14:paraId="60DF6581" w14:textId="77777777" w:rsidR="009D0006" w:rsidRPr="00F979FC" w:rsidRDefault="009D0006" w:rsidP="00C45093">
            <w:pPr>
              <w:pStyle w:val="Tabletext"/>
              <w:rPr>
                <w:lang w:val="en-US"/>
              </w:rPr>
            </w:pPr>
            <w:r>
              <w:t>7.7</w:t>
            </w:r>
          </w:p>
        </w:tc>
      </w:tr>
      <w:tr w:rsidR="009D0006" w:rsidRPr="00F979FC" w14:paraId="42DC21F3"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6A66DEB" w14:textId="77777777" w:rsidR="009D0006" w:rsidRPr="00096A79" w:rsidRDefault="009D0006" w:rsidP="00C45093">
            <w:pPr>
              <w:pStyle w:val="Tabletext"/>
              <w:rPr>
                <w:lang w:val="en-US"/>
              </w:rPr>
            </w:pPr>
            <w:r>
              <w:t>Principal or executive team</w:t>
            </w:r>
          </w:p>
        </w:tc>
        <w:tc>
          <w:tcPr>
            <w:tcW w:w="1559" w:type="dxa"/>
            <w:noWrap/>
          </w:tcPr>
          <w:p w14:paraId="09D397EE" w14:textId="77777777" w:rsidR="009D0006" w:rsidRPr="00F979FC" w:rsidRDefault="009D0006" w:rsidP="00C45093">
            <w:pPr>
              <w:pStyle w:val="Tabletext"/>
              <w:rPr>
                <w:lang w:val="en-US"/>
              </w:rPr>
            </w:pPr>
            <w:r>
              <w:t>14</w:t>
            </w:r>
          </w:p>
        </w:tc>
        <w:tc>
          <w:tcPr>
            <w:tcW w:w="1559" w:type="dxa"/>
            <w:noWrap/>
          </w:tcPr>
          <w:p w14:paraId="15784AD9" w14:textId="77777777" w:rsidR="009D0006" w:rsidRPr="00F979FC" w:rsidRDefault="009D0006" w:rsidP="00C45093">
            <w:pPr>
              <w:pStyle w:val="Tabletext"/>
              <w:rPr>
                <w:lang w:val="en-US"/>
              </w:rPr>
            </w:pPr>
            <w:r>
              <w:t>2.3</w:t>
            </w:r>
          </w:p>
        </w:tc>
      </w:tr>
      <w:tr w:rsidR="009D0006" w:rsidRPr="00F979FC" w14:paraId="421161FB"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120F4D2F" w14:textId="77777777" w:rsidR="009D0006" w:rsidRPr="00096A79" w:rsidRDefault="009D0006" w:rsidP="00C45093">
            <w:pPr>
              <w:pStyle w:val="Tabletext"/>
              <w:rPr>
                <w:b/>
                <w:lang w:val="en-US"/>
              </w:rPr>
            </w:pPr>
            <w:r>
              <w:t>School nurse or counsellor</w:t>
            </w:r>
          </w:p>
        </w:tc>
        <w:tc>
          <w:tcPr>
            <w:tcW w:w="1559" w:type="dxa"/>
            <w:noWrap/>
          </w:tcPr>
          <w:p w14:paraId="7010B8BF" w14:textId="77777777" w:rsidR="009D0006" w:rsidRPr="00F979FC" w:rsidRDefault="009D0006" w:rsidP="00C45093">
            <w:pPr>
              <w:pStyle w:val="Tabletext"/>
              <w:rPr>
                <w:b/>
                <w:lang w:val="en-US"/>
              </w:rPr>
            </w:pPr>
            <w:r>
              <w:t>7</w:t>
            </w:r>
          </w:p>
        </w:tc>
        <w:tc>
          <w:tcPr>
            <w:tcW w:w="1559" w:type="dxa"/>
            <w:noWrap/>
          </w:tcPr>
          <w:p w14:paraId="4C8C6BD3" w14:textId="77777777" w:rsidR="009D0006" w:rsidRPr="00F979FC" w:rsidRDefault="009D0006" w:rsidP="00C45093">
            <w:pPr>
              <w:pStyle w:val="Tabletext"/>
              <w:rPr>
                <w:b/>
                <w:lang w:val="en-US"/>
              </w:rPr>
            </w:pPr>
            <w:r>
              <w:t>1.2</w:t>
            </w:r>
          </w:p>
        </w:tc>
      </w:tr>
      <w:tr w:rsidR="009D0006" w:rsidRPr="00F979FC" w14:paraId="2966363A"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FE8BC57" w14:textId="77777777" w:rsidR="009D0006" w:rsidRPr="00096A79" w:rsidRDefault="009D0006" w:rsidP="00C45093">
            <w:pPr>
              <w:pStyle w:val="Tabletext"/>
              <w:rPr>
                <w:lang w:val="en-US"/>
              </w:rPr>
            </w:pPr>
            <w:r>
              <w:t>Other schoo</w:t>
            </w:r>
            <w:r>
              <w:lastRenderedPageBreak/>
              <w:t>l staff</w:t>
            </w:r>
          </w:p>
        </w:tc>
        <w:tc>
          <w:tcPr>
            <w:tcW w:w="1559" w:type="dxa"/>
            <w:noWrap/>
          </w:tcPr>
          <w:p w14:paraId="0E8E2D80" w14:textId="77777777" w:rsidR="009D0006" w:rsidRPr="00F979FC" w:rsidRDefault="009D0006" w:rsidP="00C45093">
            <w:pPr>
              <w:pStyle w:val="Tabletext"/>
              <w:rPr>
                <w:lang w:val="en-US"/>
              </w:rPr>
            </w:pPr>
            <w:r>
              <w:t>4</w:t>
            </w:r>
          </w:p>
        </w:tc>
        <w:tc>
          <w:tcPr>
            <w:tcW w:w="1559" w:type="dxa"/>
            <w:noWrap/>
          </w:tcPr>
          <w:p w14:paraId="7F743D72" w14:textId="77777777" w:rsidR="009D0006" w:rsidRPr="00F979FC" w:rsidRDefault="009D0006" w:rsidP="00C45093">
            <w:pPr>
              <w:pStyle w:val="Tabletext"/>
              <w:rPr>
                <w:lang w:val="en-US"/>
              </w:rPr>
            </w:pPr>
            <w:r>
              <w:t>0.7</w:t>
            </w:r>
          </w:p>
        </w:tc>
      </w:tr>
      <w:tr w:rsidR="009D0006" w:rsidRPr="00F979FC" w14:paraId="1FAD1691"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13B13A1" w14:textId="77777777" w:rsidR="009D0006" w:rsidRPr="00096A79" w:rsidRDefault="009D0006" w:rsidP="00C45093">
            <w:pPr>
              <w:pStyle w:val="Tabletext"/>
              <w:rPr>
                <w:lang w:val="en-US"/>
              </w:rPr>
            </w:pPr>
            <w:r>
              <w:t>Prefer not to say</w:t>
            </w:r>
          </w:p>
        </w:tc>
        <w:tc>
          <w:tcPr>
            <w:tcW w:w="1559" w:type="dxa"/>
            <w:noWrap/>
          </w:tcPr>
          <w:p w14:paraId="626CE90B" w14:textId="77777777" w:rsidR="009D0006" w:rsidRPr="00F979FC" w:rsidRDefault="009D0006" w:rsidP="00C45093">
            <w:pPr>
              <w:pStyle w:val="Tabletext"/>
              <w:rPr>
                <w:lang w:val="en-US"/>
              </w:rPr>
            </w:pPr>
            <w:r>
              <w:t>26</w:t>
            </w:r>
          </w:p>
        </w:tc>
        <w:tc>
          <w:tcPr>
            <w:tcW w:w="1559" w:type="dxa"/>
            <w:noWrap/>
          </w:tcPr>
          <w:p w14:paraId="073537DF" w14:textId="77777777" w:rsidR="009D0006" w:rsidRPr="00F979FC" w:rsidRDefault="009D0006" w:rsidP="00C45093">
            <w:pPr>
              <w:pStyle w:val="Tabletext"/>
              <w:rPr>
                <w:lang w:val="en-US"/>
              </w:rPr>
            </w:pPr>
            <w:r>
              <w:t>4.3</w:t>
            </w:r>
          </w:p>
        </w:tc>
      </w:tr>
    </w:tbl>
    <w:p w14:paraId="4E478720" w14:textId="77777777" w:rsidR="009D0006" w:rsidRPr="00C45093" w:rsidRDefault="009D0006" w:rsidP="00C45093">
      <w:pPr>
        <w:pStyle w:val="TableTextNotebelow"/>
        <w:rPr>
          <w:i/>
        </w:rPr>
      </w:pPr>
      <w:r w:rsidRPr="00C45093">
        <w:rPr>
          <w:i/>
        </w:rPr>
        <w:t>Note: Multiple responses were available thus percentages do not add up to 100.</w:t>
      </w:r>
    </w:p>
    <w:p w14:paraId="0DDF2B23" w14:textId="77777777" w:rsidR="009D0006" w:rsidRDefault="009D0006" w:rsidP="001153FB">
      <w:pPr>
        <w:spacing w:before="360"/>
      </w:pPr>
      <w:bookmarkStart w:id="491" w:name="_Toc94628074"/>
      <w:r w:rsidRPr="004D09D9">
        <w:t xml:space="preserve">As shown in Table </w:t>
      </w:r>
      <w:r>
        <w:t>41</w:t>
      </w:r>
      <w:r w:rsidRPr="004D09D9">
        <w:t xml:space="preserve">, </w:t>
      </w:r>
      <w:r w:rsidRPr="004D09D9">
        <w:rPr>
          <w:lang w:val="en-GB"/>
        </w:rPr>
        <w:t>participants</w:t>
      </w:r>
      <w:r w:rsidRPr="005F5610">
        <w:rPr>
          <w:lang w:val="en-GB"/>
        </w:rPr>
        <w:t xml:space="preserve"> with disability in </w:t>
      </w:r>
      <w:r w:rsidRPr="004D09D9">
        <w:rPr>
          <w:i/>
          <w:iCs/>
          <w:lang w:val="en-GB"/>
        </w:rPr>
        <w:t>Writing Themselves In 4</w:t>
      </w:r>
      <w:r w:rsidRPr="005F5610">
        <w:rPr>
          <w:lang w:val="en-GB"/>
        </w:rPr>
        <w:t xml:space="preserve"> who had experienced harassment </w:t>
      </w:r>
      <w:r>
        <w:rPr>
          <w:lang w:val="en-GB"/>
        </w:rPr>
        <w:t xml:space="preserve">or assault </w:t>
      </w:r>
      <w:r w:rsidRPr="005F5610">
        <w:rPr>
          <w:lang w:val="en-GB"/>
        </w:rPr>
        <w:t>in an education setting</w:t>
      </w:r>
      <w:r>
        <w:rPr>
          <w:lang w:val="en-GB"/>
        </w:rPr>
        <w:t xml:space="preserve"> in the past 12 months</w:t>
      </w:r>
      <w:r w:rsidRPr="005F5610">
        <w:rPr>
          <w:lang w:val="en-GB"/>
        </w:rPr>
        <w:t xml:space="preserve"> most frequently reported this harassment to be perpetrated by a student or students from their year (80.2%; n = 487), followed by a student or students from another year (48.8%; n = 296), by a teacher or teachers (10.1%; n = 61), by someone else not listed (7.7%; n = 47), by the principal or someone from the executive team (2.3%; n = 14), by the school nurse or counsellor (1.2%; n = 7) and by other school staff (0.7%; n = 4). Among participants who had experience</w:t>
      </w:r>
      <w:r>
        <w:t>d</w:t>
      </w:r>
      <w:r w:rsidRPr="005F5610">
        <w:rPr>
          <w:lang w:val="en-GB"/>
        </w:rPr>
        <w:t xml:space="preserve"> harassment </w:t>
      </w:r>
      <w:r>
        <w:rPr>
          <w:lang w:val="en-GB"/>
        </w:rPr>
        <w:t>or assault</w:t>
      </w:r>
      <w:r w:rsidRPr="005F5610">
        <w:rPr>
          <w:lang w:val="en-GB"/>
        </w:rPr>
        <w:t xml:space="preserve"> in an education setting, 4.3% (n = 26) preferred not to disclose who the perpetrator was.</w:t>
      </w:r>
      <w:bookmarkStart w:id="492" w:name="_Toc58252094"/>
      <w:bookmarkEnd w:id="491"/>
    </w:p>
    <w:p w14:paraId="4586995C" w14:textId="79179FB6" w:rsidR="009D0006" w:rsidRPr="000073E5" w:rsidRDefault="009D0006" w:rsidP="00153892">
      <w:pPr>
        <w:pStyle w:val="Heading3Numbered"/>
      </w:pPr>
      <w:bookmarkStart w:id="493" w:name="_Toc115968565"/>
      <w:r w:rsidRPr="000073E5">
        <w:t xml:space="preserve">Perpetrators of harassment </w:t>
      </w:r>
      <w:r>
        <w:t xml:space="preserve">or assault </w:t>
      </w:r>
      <w:r w:rsidRPr="000073E5">
        <w:t>at work</w:t>
      </w:r>
      <w:bookmarkEnd w:id="492"/>
      <w:r w:rsidRPr="000073E5">
        <w:t xml:space="preserve"> – young people aged 14-21 years</w:t>
      </w:r>
      <w:bookmarkEnd w:id="493"/>
    </w:p>
    <w:p w14:paraId="57B62860" w14:textId="77777777" w:rsidR="009D0006" w:rsidRDefault="009D0006" w:rsidP="009D0006">
      <w:r w:rsidRPr="000073E5">
        <w:rPr>
          <w:lang w:val="en-GB"/>
        </w:rPr>
        <w:t xml:space="preserve">Those who had experienced harassment or </w:t>
      </w:r>
      <w:r>
        <w:rPr>
          <w:lang w:val="en-GB"/>
        </w:rPr>
        <w:t>assault</w:t>
      </w:r>
      <w:r w:rsidRPr="000073E5">
        <w:rPr>
          <w:lang w:val="en-GB"/>
        </w:rPr>
        <w:t xml:space="preserve"> at work were asked to indicate the perpetrator</w:t>
      </w:r>
      <w:r>
        <w:rPr>
          <w:lang w:val="en-GB"/>
        </w:rPr>
        <w:t>s</w:t>
      </w:r>
      <w:r w:rsidRPr="000073E5">
        <w:rPr>
          <w:lang w:val="en-GB"/>
        </w:rPr>
        <w:t xml:space="preserve">. Results are shown in </w:t>
      </w:r>
      <w:r>
        <w:rPr>
          <w:lang w:val="en-GB"/>
        </w:rPr>
        <w:t>T</w:t>
      </w:r>
      <w:r w:rsidRPr="000073E5">
        <w:rPr>
          <w:lang w:val="en-GB"/>
        </w:rPr>
        <w:t xml:space="preserve">able </w:t>
      </w:r>
      <w:r>
        <w:rPr>
          <w:lang w:val="en-GB"/>
        </w:rPr>
        <w:t>42</w:t>
      </w:r>
      <w:r w:rsidRPr="000073E5">
        <w:rPr>
          <w:lang w:val="en-GB"/>
        </w:rPr>
        <w:t xml:space="preserve">. </w:t>
      </w:r>
      <w:r w:rsidRPr="000073E5">
        <w:t>Multiple responses were permitted.</w:t>
      </w:r>
    </w:p>
    <w:p w14:paraId="321D7FA9" w14:textId="77777777" w:rsidR="009D0006" w:rsidRDefault="009D0006" w:rsidP="001153FB">
      <w:pPr>
        <w:pStyle w:val="Tableheading"/>
      </w:pPr>
      <w:bookmarkStart w:id="494" w:name="_Toc117062760"/>
      <w:bookmarkStart w:id="495" w:name="_Toc119651445"/>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42</w:t>
      </w:r>
      <w:r w:rsidRPr="004D09D9">
        <w:rPr>
          <w:bCs/>
        </w:rPr>
        <w:fldChar w:fldCharType="end"/>
      </w:r>
      <w:r>
        <w:t xml:space="preserve">: </w:t>
      </w:r>
      <w:r w:rsidRPr="000073E5">
        <w:t xml:space="preserve">Perpetrators of harassment </w:t>
      </w:r>
      <w:r>
        <w:t xml:space="preserve">or assault </w:t>
      </w:r>
      <w:r w:rsidRPr="000073E5">
        <w:t>at work</w:t>
      </w:r>
      <w:r>
        <w:t xml:space="preserve"> among young people with disability aged 14-21 years (n = 140)</w:t>
      </w:r>
      <w:bookmarkEnd w:id="494"/>
      <w:bookmarkEnd w:id="495"/>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3A65D27B" w14:textId="77777777" w:rsidTr="00C45093">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0B741ED" w14:textId="77777777" w:rsidR="009D0006" w:rsidRPr="00F979FC" w:rsidRDefault="009D0006" w:rsidP="00747848">
            <w:pPr>
              <w:pStyle w:val="Tableheader"/>
              <w:rPr>
                <w:lang w:val="en-US"/>
              </w:rPr>
            </w:pPr>
            <w:r>
              <w:rPr>
                <w:lang w:val="en-US"/>
              </w:rPr>
              <w:t>Perpetrator</w:t>
            </w:r>
          </w:p>
        </w:tc>
        <w:tc>
          <w:tcPr>
            <w:tcW w:w="1559" w:type="dxa"/>
            <w:noWrap/>
            <w:hideMark/>
          </w:tcPr>
          <w:p w14:paraId="0168EF2D" w14:textId="77777777" w:rsidR="009D0006" w:rsidRPr="00F979FC" w:rsidRDefault="009D0006" w:rsidP="00747848">
            <w:pPr>
              <w:pStyle w:val="Tableheader"/>
              <w:rPr>
                <w:lang w:val="en-US"/>
              </w:rPr>
            </w:pPr>
            <w:r>
              <w:rPr>
                <w:lang w:val="en-US"/>
              </w:rPr>
              <w:t>n</w:t>
            </w:r>
          </w:p>
        </w:tc>
        <w:tc>
          <w:tcPr>
            <w:tcW w:w="1559" w:type="dxa"/>
            <w:noWrap/>
            <w:hideMark/>
          </w:tcPr>
          <w:p w14:paraId="31AC4F2A" w14:textId="77777777" w:rsidR="009D0006" w:rsidRPr="00F979FC" w:rsidRDefault="009D0006" w:rsidP="00747848">
            <w:pPr>
              <w:pStyle w:val="Tableheader"/>
              <w:rPr>
                <w:lang w:val="en-US"/>
              </w:rPr>
            </w:pPr>
            <w:r w:rsidRPr="00F979FC">
              <w:rPr>
                <w:lang w:val="en-US"/>
              </w:rPr>
              <w:t>%</w:t>
            </w:r>
          </w:p>
        </w:tc>
      </w:tr>
      <w:tr w:rsidR="009D0006" w:rsidRPr="00096A79" w14:paraId="2F57BD3F"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F487DF4" w14:textId="77777777" w:rsidR="009D0006" w:rsidRPr="00096A79" w:rsidRDefault="009D0006" w:rsidP="00747848">
            <w:pPr>
              <w:pStyle w:val="Tabletext"/>
              <w:rPr>
                <w:b/>
                <w:bCs/>
                <w:lang w:val="en-US"/>
              </w:rPr>
            </w:pPr>
            <w:r>
              <w:t>Customer or visitor</w:t>
            </w:r>
          </w:p>
        </w:tc>
        <w:tc>
          <w:tcPr>
            <w:tcW w:w="1559" w:type="dxa"/>
            <w:noWrap/>
            <w:hideMark/>
          </w:tcPr>
          <w:p w14:paraId="4B14E3E3" w14:textId="77777777" w:rsidR="009D0006" w:rsidRPr="00096A79" w:rsidRDefault="009D0006" w:rsidP="00747848">
            <w:pPr>
              <w:pStyle w:val="Tabletext"/>
              <w:rPr>
                <w:b/>
                <w:bCs/>
                <w:lang w:val="en-US"/>
              </w:rPr>
            </w:pPr>
            <w:r>
              <w:t>71</w:t>
            </w:r>
          </w:p>
        </w:tc>
        <w:tc>
          <w:tcPr>
            <w:tcW w:w="1559" w:type="dxa"/>
            <w:noWrap/>
            <w:hideMark/>
          </w:tcPr>
          <w:p w14:paraId="7B776B2E" w14:textId="77777777" w:rsidR="009D0006" w:rsidRPr="00096A79" w:rsidRDefault="009D0006" w:rsidP="00747848">
            <w:pPr>
              <w:pStyle w:val="Tabletext"/>
              <w:rPr>
                <w:lang w:val="en-US"/>
              </w:rPr>
            </w:pPr>
            <w:r>
              <w:t>50.7</w:t>
            </w:r>
          </w:p>
        </w:tc>
      </w:tr>
      <w:tr w:rsidR="009D0006" w:rsidRPr="00096A79" w14:paraId="31BC274E"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403E557" w14:textId="77777777" w:rsidR="009D0006" w:rsidRPr="00096A79" w:rsidRDefault="009D0006" w:rsidP="00747848">
            <w:pPr>
              <w:pStyle w:val="Tabletext"/>
              <w:rPr>
                <w:lang w:val="en-US"/>
              </w:rPr>
            </w:pPr>
            <w:r>
              <w:t>Co-worker</w:t>
            </w:r>
          </w:p>
        </w:tc>
        <w:tc>
          <w:tcPr>
            <w:tcW w:w="1559" w:type="dxa"/>
            <w:noWrap/>
          </w:tcPr>
          <w:p w14:paraId="34821113" w14:textId="77777777" w:rsidR="009D0006" w:rsidRPr="00096A79" w:rsidRDefault="009D0006" w:rsidP="00747848">
            <w:pPr>
              <w:pStyle w:val="Tabletext"/>
              <w:rPr>
                <w:lang w:val="en-US"/>
              </w:rPr>
            </w:pPr>
            <w:r>
              <w:t>66</w:t>
            </w:r>
          </w:p>
        </w:tc>
        <w:tc>
          <w:tcPr>
            <w:tcW w:w="1559" w:type="dxa"/>
            <w:noWrap/>
          </w:tcPr>
          <w:p w14:paraId="7CD5D0E7" w14:textId="77777777" w:rsidR="009D0006" w:rsidRPr="00096A79" w:rsidRDefault="009D0006" w:rsidP="00747848">
            <w:pPr>
              <w:pStyle w:val="Tabletext"/>
              <w:rPr>
                <w:lang w:val="en-US"/>
              </w:rPr>
            </w:pPr>
            <w:r>
              <w:t>47.1</w:t>
            </w:r>
          </w:p>
        </w:tc>
      </w:tr>
      <w:tr w:rsidR="009D0006" w:rsidRPr="00096A79" w14:paraId="51B7E06D"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A3C98B4" w14:textId="77777777" w:rsidR="009D0006" w:rsidRPr="00096A79" w:rsidRDefault="009D0006" w:rsidP="00747848">
            <w:pPr>
              <w:pStyle w:val="Tabletext"/>
              <w:rPr>
                <w:lang w:val="en-US"/>
              </w:rPr>
            </w:pPr>
            <w:r>
              <w:t>Manager</w:t>
            </w:r>
          </w:p>
        </w:tc>
        <w:tc>
          <w:tcPr>
            <w:tcW w:w="1559" w:type="dxa"/>
            <w:noWrap/>
          </w:tcPr>
          <w:p w14:paraId="21BB022A" w14:textId="77777777" w:rsidR="009D0006" w:rsidRPr="00096A79" w:rsidRDefault="009D0006" w:rsidP="00747848">
            <w:pPr>
              <w:pStyle w:val="Tabletext"/>
              <w:rPr>
                <w:lang w:val="en-US"/>
              </w:rPr>
            </w:pPr>
            <w:r>
              <w:t>30</w:t>
            </w:r>
          </w:p>
        </w:tc>
        <w:tc>
          <w:tcPr>
            <w:tcW w:w="1559" w:type="dxa"/>
            <w:noWrap/>
          </w:tcPr>
          <w:p w14:paraId="1E4ED7C2" w14:textId="77777777" w:rsidR="009D0006" w:rsidRPr="00096A79" w:rsidRDefault="009D0006" w:rsidP="00747848">
            <w:pPr>
              <w:pStyle w:val="Tabletext"/>
              <w:rPr>
                <w:lang w:val="en-US"/>
              </w:rPr>
            </w:pPr>
            <w:r>
              <w:t>21.4</w:t>
            </w:r>
          </w:p>
        </w:tc>
      </w:tr>
      <w:tr w:rsidR="009D0006" w:rsidRPr="00096A79" w14:paraId="1D0F3E52"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1629A338" w14:textId="77777777" w:rsidR="009D0006" w:rsidRPr="00096A79" w:rsidRDefault="009D0006" w:rsidP="00747848">
            <w:pPr>
              <w:pStyle w:val="Tabletext"/>
              <w:rPr>
                <w:b/>
                <w:bCs/>
                <w:lang w:val="en-US"/>
              </w:rPr>
            </w:pPr>
            <w:r>
              <w:t>Other staff member</w:t>
            </w:r>
          </w:p>
        </w:tc>
        <w:tc>
          <w:tcPr>
            <w:tcW w:w="1559" w:type="dxa"/>
            <w:noWrap/>
          </w:tcPr>
          <w:p w14:paraId="56676B37" w14:textId="77777777" w:rsidR="009D0006" w:rsidRPr="00096A79" w:rsidRDefault="009D0006" w:rsidP="00747848">
            <w:pPr>
              <w:pStyle w:val="Tabletext"/>
              <w:rPr>
                <w:b/>
                <w:bCs/>
                <w:lang w:val="en-US"/>
              </w:rPr>
            </w:pPr>
            <w:r>
              <w:t>16</w:t>
            </w:r>
          </w:p>
        </w:tc>
        <w:tc>
          <w:tcPr>
            <w:tcW w:w="1559" w:type="dxa"/>
            <w:noWrap/>
          </w:tcPr>
          <w:p w14:paraId="58890EF2" w14:textId="77777777" w:rsidR="009D0006" w:rsidRPr="00096A79" w:rsidRDefault="009D0006" w:rsidP="00747848">
            <w:pPr>
              <w:pStyle w:val="Tabletext"/>
              <w:rPr>
                <w:lang w:val="en-US"/>
              </w:rPr>
            </w:pPr>
            <w:r>
              <w:t>11.4</w:t>
            </w:r>
          </w:p>
        </w:tc>
      </w:tr>
      <w:tr w:rsidR="009D0006" w:rsidRPr="00096A79" w14:paraId="0ECC951D" w14:textId="77777777" w:rsidTr="00C45093">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CD6928C" w14:textId="77777777" w:rsidR="009D0006" w:rsidRPr="00096A79" w:rsidRDefault="009D0006" w:rsidP="00747848">
            <w:pPr>
              <w:pStyle w:val="Tabletext"/>
              <w:rPr>
                <w:lang w:val="en-US"/>
              </w:rPr>
            </w:pPr>
            <w:r>
              <w:t>Someone else</w:t>
            </w:r>
          </w:p>
        </w:tc>
        <w:tc>
          <w:tcPr>
            <w:tcW w:w="1559" w:type="dxa"/>
            <w:noWrap/>
          </w:tcPr>
          <w:p w14:paraId="7EC0FEFD" w14:textId="77777777" w:rsidR="009D0006" w:rsidRPr="00096A79" w:rsidRDefault="009D0006" w:rsidP="00747848">
            <w:pPr>
              <w:pStyle w:val="Tabletext"/>
              <w:rPr>
                <w:lang w:val="en-US"/>
              </w:rPr>
            </w:pPr>
            <w:r>
              <w:t>8</w:t>
            </w:r>
          </w:p>
        </w:tc>
        <w:tc>
          <w:tcPr>
            <w:tcW w:w="1559" w:type="dxa"/>
            <w:noWrap/>
          </w:tcPr>
          <w:p w14:paraId="4D03331C" w14:textId="77777777" w:rsidR="009D0006" w:rsidRPr="00096A79" w:rsidRDefault="009D0006" w:rsidP="00747848">
            <w:pPr>
              <w:pStyle w:val="Tabletext"/>
              <w:rPr>
                <w:lang w:val="en-US"/>
              </w:rPr>
            </w:pPr>
            <w:r>
              <w:t>5.7</w:t>
            </w:r>
          </w:p>
        </w:tc>
      </w:tr>
      <w:tr w:rsidR="009D0006" w:rsidRPr="00096A79" w14:paraId="67F6177A" w14:textId="77777777" w:rsidTr="00C45093">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9812824" w14:textId="77777777" w:rsidR="009D0006" w:rsidRPr="00096A79" w:rsidRDefault="009D0006" w:rsidP="00747848">
            <w:pPr>
              <w:pStyle w:val="Tabletext"/>
              <w:rPr>
                <w:lang w:val="en-US"/>
              </w:rPr>
            </w:pPr>
            <w:r>
              <w:t>Prefer not to say</w:t>
            </w:r>
          </w:p>
        </w:tc>
        <w:tc>
          <w:tcPr>
            <w:tcW w:w="1559" w:type="dxa"/>
            <w:noWrap/>
          </w:tcPr>
          <w:p w14:paraId="4AEDC62B" w14:textId="77777777" w:rsidR="009D0006" w:rsidRPr="00096A79" w:rsidRDefault="009D0006" w:rsidP="00747848">
            <w:pPr>
              <w:pStyle w:val="Tabletext"/>
              <w:rPr>
                <w:lang w:val="en-US"/>
              </w:rPr>
            </w:pPr>
            <w:r>
              <w:t>4</w:t>
            </w:r>
          </w:p>
        </w:tc>
        <w:tc>
          <w:tcPr>
            <w:tcW w:w="1559" w:type="dxa"/>
            <w:noWrap/>
          </w:tcPr>
          <w:p w14:paraId="1ED83857" w14:textId="77777777" w:rsidR="009D0006" w:rsidRPr="00096A79" w:rsidRDefault="009D0006" w:rsidP="00747848">
            <w:pPr>
              <w:pStyle w:val="Tabletext"/>
              <w:rPr>
                <w:lang w:val="en-US"/>
              </w:rPr>
            </w:pPr>
            <w:r>
              <w:t>2.9</w:t>
            </w:r>
          </w:p>
        </w:tc>
      </w:tr>
    </w:tbl>
    <w:p w14:paraId="66EF9429" w14:textId="77777777" w:rsidR="009D0006" w:rsidRPr="00747848" w:rsidRDefault="009D0006" w:rsidP="00747848">
      <w:pPr>
        <w:pStyle w:val="TableTextNotebelow"/>
        <w:rPr>
          <w:i/>
        </w:rPr>
      </w:pPr>
      <w:r w:rsidRPr="00747848">
        <w:rPr>
          <w:i/>
        </w:rPr>
        <w:t>Note: Multiple responses were available thus percentages do not add up to 100.</w:t>
      </w:r>
    </w:p>
    <w:p w14:paraId="644D137F" w14:textId="77777777" w:rsidR="009D0006" w:rsidRPr="000073E5" w:rsidRDefault="009D0006" w:rsidP="001153FB">
      <w:pPr>
        <w:spacing w:before="360"/>
      </w:pPr>
      <w:r>
        <w:t>As shown in Table 42, participants</w:t>
      </w:r>
      <w:r w:rsidRPr="000073E5">
        <w:t xml:space="preserve"> who </w:t>
      </w:r>
      <w:r>
        <w:t>had</w:t>
      </w:r>
      <w:r w:rsidRPr="000073E5">
        <w:t xml:space="preserve"> experienc</w:t>
      </w:r>
      <w:r>
        <w:t>ed</w:t>
      </w:r>
      <w:r w:rsidRPr="000073E5">
        <w:t xml:space="preserve"> harassment </w:t>
      </w:r>
      <w:r>
        <w:rPr>
          <w:lang w:val="en-GB"/>
        </w:rPr>
        <w:t>or assault</w:t>
      </w:r>
      <w:r w:rsidRPr="000073E5">
        <w:t xml:space="preserve"> at work in the past 12 months, </w:t>
      </w:r>
      <w:r>
        <w:t>most frequently reported this harassment to be perpetrated by a customer or visitor (50.7%; n = 71), followed by a co-worker (47.1%; n = 66), by a manager (21</w:t>
      </w:r>
      <w:r>
        <w:lastRenderedPageBreak/>
        <w:t xml:space="preserve">.4%; n = 30), by another staff member (11.4%; n = 16) and by someone else not listed (5.7%; n = 8). Among participants who had experienced harassment </w:t>
      </w:r>
      <w:r>
        <w:rPr>
          <w:lang w:val="en-GB"/>
        </w:rPr>
        <w:t>or assault</w:t>
      </w:r>
      <w:r>
        <w:t xml:space="preserve"> at work, 2.9% (n = 4) preferred not to disclose who the perpetrator was.</w:t>
      </w:r>
    </w:p>
    <w:p w14:paraId="7BF1E3A6" w14:textId="1A5703C7" w:rsidR="009D0006" w:rsidRPr="000073E5" w:rsidRDefault="009D0006" w:rsidP="00153892">
      <w:pPr>
        <w:pStyle w:val="Heading3Numbered"/>
      </w:pPr>
      <w:bookmarkStart w:id="496" w:name="_Toc58252095"/>
      <w:bookmarkStart w:id="497" w:name="_Toc115968566"/>
      <w:r w:rsidRPr="000073E5">
        <w:t xml:space="preserve">Perpetrators of harassment </w:t>
      </w:r>
      <w:r>
        <w:t xml:space="preserve">or assault </w:t>
      </w:r>
      <w:r w:rsidRPr="000073E5">
        <w:t>in the home</w:t>
      </w:r>
      <w:bookmarkEnd w:id="496"/>
      <w:r w:rsidRPr="000073E5">
        <w:t xml:space="preserve"> – young people aged 14-21 years</w:t>
      </w:r>
      <w:bookmarkEnd w:id="497"/>
    </w:p>
    <w:p w14:paraId="09B74275" w14:textId="77777777" w:rsidR="009D0006" w:rsidRPr="000073E5" w:rsidRDefault="009D0006" w:rsidP="009D0006">
      <w:r w:rsidRPr="000073E5">
        <w:t xml:space="preserve">Those who had experienced harassment </w:t>
      </w:r>
      <w:r>
        <w:rPr>
          <w:lang w:val="en-GB"/>
        </w:rPr>
        <w:t>or assault</w:t>
      </w:r>
      <w:r w:rsidRPr="000073E5" w:rsidDel="005D323E">
        <w:t xml:space="preserve"> </w:t>
      </w:r>
      <w:r w:rsidRPr="000073E5">
        <w:t xml:space="preserve">in the home were asked to indicate the perpetrator(s). Results are shown in </w:t>
      </w:r>
      <w:r>
        <w:t>T</w:t>
      </w:r>
      <w:r w:rsidRPr="000073E5">
        <w:t xml:space="preserve">able </w:t>
      </w:r>
      <w:r>
        <w:t>43</w:t>
      </w:r>
      <w:r w:rsidRPr="000073E5">
        <w:t>. Multiple responses were permitted.</w:t>
      </w:r>
    </w:p>
    <w:p w14:paraId="567D2C63" w14:textId="77777777" w:rsidR="009D0006" w:rsidRDefault="009D0006" w:rsidP="001153FB">
      <w:pPr>
        <w:pStyle w:val="Tableheading"/>
      </w:pPr>
      <w:bookmarkStart w:id="498" w:name="_Toc117062761"/>
      <w:bookmarkStart w:id="499" w:name="_Toc119651446"/>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43</w:t>
      </w:r>
      <w:r w:rsidRPr="004D09D9">
        <w:rPr>
          <w:bCs/>
        </w:rPr>
        <w:fldChar w:fldCharType="end"/>
      </w:r>
      <w:r>
        <w:t xml:space="preserve">: </w:t>
      </w:r>
      <w:r w:rsidRPr="000073E5">
        <w:t xml:space="preserve">Perpetrators of harassment </w:t>
      </w:r>
      <w:r>
        <w:t xml:space="preserve">or assault </w:t>
      </w:r>
      <w:r w:rsidRPr="000073E5">
        <w:t>in the home</w:t>
      </w:r>
      <w:r>
        <w:t xml:space="preserve"> among young people with disability aged 14-21 years (n = 563)</w:t>
      </w:r>
      <w:bookmarkEnd w:id="498"/>
      <w:bookmarkEnd w:id="499"/>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11B9AE63" w14:textId="77777777" w:rsidTr="0074784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B1CC069" w14:textId="77777777" w:rsidR="009D0006" w:rsidRPr="00F979FC" w:rsidRDefault="009D0006" w:rsidP="00747848">
            <w:pPr>
              <w:pStyle w:val="Tableheader"/>
              <w:rPr>
                <w:lang w:val="en-US"/>
              </w:rPr>
            </w:pPr>
            <w:r>
              <w:rPr>
                <w:lang w:val="en-US"/>
              </w:rPr>
              <w:t>Perpetrator</w:t>
            </w:r>
          </w:p>
        </w:tc>
        <w:tc>
          <w:tcPr>
            <w:tcW w:w="1559" w:type="dxa"/>
            <w:noWrap/>
            <w:hideMark/>
          </w:tcPr>
          <w:p w14:paraId="390E4BF2" w14:textId="77777777" w:rsidR="009D0006" w:rsidRPr="00F979FC" w:rsidRDefault="009D0006" w:rsidP="00747848">
            <w:pPr>
              <w:pStyle w:val="Tableheader"/>
              <w:rPr>
                <w:lang w:val="en-US"/>
              </w:rPr>
            </w:pPr>
            <w:r>
              <w:rPr>
                <w:lang w:val="en-US"/>
              </w:rPr>
              <w:t>n</w:t>
            </w:r>
          </w:p>
        </w:tc>
        <w:tc>
          <w:tcPr>
            <w:tcW w:w="1559" w:type="dxa"/>
            <w:noWrap/>
            <w:hideMark/>
          </w:tcPr>
          <w:p w14:paraId="7484478C" w14:textId="77777777" w:rsidR="009D0006" w:rsidRPr="00F979FC" w:rsidRDefault="009D0006" w:rsidP="00747848">
            <w:pPr>
              <w:pStyle w:val="Tableheader"/>
              <w:rPr>
                <w:lang w:val="en-US"/>
              </w:rPr>
            </w:pPr>
            <w:r w:rsidRPr="00F979FC">
              <w:rPr>
                <w:lang w:val="en-US"/>
              </w:rPr>
              <w:t>%</w:t>
            </w:r>
          </w:p>
        </w:tc>
      </w:tr>
      <w:tr w:rsidR="009D0006" w:rsidRPr="00F979FC" w14:paraId="7671E95C"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B63CE6E" w14:textId="77777777" w:rsidR="009D0006" w:rsidRPr="00B00964" w:rsidRDefault="009D0006" w:rsidP="00747848">
            <w:pPr>
              <w:pStyle w:val="Tabletext"/>
              <w:rPr>
                <w:b/>
                <w:bCs/>
                <w:lang w:val="en-US"/>
              </w:rPr>
            </w:pPr>
            <w:r>
              <w:t>Parent or carer</w:t>
            </w:r>
          </w:p>
        </w:tc>
        <w:tc>
          <w:tcPr>
            <w:tcW w:w="1559" w:type="dxa"/>
            <w:noWrap/>
            <w:hideMark/>
          </w:tcPr>
          <w:p w14:paraId="5EF309DB" w14:textId="77777777" w:rsidR="009D0006" w:rsidRPr="00F979FC" w:rsidRDefault="009D0006" w:rsidP="00747848">
            <w:pPr>
              <w:pStyle w:val="Tabletext"/>
              <w:rPr>
                <w:b/>
                <w:bCs/>
                <w:lang w:val="en-US"/>
              </w:rPr>
            </w:pPr>
            <w:r>
              <w:t>209</w:t>
            </w:r>
          </w:p>
        </w:tc>
        <w:tc>
          <w:tcPr>
            <w:tcW w:w="1559" w:type="dxa"/>
            <w:noWrap/>
            <w:hideMark/>
          </w:tcPr>
          <w:p w14:paraId="2CCE03BB" w14:textId="77777777" w:rsidR="009D0006" w:rsidRPr="00F979FC" w:rsidRDefault="009D0006" w:rsidP="00747848">
            <w:pPr>
              <w:pStyle w:val="Tabletext"/>
              <w:rPr>
                <w:lang w:val="en-US"/>
              </w:rPr>
            </w:pPr>
            <w:r>
              <w:t>57.4</w:t>
            </w:r>
          </w:p>
        </w:tc>
      </w:tr>
      <w:tr w:rsidR="009D0006" w:rsidRPr="00F979FC" w14:paraId="45384330"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B1252C1" w14:textId="77777777" w:rsidR="009D0006" w:rsidRPr="00B00964" w:rsidRDefault="009D0006" w:rsidP="00747848">
            <w:pPr>
              <w:pStyle w:val="Tabletext"/>
              <w:rPr>
                <w:lang w:val="en-US"/>
              </w:rPr>
            </w:pPr>
            <w:r>
              <w:t>Sibling</w:t>
            </w:r>
          </w:p>
        </w:tc>
        <w:tc>
          <w:tcPr>
            <w:tcW w:w="1559" w:type="dxa"/>
            <w:noWrap/>
          </w:tcPr>
          <w:p w14:paraId="58FD71FB" w14:textId="77777777" w:rsidR="009D0006" w:rsidRPr="00F979FC" w:rsidRDefault="009D0006" w:rsidP="00747848">
            <w:pPr>
              <w:pStyle w:val="Tabletext"/>
              <w:rPr>
                <w:lang w:val="en-US"/>
              </w:rPr>
            </w:pPr>
            <w:r>
              <w:t>118</w:t>
            </w:r>
          </w:p>
        </w:tc>
        <w:tc>
          <w:tcPr>
            <w:tcW w:w="1559" w:type="dxa"/>
            <w:noWrap/>
          </w:tcPr>
          <w:p w14:paraId="0E0A890C" w14:textId="77777777" w:rsidR="009D0006" w:rsidRPr="00F979FC" w:rsidRDefault="009D0006" w:rsidP="00747848">
            <w:pPr>
              <w:pStyle w:val="Tabletext"/>
              <w:rPr>
                <w:lang w:val="en-US"/>
              </w:rPr>
            </w:pPr>
            <w:r>
              <w:t>32.4</w:t>
            </w:r>
          </w:p>
        </w:tc>
      </w:tr>
      <w:tr w:rsidR="009D0006" w:rsidRPr="00F979FC" w14:paraId="4AE4194A"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A765A43" w14:textId="77777777" w:rsidR="009D0006" w:rsidRPr="00B00964" w:rsidRDefault="009D0006" w:rsidP="00747848">
            <w:pPr>
              <w:pStyle w:val="Tabletext"/>
              <w:rPr>
                <w:lang w:val="en-US"/>
              </w:rPr>
            </w:pPr>
            <w:r>
              <w:t>Someone else</w:t>
            </w:r>
          </w:p>
        </w:tc>
        <w:tc>
          <w:tcPr>
            <w:tcW w:w="1559" w:type="dxa"/>
            <w:noWrap/>
          </w:tcPr>
          <w:p w14:paraId="49717D4D" w14:textId="77777777" w:rsidR="009D0006" w:rsidRPr="00F979FC" w:rsidRDefault="009D0006" w:rsidP="00747848">
            <w:pPr>
              <w:pStyle w:val="Tabletext"/>
              <w:rPr>
                <w:lang w:val="en-US"/>
              </w:rPr>
            </w:pPr>
            <w:r>
              <w:t>62</w:t>
            </w:r>
          </w:p>
        </w:tc>
        <w:tc>
          <w:tcPr>
            <w:tcW w:w="1559" w:type="dxa"/>
            <w:noWrap/>
          </w:tcPr>
          <w:p w14:paraId="21E0DF52" w14:textId="77777777" w:rsidR="009D0006" w:rsidRPr="00F979FC" w:rsidRDefault="009D0006" w:rsidP="00747848">
            <w:pPr>
              <w:pStyle w:val="Tabletext"/>
              <w:rPr>
                <w:lang w:val="en-US"/>
              </w:rPr>
            </w:pPr>
            <w:r>
              <w:t>17.0</w:t>
            </w:r>
          </w:p>
        </w:tc>
      </w:tr>
      <w:tr w:rsidR="009D0006" w:rsidRPr="00F979FC" w14:paraId="30ECDF76"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BAB172F" w14:textId="77777777" w:rsidR="009D0006" w:rsidRPr="00B00964" w:rsidRDefault="009D0006" w:rsidP="00747848">
            <w:pPr>
              <w:pStyle w:val="Tabletext"/>
              <w:rPr>
                <w:b/>
                <w:bCs/>
                <w:lang w:val="en-US"/>
              </w:rPr>
            </w:pPr>
            <w:r>
              <w:t>Grandparent or grandparents</w:t>
            </w:r>
          </w:p>
        </w:tc>
        <w:tc>
          <w:tcPr>
            <w:tcW w:w="1559" w:type="dxa"/>
            <w:noWrap/>
          </w:tcPr>
          <w:p w14:paraId="5DA51DBF" w14:textId="77777777" w:rsidR="009D0006" w:rsidRPr="00F979FC" w:rsidRDefault="009D0006" w:rsidP="00747848">
            <w:pPr>
              <w:pStyle w:val="Tabletext"/>
              <w:rPr>
                <w:b/>
                <w:bCs/>
                <w:lang w:val="en-US"/>
              </w:rPr>
            </w:pPr>
            <w:r>
              <w:t>50</w:t>
            </w:r>
          </w:p>
        </w:tc>
        <w:tc>
          <w:tcPr>
            <w:tcW w:w="1559" w:type="dxa"/>
            <w:noWrap/>
          </w:tcPr>
          <w:p w14:paraId="227300A8" w14:textId="77777777" w:rsidR="009D0006" w:rsidRPr="00F979FC" w:rsidRDefault="009D0006" w:rsidP="00747848">
            <w:pPr>
              <w:pStyle w:val="Tabletext"/>
              <w:rPr>
                <w:lang w:val="en-US"/>
              </w:rPr>
            </w:pPr>
            <w:r>
              <w:t>13.7</w:t>
            </w:r>
          </w:p>
        </w:tc>
      </w:tr>
      <w:tr w:rsidR="009D0006" w:rsidRPr="00F979FC" w14:paraId="04801FAB"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A456EB6" w14:textId="77777777" w:rsidR="009D0006" w:rsidRPr="00B00964" w:rsidRDefault="009D0006" w:rsidP="00747848">
            <w:pPr>
              <w:pStyle w:val="Tabletext"/>
              <w:rPr>
                <w:lang w:val="en-US"/>
              </w:rPr>
            </w:pPr>
            <w:r>
              <w:t>Older relative (uncle, aunt)</w:t>
            </w:r>
          </w:p>
        </w:tc>
        <w:tc>
          <w:tcPr>
            <w:tcW w:w="1559" w:type="dxa"/>
            <w:noWrap/>
          </w:tcPr>
          <w:p w14:paraId="24B5027A" w14:textId="77777777" w:rsidR="009D0006" w:rsidRPr="00F979FC" w:rsidRDefault="009D0006" w:rsidP="00747848">
            <w:pPr>
              <w:pStyle w:val="Tabletext"/>
              <w:rPr>
                <w:lang w:val="en-US"/>
              </w:rPr>
            </w:pPr>
            <w:r>
              <w:t>43</w:t>
            </w:r>
          </w:p>
        </w:tc>
        <w:tc>
          <w:tcPr>
            <w:tcW w:w="1559" w:type="dxa"/>
            <w:noWrap/>
          </w:tcPr>
          <w:p w14:paraId="4F2CCB4D" w14:textId="77777777" w:rsidR="009D0006" w:rsidRPr="00F979FC" w:rsidRDefault="009D0006" w:rsidP="00747848">
            <w:pPr>
              <w:pStyle w:val="Tabletext"/>
              <w:rPr>
                <w:lang w:val="en-US"/>
              </w:rPr>
            </w:pPr>
            <w:r>
              <w:t>11.8</w:t>
            </w:r>
          </w:p>
        </w:tc>
      </w:tr>
      <w:tr w:rsidR="009D0006" w:rsidRPr="00F979FC" w14:paraId="068F1504"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24B9CAB" w14:textId="77777777" w:rsidR="009D0006" w:rsidRPr="00B00964" w:rsidRDefault="009D0006" w:rsidP="00747848">
            <w:pPr>
              <w:pStyle w:val="Tabletext"/>
              <w:rPr>
                <w:lang w:val="en-US"/>
              </w:rPr>
            </w:pPr>
            <w:r>
              <w:t>Partner of parent or carer</w:t>
            </w:r>
          </w:p>
        </w:tc>
        <w:tc>
          <w:tcPr>
            <w:tcW w:w="1559" w:type="dxa"/>
            <w:noWrap/>
          </w:tcPr>
          <w:p w14:paraId="69C612C7" w14:textId="77777777" w:rsidR="009D0006" w:rsidRPr="00F979FC" w:rsidRDefault="009D0006" w:rsidP="00747848">
            <w:pPr>
              <w:pStyle w:val="Tabletext"/>
              <w:rPr>
                <w:lang w:val="en-US"/>
              </w:rPr>
            </w:pPr>
            <w:r>
              <w:t>26</w:t>
            </w:r>
          </w:p>
        </w:tc>
        <w:tc>
          <w:tcPr>
            <w:tcW w:w="1559" w:type="dxa"/>
            <w:noWrap/>
          </w:tcPr>
          <w:p w14:paraId="6ECB4125" w14:textId="77777777" w:rsidR="009D0006" w:rsidRPr="00F979FC" w:rsidRDefault="009D0006" w:rsidP="00747848">
            <w:pPr>
              <w:pStyle w:val="Tabletext"/>
              <w:rPr>
                <w:lang w:val="en-US"/>
              </w:rPr>
            </w:pPr>
            <w:r>
              <w:t>7.1</w:t>
            </w:r>
          </w:p>
        </w:tc>
      </w:tr>
      <w:tr w:rsidR="009D0006" w:rsidRPr="00F979FC" w14:paraId="2E5EC5EF"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A25F592" w14:textId="77777777" w:rsidR="009D0006" w:rsidRPr="00B00964" w:rsidRDefault="009D0006" w:rsidP="00747848">
            <w:pPr>
              <w:pStyle w:val="Tabletext"/>
              <w:rPr>
                <w:b/>
                <w:lang w:val="en-US"/>
              </w:rPr>
            </w:pPr>
            <w:r>
              <w:t>Friends of carers or parents</w:t>
            </w:r>
          </w:p>
        </w:tc>
        <w:tc>
          <w:tcPr>
            <w:tcW w:w="1559" w:type="dxa"/>
            <w:noWrap/>
          </w:tcPr>
          <w:p w14:paraId="5D4AC7F1" w14:textId="77777777" w:rsidR="009D0006" w:rsidRPr="00F979FC" w:rsidRDefault="009D0006" w:rsidP="00747848">
            <w:pPr>
              <w:pStyle w:val="Tabletext"/>
              <w:rPr>
                <w:b/>
                <w:lang w:val="en-US"/>
              </w:rPr>
            </w:pPr>
            <w:r>
              <w:t>25</w:t>
            </w:r>
          </w:p>
        </w:tc>
        <w:tc>
          <w:tcPr>
            <w:tcW w:w="1559" w:type="dxa"/>
            <w:noWrap/>
          </w:tcPr>
          <w:p w14:paraId="18E54397" w14:textId="77777777" w:rsidR="009D0006" w:rsidRPr="00F979FC" w:rsidRDefault="009D0006" w:rsidP="00747848">
            <w:pPr>
              <w:pStyle w:val="Tabletext"/>
              <w:rPr>
                <w:b/>
                <w:lang w:val="en-US"/>
              </w:rPr>
            </w:pPr>
            <w:r>
              <w:t>6.9</w:t>
            </w:r>
          </w:p>
        </w:tc>
      </w:tr>
      <w:tr w:rsidR="009D0006" w:rsidRPr="00F979FC" w14:paraId="50B80A16"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4DC1FA5" w14:textId="77777777" w:rsidR="009D0006" w:rsidRPr="00B00964" w:rsidRDefault="009D0006" w:rsidP="00747848">
            <w:pPr>
              <w:pStyle w:val="Tabletext"/>
              <w:rPr>
                <w:lang w:val="en-US"/>
              </w:rPr>
            </w:pPr>
            <w:r>
              <w:t>Prefer not to say</w:t>
            </w:r>
          </w:p>
        </w:tc>
        <w:tc>
          <w:tcPr>
            <w:tcW w:w="1559" w:type="dxa"/>
            <w:noWrap/>
          </w:tcPr>
          <w:p w14:paraId="0BB6AACD" w14:textId="77777777" w:rsidR="009D0006" w:rsidRPr="00F979FC" w:rsidRDefault="009D0006" w:rsidP="00747848">
            <w:pPr>
              <w:pStyle w:val="Tabletext"/>
              <w:rPr>
                <w:lang w:val="en-US"/>
              </w:rPr>
            </w:pPr>
            <w:r>
              <w:t>30</w:t>
            </w:r>
          </w:p>
        </w:tc>
        <w:tc>
          <w:tcPr>
            <w:tcW w:w="1559" w:type="dxa"/>
            <w:noWrap/>
          </w:tcPr>
          <w:p w14:paraId="79C3343D" w14:textId="77777777" w:rsidR="009D0006" w:rsidRPr="00F979FC" w:rsidRDefault="009D0006" w:rsidP="00747848">
            <w:pPr>
              <w:pStyle w:val="Tabletext"/>
              <w:rPr>
                <w:lang w:val="en-US"/>
              </w:rPr>
            </w:pPr>
            <w:r>
              <w:t>8.2</w:t>
            </w:r>
          </w:p>
        </w:tc>
      </w:tr>
    </w:tbl>
    <w:p w14:paraId="3F67C6A2" w14:textId="77777777" w:rsidR="009D0006" w:rsidRPr="00747848" w:rsidRDefault="009D0006" w:rsidP="00747848">
      <w:pPr>
        <w:pStyle w:val="TableTextNotebelow"/>
        <w:rPr>
          <w:i/>
        </w:rPr>
      </w:pPr>
      <w:r w:rsidRPr="00747848">
        <w:rPr>
          <w:i/>
        </w:rPr>
        <w:t>Note: Multiple responses were available thus percentages do not add up to 100.</w:t>
      </w:r>
    </w:p>
    <w:p w14:paraId="195D15DD" w14:textId="77777777" w:rsidR="009D0006" w:rsidRDefault="009D0006" w:rsidP="001153FB">
      <w:pPr>
        <w:spacing w:before="360"/>
      </w:pPr>
      <w:r>
        <w:t xml:space="preserve">As shown in Table 43, participants who had experienced harassment </w:t>
      </w:r>
      <w:r>
        <w:rPr>
          <w:lang w:val="en-GB"/>
        </w:rPr>
        <w:t>or assault</w:t>
      </w:r>
      <w:r>
        <w:t xml:space="preserve"> in the home in the past 12 months, most frequently reported this harassment to be perpetrated by a parent or carer (57.4%; n = 118), followed by a sibling (32.4%; n = 118), by someone else not listed (17.0%; 62), by a grandparent or grandparents (13.7%; n = 50), by an older relative such as an uncle or aunt (11.8%; n = 43), by the partner of a parent or carer (7.1%; n = 26) and by friends of a parent or carer (6.9%; n = 25). Among participants who had experienced harassment </w:t>
      </w:r>
      <w:r>
        <w:rPr>
          <w:lang w:val="en-GB"/>
        </w:rPr>
        <w:t>or assault</w:t>
      </w:r>
      <w:r>
        <w:t xml:space="preserve"> at home, 8.2% (n = 30) preferred not to disclose who the perpetrator was.</w:t>
      </w:r>
      <w:bookmarkStart w:id="500" w:name="_Toc58252096"/>
    </w:p>
    <w:p w14:paraId="231C8785" w14:textId="1738AA1C" w:rsidR="009D0006" w:rsidRPr="000073E5" w:rsidRDefault="009D0006" w:rsidP="00153892">
      <w:pPr>
        <w:pStyle w:val="Heading3Numbered"/>
      </w:pPr>
      <w:bookmarkStart w:id="501" w:name="_Toc115968567"/>
      <w:r w:rsidRPr="000073E5">
        <w:t>Perpetrator</w:t>
      </w:r>
      <w:r w:rsidRPr="000073E5">
        <w:lastRenderedPageBreak/>
        <w:t xml:space="preserve">s of harassment </w:t>
      </w:r>
      <w:r>
        <w:t xml:space="preserve">or assault </w:t>
      </w:r>
      <w:r w:rsidRPr="000073E5">
        <w:t>in sporting contexts</w:t>
      </w:r>
      <w:bookmarkEnd w:id="500"/>
      <w:r w:rsidRPr="000073E5">
        <w:t xml:space="preserve"> – young people aged 14-21 years</w:t>
      </w:r>
      <w:bookmarkEnd w:id="501"/>
    </w:p>
    <w:p w14:paraId="1887B0B1" w14:textId="77777777" w:rsidR="009D0006" w:rsidRDefault="009D0006" w:rsidP="009D0006">
      <w:pPr>
        <w:rPr>
          <w:rFonts w:ascii="Roboto Medium" w:hAnsi="Roboto Medium"/>
          <w:sz w:val="23"/>
        </w:rPr>
      </w:pPr>
      <w:r w:rsidRPr="000073E5">
        <w:rPr>
          <w:lang w:val="en-GB"/>
        </w:rPr>
        <w:t xml:space="preserve">Those who had experienced </w:t>
      </w:r>
      <w:r w:rsidRPr="003D69E3">
        <w:rPr>
          <w:lang w:val="en-GB"/>
        </w:rPr>
        <w:t xml:space="preserve">harassment </w:t>
      </w:r>
      <w:r>
        <w:rPr>
          <w:lang w:val="en-GB"/>
        </w:rPr>
        <w:t>or assault</w:t>
      </w:r>
      <w:r w:rsidRPr="003D69E3" w:rsidDel="0083592D">
        <w:rPr>
          <w:lang w:val="en-GB"/>
        </w:rPr>
        <w:t xml:space="preserve"> </w:t>
      </w:r>
      <w:r w:rsidRPr="003D69E3">
        <w:rPr>
          <w:lang w:val="en-GB"/>
        </w:rPr>
        <w:t>in sporting contexts were asked to indicate the perpetrator</w:t>
      </w:r>
      <w:r>
        <w:rPr>
          <w:lang w:val="en-GB"/>
        </w:rPr>
        <w:t xml:space="preserve"> or perpetrators</w:t>
      </w:r>
      <w:r w:rsidRPr="003D69E3">
        <w:rPr>
          <w:lang w:val="en-GB"/>
        </w:rPr>
        <w:t xml:space="preserve">. Results are shown in </w:t>
      </w:r>
      <w:r>
        <w:rPr>
          <w:lang w:val="en-GB"/>
        </w:rPr>
        <w:t>T</w:t>
      </w:r>
      <w:r w:rsidRPr="003D69E3">
        <w:rPr>
          <w:lang w:val="en-GB"/>
        </w:rPr>
        <w:t xml:space="preserve">able </w:t>
      </w:r>
      <w:r>
        <w:rPr>
          <w:lang w:val="en-GB"/>
        </w:rPr>
        <w:t>44</w:t>
      </w:r>
      <w:r w:rsidRPr="003D69E3">
        <w:rPr>
          <w:lang w:val="en-GB"/>
        </w:rPr>
        <w:t xml:space="preserve">. </w:t>
      </w:r>
      <w:r w:rsidRPr="003D69E3">
        <w:t>Multiple responses were permitted.</w:t>
      </w:r>
    </w:p>
    <w:p w14:paraId="289232B2" w14:textId="77777777" w:rsidR="009D0006" w:rsidRDefault="009D0006" w:rsidP="001153FB">
      <w:pPr>
        <w:pStyle w:val="Tableheading"/>
      </w:pPr>
      <w:bookmarkStart w:id="502" w:name="_Toc117062762"/>
      <w:bookmarkStart w:id="503" w:name="_Toc119651447"/>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44</w:t>
      </w:r>
      <w:r w:rsidRPr="004D09D9">
        <w:rPr>
          <w:bCs/>
        </w:rPr>
        <w:fldChar w:fldCharType="end"/>
      </w:r>
      <w:r>
        <w:t xml:space="preserve">: </w:t>
      </w:r>
      <w:r w:rsidRPr="000073E5">
        <w:t xml:space="preserve">Perpetrators of harassment </w:t>
      </w:r>
      <w:r>
        <w:t xml:space="preserve">or assault </w:t>
      </w:r>
      <w:r w:rsidRPr="000073E5">
        <w:t>in sporting contexts</w:t>
      </w:r>
      <w:r>
        <w:t xml:space="preserve"> among young people with disability aged 14-21 years (n = 60)</w:t>
      </w:r>
      <w:bookmarkEnd w:id="502"/>
      <w:bookmarkEnd w:id="503"/>
    </w:p>
    <w:tbl>
      <w:tblPr>
        <w:tblStyle w:val="RCTable"/>
        <w:tblW w:w="9864" w:type="dxa"/>
        <w:tblInd w:w="-23" w:type="dxa"/>
        <w:tblLook w:val="04A0" w:firstRow="1" w:lastRow="0" w:firstColumn="1" w:lastColumn="0" w:noHBand="0" w:noVBand="1"/>
      </w:tblPr>
      <w:tblGrid>
        <w:gridCol w:w="6746"/>
        <w:gridCol w:w="1559"/>
        <w:gridCol w:w="1559"/>
      </w:tblGrid>
      <w:tr w:rsidR="009D0006" w:rsidRPr="00F979FC" w14:paraId="679B9812" w14:textId="77777777" w:rsidTr="0074784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BAF9994" w14:textId="77777777" w:rsidR="009D0006" w:rsidRPr="00F979FC" w:rsidRDefault="009D0006" w:rsidP="00747848">
            <w:pPr>
              <w:pStyle w:val="Tableheader"/>
              <w:rPr>
                <w:lang w:val="en-US"/>
              </w:rPr>
            </w:pPr>
            <w:r>
              <w:rPr>
                <w:lang w:val="en-US"/>
              </w:rPr>
              <w:t>Perpetrator</w:t>
            </w:r>
          </w:p>
        </w:tc>
        <w:tc>
          <w:tcPr>
            <w:tcW w:w="1559" w:type="dxa"/>
            <w:noWrap/>
            <w:hideMark/>
          </w:tcPr>
          <w:p w14:paraId="6AA37E1B" w14:textId="77777777" w:rsidR="009D0006" w:rsidRPr="00F979FC" w:rsidRDefault="009D0006" w:rsidP="00747848">
            <w:pPr>
              <w:pStyle w:val="Tableheader"/>
              <w:rPr>
                <w:lang w:val="en-US"/>
              </w:rPr>
            </w:pPr>
            <w:r>
              <w:rPr>
                <w:lang w:val="en-US"/>
              </w:rPr>
              <w:t>n</w:t>
            </w:r>
          </w:p>
        </w:tc>
        <w:tc>
          <w:tcPr>
            <w:tcW w:w="1559" w:type="dxa"/>
            <w:noWrap/>
            <w:hideMark/>
          </w:tcPr>
          <w:p w14:paraId="1D29CC9E" w14:textId="77777777" w:rsidR="009D0006" w:rsidRPr="00F979FC" w:rsidRDefault="009D0006" w:rsidP="00747848">
            <w:pPr>
              <w:pStyle w:val="Tableheader"/>
              <w:rPr>
                <w:lang w:val="en-US"/>
              </w:rPr>
            </w:pPr>
            <w:r w:rsidRPr="00F979FC">
              <w:rPr>
                <w:lang w:val="en-US"/>
              </w:rPr>
              <w:t>%</w:t>
            </w:r>
          </w:p>
        </w:tc>
      </w:tr>
      <w:tr w:rsidR="009D0006" w:rsidRPr="00F979FC" w14:paraId="3794C485"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725E01A" w14:textId="77777777" w:rsidR="009D0006" w:rsidRPr="00B00964" w:rsidRDefault="009D0006" w:rsidP="00747848">
            <w:pPr>
              <w:pStyle w:val="Tabletext"/>
              <w:rPr>
                <w:b/>
                <w:bCs/>
                <w:lang w:val="en-US"/>
              </w:rPr>
            </w:pPr>
            <w:r>
              <w:t>Student or students from my year</w:t>
            </w:r>
          </w:p>
        </w:tc>
        <w:tc>
          <w:tcPr>
            <w:tcW w:w="1559" w:type="dxa"/>
            <w:noWrap/>
            <w:hideMark/>
          </w:tcPr>
          <w:p w14:paraId="63131F0F" w14:textId="77777777" w:rsidR="009D0006" w:rsidRPr="00F979FC" w:rsidRDefault="009D0006" w:rsidP="00747848">
            <w:pPr>
              <w:pStyle w:val="Tabletext"/>
              <w:rPr>
                <w:b/>
                <w:bCs/>
                <w:lang w:val="en-US"/>
              </w:rPr>
            </w:pPr>
            <w:r>
              <w:t>23</w:t>
            </w:r>
          </w:p>
        </w:tc>
        <w:tc>
          <w:tcPr>
            <w:tcW w:w="1559" w:type="dxa"/>
            <w:noWrap/>
            <w:hideMark/>
          </w:tcPr>
          <w:p w14:paraId="6F9B6594" w14:textId="77777777" w:rsidR="009D0006" w:rsidRPr="00F979FC" w:rsidRDefault="009D0006" w:rsidP="00747848">
            <w:pPr>
              <w:pStyle w:val="Tabletext"/>
              <w:rPr>
                <w:lang w:val="en-US"/>
              </w:rPr>
            </w:pPr>
            <w:r>
              <w:t>62.2</w:t>
            </w:r>
          </w:p>
        </w:tc>
      </w:tr>
      <w:tr w:rsidR="009D0006" w:rsidRPr="00F979FC" w14:paraId="6463C651"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143EF91" w14:textId="77777777" w:rsidR="009D0006" w:rsidRPr="00B00964" w:rsidRDefault="009D0006" w:rsidP="00747848">
            <w:pPr>
              <w:pStyle w:val="Tabletext"/>
              <w:rPr>
                <w:lang w:val="en-US"/>
              </w:rPr>
            </w:pPr>
            <w:r>
              <w:t>Student or students from another year</w:t>
            </w:r>
          </w:p>
        </w:tc>
        <w:tc>
          <w:tcPr>
            <w:tcW w:w="1559" w:type="dxa"/>
            <w:noWrap/>
          </w:tcPr>
          <w:p w14:paraId="064A71EF" w14:textId="77777777" w:rsidR="009D0006" w:rsidRPr="00F979FC" w:rsidRDefault="009D0006" w:rsidP="00747848">
            <w:pPr>
              <w:pStyle w:val="Tabletext"/>
              <w:rPr>
                <w:lang w:val="en-US"/>
              </w:rPr>
            </w:pPr>
            <w:r>
              <w:t>18</w:t>
            </w:r>
          </w:p>
        </w:tc>
        <w:tc>
          <w:tcPr>
            <w:tcW w:w="1559" w:type="dxa"/>
            <w:noWrap/>
          </w:tcPr>
          <w:p w14:paraId="710192A5" w14:textId="77777777" w:rsidR="009D0006" w:rsidRPr="00F979FC" w:rsidRDefault="009D0006" w:rsidP="00747848">
            <w:pPr>
              <w:pStyle w:val="Tabletext"/>
              <w:rPr>
                <w:lang w:val="en-US"/>
              </w:rPr>
            </w:pPr>
            <w:r>
              <w:t>48.7</w:t>
            </w:r>
          </w:p>
        </w:tc>
      </w:tr>
      <w:tr w:rsidR="009D0006" w:rsidRPr="00F979FC" w14:paraId="090AB99C"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2BBED5C" w14:textId="77777777" w:rsidR="009D0006" w:rsidRPr="00B00964" w:rsidRDefault="009D0006" w:rsidP="00747848">
            <w:pPr>
              <w:pStyle w:val="Tabletext"/>
              <w:rPr>
                <w:lang w:val="en-US"/>
              </w:rPr>
            </w:pPr>
            <w:r>
              <w:t>Spectator or spectators</w:t>
            </w:r>
          </w:p>
        </w:tc>
        <w:tc>
          <w:tcPr>
            <w:tcW w:w="1559" w:type="dxa"/>
            <w:noWrap/>
          </w:tcPr>
          <w:p w14:paraId="5E8DDDC1" w14:textId="77777777" w:rsidR="009D0006" w:rsidRPr="00F979FC" w:rsidRDefault="009D0006" w:rsidP="00747848">
            <w:pPr>
              <w:pStyle w:val="Tabletext"/>
              <w:rPr>
                <w:lang w:val="en-US"/>
              </w:rPr>
            </w:pPr>
            <w:r>
              <w:t>8</w:t>
            </w:r>
          </w:p>
        </w:tc>
        <w:tc>
          <w:tcPr>
            <w:tcW w:w="1559" w:type="dxa"/>
            <w:noWrap/>
          </w:tcPr>
          <w:p w14:paraId="03810E35" w14:textId="77777777" w:rsidR="009D0006" w:rsidRPr="00F979FC" w:rsidRDefault="009D0006" w:rsidP="00747848">
            <w:pPr>
              <w:pStyle w:val="Tabletext"/>
              <w:rPr>
                <w:lang w:val="en-US"/>
              </w:rPr>
            </w:pPr>
            <w:r>
              <w:t>21.6</w:t>
            </w:r>
          </w:p>
        </w:tc>
      </w:tr>
      <w:tr w:rsidR="009D0006" w:rsidRPr="00F979FC" w14:paraId="2CB11F93"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B7F4B8B" w14:textId="77777777" w:rsidR="009D0006" w:rsidRPr="00B00964" w:rsidRDefault="009D0006" w:rsidP="00747848">
            <w:pPr>
              <w:pStyle w:val="Tabletext"/>
              <w:rPr>
                <w:b/>
                <w:bCs/>
                <w:lang w:val="en-US"/>
              </w:rPr>
            </w:pPr>
            <w:r>
              <w:t>Coach or coaches</w:t>
            </w:r>
          </w:p>
        </w:tc>
        <w:tc>
          <w:tcPr>
            <w:tcW w:w="1559" w:type="dxa"/>
            <w:noWrap/>
          </w:tcPr>
          <w:p w14:paraId="5D820456" w14:textId="77777777" w:rsidR="009D0006" w:rsidRPr="00F979FC" w:rsidRDefault="009D0006" w:rsidP="00747848">
            <w:pPr>
              <w:pStyle w:val="Tabletext"/>
              <w:rPr>
                <w:b/>
                <w:bCs/>
                <w:lang w:val="en-US"/>
              </w:rPr>
            </w:pPr>
            <w:r>
              <w:t>6</w:t>
            </w:r>
          </w:p>
        </w:tc>
        <w:tc>
          <w:tcPr>
            <w:tcW w:w="1559" w:type="dxa"/>
            <w:noWrap/>
          </w:tcPr>
          <w:p w14:paraId="5FED465C" w14:textId="77777777" w:rsidR="009D0006" w:rsidRPr="00F979FC" w:rsidRDefault="009D0006" w:rsidP="00747848">
            <w:pPr>
              <w:pStyle w:val="Tabletext"/>
              <w:rPr>
                <w:lang w:val="en-US"/>
              </w:rPr>
            </w:pPr>
            <w:r>
              <w:t>16.2</w:t>
            </w:r>
          </w:p>
        </w:tc>
      </w:tr>
      <w:tr w:rsidR="009D0006" w:rsidRPr="00F979FC" w14:paraId="5EB60AE0"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2151050" w14:textId="77777777" w:rsidR="009D0006" w:rsidRPr="00B00964" w:rsidRDefault="009D0006" w:rsidP="00747848">
            <w:pPr>
              <w:pStyle w:val="Tabletext"/>
              <w:rPr>
                <w:lang w:val="en-US"/>
              </w:rPr>
            </w:pPr>
            <w:r>
              <w:t>Parent or carer</w:t>
            </w:r>
          </w:p>
        </w:tc>
        <w:tc>
          <w:tcPr>
            <w:tcW w:w="1559" w:type="dxa"/>
            <w:noWrap/>
          </w:tcPr>
          <w:p w14:paraId="1D1F9299" w14:textId="77777777" w:rsidR="009D0006" w:rsidRPr="00F979FC" w:rsidRDefault="009D0006" w:rsidP="00747848">
            <w:pPr>
              <w:pStyle w:val="Tabletext"/>
              <w:rPr>
                <w:lang w:val="en-US"/>
              </w:rPr>
            </w:pPr>
            <w:r>
              <w:t>2</w:t>
            </w:r>
          </w:p>
        </w:tc>
        <w:tc>
          <w:tcPr>
            <w:tcW w:w="1559" w:type="dxa"/>
            <w:noWrap/>
          </w:tcPr>
          <w:p w14:paraId="5F47C0A3" w14:textId="77777777" w:rsidR="009D0006" w:rsidRPr="00F979FC" w:rsidRDefault="009D0006" w:rsidP="00747848">
            <w:pPr>
              <w:pStyle w:val="Tabletext"/>
              <w:rPr>
                <w:lang w:val="en-US"/>
              </w:rPr>
            </w:pPr>
            <w:r>
              <w:t>5.4</w:t>
            </w:r>
          </w:p>
        </w:tc>
      </w:tr>
      <w:tr w:rsidR="009D0006" w:rsidRPr="00F979FC" w14:paraId="3A919AF2"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8CC0F2A" w14:textId="77777777" w:rsidR="009D0006" w:rsidRPr="00B00964" w:rsidRDefault="009D0006" w:rsidP="00747848">
            <w:pPr>
              <w:pStyle w:val="Tabletext"/>
              <w:rPr>
                <w:lang w:val="en-US"/>
              </w:rPr>
            </w:pPr>
            <w:r>
              <w:t>Teacher or teachers</w:t>
            </w:r>
          </w:p>
        </w:tc>
        <w:tc>
          <w:tcPr>
            <w:tcW w:w="1559" w:type="dxa"/>
            <w:noWrap/>
          </w:tcPr>
          <w:p w14:paraId="176E854B" w14:textId="77777777" w:rsidR="009D0006" w:rsidRPr="00F979FC" w:rsidRDefault="009D0006" w:rsidP="00747848">
            <w:pPr>
              <w:pStyle w:val="Tabletext"/>
              <w:rPr>
                <w:lang w:val="en-US"/>
              </w:rPr>
            </w:pPr>
            <w:r>
              <w:t>1</w:t>
            </w:r>
          </w:p>
        </w:tc>
        <w:tc>
          <w:tcPr>
            <w:tcW w:w="1559" w:type="dxa"/>
            <w:noWrap/>
          </w:tcPr>
          <w:p w14:paraId="05FC4938" w14:textId="77777777" w:rsidR="009D0006" w:rsidRPr="00F979FC" w:rsidRDefault="009D0006" w:rsidP="00747848">
            <w:pPr>
              <w:pStyle w:val="Tabletext"/>
              <w:rPr>
                <w:lang w:val="en-US"/>
              </w:rPr>
            </w:pPr>
            <w:r>
              <w:t>2.7</w:t>
            </w:r>
          </w:p>
        </w:tc>
      </w:tr>
      <w:tr w:rsidR="009D0006" w:rsidRPr="00F979FC" w14:paraId="14D8CBEC"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7EF21931" w14:textId="77777777" w:rsidR="009D0006" w:rsidRPr="00B00964" w:rsidRDefault="009D0006" w:rsidP="00747848">
            <w:pPr>
              <w:pStyle w:val="Tabletext"/>
              <w:rPr>
                <w:b/>
                <w:lang w:val="en-US"/>
              </w:rPr>
            </w:pPr>
            <w:r>
              <w:t>Someone else</w:t>
            </w:r>
          </w:p>
        </w:tc>
        <w:tc>
          <w:tcPr>
            <w:tcW w:w="1559" w:type="dxa"/>
            <w:noWrap/>
          </w:tcPr>
          <w:p w14:paraId="28BD607E" w14:textId="77777777" w:rsidR="009D0006" w:rsidRPr="00F979FC" w:rsidRDefault="009D0006" w:rsidP="00747848">
            <w:pPr>
              <w:pStyle w:val="Tabletext"/>
              <w:rPr>
                <w:b/>
                <w:lang w:val="en-US"/>
              </w:rPr>
            </w:pPr>
            <w:r>
              <w:t>1</w:t>
            </w:r>
          </w:p>
        </w:tc>
        <w:tc>
          <w:tcPr>
            <w:tcW w:w="1559" w:type="dxa"/>
            <w:noWrap/>
          </w:tcPr>
          <w:p w14:paraId="042B86A3" w14:textId="77777777" w:rsidR="009D0006" w:rsidRPr="00F979FC" w:rsidRDefault="009D0006" w:rsidP="00747848">
            <w:pPr>
              <w:pStyle w:val="Tabletext"/>
              <w:rPr>
                <w:b/>
                <w:lang w:val="en-US"/>
              </w:rPr>
            </w:pPr>
            <w:r>
              <w:t>2.7</w:t>
            </w:r>
          </w:p>
        </w:tc>
      </w:tr>
      <w:tr w:rsidR="009D0006" w:rsidRPr="00F979FC" w14:paraId="31DF23A0"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C13D2C2" w14:textId="77777777" w:rsidR="009D0006" w:rsidRPr="00B00964" w:rsidRDefault="009D0006" w:rsidP="00747848">
            <w:pPr>
              <w:pStyle w:val="Tabletext"/>
              <w:rPr>
                <w:lang w:val="en-US"/>
              </w:rPr>
            </w:pPr>
            <w:r>
              <w:t>Prefer not to say</w:t>
            </w:r>
          </w:p>
        </w:tc>
        <w:tc>
          <w:tcPr>
            <w:tcW w:w="1559" w:type="dxa"/>
            <w:noWrap/>
          </w:tcPr>
          <w:p w14:paraId="7F8934E3" w14:textId="77777777" w:rsidR="009D0006" w:rsidRPr="00F979FC" w:rsidRDefault="009D0006" w:rsidP="00747848">
            <w:pPr>
              <w:pStyle w:val="Tabletext"/>
              <w:rPr>
                <w:lang w:val="en-US"/>
              </w:rPr>
            </w:pPr>
            <w:r>
              <w:t>1</w:t>
            </w:r>
          </w:p>
        </w:tc>
        <w:tc>
          <w:tcPr>
            <w:tcW w:w="1559" w:type="dxa"/>
            <w:noWrap/>
          </w:tcPr>
          <w:p w14:paraId="4DBEF58E" w14:textId="77777777" w:rsidR="009D0006" w:rsidRPr="00F979FC" w:rsidRDefault="009D0006" w:rsidP="00747848">
            <w:pPr>
              <w:pStyle w:val="Tabletext"/>
              <w:rPr>
                <w:lang w:val="en-US"/>
              </w:rPr>
            </w:pPr>
            <w:r>
              <w:t>2.7</w:t>
            </w:r>
          </w:p>
        </w:tc>
      </w:tr>
    </w:tbl>
    <w:p w14:paraId="58667F33" w14:textId="77777777" w:rsidR="009D0006" w:rsidRPr="00747848" w:rsidRDefault="009D0006" w:rsidP="00747848">
      <w:pPr>
        <w:pStyle w:val="TableTextNotebelow"/>
        <w:rPr>
          <w:i/>
        </w:rPr>
      </w:pPr>
      <w:r w:rsidRPr="00747848">
        <w:rPr>
          <w:i/>
        </w:rPr>
        <w:t>Note: Multiple responses were available thus percentages do not add up to 100.</w:t>
      </w:r>
    </w:p>
    <w:p w14:paraId="530A12F9" w14:textId="77777777" w:rsidR="009D0006" w:rsidRPr="00747848" w:rsidRDefault="009D0006" w:rsidP="001153FB">
      <w:pPr>
        <w:spacing w:before="360"/>
      </w:pPr>
      <w:r>
        <w:t xml:space="preserve">As shown in Table 44, participants who had experienced harassment </w:t>
      </w:r>
      <w:r>
        <w:rPr>
          <w:lang w:val="en-GB"/>
        </w:rPr>
        <w:t>or assault</w:t>
      </w:r>
      <w:r>
        <w:t xml:space="preserve"> in sporting contexts in the past 12 months, most frequently reported this harassment to be perpetrated by</w:t>
      </w:r>
      <w:r w:rsidRPr="000073E5" w:rsidDel="003B4F3D">
        <w:t xml:space="preserve"> </w:t>
      </w:r>
      <w:r>
        <w:t xml:space="preserve">a student or students from their year (62.2%; n = 23), followed by a student or students from another year (48.7%; n = 18), by a spectator or spectators (21.6%; n =8), by a coach or coaches (16.2%; n = 6), by a parent or carer (5.4%; n = 2), by a teacher or teachers (2.7%; n = 1) and by someone else not listed (2.7%; n = 1). Among participants who had experienced harassment </w:t>
      </w:r>
      <w:r>
        <w:rPr>
          <w:lang w:val="en-GB"/>
        </w:rPr>
        <w:t>or assault</w:t>
      </w:r>
      <w:r>
        <w:t xml:space="preserve"> in sporting contexts, 2.7% (n = 1) preferred </w:t>
      </w:r>
      <w:r w:rsidRPr="00747848">
        <w:t>not to disclose who the perpetrator was.</w:t>
      </w:r>
      <w:bookmarkStart w:id="504" w:name="_Toc58252097"/>
    </w:p>
    <w:p w14:paraId="4486BA97" w14:textId="482CB29F" w:rsidR="009D0006" w:rsidRPr="000073E5" w:rsidRDefault="009D0006" w:rsidP="00153892">
      <w:pPr>
        <w:pStyle w:val="Heading2Numbered"/>
      </w:pPr>
      <w:bookmarkStart w:id="505" w:name="_Toc115968568"/>
      <w:bookmarkStart w:id="506" w:name="_Toc119662429"/>
      <w:r w:rsidRPr="000073E5">
        <w:t>Experiences of accessing support regarding harassment or assault</w:t>
      </w:r>
      <w:bookmarkEnd w:id="504"/>
      <w:r w:rsidRPr="000073E5">
        <w:t xml:space="preserve"> – young people aged 14-21 years</w:t>
      </w:r>
      <w:bookmarkEnd w:id="505"/>
      <w:bookmarkEnd w:id="506"/>
    </w:p>
    <w:p w14:paraId="7FB10E6A" w14:textId="77777777" w:rsidR="009D0006" w:rsidRDefault="009D0006" w:rsidP="009D0006">
      <w:pPr>
        <w:rPr>
          <w:rFonts w:ascii="Roboto Medium" w:hAnsi="Roboto Medium"/>
          <w:bCs/>
          <w:sz w:val="23"/>
        </w:rPr>
      </w:pPr>
      <w:r w:rsidRPr="000073E5">
        <w:rPr>
          <w:lang w:val="en-GB"/>
        </w:rPr>
        <w:t xml:space="preserve">Participants </w:t>
      </w:r>
      <w:r>
        <w:rPr>
          <w:lang w:val="en-GB"/>
        </w:rPr>
        <w:t xml:space="preserve">with disability </w:t>
      </w:r>
      <w:r w:rsidRPr="000073E5">
        <w:rPr>
          <w:lang w:val="en-GB"/>
        </w:rPr>
        <w:t xml:space="preserve">reporting any verbal, physical or sexual harassment or assault in the past 12 months based </w:t>
      </w:r>
      <w:r w:rsidRPr="000073E5">
        <w:rPr>
          <w:lang w:val="en-US"/>
        </w:rPr>
        <w:t>on their sexual</w:t>
      </w:r>
      <w:r>
        <w:rPr>
          <w:lang w:val="en-US"/>
        </w:rPr>
        <w:t xml:space="preserve"> orientation</w:t>
      </w:r>
      <w:r w:rsidRPr="000073E5">
        <w:rPr>
          <w:lang w:val="en-US"/>
        </w:rPr>
        <w:t xml:space="preserve"> or gender identity were asked if they receiv</w:t>
      </w:r>
      <w:r w:rsidRPr="000073E5">
        <w:rPr>
          <w:lang w:val="en-US"/>
        </w:rPr>
        <w:lastRenderedPageBreak/>
        <w:t>ed any help or support dealing with this in the past 12 months</w:t>
      </w:r>
      <w:r>
        <w:rPr>
          <w:lang w:val="en-US"/>
        </w:rPr>
        <w:t>. M</w:t>
      </w:r>
      <w:r w:rsidRPr="000073E5">
        <w:rPr>
          <w:lang w:val="en-US"/>
        </w:rPr>
        <w:t>ultiple responses were permitted.</w:t>
      </w:r>
    </w:p>
    <w:p w14:paraId="4682F75D" w14:textId="77777777" w:rsidR="009D0006" w:rsidRDefault="009D0006" w:rsidP="001153FB">
      <w:pPr>
        <w:pStyle w:val="Tableheading"/>
      </w:pPr>
      <w:bookmarkStart w:id="507" w:name="_Toc117062763"/>
      <w:bookmarkStart w:id="508" w:name="_Toc119651448"/>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45</w:t>
      </w:r>
      <w:r w:rsidRPr="004D09D9">
        <w:rPr>
          <w:bCs/>
        </w:rPr>
        <w:fldChar w:fldCharType="end"/>
      </w:r>
      <w:r>
        <w:t xml:space="preserve">: </w:t>
      </w:r>
      <w:r w:rsidRPr="000073E5">
        <w:t>Received any help or support in dealing with harassment or assault based on sexuality or gender identity in the past 12 months</w:t>
      </w:r>
      <w:r>
        <w:t xml:space="preserve"> among young people with disability aged 14-21 years (n = 1344)</w:t>
      </w:r>
      <w:bookmarkEnd w:id="507"/>
      <w:bookmarkEnd w:id="508"/>
    </w:p>
    <w:tbl>
      <w:tblPr>
        <w:tblStyle w:val="RCTable"/>
        <w:tblW w:w="9864" w:type="dxa"/>
        <w:tblInd w:w="-23" w:type="dxa"/>
        <w:tblLook w:val="04A0" w:firstRow="1" w:lastRow="0" w:firstColumn="1" w:lastColumn="0" w:noHBand="0" w:noVBand="1"/>
      </w:tblPr>
      <w:tblGrid>
        <w:gridCol w:w="6746"/>
        <w:gridCol w:w="1559"/>
        <w:gridCol w:w="1559"/>
      </w:tblGrid>
      <w:tr w:rsidR="009D0006" w:rsidRPr="00047EDF" w14:paraId="710FC0D8" w14:textId="77777777" w:rsidTr="00747848">
        <w:trPr>
          <w:cnfStyle w:val="100000000000" w:firstRow="1" w:lastRow="0" w:firstColumn="0" w:lastColumn="0" w:oddVBand="0" w:evenVBand="0" w:oddHBand="0" w:evenHBand="0" w:firstRowFirstColumn="0" w:firstRowLastColumn="0" w:lastRowFirstColumn="0" w:lastRowLastColumn="0"/>
          <w:trHeight w:val="345"/>
        </w:trPr>
        <w:tc>
          <w:tcPr>
            <w:tcW w:w="6746" w:type="dxa"/>
            <w:noWrap/>
            <w:hideMark/>
          </w:tcPr>
          <w:p w14:paraId="29587232" w14:textId="77777777" w:rsidR="009D0006" w:rsidRPr="00047EDF" w:rsidRDefault="009D0006" w:rsidP="00747848">
            <w:pPr>
              <w:pStyle w:val="Tableheader"/>
              <w:rPr>
                <w:lang w:val="en-US"/>
              </w:rPr>
            </w:pPr>
            <w:r w:rsidRPr="00047EDF">
              <w:rPr>
                <w:lang w:val="en-US"/>
              </w:rPr>
              <w:t>Help or support provider</w:t>
            </w:r>
          </w:p>
        </w:tc>
        <w:tc>
          <w:tcPr>
            <w:tcW w:w="1559" w:type="dxa"/>
            <w:noWrap/>
            <w:hideMark/>
          </w:tcPr>
          <w:p w14:paraId="41219F9C" w14:textId="77777777" w:rsidR="009D0006" w:rsidRPr="00047EDF" w:rsidRDefault="009D0006" w:rsidP="00747848">
            <w:pPr>
              <w:pStyle w:val="Tableheader"/>
              <w:rPr>
                <w:lang w:val="en-US"/>
              </w:rPr>
            </w:pPr>
            <w:r w:rsidRPr="00047EDF">
              <w:rPr>
                <w:lang w:val="en-US"/>
              </w:rPr>
              <w:t>n</w:t>
            </w:r>
          </w:p>
        </w:tc>
        <w:tc>
          <w:tcPr>
            <w:tcW w:w="1559" w:type="dxa"/>
            <w:noWrap/>
            <w:hideMark/>
          </w:tcPr>
          <w:p w14:paraId="41F50D65" w14:textId="77777777" w:rsidR="009D0006" w:rsidRPr="00047EDF" w:rsidRDefault="009D0006" w:rsidP="00747848">
            <w:pPr>
              <w:pStyle w:val="Tableheader"/>
              <w:rPr>
                <w:lang w:val="en-US"/>
              </w:rPr>
            </w:pPr>
            <w:r w:rsidRPr="00047EDF">
              <w:rPr>
                <w:lang w:val="en-US"/>
              </w:rPr>
              <w:t>%</w:t>
            </w:r>
          </w:p>
        </w:tc>
      </w:tr>
      <w:tr w:rsidR="009D0006" w:rsidRPr="00047EDF" w14:paraId="4C56AD56"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0466008E" w14:textId="77777777" w:rsidR="009D0006" w:rsidRPr="00047EDF" w:rsidRDefault="009D0006" w:rsidP="00747848">
            <w:pPr>
              <w:pStyle w:val="Tabletext"/>
              <w:rPr>
                <w:b/>
                <w:bCs/>
                <w:lang w:val="en-US"/>
              </w:rPr>
            </w:pPr>
            <w:r w:rsidRPr="00047EDF">
              <w:t>LGBTIQA+ friends I have met in real life</w:t>
            </w:r>
          </w:p>
        </w:tc>
        <w:tc>
          <w:tcPr>
            <w:tcW w:w="1559" w:type="dxa"/>
            <w:noWrap/>
            <w:hideMark/>
          </w:tcPr>
          <w:p w14:paraId="582FF238" w14:textId="77777777" w:rsidR="009D0006" w:rsidRPr="00047EDF" w:rsidRDefault="009D0006" w:rsidP="00747848">
            <w:pPr>
              <w:pStyle w:val="Tabletext"/>
              <w:rPr>
                <w:b/>
                <w:bCs/>
                <w:lang w:val="en-US"/>
              </w:rPr>
            </w:pPr>
            <w:r>
              <w:t>538</w:t>
            </w:r>
          </w:p>
        </w:tc>
        <w:tc>
          <w:tcPr>
            <w:tcW w:w="1559" w:type="dxa"/>
            <w:noWrap/>
            <w:hideMark/>
          </w:tcPr>
          <w:p w14:paraId="426C35BF" w14:textId="77777777" w:rsidR="009D0006" w:rsidRPr="00047EDF" w:rsidRDefault="009D0006" w:rsidP="00747848">
            <w:pPr>
              <w:pStyle w:val="Tabletext"/>
              <w:rPr>
                <w:lang w:val="en-US"/>
              </w:rPr>
            </w:pPr>
            <w:r>
              <w:t>40.0</w:t>
            </w:r>
          </w:p>
        </w:tc>
      </w:tr>
      <w:tr w:rsidR="009D0006" w:rsidRPr="00047EDF" w14:paraId="383EFA95"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hideMark/>
          </w:tcPr>
          <w:p w14:paraId="3444AAFD" w14:textId="77777777" w:rsidR="009D0006" w:rsidRPr="00047EDF" w:rsidRDefault="009D0006" w:rsidP="00747848">
            <w:pPr>
              <w:pStyle w:val="Tabletext"/>
              <w:rPr>
                <w:lang w:val="en-US"/>
              </w:rPr>
            </w:pPr>
            <w:r w:rsidRPr="00047EDF">
              <w:t>Non-LGBTIQA+ Friends</w:t>
            </w:r>
          </w:p>
        </w:tc>
        <w:tc>
          <w:tcPr>
            <w:tcW w:w="1559" w:type="dxa"/>
            <w:noWrap/>
          </w:tcPr>
          <w:p w14:paraId="49607138" w14:textId="77777777" w:rsidR="009D0006" w:rsidRPr="00047EDF" w:rsidRDefault="009D0006" w:rsidP="00747848">
            <w:pPr>
              <w:pStyle w:val="Tabletext"/>
              <w:rPr>
                <w:lang w:val="en-US"/>
              </w:rPr>
            </w:pPr>
            <w:r>
              <w:t>379</w:t>
            </w:r>
          </w:p>
        </w:tc>
        <w:tc>
          <w:tcPr>
            <w:tcW w:w="1559" w:type="dxa"/>
            <w:noWrap/>
          </w:tcPr>
          <w:p w14:paraId="13E44BDC" w14:textId="77777777" w:rsidR="009D0006" w:rsidRPr="00047EDF" w:rsidRDefault="009D0006" w:rsidP="00747848">
            <w:pPr>
              <w:pStyle w:val="Tabletext"/>
              <w:rPr>
                <w:lang w:val="en-US"/>
              </w:rPr>
            </w:pPr>
            <w:r>
              <w:t>28.2</w:t>
            </w:r>
          </w:p>
        </w:tc>
      </w:tr>
      <w:tr w:rsidR="009D0006" w:rsidRPr="00047EDF" w14:paraId="03766DAE"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632000CA" w14:textId="77777777" w:rsidR="009D0006" w:rsidRPr="00047EDF" w:rsidRDefault="009D0006" w:rsidP="00747848">
            <w:pPr>
              <w:pStyle w:val="Tabletext"/>
              <w:rPr>
                <w:lang w:val="en-US"/>
              </w:rPr>
            </w:pPr>
            <w:r w:rsidRPr="00047EDF">
              <w:t>LGBTIQA+ friends I have never met in real life</w:t>
            </w:r>
          </w:p>
        </w:tc>
        <w:tc>
          <w:tcPr>
            <w:tcW w:w="1559" w:type="dxa"/>
            <w:noWrap/>
          </w:tcPr>
          <w:p w14:paraId="5DCB3D57" w14:textId="77777777" w:rsidR="009D0006" w:rsidRPr="00047EDF" w:rsidRDefault="009D0006" w:rsidP="00747848">
            <w:pPr>
              <w:pStyle w:val="Tabletext"/>
              <w:rPr>
                <w:lang w:val="en-US"/>
              </w:rPr>
            </w:pPr>
            <w:r>
              <w:t>313</w:t>
            </w:r>
          </w:p>
        </w:tc>
        <w:tc>
          <w:tcPr>
            <w:tcW w:w="1559" w:type="dxa"/>
            <w:noWrap/>
          </w:tcPr>
          <w:p w14:paraId="58FD2B64" w14:textId="77777777" w:rsidR="009D0006" w:rsidRPr="00047EDF" w:rsidRDefault="009D0006" w:rsidP="00747848">
            <w:pPr>
              <w:pStyle w:val="Tabletext"/>
              <w:rPr>
                <w:lang w:val="en-US"/>
              </w:rPr>
            </w:pPr>
            <w:r>
              <w:t>23.3</w:t>
            </w:r>
          </w:p>
        </w:tc>
      </w:tr>
      <w:tr w:rsidR="009D0006" w:rsidRPr="00047EDF" w14:paraId="493D02C6"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715A5139" w14:textId="77777777" w:rsidR="009D0006" w:rsidRPr="00047EDF" w:rsidRDefault="009D0006" w:rsidP="00747848">
            <w:pPr>
              <w:pStyle w:val="Tabletext"/>
              <w:rPr>
                <w:b/>
                <w:bCs/>
                <w:lang w:val="en-US"/>
              </w:rPr>
            </w:pPr>
            <w:r w:rsidRPr="00047EDF">
              <w:t>Parent or carer</w:t>
            </w:r>
          </w:p>
        </w:tc>
        <w:tc>
          <w:tcPr>
            <w:tcW w:w="1559" w:type="dxa"/>
            <w:noWrap/>
          </w:tcPr>
          <w:p w14:paraId="30EAED92" w14:textId="77777777" w:rsidR="009D0006" w:rsidRPr="00047EDF" w:rsidRDefault="009D0006" w:rsidP="00747848">
            <w:pPr>
              <w:pStyle w:val="Tabletext"/>
              <w:rPr>
                <w:b/>
                <w:bCs/>
                <w:lang w:val="en-US"/>
              </w:rPr>
            </w:pPr>
            <w:r>
              <w:t>165</w:t>
            </w:r>
          </w:p>
        </w:tc>
        <w:tc>
          <w:tcPr>
            <w:tcW w:w="1559" w:type="dxa"/>
            <w:noWrap/>
          </w:tcPr>
          <w:p w14:paraId="3FA8C93D" w14:textId="77777777" w:rsidR="009D0006" w:rsidRPr="00047EDF" w:rsidRDefault="009D0006" w:rsidP="00747848">
            <w:pPr>
              <w:pStyle w:val="Tabletext"/>
              <w:rPr>
                <w:lang w:val="en-US"/>
              </w:rPr>
            </w:pPr>
            <w:r>
              <w:t>12.3</w:t>
            </w:r>
          </w:p>
        </w:tc>
      </w:tr>
      <w:tr w:rsidR="009D0006" w:rsidRPr="00047EDF" w14:paraId="43763B97"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44A0490F" w14:textId="77777777" w:rsidR="009D0006" w:rsidRPr="00047EDF" w:rsidRDefault="009D0006" w:rsidP="00747848">
            <w:pPr>
              <w:pStyle w:val="Tabletext"/>
              <w:rPr>
                <w:lang w:val="en-US"/>
              </w:rPr>
            </w:pPr>
            <w:r w:rsidRPr="00047EDF">
              <w:t>GP or medical service</w:t>
            </w:r>
          </w:p>
        </w:tc>
        <w:tc>
          <w:tcPr>
            <w:tcW w:w="1559" w:type="dxa"/>
            <w:noWrap/>
          </w:tcPr>
          <w:p w14:paraId="541FAA33" w14:textId="77777777" w:rsidR="009D0006" w:rsidRPr="00047EDF" w:rsidRDefault="009D0006" w:rsidP="00747848">
            <w:pPr>
              <w:pStyle w:val="Tabletext"/>
              <w:rPr>
                <w:lang w:val="en-US"/>
              </w:rPr>
            </w:pPr>
            <w:r>
              <w:t>135</w:t>
            </w:r>
          </w:p>
        </w:tc>
        <w:tc>
          <w:tcPr>
            <w:tcW w:w="1559" w:type="dxa"/>
            <w:noWrap/>
          </w:tcPr>
          <w:p w14:paraId="5DD159FE" w14:textId="77777777" w:rsidR="009D0006" w:rsidRPr="00047EDF" w:rsidRDefault="009D0006" w:rsidP="00747848">
            <w:pPr>
              <w:pStyle w:val="Tabletext"/>
              <w:rPr>
                <w:lang w:val="en-US"/>
              </w:rPr>
            </w:pPr>
            <w:r>
              <w:t>10.0</w:t>
            </w:r>
          </w:p>
        </w:tc>
      </w:tr>
      <w:tr w:rsidR="009D0006" w:rsidRPr="00047EDF" w14:paraId="39DAF609"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29D8F349" w14:textId="77777777" w:rsidR="009D0006" w:rsidRPr="00047EDF" w:rsidRDefault="009D0006" w:rsidP="00747848">
            <w:pPr>
              <w:pStyle w:val="Tabletext"/>
              <w:rPr>
                <w:lang w:val="en-US"/>
              </w:rPr>
            </w:pPr>
            <w:r w:rsidRPr="00047EDF">
              <w:t>Teacher</w:t>
            </w:r>
            <w:r>
              <w:t xml:space="preserve"> or teachers</w:t>
            </w:r>
          </w:p>
        </w:tc>
        <w:tc>
          <w:tcPr>
            <w:tcW w:w="1559" w:type="dxa"/>
            <w:noWrap/>
          </w:tcPr>
          <w:p w14:paraId="02FA12C9" w14:textId="77777777" w:rsidR="009D0006" w:rsidRPr="00047EDF" w:rsidRDefault="009D0006" w:rsidP="00747848">
            <w:pPr>
              <w:pStyle w:val="Tabletext"/>
              <w:rPr>
                <w:lang w:val="en-US"/>
              </w:rPr>
            </w:pPr>
            <w:r>
              <w:t>108</w:t>
            </w:r>
          </w:p>
        </w:tc>
        <w:tc>
          <w:tcPr>
            <w:tcW w:w="1559" w:type="dxa"/>
            <w:noWrap/>
          </w:tcPr>
          <w:p w14:paraId="4EAF65A3" w14:textId="77777777" w:rsidR="009D0006" w:rsidRPr="00047EDF" w:rsidRDefault="009D0006" w:rsidP="00747848">
            <w:pPr>
              <w:pStyle w:val="Tabletext"/>
              <w:rPr>
                <w:lang w:val="en-US"/>
              </w:rPr>
            </w:pPr>
            <w:r>
              <w:t>8.0</w:t>
            </w:r>
          </w:p>
        </w:tc>
      </w:tr>
      <w:tr w:rsidR="009D0006" w:rsidRPr="00047EDF" w14:paraId="1033EB6B"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201D7D41" w14:textId="77777777" w:rsidR="009D0006" w:rsidRPr="00047EDF" w:rsidRDefault="009D0006" w:rsidP="00747848">
            <w:pPr>
              <w:pStyle w:val="Tabletext"/>
              <w:rPr>
                <w:b/>
                <w:lang w:val="en-US"/>
              </w:rPr>
            </w:pPr>
            <w:r w:rsidRPr="00047EDF">
              <w:t>Other family member</w:t>
            </w:r>
          </w:p>
        </w:tc>
        <w:tc>
          <w:tcPr>
            <w:tcW w:w="1559" w:type="dxa"/>
            <w:noWrap/>
          </w:tcPr>
          <w:p w14:paraId="265AF31E" w14:textId="77777777" w:rsidR="009D0006" w:rsidRPr="00047EDF" w:rsidRDefault="009D0006" w:rsidP="00747848">
            <w:pPr>
              <w:pStyle w:val="Tabletext"/>
              <w:rPr>
                <w:b/>
                <w:lang w:val="en-US"/>
              </w:rPr>
            </w:pPr>
            <w:r>
              <w:t>81</w:t>
            </w:r>
          </w:p>
        </w:tc>
        <w:tc>
          <w:tcPr>
            <w:tcW w:w="1559" w:type="dxa"/>
            <w:noWrap/>
          </w:tcPr>
          <w:p w14:paraId="0A2D8AD6" w14:textId="77777777" w:rsidR="009D0006" w:rsidRPr="00047EDF" w:rsidRDefault="009D0006" w:rsidP="00747848">
            <w:pPr>
              <w:pStyle w:val="Tabletext"/>
              <w:rPr>
                <w:b/>
                <w:lang w:val="en-US"/>
              </w:rPr>
            </w:pPr>
            <w:r>
              <w:t>6.0</w:t>
            </w:r>
          </w:p>
        </w:tc>
      </w:tr>
      <w:tr w:rsidR="009D0006" w:rsidRPr="00047EDF" w14:paraId="72EAB814"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32DB19C6" w14:textId="77777777" w:rsidR="009D0006" w:rsidRPr="00047EDF" w:rsidRDefault="009D0006" w:rsidP="00747848">
            <w:pPr>
              <w:pStyle w:val="Tabletext"/>
            </w:pPr>
            <w:r w:rsidRPr="00047EDF">
              <w:t>Police</w:t>
            </w:r>
          </w:p>
        </w:tc>
        <w:tc>
          <w:tcPr>
            <w:tcW w:w="1559" w:type="dxa"/>
            <w:noWrap/>
          </w:tcPr>
          <w:p w14:paraId="1A7899B9" w14:textId="77777777" w:rsidR="009D0006" w:rsidRPr="00047EDF" w:rsidRDefault="009D0006" w:rsidP="00747848">
            <w:pPr>
              <w:pStyle w:val="Tabletext"/>
              <w:rPr>
                <w:lang w:val="en-US"/>
              </w:rPr>
            </w:pPr>
            <w:r>
              <w:t>38</w:t>
            </w:r>
          </w:p>
        </w:tc>
        <w:tc>
          <w:tcPr>
            <w:tcW w:w="1559" w:type="dxa"/>
            <w:noWrap/>
          </w:tcPr>
          <w:p w14:paraId="1FAE0B0D" w14:textId="77777777" w:rsidR="009D0006" w:rsidRPr="00047EDF" w:rsidRDefault="009D0006" w:rsidP="00747848">
            <w:pPr>
              <w:pStyle w:val="Tabletext"/>
              <w:rPr>
                <w:lang w:val="en-US"/>
              </w:rPr>
            </w:pPr>
            <w:r>
              <w:t>2.8</w:t>
            </w:r>
          </w:p>
        </w:tc>
      </w:tr>
      <w:tr w:rsidR="009D0006" w:rsidRPr="00047EDF" w14:paraId="451D871A"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31A4C69C" w14:textId="77777777" w:rsidR="009D0006" w:rsidRPr="00047EDF" w:rsidRDefault="009D0006" w:rsidP="00747848">
            <w:pPr>
              <w:pStyle w:val="Tabletext"/>
              <w:rPr>
                <w:lang w:val="en-US"/>
              </w:rPr>
            </w:pPr>
            <w:r w:rsidRPr="00047EDF">
              <w:t>Manager or co-worker</w:t>
            </w:r>
          </w:p>
        </w:tc>
        <w:tc>
          <w:tcPr>
            <w:tcW w:w="1559" w:type="dxa"/>
            <w:noWrap/>
          </w:tcPr>
          <w:p w14:paraId="19642584" w14:textId="77777777" w:rsidR="009D0006" w:rsidRPr="00047EDF" w:rsidRDefault="009D0006" w:rsidP="00747848">
            <w:pPr>
              <w:pStyle w:val="Tabletext"/>
              <w:rPr>
                <w:lang w:val="en-US"/>
              </w:rPr>
            </w:pPr>
            <w:r>
              <w:t>26</w:t>
            </w:r>
          </w:p>
        </w:tc>
        <w:tc>
          <w:tcPr>
            <w:tcW w:w="1559" w:type="dxa"/>
            <w:noWrap/>
          </w:tcPr>
          <w:p w14:paraId="32000070" w14:textId="77777777" w:rsidR="009D0006" w:rsidRPr="00047EDF" w:rsidRDefault="009D0006" w:rsidP="00747848">
            <w:pPr>
              <w:pStyle w:val="Tabletext"/>
              <w:rPr>
                <w:lang w:val="en-US"/>
              </w:rPr>
            </w:pPr>
            <w:r>
              <w:t>1.9</w:t>
            </w:r>
          </w:p>
        </w:tc>
      </w:tr>
      <w:tr w:rsidR="009D0006" w:rsidRPr="00047EDF" w14:paraId="3C5666DC"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18D4D60D" w14:textId="77777777" w:rsidR="009D0006" w:rsidRPr="00047EDF" w:rsidRDefault="009D0006" w:rsidP="00747848">
            <w:pPr>
              <w:pStyle w:val="Tabletext"/>
            </w:pPr>
            <w:r w:rsidRPr="00047EDF">
              <w:t>Someone else</w:t>
            </w:r>
          </w:p>
        </w:tc>
        <w:tc>
          <w:tcPr>
            <w:tcW w:w="1559" w:type="dxa"/>
            <w:noWrap/>
          </w:tcPr>
          <w:p w14:paraId="38246FE3" w14:textId="77777777" w:rsidR="009D0006" w:rsidRPr="00047EDF" w:rsidRDefault="009D0006" w:rsidP="00747848">
            <w:pPr>
              <w:pStyle w:val="Tabletext"/>
              <w:rPr>
                <w:lang w:val="en-US"/>
              </w:rPr>
            </w:pPr>
            <w:r>
              <w:t>69</w:t>
            </w:r>
          </w:p>
        </w:tc>
        <w:tc>
          <w:tcPr>
            <w:tcW w:w="1559" w:type="dxa"/>
            <w:noWrap/>
          </w:tcPr>
          <w:p w14:paraId="68E53606" w14:textId="77777777" w:rsidR="009D0006" w:rsidRPr="00047EDF" w:rsidRDefault="009D0006" w:rsidP="00747848">
            <w:pPr>
              <w:pStyle w:val="Tabletext"/>
              <w:rPr>
                <w:lang w:val="en-US"/>
              </w:rPr>
            </w:pPr>
            <w:r>
              <w:t>5.1</w:t>
            </w:r>
          </w:p>
        </w:tc>
      </w:tr>
      <w:tr w:rsidR="009D0006" w:rsidRPr="00047EDF" w14:paraId="6BEE5952"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59B4E83A" w14:textId="77777777" w:rsidR="009D0006" w:rsidRPr="00047EDF" w:rsidRDefault="009D0006" w:rsidP="00747848">
            <w:pPr>
              <w:pStyle w:val="Tabletext"/>
            </w:pPr>
            <w:r w:rsidRPr="00047EDF">
              <w:rPr>
                <w:b/>
              </w:rPr>
              <w:t>No, I didn’t receive help from anyone</w:t>
            </w:r>
          </w:p>
        </w:tc>
        <w:tc>
          <w:tcPr>
            <w:tcW w:w="1559" w:type="dxa"/>
            <w:noWrap/>
          </w:tcPr>
          <w:p w14:paraId="0C3DDEE7" w14:textId="77777777" w:rsidR="009D0006" w:rsidRPr="00170C90" w:rsidRDefault="009D0006" w:rsidP="00747848">
            <w:pPr>
              <w:pStyle w:val="Tabletext"/>
              <w:rPr>
                <w:b/>
                <w:bCs/>
                <w:lang w:val="en-US"/>
              </w:rPr>
            </w:pPr>
            <w:r w:rsidRPr="00170C90">
              <w:rPr>
                <w:b/>
                <w:bCs/>
              </w:rPr>
              <w:t>498</w:t>
            </w:r>
          </w:p>
        </w:tc>
        <w:tc>
          <w:tcPr>
            <w:tcW w:w="1559" w:type="dxa"/>
            <w:noWrap/>
          </w:tcPr>
          <w:p w14:paraId="3C9CF1A0" w14:textId="77777777" w:rsidR="009D0006" w:rsidRPr="00170C90" w:rsidRDefault="009D0006" w:rsidP="00747848">
            <w:pPr>
              <w:pStyle w:val="Tabletext"/>
              <w:rPr>
                <w:b/>
                <w:bCs/>
                <w:lang w:val="en-US"/>
              </w:rPr>
            </w:pPr>
            <w:r w:rsidRPr="00170C90">
              <w:rPr>
                <w:b/>
                <w:bCs/>
              </w:rPr>
              <w:t>37.1</w:t>
            </w:r>
          </w:p>
        </w:tc>
      </w:tr>
    </w:tbl>
    <w:p w14:paraId="31E58298" w14:textId="77777777" w:rsidR="009D0006" w:rsidRPr="00747848" w:rsidRDefault="009D0006" w:rsidP="00747848">
      <w:pPr>
        <w:pStyle w:val="TableTextNotebelow"/>
        <w:rPr>
          <w:i/>
          <w:sz w:val="18"/>
          <w:szCs w:val="18"/>
        </w:rPr>
      </w:pPr>
      <w:r w:rsidRPr="00747848">
        <w:rPr>
          <w:i/>
        </w:rPr>
        <w:t>Note: Multiple responses were available thus percentages do not add up to 100.</w:t>
      </w:r>
    </w:p>
    <w:p w14:paraId="5CC323BE" w14:textId="77777777" w:rsidR="009D0006" w:rsidRDefault="009D0006" w:rsidP="001153FB">
      <w:pPr>
        <w:spacing w:before="360"/>
        <w:rPr>
          <w:lang w:val="en-GB"/>
        </w:rPr>
      </w:pPr>
      <w:r>
        <w:rPr>
          <w:lang w:val="en-GB"/>
        </w:rPr>
        <w:t>T</w:t>
      </w:r>
      <w:r w:rsidRPr="005F5610">
        <w:rPr>
          <w:lang w:val="en-GB"/>
        </w:rPr>
        <w:t xml:space="preserve">wo-fifths of participants with disability in </w:t>
      </w:r>
      <w:r w:rsidRPr="005F5610">
        <w:rPr>
          <w:i/>
          <w:iCs/>
          <w:lang w:val="en-GB"/>
        </w:rPr>
        <w:t>Writing Themselves In 4</w:t>
      </w:r>
      <w:r>
        <w:rPr>
          <w:lang w:val="en-GB"/>
        </w:rPr>
        <w:t xml:space="preserve"> reported receiving help or support from LGTBIQA+ friends they had met in real life in dealing with harassment or assault based on their sexual orientation or gender identity in the past 12 months (40.0%; n = 538). Under one-third of participants reported receiving help or support from non-LGBTIQA+ friends (28.2%; n = 379), followed by help or support from LGBTIQA+ friends that they had never met in real life (23.3%; n = 165). Just over one-tenth reported receiving help or support from a parent or carer (12.3%; n = 313), followed by help from a GP or medical service (10.0%; n = 135), a teacher or teachers (8.0%; n = 108), other family members (6.0%; n = 81) and someone else not listed (5.1%; n = 69). Less than 3% of participants received help or support from police (2.8%; n = 26) and from a manager or co-worker (1.9%; n = 26). </w:t>
      </w:r>
    </w:p>
    <w:p w14:paraId="453F09B6" w14:textId="77777777" w:rsidR="009D0006" w:rsidRDefault="009D0006" w:rsidP="009D0006">
      <w:r>
        <w:rPr>
          <w:lang w:val="en-GB"/>
        </w:rPr>
        <w:t>More than one-third of participants reported that they did not receive help from anyone (37.0%; n = 498). Conversely, participants without disability had lower rates of receiving help, with more than two-tenths reporting that they did not receive help from anyone (42.8%). Fu</w:t>
      </w:r>
      <w:r>
        <w:rPr>
          <w:lang w:val="en-GB"/>
        </w:rPr>
        <w:lastRenderedPageBreak/>
        <w:t>rthermore, only 4.4% of participants without disability received help or support from a GP or medical service, as compared to 10.0% of participants with disability. Participants without disability also reported lower rates of receiving help or support from LGBTIQA+ friends that they had met in real life (32.0%) and from LGBTIQA+ friends that they had never met in real life (13.9%).</w:t>
      </w:r>
      <w:bookmarkStart w:id="509" w:name="_Toc37346040"/>
      <w:bookmarkStart w:id="510" w:name="_Toc42029328"/>
      <w:bookmarkStart w:id="511" w:name="_Toc42030068"/>
      <w:bookmarkStart w:id="512" w:name="_Toc43903870"/>
      <w:bookmarkStart w:id="513" w:name="_Hlk37090729"/>
      <w:bookmarkEnd w:id="477"/>
    </w:p>
    <w:p w14:paraId="1E647538" w14:textId="6B982E14" w:rsidR="009D0006" w:rsidRPr="000073E5" w:rsidRDefault="009D0006" w:rsidP="004E2605">
      <w:pPr>
        <w:pStyle w:val="Heading2Numbered"/>
        <w:spacing w:before="120"/>
      </w:pPr>
      <w:bookmarkStart w:id="514" w:name="_Toc115968569"/>
      <w:bookmarkStart w:id="515" w:name="_Toc119662430"/>
      <w:r w:rsidRPr="000073E5">
        <w:t>Unfair treatment due to sexual orientation and/or gender identity</w:t>
      </w:r>
      <w:bookmarkEnd w:id="509"/>
      <w:bookmarkEnd w:id="510"/>
      <w:bookmarkEnd w:id="511"/>
      <w:bookmarkEnd w:id="512"/>
      <w:r w:rsidRPr="000073E5">
        <w:t xml:space="preserve"> - adults aged 18+ years</w:t>
      </w:r>
      <w:bookmarkEnd w:id="514"/>
      <w:bookmarkEnd w:id="515"/>
    </w:p>
    <w:bookmarkEnd w:id="513"/>
    <w:p w14:paraId="0EF1A09E" w14:textId="77777777" w:rsidR="009D0006" w:rsidRPr="000073E5" w:rsidRDefault="009D0006" w:rsidP="009D0006">
      <w:pPr>
        <w:rPr>
          <w:lang w:val="en-US"/>
        </w:rPr>
      </w:pPr>
      <w:r w:rsidRPr="000073E5">
        <w:t xml:space="preserve">Participants were asked </w:t>
      </w:r>
      <w:r w:rsidRPr="000073E5">
        <w:rPr>
          <w:lang w:val="en-US"/>
        </w:rPr>
        <w:t xml:space="preserve">to what extent they felt they had been treated unfairly because of their sexual orientation in the past 12 months, </w:t>
      </w:r>
      <w:r w:rsidRPr="000073E5">
        <w:t>with response options including ‘not at all’, ‘a little’, ‘somewhat’, ‘a lot’ and ‘always’.</w:t>
      </w:r>
      <w:r w:rsidRPr="000073E5">
        <w:rPr>
          <w:lang w:val="en-US"/>
        </w:rPr>
        <w:t xml:space="preserve"> In addition, trans and gender diverse participants were asked to what extent they felt they had been treated unfairly because of their gender identity in the past 12 months, </w:t>
      </w:r>
      <w:r w:rsidRPr="000073E5">
        <w:t xml:space="preserve">with the same response options as above. </w:t>
      </w:r>
      <w:r w:rsidRPr="000073E5">
        <w:rPr>
          <w:lang w:val="en-US"/>
        </w:rPr>
        <w:t xml:space="preserve">These were general questions designed to capture the degree to which people encountered discrimination in any area of their lives. Table </w:t>
      </w:r>
      <w:r>
        <w:rPr>
          <w:lang w:val="en-US"/>
        </w:rPr>
        <w:t>46.1-46.4</w:t>
      </w:r>
      <w:r w:rsidRPr="000073E5">
        <w:rPr>
          <w:lang w:val="en-US"/>
        </w:rPr>
        <w:t xml:space="preserve"> displays these results.</w:t>
      </w:r>
    </w:p>
    <w:p w14:paraId="5AA19862" w14:textId="1E202F4F" w:rsidR="009D0006" w:rsidRDefault="009D0006" w:rsidP="004E2605">
      <w:pPr>
        <w:pStyle w:val="Tableheading"/>
        <w:spacing w:before="120"/>
      </w:pPr>
      <w:bookmarkStart w:id="516" w:name="_Toc37345837"/>
      <w:bookmarkStart w:id="517" w:name="_Toc46861264"/>
      <w:bookmarkStart w:id="518" w:name="_Toc117062764"/>
      <w:bookmarkStart w:id="519" w:name="_Toc119651449"/>
      <w:r w:rsidRPr="004D09D9">
        <w:rPr>
          <w:bCs/>
        </w:rPr>
        <w:t>Table</w:t>
      </w:r>
      <w:r>
        <w:rPr>
          <w:bCs/>
        </w:rPr>
        <w:t>s</w:t>
      </w:r>
      <w:r w:rsidRPr="004D09D9">
        <w:rPr>
          <w:bCs/>
        </w:rPr>
        <w:t xml:space="preserve"> </w:t>
      </w:r>
      <w:r w:rsidRPr="004D09D9">
        <w:rPr>
          <w:bCs/>
        </w:rPr>
        <w:fldChar w:fldCharType="begin"/>
      </w:r>
      <w:r w:rsidRPr="004D09D9">
        <w:rPr>
          <w:bCs/>
        </w:rPr>
        <w:instrText xml:space="preserve"> SEQ Table \* ARABIC </w:instrText>
      </w:r>
      <w:r w:rsidRPr="004D09D9">
        <w:rPr>
          <w:bCs/>
        </w:rPr>
        <w:fldChar w:fldCharType="separate"/>
      </w:r>
      <w:r>
        <w:rPr>
          <w:bCs/>
          <w:noProof/>
        </w:rPr>
        <w:t>46</w:t>
      </w:r>
      <w:r w:rsidRPr="004D09D9">
        <w:rPr>
          <w:bCs/>
        </w:rPr>
        <w:fldChar w:fldCharType="end"/>
      </w:r>
      <w:r>
        <w:t xml:space="preserve">.1-46.4: </w:t>
      </w:r>
      <w:r w:rsidRPr="000073E5">
        <w:t xml:space="preserve">Extent to which you feel you have been unfairly treated due to sexual orientation (n = </w:t>
      </w:r>
      <w:r>
        <w:t>6320</w:t>
      </w:r>
      <w:r w:rsidRPr="000073E5">
        <w:t>)</w:t>
      </w:r>
      <w:r>
        <w:t xml:space="preserve"> and gender identity (n = 1539)</w:t>
      </w:r>
      <w:r w:rsidRPr="000073E5">
        <w:t xml:space="preserve"> </w:t>
      </w:r>
      <w:bookmarkEnd w:id="516"/>
      <w:bookmarkEnd w:id="517"/>
      <w:r w:rsidRPr="000073E5">
        <w:t xml:space="preserve">among </w:t>
      </w:r>
      <w:r>
        <w:t>adults</w:t>
      </w:r>
      <w:r w:rsidRPr="000073E5">
        <w:t xml:space="preserve"> with disability</w:t>
      </w:r>
      <w:r>
        <w:t xml:space="preserve"> aged 18+ years</w:t>
      </w:r>
      <w:bookmarkEnd w:id="518"/>
      <w:bookmarkEnd w:id="519"/>
    </w:p>
    <w:p w14:paraId="045FDCCB" w14:textId="77777777" w:rsidR="009D0006" w:rsidRDefault="009D0006" w:rsidP="001153FB">
      <w:pPr>
        <w:pStyle w:val="Tableheading"/>
      </w:pPr>
      <w:r>
        <w:t>Table 46.1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B4E8461"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6CA60E84" w14:textId="77777777" w:rsidR="009D0006" w:rsidRPr="003F4D73" w:rsidRDefault="009D0006" w:rsidP="00747848">
            <w:pPr>
              <w:pStyle w:val="Tableheader"/>
              <w:rPr>
                <w:color w:val="0D0D0D"/>
              </w:rPr>
            </w:pPr>
            <w:r w:rsidRPr="000F2487">
              <w:t>In the past 12 months, do you feel you have been treated unfairly</w:t>
            </w:r>
            <w:r>
              <w:t xml:space="preserve"> because of your…</w:t>
            </w:r>
          </w:p>
        </w:tc>
        <w:tc>
          <w:tcPr>
            <w:tcW w:w="1559" w:type="dxa"/>
            <w:noWrap/>
            <w:hideMark/>
          </w:tcPr>
          <w:p w14:paraId="3987D5B0" w14:textId="77777777" w:rsidR="009D0006" w:rsidRPr="003F4D73" w:rsidRDefault="009D0006" w:rsidP="00747848">
            <w:pPr>
              <w:pStyle w:val="Tableheader"/>
              <w:rPr>
                <w:color w:val="0D0D0D"/>
              </w:rPr>
            </w:pPr>
            <w:r>
              <w:rPr>
                <w:color w:val="0D0D0D"/>
              </w:rPr>
              <w:t>n</w:t>
            </w:r>
          </w:p>
        </w:tc>
        <w:tc>
          <w:tcPr>
            <w:tcW w:w="1559" w:type="dxa"/>
            <w:noWrap/>
            <w:hideMark/>
          </w:tcPr>
          <w:p w14:paraId="2B1DA4F8" w14:textId="77777777" w:rsidR="009D0006" w:rsidRPr="003F4D73" w:rsidRDefault="009D0006" w:rsidP="00747848">
            <w:pPr>
              <w:pStyle w:val="Tableheader"/>
              <w:rPr>
                <w:color w:val="0D0D0D"/>
              </w:rPr>
            </w:pPr>
            <w:r w:rsidRPr="003F4D73">
              <w:rPr>
                <w:color w:val="0D0D0D"/>
              </w:rPr>
              <w:t>%</w:t>
            </w:r>
          </w:p>
        </w:tc>
      </w:tr>
      <w:tr w:rsidR="009D0006" w:rsidRPr="003F4D73" w14:paraId="3603EE96"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E393F3F" w14:textId="77777777" w:rsidR="009D0006" w:rsidRPr="003F4D73" w:rsidRDefault="009D0006" w:rsidP="00747848">
            <w:pPr>
              <w:pStyle w:val="Tabletext"/>
              <w:rPr>
                <w:color w:val="0D0D0D"/>
              </w:rPr>
            </w:pPr>
            <w:r>
              <w:t>Sexual orientation</w:t>
            </w:r>
          </w:p>
        </w:tc>
        <w:tc>
          <w:tcPr>
            <w:tcW w:w="1559" w:type="dxa"/>
            <w:noWrap/>
          </w:tcPr>
          <w:p w14:paraId="753C550F" w14:textId="77777777" w:rsidR="009D0006" w:rsidRPr="003F4D73" w:rsidRDefault="009D0006" w:rsidP="00747848">
            <w:pPr>
              <w:pStyle w:val="Tabletext"/>
              <w:rPr>
                <w:color w:val="0D0D0D"/>
              </w:rPr>
            </w:pPr>
            <w:r>
              <w:t>242</w:t>
            </w:r>
          </w:p>
        </w:tc>
        <w:tc>
          <w:tcPr>
            <w:tcW w:w="1559" w:type="dxa"/>
            <w:noWrap/>
          </w:tcPr>
          <w:p w14:paraId="26982659" w14:textId="77777777" w:rsidR="009D0006" w:rsidRPr="003F4D73" w:rsidRDefault="009D0006" w:rsidP="00747848">
            <w:pPr>
              <w:pStyle w:val="Tabletext"/>
              <w:rPr>
                <w:color w:val="0D0D0D"/>
              </w:rPr>
            </w:pPr>
            <w:r>
              <w:t>56.9</w:t>
            </w:r>
          </w:p>
        </w:tc>
      </w:tr>
      <w:tr w:rsidR="009D0006" w:rsidRPr="003F4D73" w14:paraId="6DAB87DE"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FE4CA8E" w14:textId="77777777" w:rsidR="009D0006" w:rsidRPr="003F4D73" w:rsidRDefault="009D0006" w:rsidP="00747848">
            <w:pPr>
              <w:pStyle w:val="Tabletext"/>
              <w:rPr>
                <w:color w:val="0D0D0D"/>
              </w:rPr>
            </w:pPr>
            <w:r>
              <w:t>Gender identity</w:t>
            </w:r>
          </w:p>
        </w:tc>
        <w:tc>
          <w:tcPr>
            <w:tcW w:w="1559" w:type="dxa"/>
            <w:noWrap/>
          </w:tcPr>
          <w:p w14:paraId="173B902A" w14:textId="77777777" w:rsidR="009D0006" w:rsidRPr="003F4D73" w:rsidRDefault="009D0006" w:rsidP="00747848">
            <w:pPr>
              <w:pStyle w:val="Tabletext"/>
              <w:rPr>
                <w:color w:val="0D0D0D"/>
              </w:rPr>
            </w:pPr>
            <w:r>
              <w:t>90</w:t>
            </w:r>
          </w:p>
        </w:tc>
        <w:tc>
          <w:tcPr>
            <w:tcW w:w="1559" w:type="dxa"/>
            <w:noWrap/>
          </w:tcPr>
          <w:p w14:paraId="63166848" w14:textId="77777777" w:rsidR="009D0006" w:rsidRPr="003F4D73" w:rsidRDefault="009D0006" w:rsidP="00747848">
            <w:pPr>
              <w:pStyle w:val="Tabletext"/>
              <w:rPr>
                <w:color w:val="0D0D0D"/>
              </w:rPr>
            </w:pPr>
            <w:r>
              <w:t>83.3</w:t>
            </w:r>
          </w:p>
        </w:tc>
      </w:tr>
    </w:tbl>
    <w:p w14:paraId="68883732" w14:textId="77777777" w:rsidR="009D0006" w:rsidRDefault="009D0006" w:rsidP="001153FB">
      <w:pPr>
        <w:pStyle w:val="Tableheading"/>
        <w:rPr>
          <w:lang w:val="en-US"/>
        </w:rPr>
      </w:pPr>
      <w:r>
        <w:rPr>
          <w:lang w:val="en-US"/>
        </w:rPr>
        <w:t>Table 46.2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9E20DAF"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4CBA7A91" w14:textId="77777777" w:rsidR="009D0006" w:rsidRPr="003F4D73" w:rsidRDefault="009D0006" w:rsidP="00747848">
            <w:pPr>
              <w:pStyle w:val="Tableheader"/>
              <w:rPr>
                <w:color w:val="0D0D0D"/>
              </w:rPr>
            </w:pPr>
            <w:r w:rsidRPr="000F2487">
              <w:t>In the past 12 months, do you feel you have been treated unfairly</w:t>
            </w:r>
            <w:r>
              <w:t xml:space="preserve"> because of your…</w:t>
            </w:r>
          </w:p>
        </w:tc>
        <w:tc>
          <w:tcPr>
            <w:tcW w:w="1559" w:type="dxa"/>
            <w:hideMark/>
          </w:tcPr>
          <w:p w14:paraId="28FCDAC1" w14:textId="77777777" w:rsidR="009D0006" w:rsidRPr="003F4D73" w:rsidRDefault="009D0006" w:rsidP="00747848">
            <w:pPr>
              <w:pStyle w:val="Tableheader"/>
              <w:rPr>
                <w:color w:val="0D0D0D"/>
              </w:rPr>
            </w:pPr>
            <w:r>
              <w:rPr>
                <w:color w:val="0D0D0D"/>
              </w:rPr>
              <w:t>n</w:t>
            </w:r>
          </w:p>
        </w:tc>
        <w:tc>
          <w:tcPr>
            <w:tcW w:w="1559" w:type="dxa"/>
            <w:hideMark/>
          </w:tcPr>
          <w:p w14:paraId="0760DBEF" w14:textId="77777777" w:rsidR="009D0006" w:rsidRPr="003F4D73" w:rsidRDefault="009D0006" w:rsidP="00747848">
            <w:pPr>
              <w:pStyle w:val="Tableheader"/>
              <w:rPr>
                <w:color w:val="0D0D0D"/>
              </w:rPr>
            </w:pPr>
            <w:r w:rsidRPr="003F4D73">
              <w:rPr>
                <w:color w:val="0D0D0D"/>
              </w:rPr>
              <w:t>%</w:t>
            </w:r>
          </w:p>
        </w:tc>
      </w:tr>
      <w:tr w:rsidR="009D0006" w:rsidRPr="003F4D73" w14:paraId="1EAAF2E4"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033AC58" w14:textId="77777777" w:rsidR="009D0006" w:rsidRPr="003F4D73" w:rsidRDefault="009D0006" w:rsidP="00747848">
            <w:pPr>
              <w:pStyle w:val="Tabletext"/>
              <w:rPr>
                <w:color w:val="0D0D0D"/>
              </w:rPr>
            </w:pPr>
            <w:r>
              <w:t>Sexual orientation</w:t>
            </w:r>
          </w:p>
        </w:tc>
        <w:tc>
          <w:tcPr>
            <w:tcW w:w="1559" w:type="dxa"/>
          </w:tcPr>
          <w:p w14:paraId="39678788" w14:textId="77777777" w:rsidR="009D0006" w:rsidRPr="003F4D73" w:rsidRDefault="009D0006" w:rsidP="00747848">
            <w:pPr>
              <w:pStyle w:val="Tabletext"/>
              <w:rPr>
                <w:color w:val="0D0D0D"/>
              </w:rPr>
            </w:pPr>
            <w:r>
              <w:t>842</w:t>
            </w:r>
          </w:p>
        </w:tc>
        <w:tc>
          <w:tcPr>
            <w:tcW w:w="1559" w:type="dxa"/>
          </w:tcPr>
          <w:p w14:paraId="53C744E5" w14:textId="77777777" w:rsidR="009D0006" w:rsidRPr="003F4D73" w:rsidRDefault="009D0006" w:rsidP="00747848">
            <w:pPr>
              <w:pStyle w:val="Tabletext"/>
              <w:rPr>
                <w:color w:val="0D0D0D"/>
              </w:rPr>
            </w:pPr>
            <w:r>
              <w:t>62.1</w:t>
            </w:r>
          </w:p>
        </w:tc>
      </w:tr>
      <w:tr w:rsidR="009D0006" w:rsidRPr="003F4D73" w14:paraId="6B0F8D03"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F34C54F" w14:textId="77777777" w:rsidR="009D0006" w:rsidRPr="003F4D73" w:rsidRDefault="009D0006" w:rsidP="00747848">
            <w:pPr>
              <w:pStyle w:val="Tabletext"/>
              <w:rPr>
                <w:color w:val="0D0D0D"/>
              </w:rPr>
            </w:pPr>
            <w:r>
              <w:t>Gender identity</w:t>
            </w:r>
          </w:p>
        </w:tc>
        <w:tc>
          <w:tcPr>
            <w:tcW w:w="1559" w:type="dxa"/>
          </w:tcPr>
          <w:p w14:paraId="46822F2E" w14:textId="77777777" w:rsidR="009D0006" w:rsidRPr="003F4D73" w:rsidRDefault="009D0006" w:rsidP="00747848">
            <w:pPr>
              <w:pStyle w:val="Tabletext"/>
              <w:rPr>
                <w:color w:val="0D0D0D"/>
              </w:rPr>
            </w:pPr>
            <w:r>
              <w:t>376</w:t>
            </w:r>
          </w:p>
        </w:tc>
        <w:tc>
          <w:tcPr>
            <w:tcW w:w="1559" w:type="dxa"/>
          </w:tcPr>
          <w:p w14:paraId="0B58DC7E" w14:textId="77777777" w:rsidR="009D0006" w:rsidRPr="003F4D73" w:rsidRDefault="009D0006" w:rsidP="00747848">
            <w:pPr>
              <w:pStyle w:val="Tabletext"/>
              <w:rPr>
                <w:color w:val="0D0D0D"/>
              </w:rPr>
            </w:pPr>
            <w:r>
              <w:t>81.4</w:t>
            </w:r>
          </w:p>
        </w:tc>
      </w:tr>
    </w:tbl>
    <w:p w14:paraId="4EA1919E" w14:textId="77777777" w:rsidR="009D0006" w:rsidRDefault="009D0006" w:rsidP="001153FB">
      <w:pPr>
        <w:pStyle w:val="Tableheading"/>
        <w:rPr>
          <w:lang w:val="en-US"/>
        </w:rPr>
      </w:pPr>
      <w:r>
        <w:rPr>
          <w:lang w:val="en-US"/>
        </w:rPr>
        <w:t>Table 46.3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124F5C4"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275C3909" w14:textId="77777777" w:rsidR="009D0006" w:rsidRPr="003F4D73" w:rsidRDefault="009D0006" w:rsidP="00747848">
            <w:pPr>
              <w:pStyle w:val="Tableheader"/>
              <w:rPr>
                <w:color w:val="0D0D0D"/>
              </w:rPr>
            </w:pPr>
            <w:r w:rsidRPr="000F2487">
              <w:t>In the past 12 months, do you feel you have been treated unfairly</w:t>
            </w:r>
            <w:r>
              <w:t xml:space="preserve"> because of your…</w:t>
            </w:r>
          </w:p>
        </w:tc>
        <w:tc>
          <w:tcPr>
            <w:tcW w:w="1559" w:type="dxa"/>
            <w:noWrap/>
            <w:hideMark/>
          </w:tcPr>
          <w:p w14:paraId="1804D18F" w14:textId="77777777" w:rsidR="009D0006" w:rsidRPr="003F4D73" w:rsidRDefault="009D0006" w:rsidP="00747848">
            <w:pPr>
              <w:pStyle w:val="Tableheader"/>
              <w:rPr>
                <w:color w:val="0D0D0D"/>
              </w:rPr>
            </w:pPr>
            <w:r>
              <w:rPr>
                <w:color w:val="0D0D0D"/>
              </w:rPr>
              <w:t>n</w:t>
            </w:r>
          </w:p>
        </w:tc>
        <w:tc>
          <w:tcPr>
            <w:tcW w:w="1559" w:type="dxa"/>
            <w:noWrap/>
            <w:hideMark/>
          </w:tcPr>
          <w:p w14:paraId="0BE812C6" w14:textId="77777777" w:rsidR="009D0006" w:rsidRPr="003F4D73" w:rsidRDefault="009D0006" w:rsidP="00747848">
            <w:pPr>
              <w:pStyle w:val="Tableheader"/>
              <w:rPr>
                <w:color w:val="0D0D0D"/>
              </w:rPr>
            </w:pPr>
            <w:r w:rsidRPr="003F4D73">
              <w:rPr>
                <w:color w:val="0D0D0D"/>
              </w:rPr>
              <w:t>%</w:t>
            </w:r>
          </w:p>
        </w:tc>
      </w:tr>
      <w:tr w:rsidR="009D0006" w:rsidRPr="003F4D73" w14:paraId="300A847D"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1F5571D" w14:textId="77777777" w:rsidR="009D0006" w:rsidRPr="003F4D73" w:rsidRDefault="009D0006" w:rsidP="00747848">
            <w:pPr>
              <w:pStyle w:val="Tabletext"/>
              <w:rPr>
                <w:color w:val="0D0D0D"/>
              </w:rPr>
            </w:pPr>
            <w:r>
              <w:t>Sexual orientation</w:t>
            </w:r>
          </w:p>
        </w:tc>
        <w:tc>
          <w:tcPr>
            <w:tcW w:w="1559" w:type="dxa"/>
            <w:noWrap/>
          </w:tcPr>
          <w:p w14:paraId="1C1BD77E" w14:textId="77777777" w:rsidR="009D0006" w:rsidRPr="003F4D73" w:rsidRDefault="009D0006" w:rsidP="00747848">
            <w:pPr>
              <w:pStyle w:val="Tabletext"/>
              <w:rPr>
                <w:color w:val="0D0D0D"/>
              </w:rPr>
            </w:pPr>
            <w:r>
              <w:t>520</w:t>
            </w:r>
          </w:p>
        </w:tc>
        <w:tc>
          <w:tcPr>
            <w:tcW w:w="1559" w:type="dxa"/>
            <w:noWrap/>
          </w:tcPr>
          <w:p w14:paraId="7326BC16" w14:textId="77777777" w:rsidR="009D0006" w:rsidRPr="003F4D73" w:rsidRDefault="009D0006" w:rsidP="00747848">
            <w:pPr>
              <w:pStyle w:val="Tabletext"/>
              <w:rPr>
                <w:color w:val="0D0D0D"/>
              </w:rPr>
            </w:pPr>
            <w:r>
              <w:t>67.5</w:t>
            </w:r>
          </w:p>
        </w:tc>
      </w:tr>
      <w:tr w:rsidR="009D0006" w:rsidRPr="003F4D73" w14:paraId="1C396B7A"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E8989DA" w14:textId="77777777" w:rsidR="009D0006" w:rsidRPr="003F4D73" w:rsidRDefault="009D0006" w:rsidP="00747848">
            <w:pPr>
              <w:pStyle w:val="Tabletext"/>
              <w:rPr>
                <w:color w:val="0D0D0D"/>
              </w:rPr>
            </w:pPr>
            <w:r>
              <w:t>Gender identity</w:t>
            </w:r>
          </w:p>
        </w:tc>
        <w:tc>
          <w:tcPr>
            <w:tcW w:w="1559" w:type="dxa"/>
            <w:noWrap/>
          </w:tcPr>
          <w:p w14:paraId="1D7A2CE4" w14:textId="77777777" w:rsidR="009D0006" w:rsidRPr="003F4D73" w:rsidRDefault="009D0006" w:rsidP="00747848">
            <w:pPr>
              <w:pStyle w:val="Tabletext"/>
              <w:rPr>
                <w:color w:val="0D0D0D"/>
              </w:rPr>
            </w:pPr>
            <w:r>
              <w:t>304</w:t>
            </w:r>
          </w:p>
        </w:tc>
        <w:tc>
          <w:tcPr>
            <w:tcW w:w="1559" w:type="dxa"/>
            <w:noWrap/>
          </w:tcPr>
          <w:p w14:paraId="7318DF3F" w14:textId="77777777" w:rsidR="009D0006" w:rsidRPr="003F4D73" w:rsidRDefault="009D0006" w:rsidP="00747848">
            <w:pPr>
              <w:pStyle w:val="Tabletext"/>
              <w:rPr>
                <w:color w:val="0D0D0D"/>
              </w:rPr>
            </w:pPr>
            <w:r>
              <w:t>83.5</w:t>
            </w:r>
          </w:p>
        </w:tc>
      </w:tr>
    </w:tbl>
    <w:p w14:paraId="702D1C81" w14:textId="77777777" w:rsidR="009D0006" w:rsidRDefault="009D0006" w:rsidP="001153FB">
      <w:pPr>
        <w:pStyle w:val="Tableheading"/>
        <w:rPr>
          <w:lang w:val="en-US"/>
        </w:rPr>
      </w:pPr>
      <w:r>
        <w:rPr>
          <w:lang w:val="en-US"/>
        </w:rPr>
        <w:t xml:space="preserve">Table 46.4 </w:t>
      </w:r>
      <w:r>
        <w:rPr>
          <w:lang w:val="en-US"/>
        </w:rPr>
        <w:lastRenderedPageBreak/>
        <w:t>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3A9269E"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0DAB70BC" w14:textId="77777777" w:rsidR="009D0006" w:rsidRPr="003F4D73" w:rsidRDefault="009D0006" w:rsidP="00747848">
            <w:pPr>
              <w:pStyle w:val="Tableheader"/>
              <w:rPr>
                <w:color w:val="0D0D0D"/>
              </w:rPr>
            </w:pPr>
            <w:r w:rsidRPr="000F2487">
              <w:t>In the past 12 months, do you feel you have been treated unfairly</w:t>
            </w:r>
            <w:r>
              <w:t xml:space="preserve"> because of your…</w:t>
            </w:r>
          </w:p>
        </w:tc>
        <w:tc>
          <w:tcPr>
            <w:tcW w:w="1559" w:type="dxa"/>
            <w:hideMark/>
          </w:tcPr>
          <w:p w14:paraId="0510971F" w14:textId="77777777" w:rsidR="009D0006" w:rsidRPr="003F4D73" w:rsidRDefault="009D0006" w:rsidP="00747848">
            <w:pPr>
              <w:pStyle w:val="Tableheader"/>
              <w:rPr>
                <w:color w:val="0D0D0D"/>
              </w:rPr>
            </w:pPr>
            <w:r>
              <w:rPr>
                <w:color w:val="0D0D0D"/>
              </w:rPr>
              <w:t>n</w:t>
            </w:r>
          </w:p>
        </w:tc>
        <w:tc>
          <w:tcPr>
            <w:tcW w:w="1559" w:type="dxa"/>
            <w:hideMark/>
          </w:tcPr>
          <w:p w14:paraId="688223ED" w14:textId="77777777" w:rsidR="009D0006" w:rsidRPr="003F4D73" w:rsidRDefault="009D0006" w:rsidP="00747848">
            <w:pPr>
              <w:pStyle w:val="Tableheader"/>
              <w:rPr>
                <w:color w:val="0D0D0D"/>
              </w:rPr>
            </w:pPr>
            <w:r w:rsidRPr="003F4D73">
              <w:rPr>
                <w:color w:val="0D0D0D"/>
              </w:rPr>
              <w:t>%</w:t>
            </w:r>
          </w:p>
        </w:tc>
      </w:tr>
      <w:tr w:rsidR="009D0006" w:rsidRPr="003F4D73" w14:paraId="37146197"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B3B6E56" w14:textId="77777777" w:rsidR="009D0006" w:rsidRPr="003F4D73" w:rsidRDefault="009D0006" w:rsidP="00747848">
            <w:pPr>
              <w:pStyle w:val="Tabletext"/>
              <w:rPr>
                <w:color w:val="0D0D0D"/>
              </w:rPr>
            </w:pPr>
            <w:r>
              <w:t>Sexual orientation</w:t>
            </w:r>
          </w:p>
        </w:tc>
        <w:tc>
          <w:tcPr>
            <w:tcW w:w="1559" w:type="dxa"/>
          </w:tcPr>
          <w:p w14:paraId="6204CB82" w14:textId="77777777" w:rsidR="009D0006" w:rsidRPr="003F4D73" w:rsidRDefault="009D0006" w:rsidP="00747848">
            <w:pPr>
              <w:pStyle w:val="Tabletext"/>
              <w:rPr>
                <w:color w:val="0D0D0D"/>
              </w:rPr>
            </w:pPr>
            <w:r>
              <w:t>1989</w:t>
            </w:r>
          </w:p>
        </w:tc>
        <w:tc>
          <w:tcPr>
            <w:tcW w:w="1559" w:type="dxa"/>
          </w:tcPr>
          <w:p w14:paraId="6D001437" w14:textId="77777777" w:rsidR="009D0006" w:rsidRPr="003F4D73" w:rsidRDefault="009D0006" w:rsidP="00747848">
            <w:pPr>
              <w:pStyle w:val="Tabletext"/>
              <w:rPr>
                <w:color w:val="0D0D0D"/>
              </w:rPr>
            </w:pPr>
            <w:r>
              <w:t>52.8</w:t>
            </w:r>
          </w:p>
        </w:tc>
      </w:tr>
      <w:tr w:rsidR="009D0006" w:rsidRPr="003F4D73" w14:paraId="5A858A8E"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3F0AF01" w14:textId="77777777" w:rsidR="009D0006" w:rsidRPr="003F4D73" w:rsidRDefault="009D0006" w:rsidP="00747848">
            <w:pPr>
              <w:pStyle w:val="Tabletext"/>
              <w:rPr>
                <w:color w:val="0D0D0D"/>
              </w:rPr>
            </w:pPr>
            <w:r>
              <w:t>Gender identity</w:t>
            </w:r>
          </w:p>
        </w:tc>
        <w:tc>
          <w:tcPr>
            <w:tcW w:w="1559" w:type="dxa"/>
          </w:tcPr>
          <w:p w14:paraId="63768856" w14:textId="77777777" w:rsidR="009D0006" w:rsidRPr="003F4D73" w:rsidRDefault="009D0006" w:rsidP="00747848">
            <w:pPr>
              <w:pStyle w:val="Tabletext"/>
              <w:rPr>
                <w:color w:val="0D0D0D"/>
              </w:rPr>
            </w:pPr>
            <w:r>
              <w:t>427</w:t>
            </w:r>
          </w:p>
        </w:tc>
        <w:tc>
          <w:tcPr>
            <w:tcW w:w="1559" w:type="dxa"/>
          </w:tcPr>
          <w:p w14:paraId="55593650" w14:textId="77777777" w:rsidR="009D0006" w:rsidRPr="003F4D73" w:rsidRDefault="009D0006" w:rsidP="00747848">
            <w:pPr>
              <w:pStyle w:val="Tabletext"/>
              <w:rPr>
                <w:color w:val="0D0D0D"/>
              </w:rPr>
            </w:pPr>
            <w:r>
              <w:t>70.6</w:t>
            </w:r>
          </w:p>
        </w:tc>
      </w:tr>
    </w:tbl>
    <w:p w14:paraId="50214E37" w14:textId="77777777" w:rsidR="009D0006" w:rsidRDefault="009D0006" w:rsidP="001153FB">
      <w:pPr>
        <w:spacing w:before="360"/>
        <w:rPr>
          <w:lang w:val="en-US"/>
        </w:rPr>
      </w:pPr>
      <w:r>
        <w:rPr>
          <w:lang w:val="en-US"/>
        </w:rPr>
        <w:t xml:space="preserve">As displayed in Table 46.1-46.4, more than two-thirds of participants who were </w:t>
      </w:r>
      <w:r>
        <w:t xml:space="preserve">categorised </w:t>
      </w:r>
      <w:r>
        <w:rPr>
          <w:lang w:val="en-US"/>
        </w:rPr>
        <w:t xml:space="preserve">with severe disability in </w:t>
      </w:r>
      <w:r>
        <w:rPr>
          <w:i/>
          <w:iCs/>
          <w:lang w:val="en-US"/>
        </w:rPr>
        <w:t>Private Lives 3</w:t>
      </w:r>
      <w:r>
        <w:rPr>
          <w:lang w:val="en-US"/>
        </w:rPr>
        <w:t xml:space="preserve"> felt that they had been treated unfairly because of their sexual orientation (67.5%; n = 520), followed by participants </w:t>
      </w:r>
      <w:r>
        <w:t xml:space="preserve">categorised </w:t>
      </w:r>
      <w:r>
        <w:rPr>
          <w:lang w:val="en-US"/>
        </w:rPr>
        <w:t xml:space="preserve">with a moderate disability (62.1%; n = 842) and participants </w:t>
      </w:r>
      <w:r>
        <w:t xml:space="preserve">categorised </w:t>
      </w:r>
      <w:r>
        <w:rPr>
          <w:lang w:val="en-US"/>
        </w:rPr>
        <w:t>with a mild disability (56.9%; n = 242). Compared to participants with disability, a lower proportion of those not reporting disability felt that they had been treated unfairly because of their sexual orientation (52.8%; n = 1989).</w:t>
      </w:r>
    </w:p>
    <w:p w14:paraId="28C26BA6" w14:textId="77777777" w:rsidR="009D0006" w:rsidRDefault="009D0006" w:rsidP="009D0006">
      <w:r>
        <w:rPr>
          <w:lang w:val="en-US"/>
        </w:rPr>
        <w:t xml:space="preserve">Among participants who identified as trans or gender diverse, more than four-fifths of participants who were </w:t>
      </w:r>
      <w:r>
        <w:t xml:space="preserve">categorised </w:t>
      </w:r>
      <w:r>
        <w:rPr>
          <w:lang w:val="en-US"/>
        </w:rPr>
        <w:t xml:space="preserve">with a severe disability felt that they had been treated unfairly because of their gender identity (83.5%; n = 304), followed by participants </w:t>
      </w:r>
      <w:r>
        <w:t xml:space="preserve">categorised </w:t>
      </w:r>
      <w:r>
        <w:rPr>
          <w:lang w:val="en-US"/>
        </w:rPr>
        <w:t xml:space="preserve">with a mild disability (83.3%; n = 90) and those </w:t>
      </w:r>
      <w:r>
        <w:t>categorised</w:t>
      </w:r>
      <w:r>
        <w:rPr>
          <w:lang w:val="en-US"/>
        </w:rPr>
        <w:t xml:space="preserve"> with a moderate disability (81.4%; n = 376). Compared to participants with disability, a lower proportion of those not reporting disability felt that they had been treated unfairly because of their gender identity (70.6%; n = 427).</w:t>
      </w:r>
      <w:bookmarkStart w:id="520" w:name="_Toc37346041"/>
      <w:bookmarkStart w:id="521" w:name="_Toc42029329"/>
      <w:bookmarkStart w:id="522" w:name="_Toc42030069"/>
      <w:bookmarkStart w:id="523" w:name="_Toc43903871"/>
    </w:p>
    <w:p w14:paraId="6D44D1ED" w14:textId="4230F79E" w:rsidR="009D0006" w:rsidRPr="000073E5" w:rsidRDefault="009D0006" w:rsidP="00153892">
      <w:pPr>
        <w:pStyle w:val="Heading2Numbered"/>
      </w:pPr>
      <w:bookmarkStart w:id="524" w:name="_Toc115968570"/>
      <w:bookmarkStart w:id="525" w:name="_Toc119662431"/>
      <w:r w:rsidRPr="000073E5">
        <w:t>Experiences of violence based on sexual orientation and/or gender identity</w:t>
      </w:r>
      <w:bookmarkEnd w:id="520"/>
      <w:bookmarkEnd w:id="521"/>
      <w:bookmarkEnd w:id="522"/>
      <w:bookmarkEnd w:id="523"/>
      <w:r w:rsidRPr="000073E5">
        <w:t xml:space="preserve"> - adults aged 18+ years</w:t>
      </w:r>
      <w:bookmarkEnd w:id="524"/>
      <w:bookmarkEnd w:id="525"/>
    </w:p>
    <w:p w14:paraId="04365AD3" w14:textId="77777777" w:rsidR="009D0006" w:rsidRDefault="009D0006" w:rsidP="009D0006">
      <w:r w:rsidRPr="000073E5">
        <w:rPr>
          <w:bCs/>
        </w:rPr>
        <w:t xml:space="preserve">Participants were asked </w:t>
      </w:r>
      <w:r w:rsidRPr="000073E5">
        <w:t xml:space="preserve">if they had experienced specific forms of heterosexist violence or harassment based on their sexual orientation or gender identity in the past 12 months. Table </w:t>
      </w:r>
      <w:r>
        <w:t>47</w:t>
      </w:r>
      <w:r w:rsidRPr="000073E5">
        <w:t xml:space="preserve"> displays these results.</w:t>
      </w:r>
    </w:p>
    <w:p w14:paraId="34470F85" w14:textId="4C800989" w:rsidR="009D0006" w:rsidRDefault="009D0006" w:rsidP="001153FB">
      <w:pPr>
        <w:pStyle w:val="Tableheading"/>
        <w:rPr>
          <w:u w:val="single"/>
        </w:rPr>
      </w:pPr>
      <w:bookmarkStart w:id="526" w:name="_Toc117062765"/>
      <w:bookmarkStart w:id="527" w:name="_Toc119651450"/>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47</w:t>
      </w:r>
      <w:r w:rsidRPr="004D09D9">
        <w:rPr>
          <w:bCs/>
        </w:rPr>
        <w:fldChar w:fldCharType="end"/>
      </w:r>
      <w:r>
        <w:t xml:space="preserve">: </w:t>
      </w:r>
      <w:r w:rsidRPr="00E06503">
        <w:t>Experiences of violence and harassment due to sexual orientation or gender</w:t>
      </w:r>
      <w:r w:rsidRPr="000073E5">
        <w:t xml:space="preserve"> identity in the past 12 months</w:t>
      </w:r>
      <w:r>
        <w:t xml:space="preserve"> among adults with disability aged 18+ years</w:t>
      </w:r>
      <w:bookmarkEnd w:id="526"/>
      <w:bookmarkEnd w:id="527"/>
    </w:p>
    <w:tbl>
      <w:tblPr>
        <w:tblStyle w:val="RCTable"/>
        <w:tblW w:w="9864" w:type="dxa"/>
        <w:tblInd w:w="-23" w:type="dxa"/>
        <w:tblLook w:val="04A0" w:firstRow="1" w:lastRow="0" w:firstColumn="1" w:lastColumn="0" w:noHBand="0" w:noVBand="1"/>
      </w:tblPr>
      <w:tblGrid>
        <w:gridCol w:w="6746"/>
        <w:gridCol w:w="1559"/>
        <w:gridCol w:w="1559"/>
      </w:tblGrid>
      <w:tr w:rsidR="009D0006" w:rsidRPr="00047EDF" w14:paraId="7D17D4BA" w14:textId="77777777" w:rsidTr="004E2605">
        <w:trPr>
          <w:cnfStyle w:val="100000000000" w:firstRow="1" w:lastRow="0" w:firstColumn="0" w:lastColumn="0" w:oddVBand="0" w:evenVBand="0" w:oddHBand="0" w:evenHBand="0" w:firstRowFirstColumn="0" w:firstRowLastColumn="0" w:lastRowFirstColumn="0" w:lastRowLastColumn="0"/>
          <w:trHeight w:val="345"/>
          <w:tblHeader/>
        </w:trPr>
        <w:tc>
          <w:tcPr>
            <w:tcW w:w="6746" w:type="dxa"/>
            <w:noWrap/>
            <w:hideMark/>
          </w:tcPr>
          <w:p w14:paraId="252B2401" w14:textId="77777777" w:rsidR="009D0006" w:rsidRPr="00D80F67" w:rsidRDefault="009D0006" w:rsidP="00747848">
            <w:pPr>
              <w:pStyle w:val="Tableheader"/>
              <w:rPr>
                <w:rFonts w:cs="Roboto"/>
                <w:lang w:val="en-US"/>
              </w:rPr>
            </w:pPr>
            <w:r w:rsidRPr="00D80F67">
              <w:t>Type of violence or harassment</w:t>
            </w:r>
          </w:p>
        </w:tc>
        <w:tc>
          <w:tcPr>
            <w:tcW w:w="1559" w:type="dxa"/>
            <w:noWrap/>
            <w:hideMark/>
          </w:tcPr>
          <w:p w14:paraId="0311072B" w14:textId="77777777" w:rsidR="009D0006" w:rsidRPr="00047EDF" w:rsidRDefault="009D0006" w:rsidP="00747848">
            <w:pPr>
              <w:pStyle w:val="Tableheader"/>
              <w:rPr>
                <w:rFonts w:cs="Roboto"/>
                <w:lang w:val="en-US"/>
              </w:rPr>
            </w:pPr>
            <w:r w:rsidRPr="00047EDF">
              <w:rPr>
                <w:rFonts w:cs="Roboto"/>
                <w:lang w:val="en-US"/>
              </w:rPr>
              <w:t>n</w:t>
            </w:r>
          </w:p>
        </w:tc>
        <w:tc>
          <w:tcPr>
            <w:tcW w:w="1559" w:type="dxa"/>
            <w:noWrap/>
            <w:hideMark/>
          </w:tcPr>
          <w:p w14:paraId="3F4CB711" w14:textId="77777777" w:rsidR="009D0006" w:rsidRPr="00047EDF" w:rsidRDefault="009D0006" w:rsidP="00747848">
            <w:pPr>
              <w:pStyle w:val="Tableheader"/>
              <w:rPr>
                <w:rFonts w:cs="Roboto"/>
                <w:lang w:val="en-US"/>
              </w:rPr>
            </w:pPr>
            <w:r w:rsidRPr="00047EDF">
              <w:rPr>
                <w:rFonts w:cs="Roboto"/>
                <w:lang w:val="en-US"/>
              </w:rPr>
              <w:t>%</w:t>
            </w:r>
          </w:p>
        </w:tc>
      </w:tr>
      <w:tr w:rsidR="009D0006" w:rsidRPr="00047EDF" w14:paraId="029C3E98"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1648D457" w14:textId="77777777" w:rsidR="009D0006" w:rsidRPr="00D80F67" w:rsidRDefault="009D0006" w:rsidP="00747848">
            <w:pPr>
              <w:pStyle w:val="Tabletext"/>
              <w:rPr>
                <w:b/>
                <w:bCs/>
                <w:lang w:val="en-US"/>
              </w:rPr>
            </w:pPr>
            <w:r w:rsidRPr="00D80F67">
              <w:rPr>
                <w:lang w:val="en-US"/>
              </w:rPr>
              <w:t>Socially excluded</w:t>
            </w:r>
          </w:p>
        </w:tc>
        <w:tc>
          <w:tcPr>
            <w:tcW w:w="1559" w:type="dxa"/>
            <w:noWrap/>
          </w:tcPr>
          <w:p w14:paraId="0306CF52" w14:textId="77777777" w:rsidR="009D0006" w:rsidRPr="00047EDF" w:rsidRDefault="009D0006" w:rsidP="00747848">
            <w:pPr>
              <w:pStyle w:val="Tabletext"/>
              <w:rPr>
                <w:b/>
                <w:bCs/>
                <w:lang w:val="en-US"/>
              </w:rPr>
            </w:pPr>
            <w:r>
              <w:t>1175</w:t>
            </w:r>
          </w:p>
        </w:tc>
        <w:tc>
          <w:tcPr>
            <w:tcW w:w="1559" w:type="dxa"/>
            <w:noWrap/>
          </w:tcPr>
          <w:p w14:paraId="374C3BBB" w14:textId="77777777" w:rsidR="009D0006" w:rsidRPr="00047EDF" w:rsidRDefault="009D0006" w:rsidP="00747848">
            <w:pPr>
              <w:pStyle w:val="Tabletext"/>
              <w:rPr>
                <w:lang w:val="en-US"/>
              </w:rPr>
            </w:pPr>
            <w:r>
              <w:t>50.3</w:t>
            </w:r>
          </w:p>
        </w:tc>
      </w:tr>
      <w:tr w:rsidR="009D0006" w:rsidRPr="00047EDF" w14:paraId="51A33730"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hideMark/>
          </w:tcPr>
          <w:p w14:paraId="3F1A068A" w14:textId="77777777" w:rsidR="009D0006" w:rsidRPr="00D80F67" w:rsidRDefault="009D0006" w:rsidP="00747848">
            <w:pPr>
              <w:pStyle w:val="Tabletext"/>
              <w:rPr>
                <w:lang w:val="en-US"/>
              </w:rPr>
            </w:pPr>
            <w:r w:rsidRPr="00D80F67">
              <w:rPr>
                <w:lang w:val="en-US"/>
              </w:rPr>
              <w:t>Verbal abuse (including hateful or obscene phone calls)</w:t>
            </w:r>
          </w:p>
        </w:tc>
        <w:tc>
          <w:tcPr>
            <w:tcW w:w="1559" w:type="dxa"/>
            <w:noWrap/>
          </w:tcPr>
          <w:p w14:paraId="6479B440" w14:textId="77777777" w:rsidR="009D0006" w:rsidRPr="00047EDF" w:rsidRDefault="009D0006" w:rsidP="00747848">
            <w:pPr>
              <w:pStyle w:val="Tabletext"/>
              <w:rPr>
                <w:lang w:val="en-US"/>
              </w:rPr>
            </w:pPr>
            <w:r>
              <w:t>986</w:t>
            </w:r>
          </w:p>
        </w:tc>
        <w:tc>
          <w:tcPr>
            <w:tcW w:w="1559" w:type="dxa"/>
            <w:noWrap/>
          </w:tcPr>
          <w:p w14:paraId="2C04DD1C" w14:textId="77777777" w:rsidR="009D0006" w:rsidRPr="00047EDF" w:rsidRDefault="009D0006" w:rsidP="00747848">
            <w:pPr>
              <w:pStyle w:val="Tabletext"/>
              <w:rPr>
                <w:lang w:val="en-US"/>
              </w:rPr>
            </w:pPr>
            <w:r>
              <w:t>42.5</w:t>
            </w:r>
          </w:p>
        </w:tc>
      </w:tr>
      <w:tr w:rsidR="009D0006" w:rsidRPr="00047EDF" w14:paraId="19B4F629"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7D89193B" w14:textId="77777777" w:rsidR="009D0006" w:rsidRPr="00D80F67" w:rsidRDefault="009D0006" w:rsidP="00747848">
            <w:pPr>
              <w:pStyle w:val="Tabletext"/>
              <w:rPr>
                <w:lang w:val="en-US"/>
              </w:rPr>
            </w:pPr>
            <w:r w:rsidRPr="00D80F67">
              <w:rPr>
                <w:lang w:val="en-US"/>
              </w:rPr>
              <w:t xml:space="preserve">Harassment </w:t>
            </w:r>
            <w:r w:rsidRPr="00D80F67">
              <w:rPr>
                <w:lang w:val="en-US"/>
              </w:rPr>
              <w:lastRenderedPageBreak/>
              <w:t>such as being spat at and offensive gestures</w:t>
            </w:r>
          </w:p>
        </w:tc>
        <w:tc>
          <w:tcPr>
            <w:tcW w:w="1559" w:type="dxa"/>
            <w:noWrap/>
          </w:tcPr>
          <w:p w14:paraId="0F99E2C0" w14:textId="77777777" w:rsidR="009D0006" w:rsidRPr="00047EDF" w:rsidRDefault="009D0006" w:rsidP="00747848">
            <w:pPr>
              <w:pStyle w:val="Tabletext"/>
              <w:rPr>
                <w:lang w:val="en-US"/>
              </w:rPr>
            </w:pPr>
            <w:r>
              <w:t>709</w:t>
            </w:r>
          </w:p>
        </w:tc>
        <w:tc>
          <w:tcPr>
            <w:tcW w:w="1559" w:type="dxa"/>
            <w:noWrap/>
          </w:tcPr>
          <w:p w14:paraId="1D9C8C09" w14:textId="77777777" w:rsidR="009D0006" w:rsidRPr="00047EDF" w:rsidRDefault="009D0006" w:rsidP="00747848">
            <w:pPr>
              <w:pStyle w:val="Tabletext"/>
              <w:rPr>
                <w:lang w:val="en-US"/>
              </w:rPr>
            </w:pPr>
            <w:r>
              <w:t>30.7</w:t>
            </w:r>
          </w:p>
        </w:tc>
      </w:tr>
      <w:tr w:rsidR="009D0006" w:rsidRPr="00047EDF" w14:paraId="6881C2AE"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4E5441E9" w14:textId="77777777" w:rsidR="009D0006" w:rsidRPr="00D80F67" w:rsidRDefault="009D0006" w:rsidP="00747848">
            <w:pPr>
              <w:pStyle w:val="Tabletext"/>
              <w:rPr>
                <w:b/>
                <w:bCs/>
                <w:lang w:val="en-US"/>
              </w:rPr>
            </w:pPr>
            <w:r w:rsidRPr="00D80F67">
              <w:rPr>
                <w:lang w:val="en-US"/>
              </w:rPr>
              <w:t xml:space="preserve">Received written threats of abuse via emails, social media </w:t>
            </w:r>
          </w:p>
        </w:tc>
        <w:tc>
          <w:tcPr>
            <w:tcW w:w="1559" w:type="dxa"/>
            <w:noWrap/>
          </w:tcPr>
          <w:p w14:paraId="11715845" w14:textId="77777777" w:rsidR="009D0006" w:rsidRPr="00047EDF" w:rsidRDefault="009D0006" w:rsidP="00747848">
            <w:pPr>
              <w:pStyle w:val="Tabletext"/>
              <w:rPr>
                <w:b/>
                <w:bCs/>
                <w:lang w:val="en-US"/>
              </w:rPr>
            </w:pPr>
            <w:r>
              <w:t>697</w:t>
            </w:r>
          </w:p>
        </w:tc>
        <w:tc>
          <w:tcPr>
            <w:tcW w:w="1559" w:type="dxa"/>
            <w:noWrap/>
          </w:tcPr>
          <w:p w14:paraId="445413A0" w14:textId="77777777" w:rsidR="009D0006" w:rsidRPr="00047EDF" w:rsidRDefault="009D0006" w:rsidP="00747848">
            <w:pPr>
              <w:pStyle w:val="Tabletext"/>
              <w:rPr>
                <w:lang w:val="en-US"/>
              </w:rPr>
            </w:pPr>
            <w:r>
              <w:t>30.5</w:t>
            </w:r>
          </w:p>
        </w:tc>
      </w:tr>
      <w:tr w:rsidR="009D0006" w:rsidRPr="00047EDF" w14:paraId="518DFA5B"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55167A15" w14:textId="77777777" w:rsidR="009D0006" w:rsidRPr="00D80F67" w:rsidRDefault="009D0006" w:rsidP="00747848">
            <w:pPr>
              <w:pStyle w:val="Tabletext"/>
              <w:rPr>
                <w:lang w:val="en-US"/>
              </w:rPr>
            </w:pPr>
            <w:r w:rsidRPr="00D80F67">
              <w:rPr>
                <w:lang w:val="en-US"/>
              </w:rPr>
              <w:t xml:space="preserve">Threats of physical violence, physical attack or assault without a weapon </w:t>
            </w:r>
          </w:p>
        </w:tc>
        <w:tc>
          <w:tcPr>
            <w:tcW w:w="1559" w:type="dxa"/>
            <w:noWrap/>
          </w:tcPr>
          <w:p w14:paraId="5A564E8B" w14:textId="77777777" w:rsidR="009D0006" w:rsidRPr="00047EDF" w:rsidRDefault="009D0006" w:rsidP="00747848">
            <w:pPr>
              <w:pStyle w:val="Tabletext"/>
              <w:rPr>
                <w:lang w:val="en-US"/>
              </w:rPr>
            </w:pPr>
            <w:r>
              <w:t>474</w:t>
            </w:r>
          </w:p>
        </w:tc>
        <w:tc>
          <w:tcPr>
            <w:tcW w:w="1559" w:type="dxa"/>
            <w:noWrap/>
          </w:tcPr>
          <w:p w14:paraId="3C101F4F" w14:textId="77777777" w:rsidR="009D0006" w:rsidRPr="00047EDF" w:rsidRDefault="009D0006" w:rsidP="00747848">
            <w:pPr>
              <w:pStyle w:val="Tabletext"/>
              <w:rPr>
                <w:lang w:val="en-US"/>
              </w:rPr>
            </w:pPr>
            <w:r>
              <w:t>20.6</w:t>
            </w:r>
          </w:p>
        </w:tc>
      </w:tr>
      <w:tr w:rsidR="009D0006" w:rsidRPr="00047EDF" w14:paraId="53A136F1"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4ECA5B09" w14:textId="77777777" w:rsidR="009D0006" w:rsidRPr="00D80F67" w:rsidRDefault="009D0006" w:rsidP="00747848">
            <w:pPr>
              <w:pStyle w:val="Tabletext"/>
              <w:rPr>
                <w:lang w:val="en-US"/>
              </w:rPr>
            </w:pPr>
            <w:r w:rsidRPr="00D80F67">
              <w:rPr>
                <w:lang w:val="en-US"/>
              </w:rPr>
              <w:t>Sexual assault</w:t>
            </w:r>
          </w:p>
        </w:tc>
        <w:tc>
          <w:tcPr>
            <w:tcW w:w="1559" w:type="dxa"/>
            <w:noWrap/>
          </w:tcPr>
          <w:p w14:paraId="44134A47" w14:textId="77777777" w:rsidR="009D0006" w:rsidRPr="00047EDF" w:rsidRDefault="009D0006" w:rsidP="00747848">
            <w:pPr>
              <w:pStyle w:val="Tabletext"/>
              <w:rPr>
                <w:lang w:val="en-US"/>
              </w:rPr>
            </w:pPr>
            <w:r>
              <w:t>390</w:t>
            </w:r>
          </w:p>
        </w:tc>
        <w:tc>
          <w:tcPr>
            <w:tcW w:w="1559" w:type="dxa"/>
            <w:noWrap/>
          </w:tcPr>
          <w:p w14:paraId="33154FC0" w14:textId="77777777" w:rsidR="009D0006" w:rsidRPr="00047EDF" w:rsidRDefault="009D0006" w:rsidP="00747848">
            <w:pPr>
              <w:pStyle w:val="Tabletext"/>
              <w:rPr>
                <w:lang w:val="en-US"/>
              </w:rPr>
            </w:pPr>
            <w:r>
              <w:t>17.4</w:t>
            </w:r>
          </w:p>
        </w:tc>
      </w:tr>
      <w:tr w:rsidR="009D0006" w:rsidRPr="00047EDF" w14:paraId="07CD0DD2"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6AC58C3F" w14:textId="77777777" w:rsidR="009D0006" w:rsidRPr="00D80F67" w:rsidRDefault="009D0006" w:rsidP="00747848">
            <w:pPr>
              <w:pStyle w:val="Tabletext"/>
              <w:rPr>
                <w:b/>
                <w:lang w:val="en-US"/>
              </w:rPr>
            </w:pPr>
            <w:r w:rsidRPr="00D80F67">
              <w:rPr>
                <w:lang w:val="en-US"/>
              </w:rPr>
              <w:t>Received written threats of abuse in other ways</w:t>
            </w:r>
          </w:p>
        </w:tc>
        <w:tc>
          <w:tcPr>
            <w:tcW w:w="1559" w:type="dxa"/>
            <w:noWrap/>
          </w:tcPr>
          <w:p w14:paraId="37A23EC7" w14:textId="77777777" w:rsidR="009D0006" w:rsidRPr="00047EDF" w:rsidRDefault="009D0006" w:rsidP="00747848">
            <w:pPr>
              <w:pStyle w:val="Tabletext"/>
              <w:rPr>
                <w:b/>
                <w:lang w:val="en-US"/>
              </w:rPr>
            </w:pPr>
            <w:r>
              <w:t>327</w:t>
            </w:r>
          </w:p>
        </w:tc>
        <w:tc>
          <w:tcPr>
            <w:tcW w:w="1559" w:type="dxa"/>
            <w:noWrap/>
          </w:tcPr>
          <w:p w14:paraId="664F35BA" w14:textId="77777777" w:rsidR="009D0006" w:rsidRPr="00047EDF" w:rsidRDefault="009D0006" w:rsidP="00747848">
            <w:pPr>
              <w:pStyle w:val="Tabletext"/>
              <w:rPr>
                <w:b/>
                <w:lang w:val="en-US"/>
              </w:rPr>
            </w:pPr>
            <w:r>
              <w:t>14.8</w:t>
            </w:r>
          </w:p>
        </w:tc>
      </w:tr>
      <w:tr w:rsidR="009D0006" w:rsidRPr="00047EDF" w14:paraId="05C6E1FF"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6097DE52" w14:textId="77777777" w:rsidR="009D0006" w:rsidRPr="00D80F67" w:rsidRDefault="009D0006" w:rsidP="00747848">
            <w:pPr>
              <w:pStyle w:val="Tabletext"/>
              <w:rPr>
                <w:lang w:val="en-US"/>
              </w:rPr>
            </w:pPr>
            <w:r w:rsidRPr="00D80F67">
              <w:rPr>
                <w:lang w:val="en-US"/>
              </w:rPr>
              <w:t>Refused employment/promotion</w:t>
            </w:r>
          </w:p>
        </w:tc>
        <w:tc>
          <w:tcPr>
            <w:tcW w:w="1559" w:type="dxa"/>
            <w:noWrap/>
          </w:tcPr>
          <w:p w14:paraId="3D38CFFF" w14:textId="77777777" w:rsidR="009D0006" w:rsidRPr="00047EDF" w:rsidRDefault="009D0006" w:rsidP="00747848">
            <w:pPr>
              <w:pStyle w:val="Tabletext"/>
              <w:rPr>
                <w:lang w:val="en-US"/>
              </w:rPr>
            </w:pPr>
            <w:r>
              <w:t>299</w:t>
            </w:r>
          </w:p>
        </w:tc>
        <w:tc>
          <w:tcPr>
            <w:tcW w:w="1559" w:type="dxa"/>
            <w:noWrap/>
          </w:tcPr>
          <w:p w14:paraId="47904C2B" w14:textId="77777777" w:rsidR="009D0006" w:rsidRPr="00047EDF" w:rsidRDefault="009D0006" w:rsidP="00747848">
            <w:pPr>
              <w:pStyle w:val="Tabletext"/>
              <w:rPr>
                <w:lang w:val="en-US"/>
              </w:rPr>
            </w:pPr>
            <w:r>
              <w:t>14.6</w:t>
            </w:r>
          </w:p>
        </w:tc>
      </w:tr>
      <w:tr w:rsidR="009D0006" w:rsidRPr="00047EDF" w14:paraId="34BA5619"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39D894FB" w14:textId="77777777" w:rsidR="009D0006" w:rsidRPr="00D80F67" w:rsidRDefault="009D0006" w:rsidP="00747848">
            <w:pPr>
              <w:pStyle w:val="Tabletext"/>
              <w:rPr>
                <w:rFonts w:eastAsia="MS Mincho"/>
              </w:rPr>
            </w:pPr>
            <w:r w:rsidRPr="00D80F67">
              <w:rPr>
                <w:lang w:val="en-US"/>
              </w:rPr>
              <w:t>Refusal of service</w:t>
            </w:r>
          </w:p>
        </w:tc>
        <w:tc>
          <w:tcPr>
            <w:tcW w:w="1559" w:type="dxa"/>
            <w:noWrap/>
          </w:tcPr>
          <w:p w14:paraId="44D83481" w14:textId="77777777" w:rsidR="009D0006" w:rsidRPr="00047EDF" w:rsidRDefault="009D0006" w:rsidP="00747848">
            <w:pPr>
              <w:pStyle w:val="Tabletext"/>
              <w:rPr>
                <w:lang w:val="en-US"/>
              </w:rPr>
            </w:pPr>
            <w:r>
              <w:t>303</w:t>
            </w:r>
          </w:p>
        </w:tc>
        <w:tc>
          <w:tcPr>
            <w:tcW w:w="1559" w:type="dxa"/>
            <w:noWrap/>
          </w:tcPr>
          <w:p w14:paraId="3563121B" w14:textId="77777777" w:rsidR="009D0006" w:rsidRPr="00047EDF" w:rsidRDefault="009D0006" w:rsidP="00747848">
            <w:pPr>
              <w:pStyle w:val="Tabletext"/>
              <w:rPr>
                <w:lang w:val="en-US"/>
              </w:rPr>
            </w:pPr>
            <w:r>
              <w:t>13.3</w:t>
            </w:r>
          </w:p>
        </w:tc>
      </w:tr>
      <w:tr w:rsidR="009D0006" w:rsidRPr="00047EDF" w14:paraId="32F65E65"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6B85D113" w14:textId="77777777" w:rsidR="009D0006" w:rsidRPr="00D80F67" w:rsidRDefault="009D0006" w:rsidP="00747848">
            <w:pPr>
              <w:pStyle w:val="Tabletext"/>
              <w:rPr>
                <w:rFonts w:eastAsia="MS Mincho"/>
              </w:rPr>
            </w:pPr>
            <w:r w:rsidRPr="00D80F67">
              <w:rPr>
                <w:lang w:val="en-US"/>
              </w:rPr>
              <w:t>Deliberate damage to property or vandalism – House</w:t>
            </w:r>
          </w:p>
        </w:tc>
        <w:tc>
          <w:tcPr>
            <w:tcW w:w="1559" w:type="dxa"/>
            <w:noWrap/>
          </w:tcPr>
          <w:p w14:paraId="07B2B77F" w14:textId="77777777" w:rsidR="009D0006" w:rsidRPr="00170C90" w:rsidRDefault="009D0006" w:rsidP="00747848">
            <w:pPr>
              <w:pStyle w:val="Tabletext"/>
              <w:rPr>
                <w:b/>
                <w:bCs/>
                <w:lang w:val="en-US"/>
              </w:rPr>
            </w:pPr>
            <w:r>
              <w:t>167</w:t>
            </w:r>
          </w:p>
        </w:tc>
        <w:tc>
          <w:tcPr>
            <w:tcW w:w="1559" w:type="dxa"/>
            <w:noWrap/>
          </w:tcPr>
          <w:p w14:paraId="6E3644B2" w14:textId="77777777" w:rsidR="009D0006" w:rsidRPr="00170C90" w:rsidRDefault="009D0006" w:rsidP="00747848">
            <w:pPr>
              <w:pStyle w:val="Tabletext"/>
              <w:rPr>
                <w:b/>
                <w:bCs/>
                <w:lang w:val="en-US"/>
              </w:rPr>
            </w:pPr>
            <w:r>
              <w:t>7.4</w:t>
            </w:r>
          </w:p>
        </w:tc>
      </w:tr>
      <w:tr w:rsidR="009D0006" w:rsidRPr="00047EDF" w14:paraId="630F932B"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30901ABD" w14:textId="77777777" w:rsidR="009D0006" w:rsidRPr="00D80F67" w:rsidRDefault="009D0006" w:rsidP="00747848">
            <w:pPr>
              <w:pStyle w:val="Tabletext"/>
              <w:rPr>
                <w:rFonts w:eastAsia="MS Mincho"/>
              </w:rPr>
            </w:pPr>
            <w:r w:rsidRPr="00D80F67">
              <w:rPr>
                <w:lang w:val="en-US"/>
              </w:rPr>
              <w:t>Received written threats of abuse via graffiti</w:t>
            </w:r>
          </w:p>
        </w:tc>
        <w:tc>
          <w:tcPr>
            <w:tcW w:w="1559" w:type="dxa"/>
            <w:noWrap/>
          </w:tcPr>
          <w:p w14:paraId="235E9A88" w14:textId="77777777" w:rsidR="009D0006" w:rsidRPr="00047EDF" w:rsidRDefault="009D0006" w:rsidP="00747848">
            <w:pPr>
              <w:pStyle w:val="Tabletext"/>
              <w:rPr>
                <w:lang w:val="en-US"/>
              </w:rPr>
            </w:pPr>
            <w:r>
              <w:t>154</w:t>
            </w:r>
          </w:p>
        </w:tc>
        <w:tc>
          <w:tcPr>
            <w:tcW w:w="1559" w:type="dxa"/>
            <w:noWrap/>
          </w:tcPr>
          <w:p w14:paraId="7F5B0D06" w14:textId="77777777" w:rsidR="009D0006" w:rsidRPr="00047EDF" w:rsidRDefault="009D0006" w:rsidP="00747848">
            <w:pPr>
              <w:pStyle w:val="Tabletext"/>
              <w:rPr>
                <w:lang w:val="en-US"/>
              </w:rPr>
            </w:pPr>
            <w:r>
              <w:t>7.1</w:t>
            </w:r>
          </w:p>
        </w:tc>
      </w:tr>
      <w:tr w:rsidR="009D0006" w:rsidRPr="00047EDF" w14:paraId="5E0CBA8F"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678DB95A" w14:textId="77777777" w:rsidR="009D0006" w:rsidRPr="00D80F67" w:rsidRDefault="009D0006" w:rsidP="00747848">
            <w:pPr>
              <w:pStyle w:val="Tabletext"/>
              <w:rPr>
                <w:lang w:val="en-US"/>
              </w:rPr>
            </w:pPr>
            <w:r w:rsidRPr="00D80F67">
              <w:rPr>
                <w:lang w:val="en-US"/>
              </w:rPr>
              <w:t>Physical attack or assault with a weapon (knife, bottle, stones)</w:t>
            </w:r>
          </w:p>
        </w:tc>
        <w:tc>
          <w:tcPr>
            <w:tcW w:w="1559" w:type="dxa"/>
            <w:noWrap/>
          </w:tcPr>
          <w:p w14:paraId="430C9EA4" w14:textId="77777777" w:rsidR="009D0006" w:rsidRPr="00170C90" w:rsidRDefault="009D0006" w:rsidP="00747848">
            <w:pPr>
              <w:pStyle w:val="Tabletext"/>
              <w:rPr>
                <w:b/>
                <w:bCs/>
              </w:rPr>
            </w:pPr>
            <w:r>
              <w:t>137</w:t>
            </w:r>
          </w:p>
        </w:tc>
        <w:tc>
          <w:tcPr>
            <w:tcW w:w="1559" w:type="dxa"/>
            <w:noWrap/>
          </w:tcPr>
          <w:p w14:paraId="562ED776" w14:textId="77777777" w:rsidR="009D0006" w:rsidRPr="00170C90" w:rsidRDefault="009D0006" w:rsidP="00747848">
            <w:pPr>
              <w:pStyle w:val="Tabletext"/>
              <w:rPr>
                <w:b/>
                <w:bCs/>
              </w:rPr>
            </w:pPr>
            <w:r>
              <w:t>6.1</w:t>
            </w:r>
          </w:p>
        </w:tc>
      </w:tr>
      <w:tr w:rsidR="009D0006" w:rsidRPr="00047EDF" w14:paraId="2D446003"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295DE0FC" w14:textId="77777777" w:rsidR="009D0006" w:rsidRPr="00D80F67" w:rsidRDefault="009D0006" w:rsidP="00747848">
            <w:pPr>
              <w:pStyle w:val="Tabletext"/>
              <w:rPr>
                <w:lang w:val="en-US"/>
              </w:rPr>
            </w:pPr>
            <w:r w:rsidRPr="00D80F67">
              <w:rPr>
                <w:lang w:val="en-US"/>
              </w:rPr>
              <w:t>Deliberate damage to property or vandalism – Car</w:t>
            </w:r>
          </w:p>
        </w:tc>
        <w:tc>
          <w:tcPr>
            <w:tcW w:w="1559" w:type="dxa"/>
            <w:noWrap/>
          </w:tcPr>
          <w:p w14:paraId="118CDFA4" w14:textId="77777777" w:rsidR="009D0006" w:rsidRPr="00C97465" w:rsidRDefault="009D0006" w:rsidP="00747848">
            <w:pPr>
              <w:pStyle w:val="Tabletext"/>
              <w:rPr>
                <w:b/>
                <w:bCs/>
                <w:lang w:val="en-US"/>
              </w:rPr>
            </w:pPr>
            <w:r>
              <w:t>115</w:t>
            </w:r>
          </w:p>
        </w:tc>
        <w:tc>
          <w:tcPr>
            <w:tcW w:w="1559" w:type="dxa"/>
            <w:noWrap/>
          </w:tcPr>
          <w:p w14:paraId="646C63FA" w14:textId="77777777" w:rsidR="009D0006" w:rsidRPr="00170C90" w:rsidRDefault="009D0006" w:rsidP="00747848">
            <w:pPr>
              <w:pStyle w:val="Tabletext"/>
              <w:rPr>
                <w:b/>
                <w:bCs/>
              </w:rPr>
            </w:pPr>
            <w:r>
              <w:t>5.4</w:t>
            </w:r>
          </w:p>
        </w:tc>
      </w:tr>
      <w:tr w:rsidR="009D0006" w:rsidRPr="00047EDF" w14:paraId="19B93999"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33242609" w14:textId="77777777" w:rsidR="009D0006" w:rsidRPr="00D80F67" w:rsidRDefault="009D0006" w:rsidP="00747848">
            <w:pPr>
              <w:pStyle w:val="Tabletext"/>
              <w:rPr>
                <w:lang w:val="en-US"/>
              </w:rPr>
            </w:pPr>
            <w:r w:rsidRPr="00D80F67">
              <w:rPr>
                <w:lang w:val="en-US"/>
              </w:rPr>
              <w:t>Theft – Money</w:t>
            </w:r>
          </w:p>
        </w:tc>
        <w:tc>
          <w:tcPr>
            <w:tcW w:w="1559" w:type="dxa"/>
            <w:noWrap/>
          </w:tcPr>
          <w:p w14:paraId="0CD40409" w14:textId="77777777" w:rsidR="009D0006" w:rsidRPr="00170C90" w:rsidRDefault="009D0006" w:rsidP="00747848">
            <w:pPr>
              <w:pStyle w:val="Tabletext"/>
              <w:rPr>
                <w:b/>
                <w:bCs/>
              </w:rPr>
            </w:pPr>
            <w:r>
              <w:t>116</w:t>
            </w:r>
          </w:p>
        </w:tc>
        <w:tc>
          <w:tcPr>
            <w:tcW w:w="1559" w:type="dxa"/>
            <w:noWrap/>
          </w:tcPr>
          <w:p w14:paraId="3CAB7BCD" w14:textId="77777777" w:rsidR="009D0006" w:rsidRPr="00170C90" w:rsidRDefault="009D0006" w:rsidP="00747848">
            <w:pPr>
              <w:pStyle w:val="Tabletext"/>
              <w:rPr>
                <w:b/>
                <w:bCs/>
              </w:rPr>
            </w:pPr>
            <w:r>
              <w:t>5.2</w:t>
            </w:r>
          </w:p>
        </w:tc>
      </w:tr>
      <w:tr w:rsidR="009D0006" w:rsidRPr="00047EDF" w14:paraId="5128E9BF"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71E3590D" w14:textId="77777777" w:rsidR="009D0006" w:rsidRPr="00D80F67" w:rsidRDefault="009D0006" w:rsidP="00747848">
            <w:pPr>
              <w:pStyle w:val="Tabletext"/>
              <w:rPr>
                <w:lang w:val="en-US"/>
              </w:rPr>
            </w:pPr>
            <w:r w:rsidRPr="00D80F67">
              <w:rPr>
                <w:lang w:val="en-US"/>
              </w:rPr>
              <w:t>Theft – Property</w:t>
            </w:r>
          </w:p>
        </w:tc>
        <w:tc>
          <w:tcPr>
            <w:tcW w:w="1559" w:type="dxa"/>
            <w:noWrap/>
          </w:tcPr>
          <w:p w14:paraId="39DC49F3" w14:textId="77777777" w:rsidR="009D0006" w:rsidRPr="00170C90" w:rsidRDefault="009D0006" w:rsidP="00747848">
            <w:pPr>
              <w:pStyle w:val="Tabletext"/>
              <w:rPr>
                <w:b/>
                <w:bCs/>
              </w:rPr>
            </w:pPr>
            <w:r>
              <w:t>97</w:t>
            </w:r>
          </w:p>
        </w:tc>
        <w:tc>
          <w:tcPr>
            <w:tcW w:w="1559" w:type="dxa"/>
            <w:noWrap/>
          </w:tcPr>
          <w:p w14:paraId="530DBD6D" w14:textId="77777777" w:rsidR="009D0006" w:rsidRPr="00170C90" w:rsidRDefault="009D0006" w:rsidP="00747848">
            <w:pPr>
              <w:pStyle w:val="Tabletext"/>
              <w:rPr>
                <w:b/>
                <w:bCs/>
              </w:rPr>
            </w:pPr>
            <w:r>
              <w:t>4.4</w:t>
            </w:r>
          </w:p>
        </w:tc>
      </w:tr>
      <w:tr w:rsidR="009D0006" w:rsidRPr="00047EDF" w14:paraId="12E46860"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299C147D" w14:textId="77777777" w:rsidR="009D0006" w:rsidRPr="00D80F67" w:rsidRDefault="009D0006" w:rsidP="00747848">
            <w:pPr>
              <w:pStyle w:val="Tabletext"/>
              <w:rPr>
                <w:lang w:val="en-US"/>
              </w:rPr>
            </w:pPr>
            <w:r w:rsidRPr="00D80F67">
              <w:rPr>
                <w:lang w:val="en-US"/>
              </w:rPr>
              <w:t>Break</w:t>
            </w:r>
            <w:r>
              <w:rPr>
                <w:lang w:val="en-US"/>
              </w:rPr>
              <w:t>-</w:t>
            </w:r>
            <w:r w:rsidRPr="00D80F67">
              <w:rPr>
                <w:lang w:val="en-US"/>
              </w:rPr>
              <w:t>in – House</w:t>
            </w:r>
          </w:p>
        </w:tc>
        <w:tc>
          <w:tcPr>
            <w:tcW w:w="1559" w:type="dxa"/>
            <w:noWrap/>
          </w:tcPr>
          <w:p w14:paraId="63CAB98D" w14:textId="77777777" w:rsidR="009D0006" w:rsidRPr="00170C90" w:rsidRDefault="009D0006" w:rsidP="00747848">
            <w:pPr>
              <w:pStyle w:val="Tabletext"/>
              <w:rPr>
                <w:b/>
                <w:bCs/>
              </w:rPr>
            </w:pPr>
            <w:r>
              <w:t>75</w:t>
            </w:r>
          </w:p>
        </w:tc>
        <w:tc>
          <w:tcPr>
            <w:tcW w:w="1559" w:type="dxa"/>
            <w:noWrap/>
          </w:tcPr>
          <w:p w14:paraId="733D54A0" w14:textId="77777777" w:rsidR="009D0006" w:rsidRPr="00170C90" w:rsidRDefault="009D0006" w:rsidP="00747848">
            <w:pPr>
              <w:pStyle w:val="Tabletext"/>
              <w:rPr>
                <w:b/>
                <w:bCs/>
              </w:rPr>
            </w:pPr>
            <w:r>
              <w:t>3.4</w:t>
            </w:r>
          </w:p>
        </w:tc>
      </w:tr>
      <w:tr w:rsidR="009D0006" w:rsidRPr="00047EDF" w14:paraId="40B55E91"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5F84F43A" w14:textId="77777777" w:rsidR="009D0006" w:rsidRPr="00D80F67" w:rsidRDefault="009D0006" w:rsidP="00747848">
            <w:pPr>
              <w:pStyle w:val="Tabletext"/>
              <w:rPr>
                <w:lang w:val="en-US"/>
              </w:rPr>
            </w:pPr>
            <w:r w:rsidRPr="00D80F67">
              <w:rPr>
                <w:lang w:val="en-US"/>
              </w:rPr>
              <w:t>Deliberate damage to property or vandalism – Work</w:t>
            </w:r>
          </w:p>
        </w:tc>
        <w:tc>
          <w:tcPr>
            <w:tcW w:w="1559" w:type="dxa"/>
            <w:noWrap/>
          </w:tcPr>
          <w:p w14:paraId="0A9A4E9C" w14:textId="77777777" w:rsidR="009D0006" w:rsidRPr="00170C90" w:rsidRDefault="009D0006" w:rsidP="00747848">
            <w:pPr>
              <w:pStyle w:val="Tabletext"/>
              <w:rPr>
                <w:b/>
                <w:bCs/>
              </w:rPr>
            </w:pPr>
            <w:r>
              <w:t>60</w:t>
            </w:r>
          </w:p>
        </w:tc>
        <w:tc>
          <w:tcPr>
            <w:tcW w:w="1559" w:type="dxa"/>
            <w:noWrap/>
          </w:tcPr>
          <w:p w14:paraId="5CC65B9C" w14:textId="77777777" w:rsidR="009D0006" w:rsidRPr="00170C90" w:rsidRDefault="009D0006" w:rsidP="00747848">
            <w:pPr>
              <w:pStyle w:val="Tabletext"/>
              <w:rPr>
                <w:b/>
                <w:bCs/>
              </w:rPr>
            </w:pPr>
            <w:r>
              <w:t>2.9</w:t>
            </w:r>
          </w:p>
        </w:tc>
      </w:tr>
      <w:tr w:rsidR="009D0006" w:rsidRPr="00047EDF" w14:paraId="65556E68" w14:textId="77777777" w:rsidTr="0074784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08F9B3ED" w14:textId="77777777" w:rsidR="009D0006" w:rsidRPr="00D80F67" w:rsidRDefault="009D0006" w:rsidP="00747848">
            <w:pPr>
              <w:pStyle w:val="Tabletext"/>
              <w:rPr>
                <w:lang w:val="en-US"/>
              </w:rPr>
            </w:pPr>
            <w:r w:rsidRPr="00D80F67">
              <w:rPr>
                <w:lang w:val="en-US"/>
              </w:rPr>
              <w:t>Theft – Car</w:t>
            </w:r>
          </w:p>
        </w:tc>
        <w:tc>
          <w:tcPr>
            <w:tcW w:w="1559" w:type="dxa"/>
            <w:noWrap/>
          </w:tcPr>
          <w:p w14:paraId="6E783701" w14:textId="77777777" w:rsidR="009D0006" w:rsidRPr="00170C90" w:rsidRDefault="009D0006" w:rsidP="00747848">
            <w:pPr>
              <w:pStyle w:val="Tabletext"/>
              <w:rPr>
                <w:b/>
                <w:bCs/>
              </w:rPr>
            </w:pPr>
            <w:r>
              <w:t>33</w:t>
            </w:r>
          </w:p>
        </w:tc>
        <w:tc>
          <w:tcPr>
            <w:tcW w:w="1559" w:type="dxa"/>
            <w:noWrap/>
          </w:tcPr>
          <w:p w14:paraId="14E30C24" w14:textId="77777777" w:rsidR="009D0006" w:rsidRPr="00170C90" w:rsidRDefault="009D0006" w:rsidP="00747848">
            <w:pPr>
              <w:pStyle w:val="Tabletext"/>
              <w:rPr>
                <w:b/>
                <w:bCs/>
              </w:rPr>
            </w:pPr>
            <w:r>
              <w:t>1.6</w:t>
            </w:r>
          </w:p>
        </w:tc>
      </w:tr>
      <w:tr w:rsidR="009D0006" w:rsidRPr="00047EDF" w14:paraId="46389C5F" w14:textId="77777777" w:rsidTr="00747848">
        <w:trPr>
          <w:cnfStyle w:val="000000100000" w:firstRow="0" w:lastRow="0" w:firstColumn="0" w:lastColumn="0" w:oddVBand="0" w:evenVBand="0" w:oddHBand="1" w:evenHBand="0" w:firstRowFirstColumn="0" w:firstRowLastColumn="0" w:lastRowFirstColumn="0" w:lastRowLastColumn="0"/>
          <w:trHeight w:val="345"/>
        </w:trPr>
        <w:tc>
          <w:tcPr>
            <w:tcW w:w="6746" w:type="dxa"/>
            <w:noWrap/>
          </w:tcPr>
          <w:p w14:paraId="197987DD" w14:textId="77777777" w:rsidR="009D0006" w:rsidRPr="00D80F67" w:rsidRDefault="009D0006" w:rsidP="00747848">
            <w:pPr>
              <w:pStyle w:val="Tabletext"/>
              <w:rPr>
                <w:lang w:val="en-US"/>
              </w:rPr>
            </w:pPr>
            <w:r w:rsidRPr="00D80F67">
              <w:rPr>
                <w:lang w:val="en-US"/>
              </w:rPr>
              <w:t>Other</w:t>
            </w:r>
          </w:p>
        </w:tc>
        <w:tc>
          <w:tcPr>
            <w:tcW w:w="1559" w:type="dxa"/>
            <w:noWrap/>
          </w:tcPr>
          <w:p w14:paraId="665DFB54" w14:textId="77777777" w:rsidR="009D0006" w:rsidRPr="00170C90" w:rsidRDefault="009D0006" w:rsidP="00747848">
            <w:pPr>
              <w:pStyle w:val="Tabletext"/>
              <w:rPr>
                <w:b/>
                <w:bCs/>
              </w:rPr>
            </w:pPr>
            <w:r>
              <w:t>87</w:t>
            </w:r>
          </w:p>
        </w:tc>
        <w:tc>
          <w:tcPr>
            <w:tcW w:w="1559" w:type="dxa"/>
            <w:noWrap/>
          </w:tcPr>
          <w:p w14:paraId="3E7FC1BF" w14:textId="77777777" w:rsidR="009D0006" w:rsidRPr="00170C90" w:rsidRDefault="009D0006" w:rsidP="00747848">
            <w:pPr>
              <w:pStyle w:val="Tabletext"/>
              <w:rPr>
                <w:b/>
                <w:bCs/>
              </w:rPr>
            </w:pPr>
            <w:r>
              <w:t>33.7</w:t>
            </w:r>
          </w:p>
        </w:tc>
      </w:tr>
    </w:tbl>
    <w:p w14:paraId="04D3B624" w14:textId="77777777" w:rsidR="009D0006" w:rsidRPr="00747848" w:rsidRDefault="009D0006" w:rsidP="00747848">
      <w:pPr>
        <w:pStyle w:val="TableTextNotebelow"/>
        <w:rPr>
          <w:i/>
        </w:rPr>
      </w:pPr>
      <w:r w:rsidRPr="00747848">
        <w:rPr>
          <w:i/>
        </w:rPr>
        <w:t>Note: Responses were analysed among participants who reported that a situation was applicable to them therefore an overall ‘n’ is not provided.</w:t>
      </w:r>
    </w:p>
    <w:p w14:paraId="2CBD464F" w14:textId="77777777" w:rsidR="009D0006" w:rsidRDefault="009D0006" w:rsidP="001153FB">
      <w:pPr>
        <w:spacing w:before="360"/>
        <w:rPr>
          <w:bCs/>
        </w:rPr>
      </w:pPr>
      <w:r>
        <w:t>As shown in Table 47, a</w:t>
      </w:r>
      <w:r w:rsidRPr="00642EE7">
        <w:t xml:space="preserve">pproximately one-half of participants with disability reported experiencing social exclusion (50.3%; n = 1175). More than two-fifths had experienced verbal abuse including hateful or obscene phone calls (42.5%; n = 986). Just under one-third had experienced </w:t>
      </w:r>
      <w:r>
        <w:t xml:space="preserve">harassment such as being spat at or offensive gestures (30.7%; n = 709), followed by written threats of abuse via emails or social media (30.5%; n = 697). Approximately one-fifth or less had experienced threats of physical violence, physical attack or assault without a weapon (20.6%; n = 474), followed by experiences of sexual assault (17.4%; n = 390), written threats of abuse other than email or social media (14.8%; n = 327), refused employment or promotion (14.6%; n = 299) and refusal of service (13.3%; n = 303). Less than 10% of participants had experienced deliberate damage or vandalism to their house (7.4%; n = 167), followed by written threats of abuse via graffiti (7.1%; n = 154), physical assault or attack with a weapon (6.1%; n = 137), deliberate </w:t>
      </w:r>
      <w:r>
        <w:lastRenderedPageBreak/>
        <w:t xml:space="preserve">damage or vandalism to their car (5.4%; n = 115), money theft (5.2%; n = 116), property theft (4.4%; n = 97), house break-in (3.4%; n = 75), deliberate damage or vandalism to work property (2.9%; n = 60) and car theft (1.6%; n = 33). Approximately one-third reported experiencing another kind of violence or harassment due to their </w:t>
      </w:r>
      <w:r w:rsidRPr="004E2605">
        <w:rPr>
          <w:w w:val="101"/>
        </w:rPr>
        <w:t>sexual orientation or gender identity that was not listed as a response option (33.7%; n = 87).</w:t>
      </w:r>
      <w:bookmarkStart w:id="528" w:name="_Toc37345838"/>
      <w:bookmarkStart w:id="529" w:name="_Toc46861265"/>
    </w:p>
    <w:p w14:paraId="22C48680" w14:textId="11BFCC53" w:rsidR="009D0006" w:rsidRDefault="009D0006" w:rsidP="00526E70">
      <w:pPr>
        <w:pStyle w:val="Tableheading"/>
        <w:rPr>
          <w:bCs/>
        </w:rPr>
      </w:pPr>
      <w:bookmarkStart w:id="530" w:name="_Toc117062766"/>
      <w:bookmarkStart w:id="531" w:name="_Toc119651451"/>
      <w:r w:rsidRPr="004D09D9">
        <w:rPr>
          <w:bCs/>
        </w:rPr>
        <w:t xml:space="preserve">Table </w:t>
      </w:r>
      <w:r w:rsidRPr="004D09D9">
        <w:rPr>
          <w:bCs/>
        </w:rPr>
        <w:fldChar w:fldCharType="begin"/>
      </w:r>
      <w:r w:rsidRPr="004D09D9">
        <w:rPr>
          <w:bCs/>
        </w:rPr>
        <w:instrText xml:space="preserve"> SEQ Table \* ARABIC </w:instrText>
      </w:r>
      <w:r w:rsidRPr="004D09D9">
        <w:rPr>
          <w:bCs/>
        </w:rPr>
        <w:fldChar w:fldCharType="separate"/>
      </w:r>
      <w:r>
        <w:rPr>
          <w:bCs/>
          <w:noProof/>
        </w:rPr>
        <w:t>48</w:t>
      </w:r>
      <w:r w:rsidRPr="004D09D9">
        <w:rPr>
          <w:bCs/>
        </w:rPr>
        <w:fldChar w:fldCharType="end"/>
      </w:r>
      <w:r>
        <w:rPr>
          <w:bCs/>
        </w:rPr>
        <w:t>.1-48.4</w:t>
      </w:r>
      <w:r>
        <w:t xml:space="preserve">: </w:t>
      </w:r>
      <w:r w:rsidRPr="000073E5">
        <w:t>Experiences of violence and harassment due to sexual orientation or gender identity in the past 12 months</w:t>
      </w:r>
      <w:bookmarkEnd w:id="528"/>
      <w:bookmarkEnd w:id="529"/>
      <w:r w:rsidRPr="000073E5">
        <w:t xml:space="preserve"> </w:t>
      </w:r>
      <w:r>
        <w:rPr>
          <w:bCs/>
        </w:rPr>
        <w:t>among adults aged 18+ years, grouped by Disability Flag category</w:t>
      </w:r>
      <w:bookmarkEnd w:id="530"/>
      <w:bookmarkEnd w:id="531"/>
    </w:p>
    <w:p w14:paraId="6868A002" w14:textId="77777777" w:rsidR="009D0006" w:rsidRPr="00AF23CB" w:rsidRDefault="009D0006" w:rsidP="00526E70">
      <w:pPr>
        <w:pStyle w:val="Tableheading"/>
      </w:pPr>
      <w:r>
        <w:t>Table 48.1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65378EA"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10CF5FD2" w14:textId="77777777" w:rsidR="009D0006" w:rsidRPr="00747848" w:rsidRDefault="009D0006" w:rsidP="00747848">
            <w:pPr>
              <w:pStyle w:val="Tableheader"/>
            </w:pPr>
            <w:r w:rsidRPr="00747848">
              <w:t>Type of violence or harassment</w:t>
            </w:r>
          </w:p>
        </w:tc>
        <w:tc>
          <w:tcPr>
            <w:tcW w:w="1559" w:type="dxa"/>
            <w:noWrap/>
            <w:hideMark/>
          </w:tcPr>
          <w:p w14:paraId="7E9BAEC3" w14:textId="77777777" w:rsidR="009D0006" w:rsidRPr="00747848" w:rsidRDefault="009D0006" w:rsidP="00747848">
            <w:pPr>
              <w:pStyle w:val="Tableheader"/>
            </w:pPr>
            <w:r w:rsidRPr="00747848">
              <w:t>n</w:t>
            </w:r>
          </w:p>
        </w:tc>
        <w:tc>
          <w:tcPr>
            <w:tcW w:w="1559" w:type="dxa"/>
            <w:noWrap/>
            <w:hideMark/>
          </w:tcPr>
          <w:p w14:paraId="358C66E0" w14:textId="77777777" w:rsidR="009D0006" w:rsidRPr="00747848" w:rsidRDefault="009D0006" w:rsidP="00747848">
            <w:pPr>
              <w:pStyle w:val="Tableheader"/>
            </w:pPr>
            <w:r w:rsidRPr="00747848">
              <w:t>%</w:t>
            </w:r>
          </w:p>
        </w:tc>
      </w:tr>
      <w:tr w:rsidR="009D0006" w:rsidRPr="003F4D73" w14:paraId="101C0821"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B52852C" w14:textId="77777777" w:rsidR="009D0006" w:rsidRPr="00022528" w:rsidRDefault="009D0006" w:rsidP="00747848">
            <w:pPr>
              <w:pStyle w:val="Tabletext"/>
              <w:rPr>
                <w:color w:val="0D0D0D"/>
              </w:rPr>
            </w:pPr>
            <w:r w:rsidRPr="004D09D9">
              <w:rPr>
                <w:lang w:val="en-US"/>
              </w:rPr>
              <w:t>Socially excluded</w:t>
            </w:r>
          </w:p>
        </w:tc>
        <w:tc>
          <w:tcPr>
            <w:tcW w:w="1559" w:type="dxa"/>
            <w:noWrap/>
          </w:tcPr>
          <w:p w14:paraId="17CBAC7F" w14:textId="77777777" w:rsidR="009D0006" w:rsidRPr="003F4D73" w:rsidRDefault="009D0006" w:rsidP="00747848">
            <w:pPr>
              <w:pStyle w:val="Tabletext"/>
              <w:rPr>
                <w:color w:val="0D0D0D"/>
              </w:rPr>
            </w:pPr>
            <w:r>
              <w:rPr>
                <w:color w:val="000000"/>
              </w:rPr>
              <w:t>160</w:t>
            </w:r>
          </w:p>
        </w:tc>
        <w:tc>
          <w:tcPr>
            <w:tcW w:w="1559" w:type="dxa"/>
            <w:noWrap/>
          </w:tcPr>
          <w:p w14:paraId="7BA550DC" w14:textId="77777777" w:rsidR="009D0006" w:rsidRPr="003F4D73" w:rsidRDefault="009D0006" w:rsidP="00747848">
            <w:pPr>
              <w:pStyle w:val="Tabletext"/>
              <w:rPr>
                <w:color w:val="0D0D0D"/>
              </w:rPr>
            </w:pPr>
            <w:r>
              <w:rPr>
                <w:color w:val="000000"/>
              </w:rPr>
              <w:t>40.6</w:t>
            </w:r>
          </w:p>
        </w:tc>
      </w:tr>
      <w:tr w:rsidR="009D0006" w:rsidRPr="003F4D73" w14:paraId="25C82107"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E708560" w14:textId="77777777" w:rsidR="009D0006" w:rsidRPr="00022528" w:rsidRDefault="009D0006" w:rsidP="00747848">
            <w:pPr>
              <w:pStyle w:val="Tabletext"/>
              <w:rPr>
                <w:color w:val="0D0D0D"/>
              </w:rPr>
            </w:pPr>
            <w:r w:rsidRPr="004D09D9">
              <w:rPr>
                <w:lang w:val="en-US"/>
              </w:rPr>
              <w:t>Verbal abuse (including hateful or obscene phone calls)</w:t>
            </w:r>
          </w:p>
        </w:tc>
        <w:tc>
          <w:tcPr>
            <w:tcW w:w="1559" w:type="dxa"/>
            <w:noWrap/>
          </w:tcPr>
          <w:p w14:paraId="5DB96DDE" w14:textId="77777777" w:rsidR="009D0006" w:rsidRPr="003F4D73" w:rsidRDefault="009D0006" w:rsidP="00747848">
            <w:pPr>
              <w:pStyle w:val="Tabletext"/>
              <w:rPr>
                <w:color w:val="0D0D0D"/>
              </w:rPr>
            </w:pPr>
            <w:r>
              <w:rPr>
                <w:color w:val="000000"/>
              </w:rPr>
              <w:t>135</w:t>
            </w:r>
          </w:p>
        </w:tc>
        <w:tc>
          <w:tcPr>
            <w:tcW w:w="1559" w:type="dxa"/>
            <w:noWrap/>
          </w:tcPr>
          <w:p w14:paraId="2DB8CE1E" w14:textId="77777777" w:rsidR="009D0006" w:rsidRPr="003F4D73" w:rsidRDefault="009D0006" w:rsidP="00747848">
            <w:pPr>
              <w:pStyle w:val="Tabletext"/>
              <w:rPr>
                <w:color w:val="0D0D0D"/>
              </w:rPr>
            </w:pPr>
            <w:r>
              <w:rPr>
                <w:color w:val="000000"/>
              </w:rPr>
              <w:t>34.8</w:t>
            </w:r>
          </w:p>
        </w:tc>
      </w:tr>
      <w:tr w:rsidR="009D0006" w:rsidRPr="003F4D73" w14:paraId="34B68D79"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9A7D201" w14:textId="77777777" w:rsidR="009D0006" w:rsidRPr="00022528" w:rsidRDefault="009D0006" w:rsidP="00747848">
            <w:pPr>
              <w:pStyle w:val="Tabletext"/>
              <w:rPr>
                <w:color w:val="000000"/>
              </w:rPr>
            </w:pPr>
            <w:r w:rsidRPr="004D09D9">
              <w:rPr>
                <w:lang w:val="en-US"/>
              </w:rPr>
              <w:t>Harassment such as being spat at and offensive gestures</w:t>
            </w:r>
          </w:p>
        </w:tc>
        <w:tc>
          <w:tcPr>
            <w:tcW w:w="1559" w:type="dxa"/>
            <w:noWrap/>
          </w:tcPr>
          <w:p w14:paraId="06301648" w14:textId="77777777" w:rsidR="009D0006" w:rsidRDefault="009D0006" w:rsidP="00747848">
            <w:pPr>
              <w:pStyle w:val="Tabletext"/>
              <w:rPr>
                <w:color w:val="000000"/>
              </w:rPr>
            </w:pPr>
            <w:r>
              <w:rPr>
                <w:color w:val="000000"/>
              </w:rPr>
              <w:t>101</w:t>
            </w:r>
          </w:p>
        </w:tc>
        <w:tc>
          <w:tcPr>
            <w:tcW w:w="1559" w:type="dxa"/>
            <w:noWrap/>
          </w:tcPr>
          <w:p w14:paraId="7DD3782F" w14:textId="77777777" w:rsidR="009D0006" w:rsidRDefault="009D0006" w:rsidP="00747848">
            <w:pPr>
              <w:pStyle w:val="Tabletext"/>
              <w:rPr>
                <w:color w:val="000000"/>
              </w:rPr>
            </w:pPr>
            <w:r>
              <w:rPr>
                <w:color w:val="000000"/>
              </w:rPr>
              <w:t>26.2</w:t>
            </w:r>
          </w:p>
        </w:tc>
      </w:tr>
      <w:tr w:rsidR="009D0006" w:rsidRPr="003F4D73" w14:paraId="50AC5C49"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A5E3219" w14:textId="77777777" w:rsidR="009D0006" w:rsidRPr="00022528" w:rsidRDefault="009D0006" w:rsidP="00747848">
            <w:pPr>
              <w:pStyle w:val="Tabletext"/>
              <w:rPr>
                <w:color w:val="000000"/>
              </w:rPr>
            </w:pPr>
            <w:r w:rsidRPr="004D09D9">
              <w:rPr>
                <w:lang w:val="en-US"/>
              </w:rPr>
              <w:t xml:space="preserve">Threats of physical violence, physical attack or assault without a weapon </w:t>
            </w:r>
          </w:p>
        </w:tc>
        <w:tc>
          <w:tcPr>
            <w:tcW w:w="1559" w:type="dxa"/>
            <w:noWrap/>
          </w:tcPr>
          <w:p w14:paraId="6AB4CC6F" w14:textId="77777777" w:rsidR="009D0006" w:rsidRDefault="009D0006" w:rsidP="00747848">
            <w:pPr>
              <w:pStyle w:val="Tabletext"/>
              <w:rPr>
                <w:color w:val="000000"/>
              </w:rPr>
            </w:pPr>
            <w:r>
              <w:rPr>
                <w:color w:val="000000"/>
              </w:rPr>
              <w:t>53</w:t>
            </w:r>
          </w:p>
        </w:tc>
        <w:tc>
          <w:tcPr>
            <w:tcW w:w="1559" w:type="dxa"/>
            <w:noWrap/>
          </w:tcPr>
          <w:p w14:paraId="3513B8FC" w14:textId="77777777" w:rsidR="009D0006" w:rsidRDefault="009D0006" w:rsidP="00747848">
            <w:pPr>
              <w:pStyle w:val="Tabletext"/>
              <w:rPr>
                <w:color w:val="000000"/>
              </w:rPr>
            </w:pPr>
            <w:r>
              <w:rPr>
                <w:color w:val="000000"/>
              </w:rPr>
              <w:t>13.8</w:t>
            </w:r>
          </w:p>
        </w:tc>
      </w:tr>
      <w:tr w:rsidR="009D0006" w:rsidRPr="003F4D73" w14:paraId="59C6E4A6"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7F5D33F5" w14:textId="77777777" w:rsidR="009D0006" w:rsidRPr="00022528" w:rsidRDefault="009D0006" w:rsidP="00747848">
            <w:pPr>
              <w:pStyle w:val="Tabletext"/>
              <w:rPr>
                <w:color w:val="000000"/>
              </w:rPr>
            </w:pPr>
            <w:r w:rsidRPr="004D09D9">
              <w:rPr>
                <w:lang w:val="en-US"/>
              </w:rPr>
              <w:t>Sexual assault</w:t>
            </w:r>
          </w:p>
        </w:tc>
        <w:tc>
          <w:tcPr>
            <w:tcW w:w="1559" w:type="dxa"/>
            <w:noWrap/>
          </w:tcPr>
          <w:p w14:paraId="359F3D3C" w14:textId="77777777" w:rsidR="009D0006" w:rsidRDefault="009D0006" w:rsidP="00747848">
            <w:pPr>
              <w:pStyle w:val="Tabletext"/>
              <w:rPr>
                <w:color w:val="000000"/>
              </w:rPr>
            </w:pPr>
            <w:r>
              <w:rPr>
                <w:color w:val="000000"/>
              </w:rPr>
              <w:t>53</w:t>
            </w:r>
          </w:p>
        </w:tc>
        <w:tc>
          <w:tcPr>
            <w:tcW w:w="1559" w:type="dxa"/>
            <w:noWrap/>
          </w:tcPr>
          <w:p w14:paraId="38FCEAC2" w14:textId="77777777" w:rsidR="009D0006" w:rsidRDefault="009D0006" w:rsidP="00747848">
            <w:pPr>
              <w:pStyle w:val="Tabletext"/>
              <w:rPr>
                <w:color w:val="000000"/>
              </w:rPr>
            </w:pPr>
            <w:r>
              <w:rPr>
                <w:color w:val="000000"/>
              </w:rPr>
              <w:t>14.0</w:t>
            </w:r>
          </w:p>
        </w:tc>
      </w:tr>
    </w:tbl>
    <w:p w14:paraId="3E3E9BC8" w14:textId="77777777" w:rsidR="009D0006" w:rsidRDefault="009D0006" w:rsidP="00526E70">
      <w:pPr>
        <w:pStyle w:val="Tableheading"/>
      </w:pPr>
      <w:r>
        <w:t>Table 48.2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2107211"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02EB1B94" w14:textId="77777777" w:rsidR="009D0006" w:rsidRPr="003F4D73" w:rsidRDefault="009D0006" w:rsidP="00747848">
            <w:pPr>
              <w:pStyle w:val="Tableheader"/>
              <w:rPr>
                <w:color w:val="0D0D0D"/>
              </w:rPr>
            </w:pPr>
            <w:r>
              <w:t>Type of violence or harassment</w:t>
            </w:r>
          </w:p>
        </w:tc>
        <w:tc>
          <w:tcPr>
            <w:tcW w:w="1559" w:type="dxa"/>
            <w:hideMark/>
          </w:tcPr>
          <w:p w14:paraId="108DC107" w14:textId="77777777" w:rsidR="009D0006" w:rsidRPr="003F4D73" w:rsidRDefault="009D0006" w:rsidP="00747848">
            <w:pPr>
              <w:pStyle w:val="Tableheader"/>
              <w:rPr>
                <w:color w:val="0D0D0D"/>
              </w:rPr>
            </w:pPr>
            <w:r>
              <w:rPr>
                <w:color w:val="0D0D0D"/>
              </w:rPr>
              <w:t>n</w:t>
            </w:r>
          </w:p>
        </w:tc>
        <w:tc>
          <w:tcPr>
            <w:tcW w:w="1559" w:type="dxa"/>
            <w:hideMark/>
          </w:tcPr>
          <w:p w14:paraId="2932EF3B" w14:textId="77777777" w:rsidR="009D0006" w:rsidRPr="003F4D73" w:rsidRDefault="009D0006" w:rsidP="00747848">
            <w:pPr>
              <w:pStyle w:val="Tableheader"/>
              <w:rPr>
                <w:color w:val="0D0D0D"/>
              </w:rPr>
            </w:pPr>
            <w:r w:rsidRPr="003F4D73">
              <w:rPr>
                <w:color w:val="0D0D0D"/>
              </w:rPr>
              <w:t>%</w:t>
            </w:r>
          </w:p>
        </w:tc>
      </w:tr>
      <w:tr w:rsidR="009D0006" w:rsidRPr="003F4D73" w14:paraId="0621C6ED"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BF4C286" w14:textId="77777777" w:rsidR="009D0006" w:rsidRPr="00022528" w:rsidRDefault="009D0006" w:rsidP="00747848">
            <w:pPr>
              <w:pStyle w:val="Tabletext"/>
              <w:rPr>
                <w:color w:val="0D0D0D"/>
              </w:rPr>
            </w:pPr>
            <w:r w:rsidRPr="004D09D9">
              <w:rPr>
                <w:lang w:val="en-US"/>
              </w:rPr>
              <w:t>Socially excluded</w:t>
            </w:r>
          </w:p>
        </w:tc>
        <w:tc>
          <w:tcPr>
            <w:tcW w:w="1559" w:type="dxa"/>
          </w:tcPr>
          <w:p w14:paraId="27D79268" w14:textId="77777777" w:rsidR="009D0006" w:rsidRPr="003F4D73" w:rsidRDefault="009D0006" w:rsidP="00747848">
            <w:pPr>
              <w:pStyle w:val="Tabletext"/>
              <w:rPr>
                <w:color w:val="0D0D0D"/>
              </w:rPr>
            </w:pPr>
            <w:r>
              <w:rPr>
                <w:color w:val="000000"/>
              </w:rPr>
              <w:t>600</w:t>
            </w:r>
          </w:p>
        </w:tc>
        <w:tc>
          <w:tcPr>
            <w:tcW w:w="1559" w:type="dxa"/>
          </w:tcPr>
          <w:p w14:paraId="14185FD9" w14:textId="77777777" w:rsidR="009D0006" w:rsidRPr="003F4D73" w:rsidRDefault="009D0006" w:rsidP="00747848">
            <w:pPr>
              <w:pStyle w:val="Tabletext"/>
              <w:rPr>
                <w:color w:val="0D0D0D"/>
              </w:rPr>
            </w:pPr>
            <w:r>
              <w:rPr>
                <w:color w:val="000000"/>
              </w:rPr>
              <w:t>48.9</w:t>
            </w:r>
          </w:p>
        </w:tc>
      </w:tr>
      <w:tr w:rsidR="009D0006" w:rsidRPr="003F4D73" w14:paraId="30FD6964"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8D92353" w14:textId="77777777" w:rsidR="009D0006" w:rsidRPr="00022528" w:rsidRDefault="009D0006" w:rsidP="00747848">
            <w:pPr>
              <w:pStyle w:val="Tabletext"/>
              <w:rPr>
                <w:color w:val="0D0D0D"/>
              </w:rPr>
            </w:pPr>
            <w:r w:rsidRPr="004D09D9">
              <w:rPr>
                <w:lang w:val="en-US"/>
              </w:rPr>
              <w:t>Verbal abuse (including hateful or obscene phone calls)</w:t>
            </w:r>
          </w:p>
        </w:tc>
        <w:tc>
          <w:tcPr>
            <w:tcW w:w="1559" w:type="dxa"/>
          </w:tcPr>
          <w:p w14:paraId="1D2D0DF5" w14:textId="77777777" w:rsidR="009D0006" w:rsidRPr="003F4D73" w:rsidRDefault="009D0006" w:rsidP="00747848">
            <w:pPr>
              <w:pStyle w:val="Tabletext"/>
              <w:rPr>
                <w:color w:val="0D0D0D"/>
              </w:rPr>
            </w:pPr>
            <w:r>
              <w:rPr>
                <w:color w:val="000000"/>
              </w:rPr>
              <w:t>507</w:t>
            </w:r>
          </w:p>
        </w:tc>
        <w:tc>
          <w:tcPr>
            <w:tcW w:w="1559" w:type="dxa"/>
          </w:tcPr>
          <w:p w14:paraId="647D2B92" w14:textId="77777777" w:rsidR="009D0006" w:rsidRPr="003F4D73" w:rsidRDefault="009D0006" w:rsidP="00747848">
            <w:pPr>
              <w:pStyle w:val="Tabletext"/>
              <w:rPr>
                <w:color w:val="0D0D0D"/>
              </w:rPr>
            </w:pPr>
            <w:r>
              <w:rPr>
                <w:color w:val="000000"/>
              </w:rPr>
              <w:t>41.6</w:t>
            </w:r>
          </w:p>
        </w:tc>
      </w:tr>
      <w:tr w:rsidR="009D0006" w:rsidRPr="003F4D73" w14:paraId="2F025BD9"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4C0E3A5" w14:textId="77777777" w:rsidR="009D0006" w:rsidRPr="00022528" w:rsidRDefault="009D0006" w:rsidP="00747848">
            <w:pPr>
              <w:pStyle w:val="Tabletext"/>
              <w:rPr>
                <w:color w:val="000000"/>
              </w:rPr>
            </w:pPr>
            <w:r w:rsidRPr="004D09D9">
              <w:rPr>
                <w:lang w:val="en-US"/>
              </w:rPr>
              <w:t>Harassment such as being spat at and offensive gestures</w:t>
            </w:r>
          </w:p>
        </w:tc>
        <w:tc>
          <w:tcPr>
            <w:tcW w:w="1559" w:type="dxa"/>
          </w:tcPr>
          <w:p w14:paraId="76E9DAE6" w14:textId="77777777" w:rsidR="009D0006" w:rsidRDefault="009D0006" w:rsidP="00747848">
            <w:pPr>
              <w:pStyle w:val="Tabletext"/>
              <w:rPr>
                <w:color w:val="000000"/>
              </w:rPr>
            </w:pPr>
            <w:r>
              <w:rPr>
                <w:color w:val="000000"/>
              </w:rPr>
              <w:t>353</w:t>
            </w:r>
          </w:p>
        </w:tc>
        <w:tc>
          <w:tcPr>
            <w:tcW w:w="1559" w:type="dxa"/>
          </w:tcPr>
          <w:p w14:paraId="047F9EF9" w14:textId="77777777" w:rsidR="009D0006" w:rsidRDefault="009D0006" w:rsidP="00747848">
            <w:pPr>
              <w:pStyle w:val="Tabletext"/>
              <w:rPr>
                <w:color w:val="000000"/>
              </w:rPr>
            </w:pPr>
            <w:r>
              <w:rPr>
                <w:color w:val="000000"/>
              </w:rPr>
              <w:t>29.0</w:t>
            </w:r>
          </w:p>
        </w:tc>
      </w:tr>
      <w:tr w:rsidR="009D0006" w:rsidRPr="003F4D73" w14:paraId="392DCA73"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88A5FD0" w14:textId="77777777" w:rsidR="009D0006" w:rsidRPr="00022528" w:rsidRDefault="009D0006" w:rsidP="00747848">
            <w:pPr>
              <w:pStyle w:val="Tabletext"/>
              <w:rPr>
                <w:color w:val="000000"/>
              </w:rPr>
            </w:pPr>
            <w:r w:rsidRPr="004D09D9">
              <w:rPr>
                <w:lang w:val="en-US"/>
              </w:rPr>
              <w:t xml:space="preserve">Threats of physical violence, physical attack or assault without a weapon </w:t>
            </w:r>
          </w:p>
        </w:tc>
        <w:tc>
          <w:tcPr>
            <w:tcW w:w="1559" w:type="dxa"/>
          </w:tcPr>
          <w:p w14:paraId="3F8A6915" w14:textId="77777777" w:rsidR="009D0006" w:rsidRDefault="009D0006" w:rsidP="00747848">
            <w:pPr>
              <w:pStyle w:val="Tabletext"/>
              <w:rPr>
                <w:color w:val="000000"/>
              </w:rPr>
            </w:pPr>
            <w:r>
              <w:rPr>
                <w:color w:val="000000"/>
              </w:rPr>
              <w:t>228</w:t>
            </w:r>
          </w:p>
        </w:tc>
        <w:tc>
          <w:tcPr>
            <w:tcW w:w="1559" w:type="dxa"/>
          </w:tcPr>
          <w:p w14:paraId="3BEE1F26" w14:textId="77777777" w:rsidR="009D0006" w:rsidRDefault="009D0006" w:rsidP="00747848">
            <w:pPr>
              <w:pStyle w:val="Tabletext"/>
              <w:rPr>
                <w:color w:val="000000"/>
              </w:rPr>
            </w:pPr>
            <w:r>
              <w:rPr>
                <w:color w:val="000000"/>
              </w:rPr>
              <w:t>18.9</w:t>
            </w:r>
          </w:p>
        </w:tc>
      </w:tr>
      <w:tr w:rsidR="009D0006" w:rsidRPr="003F4D73" w14:paraId="68CF49BD"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CBC68DB" w14:textId="77777777" w:rsidR="009D0006" w:rsidRPr="00022528" w:rsidRDefault="009D0006" w:rsidP="00747848">
            <w:pPr>
              <w:pStyle w:val="Tabletext"/>
              <w:rPr>
                <w:color w:val="000000"/>
              </w:rPr>
            </w:pPr>
            <w:r w:rsidRPr="004D09D9">
              <w:rPr>
                <w:lang w:val="en-US"/>
              </w:rPr>
              <w:t>Sexual assault</w:t>
            </w:r>
          </w:p>
        </w:tc>
        <w:tc>
          <w:tcPr>
            <w:tcW w:w="1559" w:type="dxa"/>
          </w:tcPr>
          <w:p w14:paraId="530F738C" w14:textId="77777777" w:rsidR="009D0006" w:rsidRDefault="009D0006" w:rsidP="00747848">
            <w:pPr>
              <w:pStyle w:val="Tabletext"/>
              <w:rPr>
                <w:color w:val="000000"/>
              </w:rPr>
            </w:pPr>
            <w:r>
              <w:rPr>
                <w:color w:val="000000"/>
              </w:rPr>
              <w:t>187</w:t>
            </w:r>
          </w:p>
        </w:tc>
        <w:tc>
          <w:tcPr>
            <w:tcW w:w="1559" w:type="dxa"/>
          </w:tcPr>
          <w:p w14:paraId="12D0A179" w14:textId="77777777" w:rsidR="009D0006" w:rsidRDefault="009D0006" w:rsidP="00747848">
            <w:pPr>
              <w:pStyle w:val="Tabletext"/>
              <w:rPr>
                <w:color w:val="000000"/>
              </w:rPr>
            </w:pPr>
            <w:r>
              <w:rPr>
                <w:color w:val="000000"/>
              </w:rPr>
              <w:t>15.8</w:t>
            </w:r>
          </w:p>
        </w:tc>
      </w:tr>
    </w:tbl>
    <w:p w14:paraId="734CCCFF" w14:textId="77777777" w:rsidR="009D0006" w:rsidRDefault="009D0006" w:rsidP="00526E70">
      <w:pPr>
        <w:pStyle w:val="Tableheading"/>
      </w:pPr>
      <w:r>
        <w:t>Table 48.3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C36E282"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64613DB5" w14:textId="77777777" w:rsidR="009D0006" w:rsidRPr="003F4D73" w:rsidRDefault="009D0006" w:rsidP="00747848">
            <w:pPr>
              <w:pStyle w:val="Tableheader"/>
              <w:rPr>
                <w:color w:val="0D0D0D"/>
              </w:rPr>
            </w:pPr>
            <w:r>
              <w:t>Type of violence or harassment</w:t>
            </w:r>
          </w:p>
        </w:tc>
        <w:tc>
          <w:tcPr>
            <w:tcW w:w="1559" w:type="dxa"/>
            <w:noWrap/>
            <w:hideMark/>
          </w:tcPr>
          <w:p w14:paraId="01893854" w14:textId="77777777" w:rsidR="009D0006" w:rsidRPr="003F4D73" w:rsidRDefault="009D0006" w:rsidP="00747848">
            <w:pPr>
              <w:pStyle w:val="Tableheader"/>
              <w:rPr>
                <w:color w:val="0D0D0D"/>
              </w:rPr>
            </w:pPr>
            <w:r>
              <w:rPr>
                <w:color w:val="0D0D0D"/>
              </w:rPr>
              <w:t>n</w:t>
            </w:r>
          </w:p>
        </w:tc>
        <w:tc>
          <w:tcPr>
            <w:tcW w:w="1559" w:type="dxa"/>
            <w:noWrap/>
            <w:hideMark/>
          </w:tcPr>
          <w:p w14:paraId="08428D64" w14:textId="77777777" w:rsidR="009D0006" w:rsidRPr="003F4D73" w:rsidRDefault="009D0006" w:rsidP="00747848">
            <w:pPr>
              <w:pStyle w:val="Tableheader"/>
              <w:rPr>
                <w:color w:val="0D0D0D"/>
              </w:rPr>
            </w:pPr>
            <w:r w:rsidRPr="003F4D73">
              <w:rPr>
                <w:color w:val="0D0D0D"/>
              </w:rPr>
              <w:t>%</w:t>
            </w:r>
          </w:p>
        </w:tc>
      </w:tr>
      <w:tr w:rsidR="009D0006" w:rsidRPr="003F4D73" w14:paraId="3631E1F4"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09C8EDF" w14:textId="77777777" w:rsidR="009D0006" w:rsidRPr="00022528" w:rsidRDefault="009D0006" w:rsidP="00747848">
            <w:pPr>
              <w:pStyle w:val="Tabletext"/>
              <w:rPr>
                <w:color w:val="0D0D0D"/>
              </w:rPr>
            </w:pPr>
            <w:r w:rsidRPr="004D09D9">
              <w:rPr>
                <w:lang w:val="en-US"/>
              </w:rPr>
              <w:t>Socially excluded</w:t>
            </w:r>
          </w:p>
        </w:tc>
        <w:tc>
          <w:tcPr>
            <w:tcW w:w="1559" w:type="dxa"/>
            <w:noWrap/>
          </w:tcPr>
          <w:p w14:paraId="7121E9FC" w14:textId="77777777" w:rsidR="009D0006" w:rsidRPr="003F4D73" w:rsidRDefault="009D0006" w:rsidP="00747848">
            <w:pPr>
              <w:pStyle w:val="Tabletext"/>
              <w:rPr>
                <w:color w:val="0D0D0D"/>
              </w:rPr>
            </w:pPr>
            <w:r>
              <w:rPr>
                <w:color w:val="000000"/>
              </w:rPr>
              <w:t>415</w:t>
            </w:r>
          </w:p>
        </w:tc>
        <w:tc>
          <w:tcPr>
            <w:tcW w:w="1559" w:type="dxa"/>
            <w:noWrap/>
          </w:tcPr>
          <w:p w14:paraId="3D1A54BE" w14:textId="77777777" w:rsidR="009D0006" w:rsidRPr="003F4D73" w:rsidRDefault="009D0006" w:rsidP="00747848">
            <w:pPr>
              <w:pStyle w:val="Tabletext"/>
              <w:rPr>
                <w:color w:val="0D0D0D"/>
              </w:rPr>
            </w:pPr>
            <w:r>
              <w:rPr>
                <w:color w:val="000000"/>
              </w:rPr>
              <w:t>58.1</w:t>
            </w:r>
          </w:p>
        </w:tc>
      </w:tr>
      <w:tr w:rsidR="009D0006" w:rsidRPr="003F4D73" w14:paraId="439426BC"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2B61AD1" w14:textId="77777777" w:rsidR="009D0006" w:rsidRPr="00022528" w:rsidRDefault="009D0006" w:rsidP="00747848">
            <w:pPr>
              <w:pStyle w:val="Tabletext"/>
              <w:rPr>
                <w:color w:val="0D0D0D"/>
              </w:rPr>
            </w:pPr>
            <w:r w:rsidRPr="004D09D9">
              <w:rPr>
                <w:lang w:val="en-US"/>
              </w:rPr>
              <w:t>Verbal abuse (including hateful or obscene phone calls)</w:t>
            </w:r>
          </w:p>
        </w:tc>
        <w:tc>
          <w:tcPr>
            <w:tcW w:w="1559" w:type="dxa"/>
            <w:noWrap/>
          </w:tcPr>
          <w:p w14:paraId="0F2FA137" w14:textId="77777777" w:rsidR="009D0006" w:rsidRPr="003F4D73" w:rsidRDefault="009D0006" w:rsidP="00747848">
            <w:pPr>
              <w:pStyle w:val="Tabletext"/>
              <w:rPr>
                <w:color w:val="0D0D0D"/>
              </w:rPr>
            </w:pPr>
            <w:r>
              <w:rPr>
                <w:color w:val="000000"/>
              </w:rPr>
              <w:t>344</w:t>
            </w:r>
          </w:p>
        </w:tc>
        <w:tc>
          <w:tcPr>
            <w:tcW w:w="1559" w:type="dxa"/>
            <w:noWrap/>
          </w:tcPr>
          <w:p w14:paraId="314873ED" w14:textId="77777777" w:rsidR="009D0006" w:rsidRPr="003F4D73" w:rsidRDefault="009D0006" w:rsidP="00747848">
            <w:pPr>
              <w:pStyle w:val="Tabletext"/>
              <w:rPr>
                <w:color w:val="0D0D0D"/>
              </w:rPr>
            </w:pPr>
            <w:r>
              <w:rPr>
                <w:color w:val="000000"/>
              </w:rPr>
              <w:t>48.5</w:t>
            </w:r>
          </w:p>
        </w:tc>
      </w:tr>
      <w:tr w:rsidR="009D0006" w:rsidRPr="003F4D73" w14:paraId="1C37377E"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59ED9C2" w14:textId="77777777" w:rsidR="009D0006" w:rsidRPr="00022528" w:rsidRDefault="009D0006" w:rsidP="00747848">
            <w:pPr>
              <w:pStyle w:val="Tabletext"/>
              <w:rPr>
                <w:color w:val="000000"/>
              </w:rPr>
            </w:pPr>
            <w:r w:rsidRPr="004D09D9">
              <w:rPr>
                <w:lang w:val="en-US"/>
              </w:rPr>
              <w:t>Harassment such as being spat at and offensive gestures</w:t>
            </w:r>
          </w:p>
        </w:tc>
        <w:tc>
          <w:tcPr>
            <w:tcW w:w="1559" w:type="dxa"/>
            <w:noWrap/>
          </w:tcPr>
          <w:p w14:paraId="5A14AAB0" w14:textId="77777777" w:rsidR="009D0006" w:rsidRDefault="009D0006" w:rsidP="00747848">
            <w:pPr>
              <w:pStyle w:val="Tabletext"/>
              <w:rPr>
                <w:color w:val="000000"/>
              </w:rPr>
            </w:pPr>
            <w:r>
              <w:rPr>
                <w:color w:val="000000"/>
              </w:rPr>
              <w:t>255</w:t>
            </w:r>
          </w:p>
        </w:tc>
        <w:tc>
          <w:tcPr>
            <w:tcW w:w="1559" w:type="dxa"/>
            <w:noWrap/>
          </w:tcPr>
          <w:p w14:paraId="65E4F927" w14:textId="77777777" w:rsidR="009D0006" w:rsidRDefault="009D0006" w:rsidP="00747848">
            <w:pPr>
              <w:pStyle w:val="Tabletext"/>
              <w:rPr>
                <w:color w:val="000000"/>
              </w:rPr>
            </w:pPr>
            <w:r>
              <w:rPr>
                <w:color w:val="000000"/>
              </w:rPr>
              <w:t>36.1</w:t>
            </w:r>
          </w:p>
        </w:tc>
      </w:tr>
      <w:tr w:rsidR="009D0006" w:rsidRPr="003F4D73" w14:paraId="1D860A83"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D58ACF3" w14:textId="77777777" w:rsidR="009D0006" w:rsidRPr="00022528" w:rsidRDefault="009D0006" w:rsidP="00747848">
            <w:pPr>
              <w:pStyle w:val="Tabletext"/>
              <w:rPr>
                <w:color w:val="000000"/>
              </w:rPr>
            </w:pPr>
            <w:r w:rsidRPr="004D09D9">
              <w:rPr>
                <w:lang w:val="en-US"/>
              </w:rPr>
              <w:t xml:space="preserve">Threats of physical violence, physical attack or assault without a weapon </w:t>
            </w:r>
          </w:p>
        </w:tc>
        <w:tc>
          <w:tcPr>
            <w:tcW w:w="1559" w:type="dxa"/>
            <w:noWrap/>
          </w:tcPr>
          <w:p w14:paraId="1DEFA764" w14:textId="77777777" w:rsidR="009D0006" w:rsidRDefault="009D0006" w:rsidP="00747848">
            <w:pPr>
              <w:pStyle w:val="Tabletext"/>
              <w:rPr>
                <w:color w:val="000000"/>
              </w:rPr>
            </w:pPr>
            <w:r>
              <w:rPr>
                <w:color w:val="000000"/>
              </w:rPr>
              <w:t>193</w:t>
            </w:r>
          </w:p>
        </w:tc>
        <w:tc>
          <w:tcPr>
            <w:tcW w:w="1559" w:type="dxa"/>
            <w:noWrap/>
          </w:tcPr>
          <w:p w14:paraId="0DF57B40" w14:textId="77777777" w:rsidR="009D0006" w:rsidRDefault="009D0006" w:rsidP="00747848">
            <w:pPr>
              <w:pStyle w:val="Tabletext"/>
              <w:rPr>
                <w:color w:val="000000"/>
              </w:rPr>
            </w:pPr>
            <w:r>
              <w:rPr>
                <w:color w:val="000000"/>
              </w:rPr>
              <w:t>27.3</w:t>
            </w:r>
          </w:p>
        </w:tc>
      </w:tr>
      <w:tr w:rsidR="009D0006" w:rsidRPr="003F4D73" w14:paraId="732B7834"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A4E0946" w14:textId="77777777" w:rsidR="009D0006" w:rsidRPr="00022528" w:rsidRDefault="009D0006" w:rsidP="00747848">
            <w:pPr>
              <w:pStyle w:val="Tabletext"/>
              <w:rPr>
                <w:color w:val="000000"/>
              </w:rPr>
            </w:pPr>
            <w:r w:rsidRPr="004D09D9">
              <w:rPr>
                <w:lang w:val="en-US"/>
              </w:rPr>
              <w:t>Sexual assault</w:t>
            </w:r>
          </w:p>
        </w:tc>
        <w:tc>
          <w:tcPr>
            <w:tcW w:w="1559" w:type="dxa"/>
            <w:noWrap/>
          </w:tcPr>
          <w:p w14:paraId="5EC6996B" w14:textId="77777777" w:rsidR="009D0006" w:rsidRDefault="009D0006" w:rsidP="00747848">
            <w:pPr>
              <w:pStyle w:val="Tabletext"/>
              <w:rPr>
                <w:color w:val="000000"/>
              </w:rPr>
            </w:pPr>
            <w:r>
              <w:rPr>
                <w:color w:val="000000"/>
              </w:rPr>
              <w:t>150</w:t>
            </w:r>
          </w:p>
        </w:tc>
        <w:tc>
          <w:tcPr>
            <w:tcW w:w="1559" w:type="dxa"/>
            <w:noWrap/>
          </w:tcPr>
          <w:p w14:paraId="03F899A8" w14:textId="77777777" w:rsidR="009D0006" w:rsidRDefault="009D0006" w:rsidP="00747848">
            <w:pPr>
              <w:pStyle w:val="Tabletext"/>
              <w:rPr>
                <w:color w:val="000000"/>
              </w:rPr>
            </w:pPr>
            <w:r>
              <w:rPr>
                <w:color w:val="000000"/>
              </w:rPr>
              <w:t>22.2</w:t>
            </w:r>
          </w:p>
        </w:tc>
      </w:tr>
    </w:tbl>
    <w:p w14:paraId="65AF493E" w14:textId="77777777" w:rsidR="009D0006" w:rsidRDefault="009D0006" w:rsidP="00526E70">
      <w:pPr>
        <w:pStyle w:val="Tableheading"/>
      </w:pPr>
      <w:r>
        <w:t xml:space="preserve">Table 48.4 </w:t>
      </w:r>
      <w:r>
        <w:lastRenderedPageBreak/>
        <w:t>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C393F77" w14:textId="77777777" w:rsidTr="00747848">
        <w:trPr>
          <w:cnfStyle w:val="100000000000" w:firstRow="1" w:lastRow="0" w:firstColumn="0" w:lastColumn="0" w:oddVBand="0" w:evenVBand="0" w:oddHBand="0" w:evenHBand="0" w:firstRowFirstColumn="0" w:firstRowLastColumn="0" w:lastRowFirstColumn="0" w:lastRowLastColumn="0"/>
          <w:trHeight w:val="257"/>
        </w:trPr>
        <w:tc>
          <w:tcPr>
            <w:tcW w:w="6746" w:type="dxa"/>
            <w:noWrap/>
            <w:hideMark/>
          </w:tcPr>
          <w:p w14:paraId="1099AE29" w14:textId="77777777" w:rsidR="009D0006" w:rsidRPr="003F4D73" w:rsidRDefault="009D0006" w:rsidP="00747848">
            <w:pPr>
              <w:pStyle w:val="Tableheader"/>
              <w:rPr>
                <w:color w:val="0D0D0D"/>
              </w:rPr>
            </w:pPr>
            <w:r>
              <w:t>Type of violence or harassment</w:t>
            </w:r>
          </w:p>
        </w:tc>
        <w:tc>
          <w:tcPr>
            <w:tcW w:w="1559" w:type="dxa"/>
            <w:hideMark/>
          </w:tcPr>
          <w:p w14:paraId="72BB1E2D" w14:textId="77777777" w:rsidR="009D0006" w:rsidRPr="003F4D73" w:rsidRDefault="009D0006" w:rsidP="00747848">
            <w:pPr>
              <w:pStyle w:val="Tableheader"/>
              <w:rPr>
                <w:color w:val="0D0D0D"/>
              </w:rPr>
            </w:pPr>
            <w:r>
              <w:rPr>
                <w:color w:val="0D0D0D"/>
              </w:rPr>
              <w:t>n</w:t>
            </w:r>
          </w:p>
        </w:tc>
        <w:tc>
          <w:tcPr>
            <w:tcW w:w="1559" w:type="dxa"/>
            <w:hideMark/>
          </w:tcPr>
          <w:p w14:paraId="0F81A8E6" w14:textId="77777777" w:rsidR="009D0006" w:rsidRPr="003F4D73" w:rsidRDefault="009D0006" w:rsidP="00747848">
            <w:pPr>
              <w:pStyle w:val="Tableheader"/>
              <w:rPr>
                <w:color w:val="0D0D0D"/>
              </w:rPr>
            </w:pPr>
            <w:r w:rsidRPr="003F4D73">
              <w:rPr>
                <w:color w:val="0D0D0D"/>
              </w:rPr>
              <w:t>%</w:t>
            </w:r>
          </w:p>
        </w:tc>
      </w:tr>
      <w:tr w:rsidR="009D0006" w:rsidRPr="003F4D73" w14:paraId="7FDAD77B"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B44B61C" w14:textId="77777777" w:rsidR="009D0006" w:rsidRPr="00022528" w:rsidRDefault="009D0006" w:rsidP="00747848">
            <w:pPr>
              <w:pStyle w:val="Tabletext"/>
              <w:rPr>
                <w:color w:val="0D0D0D"/>
              </w:rPr>
            </w:pPr>
            <w:r w:rsidRPr="004D09D9">
              <w:rPr>
                <w:lang w:val="en-US"/>
              </w:rPr>
              <w:t>Socially excluded</w:t>
            </w:r>
          </w:p>
        </w:tc>
        <w:tc>
          <w:tcPr>
            <w:tcW w:w="1559" w:type="dxa"/>
          </w:tcPr>
          <w:p w14:paraId="560B3001" w14:textId="77777777" w:rsidR="009D0006" w:rsidRPr="003F4D73" w:rsidRDefault="009D0006" w:rsidP="00747848">
            <w:pPr>
              <w:pStyle w:val="Tabletext"/>
              <w:rPr>
                <w:color w:val="0D0D0D"/>
              </w:rPr>
            </w:pPr>
            <w:r>
              <w:rPr>
                <w:color w:val="000000"/>
              </w:rPr>
              <w:t>1108</w:t>
            </w:r>
          </w:p>
        </w:tc>
        <w:tc>
          <w:tcPr>
            <w:tcW w:w="1559" w:type="dxa"/>
          </w:tcPr>
          <w:p w14:paraId="063D7C6B" w14:textId="77777777" w:rsidR="009D0006" w:rsidRPr="003F4D73" w:rsidRDefault="009D0006" w:rsidP="00747848">
            <w:pPr>
              <w:pStyle w:val="Tabletext"/>
              <w:rPr>
                <w:color w:val="0D0D0D"/>
              </w:rPr>
            </w:pPr>
            <w:r>
              <w:rPr>
                <w:color w:val="000000"/>
              </w:rPr>
              <w:t>31.7</w:t>
            </w:r>
          </w:p>
        </w:tc>
      </w:tr>
      <w:tr w:rsidR="009D0006" w:rsidRPr="003F4D73" w14:paraId="53179F0B"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98975E2" w14:textId="77777777" w:rsidR="009D0006" w:rsidRPr="00022528" w:rsidRDefault="009D0006" w:rsidP="00747848">
            <w:pPr>
              <w:pStyle w:val="Tabletext"/>
              <w:rPr>
                <w:color w:val="0D0D0D"/>
              </w:rPr>
            </w:pPr>
            <w:r w:rsidRPr="004D09D9">
              <w:rPr>
                <w:lang w:val="en-US"/>
              </w:rPr>
              <w:t>Verbal abuse (including hateful or obscene phone calls)</w:t>
            </w:r>
          </w:p>
        </w:tc>
        <w:tc>
          <w:tcPr>
            <w:tcW w:w="1559" w:type="dxa"/>
          </w:tcPr>
          <w:p w14:paraId="797C1DAA" w14:textId="77777777" w:rsidR="009D0006" w:rsidRPr="003F4D73" w:rsidRDefault="009D0006" w:rsidP="00747848">
            <w:pPr>
              <w:pStyle w:val="Tabletext"/>
              <w:rPr>
                <w:color w:val="0D0D0D"/>
              </w:rPr>
            </w:pPr>
            <w:r>
              <w:rPr>
                <w:color w:val="000000"/>
              </w:rPr>
              <w:t>1017</w:t>
            </w:r>
          </w:p>
        </w:tc>
        <w:tc>
          <w:tcPr>
            <w:tcW w:w="1559" w:type="dxa"/>
          </w:tcPr>
          <w:p w14:paraId="298AF64D" w14:textId="77777777" w:rsidR="009D0006" w:rsidRPr="003F4D73" w:rsidRDefault="009D0006" w:rsidP="00747848">
            <w:pPr>
              <w:pStyle w:val="Tabletext"/>
              <w:rPr>
                <w:color w:val="0D0D0D"/>
              </w:rPr>
            </w:pPr>
            <w:r>
              <w:rPr>
                <w:color w:val="000000"/>
              </w:rPr>
              <w:t>29.2</w:t>
            </w:r>
          </w:p>
        </w:tc>
      </w:tr>
      <w:tr w:rsidR="009D0006" w:rsidRPr="003F4D73" w14:paraId="242DDE4C"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C3D563E" w14:textId="77777777" w:rsidR="009D0006" w:rsidRPr="00022528" w:rsidRDefault="009D0006" w:rsidP="00747848">
            <w:pPr>
              <w:pStyle w:val="Tabletext"/>
              <w:rPr>
                <w:color w:val="000000"/>
              </w:rPr>
            </w:pPr>
            <w:r w:rsidRPr="004D09D9">
              <w:rPr>
                <w:lang w:val="en-US"/>
              </w:rPr>
              <w:t>Harassment such as being spat at and offensive gestures</w:t>
            </w:r>
          </w:p>
        </w:tc>
        <w:tc>
          <w:tcPr>
            <w:tcW w:w="1559" w:type="dxa"/>
          </w:tcPr>
          <w:p w14:paraId="68225BEB" w14:textId="77777777" w:rsidR="009D0006" w:rsidRDefault="009D0006" w:rsidP="00747848">
            <w:pPr>
              <w:pStyle w:val="Tabletext"/>
              <w:rPr>
                <w:color w:val="000000"/>
              </w:rPr>
            </w:pPr>
            <w:r>
              <w:rPr>
                <w:color w:val="000000"/>
              </w:rPr>
              <w:t>643</w:t>
            </w:r>
          </w:p>
        </w:tc>
        <w:tc>
          <w:tcPr>
            <w:tcW w:w="1559" w:type="dxa"/>
          </w:tcPr>
          <w:p w14:paraId="092D2695" w14:textId="77777777" w:rsidR="009D0006" w:rsidRDefault="009D0006" w:rsidP="00747848">
            <w:pPr>
              <w:pStyle w:val="Tabletext"/>
              <w:rPr>
                <w:color w:val="000000"/>
              </w:rPr>
            </w:pPr>
            <w:r>
              <w:rPr>
                <w:color w:val="000000"/>
              </w:rPr>
              <w:t>18.7</w:t>
            </w:r>
          </w:p>
        </w:tc>
      </w:tr>
      <w:tr w:rsidR="009D0006" w:rsidRPr="003F4D73" w14:paraId="2472A60C"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EB5DDFB" w14:textId="77777777" w:rsidR="009D0006" w:rsidRPr="00022528" w:rsidRDefault="009D0006" w:rsidP="00747848">
            <w:pPr>
              <w:pStyle w:val="Tabletext"/>
              <w:rPr>
                <w:color w:val="000000"/>
              </w:rPr>
            </w:pPr>
            <w:r w:rsidRPr="004D09D9">
              <w:rPr>
                <w:lang w:val="en-US"/>
              </w:rPr>
              <w:t xml:space="preserve">Threats of physical violence, physical attack or assault without a weapon </w:t>
            </w:r>
          </w:p>
        </w:tc>
        <w:tc>
          <w:tcPr>
            <w:tcW w:w="1559" w:type="dxa"/>
          </w:tcPr>
          <w:p w14:paraId="7211ADE3" w14:textId="77777777" w:rsidR="009D0006" w:rsidRDefault="009D0006" w:rsidP="00747848">
            <w:pPr>
              <w:pStyle w:val="Tabletext"/>
              <w:rPr>
                <w:color w:val="000000"/>
              </w:rPr>
            </w:pPr>
            <w:r>
              <w:rPr>
                <w:color w:val="000000"/>
              </w:rPr>
              <w:t>360</w:t>
            </w:r>
          </w:p>
        </w:tc>
        <w:tc>
          <w:tcPr>
            <w:tcW w:w="1559" w:type="dxa"/>
          </w:tcPr>
          <w:p w14:paraId="2B48D726" w14:textId="77777777" w:rsidR="009D0006" w:rsidRDefault="009D0006" w:rsidP="00747848">
            <w:pPr>
              <w:pStyle w:val="Tabletext"/>
              <w:rPr>
                <w:color w:val="000000"/>
              </w:rPr>
            </w:pPr>
            <w:r>
              <w:rPr>
                <w:color w:val="000000"/>
              </w:rPr>
              <w:t>10.5</w:t>
            </w:r>
          </w:p>
        </w:tc>
      </w:tr>
      <w:tr w:rsidR="009D0006" w:rsidRPr="003F4D73" w14:paraId="6D140373"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D58DAA5" w14:textId="77777777" w:rsidR="009D0006" w:rsidRPr="00022528" w:rsidRDefault="009D0006" w:rsidP="00747848">
            <w:pPr>
              <w:pStyle w:val="Tabletext"/>
              <w:rPr>
                <w:color w:val="000000"/>
              </w:rPr>
            </w:pPr>
            <w:r w:rsidRPr="004D09D9">
              <w:rPr>
                <w:lang w:val="en-US"/>
              </w:rPr>
              <w:t>Sexual assault</w:t>
            </w:r>
          </w:p>
        </w:tc>
        <w:tc>
          <w:tcPr>
            <w:tcW w:w="1559" w:type="dxa"/>
          </w:tcPr>
          <w:p w14:paraId="34C8E64D" w14:textId="77777777" w:rsidR="009D0006" w:rsidRDefault="009D0006" w:rsidP="00747848">
            <w:pPr>
              <w:pStyle w:val="Tabletext"/>
              <w:rPr>
                <w:color w:val="000000"/>
              </w:rPr>
            </w:pPr>
            <w:r>
              <w:rPr>
                <w:color w:val="000000"/>
              </w:rPr>
              <w:t>268</w:t>
            </w:r>
          </w:p>
        </w:tc>
        <w:tc>
          <w:tcPr>
            <w:tcW w:w="1559" w:type="dxa"/>
          </w:tcPr>
          <w:p w14:paraId="1A37E334" w14:textId="77777777" w:rsidR="009D0006" w:rsidRDefault="009D0006" w:rsidP="00747848">
            <w:pPr>
              <w:pStyle w:val="Tabletext"/>
              <w:rPr>
                <w:color w:val="000000"/>
              </w:rPr>
            </w:pPr>
            <w:r>
              <w:rPr>
                <w:color w:val="000000"/>
              </w:rPr>
              <w:t>7.8</w:t>
            </w:r>
          </w:p>
        </w:tc>
      </w:tr>
    </w:tbl>
    <w:p w14:paraId="33D55082" w14:textId="77777777" w:rsidR="009D0006" w:rsidRPr="00747848" w:rsidRDefault="009D0006" w:rsidP="00747848">
      <w:pPr>
        <w:pStyle w:val="TableTextNotebelow"/>
        <w:rPr>
          <w:i/>
        </w:rPr>
      </w:pPr>
      <w:r w:rsidRPr="00747848">
        <w:rPr>
          <w:i/>
        </w:rPr>
        <w:t>Note: Responses were analysed among participants who reported that a situation was applicable to them therefore an overall ‘n’ is not provided.</w:t>
      </w:r>
    </w:p>
    <w:p w14:paraId="1FCD1C4D" w14:textId="77777777" w:rsidR="009D0006" w:rsidRDefault="009D0006" w:rsidP="00526E70">
      <w:pPr>
        <w:spacing w:before="360"/>
        <w:rPr>
          <w:lang w:val="en-US"/>
        </w:rPr>
      </w:pPr>
      <w:r>
        <w:t xml:space="preserve">As displayed in Tables 48.1-48.4, more than half of participants who were categorised with severe disability had experienced social exclusion due to their sexual orientation or gender identity in the past 12 months (58.1%; n = 415), followed by participants categorised with moderate disability (48.9%; n = 600) and those categorised with mild disability (40.6%; n = 160). </w:t>
      </w:r>
      <w:r>
        <w:rPr>
          <w:lang w:val="en-US"/>
        </w:rPr>
        <w:t>Compared to participants with disability, a lower proportion of those not reporting disability had experienced social exclusion (31.7%; n = 1108).</w:t>
      </w:r>
    </w:p>
    <w:p w14:paraId="1AC36F98" w14:textId="77777777" w:rsidR="009D0006" w:rsidRDefault="009D0006" w:rsidP="009D0006">
      <w:pPr>
        <w:rPr>
          <w:lang w:val="en-US"/>
        </w:rPr>
      </w:pPr>
      <w:r>
        <w:t xml:space="preserve">Almost half of participants categorised with severe disability had experienced verbal abuse, including hateful or obscene phone calls, due to their sexual orientation or gender identity in the past 12 months (48.5%; n = 344), followed by participants categorised with moderate disability (41.6%; n = 507) and those categorised with mild disability (34.8%; n = 135). </w:t>
      </w:r>
      <w:r>
        <w:rPr>
          <w:lang w:val="en-US"/>
        </w:rPr>
        <w:t>Compared to participants with disability, a lower proportion of those not reporting disability had experienced verbal abuse (29.2%; n = 1017).</w:t>
      </w:r>
    </w:p>
    <w:p w14:paraId="569CE7D8" w14:textId="77777777" w:rsidR="009D0006" w:rsidRDefault="009D0006" w:rsidP="009D0006">
      <w:pPr>
        <w:rPr>
          <w:lang w:val="en-US"/>
        </w:rPr>
      </w:pPr>
      <w:r>
        <w:t xml:space="preserve">More than one-third of participants categorised with severe disability had experienced harassment such as being spat at and offensive gestures due to their sexual orientation or gender identity in the past 12 months (36.1%; n = 255), followed by participants categorised with moderate disability (29.0%; n = 353) and those categorised with mild disability (26.2%; n = 101). </w:t>
      </w:r>
      <w:r>
        <w:rPr>
          <w:lang w:val="en-US"/>
        </w:rPr>
        <w:t xml:space="preserve">Compared to participants with disability, a lower proportion of those not reporting disability had experienced </w:t>
      </w:r>
      <w:r>
        <w:t>harassment such as being spat at and offensive gestures</w:t>
      </w:r>
      <w:r>
        <w:rPr>
          <w:lang w:val="en-US"/>
        </w:rPr>
        <w:t xml:space="preserve"> (18.7%; n = 643).</w:t>
      </w:r>
    </w:p>
    <w:p w14:paraId="5C772A33" w14:textId="77777777" w:rsidR="009D0006" w:rsidRDefault="009D0006" w:rsidP="009D0006">
      <w:pPr>
        <w:rPr>
          <w:lang w:val="en-US"/>
        </w:rPr>
      </w:pPr>
      <w:r>
        <w:rPr>
          <w:lang w:val="en-US"/>
        </w:rPr>
        <w:t xml:space="preserve">More than one-quarter of participants </w:t>
      </w:r>
      <w:r>
        <w:t xml:space="preserve">categorised </w:t>
      </w:r>
      <w:r>
        <w:rPr>
          <w:lang w:val="en-US"/>
        </w:rPr>
        <w:t xml:space="preserve">with severe disability had experienced threats of physical violence, physical attack or assault without a weapon </w:t>
      </w:r>
      <w:r>
        <w:t>due to their sexual orientation or gender identity in the past 12 months</w:t>
      </w:r>
      <w:r>
        <w:rPr>
          <w:lang w:val="en-US"/>
        </w:rPr>
        <w:t xml:space="preserve"> (27.3%; n = 193), followed by </w:t>
      </w:r>
      <w:r>
        <w:t>participant</w:t>
      </w:r>
      <w:r>
        <w:lastRenderedPageBreak/>
        <w:t xml:space="preserve">s categorised with moderate disability (18.9%; n = 228) and those categorised with mild disability (13.8%; n = 53). </w:t>
      </w:r>
      <w:r>
        <w:rPr>
          <w:lang w:val="en-US"/>
        </w:rPr>
        <w:t>Compared to participants with disability, a lower proportion of those not reporting disability had experienced</w:t>
      </w:r>
      <w:r w:rsidRPr="00CD5F9E">
        <w:rPr>
          <w:lang w:val="en-US"/>
        </w:rPr>
        <w:t xml:space="preserve"> </w:t>
      </w:r>
      <w:r>
        <w:rPr>
          <w:lang w:val="en-US"/>
        </w:rPr>
        <w:t>threats of physical violence, physical attack or assault without a weapon (10.5%; n = 360).</w:t>
      </w:r>
    </w:p>
    <w:p w14:paraId="67361DDD" w14:textId="77777777" w:rsidR="00747848" w:rsidRDefault="009D0006" w:rsidP="00747848">
      <w:pPr>
        <w:rPr>
          <w:lang w:val="en-US"/>
        </w:rPr>
      </w:pPr>
      <w:r>
        <w:rPr>
          <w:lang w:val="en-US"/>
        </w:rPr>
        <w:t xml:space="preserve">Just over one-fifth of participants </w:t>
      </w:r>
      <w:r>
        <w:t xml:space="preserve">categorised </w:t>
      </w:r>
      <w:r>
        <w:rPr>
          <w:lang w:val="en-US"/>
        </w:rPr>
        <w:t xml:space="preserve">with severe disability had experienced sexual assault due to their sexual orientation or gender identity in the past 12 months (22.2%; n = 150), followed by </w:t>
      </w:r>
      <w:r>
        <w:t xml:space="preserve">participants categorised with moderate disability (15.8%; n = 187) and those categorised with mild disability (14.0%; n = 53). </w:t>
      </w:r>
      <w:r>
        <w:rPr>
          <w:lang w:val="en-US"/>
        </w:rPr>
        <w:t>Compared to participants with disability, a lower proportion of those not reporting disability had experienced sexual assault (7.8%; n = 268).</w:t>
      </w:r>
      <w:bookmarkStart w:id="532" w:name="_Toc115968571"/>
    </w:p>
    <w:p w14:paraId="0907B48A" w14:textId="59F5B516" w:rsidR="009D0006" w:rsidRPr="00747848" w:rsidRDefault="009D0006" w:rsidP="00153892">
      <w:pPr>
        <w:pStyle w:val="Heading2Numbered"/>
        <w:rPr>
          <w:lang w:val="en-US"/>
        </w:rPr>
      </w:pPr>
      <w:bookmarkStart w:id="533" w:name="_Toc119662432"/>
      <w:r w:rsidRPr="000D7ED3">
        <w:t>Unfair treatment as a result of disability or long-term health condition - adults aged 18+ years</w:t>
      </w:r>
      <w:bookmarkEnd w:id="532"/>
      <w:bookmarkEnd w:id="533"/>
    </w:p>
    <w:p w14:paraId="07A5B92D" w14:textId="77777777" w:rsidR="009D0006" w:rsidRPr="00B56A84" w:rsidRDefault="009D0006" w:rsidP="009D0006">
      <w:r w:rsidRPr="000D7ED3">
        <w:t>Participants who reported a disability or long-term health condition were asked the extent to which ‘you feel that you have been treated unfairly by others as a result of your disability or long-term health condition’ in the past 12 months, with response options provided on a five-point scale ranging from ‘not at all’ to ‘always’. Table</w:t>
      </w:r>
      <w:r>
        <w:t>s</w:t>
      </w:r>
      <w:r w:rsidRPr="000D7ED3">
        <w:t xml:space="preserve"> </w:t>
      </w:r>
      <w:r>
        <w:t>49.1-49.3</w:t>
      </w:r>
      <w:r w:rsidRPr="000D7ED3">
        <w:t xml:space="preserve"> displays these results.</w:t>
      </w:r>
    </w:p>
    <w:p w14:paraId="7BBD98CF" w14:textId="5BEF88E2" w:rsidR="009D0006" w:rsidRDefault="009D0006" w:rsidP="00526E70">
      <w:pPr>
        <w:pStyle w:val="Tableheading"/>
      </w:pPr>
      <w:bookmarkStart w:id="534" w:name="_Toc117062767"/>
      <w:bookmarkStart w:id="535" w:name="_Toc119651452"/>
      <w:r w:rsidRPr="00A14FB1">
        <w:t>Table</w:t>
      </w:r>
      <w:r>
        <w:t>s</w:t>
      </w:r>
      <w:r w:rsidRPr="00A14FB1">
        <w:t xml:space="preserve">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rPr>
          <w:noProof/>
        </w:rPr>
        <w:t xml:space="preserve">.1-49.3: </w:t>
      </w:r>
      <w:r w:rsidRPr="00A14FB1">
        <w:t xml:space="preserve">Treated unfairly by others in the past 12 months due to a disability or long-term health condition </w:t>
      </w:r>
      <w:r>
        <w:t>among adults with disability aged 18+ years</w:t>
      </w:r>
      <w:r w:rsidRPr="00A14FB1">
        <w:t>, grouped by Disability Flag category</w:t>
      </w:r>
      <w:r>
        <w:t xml:space="preserve"> </w:t>
      </w:r>
      <w:r w:rsidRPr="00A14FB1">
        <w:t>(n = 2609)</w:t>
      </w:r>
      <w:bookmarkEnd w:id="534"/>
      <w:bookmarkEnd w:id="535"/>
    </w:p>
    <w:p w14:paraId="339C3682" w14:textId="77777777" w:rsidR="009D0006" w:rsidRPr="00A14FB1" w:rsidRDefault="009D0006" w:rsidP="00526E70">
      <w:pPr>
        <w:pStyle w:val="Tableheading"/>
      </w:pPr>
      <w:r>
        <w:t>Table 49.1 Mild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D7ED3" w14:paraId="4975CB0B" w14:textId="77777777" w:rsidTr="0074784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AE3F611" w14:textId="77777777" w:rsidR="009D0006" w:rsidRPr="000D7ED3" w:rsidRDefault="009D0006" w:rsidP="00747848">
            <w:pPr>
              <w:pStyle w:val="Tableheader"/>
            </w:pPr>
            <w:r w:rsidRPr="000D7ED3">
              <w:t> </w:t>
            </w:r>
          </w:p>
        </w:tc>
        <w:tc>
          <w:tcPr>
            <w:tcW w:w="1559" w:type="dxa"/>
            <w:noWrap/>
            <w:hideMark/>
          </w:tcPr>
          <w:p w14:paraId="66639FAC" w14:textId="77777777" w:rsidR="009D0006" w:rsidRPr="000D7ED3" w:rsidRDefault="009D0006" w:rsidP="00747848">
            <w:pPr>
              <w:pStyle w:val="Tableheader"/>
              <w:rPr>
                <w:bCs/>
              </w:rPr>
            </w:pPr>
            <w:r>
              <w:t>n</w:t>
            </w:r>
          </w:p>
        </w:tc>
        <w:tc>
          <w:tcPr>
            <w:tcW w:w="1559" w:type="dxa"/>
            <w:noWrap/>
            <w:hideMark/>
          </w:tcPr>
          <w:p w14:paraId="16F17DDA" w14:textId="77777777" w:rsidR="009D0006" w:rsidRPr="000D7ED3" w:rsidRDefault="009D0006" w:rsidP="00747848">
            <w:pPr>
              <w:pStyle w:val="Tableheader"/>
              <w:rPr>
                <w:bCs/>
              </w:rPr>
            </w:pPr>
            <w:r w:rsidRPr="000D7ED3">
              <w:t>%</w:t>
            </w:r>
          </w:p>
        </w:tc>
      </w:tr>
      <w:tr w:rsidR="009D0006" w:rsidRPr="000D7ED3" w14:paraId="129861BA"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6FB3D56" w14:textId="77777777" w:rsidR="009D0006" w:rsidRPr="000D7ED3" w:rsidRDefault="009D0006" w:rsidP="00747848">
            <w:pPr>
              <w:pStyle w:val="Tabletext"/>
            </w:pPr>
            <w:r w:rsidRPr="000D7ED3">
              <w:t>Not at all</w:t>
            </w:r>
          </w:p>
        </w:tc>
        <w:tc>
          <w:tcPr>
            <w:tcW w:w="1559" w:type="dxa"/>
            <w:noWrap/>
            <w:hideMark/>
          </w:tcPr>
          <w:p w14:paraId="2F6CEC00" w14:textId="77777777" w:rsidR="009D0006" w:rsidRPr="000D7ED3" w:rsidRDefault="009D0006" w:rsidP="00747848">
            <w:pPr>
              <w:pStyle w:val="Tabletext"/>
            </w:pPr>
            <w:r w:rsidRPr="000D7ED3">
              <w:t>247</w:t>
            </w:r>
          </w:p>
        </w:tc>
        <w:tc>
          <w:tcPr>
            <w:tcW w:w="1559" w:type="dxa"/>
            <w:noWrap/>
            <w:hideMark/>
          </w:tcPr>
          <w:p w14:paraId="00A69B17" w14:textId="77777777" w:rsidR="009D0006" w:rsidRPr="000D7ED3" w:rsidRDefault="009D0006" w:rsidP="00747848">
            <w:pPr>
              <w:pStyle w:val="Tabletext"/>
            </w:pPr>
            <w:r w:rsidRPr="000D7ED3">
              <w:t>57.3</w:t>
            </w:r>
          </w:p>
        </w:tc>
      </w:tr>
      <w:tr w:rsidR="009D0006" w:rsidRPr="000D7ED3" w14:paraId="27F0CABA"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AE9E207" w14:textId="77777777" w:rsidR="009D0006" w:rsidRPr="000D7ED3" w:rsidRDefault="009D0006" w:rsidP="00747848">
            <w:pPr>
              <w:pStyle w:val="Tabletext"/>
            </w:pPr>
            <w:r w:rsidRPr="000D7ED3">
              <w:t>A little</w:t>
            </w:r>
          </w:p>
        </w:tc>
        <w:tc>
          <w:tcPr>
            <w:tcW w:w="1559" w:type="dxa"/>
            <w:noWrap/>
            <w:hideMark/>
          </w:tcPr>
          <w:p w14:paraId="79911A7E" w14:textId="77777777" w:rsidR="009D0006" w:rsidRPr="000D7ED3" w:rsidRDefault="009D0006" w:rsidP="00747848">
            <w:pPr>
              <w:pStyle w:val="Tabletext"/>
            </w:pPr>
            <w:r w:rsidRPr="000D7ED3">
              <w:t>106</w:t>
            </w:r>
          </w:p>
        </w:tc>
        <w:tc>
          <w:tcPr>
            <w:tcW w:w="1559" w:type="dxa"/>
            <w:noWrap/>
            <w:hideMark/>
          </w:tcPr>
          <w:p w14:paraId="4EB2443E" w14:textId="77777777" w:rsidR="009D0006" w:rsidRPr="000D7ED3" w:rsidRDefault="009D0006" w:rsidP="00747848">
            <w:pPr>
              <w:pStyle w:val="Tabletext"/>
            </w:pPr>
            <w:r w:rsidRPr="000D7ED3">
              <w:t>24.6</w:t>
            </w:r>
          </w:p>
        </w:tc>
      </w:tr>
      <w:tr w:rsidR="009D0006" w:rsidRPr="000D7ED3" w14:paraId="5EC94077"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B9E10FE" w14:textId="77777777" w:rsidR="009D0006" w:rsidRPr="000D7ED3" w:rsidRDefault="009D0006" w:rsidP="00747848">
            <w:pPr>
              <w:pStyle w:val="Tabletext"/>
            </w:pPr>
            <w:r w:rsidRPr="000D7ED3">
              <w:t>Somewhat</w:t>
            </w:r>
          </w:p>
        </w:tc>
        <w:tc>
          <w:tcPr>
            <w:tcW w:w="1559" w:type="dxa"/>
            <w:noWrap/>
            <w:hideMark/>
          </w:tcPr>
          <w:p w14:paraId="59FECECB" w14:textId="77777777" w:rsidR="009D0006" w:rsidRPr="000D7ED3" w:rsidRDefault="009D0006" w:rsidP="00747848">
            <w:pPr>
              <w:pStyle w:val="Tabletext"/>
            </w:pPr>
            <w:r w:rsidRPr="000D7ED3">
              <w:t>54</w:t>
            </w:r>
          </w:p>
        </w:tc>
        <w:tc>
          <w:tcPr>
            <w:tcW w:w="1559" w:type="dxa"/>
            <w:noWrap/>
            <w:hideMark/>
          </w:tcPr>
          <w:p w14:paraId="1F501884" w14:textId="77777777" w:rsidR="009D0006" w:rsidRPr="000D7ED3" w:rsidRDefault="009D0006" w:rsidP="00747848">
            <w:pPr>
              <w:pStyle w:val="Tabletext"/>
            </w:pPr>
            <w:r w:rsidRPr="000D7ED3">
              <w:t>12.5</w:t>
            </w:r>
          </w:p>
        </w:tc>
      </w:tr>
      <w:tr w:rsidR="009D0006" w:rsidRPr="000D7ED3" w14:paraId="6C5AEFB5"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9BAFE21" w14:textId="77777777" w:rsidR="009D0006" w:rsidRPr="000D7ED3" w:rsidRDefault="009D0006" w:rsidP="00747848">
            <w:pPr>
              <w:pStyle w:val="Tabletext"/>
            </w:pPr>
            <w:r w:rsidRPr="000D7ED3">
              <w:t>A lot</w:t>
            </w:r>
          </w:p>
        </w:tc>
        <w:tc>
          <w:tcPr>
            <w:tcW w:w="1559" w:type="dxa"/>
            <w:noWrap/>
            <w:hideMark/>
          </w:tcPr>
          <w:p w14:paraId="45B41D37" w14:textId="77777777" w:rsidR="009D0006" w:rsidRPr="000D7ED3" w:rsidRDefault="009D0006" w:rsidP="00747848">
            <w:pPr>
              <w:pStyle w:val="Tabletext"/>
            </w:pPr>
            <w:r w:rsidRPr="000D7ED3">
              <w:t>21</w:t>
            </w:r>
          </w:p>
        </w:tc>
        <w:tc>
          <w:tcPr>
            <w:tcW w:w="1559" w:type="dxa"/>
            <w:noWrap/>
            <w:hideMark/>
          </w:tcPr>
          <w:p w14:paraId="29D1B008" w14:textId="77777777" w:rsidR="009D0006" w:rsidRPr="000D7ED3" w:rsidRDefault="009D0006" w:rsidP="00747848">
            <w:pPr>
              <w:pStyle w:val="Tabletext"/>
            </w:pPr>
            <w:r w:rsidRPr="000D7ED3">
              <w:t>4.9</w:t>
            </w:r>
          </w:p>
        </w:tc>
      </w:tr>
      <w:tr w:rsidR="009D0006" w:rsidRPr="000D7ED3" w14:paraId="105DFD60"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7AAD38F" w14:textId="77777777" w:rsidR="009D0006" w:rsidRPr="000D7ED3" w:rsidRDefault="009D0006" w:rsidP="00747848">
            <w:pPr>
              <w:pStyle w:val="Tabletext"/>
            </w:pPr>
            <w:r w:rsidRPr="000D7ED3">
              <w:t>Always</w:t>
            </w:r>
          </w:p>
        </w:tc>
        <w:tc>
          <w:tcPr>
            <w:tcW w:w="1559" w:type="dxa"/>
            <w:noWrap/>
            <w:hideMark/>
          </w:tcPr>
          <w:p w14:paraId="6F8308DC" w14:textId="77777777" w:rsidR="009D0006" w:rsidRPr="000D7ED3" w:rsidRDefault="009D0006" w:rsidP="00747848">
            <w:pPr>
              <w:pStyle w:val="Tabletext"/>
            </w:pPr>
            <w:r w:rsidRPr="000D7ED3">
              <w:t>3</w:t>
            </w:r>
          </w:p>
        </w:tc>
        <w:tc>
          <w:tcPr>
            <w:tcW w:w="1559" w:type="dxa"/>
            <w:noWrap/>
            <w:hideMark/>
          </w:tcPr>
          <w:p w14:paraId="10F7E021" w14:textId="77777777" w:rsidR="009D0006" w:rsidRPr="000D7ED3" w:rsidRDefault="009D0006" w:rsidP="00747848">
            <w:pPr>
              <w:pStyle w:val="Tabletext"/>
            </w:pPr>
            <w:r w:rsidRPr="000D7ED3">
              <w:t>0.7</w:t>
            </w:r>
          </w:p>
        </w:tc>
      </w:tr>
    </w:tbl>
    <w:p w14:paraId="00867C43" w14:textId="77777777" w:rsidR="004E2605" w:rsidRDefault="004E2605">
      <w:pPr>
        <w:spacing w:before="0"/>
        <w:rPr>
          <w:rFonts w:eastAsiaTheme="majorEastAsia" w:cstheme="majorBidi"/>
          <w:b/>
          <w:color w:val="000000" w:themeColor="text1"/>
        </w:rPr>
      </w:pPr>
      <w:r>
        <w:br w:type="page"/>
      </w:r>
    </w:p>
    <w:p w14:paraId="00CE05E0" w14:textId="5A0EB018" w:rsidR="009D0006" w:rsidRDefault="009D0006" w:rsidP="00526E70">
      <w:pPr>
        <w:pStyle w:val="Tableheading"/>
      </w:pPr>
      <w:r>
        <w:t xml:space="preserve">Table 49.2 </w:t>
      </w:r>
      <w:r>
        <w:lastRenderedPageBreak/>
        <w:t>Moderate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D7ED3" w14:paraId="74E2DA5C" w14:textId="77777777" w:rsidTr="0074784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AC4061D" w14:textId="77777777" w:rsidR="009D0006" w:rsidRPr="000D7ED3" w:rsidRDefault="009D0006" w:rsidP="00747848">
            <w:pPr>
              <w:pStyle w:val="Tableheader"/>
            </w:pPr>
            <w:r w:rsidRPr="000D7ED3">
              <w:t> </w:t>
            </w:r>
          </w:p>
        </w:tc>
        <w:tc>
          <w:tcPr>
            <w:tcW w:w="1559" w:type="dxa"/>
            <w:noWrap/>
            <w:hideMark/>
          </w:tcPr>
          <w:p w14:paraId="4D2B7907" w14:textId="77777777" w:rsidR="009D0006" w:rsidRPr="000D7ED3" w:rsidRDefault="009D0006" w:rsidP="00747848">
            <w:pPr>
              <w:pStyle w:val="Tableheader"/>
              <w:rPr>
                <w:bCs/>
              </w:rPr>
            </w:pPr>
            <w:r>
              <w:t>n</w:t>
            </w:r>
          </w:p>
        </w:tc>
        <w:tc>
          <w:tcPr>
            <w:tcW w:w="1559" w:type="dxa"/>
            <w:noWrap/>
            <w:hideMark/>
          </w:tcPr>
          <w:p w14:paraId="17CED58A" w14:textId="77777777" w:rsidR="009D0006" w:rsidRPr="000D7ED3" w:rsidRDefault="009D0006" w:rsidP="00747848">
            <w:pPr>
              <w:pStyle w:val="Tableheader"/>
              <w:rPr>
                <w:bCs/>
              </w:rPr>
            </w:pPr>
            <w:r w:rsidRPr="000D7ED3">
              <w:t>%</w:t>
            </w:r>
          </w:p>
        </w:tc>
      </w:tr>
      <w:tr w:rsidR="009D0006" w:rsidRPr="000D7ED3" w14:paraId="2EB30DEC"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DDFE359" w14:textId="77777777" w:rsidR="009D0006" w:rsidRPr="000D7ED3" w:rsidRDefault="009D0006" w:rsidP="00747848">
            <w:pPr>
              <w:pStyle w:val="Tabletext"/>
            </w:pPr>
            <w:r w:rsidRPr="000D7ED3">
              <w:t>Not at all</w:t>
            </w:r>
          </w:p>
        </w:tc>
        <w:tc>
          <w:tcPr>
            <w:tcW w:w="1559" w:type="dxa"/>
            <w:noWrap/>
            <w:hideMark/>
          </w:tcPr>
          <w:p w14:paraId="5121A4C6" w14:textId="77777777" w:rsidR="009D0006" w:rsidRPr="000D7ED3" w:rsidRDefault="009D0006" w:rsidP="00747848">
            <w:pPr>
              <w:pStyle w:val="Tabletext"/>
            </w:pPr>
            <w:r w:rsidRPr="000D7ED3">
              <w:t>612</w:t>
            </w:r>
          </w:p>
        </w:tc>
        <w:tc>
          <w:tcPr>
            <w:tcW w:w="1559" w:type="dxa"/>
            <w:noWrap/>
            <w:hideMark/>
          </w:tcPr>
          <w:p w14:paraId="12BB18CC" w14:textId="77777777" w:rsidR="009D0006" w:rsidRPr="000D7ED3" w:rsidRDefault="009D0006" w:rsidP="00747848">
            <w:pPr>
              <w:pStyle w:val="Tabletext"/>
            </w:pPr>
            <w:r w:rsidRPr="000D7ED3">
              <w:t>44.3</w:t>
            </w:r>
          </w:p>
        </w:tc>
      </w:tr>
      <w:tr w:rsidR="009D0006" w:rsidRPr="000D7ED3" w14:paraId="77341699"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629D8F9" w14:textId="77777777" w:rsidR="009D0006" w:rsidRPr="000D7ED3" w:rsidRDefault="009D0006" w:rsidP="00747848">
            <w:pPr>
              <w:pStyle w:val="Tabletext"/>
            </w:pPr>
            <w:r w:rsidRPr="000D7ED3">
              <w:t>A little</w:t>
            </w:r>
          </w:p>
        </w:tc>
        <w:tc>
          <w:tcPr>
            <w:tcW w:w="1559" w:type="dxa"/>
            <w:noWrap/>
            <w:hideMark/>
          </w:tcPr>
          <w:p w14:paraId="2E7591D0" w14:textId="77777777" w:rsidR="009D0006" w:rsidRPr="000D7ED3" w:rsidRDefault="009D0006" w:rsidP="00747848">
            <w:pPr>
              <w:pStyle w:val="Tabletext"/>
            </w:pPr>
            <w:r w:rsidRPr="000D7ED3">
              <w:t>377</w:t>
            </w:r>
          </w:p>
        </w:tc>
        <w:tc>
          <w:tcPr>
            <w:tcW w:w="1559" w:type="dxa"/>
            <w:noWrap/>
            <w:hideMark/>
          </w:tcPr>
          <w:p w14:paraId="6F67ABBB" w14:textId="77777777" w:rsidR="009D0006" w:rsidRPr="000D7ED3" w:rsidRDefault="009D0006" w:rsidP="00747848">
            <w:pPr>
              <w:pStyle w:val="Tabletext"/>
            </w:pPr>
            <w:r w:rsidRPr="000D7ED3">
              <w:t>27.3</w:t>
            </w:r>
          </w:p>
        </w:tc>
      </w:tr>
      <w:tr w:rsidR="009D0006" w:rsidRPr="000D7ED3" w14:paraId="566739C7"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453DA8E" w14:textId="77777777" w:rsidR="009D0006" w:rsidRPr="000D7ED3" w:rsidRDefault="009D0006" w:rsidP="00747848">
            <w:pPr>
              <w:pStyle w:val="Tabletext"/>
            </w:pPr>
            <w:r w:rsidRPr="000D7ED3">
              <w:t>Somewhat</w:t>
            </w:r>
          </w:p>
        </w:tc>
        <w:tc>
          <w:tcPr>
            <w:tcW w:w="1559" w:type="dxa"/>
            <w:noWrap/>
            <w:hideMark/>
          </w:tcPr>
          <w:p w14:paraId="3FF42D83" w14:textId="77777777" w:rsidR="009D0006" w:rsidRPr="000D7ED3" w:rsidRDefault="009D0006" w:rsidP="00747848">
            <w:pPr>
              <w:pStyle w:val="Tabletext"/>
            </w:pPr>
            <w:r w:rsidRPr="000D7ED3">
              <w:t>245</w:t>
            </w:r>
          </w:p>
        </w:tc>
        <w:tc>
          <w:tcPr>
            <w:tcW w:w="1559" w:type="dxa"/>
            <w:noWrap/>
            <w:hideMark/>
          </w:tcPr>
          <w:p w14:paraId="1582CFB6" w14:textId="77777777" w:rsidR="009D0006" w:rsidRPr="000D7ED3" w:rsidRDefault="009D0006" w:rsidP="00747848">
            <w:pPr>
              <w:pStyle w:val="Tabletext"/>
            </w:pPr>
            <w:r w:rsidRPr="000D7ED3">
              <w:t>17.7</w:t>
            </w:r>
          </w:p>
        </w:tc>
      </w:tr>
      <w:tr w:rsidR="009D0006" w:rsidRPr="000D7ED3" w14:paraId="5B14EFBC"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1207E21" w14:textId="77777777" w:rsidR="009D0006" w:rsidRPr="000D7ED3" w:rsidRDefault="009D0006" w:rsidP="00747848">
            <w:pPr>
              <w:pStyle w:val="Tabletext"/>
            </w:pPr>
            <w:r w:rsidRPr="000D7ED3">
              <w:t>A lot</w:t>
            </w:r>
          </w:p>
        </w:tc>
        <w:tc>
          <w:tcPr>
            <w:tcW w:w="1559" w:type="dxa"/>
            <w:noWrap/>
            <w:hideMark/>
          </w:tcPr>
          <w:p w14:paraId="669394F9" w14:textId="77777777" w:rsidR="009D0006" w:rsidRPr="000D7ED3" w:rsidRDefault="009D0006" w:rsidP="00747848">
            <w:pPr>
              <w:pStyle w:val="Tabletext"/>
            </w:pPr>
            <w:r w:rsidRPr="000D7ED3">
              <w:t>135</w:t>
            </w:r>
          </w:p>
        </w:tc>
        <w:tc>
          <w:tcPr>
            <w:tcW w:w="1559" w:type="dxa"/>
            <w:noWrap/>
            <w:hideMark/>
          </w:tcPr>
          <w:p w14:paraId="46C6FE41" w14:textId="77777777" w:rsidR="009D0006" w:rsidRPr="000D7ED3" w:rsidRDefault="009D0006" w:rsidP="00747848">
            <w:pPr>
              <w:pStyle w:val="Tabletext"/>
            </w:pPr>
            <w:r w:rsidRPr="000D7ED3">
              <w:t>9.8</w:t>
            </w:r>
          </w:p>
        </w:tc>
      </w:tr>
      <w:tr w:rsidR="009D0006" w:rsidRPr="000D7ED3" w14:paraId="7B440C6F"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D3DDD42" w14:textId="77777777" w:rsidR="009D0006" w:rsidRPr="000D7ED3" w:rsidRDefault="009D0006" w:rsidP="00747848">
            <w:pPr>
              <w:pStyle w:val="Tabletext"/>
            </w:pPr>
            <w:r w:rsidRPr="000D7ED3">
              <w:t>Always</w:t>
            </w:r>
          </w:p>
        </w:tc>
        <w:tc>
          <w:tcPr>
            <w:tcW w:w="1559" w:type="dxa"/>
            <w:noWrap/>
            <w:hideMark/>
          </w:tcPr>
          <w:p w14:paraId="595DFE46" w14:textId="77777777" w:rsidR="009D0006" w:rsidRPr="000D7ED3" w:rsidRDefault="009D0006" w:rsidP="00747848">
            <w:pPr>
              <w:pStyle w:val="Tabletext"/>
            </w:pPr>
            <w:r w:rsidRPr="000D7ED3">
              <w:t>14</w:t>
            </w:r>
          </w:p>
        </w:tc>
        <w:tc>
          <w:tcPr>
            <w:tcW w:w="1559" w:type="dxa"/>
            <w:noWrap/>
            <w:hideMark/>
          </w:tcPr>
          <w:p w14:paraId="05F0A058" w14:textId="77777777" w:rsidR="009D0006" w:rsidRPr="000D7ED3" w:rsidRDefault="009D0006" w:rsidP="00747848">
            <w:pPr>
              <w:pStyle w:val="Tabletext"/>
            </w:pPr>
            <w:r w:rsidRPr="000D7ED3">
              <w:t>1.0</w:t>
            </w:r>
          </w:p>
        </w:tc>
      </w:tr>
    </w:tbl>
    <w:p w14:paraId="7C9DEE90" w14:textId="77777777" w:rsidR="009D0006" w:rsidRDefault="009D0006" w:rsidP="00526E70">
      <w:pPr>
        <w:pStyle w:val="Tableheading"/>
      </w:pPr>
      <w:r>
        <w:t>Table 49.3 Severe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D7ED3" w14:paraId="1C25449E" w14:textId="77777777" w:rsidTr="0074784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1D60E69" w14:textId="77777777" w:rsidR="009D0006" w:rsidRPr="000D7ED3" w:rsidRDefault="009D0006" w:rsidP="00747848">
            <w:pPr>
              <w:pStyle w:val="Tableheader"/>
            </w:pPr>
            <w:r w:rsidRPr="000D7ED3">
              <w:t> </w:t>
            </w:r>
          </w:p>
        </w:tc>
        <w:tc>
          <w:tcPr>
            <w:tcW w:w="1559" w:type="dxa"/>
            <w:noWrap/>
            <w:hideMark/>
          </w:tcPr>
          <w:p w14:paraId="1BF3B4FA" w14:textId="77777777" w:rsidR="009D0006" w:rsidRPr="000D7ED3" w:rsidRDefault="009D0006" w:rsidP="00747848">
            <w:pPr>
              <w:pStyle w:val="Tableheader"/>
              <w:rPr>
                <w:bCs/>
              </w:rPr>
            </w:pPr>
            <w:r>
              <w:t>n</w:t>
            </w:r>
          </w:p>
        </w:tc>
        <w:tc>
          <w:tcPr>
            <w:tcW w:w="1559" w:type="dxa"/>
            <w:noWrap/>
            <w:hideMark/>
          </w:tcPr>
          <w:p w14:paraId="6F72A4B2" w14:textId="77777777" w:rsidR="009D0006" w:rsidRPr="000D7ED3" w:rsidRDefault="009D0006" w:rsidP="00747848">
            <w:pPr>
              <w:pStyle w:val="Tableheader"/>
              <w:rPr>
                <w:bCs/>
              </w:rPr>
            </w:pPr>
            <w:r w:rsidRPr="000D7ED3">
              <w:t>%</w:t>
            </w:r>
          </w:p>
        </w:tc>
      </w:tr>
      <w:tr w:rsidR="009D0006" w:rsidRPr="000D7ED3" w14:paraId="414DF698"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CC60FED" w14:textId="77777777" w:rsidR="009D0006" w:rsidRPr="000D7ED3" w:rsidRDefault="009D0006" w:rsidP="00747848">
            <w:pPr>
              <w:pStyle w:val="Tabletext"/>
            </w:pPr>
            <w:r w:rsidRPr="000D7ED3">
              <w:t>Not at all</w:t>
            </w:r>
          </w:p>
        </w:tc>
        <w:tc>
          <w:tcPr>
            <w:tcW w:w="1559" w:type="dxa"/>
            <w:noWrap/>
            <w:hideMark/>
          </w:tcPr>
          <w:p w14:paraId="355DEF95" w14:textId="77777777" w:rsidR="009D0006" w:rsidRPr="000D7ED3" w:rsidRDefault="009D0006" w:rsidP="00747848">
            <w:pPr>
              <w:pStyle w:val="Tabletext"/>
            </w:pPr>
            <w:r w:rsidRPr="000D7ED3">
              <w:t>178</w:t>
            </w:r>
          </w:p>
        </w:tc>
        <w:tc>
          <w:tcPr>
            <w:tcW w:w="1559" w:type="dxa"/>
            <w:noWrap/>
            <w:hideMark/>
          </w:tcPr>
          <w:p w14:paraId="6FBD03F6" w14:textId="77777777" w:rsidR="009D0006" w:rsidRPr="000D7ED3" w:rsidRDefault="009D0006" w:rsidP="00747848">
            <w:pPr>
              <w:pStyle w:val="Tabletext"/>
            </w:pPr>
            <w:r w:rsidRPr="000D7ED3">
              <w:t>22.4</w:t>
            </w:r>
          </w:p>
        </w:tc>
      </w:tr>
      <w:tr w:rsidR="009D0006" w:rsidRPr="000D7ED3" w14:paraId="132F0F44"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6F9F35E" w14:textId="77777777" w:rsidR="009D0006" w:rsidRPr="000D7ED3" w:rsidRDefault="009D0006" w:rsidP="00747848">
            <w:pPr>
              <w:pStyle w:val="Tabletext"/>
            </w:pPr>
            <w:r w:rsidRPr="000D7ED3">
              <w:t>A little</w:t>
            </w:r>
          </w:p>
        </w:tc>
        <w:tc>
          <w:tcPr>
            <w:tcW w:w="1559" w:type="dxa"/>
            <w:noWrap/>
            <w:hideMark/>
          </w:tcPr>
          <w:p w14:paraId="1DFA484C" w14:textId="77777777" w:rsidR="009D0006" w:rsidRPr="000D7ED3" w:rsidRDefault="009D0006" w:rsidP="00747848">
            <w:pPr>
              <w:pStyle w:val="Tabletext"/>
            </w:pPr>
            <w:r w:rsidRPr="000D7ED3">
              <w:t>173</w:t>
            </w:r>
          </w:p>
        </w:tc>
        <w:tc>
          <w:tcPr>
            <w:tcW w:w="1559" w:type="dxa"/>
            <w:noWrap/>
            <w:hideMark/>
          </w:tcPr>
          <w:p w14:paraId="25B45BB6" w14:textId="77777777" w:rsidR="009D0006" w:rsidRPr="000D7ED3" w:rsidRDefault="009D0006" w:rsidP="00747848">
            <w:pPr>
              <w:pStyle w:val="Tabletext"/>
            </w:pPr>
            <w:r w:rsidRPr="000D7ED3">
              <w:t>21.8</w:t>
            </w:r>
          </w:p>
        </w:tc>
      </w:tr>
      <w:tr w:rsidR="009D0006" w:rsidRPr="000D7ED3" w14:paraId="231A5AA2"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F695562" w14:textId="77777777" w:rsidR="009D0006" w:rsidRPr="000D7ED3" w:rsidRDefault="009D0006" w:rsidP="00747848">
            <w:pPr>
              <w:pStyle w:val="Tabletext"/>
            </w:pPr>
            <w:r w:rsidRPr="000D7ED3">
              <w:t>Somewhat</w:t>
            </w:r>
          </w:p>
        </w:tc>
        <w:tc>
          <w:tcPr>
            <w:tcW w:w="1559" w:type="dxa"/>
            <w:noWrap/>
            <w:hideMark/>
          </w:tcPr>
          <w:p w14:paraId="56FD547C" w14:textId="77777777" w:rsidR="009D0006" w:rsidRPr="000D7ED3" w:rsidRDefault="009D0006" w:rsidP="00747848">
            <w:pPr>
              <w:pStyle w:val="Tabletext"/>
            </w:pPr>
            <w:r w:rsidRPr="000D7ED3">
              <w:t>198</w:t>
            </w:r>
          </w:p>
        </w:tc>
        <w:tc>
          <w:tcPr>
            <w:tcW w:w="1559" w:type="dxa"/>
            <w:noWrap/>
            <w:hideMark/>
          </w:tcPr>
          <w:p w14:paraId="4F9F089D" w14:textId="77777777" w:rsidR="009D0006" w:rsidRPr="000D7ED3" w:rsidRDefault="009D0006" w:rsidP="00747848">
            <w:pPr>
              <w:pStyle w:val="Tabletext"/>
            </w:pPr>
            <w:r w:rsidRPr="000D7ED3">
              <w:t>24.9</w:t>
            </w:r>
          </w:p>
        </w:tc>
      </w:tr>
      <w:tr w:rsidR="009D0006" w:rsidRPr="000D7ED3" w14:paraId="0B035007" w14:textId="77777777" w:rsidTr="0074784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513CC66" w14:textId="77777777" w:rsidR="009D0006" w:rsidRPr="000D7ED3" w:rsidRDefault="009D0006" w:rsidP="00747848">
            <w:pPr>
              <w:pStyle w:val="Tabletext"/>
            </w:pPr>
            <w:r w:rsidRPr="000D7ED3">
              <w:t>A lot</w:t>
            </w:r>
          </w:p>
        </w:tc>
        <w:tc>
          <w:tcPr>
            <w:tcW w:w="1559" w:type="dxa"/>
            <w:noWrap/>
            <w:hideMark/>
          </w:tcPr>
          <w:p w14:paraId="23952CD7" w14:textId="77777777" w:rsidR="009D0006" w:rsidRPr="000D7ED3" w:rsidRDefault="009D0006" w:rsidP="00747848">
            <w:pPr>
              <w:pStyle w:val="Tabletext"/>
            </w:pPr>
            <w:r w:rsidRPr="000D7ED3">
              <w:t>204</w:t>
            </w:r>
          </w:p>
        </w:tc>
        <w:tc>
          <w:tcPr>
            <w:tcW w:w="1559" w:type="dxa"/>
            <w:noWrap/>
            <w:hideMark/>
          </w:tcPr>
          <w:p w14:paraId="2CE5E808" w14:textId="77777777" w:rsidR="009D0006" w:rsidRPr="000D7ED3" w:rsidRDefault="009D0006" w:rsidP="00747848">
            <w:pPr>
              <w:pStyle w:val="Tabletext"/>
            </w:pPr>
            <w:r w:rsidRPr="000D7ED3">
              <w:t>25.7</w:t>
            </w:r>
          </w:p>
        </w:tc>
      </w:tr>
      <w:tr w:rsidR="009D0006" w:rsidRPr="000D7ED3" w14:paraId="32F05763" w14:textId="77777777" w:rsidTr="0074784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921DD35" w14:textId="77777777" w:rsidR="009D0006" w:rsidRPr="000D7ED3" w:rsidRDefault="009D0006" w:rsidP="00747848">
            <w:pPr>
              <w:pStyle w:val="Tabletext"/>
            </w:pPr>
            <w:r w:rsidRPr="000D7ED3">
              <w:t>Always</w:t>
            </w:r>
          </w:p>
        </w:tc>
        <w:tc>
          <w:tcPr>
            <w:tcW w:w="1559" w:type="dxa"/>
            <w:noWrap/>
            <w:hideMark/>
          </w:tcPr>
          <w:p w14:paraId="43300ABA" w14:textId="77777777" w:rsidR="009D0006" w:rsidRPr="000D7ED3" w:rsidRDefault="009D0006" w:rsidP="00747848">
            <w:pPr>
              <w:pStyle w:val="Tabletext"/>
            </w:pPr>
            <w:r w:rsidRPr="000D7ED3">
              <w:t>42</w:t>
            </w:r>
          </w:p>
        </w:tc>
        <w:tc>
          <w:tcPr>
            <w:tcW w:w="1559" w:type="dxa"/>
            <w:noWrap/>
            <w:hideMark/>
          </w:tcPr>
          <w:p w14:paraId="25185E8F" w14:textId="77777777" w:rsidR="009D0006" w:rsidRPr="000D7ED3" w:rsidRDefault="009D0006" w:rsidP="00747848">
            <w:pPr>
              <w:pStyle w:val="Tabletext"/>
            </w:pPr>
            <w:r w:rsidRPr="000D7ED3">
              <w:t>5.3</w:t>
            </w:r>
          </w:p>
        </w:tc>
      </w:tr>
    </w:tbl>
    <w:p w14:paraId="495536B9" w14:textId="77777777" w:rsidR="009D0006" w:rsidRPr="0089251A" w:rsidRDefault="009D0006" w:rsidP="00526E70">
      <w:pPr>
        <w:spacing w:before="360"/>
      </w:pPr>
      <w:r w:rsidRPr="0089251A">
        <w:t>More than three</w:t>
      </w:r>
      <w:r>
        <w:t>-</w:t>
      </w:r>
      <w:r w:rsidRPr="0089251A">
        <w:t xml:space="preserve">quarters (77.7%; n = 617) of participants who </w:t>
      </w:r>
      <w:r>
        <w:t>were categorised with</w:t>
      </w:r>
      <w:r w:rsidRPr="0089251A">
        <w:t xml:space="preserve"> severe disability reported being treated unfairly by others in the past 12 months as a result of their disability or long-term health condition. This was followed by more than half (55.8%; n = 771) of participants who </w:t>
      </w:r>
      <w:r>
        <w:t>were categorised with</w:t>
      </w:r>
      <w:r w:rsidRPr="0089251A">
        <w:t xml:space="preserve"> moderate disability and </w:t>
      </w:r>
      <w:r>
        <w:t>4 in 10</w:t>
      </w:r>
      <w:r w:rsidRPr="0089251A">
        <w:t xml:space="preserve"> (42.7%; n = 184) </w:t>
      </w:r>
      <w:r>
        <w:t xml:space="preserve">of those categorised with </w:t>
      </w:r>
      <w:r w:rsidRPr="0089251A">
        <w:t>mild disability.</w:t>
      </w:r>
    </w:p>
    <w:p w14:paraId="6521352A" w14:textId="73E2AC37" w:rsidR="009D0006" w:rsidRPr="000073E5" w:rsidRDefault="009D0006" w:rsidP="00153892">
      <w:pPr>
        <w:pStyle w:val="Heading2Numbered"/>
      </w:pPr>
      <w:bookmarkStart w:id="536" w:name="_Toc43903872"/>
      <w:bookmarkStart w:id="537" w:name="_Toc115968572"/>
      <w:bookmarkStart w:id="538" w:name="_Toc119662433"/>
      <w:r w:rsidRPr="000073E5">
        <w:t>Summary</w:t>
      </w:r>
      <w:bookmarkEnd w:id="536"/>
      <w:r>
        <w:t xml:space="preserve"> and relation to existing literature</w:t>
      </w:r>
      <w:bookmarkEnd w:id="537"/>
      <w:bookmarkEnd w:id="538"/>
      <w:r>
        <w:t xml:space="preserve"> </w:t>
      </w:r>
    </w:p>
    <w:p w14:paraId="460183EB" w14:textId="77777777" w:rsidR="009D0006" w:rsidRDefault="009D0006" w:rsidP="009D0006">
      <w:r>
        <w:t>High levels of</w:t>
      </w:r>
      <w:r w:rsidRPr="00E86EE5">
        <w:t xml:space="preserve"> harassment or assault </w:t>
      </w:r>
      <w:r>
        <w:t xml:space="preserve">based on their sexual orientation or gender identity were </w:t>
      </w:r>
      <w:r w:rsidRPr="00E86EE5">
        <w:t xml:space="preserve">reported </w:t>
      </w:r>
      <w:r>
        <w:t xml:space="preserve">among young people aged 14-21 years with disability </w:t>
      </w:r>
      <w:r w:rsidRPr="00E86EE5">
        <w:t xml:space="preserve">in </w:t>
      </w:r>
      <w:r w:rsidRPr="00E86EE5">
        <w:rPr>
          <w:i/>
          <w:iCs/>
        </w:rPr>
        <w:t>Writing Themselves In 4</w:t>
      </w:r>
      <w:r w:rsidRPr="00E86EE5">
        <w:t>, with two</w:t>
      </w:r>
      <w:r>
        <w:t>-</w:t>
      </w:r>
      <w:r w:rsidRPr="00E86EE5">
        <w:t>thirds of participants reporting experiences of verbal harassment</w:t>
      </w:r>
      <w:r>
        <w:t>, two-fifths sexual harassment or assault and almost one-third physical harassment</w:t>
      </w:r>
      <w:r w:rsidRPr="00E86EE5">
        <w:t xml:space="preserve"> in their lifetime</w:t>
      </w:r>
      <w:r>
        <w:t xml:space="preserve">. A substantially higher proportion of participants with disability in </w:t>
      </w:r>
      <w:r>
        <w:rPr>
          <w:i/>
          <w:iCs/>
        </w:rPr>
        <w:t>Writing Themselves In 4</w:t>
      </w:r>
      <w:r>
        <w:t xml:space="preserve"> reported experiences of verbal, physical and sexual harassment or assault in the past 12 months than those not reporting disability.</w:t>
      </w:r>
    </w:p>
    <w:p w14:paraId="432EAB48" w14:textId="77777777" w:rsidR="009D0006" w:rsidRDefault="009D0006" w:rsidP="009D0006">
      <w:r>
        <w:t>E</w:t>
      </w:r>
      <w:r w:rsidRPr="002D2E21">
        <w:t xml:space="preserve">xperiences of </w:t>
      </w:r>
      <w:r w:rsidRPr="00E86EE5">
        <w:t xml:space="preserve">harassment or assault </w:t>
      </w:r>
      <w:r w:rsidRPr="002D2E21">
        <w:t xml:space="preserve">were </w:t>
      </w:r>
      <w:r>
        <w:t>reported to have occurred</w:t>
      </w:r>
      <w:r w:rsidRPr="002D2E21">
        <w:t xml:space="preserve"> </w:t>
      </w:r>
      <w:r>
        <w:t xml:space="preserve">most frequently </w:t>
      </w:r>
      <w:r w:rsidRPr="002D2E21">
        <w:t>in a public setting, followed by an educational setting</w:t>
      </w:r>
      <w:r>
        <w:t xml:space="preserve"> among participants with disability</w:t>
      </w:r>
      <w:r w:rsidRPr="002D2E21">
        <w:t xml:space="preserve">. This differs from the proportions for the overall sample, which </w:t>
      </w:r>
      <w:r>
        <w:t>observed</w:t>
      </w:r>
      <w:r w:rsidRPr="002D2E21">
        <w:t xml:space="preserve"> experiences of harassment </w:t>
      </w:r>
      <w:r>
        <w:lastRenderedPageBreak/>
        <w:t>most</w:t>
      </w:r>
      <w:r w:rsidRPr="002D2E21">
        <w:t xml:space="preserve"> </w:t>
      </w:r>
      <w:r>
        <w:t>frequently</w:t>
      </w:r>
      <w:r w:rsidRPr="002D2E21">
        <w:t xml:space="preserve"> </w:t>
      </w:r>
      <w:r>
        <w:t>at</w:t>
      </w:r>
      <w:r w:rsidRPr="002D2E21">
        <w:t xml:space="preserve"> educational institutions. Additionally, rates of sexual</w:t>
      </w:r>
      <w:r>
        <w:t xml:space="preserve"> harassment or</w:t>
      </w:r>
      <w:r w:rsidRPr="002D2E21">
        <w:t xml:space="preserve"> assault among participants with disability </w:t>
      </w:r>
      <w:r>
        <w:t>was</w:t>
      </w:r>
      <w:r w:rsidRPr="002D2E21">
        <w:t xml:space="preserve"> substantially higher than among the broader sample of </w:t>
      </w:r>
      <w:r w:rsidRPr="00734BD6">
        <w:rPr>
          <w:i/>
          <w:iCs/>
        </w:rPr>
        <w:t>Writing Themselves In 4</w:t>
      </w:r>
      <w:r w:rsidRPr="002D2E21">
        <w:t xml:space="preserve"> participants</w:t>
      </w:r>
      <w:r>
        <w:t>, particularly at home and at work.</w:t>
      </w:r>
    </w:p>
    <w:p w14:paraId="706DCBFC" w14:textId="77777777" w:rsidR="009D0006" w:rsidRDefault="009D0006" w:rsidP="009D0006">
      <w:pPr>
        <w:rPr>
          <w:lang w:val="en-GB"/>
        </w:rPr>
      </w:pPr>
      <w:r>
        <w:rPr>
          <w:lang w:val="en-GB"/>
        </w:rPr>
        <w:t xml:space="preserve">More than one-third of participants </w:t>
      </w:r>
      <w:r w:rsidRPr="005F5610">
        <w:rPr>
          <w:lang w:val="en-GB"/>
        </w:rPr>
        <w:t xml:space="preserve">with disability in </w:t>
      </w:r>
      <w:r w:rsidRPr="005F5610">
        <w:rPr>
          <w:i/>
          <w:iCs/>
          <w:lang w:val="en-GB"/>
        </w:rPr>
        <w:t>Writing Themselves In 4</w:t>
      </w:r>
      <w:r>
        <w:rPr>
          <w:lang w:val="en-GB"/>
        </w:rPr>
        <w:t xml:space="preserve"> who had experienced harassment or assault based on their sexual orientation or gender in the past 12 months reported that they did not receive help from anyone in this timeframe. Among those who received help, it was most commonly received from LGBTIQA+ friends they had met in real life. Approximately one-tenth had received help from parents or carers or a GP or medical service.</w:t>
      </w:r>
    </w:p>
    <w:p w14:paraId="3F3772CA" w14:textId="77777777" w:rsidR="009D0006" w:rsidRPr="00642EE7" w:rsidRDefault="009D0006" w:rsidP="009D0006">
      <w:pPr>
        <w:rPr>
          <w:lang w:val="en-US"/>
        </w:rPr>
      </w:pPr>
      <w:r>
        <w:rPr>
          <w:lang w:val="en-US"/>
        </w:rPr>
        <w:t xml:space="preserve">Among adults aged 18+ years in </w:t>
      </w:r>
      <w:r w:rsidRPr="00345D5B">
        <w:rPr>
          <w:i/>
          <w:iCs/>
          <w:lang w:val="en-US"/>
        </w:rPr>
        <w:t>Private Lives 3</w:t>
      </w:r>
      <w:r>
        <w:rPr>
          <w:lang w:val="en-US"/>
        </w:rPr>
        <w:t xml:space="preserve">, participants with disability reported higher rates of feeling that they had been treated unfairly due to sexual orientation or gender identity than those without disability. Similarly, participants with disability reported higher levels of violence and harassment due to their sexual orientation or gender identity. For example, </w:t>
      </w:r>
      <w:r>
        <w:t xml:space="preserve">three-fifths of participants who were categorised with severe disability had experienced social exclusion and one-fifth sexual assault due to their sexual orientation or gender identity in the past 12 months compared to </w:t>
      </w:r>
      <w:r>
        <w:rPr>
          <w:lang w:val="en-US"/>
        </w:rPr>
        <w:t>one-third and one-tenth of those not reporting disability, respectively.</w:t>
      </w:r>
    </w:p>
    <w:p w14:paraId="4D3B8D1E" w14:textId="77777777" w:rsidR="009D0006" w:rsidRDefault="009D0006" w:rsidP="009D0006">
      <w:r>
        <w:t>Similarly, m</w:t>
      </w:r>
      <w:r w:rsidRPr="0089251A">
        <w:t>ore than three</w:t>
      </w:r>
      <w:r>
        <w:t>-</w:t>
      </w:r>
      <w:r w:rsidRPr="0089251A">
        <w:t xml:space="preserve">quarters of participants who </w:t>
      </w:r>
      <w:r>
        <w:t xml:space="preserve">were categorised with </w:t>
      </w:r>
      <w:r w:rsidRPr="0089251A">
        <w:t xml:space="preserve">severe disability reported being treated unfairly by others in the past 12 months as a result of their disability or long-term health condition. This was followed by more than half of participants </w:t>
      </w:r>
      <w:r>
        <w:t xml:space="preserve">who were categorised with </w:t>
      </w:r>
      <w:r w:rsidRPr="0089251A">
        <w:t xml:space="preserve">moderate disability and </w:t>
      </w:r>
      <w:r>
        <w:t>two-fifths</w:t>
      </w:r>
      <w:r w:rsidRPr="0089251A">
        <w:t xml:space="preserve"> </w:t>
      </w:r>
      <w:r>
        <w:t>of those categorised with</w:t>
      </w:r>
      <w:r w:rsidRPr="0089251A">
        <w:t xml:space="preserve"> mild disability</w:t>
      </w:r>
      <w:r>
        <w:t>.</w:t>
      </w:r>
    </w:p>
    <w:p w14:paraId="00A19AA8" w14:textId="77777777" w:rsidR="009D0006" w:rsidRPr="005B11DE" w:rsidRDefault="009D0006" w:rsidP="009D0006">
      <w:r>
        <w:t>While there is relatively little other research on experiences of abuse, harassment and discrimination among LGBTQA+ people with disability, some studies in Australia and elsewhere in the world have also documented similar experiences in this group.</w:t>
      </w:r>
      <w:r>
        <w:fldChar w:fldCharType="begin"/>
      </w:r>
      <w:r>
        <w:instrText xml:space="preserve"> ADDIN ZOTERO_ITEM CSL_CITATION {"citationID":"akdr3f9mfg","properties":{"formattedCitation":"(40,43,51,52)","plainCitation":"(40,43,51,52)","noteIndex":0},"citationItems":[{"id":"hc6yy1rM/a3VfWPDc","uris":["http://zotero.org/users/4948307/items/PCJYHUVT"],"itemData":{"id":"9AHQqkZF/nzQghNJr","type":"article-journal","abstract":"Despite prejudice-based harassment's associations with serious physical and mental health risks, research examining multiple forms of harassment among children/adolescents is lacking. This study documents the prevalence of prejudice-based harassment (i.e., harassment on the basis of gender, race/ethnicity, weight or physical appearance, sexual orientation, and disability status) among a large, statewide, school-based Midwestern U.S. sample of 162,034 adolescents. Weight-/appearance-based harassment was most prevalent among both girls (25.3%) and boys (19.8%). Adolescents from certain vulnerable groups experienced higher rates of multiple types of harassment, even when controlling for other sociodemographic characteristics. Prejudice-based harassment experiences are prevalent among adolescent girls and boys. Differential rates of each type of harassment are reported across groups within the corresponding sociodemographic status (e.g., white female adolescents report a significantly lower rate of race-based harassment (4.8%), as compared to Native American (18.6%), mixed/other race (18.9%), Hispanic/Latina (21.5%), Asian/Pacific Islander (24.2%), or Black/African American (24.8%) female adolescents); but a pattern of cross-harassment also is evident, such that differences in prevalence of each harassment type emerge across a variety of statuses (e.g., disability-based harassment was statistically significantly higher among discordant heterosexual (12.7%), gay (13.0%), bisexual (15.3%), and unsure (15.3%) male adolescents than among heterosexual male (7.2%) adolescents). Adolescents from specific sociodemographic groups are particularly vulnerable to certain types of harassment.","archive":"Cinahl","archive_location":"116764588. Language: English. Entry Date: 20180725. Revision Date: 20170421. Publication Type: journal article","container-title":"Journal of Adolescence","DOI":"10.1016/j.adolescence.2016.05.012","ISSN":"0140-1971","page":"68-75","source":"EBSCOhost","title":"Youth experiences with multiple types of prejudice-based harassment","volume":"51","author":[{"family":"Bucchianeri","given":"Michaela M."},{"family":"Gower","given":"Amy L."},{"family":"McMorris","given":"Barbara J."},{"family":"Eisenberg","given":"Marla E."}],"issued":{"date-parts":[["2016"]]}}},{"id":"hc6yy1rM/4KP81inl","uris":["http://zotero.org/users/4948307/items/IB9U2PC3"],"itemData":{"id":"9AHQqkZF/rqavQOyL","type":"report","language":"en","note":"OCLC: 976431115","source":"Open WorldCat","title":"The everyday experiences of lesbian, gay, bisexual, transgender and intersex (LGBTI) people living with disability","title-short":"LGBTI+ History Month","author":[{"family":"Leonard","given":"William"},{"family":"Mann","given":"Rosemary"}],"issued":{"date-parts":[["2018"]]}}},{"id":"hc6yy1rM/dBVzB2Ry","uris":["http://zotero.org/users/4948307/items/H8836S2S"],"itemData":{"id":"9AHQqkZF/fS1ka5Nf","type":"article-journal","abstract":"This study examined the extent to which disability status, alone and in combination with other social identities, was associated with differential levels of exposure to peer victimization. Logistic analyses of survey responses from eleventh graders completing the 2008 Oregon Healthy Teen survey (N = 7,091) utilized an intersectional, intercategorical method. Findings revealed that youth with disabilities were significantly more likely to report exposure to peer victimization, compared to youth without disabilities. The highest odds of exposure to peer victimization were found among disabled sexual minority males (adjusted odds ratio [AOR] = 10.8 [5.84, 19.9]) and females (AOR = 4.0 [3.06, 5.25]). In order to effectively address the problem of peer victimization, it will be important to focus on youth with multiple marginalized identities including disability.","archive":"Cinahl","archive_location":"97315998. Language: English. Entry Date: 20140804. Revision Date: 20190304. Publication Type: Article","container-title":"Journal of School Violence","DOI":"10.1080/15388220.2014.894914","ISSN":"1538-8220","issue":"4","page":"396-421","source":"EBSCOhost","title":"Lost in the Margins? Intersections Between Disability and Other Nondominant Statuses With Regard to Peer Victimization","volume":"13","author":[{"family":"McGee","given":"Marjorie G."}],"issued":{"date-parts":[["2014"]]}}},{"id":"hc6yy1rM/0bnpBiia","uris":["http://zotero.org/users/4948307/items/K83VAZBV"],"itemData":{"id":"9AHQqkZF/8HAbnrNj","type":"article-journal","abstract":"This article explores how stigma intersects with both the disability and the lesbian communities. Despite decades of research reporting the consequences of stigma facing non-dominant groups in areas including sexual orientation and disability, lesbians continue to encounter attitudinal and environmental barriers that threaten their general health and quality of life. It is important to examine and understand the impact of the intersection of multiple threats individuals encounter as a result of their membership in multiple marginalized groups. This article examines the body of research that investigates the stigma associated with being lesbian with a disability in pursuit of the basic tenets of life and the supports and systematic change required to mitigate the associated pressures. Conclusions and implications are discussed at the end of the article.","archive":"Cinahl","archive_location":"112088368. Language: English. Entry Date: 20160112. Revision Date: 20170515. Publication Type: Article","container-title":"Journal of Rehabilitation","ISSN":"0022-4154","issue":"4","page":"49-56","source":"EBSCOhost","title":"Addressing Disability Stigma within the Lesbian Community","volume":"81","author":[{"family":"Vaughn","given":"Mya"},{"family":"McEntee","given":"Barbara"},{"family":"Schoen","given":"Barbara"},{"family":"McGrady","given":"Michele"}],"issued":{"date-parts":[["2015"]]}}}],"schema":"https://github.com/citation-style-language/schema/raw/master/csl-citation.json"} </w:instrText>
      </w:r>
      <w:r>
        <w:fldChar w:fldCharType="separate"/>
      </w:r>
      <w:r>
        <w:rPr>
          <w:lang w:val="en-GB"/>
        </w:rPr>
        <w:t>(40,43,51,52)</w:t>
      </w:r>
      <w:r>
        <w:fldChar w:fldCharType="end"/>
      </w:r>
      <w:r>
        <w:t xml:space="preserve"> As shown in this chapter, such experiences can arise in multiple different ways, including verbal, physical and sexual, as well as occurring across different settings and from different types of perpetrators. The findings presented here suggest that among LGBTQA+ people, those with disability are further vulnerable to a range of negative experiences based on their sexual orientation or gender identity compared to those without disability. Studies have also found that negative experiences can occur within disability organisations or support environments where support workers may not always be s</w:t>
      </w:r>
      <w:r>
        <w:lastRenderedPageBreak/>
        <w:t>upportive of people’s sexual orientation or gender identity, such as studies involving LGBTQ people with intellectual disability.</w:t>
      </w:r>
      <w:r>
        <w:fldChar w:fldCharType="begin"/>
      </w:r>
      <w:r>
        <w:instrText xml:space="preserve"> ADDIN ZOTERO_ITEM CSL_CITATION {"citationID":"a1hit3ll95p","properties":{"formattedCitation":"(53)","plainCitation":"(53)","noteIndex":0},"citationItems":[{"id":3585,"uris":["http://zotero.org/groups/2463045/items/UWBX9IDL"],"itemData":{"id":3585,"type":"article-journal","abstract":"BACKGROUND: Lesbian, gay, bisexual, transgender, queer (LGBTQ) and gender diverse adults with intellectual disability experience exclusion within disability services.\nOBJECTIVE: This review explores the experiences of social inclusion/exclusion of this cohort in the context of disability services.\nSEARCH METHOD: A systematic search was conducted of peer-reviewed research published between January 2014 and April 2019. Five databases returned 66 articles plus three from hand searches.\nAPPRAISAL AND SYNTHESIS: Nine articles were included in this review. The Critical Appraisal Skills Programme tool was used to assess the quality of the research. NVivo 12 was used as a tool to organise the articles.\nRESULTS: Marginalisation of LGBTQ adults with intellectual disability in western societies is mirrored in disability organisations. There remains a dearth of research into experiences of transgender people with intellectual disability who use disability services.\nCONCLUSIONS: Research into interventions that support the inclusion of this cohort in disability support services is needed.","archive":"Medline","archive_location":"34309149","container-title":"Journal of Applied Research in Intellectual Disabilities","DOI":"10.1111/jar.12925","ISSN":"1468-3148","issue":"1","journalAbbreviation":"J Appl Res Intellect Disabil","language":"English","page":"46-59","source":"Ovid Technologies","title":"Social inclusion of LGBTQ and gender diverse adults with intellectual disability in disability services: A systematic review of the literature","volume":"35","author":[{"family":"Smith","given":"E."},{"family":"Zirnsak","given":"T. M."},{"family":"Power","given":"J."},{"family":"Lyons","given":"A."},{"family":"Bigby","given":"C."}],"issued":{"date-parts":[["2022"]]},"citation-key":"smithSocialInclusionLGBTQ2022"}}],"schema":"https://github.com/citation-style-language/schema/raw/master/csl-citation.json"} </w:instrText>
      </w:r>
      <w:r>
        <w:fldChar w:fldCharType="separate"/>
      </w:r>
      <w:r>
        <w:rPr>
          <w:lang w:val="en-GB"/>
        </w:rPr>
        <w:t>(53)</w:t>
      </w:r>
      <w:r>
        <w:fldChar w:fldCharType="end"/>
      </w:r>
      <w:r>
        <w:t xml:space="preserve"> As reported in this chapter, relatively low proportions of young people with disability did not receive help for an experience of abuse or harassment. While availability of support may be one potential factor, another possible consideration is that, as revealed in some studies, some LGBTQ people with disability can feel afraid to disclose their sexual orientation or gender identity out of a concern for acceptance or safety.</w:t>
      </w:r>
      <w:r>
        <w:fldChar w:fldCharType="begin"/>
      </w:r>
      <w:r>
        <w:instrText xml:space="preserve"> ADDIN ZOTERO_ITEM CSL_CITATION {"citationID":"aroh6osmbh","properties":{"formattedCitation":"(53,54)","plainCitation":"(53,54)","noteIndex":0},"citationItems":[{"id":3151,"uris":["http://zotero.org/groups/2463045/items/KP2CGX63"],"itemData":{"id":3151,"type":"article-journal","abstract":"Background: Previous research aiming to understand the lives of lesbian, gay bisexual and trans (LGBT) people labelled with intellectual disabilities is limited. There are few recent studies and available findings are often contradictory and inconsistent. Method: This study aimed to explore how LGBT people labelled with intellectual disabilities experienced their sexual identities. Five LGBT people labelled with intellectual disabilities were interviewed, and data were analysed using interpretative phenomenological analysis methodology. Results: Four superordinate themes represented the following: common experiences of bullying/abuse, understanding sexualities, other's responses to intellectual disabilities and sexualities, and navigating acceptance. Conclusions: Strategies for coping with abuse maintained participant's engagement in local communities. Sexuality was often problematized by others despite being generally accepted by participants. Coming out was a continual process of decision-making to facilitate safety and acceptance. To feel fully supported, participants desired holistic service provision sensitive to their sexuality and intellectual disability needs. Clinical and research implications are suggested. (PsycInfo Database Record (c) 2021 APA, all rights reserved)","archive_location":"2016-40709-001","container-title":"Journal of Applied Research in Intellectual Disabilities","DOI":"10.1111/jar.12252","issue":"1","journalAbbreviation":"Journal of Applied Research in Intellectual Disabilities","page":"3-16","title":"'Them two things are what collide together': Understanding the sexual identity experiences of lesbian, gay, bisexual and trans people labelled with intellectual disability","volume":"33","author":[{"family":"Dinwoodie","given":"Robert"},{"family":"Greenhill","given":"Beth"},{"family":"Cookson","given":"Alex"}],"issued":{"date-parts":[["2020"]]},"citation-key":"dinwoodieThemTwoThings2020b"}},{"id":3585,"uris":["http://zotero.org/groups/2463045/items/UWBX9IDL"],"itemData":{"id":3585,"type":"article-journal","abstract":"BACKGROUND: Lesbian, gay, bisexual, transgender, queer (LGBTQ) and gender diverse adults with intellectual disability experience exclusion within disability services.\nOBJECTIVE: This review explores the experiences of social inclusion/exclusion of this cohort in the context of disability services.\nSEARCH METHOD: A systematic search was conducted of peer-reviewed research published between January 2014 and April 2019. Five databases returned 66 articles plus three from hand searches.\nAPPRAISAL AND SYNTHESIS: Nine articles were included in this review. The Critical Appraisal Skills Programme tool was used to assess the quality of the research. NVivo 12 was used as a tool to organise the articles.\nRESULTS: Marginalisation of LGBTQ adults with intellectual disability in western societies is mirrored in disability organisations. There remains a dearth of research into experiences of transgender people with intellectual disability who use disability services.\nCONCLUSIONS: Research into interventions that support the inclusion of this cohort in disability support services is needed.","archive":"Medline","archive_location":"34309149","container-title":"Journal of Applied Research in Intellectual Disabilities","DOI":"10.1111/jar.12925","ISSN":"1468-3148","issue":"1","journalAbbreviation":"J Appl Res Intellect Disabil","language":"English","page":"46-59","source":"Ovid Technologies","title":"Social inclusion of LGBTQ and gender diverse adults with intellectual disability in disability services: A systematic review of the literature","volume":"35","author":[{"family":"Smith","given":"E."},{"family":"Zirnsak","given":"T. M."},{"family":"Power","given":"J."},{"family":"Lyons","given":"A."},{"family":"Bigby","given":"C."}],"issued":{"date-parts":[["2022"]]},"citation-key":"smithSocialInclusionLGBTQ2022"}}],"schema":"https://github.com/citation-style-language/schema/raw/master/csl-citation.json"} </w:instrText>
      </w:r>
      <w:r>
        <w:fldChar w:fldCharType="separate"/>
      </w:r>
      <w:r>
        <w:rPr>
          <w:lang w:val="en-GB"/>
        </w:rPr>
        <w:t>(53,54)</w:t>
      </w:r>
      <w:r>
        <w:fldChar w:fldCharType="end"/>
      </w:r>
      <w:r>
        <w:t xml:space="preserve"> </w:t>
      </w:r>
    </w:p>
    <w:p w14:paraId="52B6E1F1" w14:textId="77777777" w:rsidR="009D0006" w:rsidRDefault="009D0006" w:rsidP="009D0006">
      <w:pPr>
        <w:rPr>
          <w:rFonts w:cs="Arial"/>
          <w:color w:val="000000" w:themeColor="text1"/>
          <w:spacing w:val="5"/>
          <w:lang w:bidi="en-US"/>
        </w:rPr>
      </w:pPr>
      <w:r>
        <w:t xml:space="preserve"> </w:t>
      </w:r>
      <w:r>
        <w:br w:type="page"/>
      </w:r>
    </w:p>
    <w:p w14:paraId="4D06BC42" w14:textId="75CD5340" w:rsidR="009D0006" w:rsidRPr="000D7ED3" w:rsidRDefault="009D0006" w:rsidP="00153892">
      <w:pPr>
        <w:pStyle w:val="Heading1Numbered"/>
      </w:pPr>
      <w:bookmarkStart w:id="539" w:name="_Toc115968573"/>
      <w:bookmarkStart w:id="540" w:name="_Toc119662434"/>
      <w:bookmarkStart w:id="541" w:name="OLE_LINK19"/>
      <w:bookmarkStart w:id="542" w:name="OLE_LINK20"/>
      <w:r>
        <w:t>Family viol</w:t>
      </w:r>
      <w:r>
        <w:lastRenderedPageBreak/>
        <w:t>ence</w:t>
      </w:r>
      <w:bookmarkEnd w:id="539"/>
      <w:bookmarkEnd w:id="540"/>
    </w:p>
    <w:p w14:paraId="16710FE3" w14:textId="77777777" w:rsidR="009D0006" w:rsidRDefault="009D0006" w:rsidP="009D0006">
      <w:r w:rsidRPr="000D7ED3">
        <w:t>LGBTQ</w:t>
      </w:r>
      <w:r>
        <w:t>A+</w:t>
      </w:r>
      <w:r w:rsidRPr="000D7ED3">
        <w:t xml:space="preserve"> people can face abuse and violence across their lifespan due to the various effects of stigma, discrimination and prejudice. They may also experience a range of unique circumstances where they are subject to violence that may not be experienced by other groups, such as rejection or abuse after ‘coming out’ to family members</w:t>
      </w:r>
      <w:r>
        <w:t>.</w:t>
      </w:r>
      <w:r w:rsidRPr="000D7ED3">
        <w:fldChar w:fldCharType="begin"/>
      </w:r>
      <w:r>
        <w:instrText xml:space="preserve"> ADDIN ZOTERO_ITEM CSL_CITATION {"citationID":"MA8OnDHC","properties":{"formattedCitation":"(55\\uc0\\u8211{}57)","plainCitation":"(55–57)","noteIndex":0},"citationItems":[{"id":"hc6yy1rM/AifdlxTm","uris":["http://zotero.org/users/990028/items/FIATGAF7"],"itemData":{"id":5924,"type":"chapter","container-title":"Queering Criminology","event-place":"London","ISBN":"978-1-349-57033-1","language":"en","note":"DOI: 10.1057/9781137513342_9","page":"163-182","publisher":"Palgrave Macmillan UK","publisher-place":"London","source":"DOI.org (Crossref)","title":"No place like home: Intrafamilial hate crime against gay men and lesbians","title-short":"No Place Like Home","editor":[{"family":"Dwyer","given":"Angela"},{"family":"Ball","given":"Matthew"},{"family":"Crofts","given":"Thomas"}],"author":[{"family":"Asquith","given":"Nicole L."},{"family":"Fox","given":"Christopher A."}],"issued":{"date-parts":[["2016"]]}}},{"id":"hc6yy1rM/fzogemTI","uris":["http://zotero.org/users/990028/items/DHDVN45Z"],"itemData":{"id":5890,"type":"article-journal","abstract":"Parents' and siblings' awareness of GLB youths' sexual orientation and their reactions were examined in a sample of 516 GLB youth. Youth expected unaware parents to have negative reactions. Less than one-quarter lived with siblings who did not know about their sexual orientation. Youth with only one sibling were more likely to be known by these siblings than youth with several siblings. Few adjustment indicators were associated with parental or sibling knowledge or reactions. Compared to youth not living with parents, those living with parents experienced significantly less verbal abuse from parents related to their sexual orientation but reported less family support. Youth whose parents and siblings knew about their sexual orientation and who reacted positively became aware of their same-sex attractions, identified as GLB, and first disclosed their sexual orientation at earlier ages. Although such youth reported more past verbal harassment based on their sexual orientation from their families, they worried less about rejection.","container-title":"Journal of GLBT Family Studies","DOI":"10.1080/15504280802084506","ISSN":"1550-428X","issue":"1","page":"95-115","source":"Taylor and Francis+NEJM","title":"Families of gay, lesbian, and bisexual youth","volume":"4","author":[{"family":"D'augelli","given":"Anthony"},{"family":"Grossman","given":"Arnold"},{"family":"Starks","given":"Michael T."}],"issued":{"date-parts":[["2008"]]}}},{"id":"hc6yy1rM/ZQ5VyO1X","uris":["http://zotero.org/users/990028/items/QP8EGC5D"],"itemData":{"id":6033,"type":"article-journal","abstract":"OBJECTIVE. We examined specific family rejecting reactions to sexual orientation and gender expression during adolescence as predictors of current health problems in a sample of lesbian, gay, and bisexual young adults.\nMETHODS. On the basis of previously collected in-depth interviews, we developed quantitative scales to assess retrospectively in young adults the frequency of parental and caregiver reactions to a lesbian, gay, or bisexual sexual orientation during adolescence. Our survey instrument also included measures of 9 negative health indicators, including mental health, substance abuse, and sexual risk. The survey was administered to a sample of 224 white and Latino self-identified lesbian, gay, and bisexual young adults, aged 21 to 25, recruited through diverse venues and organizations. Participants completed self-report questionnaires by using either computer-assisted or pencil-and-paper surveys.\nRESULTS. Higher rates of family rejection were significantly associated with poorer health outcomes. On the basis of odds ratios, lesbian, gay, and bisexual young adults who reported higher levels of family rejection during adolescence were 8.4 times more likely to report having attempted suicide, 5.9 times more likely to report high levels of depression, 3.4 times more likely to use illegal drugs, and 3.4 times more likely to report having engaged in unprotected sexual intercourse compared with peers from families that reported no or low levels of family rejection. Latino men reported the highest number of negative family reactions to their sexual orientation in adolescence.\nCONCLUSIONS. This study establishes a clear link between specific parental and caregiver rejecting behaviors and negative health problems in young lesbian, gay, and bisexual adults. Providers who serve this population should assess and help educate families about the impact of rejecting behaviors. Counseling families, providing anticipatory guidance, and referring families for counseling and support can help make a critical difference in helping decrease risk and increasing well-being for lesbian, gay, and bisexual youth.","container-title":"Pediatrics","DOI":"10.1542/peds.2007-3524","ISSN":"0031-4005, 1098-4275","issue":"1","language":"en","note":"PMID: 19117902","page":"346-352","source":"pediatrics.aappublications.org","title":"Family rejection as a predictor of negative health outcomes in white and latino lesbian, gay, and bisexual young adults","volume":"123","author":[{"family":"Ryan","given":"Caitlin"},{"family":"Huebner","given":"David"},{"family":"Diaz","given":"Rafael M."},{"family":"Sanchez","given":"Jorge"}],"issued":{"date-parts":[["2009"]]}}}],"schema":"https://github.com/citation-style-language/schema/raw/master/csl-citation.json"} </w:instrText>
      </w:r>
      <w:r w:rsidRPr="000D7ED3">
        <w:fldChar w:fldCharType="separate"/>
      </w:r>
      <w:r w:rsidRPr="000D3E75">
        <w:rPr>
          <w:lang w:val="en-GB"/>
        </w:rPr>
        <w:t>(55–57)</w:t>
      </w:r>
      <w:r w:rsidRPr="000D7ED3">
        <w:fldChar w:fldCharType="end"/>
      </w:r>
      <w:r w:rsidRPr="000D7ED3">
        <w:t xml:space="preserve"> There has been little research in Australia on the experiences of </w:t>
      </w:r>
      <w:r>
        <w:t>violence from a family member or intimate partner</w:t>
      </w:r>
      <w:r w:rsidRPr="000D7ED3">
        <w:t xml:space="preserve"> among LGBT</w:t>
      </w:r>
      <w:r>
        <w:t>QA+</w:t>
      </w:r>
      <w:r w:rsidRPr="000D7ED3">
        <w:t xml:space="preserve"> people</w:t>
      </w:r>
      <w:r>
        <w:t xml:space="preserve"> with </w:t>
      </w:r>
      <w:r w:rsidRPr="00E72774">
        <w:t xml:space="preserve">disability. The </w:t>
      </w:r>
      <w:r w:rsidRPr="004B102D">
        <w:rPr>
          <w:i/>
          <w:iCs/>
        </w:rPr>
        <w:t>Private Lives 3</w:t>
      </w:r>
      <w:r w:rsidRPr="00E72774">
        <w:t xml:space="preserve"> survey asked several questions on this topic and in this chapter, we present results in relation to participants with disability. </w:t>
      </w:r>
    </w:p>
    <w:p w14:paraId="0A7B3E20" w14:textId="77777777" w:rsidR="009D0006" w:rsidRPr="001F09D8" w:rsidRDefault="009D0006" w:rsidP="009D0006">
      <w:r w:rsidRPr="00E72774">
        <w:t xml:space="preserve">The term ‘family violence’ is used broadly here to reflect circumstances </w:t>
      </w:r>
      <w:r>
        <w:t>in</w:t>
      </w:r>
      <w:r w:rsidRPr="008F786C">
        <w:t xml:space="preserve"> which violence can occur and </w:t>
      </w:r>
      <w:r>
        <w:t>to recognise</w:t>
      </w:r>
      <w:r w:rsidRPr="008F786C">
        <w:t xml:space="preserve"> that it can involve more than one perpetrator and victim survivo</w:t>
      </w:r>
      <w:r w:rsidRPr="001F09D8">
        <w:t>r</w:t>
      </w:r>
      <w:r w:rsidRPr="008F786C">
        <w:t>.</w:t>
      </w:r>
      <w:r w:rsidRPr="001F09D8">
        <w:t xml:space="preserve"> Family violence encompasses violence perpetrated by family members or intimate partners.</w:t>
      </w:r>
    </w:p>
    <w:p w14:paraId="350B101E" w14:textId="77777777" w:rsidR="009D0006" w:rsidRPr="000D7ED3" w:rsidRDefault="009D0006" w:rsidP="009D0006">
      <w:r w:rsidRPr="00E72774">
        <w:t>Violence from an intimate partner refers to forms of violence (such as verbal, physical, sexual or psychological) that occur within the context of an intimate (a close, though not necessarily sexual) relationship, such as a marriage, a de facto partnership or other kinds of less formal relationships.</w:t>
      </w:r>
      <w:r w:rsidRPr="004B102D">
        <w:rPr>
          <w:vertAlign w:val="superscript"/>
        </w:rPr>
        <w:fldChar w:fldCharType="begin"/>
      </w:r>
      <w:r>
        <w:rPr>
          <w:vertAlign w:val="superscript"/>
        </w:rPr>
        <w:instrText xml:space="preserve"> ADDIN ZOTERO_ITEM CSL_CITATION {"citationID":"HcKJypJn","properties":{"formattedCitation":"(58)","plainCitation":"(58)","noteIndex":0},"citationItems":[{"id":"hc6yy1rM/E8M70kUH","uris":["http://zotero.org/users/4948307/items/IUP2RJV9"],"itemData":{"id":179,"type":"report","title":"Reporting on Domestic Violence","URL":"https://www.ourwatch.org.au/MediaLibraries/OurWatch/Images/ourwatch_reporting_on_domestic_violence_aa_v1.pdf","author":[{"family":"Our Watch","given":""}],"accessed":{"date-parts":[["2020",3,16]]},"issued":{"date-parts":[["2014"]]}}}],"schema":"https://github.com/citation-style-language/schema/raw/master/csl-citation.json"} </w:instrText>
      </w:r>
      <w:r w:rsidRPr="004B102D">
        <w:rPr>
          <w:vertAlign w:val="superscript"/>
        </w:rPr>
        <w:fldChar w:fldCharType="separate"/>
      </w:r>
      <w:r>
        <w:rPr>
          <w:lang w:val="en-GB"/>
        </w:rPr>
        <w:t>(58)</w:t>
      </w:r>
      <w:r w:rsidRPr="004B102D">
        <w:rPr>
          <w:vertAlign w:val="superscript"/>
        </w:rPr>
        <w:fldChar w:fldCharType="end"/>
      </w:r>
      <w:r w:rsidRPr="00E72774">
        <w:t xml:space="preserve"> </w:t>
      </w:r>
    </w:p>
    <w:p w14:paraId="0476151C" w14:textId="77777777" w:rsidR="009D0006" w:rsidRPr="000D7ED3" w:rsidRDefault="009D0006" w:rsidP="009D0006">
      <w:r>
        <w:t>Violence from a family member</w:t>
      </w:r>
      <w:r w:rsidRPr="000D7ED3">
        <w:t xml:space="preserve"> refers to forms of violence within a family, which may include immediate family, extended family or broader kinship networks.</w:t>
      </w:r>
    </w:p>
    <w:p w14:paraId="41148E37" w14:textId="60FFC81E" w:rsidR="009D0006" w:rsidRPr="000D7ED3" w:rsidRDefault="009D0006" w:rsidP="00153892">
      <w:pPr>
        <w:pStyle w:val="Heading2Numbered"/>
      </w:pPr>
      <w:bookmarkStart w:id="543" w:name="_Toc37346072"/>
      <w:bookmarkStart w:id="544" w:name="_Toc42029371"/>
      <w:bookmarkStart w:id="545" w:name="_Toc42030111"/>
      <w:bookmarkStart w:id="546" w:name="_Toc43903918"/>
      <w:bookmarkStart w:id="547" w:name="_Toc115968574"/>
      <w:bookmarkStart w:id="548" w:name="_Toc119662435"/>
      <w:r w:rsidRPr="000D7ED3">
        <w:t xml:space="preserve">Experiences of </w:t>
      </w:r>
      <w:bookmarkEnd w:id="543"/>
      <w:bookmarkEnd w:id="544"/>
      <w:bookmarkEnd w:id="545"/>
      <w:bookmarkEnd w:id="546"/>
      <w:r>
        <w:t>family violence</w:t>
      </w:r>
      <w:r w:rsidRPr="000D7ED3">
        <w:t xml:space="preserve"> - adults aged 18+ years</w:t>
      </w:r>
      <w:bookmarkEnd w:id="547"/>
      <w:bookmarkEnd w:id="548"/>
    </w:p>
    <w:p w14:paraId="4CA0B2EA" w14:textId="77777777" w:rsidR="009D0006" w:rsidRPr="000D7ED3" w:rsidRDefault="009D0006" w:rsidP="009D0006">
      <w:r w:rsidRPr="000D7ED3">
        <w:rPr>
          <w:lang w:val="en-US"/>
        </w:rPr>
        <w:t>Online</w:t>
      </w:r>
      <w:r w:rsidRPr="000D7ED3">
        <w:t xml:space="preserve"> and telephone resources were provided to participants, including contact details for QLife, Lifeline, Beyondblue, suicide call-back services and emergency services, prior to these questions appearing in the survey. Participants were also given the option to skip this survey section.</w:t>
      </w:r>
    </w:p>
    <w:p w14:paraId="4BFC9A2B" w14:textId="77777777" w:rsidR="009D0006" w:rsidRPr="000D7ED3" w:rsidRDefault="009D0006" w:rsidP="009D0006">
      <w:r w:rsidRPr="000D7ED3">
        <w:t>There are no generally agreed or accepted standards for defining what constitutes intimate partner or family violence in Australia</w:t>
      </w:r>
      <w:r>
        <w:t>.</w:t>
      </w:r>
      <w:r w:rsidRPr="000D7ED3">
        <w:fldChar w:fldCharType="begin"/>
      </w:r>
      <w:r>
        <w:instrText xml:space="preserve"> ADDIN ZOTERO_ITEM CSL_CITATION {"citationID":"TQjn3KYh","properties":{"formattedCitation":"(59)","plainCitation":"(59)","noteIndex":0},"citationItems":[{"id":"hc6yy1rM/7QmH6O1l","uris":["http://zotero.org/users/4948307/items/VT9XQF8R"],"itemData":{"id":180,"type":"webpage","abstract":"This is a summary from publication About the Personal Safety Survey  which contains key figures, key points and notes from the publication.","language":"en","note":"source: www.abs.gov.au\npublisher: c=AU; o=Commonwealth of Australia; ou=Australian Bureau of Statistics","title":"Main Features - About the Personal Safety Survey","URL":"https://www.abs.gov.au/ausstats/abs@.nsf/Lookup/by%20Subject/4906.0~2016~Main%20Features~About%20the%20Personal%20Safety%20Survey%20~2","author":[{"family":"Australian Bureau of Statistics","given":""}],"accessed":{"date-parts":[["2020",3,13]]},"issued":{"date-parts":[["2017",11,8]]}}}],"schema":"https://github.com/citation-style-language/schema/raw/master/csl-citation.json"} </w:instrText>
      </w:r>
      <w:r w:rsidRPr="000D7ED3">
        <w:fldChar w:fldCharType="separate"/>
      </w:r>
      <w:r>
        <w:rPr>
          <w:lang w:val="en-GB"/>
        </w:rPr>
        <w:t>(59)</w:t>
      </w:r>
      <w:r w:rsidRPr="000D7ED3">
        <w:fldChar w:fldCharType="end"/>
      </w:r>
      <w:r w:rsidRPr="000D7ED3">
        <w:t xml:space="preserve"> To gain as comprehensive a picture as possible, </w:t>
      </w:r>
      <w:r w:rsidRPr="003670A1">
        <w:rPr>
          <w:i/>
          <w:iCs/>
        </w:rPr>
        <w:t>Private Lives 3</w:t>
      </w:r>
      <w:r w:rsidRPr="000D7ED3">
        <w:t xml:space="preserve"> participants were asked to report on whether the</w:t>
      </w:r>
      <w:r>
        <w:t xml:space="preserve">y </w:t>
      </w:r>
      <w:r w:rsidRPr="000D7ED3">
        <w:t xml:space="preserve">had ever experienced one or more different forms of violence from intimate partners or family members from the list shown below. </w:t>
      </w:r>
    </w:p>
    <w:p w14:paraId="5977FE7D" w14:textId="77777777" w:rsidR="009D0006" w:rsidRPr="000D7ED3" w:rsidRDefault="009D0006" w:rsidP="009D0006">
      <w:r w:rsidRPr="000D7ED3">
        <w:t>Participant</w:t>
      </w:r>
      <w:r w:rsidRPr="000D7ED3">
        <w:lastRenderedPageBreak/>
        <w:t xml:space="preserve">s were asked, ‘have you experienced any of the following from intimate partner/s’ and ‘have you experienced any of the following from family members’. Response choices included: </w:t>
      </w:r>
    </w:p>
    <w:p w14:paraId="6B6AEA3C" w14:textId="77777777" w:rsidR="009D0006" w:rsidRPr="000D7ED3" w:rsidRDefault="009D0006" w:rsidP="002465E4">
      <w:pPr>
        <w:pStyle w:val="Bulletlist"/>
      </w:pPr>
      <w:r w:rsidRPr="000D7ED3">
        <w:t>physical violence (e.g., hitting, throwing heavy objects or threats and physical intimidation regardless of whether an injury resulted)</w:t>
      </w:r>
    </w:p>
    <w:p w14:paraId="7FA8DE0E" w14:textId="77777777" w:rsidR="009D0006" w:rsidRPr="000D7ED3" w:rsidRDefault="009D0006" w:rsidP="002465E4">
      <w:pPr>
        <w:pStyle w:val="Bulletlist"/>
      </w:pPr>
      <w:r w:rsidRPr="000D7ED3">
        <w:t>verbal abuse (e.g.</w:t>
      </w:r>
      <w:r>
        <w:t>,</w:t>
      </w:r>
      <w:r w:rsidRPr="000D7ED3">
        <w:t xml:space="preserve"> regular criticism, insults or demeaning language)</w:t>
      </w:r>
    </w:p>
    <w:p w14:paraId="0C5BAC69" w14:textId="77777777" w:rsidR="009D0006" w:rsidRPr="000D7ED3" w:rsidRDefault="009D0006" w:rsidP="002465E4">
      <w:pPr>
        <w:pStyle w:val="Bulletlist"/>
      </w:pPr>
      <w:r w:rsidRPr="000D7ED3">
        <w:t>sexual assault (e.g., undesired sexual behaviour through force or other means)</w:t>
      </w:r>
    </w:p>
    <w:p w14:paraId="33F1EC39" w14:textId="77777777" w:rsidR="009D0006" w:rsidRPr="000D7ED3" w:rsidRDefault="009D0006" w:rsidP="002465E4">
      <w:pPr>
        <w:pStyle w:val="Bulletlist"/>
      </w:pPr>
      <w:r w:rsidRPr="000D7ED3">
        <w:t>financial abuse (e.g., had money stolen or access controlled, prevented from working or studying, had debts accrued by them in your name)</w:t>
      </w:r>
    </w:p>
    <w:p w14:paraId="63000366" w14:textId="77777777" w:rsidR="009D0006" w:rsidRPr="000D7ED3" w:rsidRDefault="009D0006" w:rsidP="002465E4">
      <w:pPr>
        <w:pStyle w:val="Bulletlist"/>
      </w:pPr>
      <w:r w:rsidRPr="000D7ED3">
        <w:t>emotional abuse (e.g., regularly manipulated, humiliated in front of others, gaslighted, bullied, blamed for abuse)</w:t>
      </w:r>
    </w:p>
    <w:p w14:paraId="128F3ED8" w14:textId="77777777" w:rsidR="009D0006" w:rsidRPr="000D7ED3" w:rsidRDefault="009D0006" w:rsidP="002465E4">
      <w:pPr>
        <w:pStyle w:val="Bulletlist"/>
      </w:pPr>
      <w:r w:rsidRPr="000D7ED3">
        <w:t>harassment or stalking (e.g., monitoring movements, coerced into a relationship commitment or religious practice, forced to stop practicing your own religious or spiritual practices)</w:t>
      </w:r>
    </w:p>
    <w:p w14:paraId="1C6A8F55" w14:textId="77777777" w:rsidR="009D0006" w:rsidRPr="000D7ED3" w:rsidRDefault="009D0006" w:rsidP="002465E4">
      <w:pPr>
        <w:pStyle w:val="Bulletlist"/>
      </w:pPr>
      <w:r w:rsidRPr="000D7ED3">
        <w:t>property damage (e.g., destroying or threatening to destroy possessions or property, including pets)</w:t>
      </w:r>
    </w:p>
    <w:p w14:paraId="3F095F75" w14:textId="77777777" w:rsidR="009D0006" w:rsidRPr="000D7ED3" w:rsidRDefault="009D0006" w:rsidP="002465E4">
      <w:pPr>
        <w:pStyle w:val="Bulletlist"/>
      </w:pPr>
      <w:r w:rsidRPr="000D7ED3">
        <w:t>social isolation (e.g., made it difficult to see friends, family or community)</w:t>
      </w:r>
    </w:p>
    <w:p w14:paraId="659FF274" w14:textId="77777777" w:rsidR="009D0006" w:rsidRPr="000D7ED3" w:rsidRDefault="009D0006" w:rsidP="002465E4">
      <w:pPr>
        <w:pStyle w:val="Bulletlist"/>
      </w:pPr>
      <w:r w:rsidRPr="000D7ED3">
        <w:t>threats of self-harm or suicide (e.g., partner or family member threatened self-harm or suicide)</w:t>
      </w:r>
    </w:p>
    <w:p w14:paraId="44253C02" w14:textId="77777777" w:rsidR="009D0006" w:rsidRPr="000D7ED3" w:rsidRDefault="009D0006" w:rsidP="002465E4">
      <w:pPr>
        <w:pStyle w:val="Bulletlist"/>
      </w:pPr>
      <w:r w:rsidRPr="000D7ED3">
        <w:t>LGBTIQ-related abuse (e.g., shamed you about being LGBTIQ, threatened to ‘out’ you or your HIV status, withheld hormones or medication)</w:t>
      </w:r>
    </w:p>
    <w:p w14:paraId="637BF9D5" w14:textId="77777777" w:rsidR="009D0006" w:rsidRPr="000D7ED3" w:rsidRDefault="009D0006" w:rsidP="002465E4">
      <w:pPr>
        <w:pStyle w:val="Bulletlist"/>
      </w:pPr>
      <w:r w:rsidRPr="000D7ED3">
        <w:t>Additional options of ‘other’ and ‘I have not experienced any of these from an intimate partner’</w:t>
      </w:r>
      <w:r>
        <w:t xml:space="preserve"> or ‘</w:t>
      </w:r>
      <w:r w:rsidRPr="000D7ED3">
        <w:t>I have not experienced any of these from</w:t>
      </w:r>
      <w:r>
        <w:t xml:space="preserve"> a family member’</w:t>
      </w:r>
    </w:p>
    <w:p w14:paraId="262C49CE" w14:textId="77777777" w:rsidR="009D0006" w:rsidRDefault="009D0006" w:rsidP="009D0006">
      <w:r>
        <w:t xml:space="preserve">Responses to these questions were used to indicate whether a participant had experienced violence from a family member or intimate partner as well as to explore the type of violence experienced. </w:t>
      </w:r>
    </w:p>
    <w:p w14:paraId="0C182D1F" w14:textId="77777777" w:rsidR="009D0006" w:rsidRPr="000D7ED3" w:rsidRDefault="009D0006" w:rsidP="009D0006">
      <w:r>
        <w:t>Participants who selected one or more of the response options were categorised as having ever experienced family violence in their lifetime, while those who selected the option ‘</w:t>
      </w:r>
      <w:r w:rsidRPr="000D7ED3">
        <w:t>‘I have not experienced any of these from an intimate partner’</w:t>
      </w:r>
      <w:r>
        <w:t xml:space="preserve"> or ‘</w:t>
      </w:r>
      <w:r w:rsidRPr="000D7ED3">
        <w:t>I have not experienced any of these from</w:t>
      </w:r>
      <w:r>
        <w:t xml:space="preserve"> a family member’ were categorised as having not experienced family violence in their lifetime. Table 50 displays the proportion of participants who experienced violence from an intimate partner and the proportion of participants who experienced violence from a family member. </w:t>
      </w:r>
    </w:p>
    <w:p w14:paraId="6CAF48DE" w14:textId="77777777" w:rsidR="009D0006" w:rsidRDefault="009D0006" w:rsidP="00526E70">
      <w:pPr>
        <w:pStyle w:val="Tableheading"/>
      </w:pPr>
      <w:bookmarkStart w:id="549" w:name="_Toc117062768"/>
      <w:bookmarkStart w:id="550" w:name="_Toc119651453"/>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w:instrText>
      </w:r>
      <w:r w:rsidRPr="00FA6F3B">
        <w:rPr>
          <w:bCs/>
        </w:rPr>
        <w:lastRenderedPageBreak/>
        <w:instrText xml:space="preserve">Q Table \* ARABIC </w:instrText>
      </w:r>
      <w:r w:rsidRPr="00985828">
        <w:rPr>
          <w:bCs/>
          <w:sz w:val="18"/>
          <w:szCs w:val="18"/>
        </w:rPr>
        <w:fldChar w:fldCharType="separate"/>
      </w:r>
      <w:r>
        <w:rPr>
          <w:bCs/>
          <w:noProof/>
        </w:rPr>
        <w:t>50</w:t>
      </w:r>
      <w:r w:rsidRPr="00985828">
        <w:rPr>
          <w:bCs/>
          <w:sz w:val="18"/>
          <w:szCs w:val="18"/>
        </w:rPr>
        <w:fldChar w:fldCharType="end"/>
      </w:r>
      <w:r>
        <w:t xml:space="preserve">.1-50.4: </w:t>
      </w:r>
      <w:r w:rsidRPr="000D7ED3">
        <w:t xml:space="preserve">Proportion of </w:t>
      </w:r>
      <w:r>
        <w:t>adults aged 18+ years</w:t>
      </w:r>
      <w:r w:rsidRPr="000D7ED3">
        <w:t xml:space="preserve"> ever experiencing violence from an intimate partner</w:t>
      </w:r>
      <w:r>
        <w:t xml:space="preserve"> or family member</w:t>
      </w:r>
      <w:r w:rsidRPr="000D7ED3">
        <w:t xml:space="preserve">, </w:t>
      </w:r>
      <w:r>
        <w:t xml:space="preserve">grouped </w:t>
      </w:r>
      <w:r w:rsidRPr="000D7ED3">
        <w:t xml:space="preserve">by </w:t>
      </w:r>
      <w:r>
        <w:t>D</w:t>
      </w:r>
      <w:r w:rsidRPr="000D7ED3">
        <w:t>isability</w:t>
      </w:r>
      <w:r>
        <w:t xml:space="preserve"> Flag category</w:t>
      </w:r>
      <w:r w:rsidRPr="000D7ED3">
        <w:t xml:space="preserve"> (n = </w:t>
      </w:r>
      <w:r>
        <w:t>5853</w:t>
      </w:r>
      <w:r w:rsidRPr="000D7ED3">
        <w:t>)</w:t>
      </w:r>
      <w:bookmarkEnd w:id="549"/>
      <w:bookmarkEnd w:id="550"/>
    </w:p>
    <w:p w14:paraId="1B8B5B2C" w14:textId="77777777" w:rsidR="009D0006" w:rsidRPr="000D7ED3" w:rsidRDefault="009D0006" w:rsidP="00526E70">
      <w:pPr>
        <w:pStyle w:val="Tableheading"/>
      </w:pPr>
      <w:r>
        <w:t>Table 50.1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539A7CC" w14:textId="77777777" w:rsidTr="00AE56EF">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4C355776" w14:textId="77777777" w:rsidR="009D0006" w:rsidRPr="003F4D73" w:rsidRDefault="009D0006" w:rsidP="00AE56EF">
            <w:pPr>
              <w:pStyle w:val="Tableheader"/>
            </w:pPr>
            <w:r>
              <w:t>Intimate partner</w:t>
            </w:r>
            <w:r w:rsidRPr="000D7ED3">
              <w:t xml:space="preserve"> </w:t>
            </w:r>
            <w:r>
              <w:t xml:space="preserve">or family </w:t>
            </w:r>
            <w:r w:rsidRPr="000D7ED3">
              <w:t>violence</w:t>
            </w:r>
          </w:p>
        </w:tc>
        <w:tc>
          <w:tcPr>
            <w:tcW w:w="1559" w:type="dxa"/>
            <w:noWrap/>
            <w:hideMark/>
          </w:tcPr>
          <w:p w14:paraId="356937B7" w14:textId="77777777" w:rsidR="009D0006" w:rsidRPr="003F4D73" w:rsidRDefault="009D0006" w:rsidP="00AE56EF">
            <w:pPr>
              <w:pStyle w:val="Tableheader"/>
            </w:pPr>
            <w:r>
              <w:t>n</w:t>
            </w:r>
          </w:p>
        </w:tc>
        <w:tc>
          <w:tcPr>
            <w:tcW w:w="1559" w:type="dxa"/>
            <w:noWrap/>
            <w:hideMark/>
          </w:tcPr>
          <w:p w14:paraId="208B25E6" w14:textId="77777777" w:rsidR="009D0006" w:rsidRPr="003F4D73" w:rsidRDefault="009D0006" w:rsidP="00AE56EF">
            <w:pPr>
              <w:pStyle w:val="Tableheader"/>
            </w:pPr>
            <w:r w:rsidRPr="003F4D73">
              <w:t>%</w:t>
            </w:r>
          </w:p>
        </w:tc>
      </w:tr>
      <w:tr w:rsidR="009D0006" w:rsidRPr="003F4D73" w14:paraId="77C7FE29" w14:textId="77777777" w:rsidTr="00AE56EF">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FE6FC46" w14:textId="77777777" w:rsidR="009D0006" w:rsidRPr="003F4D73" w:rsidRDefault="009D0006" w:rsidP="00AE56EF">
            <w:pPr>
              <w:pStyle w:val="Tabletext"/>
              <w:rPr>
                <w:color w:val="0D0D0D"/>
              </w:rPr>
            </w:pPr>
            <w:r>
              <w:t>Violence from an intimate partner</w:t>
            </w:r>
          </w:p>
        </w:tc>
        <w:tc>
          <w:tcPr>
            <w:tcW w:w="1559" w:type="dxa"/>
            <w:noWrap/>
          </w:tcPr>
          <w:p w14:paraId="3B68E7FD" w14:textId="77777777" w:rsidR="009D0006" w:rsidRPr="003F4D73" w:rsidRDefault="009D0006" w:rsidP="00AE56EF">
            <w:pPr>
              <w:pStyle w:val="Tabletext"/>
              <w:rPr>
                <w:color w:val="0D0D0D"/>
              </w:rPr>
            </w:pPr>
            <w:r>
              <w:t>264</w:t>
            </w:r>
          </w:p>
        </w:tc>
        <w:tc>
          <w:tcPr>
            <w:tcW w:w="1559" w:type="dxa"/>
            <w:noWrap/>
          </w:tcPr>
          <w:p w14:paraId="4298B797" w14:textId="77777777" w:rsidR="009D0006" w:rsidRPr="003F4D73" w:rsidRDefault="009D0006" w:rsidP="00AE56EF">
            <w:pPr>
              <w:pStyle w:val="Tabletext"/>
              <w:rPr>
                <w:color w:val="0D0D0D"/>
              </w:rPr>
            </w:pPr>
            <w:r>
              <w:t>67.3</w:t>
            </w:r>
          </w:p>
        </w:tc>
      </w:tr>
      <w:tr w:rsidR="009D0006" w:rsidRPr="003F4D73" w14:paraId="78F3FDC1"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E6E50B9" w14:textId="77777777" w:rsidR="009D0006" w:rsidRPr="003F4D73" w:rsidRDefault="009D0006" w:rsidP="00AE56EF">
            <w:pPr>
              <w:pStyle w:val="Tabletext"/>
              <w:rPr>
                <w:color w:val="0D0D0D"/>
              </w:rPr>
            </w:pPr>
            <w:r>
              <w:t>Violence from a family member</w:t>
            </w:r>
          </w:p>
        </w:tc>
        <w:tc>
          <w:tcPr>
            <w:tcW w:w="1559" w:type="dxa"/>
            <w:noWrap/>
          </w:tcPr>
          <w:p w14:paraId="791B9D59" w14:textId="77777777" w:rsidR="009D0006" w:rsidRPr="003F4D73" w:rsidRDefault="009D0006" w:rsidP="00AE56EF">
            <w:pPr>
              <w:pStyle w:val="Tabletext"/>
              <w:rPr>
                <w:color w:val="0D0D0D"/>
              </w:rPr>
            </w:pPr>
            <w:r>
              <w:t>271</w:t>
            </w:r>
          </w:p>
        </w:tc>
        <w:tc>
          <w:tcPr>
            <w:tcW w:w="1559" w:type="dxa"/>
            <w:noWrap/>
          </w:tcPr>
          <w:p w14:paraId="33705EDC" w14:textId="77777777" w:rsidR="009D0006" w:rsidRPr="003F4D73" w:rsidRDefault="009D0006" w:rsidP="00AE56EF">
            <w:pPr>
              <w:pStyle w:val="Tabletext"/>
              <w:rPr>
                <w:color w:val="0D0D0D"/>
              </w:rPr>
            </w:pPr>
            <w:r>
              <w:t>69.1</w:t>
            </w:r>
          </w:p>
        </w:tc>
      </w:tr>
    </w:tbl>
    <w:p w14:paraId="435ABB2A" w14:textId="77777777" w:rsidR="009D0006" w:rsidRDefault="009D0006" w:rsidP="00526E70">
      <w:pPr>
        <w:pStyle w:val="Tableheading"/>
      </w:pPr>
      <w:r>
        <w:t>Table 50.2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1431175" w14:textId="77777777" w:rsidTr="00AE56EF">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0ACB2363" w14:textId="77777777" w:rsidR="009D0006" w:rsidRPr="003F4D73" w:rsidRDefault="009D0006" w:rsidP="00AE56EF">
            <w:pPr>
              <w:pStyle w:val="Tableheader"/>
            </w:pPr>
            <w:r>
              <w:t>Intimate partner</w:t>
            </w:r>
            <w:r w:rsidRPr="000D7ED3">
              <w:t xml:space="preserve"> </w:t>
            </w:r>
            <w:r>
              <w:t xml:space="preserve">or family </w:t>
            </w:r>
            <w:r w:rsidRPr="000D7ED3">
              <w:t>violence</w:t>
            </w:r>
          </w:p>
        </w:tc>
        <w:tc>
          <w:tcPr>
            <w:tcW w:w="1559" w:type="dxa"/>
            <w:hideMark/>
          </w:tcPr>
          <w:p w14:paraId="2E193A5F" w14:textId="77777777" w:rsidR="009D0006" w:rsidRPr="003F4D73" w:rsidRDefault="009D0006" w:rsidP="00AE56EF">
            <w:pPr>
              <w:pStyle w:val="Tableheader"/>
            </w:pPr>
            <w:r>
              <w:t>n</w:t>
            </w:r>
          </w:p>
        </w:tc>
        <w:tc>
          <w:tcPr>
            <w:tcW w:w="1559" w:type="dxa"/>
            <w:hideMark/>
          </w:tcPr>
          <w:p w14:paraId="18E12B33" w14:textId="77777777" w:rsidR="009D0006" w:rsidRPr="003F4D73" w:rsidRDefault="009D0006" w:rsidP="00AE56EF">
            <w:pPr>
              <w:pStyle w:val="Tableheader"/>
            </w:pPr>
            <w:r w:rsidRPr="003F4D73">
              <w:t>%</w:t>
            </w:r>
          </w:p>
        </w:tc>
      </w:tr>
      <w:tr w:rsidR="009D0006" w:rsidRPr="003F4D73" w14:paraId="45CA56C5" w14:textId="77777777" w:rsidTr="00AE56EF">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5016562" w14:textId="77777777" w:rsidR="009D0006" w:rsidRPr="003F4D73" w:rsidRDefault="009D0006" w:rsidP="00AE56EF">
            <w:pPr>
              <w:pStyle w:val="Tabletext"/>
              <w:rPr>
                <w:color w:val="0D0D0D"/>
              </w:rPr>
            </w:pPr>
            <w:r>
              <w:t>Violence from an intimate partner</w:t>
            </w:r>
          </w:p>
        </w:tc>
        <w:tc>
          <w:tcPr>
            <w:tcW w:w="1559" w:type="dxa"/>
          </w:tcPr>
          <w:p w14:paraId="319B3D10" w14:textId="77777777" w:rsidR="009D0006" w:rsidRPr="003F4D73" w:rsidRDefault="009D0006" w:rsidP="00AE56EF">
            <w:pPr>
              <w:pStyle w:val="Tabletext"/>
              <w:rPr>
                <w:color w:val="0D0D0D"/>
              </w:rPr>
            </w:pPr>
            <w:r>
              <w:t>879</w:t>
            </w:r>
          </w:p>
        </w:tc>
        <w:tc>
          <w:tcPr>
            <w:tcW w:w="1559" w:type="dxa"/>
          </w:tcPr>
          <w:p w14:paraId="2B826E33" w14:textId="77777777" w:rsidR="009D0006" w:rsidRPr="003F4D73" w:rsidRDefault="009D0006" w:rsidP="00AE56EF">
            <w:pPr>
              <w:pStyle w:val="Tabletext"/>
              <w:rPr>
                <w:color w:val="0D0D0D"/>
              </w:rPr>
            </w:pPr>
            <w:r>
              <w:t>69.3</w:t>
            </w:r>
          </w:p>
        </w:tc>
      </w:tr>
      <w:tr w:rsidR="009D0006" w:rsidRPr="003F4D73" w14:paraId="6008926D"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E6F9EE7" w14:textId="77777777" w:rsidR="009D0006" w:rsidRPr="003F4D73" w:rsidRDefault="009D0006" w:rsidP="00AE56EF">
            <w:pPr>
              <w:pStyle w:val="Tabletext"/>
              <w:rPr>
                <w:color w:val="0D0D0D"/>
              </w:rPr>
            </w:pPr>
            <w:r>
              <w:t>Violence from a family member</w:t>
            </w:r>
          </w:p>
        </w:tc>
        <w:tc>
          <w:tcPr>
            <w:tcW w:w="1559" w:type="dxa"/>
          </w:tcPr>
          <w:p w14:paraId="1B2FEDDF" w14:textId="77777777" w:rsidR="009D0006" w:rsidRPr="003F4D73" w:rsidRDefault="009D0006" w:rsidP="00AE56EF">
            <w:pPr>
              <w:pStyle w:val="Tabletext"/>
              <w:rPr>
                <w:color w:val="0D0D0D"/>
              </w:rPr>
            </w:pPr>
            <w:r>
              <w:t>1016</w:t>
            </w:r>
          </w:p>
        </w:tc>
        <w:tc>
          <w:tcPr>
            <w:tcW w:w="1559" w:type="dxa"/>
          </w:tcPr>
          <w:p w14:paraId="18C5317F" w14:textId="77777777" w:rsidR="009D0006" w:rsidRPr="003F4D73" w:rsidRDefault="009D0006" w:rsidP="00AE56EF">
            <w:pPr>
              <w:pStyle w:val="Tabletext"/>
              <w:rPr>
                <w:color w:val="0D0D0D"/>
              </w:rPr>
            </w:pPr>
            <w:r>
              <w:t>78.4</w:t>
            </w:r>
          </w:p>
        </w:tc>
      </w:tr>
    </w:tbl>
    <w:p w14:paraId="43E64FC4" w14:textId="77777777" w:rsidR="009D0006" w:rsidRDefault="009D0006" w:rsidP="00526E70">
      <w:pPr>
        <w:pStyle w:val="Tableheading"/>
      </w:pPr>
      <w:r>
        <w:t>Table 50.3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DA2D6F7" w14:textId="77777777" w:rsidTr="00AE56EF">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758EE8D1" w14:textId="77777777" w:rsidR="009D0006" w:rsidRPr="003F4D73" w:rsidRDefault="009D0006" w:rsidP="00AE56EF">
            <w:pPr>
              <w:pStyle w:val="Tableheader"/>
            </w:pPr>
            <w:r>
              <w:t>Intimate partner</w:t>
            </w:r>
            <w:r w:rsidRPr="000D7ED3">
              <w:t xml:space="preserve"> </w:t>
            </w:r>
            <w:r>
              <w:t xml:space="preserve">or family </w:t>
            </w:r>
            <w:r w:rsidRPr="000D7ED3">
              <w:t>violence</w:t>
            </w:r>
          </w:p>
        </w:tc>
        <w:tc>
          <w:tcPr>
            <w:tcW w:w="1559" w:type="dxa"/>
            <w:noWrap/>
            <w:hideMark/>
          </w:tcPr>
          <w:p w14:paraId="0686993C" w14:textId="77777777" w:rsidR="009D0006" w:rsidRPr="003F4D73" w:rsidRDefault="009D0006" w:rsidP="00AE56EF">
            <w:pPr>
              <w:pStyle w:val="Tableheader"/>
            </w:pPr>
            <w:r>
              <w:t>n</w:t>
            </w:r>
          </w:p>
        </w:tc>
        <w:tc>
          <w:tcPr>
            <w:tcW w:w="1559" w:type="dxa"/>
            <w:noWrap/>
            <w:hideMark/>
          </w:tcPr>
          <w:p w14:paraId="74B13749" w14:textId="77777777" w:rsidR="009D0006" w:rsidRPr="003F4D73" w:rsidRDefault="009D0006" w:rsidP="00AE56EF">
            <w:pPr>
              <w:pStyle w:val="Tableheader"/>
            </w:pPr>
            <w:r w:rsidRPr="003F4D73">
              <w:t>%</w:t>
            </w:r>
          </w:p>
        </w:tc>
      </w:tr>
      <w:tr w:rsidR="009D0006" w:rsidRPr="003F4D73" w14:paraId="156386AC" w14:textId="77777777" w:rsidTr="00AE56EF">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B1DADD9" w14:textId="77777777" w:rsidR="009D0006" w:rsidRPr="003F4D73" w:rsidRDefault="009D0006" w:rsidP="00AE56EF">
            <w:pPr>
              <w:pStyle w:val="Tabletext"/>
              <w:rPr>
                <w:color w:val="0D0D0D"/>
              </w:rPr>
            </w:pPr>
            <w:r>
              <w:t>Violence from an intimate partner</w:t>
            </w:r>
          </w:p>
        </w:tc>
        <w:tc>
          <w:tcPr>
            <w:tcW w:w="1559" w:type="dxa"/>
            <w:noWrap/>
          </w:tcPr>
          <w:p w14:paraId="3CA36228" w14:textId="77777777" w:rsidR="009D0006" w:rsidRPr="003F4D73" w:rsidRDefault="009D0006" w:rsidP="00AE56EF">
            <w:pPr>
              <w:pStyle w:val="Tabletext"/>
              <w:rPr>
                <w:color w:val="0D0D0D"/>
              </w:rPr>
            </w:pPr>
            <w:r>
              <w:t>552</w:t>
            </w:r>
          </w:p>
        </w:tc>
        <w:tc>
          <w:tcPr>
            <w:tcW w:w="1559" w:type="dxa"/>
            <w:noWrap/>
          </w:tcPr>
          <w:p w14:paraId="62F969FA" w14:textId="77777777" w:rsidR="009D0006" w:rsidRPr="003F4D73" w:rsidRDefault="009D0006" w:rsidP="00AE56EF">
            <w:pPr>
              <w:pStyle w:val="Tabletext"/>
              <w:rPr>
                <w:color w:val="0D0D0D"/>
              </w:rPr>
            </w:pPr>
            <w:r>
              <w:t>73.0</w:t>
            </w:r>
          </w:p>
        </w:tc>
      </w:tr>
      <w:tr w:rsidR="009D0006" w:rsidRPr="003F4D73" w14:paraId="5D1D5582"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63228B6" w14:textId="77777777" w:rsidR="009D0006" w:rsidRPr="003F4D73" w:rsidRDefault="009D0006" w:rsidP="00AE56EF">
            <w:pPr>
              <w:pStyle w:val="Tabletext"/>
              <w:rPr>
                <w:color w:val="0D0D0D"/>
              </w:rPr>
            </w:pPr>
            <w:r>
              <w:t>Violence from a family member</w:t>
            </w:r>
          </w:p>
        </w:tc>
        <w:tc>
          <w:tcPr>
            <w:tcW w:w="1559" w:type="dxa"/>
            <w:noWrap/>
          </w:tcPr>
          <w:p w14:paraId="6D5098BE" w14:textId="77777777" w:rsidR="009D0006" w:rsidRPr="003F4D73" w:rsidRDefault="009D0006" w:rsidP="00AE56EF">
            <w:pPr>
              <w:pStyle w:val="Tabletext"/>
              <w:rPr>
                <w:color w:val="0D0D0D"/>
              </w:rPr>
            </w:pPr>
            <w:r>
              <w:t>627</w:t>
            </w:r>
          </w:p>
        </w:tc>
        <w:tc>
          <w:tcPr>
            <w:tcW w:w="1559" w:type="dxa"/>
            <w:noWrap/>
          </w:tcPr>
          <w:p w14:paraId="4800ADEE" w14:textId="77777777" w:rsidR="009D0006" w:rsidRPr="003F4D73" w:rsidRDefault="009D0006" w:rsidP="00AE56EF">
            <w:pPr>
              <w:pStyle w:val="Tabletext"/>
              <w:rPr>
                <w:color w:val="0D0D0D"/>
              </w:rPr>
            </w:pPr>
            <w:r>
              <w:t>81.4</w:t>
            </w:r>
          </w:p>
        </w:tc>
      </w:tr>
    </w:tbl>
    <w:p w14:paraId="49663218" w14:textId="77777777" w:rsidR="009D0006" w:rsidRDefault="009D0006" w:rsidP="00526E70">
      <w:pPr>
        <w:pStyle w:val="Tableheading"/>
      </w:pPr>
      <w:r>
        <w:t>Table 50.4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FDAB305" w14:textId="77777777" w:rsidTr="00AE56EF">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709CA2B3" w14:textId="77777777" w:rsidR="009D0006" w:rsidRPr="003F4D73" w:rsidRDefault="009D0006" w:rsidP="00AE56EF">
            <w:pPr>
              <w:pStyle w:val="Tableheader"/>
            </w:pPr>
            <w:r>
              <w:t>Intimate partner</w:t>
            </w:r>
            <w:r w:rsidRPr="000D7ED3">
              <w:t xml:space="preserve"> </w:t>
            </w:r>
            <w:r>
              <w:t xml:space="preserve">or family </w:t>
            </w:r>
            <w:r w:rsidRPr="000D7ED3">
              <w:t>violence</w:t>
            </w:r>
          </w:p>
        </w:tc>
        <w:tc>
          <w:tcPr>
            <w:tcW w:w="1559" w:type="dxa"/>
            <w:hideMark/>
          </w:tcPr>
          <w:p w14:paraId="441AA104" w14:textId="77777777" w:rsidR="009D0006" w:rsidRPr="003F4D73" w:rsidRDefault="009D0006" w:rsidP="00AE56EF">
            <w:pPr>
              <w:pStyle w:val="Tableheader"/>
            </w:pPr>
            <w:r>
              <w:t>n</w:t>
            </w:r>
          </w:p>
        </w:tc>
        <w:tc>
          <w:tcPr>
            <w:tcW w:w="1559" w:type="dxa"/>
            <w:hideMark/>
          </w:tcPr>
          <w:p w14:paraId="4C9FF72F" w14:textId="77777777" w:rsidR="009D0006" w:rsidRPr="003F4D73" w:rsidRDefault="009D0006" w:rsidP="00AE56EF">
            <w:pPr>
              <w:pStyle w:val="Tableheader"/>
            </w:pPr>
            <w:r w:rsidRPr="003F4D73">
              <w:t>%</w:t>
            </w:r>
          </w:p>
        </w:tc>
      </w:tr>
      <w:tr w:rsidR="009D0006" w:rsidRPr="003F4D73" w14:paraId="249E89D5" w14:textId="77777777" w:rsidTr="00AE56EF">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7412A4B3" w14:textId="77777777" w:rsidR="009D0006" w:rsidRPr="003F4D73" w:rsidRDefault="009D0006" w:rsidP="00AE56EF">
            <w:pPr>
              <w:pStyle w:val="Tabletext"/>
              <w:rPr>
                <w:color w:val="0D0D0D"/>
              </w:rPr>
            </w:pPr>
            <w:r>
              <w:t>Violence from an intimate partner</w:t>
            </w:r>
          </w:p>
        </w:tc>
        <w:tc>
          <w:tcPr>
            <w:tcW w:w="1559" w:type="dxa"/>
          </w:tcPr>
          <w:p w14:paraId="0A4557B9" w14:textId="77777777" w:rsidR="009D0006" w:rsidRPr="003F4D73" w:rsidRDefault="009D0006" w:rsidP="00AE56EF">
            <w:pPr>
              <w:pStyle w:val="Tabletext"/>
              <w:rPr>
                <w:color w:val="0D0D0D"/>
              </w:rPr>
            </w:pPr>
            <w:r>
              <w:t>1875</w:t>
            </w:r>
          </w:p>
        </w:tc>
        <w:tc>
          <w:tcPr>
            <w:tcW w:w="1559" w:type="dxa"/>
          </w:tcPr>
          <w:p w14:paraId="21430EE1" w14:textId="77777777" w:rsidR="009D0006" w:rsidRPr="003F4D73" w:rsidRDefault="009D0006" w:rsidP="00AE56EF">
            <w:pPr>
              <w:pStyle w:val="Tabletext"/>
              <w:rPr>
                <w:color w:val="0D0D0D"/>
              </w:rPr>
            </w:pPr>
            <w:r>
              <w:t>54.6</w:t>
            </w:r>
          </w:p>
        </w:tc>
      </w:tr>
      <w:tr w:rsidR="009D0006" w:rsidRPr="003F4D73" w14:paraId="3059AD09"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11A7DC7" w14:textId="77777777" w:rsidR="009D0006" w:rsidRPr="003F4D73" w:rsidRDefault="009D0006" w:rsidP="00AE56EF">
            <w:pPr>
              <w:pStyle w:val="Tabletext"/>
              <w:rPr>
                <w:color w:val="0D0D0D"/>
              </w:rPr>
            </w:pPr>
            <w:r>
              <w:t>Violence from a family member</w:t>
            </w:r>
          </w:p>
        </w:tc>
        <w:tc>
          <w:tcPr>
            <w:tcW w:w="1559" w:type="dxa"/>
          </w:tcPr>
          <w:p w14:paraId="20582D7C" w14:textId="77777777" w:rsidR="009D0006" w:rsidRPr="003F4D73" w:rsidRDefault="009D0006" w:rsidP="00AE56EF">
            <w:pPr>
              <w:pStyle w:val="Tabletext"/>
              <w:rPr>
                <w:color w:val="0D0D0D"/>
              </w:rPr>
            </w:pPr>
            <w:r>
              <w:t>1916</w:t>
            </w:r>
          </w:p>
        </w:tc>
        <w:tc>
          <w:tcPr>
            <w:tcW w:w="1559" w:type="dxa"/>
          </w:tcPr>
          <w:p w14:paraId="71D5C0FD" w14:textId="77777777" w:rsidR="009D0006" w:rsidRPr="003F4D73" w:rsidRDefault="009D0006" w:rsidP="00AE56EF">
            <w:pPr>
              <w:pStyle w:val="Tabletext"/>
              <w:rPr>
                <w:color w:val="0D0D0D"/>
              </w:rPr>
            </w:pPr>
            <w:r>
              <w:t>55.4</w:t>
            </w:r>
          </w:p>
        </w:tc>
      </w:tr>
    </w:tbl>
    <w:p w14:paraId="4835681F" w14:textId="77777777" w:rsidR="009D0006" w:rsidRDefault="009D0006" w:rsidP="00526E70">
      <w:pPr>
        <w:spacing w:before="360"/>
      </w:pPr>
      <w:r w:rsidRPr="008F786C">
        <w:t>As displayed in Table</w:t>
      </w:r>
      <w:r>
        <w:t>s 50.1-50.4</w:t>
      </w:r>
      <w:r w:rsidRPr="008F786C">
        <w:t xml:space="preserve">, participants in </w:t>
      </w:r>
      <w:r>
        <w:rPr>
          <w:i/>
          <w:iCs/>
        </w:rPr>
        <w:t>Private Lives 3</w:t>
      </w:r>
      <w:r>
        <w:t xml:space="preserve"> with no disability had the lowest proportion who experienced violence from an intimate partner (54.6%; n = 1875). Almost three-quarters of participants who were categorised with severe disability had experienced violence from an intimate partner (73.0%; n = 552), followed by more than two-thirds of those categorised with moderate disability (69.3%; n = 879) or mild disability (67.3%; n = 264).</w:t>
      </w:r>
    </w:p>
    <w:p w14:paraId="43E84201" w14:textId="77777777" w:rsidR="009D0006" w:rsidRDefault="009D0006" w:rsidP="009D0006">
      <w:r>
        <w:t>Similarly, participants with no disability had the lowest proportion who had experienced violence from a family member (55.4%; n = 1916). More than 80% of participants categorised with severe disability had experienced violence from a family member (81.4%; n = 627), followed by more than three-quarters of participants categorised with moderate di</w:t>
      </w:r>
      <w:r>
        <w:lastRenderedPageBreak/>
        <w:t>sability (78.4%; n = 1016) and more than two-thirds of those categorised with mild disability (69.1%; n = 271).</w:t>
      </w:r>
    </w:p>
    <w:p w14:paraId="676471B9" w14:textId="2EFDA130" w:rsidR="009D0006" w:rsidRDefault="009D0006" w:rsidP="00153892">
      <w:pPr>
        <w:pStyle w:val="Heading2Numbered"/>
      </w:pPr>
      <w:bookmarkStart w:id="551" w:name="_Toc115968575"/>
      <w:bookmarkStart w:id="552" w:name="_Toc119662436"/>
      <w:r w:rsidRPr="000D7ED3">
        <w:t>Forms of family violence experienced - adults aged 18+ years</w:t>
      </w:r>
      <w:bookmarkEnd w:id="551"/>
      <w:bookmarkEnd w:id="552"/>
    </w:p>
    <w:p w14:paraId="136BA153" w14:textId="77777777" w:rsidR="009D0006" w:rsidRDefault="009D0006" w:rsidP="009D0006">
      <w:r>
        <w:t xml:space="preserve">Types of violence experienced by participants in </w:t>
      </w:r>
      <w:r>
        <w:rPr>
          <w:i/>
          <w:iCs/>
        </w:rPr>
        <w:t>Private Lives 3</w:t>
      </w:r>
      <w:r>
        <w:t xml:space="preserve"> with disability are displayed in Figure 5. </w:t>
      </w:r>
    </w:p>
    <w:p w14:paraId="021F1A71" w14:textId="77777777" w:rsidR="009D0006" w:rsidRPr="000D7ED3" w:rsidRDefault="009D0006" w:rsidP="00AE56EF">
      <w:pPr>
        <w:pStyle w:val="FigureHeading"/>
      </w:pPr>
      <w:bookmarkStart w:id="553" w:name="_Toc37345870"/>
      <w:bookmarkStart w:id="554" w:name="_Toc46861131"/>
      <w:bookmarkStart w:id="555" w:name="_Toc117062855"/>
      <w:bookmarkStart w:id="556" w:name="_Toc119657411"/>
      <w:r w:rsidRPr="000D7ED3">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t xml:space="preserve">: </w:t>
      </w:r>
      <w:r w:rsidRPr="000D7ED3">
        <w:t xml:space="preserve">Proportion of </w:t>
      </w:r>
      <w:r>
        <w:t>adults with disability aged 18+ years</w:t>
      </w:r>
      <w:r w:rsidRPr="000D7ED3">
        <w:t xml:space="preserve"> ever experiencing violence from an intimate partner (n = </w:t>
      </w:r>
      <w:r>
        <w:t>2416</w:t>
      </w:r>
      <w:r w:rsidRPr="000D7ED3">
        <w:t xml:space="preserve">) or family member (n = </w:t>
      </w:r>
      <w:r>
        <w:t>2458</w:t>
      </w:r>
      <w:r w:rsidRPr="000D7ED3">
        <w:t>)</w:t>
      </w:r>
      <w:bookmarkEnd w:id="553"/>
      <w:bookmarkEnd w:id="554"/>
      <w:bookmarkEnd w:id="555"/>
      <w:bookmarkEnd w:id="556"/>
      <w:r w:rsidRPr="000D7ED3">
        <w:t xml:space="preserve"> </w:t>
      </w:r>
    </w:p>
    <w:p w14:paraId="7E460F47" w14:textId="77777777" w:rsidR="009D0006" w:rsidRPr="000D7ED3" w:rsidRDefault="009D0006" w:rsidP="009D0006">
      <w:pPr>
        <w:spacing w:after="200" w:line="276" w:lineRule="auto"/>
        <w:jc w:val="both"/>
        <w:rPr>
          <w:rFonts w:ascii="Roboto" w:eastAsia="MS Mincho" w:hAnsi="Roboto"/>
          <w:sz w:val="18"/>
          <w:szCs w:val="18"/>
        </w:rPr>
      </w:pPr>
      <w:bookmarkStart w:id="557" w:name="_Hlk35010869"/>
      <w:r w:rsidRPr="007772BD">
        <w:rPr>
          <w:noProof/>
        </w:rPr>
        <w:t xml:space="preserve"> </w:t>
      </w:r>
      <w:r>
        <w:rPr>
          <w:noProof/>
          <w:lang w:eastAsia="en-AU"/>
        </w:rPr>
        <w:drawing>
          <wp:inline distT="0" distB="0" distL="0" distR="0" wp14:anchorId="0FBF1DCE" wp14:editId="3D060F90">
            <wp:extent cx="4821381" cy="3299542"/>
            <wp:effectExtent l="0" t="0" r="0" b="0"/>
            <wp:docPr id="6" name="Chart 6">
              <a:extLst xmlns:a="http://schemas.openxmlformats.org/drawingml/2006/main">
                <a:ext uri="{FF2B5EF4-FFF2-40B4-BE49-F238E27FC236}">
                  <a16:creationId xmlns:a16="http://schemas.microsoft.com/office/drawing/2014/main" id="{2028769B-D853-4D4B-87AE-38112FEF6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7A789B" w14:textId="77777777" w:rsidR="009D0006" w:rsidRDefault="009D0006" w:rsidP="009D0006">
      <w:bookmarkStart w:id="558" w:name="_Toc46861132"/>
      <w:r w:rsidRPr="007926F8">
        <w:t xml:space="preserve">As displayed in Figure </w:t>
      </w:r>
      <w:r>
        <w:t>5</w:t>
      </w:r>
      <w:r w:rsidRPr="007926F8">
        <w:t xml:space="preserve">, </w:t>
      </w:r>
      <w:r>
        <w:t>emotional abuse (59.5%; n = 1435) was the most frequently reported type of violence perpetrated by an intimate partner. This was followed by verbal abuse verbal abuse (52.3%; n = 1263) and social isolation (35.9%; n = 867). Approximately one-third or fewer participants had experienced sexual violence from an intimate partner (32.0%; n = 773), threats of self-harm or suicide (31.5%; n = 761) and physical violence (30.6%; n = 739). More than one-fifth of participants had experienced harassment or stalking from an intimate partner (23.1%; n = 559) and financial abuse (21.5%; n = 519), and more than 1 in 10 had experienced LGBTIQ-related abuse (14.5%; n = 351) and property damage (13.3%; n = 320). A small proportion of participants reported ex</w:t>
      </w:r>
      <w:r>
        <w:lastRenderedPageBreak/>
        <w:t>periencing another form of violence from an intimate partner that was not listed (1.6%; n = 38).</w:t>
      </w:r>
    </w:p>
    <w:p w14:paraId="69718435" w14:textId="77777777" w:rsidR="009D0006" w:rsidRDefault="009D0006" w:rsidP="009D0006">
      <w:r>
        <w:t>Verbal abuse (54.8%; n = 1348) was the most frequently reported type of violence from a family member. This was followed closely by emotional abuse (54.0%; n = 1328). More than half of participants had experienced LGBTIQ-related abuse from a family member (50.7%; n = 1246). A little over one-third had experienced physical abuse from a family member (35.0%; n = 860), followed by social isolation (25.9%; n = 639). More than 1 in 10 participants had experienced financial abuse from a family member (15.1%; n = 370), followed by sexual abuse (14.8%; n = 364), property damage (12.8%; n = 12.8), harassment or stalking (11.8%; n = 291) and threats of self-harm or suicide (11.4%; n = 281). A small proportion of participants reported experiencing another form of violence from a family member that was not listed (2.3%; n = 56).</w:t>
      </w:r>
    </w:p>
    <w:p w14:paraId="21EC4CFD" w14:textId="77777777" w:rsidR="009D0006" w:rsidRDefault="009D0006" w:rsidP="00526E70">
      <w:pPr>
        <w:pStyle w:val="Tableheading"/>
      </w:pPr>
      <w:bookmarkStart w:id="559" w:name="_Toc117062769"/>
      <w:bookmarkStart w:id="560" w:name="_Toc119651454"/>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51</w:t>
      </w:r>
      <w:r w:rsidRPr="00985828">
        <w:rPr>
          <w:bCs/>
          <w:sz w:val="18"/>
          <w:szCs w:val="18"/>
        </w:rPr>
        <w:fldChar w:fldCharType="end"/>
      </w:r>
      <w:r>
        <w:t xml:space="preserve">.1-51.4: </w:t>
      </w:r>
      <w:r w:rsidRPr="000D7ED3">
        <w:t xml:space="preserve">Proportion of </w:t>
      </w:r>
      <w:r>
        <w:t>adults aged 18+ years</w:t>
      </w:r>
      <w:r w:rsidRPr="000D7ED3">
        <w:t xml:space="preserve"> ever experiencing, verbal</w:t>
      </w:r>
      <w:r>
        <w:t>, physical</w:t>
      </w:r>
      <w:r w:rsidRPr="000D7ED3">
        <w:t xml:space="preserve"> and sexual violence</w:t>
      </w:r>
      <w:r>
        <w:t xml:space="preserve"> </w:t>
      </w:r>
      <w:r w:rsidRPr="000D7ED3">
        <w:t>from an intimate partner</w:t>
      </w:r>
      <w:bookmarkEnd w:id="558"/>
      <w:r>
        <w:t xml:space="preserve">, grouped </w:t>
      </w:r>
      <w:r w:rsidRPr="000D7ED3">
        <w:t xml:space="preserve">by </w:t>
      </w:r>
      <w:r>
        <w:t>D</w:t>
      </w:r>
      <w:r w:rsidRPr="000D7ED3">
        <w:t>isability</w:t>
      </w:r>
      <w:r>
        <w:t xml:space="preserve"> Flag category (n = 5853)</w:t>
      </w:r>
      <w:bookmarkEnd w:id="559"/>
      <w:bookmarkEnd w:id="560"/>
    </w:p>
    <w:p w14:paraId="01524C46" w14:textId="77777777" w:rsidR="009D0006" w:rsidRPr="000D7ED3" w:rsidRDefault="009D0006" w:rsidP="00526E70">
      <w:pPr>
        <w:pStyle w:val="Tableheading"/>
      </w:pPr>
      <w:r>
        <w:t>Table 51.1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777CAB8" w14:textId="77777777" w:rsidTr="00AE56EF">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D44BC0C" w14:textId="77777777" w:rsidR="009D0006" w:rsidRPr="003F4D73" w:rsidRDefault="009D0006" w:rsidP="00AE56EF">
            <w:pPr>
              <w:pStyle w:val="Tableheader"/>
            </w:pPr>
            <w:r>
              <w:t>Intimate partner</w:t>
            </w:r>
            <w:r w:rsidRPr="000D7ED3">
              <w:t xml:space="preserve"> violence</w:t>
            </w:r>
          </w:p>
        </w:tc>
        <w:tc>
          <w:tcPr>
            <w:tcW w:w="1559" w:type="dxa"/>
            <w:noWrap/>
            <w:hideMark/>
          </w:tcPr>
          <w:p w14:paraId="60EEEF0D" w14:textId="77777777" w:rsidR="009D0006" w:rsidRPr="003F4D73" w:rsidRDefault="009D0006" w:rsidP="00AE56EF">
            <w:pPr>
              <w:pStyle w:val="Tableheader"/>
            </w:pPr>
            <w:r>
              <w:t>n</w:t>
            </w:r>
          </w:p>
        </w:tc>
        <w:tc>
          <w:tcPr>
            <w:tcW w:w="1559" w:type="dxa"/>
            <w:noWrap/>
            <w:hideMark/>
          </w:tcPr>
          <w:p w14:paraId="4955B118" w14:textId="77777777" w:rsidR="009D0006" w:rsidRPr="003F4D73" w:rsidRDefault="009D0006" w:rsidP="00AE56EF">
            <w:pPr>
              <w:pStyle w:val="Tableheader"/>
            </w:pPr>
            <w:r w:rsidRPr="003F4D73">
              <w:t>%</w:t>
            </w:r>
          </w:p>
        </w:tc>
      </w:tr>
      <w:tr w:rsidR="009D0006" w:rsidRPr="003F4D73" w14:paraId="426DFF77"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9A8EF5A" w14:textId="77777777" w:rsidR="009D0006" w:rsidRPr="003F4D73" w:rsidRDefault="009D0006" w:rsidP="00AE56EF">
            <w:pPr>
              <w:pStyle w:val="Tabletext"/>
              <w:rPr>
                <w:color w:val="0D0D0D"/>
              </w:rPr>
            </w:pPr>
            <w:r>
              <w:t>Verbal</w:t>
            </w:r>
          </w:p>
        </w:tc>
        <w:tc>
          <w:tcPr>
            <w:tcW w:w="1559" w:type="dxa"/>
            <w:noWrap/>
          </w:tcPr>
          <w:p w14:paraId="70F328EF" w14:textId="77777777" w:rsidR="009D0006" w:rsidRPr="003F4D73" w:rsidRDefault="009D0006" w:rsidP="00AE56EF">
            <w:pPr>
              <w:pStyle w:val="Tabletext"/>
              <w:rPr>
                <w:color w:val="0D0D0D"/>
              </w:rPr>
            </w:pPr>
            <w:r>
              <w:t>212</w:t>
            </w:r>
          </w:p>
        </w:tc>
        <w:tc>
          <w:tcPr>
            <w:tcW w:w="1559" w:type="dxa"/>
            <w:noWrap/>
          </w:tcPr>
          <w:p w14:paraId="3B763F7A" w14:textId="77777777" w:rsidR="009D0006" w:rsidRPr="003F4D73" w:rsidRDefault="009D0006" w:rsidP="00AE56EF">
            <w:pPr>
              <w:pStyle w:val="Tabletext"/>
              <w:rPr>
                <w:color w:val="0D0D0D"/>
              </w:rPr>
            </w:pPr>
            <w:r>
              <w:t>54.1</w:t>
            </w:r>
          </w:p>
        </w:tc>
      </w:tr>
      <w:tr w:rsidR="009D0006" w:rsidRPr="003F4D73" w14:paraId="3A1A1421"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0EE5166" w14:textId="77777777" w:rsidR="009D0006" w:rsidRPr="003F4D73" w:rsidRDefault="009D0006" w:rsidP="00AE56EF">
            <w:pPr>
              <w:pStyle w:val="Tabletext"/>
              <w:rPr>
                <w:color w:val="0D0D0D"/>
              </w:rPr>
            </w:pPr>
            <w:r>
              <w:t>Physical</w:t>
            </w:r>
          </w:p>
        </w:tc>
        <w:tc>
          <w:tcPr>
            <w:tcW w:w="1559" w:type="dxa"/>
            <w:noWrap/>
          </w:tcPr>
          <w:p w14:paraId="21B56F61" w14:textId="77777777" w:rsidR="009D0006" w:rsidRPr="003F4D73" w:rsidRDefault="009D0006" w:rsidP="00AE56EF">
            <w:pPr>
              <w:pStyle w:val="Tabletext"/>
              <w:rPr>
                <w:color w:val="0D0D0D"/>
              </w:rPr>
            </w:pPr>
            <w:r>
              <w:t>121</w:t>
            </w:r>
          </w:p>
        </w:tc>
        <w:tc>
          <w:tcPr>
            <w:tcW w:w="1559" w:type="dxa"/>
            <w:noWrap/>
          </w:tcPr>
          <w:p w14:paraId="487E8DFE" w14:textId="77777777" w:rsidR="009D0006" w:rsidRPr="003F4D73" w:rsidRDefault="009D0006" w:rsidP="00AE56EF">
            <w:pPr>
              <w:pStyle w:val="Tabletext"/>
              <w:rPr>
                <w:color w:val="0D0D0D"/>
              </w:rPr>
            </w:pPr>
            <w:r>
              <w:t>30.9</w:t>
            </w:r>
          </w:p>
        </w:tc>
      </w:tr>
      <w:tr w:rsidR="009D0006" w:rsidRPr="003F4D73" w14:paraId="10436294"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582FB13" w14:textId="77777777" w:rsidR="009D0006" w:rsidRPr="003F4D73" w:rsidRDefault="009D0006" w:rsidP="00AE56EF">
            <w:pPr>
              <w:pStyle w:val="Tabletext"/>
              <w:rPr>
                <w:color w:val="0D0D0D"/>
              </w:rPr>
            </w:pPr>
            <w:r>
              <w:t>Sexual</w:t>
            </w:r>
          </w:p>
        </w:tc>
        <w:tc>
          <w:tcPr>
            <w:tcW w:w="1559" w:type="dxa"/>
            <w:noWrap/>
          </w:tcPr>
          <w:p w14:paraId="5CE6CD82" w14:textId="77777777" w:rsidR="009D0006" w:rsidRPr="003F4D73" w:rsidRDefault="009D0006" w:rsidP="00AE56EF">
            <w:pPr>
              <w:pStyle w:val="Tabletext"/>
              <w:rPr>
                <w:color w:val="0D0D0D"/>
              </w:rPr>
            </w:pPr>
            <w:r>
              <w:t>96</w:t>
            </w:r>
          </w:p>
        </w:tc>
        <w:tc>
          <w:tcPr>
            <w:tcW w:w="1559" w:type="dxa"/>
            <w:noWrap/>
          </w:tcPr>
          <w:p w14:paraId="1D66EA9E" w14:textId="77777777" w:rsidR="009D0006" w:rsidRPr="003F4D73" w:rsidRDefault="009D0006" w:rsidP="00AE56EF">
            <w:pPr>
              <w:pStyle w:val="Tabletext"/>
              <w:rPr>
                <w:color w:val="0D0D0D"/>
              </w:rPr>
            </w:pPr>
            <w:r>
              <w:t>24.5</w:t>
            </w:r>
          </w:p>
        </w:tc>
      </w:tr>
    </w:tbl>
    <w:p w14:paraId="04297D91" w14:textId="77777777" w:rsidR="009D0006" w:rsidRDefault="009D0006" w:rsidP="00526E70">
      <w:pPr>
        <w:pStyle w:val="Tableheading"/>
      </w:pPr>
      <w:r>
        <w:t>Table 51.2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B01F2C1" w14:textId="77777777" w:rsidTr="00AE56EF">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6C2E730" w14:textId="77777777" w:rsidR="009D0006" w:rsidRPr="003F4D73" w:rsidRDefault="009D0006" w:rsidP="00AE56EF">
            <w:pPr>
              <w:pStyle w:val="Tableheader"/>
            </w:pPr>
            <w:r>
              <w:t>Intimate partner</w:t>
            </w:r>
            <w:r w:rsidRPr="000D7ED3">
              <w:t xml:space="preserve"> violence</w:t>
            </w:r>
          </w:p>
        </w:tc>
        <w:tc>
          <w:tcPr>
            <w:tcW w:w="1559" w:type="dxa"/>
            <w:hideMark/>
          </w:tcPr>
          <w:p w14:paraId="3E2BE92A" w14:textId="77777777" w:rsidR="009D0006" w:rsidRPr="003F4D73" w:rsidRDefault="009D0006" w:rsidP="00AE56EF">
            <w:pPr>
              <w:pStyle w:val="Tableheader"/>
            </w:pPr>
            <w:r>
              <w:t>n</w:t>
            </w:r>
          </w:p>
        </w:tc>
        <w:tc>
          <w:tcPr>
            <w:tcW w:w="1559" w:type="dxa"/>
            <w:hideMark/>
          </w:tcPr>
          <w:p w14:paraId="359CCA19" w14:textId="77777777" w:rsidR="009D0006" w:rsidRPr="003F4D73" w:rsidRDefault="009D0006" w:rsidP="00AE56EF">
            <w:pPr>
              <w:pStyle w:val="Tableheader"/>
            </w:pPr>
            <w:r w:rsidRPr="003F4D73">
              <w:t>%</w:t>
            </w:r>
          </w:p>
        </w:tc>
      </w:tr>
      <w:tr w:rsidR="009D0006" w:rsidRPr="003F4D73" w14:paraId="59EB6A26"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4CAAF80" w14:textId="77777777" w:rsidR="009D0006" w:rsidRPr="003F4D73" w:rsidRDefault="009D0006" w:rsidP="00AE56EF">
            <w:pPr>
              <w:pStyle w:val="Tabletext"/>
              <w:rPr>
                <w:color w:val="0D0D0D"/>
              </w:rPr>
            </w:pPr>
            <w:r>
              <w:t>Verbal</w:t>
            </w:r>
          </w:p>
        </w:tc>
        <w:tc>
          <w:tcPr>
            <w:tcW w:w="1559" w:type="dxa"/>
          </w:tcPr>
          <w:p w14:paraId="1EBBB617" w14:textId="77777777" w:rsidR="009D0006" w:rsidRPr="003F4D73" w:rsidRDefault="009D0006" w:rsidP="00AE56EF">
            <w:pPr>
              <w:pStyle w:val="Tabletext"/>
              <w:rPr>
                <w:color w:val="0D0D0D"/>
              </w:rPr>
            </w:pPr>
            <w:r>
              <w:t>629</w:t>
            </w:r>
          </w:p>
        </w:tc>
        <w:tc>
          <w:tcPr>
            <w:tcW w:w="1559" w:type="dxa"/>
          </w:tcPr>
          <w:p w14:paraId="22455C1C" w14:textId="77777777" w:rsidR="009D0006" w:rsidRPr="003F4D73" w:rsidRDefault="009D0006" w:rsidP="00AE56EF">
            <w:pPr>
              <w:pStyle w:val="Tabletext"/>
              <w:rPr>
                <w:color w:val="0D0D0D"/>
              </w:rPr>
            </w:pPr>
            <w:r>
              <w:t>49.6</w:t>
            </w:r>
          </w:p>
        </w:tc>
      </w:tr>
      <w:tr w:rsidR="009D0006" w:rsidRPr="003F4D73" w14:paraId="467EDAE2"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75414B0" w14:textId="77777777" w:rsidR="009D0006" w:rsidRPr="003F4D73" w:rsidRDefault="009D0006" w:rsidP="00AE56EF">
            <w:pPr>
              <w:pStyle w:val="Tabletext"/>
              <w:rPr>
                <w:color w:val="0D0D0D"/>
              </w:rPr>
            </w:pPr>
            <w:r>
              <w:t>Physical</w:t>
            </w:r>
          </w:p>
        </w:tc>
        <w:tc>
          <w:tcPr>
            <w:tcW w:w="1559" w:type="dxa"/>
          </w:tcPr>
          <w:p w14:paraId="2FAA7875" w14:textId="77777777" w:rsidR="009D0006" w:rsidRPr="003F4D73" w:rsidRDefault="009D0006" w:rsidP="00AE56EF">
            <w:pPr>
              <w:pStyle w:val="Tabletext"/>
              <w:rPr>
                <w:color w:val="0D0D0D"/>
              </w:rPr>
            </w:pPr>
            <w:r>
              <w:t>361</w:t>
            </w:r>
          </w:p>
        </w:tc>
        <w:tc>
          <w:tcPr>
            <w:tcW w:w="1559" w:type="dxa"/>
          </w:tcPr>
          <w:p w14:paraId="39DBF626" w14:textId="77777777" w:rsidR="009D0006" w:rsidRPr="003F4D73" w:rsidRDefault="009D0006" w:rsidP="00AE56EF">
            <w:pPr>
              <w:pStyle w:val="Tabletext"/>
              <w:rPr>
                <w:color w:val="0D0D0D"/>
              </w:rPr>
            </w:pPr>
            <w:r>
              <w:t>28.5</w:t>
            </w:r>
          </w:p>
        </w:tc>
      </w:tr>
      <w:tr w:rsidR="009D0006" w:rsidRPr="003F4D73" w14:paraId="234CB5B7"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B9FEA18" w14:textId="77777777" w:rsidR="009D0006" w:rsidRPr="003F4D73" w:rsidRDefault="009D0006" w:rsidP="00AE56EF">
            <w:pPr>
              <w:pStyle w:val="Tabletext"/>
              <w:rPr>
                <w:color w:val="0D0D0D"/>
              </w:rPr>
            </w:pPr>
            <w:r>
              <w:t>Sexual</w:t>
            </w:r>
          </w:p>
        </w:tc>
        <w:tc>
          <w:tcPr>
            <w:tcW w:w="1559" w:type="dxa"/>
          </w:tcPr>
          <w:p w14:paraId="10E453F8" w14:textId="77777777" w:rsidR="009D0006" w:rsidRPr="003F4D73" w:rsidRDefault="009D0006" w:rsidP="00AE56EF">
            <w:pPr>
              <w:pStyle w:val="Tabletext"/>
              <w:rPr>
                <w:color w:val="0D0D0D"/>
              </w:rPr>
            </w:pPr>
            <w:r>
              <w:t>383</w:t>
            </w:r>
          </w:p>
        </w:tc>
        <w:tc>
          <w:tcPr>
            <w:tcW w:w="1559" w:type="dxa"/>
          </w:tcPr>
          <w:p w14:paraId="2275FBE1" w14:textId="77777777" w:rsidR="009D0006" w:rsidRPr="003F4D73" w:rsidRDefault="009D0006" w:rsidP="00AE56EF">
            <w:pPr>
              <w:pStyle w:val="Tabletext"/>
              <w:rPr>
                <w:color w:val="0D0D0D"/>
              </w:rPr>
            </w:pPr>
            <w:r>
              <w:t>30.2</w:t>
            </w:r>
          </w:p>
        </w:tc>
      </w:tr>
    </w:tbl>
    <w:p w14:paraId="50E3F230" w14:textId="77777777" w:rsidR="009D0006" w:rsidRDefault="009D0006" w:rsidP="00526E70">
      <w:pPr>
        <w:pStyle w:val="Tableheading"/>
      </w:pPr>
      <w:r>
        <w:t>Table 51.3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F830896" w14:textId="77777777" w:rsidTr="00AE56EF">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3CF0AEE" w14:textId="77777777" w:rsidR="009D0006" w:rsidRPr="003F4D73" w:rsidRDefault="009D0006" w:rsidP="00AE56EF">
            <w:pPr>
              <w:pStyle w:val="Tableheader"/>
            </w:pPr>
            <w:r>
              <w:t>Intimate partner</w:t>
            </w:r>
            <w:r w:rsidRPr="000D7ED3">
              <w:t xml:space="preserve"> violence</w:t>
            </w:r>
          </w:p>
        </w:tc>
        <w:tc>
          <w:tcPr>
            <w:tcW w:w="1559" w:type="dxa"/>
            <w:noWrap/>
            <w:hideMark/>
          </w:tcPr>
          <w:p w14:paraId="48E33117" w14:textId="77777777" w:rsidR="009D0006" w:rsidRPr="003F4D73" w:rsidRDefault="009D0006" w:rsidP="00AE56EF">
            <w:pPr>
              <w:pStyle w:val="Tableheader"/>
            </w:pPr>
            <w:r>
              <w:t>n</w:t>
            </w:r>
          </w:p>
        </w:tc>
        <w:tc>
          <w:tcPr>
            <w:tcW w:w="1559" w:type="dxa"/>
            <w:noWrap/>
            <w:hideMark/>
          </w:tcPr>
          <w:p w14:paraId="4EDF1705" w14:textId="77777777" w:rsidR="009D0006" w:rsidRPr="003F4D73" w:rsidRDefault="009D0006" w:rsidP="00AE56EF">
            <w:pPr>
              <w:pStyle w:val="Tableheader"/>
            </w:pPr>
            <w:r w:rsidRPr="003F4D73">
              <w:t>%</w:t>
            </w:r>
          </w:p>
        </w:tc>
      </w:tr>
      <w:tr w:rsidR="009D0006" w:rsidRPr="003F4D73" w14:paraId="56CD6C01"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0ED404D" w14:textId="77777777" w:rsidR="009D0006" w:rsidRPr="003F4D73" w:rsidRDefault="009D0006" w:rsidP="00AE56EF">
            <w:pPr>
              <w:pStyle w:val="Tabletext"/>
              <w:rPr>
                <w:color w:val="0D0D0D"/>
              </w:rPr>
            </w:pPr>
            <w:r>
              <w:t>Verbal</w:t>
            </w:r>
          </w:p>
        </w:tc>
        <w:tc>
          <w:tcPr>
            <w:tcW w:w="1559" w:type="dxa"/>
            <w:noWrap/>
          </w:tcPr>
          <w:p w14:paraId="68C8B3B2" w14:textId="77777777" w:rsidR="009D0006" w:rsidRPr="003F4D73" w:rsidRDefault="009D0006" w:rsidP="00AE56EF">
            <w:pPr>
              <w:pStyle w:val="Tabletext"/>
              <w:rPr>
                <w:color w:val="0D0D0D"/>
              </w:rPr>
            </w:pPr>
            <w:r>
              <w:t>422</w:t>
            </w:r>
          </w:p>
        </w:tc>
        <w:tc>
          <w:tcPr>
            <w:tcW w:w="1559" w:type="dxa"/>
            <w:noWrap/>
          </w:tcPr>
          <w:p w14:paraId="76A298D0" w14:textId="77777777" w:rsidR="009D0006" w:rsidRPr="003F4D73" w:rsidRDefault="009D0006" w:rsidP="00AE56EF">
            <w:pPr>
              <w:pStyle w:val="Tabletext"/>
              <w:rPr>
                <w:color w:val="0D0D0D"/>
              </w:rPr>
            </w:pPr>
            <w:r>
              <w:t>55.8</w:t>
            </w:r>
          </w:p>
        </w:tc>
      </w:tr>
      <w:tr w:rsidR="009D0006" w:rsidRPr="003F4D73" w14:paraId="380F7882"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1B559BA" w14:textId="77777777" w:rsidR="009D0006" w:rsidRPr="003F4D73" w:rsidRDefault="009D0006" w:rsidP="00AE56EF">
            <w:pPr>
              <w:pStyle w:val="Tabletext"/>
              <w:rPr>
                <w:color w:val="0D0D0D"/>
              </w:rPr>
            </w:pPr>
            <w:r>
              <w:t>Physical</w:t>
            </w:r>
          </w:p>
        </w:tc>
        <w:tc>
          <w:tcPr>
            <w:tcW w:w="1559" w:type="dxa"/>
            <w:noWrap/>
          </w:tcPr>
          <w:p w14:paraId="453FF59C" w14:textId="77777777" w:rsidR="009D0006" w:rsidRPr="003F4D73" w:rsidRDefault="009D0006" w:rsidP="00AE56EF">
            <w:pPr>
              <w:pStyle w:val="Tabletext"/>
              <w:rPr>
                <w:color w:val="0D0D0D"/>
              </w:rPr>
            </w:pPr>
            <w:r>
              <w:t>257</w:t>
            </w:r>
          </w:p>
        </w:tc>
        <w:tc>
          <w:tcPr>
            <w:tcW w:w="1559" w:type="dxa"/>
            <w:noWrap/>
          </w:tcPr>
          <w:p w14:paraId="41BE2EA0" w14:textId="77777777" w:rsidR="009D0006" w:rsidRPr="003F4D73" w:rsidRDefault="009D0006" w:rsidP="00AE56EF">
            <w:pPr>
              <w:pStyle w:val="Tabletext"/>
              <w:rPr>
                <w:color w:val="0D0D0D"/>
              </w:rPr>
            </w:pPr>
            <w:r>
              <w:t>34.0</w:t>
            </w:r>
          </w:p>
        </w:tc>
      </w:tr>
      <w:tr w:rsidR="009D0006" w:rsidRPr="003F4D73" w14:paraId="7F824D5F"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48ED889" w14:textId="77777777" w:rsidR="009D0006" w:rsidRPr="003F4D73" w:rsidRDefault="009D0006" w:rsidP="00AE56EF">
            <w:pPr>
              <w:pStyle w:val="Tabletext"/>
              <w:rPr>
                <w:color w:val="0D0D0D"/>
              </w:rPr>
            </w:pPr>
            <w:r>
              <w:t>Sexual</w:t>
            </w:r>
          </w:p>
        </w:tc>
        <w:tc>
          <w:tcPr>
            <w:tcW w:w="1559" w:type="dxa"/>
            <w:noWrap/>
          </w:tcPr>
          <w:p w14:paraId="3715DA49" w14:textId="77777777" w:rsidR="009D0006" w:rsidRPr="003F4D73" w:rsidRDefault="009D0006" w:rsidP="00AE56EF">
            <w:pPr>
              <w:pStyle w:val="Tabletext"/>
              <w:rPr>
                <w:color w:val="0D0D0D"/>
              </w:rPr>
            </w:pPr>
            <w:r>
              <w:t>294</w:t>
            </w:r>
          </w:p>
        </w:tc>
        <w:tc>
          <w:tcPr>
            <w:tcW w:w="1559" w:type="dxa"/>
            <w:noWrap/>
          </w:tcPr>
          <w:p w14:paraId="5C63E62E" w14:textId="77777777" w:rsidR="009D0006" w:rsidRPr="003F4D73" w:rsidRDefault="009D0006" w:rsidP="00AE56EF">
            <w:pPr>
              <w:pStyle w:val="Tabletext"/>
              <w:rPr>
                <w:color w:val="0D0D0D"/>
              </w:rPr>
            </w:pPr>
            <w:r>
              <w:t>38.9</w:t>
            </w:r>
          </w:p>
        </w:tc>
      </w:tr>
    </w:tbl>
    <w:p w14:paraId="44DF2D79" w14:textId="77777777" w:rsidR="009D0006" w:rsidRDefault="009D0006" w:rsidP="00526E70">
      <w:pPr>
        <w:pStyle w:val="Tableheading"/>
      </w:pPr>
      <w:r>
        <w:t xml:space="preserve">Table 51.4 </w:t>
      </w:r>
      <w:r>
        <w:lastRenderedPageBreak/>
        <w:t>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DBB8FCB" w14:textId="77777777" w:rsidTr="00AE56EF">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0E04D74" w14:textId="77777777" w:rsidR="009D0006" w:rsidRPr="003F4D73" w:rsidRDefault="009D0006" w:rsidP="00AE56EF">
            <w:pPr>
              <w:pStyle w:val="Tableheader"/>
            </w:pPr>
            <w:r>
              <w:t>Intimate partner</w:t>
            </w:r>
            <w:r w:rsidRPr="000D7ED3">
              <w:t xml:space="preserve"> violence</w:t>
            </w:r>
          </w:p>
        </w:tc>
        <w:tc>
          <w:tcPr>
            <w:tcW w:w="1559" w:type="dxa"/>
            <w:hideMark/>
          </w:tcPr>
          <w:p w14:paraId="78083474" w14:textId="77777777" w:rsidR="009D0006" w:rsidRPr="003F4D73" w:rsidRDefault="009D0006" w:rsidP="00AE56EF">
            <w:pPr>
              <w:pStyle w:val="Tableheader"/>
            </w:pPr>
            <w:r>
              <w:t>n</w:t>
            </w:r>
          </w:p>
        </w:tc>
        <w:tc>
          <w:tcPr>
            <w:tcW w:w="1559" w:type="dxa"/>
            <w:hideMark/>
          </w:tcPr>
          <w:p w14:paraId="6DD133C2" w14:textId="77777777" w:rsidR="009D0006" w:rsidRPr="003F4D73" w:rsidRDefault="009D0006" w:rsidP="00AE56EF">
            <w:pPr>
              <w:pStyle w:val="Tableheader"/>
            </w:pPr>
            <w:r w:rsidRPr="003F4D73">
              <w:t>%</w:t>
            </w:r>
          </w:p>
        </w:tc>
      </w:tr>
      <w:tr w:rsidR="009D0006" w:rsidRPr="003F4D73" w14:paraId="4674CAFD"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F880B07" w14:textId="77777777" w:rsidR="009D0006" w:rsidRPr="003F4D73" w:rsidRDefault="009D0006" w:rsidP="00AE56EF">
            <w:pPr>
              <w:pStyle w:val="Tabletext"/>
              <w:rPr>
                <w:color w:val="0D0D0D"/>
              </w:rPr>
            </w:pPr>
            <w:r>
              <w:t>Verbal</w:t>
            </w:r>
          </w:p>
        </w:tc>
        <w:tc>
          <w:tcPr>
            <w:tcW w:w="1559" w:type="dxa"/>
          </w:tcPr>
          <w:p w14:paraId="511BF2CB" w14:textId="77777777" w:rsidR="009D0006" w:rsidRPr="003F4D73" w:rsidRDefault="009D0006" w:rsidP="00AE56EF">
            <w:pPr>
              <w:pStyle w:val="Tabletext"/>
              <w:rPr>
                <w:color w:val="0D0D0D"/>
              </w:rPr>
            </w:pPr>
            <w:r>
              <w:t>1235</w:t>
            </w:r>
          </w:p>
        </w:tc>
        <w:tc>
          <w:tcPr>
            <w:tcW w:w="1559" w:type="dxa"/>
          </w:tcPr>
          <w:p w14:paraId="383E3B46" w14:textId="77777777" w:rsidR="009D0006" w:rsidRPr="003F4D73" w:rsidRDefault="009D0006" w:rsidP="00AE56EF">
            <w:pPr>
              <w:pStyle w:val="Tabletext"/>
              <w:rPr>
                <w:color w:val="0D0D0D"/>
              </w:rPr>
            </w:pPr>
            <w:r>
              <w:t>35.9</w:t>
            </w:r>
          </w:p>
        </w:tc>
      </w:tr>
      <w:tr w:rsidR="009D0006" w:rsidRPr="003F4D73" w14:paraId="2624F047"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99C2E98" w14:textId="77777777" w:rsidR="009D0006" w:rsidRPr="003F4D73" w:rsidRDefault="009D0006" w:rsidP="00AE56EF">
            <w:pPr>
              <w:pStyle w:val="Tabletext"/>
              <w:rPr>
                <w:color w:val="0D0D0D"/>
              </w:rPr>
            </w:pPr>
            <w:r>
              <w:t>Physical</w:t>
            </w:r>
          </w:p>
        </w:tc>
        <w:tc>
          <w:tcPr>
            <w:tcW w:w="1559" w:type="dxa"/>
          </w:tcPr>
          <w:p w14:paraId="47B43929" w14:textId="77777777" w:rsidR="009D0006" w:rsidRPr="003F4D73" w:rsidRDefault="009D0006" w:rsidP="00AE56EF">
            <w:pPr>
              <w:pStyle w:val="Tabletext"/>
              <w:rPr>
                <w:color w:val="0D0D0D"/>
              </w:rPr>
            </w:pPr>
            <w:r>
              <w:t>740</w:t>
            </w:r>
          </w:p>
        </w:tc>
        <w:tc>
          <w:tcPr>
            <w:tcW w:w="1559" w:type="dxa"/>
          </w:tcPr>
          <w:p w14:paraId="6801BFB8" w14:textId="77777777" w:rsidR="009D0006" w:rsidRPr="003F4D73" w:rsidRDefault="009D0006" w:rsidP="00AE56EF">
            <w:pPr>
              <w:pStyle w:val="Tabletext"/>
              <w:rPr>
                <w:color w:val="0D0D0D"/>
              </w:rPr>
            </w:pPr>
            <w:r>
              <w:t>21.5</w:t>
            </w:r>
          </w:p>
        </w:tc>
      </w:tr>
      <w:tr w:rsidR="009D0006" w:rsidRPr="003F4D73" w14:paraId="0C9F3B16"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222A5FD" w14:textId="77777777" w:rsidR="009D0006" w:rsidRPr="003F4D73" w:rsidRDefault="009D0006" w:rsidP="00AE56EF">
            <w:pPr>
              <w:pStyle w:val="Tabletext"/>
              <w:rPr>
                <w:color w:val="0D0D0D"/>
              </w:rPr>
            </w:pPr>
            <w:r>
              <w:t>Sexual</w:t>
            </w:r>
          </w:p>
        </w:tc>
        <w:tc>
          <w:tcPr>
            <w:tcW w:w="1559" w:type="dxa"/>
          </w:tcPr>
          <w:p w14:paraId="3646BEB7" w14:textId="77777777" w:rsidR="009D0006" w:rsidRPr="003F4D73" w:rsidRDefault="009D0006" w:rsidP="00AE56EF">
            <w:pPr>
              <w:pStyle w:val="Tabletext"/>
              <w:rPr>
                <w:color w:val="0D0D0D"/>
              </w:rPr>
            </w:pPr>
            <w:r>
              <w:t>498</w:t>
            </w:r>
          </w:p>
        </w:tc>
        <w:tc>
          <w:tcPr>
            <w:tcW w:w="1559" w:type="dxa"/>
          </w:tcPr>
          <w:p w14:paraId="530F4A38" w14:textId="77777777" w:rsidR="009D0006" w:rsidRPr="003F4D73" w:rsidRDefault="009D0006" w:rsidP="00AE56EF">
            <w:pPr>
              <w:pStyle w:val="Tabletext"/>
              <w:rPr>
                <w:color w:val="0D0D0D"/>
              </w:rPr>
            </w:pPr>
            <w:r>
              <w:t>14.5</w:t>
            </w:r>
          </w:p>
        </w:tc>
      </w:tr>
    </w:tbl>
    <w:p w14:paraId="53AA6E51" w14:textId="77777777" w:rsidR="009D0006" w:rsidRPr="007926F8" w:rsidRDefault="009D0006" w:rsidP="004E2605">
      <w:r w:rsidRPr="007926F8">
        <w:t>As displayed in Table</w:t>
      </w:r>
      <w:r>
        <w:t>s</w:t>
      </w:r>
      <w:r w:rsidRPr="007926F8">
        <w:t xml:space="preserve"> </w:t>
      </w:r>
      <w:r>
        <w:t>51.1-51.4</w:t>
      </w:r>
      <w:r w:rsidRPr="007926F8">
        <w:t xml:space="preserve">, </w:t>
      </w:r>
      <w:r>
        <w:t xml:space="preserve">participants not reporting disability in </w:t>
      </w:r>
      <w:r>
        <w:rPr>
          <w:i/>
          <w:iCs/>
        </w:rPr>
        <w:t>Private Lives 3</w:t>
      </w:r>
      <w:r>
        <w:t xml:space="preserve"> had the lowest proportion who reported ever experiencing verbal abuse (35.9%; n = 1235), physical abuse (21.5%; n = 740) and sexual abuse (14.5%; n = 498) from an intimate partner compared to participants with disability. More than half of participants who were categorised with severe disability had experienced verbal abuse from an intimate partner (55.8%; n = 422), followed by participants categorised with mild disability (54.1%; n = 212) and those categorised with moderate disability (49.6%; n = 629). More than one-third of participants categorised with severe disability had experienced physical abuse from an intimate partner (34.0%; n = 257), followed by participants categorised with mild disability (30.9%; n = 121) and those categorised with moderate disability (28.5%; n = 361). Similarly, more than one-third of participants categorised with severe disability had experienced sexual abuse from an intimate partner (38.9%; n = 294), followed by participants categorised with moderate disability (30.2%; n = 383) and those categorised with mild disability (24.5%; n = 96).</w:t>
      </w:r>
    </w:p>
    <w:p w14:paraId="4C570386" w14:textId="77777777" w:rsidR="009D0006" w:rsidRDefault="009D0006" w:rsidP="004E2605">
      <w:pPr>
        <w:pStyle w:val="Tableheading"/>
        <w:spacing w:before="120"/>
      </w:pPr>
      <w:bookmarkStart w:id="561" w:name="_Toc46861134"/>
      <w:bookmarkStart w:id="562" w:name="_Toc117062770"/>
      <w:bookmarkStart w:id="563" w:name="_Toc119651455"/>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52</w:t>
      </w:r>
      <w:r w:rsidRPr="00985828">
        <w:rPr>
          <w:bCs/>
          <w:sz w:val="18"/>
          <w:szCs w:val="18"/>
        </w:rPr>
        <w:fldChar w:fldCharType="end"/>
      </w:r>
      <w:r>
        <w:t xml:space="preserve">.1-52.4: </w:t>
      </w:r>
      <w:r w:rsidRPr="000D7ED3">
        <w:t xml:space="preserve">Proportion of </w:t>
      </w:r>
      <w:r>
        <w:t>adults aged 18+ years</w:t>
      </w:r>
      <w:r w:rsidRPr="000D7ED3">
        <w:t xml:space="preserve"> ever experiencing verbal</w:t>
      </w:r>
      <w:r>
        <w:t xml:space="preserve">, physical </w:t>
      </w:r>
      <w:r w:rsidRPr="000D7ED3">
        <w:t>and sexual violence from</w:t>
      </w:r>
      <w:r>
        <w:t xml:space="preserve"> a </w:t>
      </w:r>
      <w:r w:rsidRPr="000D7ED3">
        <w:t xml:space="preserve">family member, </w:t>
      </w:r>
      <w:bookmarkEnd w:id="561"/>
      <w:r>
        <w:t xml:space="preserve">grouped </w:t>
      </w:r>
      <w:r w:rsidRPr="000D7ED3">
        <w:t xml:space="preserve">by </w:t>
      </w:r>
      <w:r>
        <w:t>D</w:t>
      </w:r>
      <w:r w:rsidRPr="000D7ED3">
        <w:t>isability</w:t>
      </w:r>
      <w:r>
        <w:t xml:space="preserve"> Flag category (n = 5918)</w:t>
      </w:r>
      <w:bookmarkEnd w:id="562"/>
      <w:bookmarkEnd w:id="563"/>
    </w:p>
    <w:p w14:paraId="412F0D50" w14:textId="77777777" w:rsidR="009D0006" w:rsidRPr="000D7ED3" w:rsidRDefault="009D0006" w:rsidP="00526E70">
      <w:pPr>
        <w:pStyle w:val="Tableheading"/>
      </w:pPr>
      <w:r>
        <w:t>Table 52.1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F67D1A7" w14:textId="77777777" w:rsidTr="00AE56EF">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51E838A" w14:textId="77777777" w:rsidR="009D0006" w:rsidRPr="003F4D73" w:rsidRDefault="009D0006" w:rsidP="00AE56EF">
            <w:pPr>
              <w:pStyle w:val="Tableheader"/>
            </w:pPr>
            <w:r>
              <w:t>Family</w:t>
            </w:r>
            <w:r w:rsidRPr="000D7ED3">
              <w:t xml:space="preserve"> violence</w:t>
            </w:r>
          </w:p>
        </w:tc>
        <w:tc>
          <w:tcPr>
            <w:tcW w:w="1559" w:type="dxa"/>
            <w:noWrap/>
            <w:hideMark/>
          </w:tcPr>
          <w:p w14:paraId="3EA917EE" w14:textId="77777777" w:rsidR="009D0006" w:rsidRPr="003F4D73" w:rsidRDefault="009D0006" w:rsidP="00AE56EF">
            <w:pPr>
              <w:pStyle w:val="Tableheader"/>
            </w:pPr>
            <w:r>
              <w:t>n</w:t>
            </w:r>
          </w:p>
        </w:tc>
        <w:tc>
          <w:tcPr>
            <w:tcW w:w="1559" w:type="dxa"/>
            <w:noWrap/>
            <w:hideMark/>
          </w:tcPr>
          <w:p w14:paraId="7807D448" w14:textId="77777777" w:rsidR="009D0006" w:rsidRPr="003F4D73" w:rsidRDefault="009D0006" w:rsidP="00AE56EF">
            <w:pPr>
              <w:pStyle w:val="Tableheader"/>
            </w:pPr>
            <w:r w:rsidRPr="003F4D73">
              <w:t>%</w:t>
            </w:r>
          </w:p>
        </w:tc>
      </w:tr>
      <w:tr w:rsidR="009D0006" w:rsidRPr="003F4D73" w14:paraId="088C2040"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CE2EB7B" w14:textId="77777777" w:rsidR="009D0006" w:rsidRPr="003F4D73" w:rsidRDefault="009D0006" w:rsidP="00AE56EF">
            <w:pPr>
              <w:pStyle w:val="Tabletext"/>
              <w:rPr>
                <w:color w:val="0D0D0D"/>
              </w:rPr>
            </w:pPr>
            <w:r>
              <w:t>Verbal</w:t>
            </w:r>
          </w:p>
        </w:tc>
        <w:tc>
          <w:tcPr>
            <w:tcW w:w="1559" w:type="dxa"/>
            <w:noWrap/>
          </w:tcPr>
          <w:p w14:paraId="1870922C" w14:textId="77777777" w:rsidR="009D0006" w:rsidRPr="003F4D73" w:rsidRDefault="009D0006" w:rsidP="00AE56EF">
            <w:pPr>
              <w:pStyle w:val="Tabletext"/>
              <w:rPr>
                <w:color w:val="0D0D0D"/>
              </w:rPr>
            </w:pPr>
            <w:r>
              <w:t>178</w:t>
            </w:r>
          </w:p>
        </w:tc>
        <w:tc>
          <w:tcPr>
            <w:tcW w:w="1559" w:type="dxa"/>
            <w:noWrap/>
          </w:tcPr>
          <w:p w14:paraId="31A45636" w14:textId="77777777" w:rsidR="009D0006" w:rsidRPr="003F4D73" w:rsidRDefault="009D0006" w:rsidP="00AE56EF">
            <w:pPr>
              <w:pStyle w:val="Tabletext"/>
              <w:rPr>
                <w:color w:val="0D0D0D"/>
              </w:rPr>
            </w:pPr>
            <w:r>
              <w:t>45.4</w:t>
            </w:r>
          </w:p>
        </w:tc>
      </w:tr>
      <w:tr w:rsidR="009D0006" w:rsidRPr="003F4D73" w14:paraId="61746F50" w14:textId="77777777" w:rsidTr="00AE56E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2BDE76F" w14:textId="77777777" w:rsidR="009D0006" w:rsidRPr="003F4D73" w:rsidRDefault="009D0006" w:rsidP="00AE56EF">
            <w:pPr>
              <w:pStyle w:val="Tabletext"/>
              <w:rPr>
                <w:color w:val="0D0D0D"/>
              </w:rPr>
            </w:pPr>
            <w:r>
              <w:t>Physical</w:t>
            </w:r>
          </w:p>
        </w:tc>
        <w:tc>
          <w:tcPr>
            <w:tcW w:w="1559" w:type="dxa"/>
            <w:noWrap/>
          </w:tcPr>
          <w:p w14:paraId="4A6438EF" w14:textId="77777777" w:rsidR="009D0006" w:rsidRPr="003F4D73" w:rsidRDefault="009D0006" w:rsidP="00AE56EF">
            <w:pPr>
              <w:pStyle w:val="Tabletext"/>
              <w:rPr>
                <w:color w:val="0D0D0D"/>
              </w:rPr>
            </w:pPr>
            <w:r>
              <w:t>113</w:t>
            </w:r>
          </w:p>
        </w:tc>
        <w:tc>
          <w:tcPr>
            <w:tcW w:w="1559" w:type="dxa"/>
            <w:noWrap/>
          </w:tcPr>
          <w:p w14:paraId="01E8F7BB" w14:textId="77777777" w:rsidR="009D0006" w:rsidRPr="003F4D73" w:rsidRDefault="009D0006" w:rsidP="00AE56EF">
            <w:pPr>
              <w:pStyle w:val="Tabletext"/>
              <w:rPr>
                <w:color w:val="0D0D0D"/>
              </w:rPr>
            </w:pPr>
            <w:r>
              <w:t>28.8</w:t>
            </w:r>
          </w:p>
        </w:tc>
      </w:tr>
      <w:tr w:rsidR="009D0006" w:rsidRPr="003F4D73" w14:paraId="20955ED7" w14:textId="77777777" w:rsidTr="00AE56E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ADF3A9D" w14:textId="77777777" w:rsidR="009D0006" w:rsidRPr="003F4D73" w:rsidRDefault="009D0006" w:rsidP="00AE56EF">
            <w:pPr>
              <w:pStyle w:val="Tabletext"/>
              <w:rPr>
                <w:color w:val="0D0D0D"/>
              </w:rPr>
            </w:pPr>
            <w:r>
              <w:t>Sexual</w:t>
            </w:r>
          </w:p>
        </w:tc>
        <w:tc>
          <w:tcPr>
            <w:tcW w:w="1559" w:type="dxa"/>
            <w:noWrap/>
          </w:tcPr>
          <w:p w14:paraId="70D86EC0" w14:textId="77777777" w:rsidR="009D0006" w:rsidRPr="003F4D73" w:rsidRDefault="009D0006" w:rsidP="00AE56EF">
            <w:pPr>
              <w:pStyle w:val="Tabletext"/>
              <w:rPr>
                <w:color w:val="0D0D0D"/>
              </w:rPr>
            </w:pPr>
            <w:r>
              <w:t>49</w:t>
            </w:r>
          </w:p>
        </w:tc>
        <w:tc>
          <w:tcPr>
            <w:tcW w:w="1559" w:type="dxa"/>
            <w:noWrap/>
          </w:tcPr>
          <w:p w14:paraId="3A1DB429" w14:textId="77777777" w:rsidR="009D0006" w:rsidRPr="003F4D73" w:rsidRDefault="009D0006" w:rsidP="00AE56EF">
            <w:pPr>
              <w:pStyle w:val="Tabletext"/>
              <w:rPr>
                <w:color w:val="0D0D0D"/>
              </w:rPr>
            </w:pPr>
            <w:r>
              <w:t>12.5</w:t>
            </w:r>
          </w:p>
        </w:tc>
      </w:tr>
    </w:tbl>
    <w:p w14:paraId="1D641EB2" w14:textId="77777777" w:rsidR="009D0006" w:rsidRDefault="009D0006" w:rsidP="00526E70">
      <w:pPr>
        <w:pStyle w:val="Tableheading"/>
      </w:pPr>
      <w:r>
        <w:t>Table 52.2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F2CD5EA" w14:textId="77777777" w:rsidTr="00890FF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4FA5C2C" w14:textId="77777777" w:rsidR="009D0006" w:rsidRPr="003F4D73" w:rsidRDefault="009D0006" w:rsidP="00890FF8">
            <w:pPr>
              <w:pStyle w:val="Tableheader"/>
            </w:pPr>
            <w:r>
              <w:t>Family</w:t>
            </w:r>
            <w:r w:rsidRPr="000D7ED3">
              <w:t xml:space="preserve"> violence</w:t>
            </w:r>
          </w:p>
        </w:tc>
        <w:tc>
          <w:tcPr>
            <w:tcW w:w="1559" w:type="dxa"/>
            <w:hideMark/>
          </w:tcPr>
          <w:p w14:paraId="33AEBEBB" w14:textId="77777777" w:rsidR="009D0006" w:rsidRPr="003F4D73" w:rsidRDefault="009D0006" w:rsidP="00890FF8">
            <w:pPr>
              <w:pStyle w:val="Tableheader"/>
            </w:pPr>
            <w:r>
              <w:t>n</w:t>
            </w:r>
          </w:p>
        </w:tc>
        <w:tc>
          <w:tcPr>
            <w:tcW w:w="1559" w:type="dxa"/>
            <w:hideMark/>
          </w:tcPr>
          <w:p w14:paraId="51D7CEFE" w14:textId="77777777" w:rsidR="009D0006" w:rsidRPr="003F4D73" w:rsidRDefault="009D0006" w:rsidP="00890FF8">
            <w:pPr>
              <w:pStyle w:val="Tableheader"/>
            </w:pPr>
            <w:r w:rsidRPr="003F4D73">
              <w:t>%</w:t>
            </w:r>
          </w:p>
        </w:tc>
      </w:tr>
      <w:tr w:rsidR="009D0006" w:rsidRPr="003F4D73" w14:paraId="281DA1C1"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6176492" w14:textId="77777777" w:rsidR="009D0006" w:rsidRPr="003F4D73" w:rsidRDefault="009D0006" w:rsidP="00890FF8">
            <w:pPr>
              <w:pStyle w:val="Tabletext"/>
              <w:rPr>
                <w:color w:val="0D0D0D"/>
              </w:rPr>
            </w:pPr>
            <w:r>
              <w:t>Verbal</w:t>
            </w:r>
          </w:p>
        </w:tc>
        <w:tc>
          <w:tcPr>
            <w:tcW w:w="1559" w:type="dxa"/>
          </w:tcPr>
          <w:p w14:paraId="5A7A2AD3" w14:textId="77777777" w:rsidR="009D0006" w:rsidRPr="003F4D73" w:rsidRDefault="009D0006" w:rsidP="00890FF8">
            <w:pPr>
              <w:pStyle w:val="Tabletext"/>
              <w:rPr>
                <w:color w:val="0D0D0D"/>
              </w:rPr>
            </w:pPr>
            <w:r>
              <w:t>701</w:t>
            </w:r>
          </w:p>
        </w:tc>
        <w:tc>
          <w:tcPr>
            <w:tcW w:w="1559" w:type="dxa"/>
          </w:tcPr>
          <w:p w14:paraId="1BC9CF2D" w14:textId="77777777" w:rsidR="009D0006" w:rsidRPr="003F4D73" w:rsidRDefault="009D0006" w:rsidP="00890FF8">
            <w:pPr>
              <w:pStyle w:val="Tabletext"/>
              <w:rPr>
                <w:color w:val="0D0D0D"/>
              </w:rPr>
            </w:pPr>
            <w:r>
              <w:t>54.1</w:t>
            </w:r>
          </w:p>
        </w:tc>
      </w:tr>
      <w:tr w:rsidR="009D0006" w:rsidRPr="003F4D73" w14:paraId="09F645D6"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3D329A1" w14:textId="77777777" w:rsidR="009D0006" w:rsidRPr="003F4D73" w:rsidRDefault="009D0006" w:rsidP="00890FF8">
            <w:pPr>
              <w:pStyle w:val="Tabletext"/>
              <w:rPr>
                <w:color w:val="0D0D0D"/>
              </w:rPr>
            </w:pPr>
            <w:r>
              <w:t>Physical</w:t>
            </w:r>
          </w:p>
        </w:tc>
        <w:tc>
          <w:tcPr>
            <w:tcW w:w="1559" w:type="dxa"/>
          </w:tcPr>
          <w:p w14:paraId="26F0C807" w14:textId="77777777" w:rsidR="009D0006" w:rsidRPr="003F4D73" w:rsidRDefault="009D0006" w:rsidP="00890FF8">
            <w:pPr>
              <w:pStyle w:val="Tabletext"/>
              <w:rPr>
                <w:color w:val="0D0D0D"/>
              </w:rPr>
            </w:pPr>
            <w:r>
              <w:t>420</w:t>
            </w:r>
          </w:p>
        </w:tc>
        <w:tc>
          <w:tcPr>
            <w:tcW w:w="1559" w:type="dxa"/>
          </w:tcPr>
          <w:p w14:paraId="7E367368" w14:textId="77777777" w:rsidR="009D0006" w:rsidRPr="003F4D73" w:rsidRDefault="009D0006" w:rsidP="00890FF8">
            <w:pPr>
              <w:pStyle w:val="Tabletext"/>
              <w:rPr>
                <w:color w:val="0D0D0D"/>
              </w:rPr>
            </w:pPr>
            <w:r>
              <w:t>32.4</w:t>
            </w:r>
          </w:p>
        </w:tc>
      </w:tr>
      <w:tr w:rsidR="009D0006" w:rsidRPr="003F4D73" w14:paraId="25D447D2"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7E1C955" w14:textId="77777777" w:rsidR="009D0006" w:rsidRPr="003F4D73" w:rsidRDefault="009D0006" w:rsidP="00890FF8">
            <w:pPr>
              <w:pStyle w:val="Tabletext"/>
              <w:rPr>
                <w:color w:val="0D0D0D"/>
              </w:rPr>
            </w:pPr>
            <w:r>
              <w:t>Sexual</w:t>
            </w:r>
          </w:p>
        </w:tc>
        <w:tc>
          <w:tcPr>
            <w:tcW w:w="1559" w:type="dxa"/>
          </w:tcPr>
          <w:p w14:paraId="3BF58A43" w14:textId="77777777" w:rsidR="009D0006" w:rsidRPr="003F4D73" w:rsidRDefault="009D0006" w:rsidP="00890FF8">
            <w:pPr>
              <w:pStyle w:val="Tabletext"/>
              <w:rPr>
                <w:color w:val="0D0D0D"/>
              </w:rPr>
            </w:pPr>
            <w:r>
              <w:t>180</w:t>
            </w:r>
          </w:p>
        </w:tc>
        <w:tc>
          <w:tcPr>
            <w:tcW w:w="1559" w:type="dxa"/>
          </w:tcPr>
          <w:p w14:paraId="55C5F1A6" w14:textId="77777777" w:rsidR="009D0006" w:rsidRPr="003F4D73" w:rsidRDefault="009D0006" w:rsidP="00890FF8">
            <w:pPr>
              <w:pStyle w:val="Tabletext"/>
              <w:rPr>
                <w:color w:val="0D0D0D"/>
              </w:rPr>
            </w:pPr>
            <w:r>
              <w:t>13.9</w:t>
            </w:r>
          </w:p>
        </w:tc>
      </w:tr>
    </w:tbl>
    <w:p w14:paraId="5BD406F3" w14:textId="77777777" w:rsidR="009D0006" w:rsidRDefault="009D0006" w:rsidP="00526E70">
      <w:pPr>
        <w:pStyle w:val="Tableheading"/>
      </w:pPr>
      <w:r>
        <w:t xml:space="preserve">Table 52.3 </w:t>
      </w:r>
      <w:r>
        <w:lastRenderedPageBreak/>
        <w:t>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2E2384A" w14:textId="77777777" w:rsidTr="00890FF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01B72F0" w14:textId="77777777" w:rsidR="009D0006" w:rsidRPr="003F4D73" w:rsidRDefault="009D0006" w:rsidP="00890FF8">
            <w:pPr>
              <w:pStyle w:val="Tableheader"/>
            </w:pPr>
            <w:r>
              <w:t>Family</w:t>
            </w:r>
            <w:r w:rsidRPr="000D7ED3">
              <w:t xml:space="preserve"> violence</w:t>
            </w:r>
          </w:p>
        </w:tc>
        <w:tc>
          <w:tcPr>
            <w:tcW w:w="1559" w:type="dxa"/>
            <w:noWrap/>
            <w:hideMark/>
          </w:tcPr>
          <w:p w14:paraId="68155925" w14:textId="77777777" w:rsidR="009D0006" w:rsidRPr="003F4D73" w:rsidRDefault="009D0006" w:rsidP="00890FF8">
            <w:pPr>
              <w:pStyle w:val="Tableheader"/>
            </w:pPr>
            <w:r>
              <w:t>n</w:t>
            </w:r>
          </w:p>
        </w:tc>
        <w:tc>
          <w:tcPr>
            <w:tcW w:w="1559" w:type="dxa"/>
            <w:noWrap/>
            <w:hideMark/>
          </w:tcPr>
          <w:p w14:paraId="1609D94E" w14:textId="77777777" w:rsidR="009D0006" w:rsidRPr="003F4D73" w:rsidRDefault="009D0006" w:rsidP="00890FF8">
            <w:pPr>
              <w:pStyle w:val="Tableheader"/>
            </w:pPr>
            <w:r w:rsidRPr="003F4D73">
              <w:t>%</w:t>
            </w:r>
          </w:p>
        </w:tc>
      </w:tr>
      <w:tr w:rsidR="009D0006" w:rsidRPr="003F4D73" w14:paraId="637A7CED"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B963625" w14:textId="77777777" w:rsidR="009D0006" w:rsidRPr="003F4D73" w:rsidRDefault="009D0006" w:rsidP="00890FF8">
            <w:pPr>
              <w:pStyle w:val="Tabletext"/>
              <w:rPr>
                <w:color w:val="0D0D0D"/>
              </w:rPr>
            </w:pPr>
            <w:r>
              <w:t>Verbal</w:t>
            </w:r>
          </w:p>
        </w:tc>
        <w:tc>
          <w:tcPr>
            <w:tcW w:w="1559" w:type="dxa"/>
            <w:noWrap/>
          </w:tcPr>
          <w:p w14:paraId="1CA7D2F4" w14:textId="77777777" w:rsidR="009D0006" w:rsidRPr="003F4D73" w:rsidRDefault="009D0006" w:rsidP="00890FF8">
            <w:pPr>
              <w:pStyle w:val="Tabletext"/>
              <w:rPr>
                <w:color w:val="0D0D0D"/>
              </w:rPr>
            </w:pPr>
            <w:r>
              <w:t>469</w:t>
            </w:r>
          </w:p>
        </w:tc>
        <w:tc>
          <w:tcPr>
            <w:tcW w:w="1559" w:type="dxa"/>
            <w:noWrap/>
          </w:tcPr>
          <w:p w14:paraId="6D54A63E" w14:textId="77777777" w:rsidR="009D0006" w:rsidRPr="003F4D73" w:rsidRDefault="009D0006" w:rsidP="00890FF8">
            <w:pPr>
              <w:pStyle w:val="Tabletext"/>
              <w:rPr>
                <w:color w:val="0D0D0D"/>
              </w:rPr>
            </w:pPr>
            <w:r>
              <w:t>60.9</w:t>
            </w:r>
          </w:p>
        </w:tc>
      </w:tr>
      <w:tr w:rsidR="009D0006" w:rsidRPr="003F4D73" w14:paraId="740B7664"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D177938" w14:textId="77777777" w:rsidR="009D0006" w:rsidRPr="003F4D73" w:rsidRDefault="009D0006" w:rsidP="00890FF8">
            <w:pPr>
              <w:pStyle w:val="Tabletext"/>
              <w:rPr>
                <w:color w:val="0D0D0D"/>
              </w:rPr>
            </w:pPr>
            <w:r>
              <w:t>Physical</w:t>
            </w:r>
          </w:p>
        </w:tc>
        <w:tc>
          <w:tcPr>
            <w:tcW w:w="1559" w:type="dxa"/>
            <w:noWrap/>
          </w:tcPr>
          <w:p w14:paraId="3892537A" w14:textId="77777777" w:rsidR="009D0006" w:rsidRPr="003F4D73" w:rsidRDefault="009D0006" w:rsidP="00890FF8">
            <w:pPr>
              <w:pStyle w:val="Tabletext"/>
              <w:rPr>
                <w:color w:val="0D0D0D"/>
              </w:rPr>
            </w:pPr>
            <w:r>
              <w:t>327</w:t>
            </w:r>
          </w:p>
        </w:tc>
        <w:tc>
          <w:tcPr>
            <w:tcW w:w="1559" w:type="dxa"/>
            <w:noWrap/>
          </w:tcPr>
          <w:p w14:paraId="60994C28" w14:textId="77777777" w:rsidR="009D0006" w:rsidRPr="003F4D73" w:rsidRDefault="009D0006" w:rsidP="00890FF8">
            <w:pPr>
              <w:pStyle w:val="Tabletext"/>
              <w:rPr>
                <w:color w:val="0D0D0D"/>
              </w:rPr>
            </w:pPr>
            <w:r>
              <w:t>42.5</w:t>
            </w:r>
          </w:p>
        </w:tc>
      </w:tr>
      <w:tr w:rsidR="009D0006" w:rsidRPr="003F4D73" w14:paraId="3E2089FB"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6C9CEB0" w14:textId="77777777" w:rsidR="009D0006" w:rsidRPr="003F4D73" w:rsidRDefault="009D0006" w:rsidP="00890FF8">
            <w:pPr>
              <w:pStyle w:val="Tabletext"/>
              <w:rPr>
                <w:color w:val="0D0D0D"/>
              </w:rPr>
            </w:pPr>
            <w:r>
              <w:t>Sexual</w:t>
            </w:r>
          </w:p>
        </w:tc>
        <w:tc>
          <w:tcPr>
            <w:tcW w:w="1559" w:type="dxa"/>
            <w:noWrap/>
          </w:tcPr>
          <w:p w14:paraId="370B3996" w14:textId="77777777" w:rsidR="009D0006" w:rsidRPr="003F4D73" w:rsidRDefault="009D0006" w:rsidP="00890FF8">
            <w:pPr>
              <w:pStyle w:val="Tabletext"/>
              <w:rPr>
                <w:color w:val="0D0D0D"/>
              </w:rPr>
            </w:pPr>
            <w:r>
              <w:t>135</w:t>
            </w:r>
          </w:p>
        </w:tc>
        <w:tc>
          <w:tcPr>
            <w:tcW w:w="1559" w:type="dxa"/>
            <w:noWrap/>
          </w:tcPr>
          <w:p w14:paraId="44AD0EE0" w14:textId="77777777" w:rsidR="009D0006" w:rsidRPr="003F4D73" w:rsidRDefault="009D0006" w:rsidP="00890FF8">
            <w:pPr>
              <w:pStyle w:val="Tabletext"/>
              <w:rPr>
                <w:color w:val="0D0D0D"/>
              </w:rPr>
            </w:pPr>
            <w:r>
              <w:t>17.5</w:t>
            </w:r>
          </w:p>
        </w:tc>
      </w:tr>
    </w:tbl>
    <w:p w14:paraId="015A3D86" w14:textId="77777777" w:rsidR="009D0006" w:rsidRDefault="009D0006" w:rsidP="00526E70">
      <w:pPr>
        <w:pStyle w:val="Tableheading"/>
      </w:pPr>
      <w:r>
        <w:t>Table 52.4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33418EF" w14:textId="77777777" w:rsidTr="00890FF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DF70143" w14:textId="77777777" w:rsidR="009D0006" w:rsidRPr="003F4D73" w:rsidRDefault="009D0006" w:rsidP="00890FF8">
            <w:pPr>
              <w:pStyle w:val="Tableheader"/>
            </w:pPr>
            <w:r>
              <w:t>Family</w:t>
            </w:r>
            <w:r w:rsidRPr="000D7ED3">
              <w:t xml:space="preserve"> violence</w:t>
            </w:r>
          </w:p>
        </w:tc>
        <w:tc>
          <w:tcPr>
            <w:tcW w:w="1559" w:type="dxa"/>
            <w:hideMark/>
          </w:tcPr>
          <w:p w14:paraId="07F86167" w14:textId="77777777" w:rsidR="009D0006" w:rsidRPr="003F4D73" w:rsidRDefault="009D0006" w:rsidP="00890FF8">
            <w:pPr>
              <w:pStyle w:val="Tableheader"/>
            </w:pPr>
            <w:r>
              <w:t>n</w:t>
            </w:r>
          </w:p>
        </w:tc>
        <w:tc>
          <w:tcPr>
            <w:tcW w:w="1559" w:type="dxa"/>
            <w:hideMark/>
          </w:tcPr>
          <w:p w14:paraId="5EBD6763" w14:textId="77777777" w:rsidR="009D0006" w:rsidRPr="003F4D73" w:rsidRDefault="009D0006" w:rsidP="00890FF8">
            <w:pPr>
              <w:pStyle w:val="Tableheader"/>
            </w:pPr>
            <w:r w:rsidRPr="003F4D73">
              <w:t>%</w:t>
            </w:r>
          </w:p>
        </w:tc>
      </w:tr>
      <w:tr w:rsidR="009D0006" w:rsidRPr="003F4D73" w14:paraId="3FB20AA7"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0AD45BE" w14:textId="77777777" w:rsidR="009D0006" w:rsidRPr="003F4D73" w:rsidRDefault="009D0006" w:rsidP="00890FF8">
            <w:pPr>
              <w:pStyle w:val="Tabletext"/>
              <w:rPr>
                <w:color w:val="0D0D0D"/>
              </w:rPr>
            </w:pPr>
            <w:r>
              <w:t>Verbal</w:t>
            </w:r>
          </w:p>
        </w:tc>
        <w:tc>
          <w:tcPr>
            <w:tcW w:w="1559" w:type="dxa"/>
          </w:tcPr>
          <w:p w14:paraId="3259575A" w14:textId="77777777" w:rsidR="009D0006" w:rsidRPr="003F4D73" w:rsidRDefault="009D0006" w:rsidP="00890FF8">
            <w:pPr>
              <w:pStyle w:val="Tabletext"/>
              <w:rPr>
                <w:color w:val="0D0D0D"/>
              </w:rPr>
            </w:pPr>
            <w:r>
              <w:t>1088</w:t>
            </w:r>
          </w:p>
        </w:tc>
        <w:tc>
          <w:tcPr>
            <w:tcW w:w="1559" w:type="dxa"/>
          </w:tcPr>
          <w:p w14:paraId="2878DC8E" w14:textId="77777777" w:rsidR="009D0006" w:rsidRPr="003F4D73" w:rsidRDefault="009D0006" w:rsidP="00890FF8">
            <w:pPr>
              <w:pStyle w:val="Tabletext"/>
              <w:rPr>
                <w:color w:val="0D0D0D"/>
              </w:rPr>
            </w:pPr>
            <w:r>
              <w:t>31.5</w:t>
            </w:r>
          </w:p>
        </w:tc>
      </w:tr>
      <w:tr w:rsidR="009D0006" w:rsidRPr="003F4D73" w14:paraId="6AF8FF09"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C4F850E" w14:textId="77777777" w:rsidR="009D0006" w:rsidRPr="003F4D73" w:rsidRDefault="009D0006" w:rsidP="00890FF8">
            <w:pPr>
              <w:pStyle w:val="Tabletext"/>
              <w:rPr>
                <w:color w:val="0D0D0D"/>
              </w:rPr>
            </w:pPr>
            <w:r>
              <w:t>Physical</w:t>
            </w:r>
          </w:p>
        </w:tc>
        <w:tc>
          <w:tcPr>
            <w:tcW w:w="1559" w:type="dxa"/>
          </w:tcPr>
          <w:p w14:paraId="01B04281" w14:textId="77777777" w:rsidR="009D0006" w:rsidRPr="003F4D73" w:rsidRDefault="009D0006" w:rsidP="00890FF8">
            <w:pPr>
              <w:pStyle w:val="Tabletext"/>
              <w:rPr>
                <w:color w:val="0D0D0D"/>
              </w:rPr>
            </w:pPr>
            <w:r>
              <w:t>568</w:t>
            </w:r>
          </w:p>
        </w:tc>
        <w:tc>
          <w:tcPr>
            <w:tcW w:w="1559" w:type="dxa"/>
          </w:tcPr>
          <w:p w14:paraId="61F40F3A" w14:textId="77777777" w:rsidR="009D0006" w:rsidRPr="003F4D73" w:rsidRDefault="009D0006" w:rsidP="00890FF8">
            <w:pPr>
              <w:pStyle w:val="Tabletext"/>
              <w:rPr>
                <w:color w:val="0D0D0D"/>
              </w:rPr>
            </w:pPr>
            <w:r>
              <w:t>16.4</w:t>
            </w:r>
          </w:p>
        </w:tc>
      </w:tr>
      <w:tr w:rsidR="009D0006" w:rsidRPr="003F4D73" w14:paraId="05580594"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D5CDA61" w14:textId="77777777" w:rsidR="009D0006" w:rsidRPr="003F4D73" w:rsidRDefault="009D0006" w:rsidP="00890FF8">
            <w:pPr>
              <w:pStyle w:val="Tabletext"/>
              <w:rPr>
                <w:color w:val="0D0D0D"/>
              </w:rPr>
            </w:pPr>
            <w:r>
              <w:t>Sexual</w:t>
            </w:r>
          </w:p>
        </w:tc>
        <w:tc>
          <w:tcPr>
            <w:tcW w:w="1559" w:type="dxa"/>
          </w:tcPr>
          <w:p w14:paraId="1E329A79" w14:textId="77777777" w:rsidR="009D0006" w:rsidRPr="003F4D73" w:rsidRDefault="009D0006" w:rsidP="00890FF8">
            <w:pPr>
              <w:pStyle w:val="Tabletext"/>
              <w:rPr>
                <w:color w:val="0D0D0D"/>
              </w:rPr>
            </w:pPr>
            <w:r>
              <w:t>213</w:t>
            </w:r>
          </w:p>
        </w:tc>
        <w:tc>
          <w:tcPr>
            <w:tcW w:w="1559" w:type="dxa"/>
          </w:tcPr>
          <w:p w14:paraId="165CE8B4" w14:textId="77777777" w:rsidR="009D0006" w:rsidRPr="003F4D73" w:rsidRDefault="009D0006" w:rsidP="00890FF8">
            <w:pPr>
              <w:pStyle w:val="Tabletext"/>
              <w:rPr>
                <w:color w:val="0D0D0D"/>
              </w:rPr>
            </w:pPr>
            <w:r>
              <w:t>6.2</w:t>
            </w:r>
          </w:p>
        </w:tc>
      </w:tr>
    </w:tbl>
    <w:p w14:paraId="1CDABD7C" w14:textId="77777777" w:rsidR="009D0006" w:rsidRPr="007926F8" w:rsidRDefault="009D0006" w:rsidP="00526E70">
      <w:pPr>
        <w:spacing w:before="360"/>
      </w:pPr>
      <w:r>
        <w:t>As shown in Table 52.1-52.4, p</w:t>
      </w:r>
      <w:r w:rsidRPr="007926F8">
        <w:t xml:space="preserve">articipants without disability similarly </w:t>
      </w:r>
      <w:r>
        <w:t>had</w:t>
      </w:r>
      <w:r w:rsidRPr="007926F8">
        <w:t xml:space="preserve"> the lowest proportion </w:t>
      </w:r>
      <w:r>
        <w:t xml:space="preserve">who reported ever experiencing </w:t>
      </w:r>
      <w:r w:rsidRPr="007926F8">
        <w:t>verbal abuse (16.4%; n = 1088), physical abuse (31.5%; n = 568) and sexual abuse (6.2%; n = 213) from</w:t>
      </w:r>
      <w:r>
        <w:t xml:space="preserve"> a </w:t>
      </w:r>
      <w:r w:rsidRPr="007926F8">
        <w:t xml:space="preserve">family member. </w:t>
      </w:r>
      <w:r>
        <w:t>Almost two-thirds of participants who were categorised with severe disability had experienced verbal abuse from a family member (60.9%; n = 469), followed by participants categorised with moderate disability (54.1%; n = 701) and those categorised with mild disability (45.4%; n = 178). More than two-fifths of participants categorised with severe disability had experienced physical abuse from a family member (42.5%; n = 327), followed by participants categorised with moderate disability (32.4%; n = 420) and those categorised with mild disability (28.8%; n = 113). More than 1 in 10 participants categorised with severe disability had experienced sexual abuse from a family member (17.5%; n = 135), followed by participants categorised with moderate disability (13.9%; n = 180) and those categorised with mild disability (12.5%; n = 49).</w:t>
      </w:r>
    </w:p>
    <w:p w14:paraId="0EA3F2CD" w14:textId="531D8CD9" w:rsidR="009D0006" w:rsidRPr="000D7ED3" w:rsidRDefault="009D0006" w:rsidP="00153892">
      <w:pPr>
        <w:pStyle w:val="Heading2Numbered"/>
      </w:pPr>
      <w:bookmarkStart w:id="564" w:name="_Toc37346074"/>
      <w:bookmarkStart w:id="565" w:name="_Toc42029373"/>
      <w:bookmarkStart w:id="566" w:name="_Toc42030113"/>
      <w:bookmarkStart w:id="567" w:name="_Toc43903920"/>
      <w:bookmarkStart w:id="568" w:name="_Toc115968576"/>
      <w:bookmarkStart w:id="569" w:name="_Toc119662437"/>
      <w:r w:rsidRPr="000D7ED3">
        <w:t>Perpetrators of intimate partner violence</w:t>
      </w:r>
      <w:bookmarkEnd w:id="564"/>
      <w:bookmarkEnd w:id="565"/>
      <w:bookmarkEnd w:id="566"/>
      <w:bookmarkEnd w:id="567"/>
      <w:r w:rsidRPr="000D7ED3">
        <w:t xml:space="preserve"> - adults aged 18+ years</w:t>
      </w:r>
      <w:bookmarkEnd w:id="568"/>
      <w:bookmarkEnd w:id="569"/>
    </w:p>
    <w:p w14:paraId="42A65127" w14:textId="77777777" w:rsidR="009D0006" w:rsidRDefault="009D0006" w:rsidP="009D0006">
      <w:r w:rsidRPr="000D7ED3">
        <w:t xml:space="preserve">Participants who reported having ever experienced violence from an intimate partner were asked ‘in the most recent relationship where you experienced this, how did your partner/s describe their gender?’ </w:t>
      </w:r>
      <w:r>
        <w:t xml:space="preserve">Table 53 displays the results. </w:t>
      </w:r>
    </w:p>
    <w:p w14:paraId="0184253B" w14:textId="77777777" w:rsidR="009D0006" w:rsidRPr="00F23596" w:rsidRDefault="009D0006" w:rsidP="00526E70">
      <w:pPr>
        <w:pStyle w:val="Tableheading"/>
      </w:pPr>
      <w:bookmarkStart w:id="570" w:name="_Toc117062771"/>
      <w:bookmarkStart w:id="571" w:name="_Toc119651456"/>
      <w:r w:rsidRPr="00F23596">
        <w:t xml:space="preserve">Table </w:t>
      </w:r>
      <w:r>
        <w:rPr>
          <w:noProof/>
        </w:rPr>
        <w:fldChar w:fldCharType="begin"/>
      </w:r>
      <w:r>
        <w:rPr>
          <w:noProof/>
        </w:rPr>
        <w:instrText xml:space="preserve"> SEQ</w:instrText>
      </w:r>
      <w:r>
        <w:rPr>
          <w:noProof/>
        </w:rPr>
        <w:lastRenderedPageBreak/>
        <w:instrText xml:space="preserve"> Table \* ARABIC </w:instrText>
      </w:r>
      <w:r>
        <w:rPr>
          <w:noProof/>
        </w:rPr>
        <w:fldChar w:fldCharType="separate"/>
      </w:r>
      <w:r>
        <w:rPr>
          <w:noProof/>
        </w:rPr>
        <w:t>53</w:t>
      </w:r>
      <w:r>
        <w:rPr>
          <w:noProof/>
        </w:rPr>
        <w:fldChar w:fldCharType="end"/>
      </w:r>
      <w:r w:rsidRPr="00F23596">
        <w:t>: Gender of the intimate partner who perpetrated the violence among adults with disability aged 18+ years (n = 1696)</w:t>
      </w:r>
      <w:bookmarkEnd w:id="570"/>
      <w:bookmarkEnd w:id="571"/>
    </w:p>
    <w:tbl>
      <w:tblPr>
        <w:tblStyle w:val="RCTable"/>
        <w:tblW w:w="9864" w:type="dxa"/>
        <w:tblInd w:w="-23" w:type="dxa"/>
        <w:tblLook w:val="04A0" w:firstRow="1" w:lastRow="0" w:firstColumn="1" w:lastColumn="0" w:noHBand="0" w:noVBand="1"/>
      </w:tblPr>
      <w:tblGrid>
        <w:gridCol w:w="6746"/>
        <w:gridCol w:w="1559"/>
        <w:gridCol w:w="1559"/>
      </w:tblGrid>
      <w:tr w:rsidR="009D0006" w:rsidRPr="00CC74AD" w14:paraId="3EC90D2C" w14:textId="77777777" w:rsidTr="00CF60BF">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4594F6AA" w14:textId="77777777" w:rsidR="009D0006" w:rsidRPr="00CC74AD" w:rsidRDefault="009D0006" w:rsidP="00890FF8">
            <w:pPr>
              <w:pStyle w:val="Tableheader"/>
              <w:rPr>
                <w:bCs/>
              </w:rPr>
            </w:pPr>
            <w:r w:rsidRPr="00CC74AD">
              <w:rPr>
                <w:bCs/>
              </w:rPr>
              <w:t>Intimate partner violence perpetrator</w:t>
            </w:r>
          </w:p>
        </w:tc>
        <w:tc>
          <w:tcPr>
            <w:tcW w:w="1559" w:type="dxa"/>
            <w:noWrap/>
            <w:hideMark/>
          </w:tcPr>
          <w:p w14:paraId="7EC7B45E" w14:textId="77777777" w:rsidR="009D0006" w:rsidRPr="00CC74AD" w:rsidRDefault="009D0006" w:rsidP="00890FF8">
            <w:pPr>
              <w:pStyle w:val="Tableheader"/>
              <w:rPr>
                <w:bCs/>
              </w:rPr>
            </w:pPr>
            <w:r w:rsidRPr="00CC74AD">
              <w:rPr>
                <w:bCs/>
              </w:rPr>
              <w:t>n</w:t>
            </w:r>
          </w:p>
        </w:tc>
        <w:tc>
          <w:tcPr>
            <w:tcW w:w="1559" w:type="dxa"/>
            <w:noWrap/>
            <w:hideMark/>
          </w:tcPr>
          <w:p w14:paraId="4E5F72EF" w14:textId="77777777" w:rsidR="009D0006" w:rsidRPr="00CC74AD" w:rsidRDefault="009D0006" w:rsidP="00890FF8">
            <w:pPr>
              <w:pStyle w:val="Tableheader"/>
              <w:rPr>
                <w:bCs/>
              </w:rPr>
            </w:pPr>
            <w:r w:rsidRPr="00CC74AD">
              <w:rPr>
                <w:bCs/>
              </w:rPr>
              <w:t>%</w:t>
            </w:r>
          </w:p>
        </w:tc>
      </w:tr>
      <w:tr w:rsidR="009D0006" w:rsidRPr="00CC74AD" w14:paraId="0D3A7297"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20B1C5D" w14:textId="77777777" w:rsidR="009D0006" w:rsidRPr="00CC74AD" w:rsidRDefault="009D0006" w:rsidP="00890FF8">
            <w:pPr>
              <w:pStyle w:val="Tabletext"/>
            </w:pPr>
            <w:r w:rsidRPr="00CC74AD">
              <w:t>Cisgender man</w:t>
            </w:r>
          </w:p>
        </w:tc>
        <w:tc>
          <w:tcPr>
            <w:tcW w:w="1559" w:type="dxa"/>
            <w:noWrap/>
          </w:tcPr>
          <w:p w14:paraId="3F4BEB49" w14:textId="77777777" w:rsidR="009D0006" w:rsidRPr="00CC74AD" w:rsidRDefault="009D0006" w:rsidP="00890FF8">
            <w:pPr>
              <w:pStyle w:val="Tabletext"/>
            </w:pPr>
            <w:r w:rsidRPr="00CC74AD">
              <w:t>2121</w:t>
            </w:r>
          </w:p>
        </w:tc>
        <w:tc>
          <w:tcPr>
            <w:tcW w:w="1559" w:type="dxa"/>
            <w:noWrap/>
          </w:tcPr>
          <w:p w14:paraId="5E8E1EA4" w14:textId="77777777" w:rsidR="009D0006" w:rsidRPr="00CC74AD" w:rsidRDefault="009D0006" w:rsidP="00890FF8">
            <w:pPr>
              <w:pStyle w:val="Tabletext"/>
            </w:pPr>
            <w:r w:rsidRPr="00CC74AD">
              <w:t>57.0</w:t>
            </w:r>
          </w:p>
        </w:tc>
      </w:tr>
      <w:tr w:rsidR="009D0006" w:rsidRPr="00CC74AD" w14:paraId="54C06F8E"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164ACBBF" w14:textId="77777777" w:rsidR="009D0006" w:rsidRPr="00CC74AD" w:rsidRDefault="009D0006" w:rsidP="00890FF8">
            <w:pPr>
              <w:pStyle w:val="Tabletext"/>
            </w:pPr>
            <w:r w:rsidRPr="00CC74AD">
              <w:t>Cisgender woman</w:t>
            </w:r>
          </w:p>
        </w:tc>
        <w:tc>
          <w:tcPr>
            <w:tcW w:w="1559" w:type="dxa"/>
            <w:noWrap/>
          </w:tcPr>
          <w:p w14:paraId="4E771D67" w14:textId="77777777" w:rsidR="009D0006" w:rsidRPr="00CC74AD" w:rsidRDefault="009D0006" w:rsidP="00890FF8">
            <w:pPr>
              <w:pStyle w:val="Tabletext"/>
            </w:pPr>
            <w:r w:rsidRPr="00CC74AD">
              <w:t>1322</w:t>
            </w:r>
          </w:p>
        </w:tc>
        <w:tc>
          <w:tcPr>
            <w:tcW w:w="1559" w:type="dxa"/>
            <w:noWrap/>
          </w:tcPr>
          <w:p w14:paraId="4AAFC90A" w14:textId="77777777" w:rsidR="009D0006" w:rsidRPr="00CC74AD" w:rsidRDefault="009D0006" w:rsidP="00890FF8">
            <w:pPr>
              <w:pStyle w:val="Tabletext"/>
            </w:pPr>
            <w:r w:rsidRPr="00CC74AD">
              <w:t>35.5</w:t>
            </w:r>
          </w:p>
        </w:tc>
      </w:tr>
      <w:tr w:rsidR="009D0006" w:rsidRPr="00CC74AD" w14:paraId="0246CE90"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75847C24" w14:textId="77777777" w:rsidR="009D0006" w:rsidRPr="00CC74AD" w:rsidRDefault="009D0006" w:rsidP="00890FF8">
            <w:pPr>
              <w:pStyle w:val="Tabletext"/>
            </w:pPr>
            <w:r w:rsidRPr="00CC74AD">
              <w:t>Non-binary</w:t>
            </w:r>
          </w:p>
        </w:tc>
        <w:tc>
          <w:tcPr>
            <w:tcW w:w="1559" w:type="dxa"/>
            <w:noWrap/>
          </w:tcPr>
          <w:p w14:paraId="769B5DF2" w14:textId="77777777" w:rsidR="009D0006" w:rsidRPr="00CC74AD" w:rsidRDefault="009D0006" w:rsidP="00890FF8">
            <w:pPr>
              <w:pStyle w:val="Tabletext"/>
            </w:pPr>
            <w:r w:rsidRPr="00CC74AD">
              <w:t>131</w:t>
            </w:r>
          </w:p>
        </w:tc>
        <w:tc>
          <w:tcPr>
            <w:tcW w:w="1559" w:type="dxa"/>
            <w:noWrap/>
          </w:tcPr>
          <w:p w14:paraId="41700A45" w14:textId="77777777" w:rsidR="009D0006" w:rsidRPr="00CC74AD" w:rsidRDefault="009D0006" w:rsidP="00890FF8">
            <w:pPr>
              <w:pStyle w:val="Tabletext"/>
            </w:pPr>
            <w:r w:rsidRPr="00CC74AD">
              <w:t>3.5</w:t>
            </w:r>
          </w:p>
        </w:tc>
      </w:tr>
      <w:tr w:rsidR="009D0006" w:rsidRPr="00CC74AD" w14:paraId="0F038301"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16F2774" w14:textId="77777777" w:rsidR="009D0006" w:rsidRPr="00CC74AD" w:rsidRDefault="009D0006" w:rsidP="00890FF8">
            <w:pPr>
              <w:pStyle w:val="Tabletext"/>
            </w:pPr>
            <w:r w:rsidRPr="00CC74AD">
              <w:t>Trans woman</w:t>
            </w:r>
          </w:p>
        </w:tc>
        <w:tc>
          <w:tcPr>
            <w:tcW w:w="1559" w:type="dxa"/>
            <w:noWrap/>
          </w:tcPr>
          <w:p w14:paraId="50496F60" w14:textId="77777777" w:rsidR="009D0006" w:rsidRPr="00CC74AD" w:rsidRDefault="009D0006" w:rsidP="00890FF8">
            <w:pPr>
              <w:pStyle w:val="Tabletext"/>
            </w:pPr>
            <w:r w:rsidRPr="00CC74AD">
              <w:t>78</w:t>
            </w:r>
          </w:p>
        </w:tc>
        <w:tc>
          <w:tcPr>
            <w:tcW w:w="1559" w:type="dxa"/>
            <w:noWrap/>
          </w:tcPr>
          <w:p w14:paraId="2C428560" w14:textId="77777777" w:rsidR="009D0006" w:rsidRPr="00CC74AD" w:rsidRDefault="009D0006" w:rsidP="00890FF8">
            <w:pPr>
              <w:pStyle w:val="Tabletext"/>
            </w:pPr>
            <w:r w:rsidRPr="00CC74AD">
              <w:t>2.1</w:t>
            </w:r>
          </w:p>
        </w:tc>
      </w:tr>
      <w:tr w:rsidR="009D0006" w:rsidRPr="00CC74AD" w14:paraId="56C75468"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4C569A6" w14:textId="77777777" w:rsidR="009D0006" w:rsidRPr="00CC74AD" w:rsidRDefault="009D0006" w:rsidP="00890FF8">
            <w:pPr>
              <w:pStyle w:val="Tabletext"/>
            </w:pPr>
            <w:r w:rsidRPr="00CC74AD">
              <w:t>Trans man</w:t>
            </w:r>
          </w:p>
        </w:tc>
        <w:tc>
          <w:tcPr>
            <w:tcW w:w="1559" w:type="dxa"/>
            <w:noWrap/>
          </w:tcPr>
          <w:p w14:paraId="7472C631" w14:textId="77777777" w:rsidR="009D0006" w:rsidRPr="00CC74AD" w:rsidRDefault="009D0006" w:rsidP="00890FF8">
            <w:pPr>
              <w:pStyle w:val="Tabletext"/>
            </w:pPr>
            <w:r w:rsidRPr="00CC74AD">
              <w:t>76</w:t>
            </w:r>
          </w:p>
        </w:tc>
        <w:tc>
          <w:tcPr>
            <w:tcW w:w="1559" w:type="dxa"/>
            <w:noWrap/>
          </w:tcPr>
          <w:p w14:paraId="722A2B2D" w14:textId="77777777" w:rsidR="009D0006" w:rsidRPr="00CC74AD" w:rsidRDefault="009D0006" w:rsidP="00890FF8">
            <w:pPr>
              <w:pStyle w:val="Tabletext"/>
            </w:pPr>
            <w:r w:rsidRPr="00CC74AD">
              <w:t>2.0</w:t>
            </w:r>
          </w:p>
        </w:tc>
      </w:tr>
      <w:tr w:rsidR="009D0006" w:rsidRPr="00CC74AD" w14:paraId="3A8116FF"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7FE0BBF" w14:textId="77777777" w:rsidR="009D0006" w:rsidRPr="00CC74AD" w:rsidRDefault="009D0006" w:rsidP="00890FF8">
            <w:pPr>
              <w:pStyle w:val="Tabletext"/>
            </w:pPr>
            <w:r w:rsidRPr="00CC74AD">
              <w:t>Someone different</w:t>
            </w:r>
          </w:p>
        </w:tc>
        <w:tc>
          <w:tcPr>
            <w:tcW w:w="1559" w:type="dxa"/>
            <w:noWrap/>
          </w:tcPr>
          <w:p w14:paraId="281582CB" w14:textId="77777777" w:rsidR="009D0006" w:rsidRPr="00CC74AD" w:rsidRDefault="009D0006" w:rsidP="00890FF8">
            <w:pPr>
              <w:pStyle w:val="Tabletext"/>
            </w:pPr>
            <w:r w:rsidRPr="00CC74AD">
              <w:t>68</w:t>
            </w:r>
          </w:p>
        </w:tc>
        <w:tc>
          <w:tcPr>
            <w:tcW w:w="1559" w:type="dxa"/>
            <w:noWrap/>
          </w:tcPr>
          <w:p w14:paraId="5C476881" w14:textId="77777777" w:rsidR="009D0006" w:rsidRPr="00CC74AD" w:rsidRDefault="009D0006" w:rsidP="00890FF8">
            <w:pPr>
              <w:pStyle w:val="Tabletext"/>
            </w:pPr>
            <w:r w:rsidRPr="00CC74AD">
              <w:t>1.8</w:t>
            </w:r>
          </w:p>
        </w:tc>
      </w:tr>
      <w:tr w:rsidR="009D0006" w:rsidRPr="00CC74AD" w14:paraId="002ABBB1"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55C1154" w14:textId="77777777" w:rsidR="009D0006" w:rsidRPr="00CC74AD" w:rsidRDefault="009D0006" w:rsidP="00890FF8">
            <w:pPr>
              <w:pStyle w:val="Tabletext"/>
            </w:pPr>
            <w:r w:rsidRPr="00CC74AD">
              <w:t>Prefer not to say</w:t>
            </w:r>
          </w:p>
        </w:tc>
        <w:tc>
          <w:tcPr>
            <w:tcW w:w="1559" w:type="dxa"/>
            <w:noWrap/>
          </w:tcPr>
          <w:p w14:paraId="38116B14" w14:textId="77777777" w:rsidR="009D0006" w:rsidRPr="00CC74AD" w:rsidRDefault="009D0006" w:rsidP="00890FF8">
            <w:pPr>
              <w:pStyle w:val="Tabletext"/>
            </w:pPr>
            <w:r w:rsidRPr="00CC74AD">
              <w:t>40</w:t>
            </w:r>
          </w:p>
        </w:tc>
        <w:tc>
          <w:tcPr>
            <w:tcW w:w="1559" w:type="dxa"/>
            <w:noWrap/>
          </w:tcPr>
          <w:p w14:paraId="0F45B483" w14:textId="77777777" w:rsidR="009D0006" w:rsidRPr="00CC74AD" w:rsidRDefault="009D0006" w:rsidP="00890FF8">
            <w:pPr>
              <w:pStyle w:val="Tabletext"/>
            </w:pPr>
            <w:r w:rsidRPr="00CC74AD">
              <w:t>1.1</w:t>
            </w:r>
          </w:p>
        </w:tc>
      </w:tr>
    </w:tbl>
    <w:p w14:paraId="7E50E265" w14:textId="77777777" w:rsidR="009D0006" w:rsidRDefault="009D0006" w:rsidP="00526E70">
      <w:pPr>
        <w:spacing w:before="360"/>
      </w:pPr>
      <w:r>
        <w:t>As displayed in Table 53, a</w:t>
      </w:r>
      <w:r w:rsidRPr="007926F8">
        <w:t xml:space="preserve">mong </w:t>
      </w:r>
      <w:r>
        <w:t xml:space="preserve">adults </w:t>
      </w:r>
      <w:r w:rsidRPr="007926F8">
        <w:t xml:space="preserve">with disability </w:t>
      </w:r>
      <w:r>
        <w:t>aged 18+ years</w:t>
      </w:r>
      <w:r w:rsidRPr="007926F8">
        <w:t xml:space="preserve"> who had experienced violence from an intimate partner, more than half reported that the perpetrator of their most recent experience of violence was a cisgender man (57.0%; n = 2121). More than one-third reported that their most recent experience of violence from an intimate partner was perpetrated by a cisgender woman (35.5%; n = 1322). A small proportion of participants reported the gender of the perpetrator to be non-binary (3.5%; n = 131), trans woman (2.1%; n = 78), trans man (2.0%; n = 76) </w:t>
      </w:r>
      <w:r>
        <w:t>or</w:t>
      </w:r>
      <w:r w:rsidRPr="007926F8">
        <w:t xml:space="preserve"> another gender identity not listed (1.8%; n = 68). A small number of participants who had experienced violence </w:t>
      </w:r>
      <w:r w:rsidRPr="004E2605">
        <w:rPr>
          <w:w w:val="101"/>
        </w:rPr>
        <w:t>from an intimate partner preferred not to identify the gender of the perpetrator (1.1%; n = 40).</w:t>
      </w:r>
    </w:p>
    <w:p w14:paraId="000A2668" w14:textId="2FB13594" w:rsidR="009D0006" w:rsidRPr="000D7ED3" w:rsidRDefault="009D0006" w:rsidP="00153892">
      <w:pPr>
        <w:pStyle w:val="Heading2Numbered"/>
      </w:pPr>
      <w:bookmarkStart w:id="572" w:name="_Toc37346075"/>
      <w:bookmarkStart w:id="573" w:name="_Toc42029374"/>
      <w:bookmarkStart w:id="574" w:name="_Toc42030114"/>
      <w:bookmarkStart w:id="575" w:name="_Toc43903921"/>
      <w:bookmarkStart w:id="576" w:name="_Toc115968577"/>
      <w:bookmarkStart w:id="577" w:name="_Toc119662438"/>
      <w:r w:rsidRPr="000D7ED3">
        <w:t>Perpetrators of family</w:t>
      </w:r>
      <w:r>
        <w:t xml:space="preserve"> member</w:t>
      </w:r>
      <w:r w:rsidRPr="000D7ED3">
        <w:t xml:space="preserve"> violence</w:t>
      </w:r>
      <w:bookmarkEnd w:id="572"/>
      <w:bookmarkEnd w:id="573"/>
      <w:bookmarkEnd w:id="574"/>
      <w:bookmarkEnd w:id="575"/>
      <w:r w:rsidRPr="000D7ED3">
        <w:t xml:space="preserve"> - adults aged 18+ years</w:t>
      </w:r>
      <w:bookmarkEnd w:id="576"/>
      <w:bookmarkEnd w:id="577"/>
    </w:p>
    <w:p w14:paraId="207022CC" w14:textId="77777777" w:rsidR="009D0006" w:rsidRDefault="009D0006" w:rsidP="009D0006">
      <w:pPr>
        <w:rPr>
          <w:lang w:val="en-US"/>
        </w:rPr>
      </w:pPr>
      <w:r w:rsidRPr="000D7ED3">
        <w:t xml:space="preserve">Participants who reported having ever experienced family violence were asked to select ‘the </w:t>
      </w:r>
      <w:r w:rsidRPr="000D7ED3">
        <w:rPr>
          <w:bCs/>
          <w:lang w:val="en-US"/>
        </w:rPr>
        <w:t>relation the family member/s had to you at the most recent time this occurred’.</w:t>
      </w:r>
      <w:r w:rsidRPr="000D7ED3">
        <w:rPr>
          <w:lang w:val="en-US"/>
        </w:rPr>
        <w:t xml:space="preserve"> </w:t>
      </w:r>
      <w:r>
        <w:rPr>
          <w:lang w:val="en-US"/>
        </w:rPr>
        <w:t>Table 54 displays the results.</w:t>
      </w:r>
    </w:p>
    <w:p w14:paraId="08F3BCBD" w14:textId="77777777" w:rsidR="009D0006" w:rsidRPr="00F23596" w:rsidRDefault="009D0006" w:rsidP="00526E70">
      <w:pPr>
        <w:pStyle w:val="Tableheading"/>
      </w:pPr>
      <w:bookmarkStart w:id="578" w:name="_Toc117062772"/>
      <w:bookmarkStart w:id="579" w:name="_Toc119651457"/>
      <w:r w:rsidRPr="00F23596">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rsidRPr="00F23596">
        <w:t>: Gender of the family member who perpetrated the violence among adults with disability aged 18+ years (n = 1922)</w:t>
      </w:r>
      <w:bookmarkEnd w:id="578"/>
      <w:bookmarkEnd w:id="579"/>
    </w:p>
    <w:tbl>
      <w:tblPr>
        <w:tblStyle w:val="RCTable"/>
        <w:tblW w:w="9864" w:type="dxa"/>
        <w:tblInd w:w="-23" w:type="dxa"/>
        <w:tblLook w:val="04A0" w:firstRow="1" w:lastRow="0" w:firstColumn="1" w:lastColumn="0" w:noHBand="0" w:noVBand="1"/>
      </w:tblPr>
      <w:tblGrid>
        <w:gridCol w:w="6746"/>
        <w:gridCol w:w="1559"/>
        <w:gridCol w:w="1559"/>
      </w:tblGrid>
      <w:tr w:rsidR="009D0006" w:rsidRPr="00CC74AD" w14:paraId="2CD7399A"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099C4A7F" w14:textId="77777777" w:rsidR="009D0006" w:rsidRPr="00CC74AD" w:rsidRDefault="009D0006" w:rsidP="00890FF8">
            <w:pPr>
              <w:pStyle w:val="Tableheader"/>
            </w:pPr>
            <w:r w:rsidRPr="00CC74AD">
              <w:t>Family violence perpetrator</w:t>
            </w:r>
          </w:p>
        </w:tc>
        <w:tc>
          <w:tcPr>
            <w:tcW w:w="1559" w:type="dxa"/>
            <w:noWrap/>
            <w:hideMark/>
          </w:tcPr>
          <w:p w14:paraId="4BE2A794" w14:textId="77777777" w:rsidR="009D0006" w:rsidRPr="00CC74AD" w:rsidRDefault="009D0006" w:rsidP="00890FF8">
            <w:pPr>
              <w:pStyle w:val="Tableheader"/>
            </w:pPr>
            <w:r w:rsidRPr="00CC74AD">
              <w:t>n</w:t>
            </w:r>
          </w:p>
        </w:tc>
        <w:tc>
          <w:tcPr>
            <w:tcW w:w="1559" w:type="dxa"/>
            <w:noWrap/>
            <w:hideMark/>
          </w:tcPr>
          <w:p w14:paraId="5143B082" w14:textId="77777777" w:rsidR="009D0006" w:rsidRPr="00CC74AD" w:rsidRDefault="009D0006" w:rsidP="00890FF8">
            <w:pPr>
              <w:pStyle w:val="Tableheader"/>
            </w:pPr>
            <w:r w:rsidRPr="00CC74AD">
              <w:t>%</w:t>
            </w:r>
          </w:p>
        </w:tc>
      </w:tr>
      <w:tr w:rsidR="009D0006" w:rsidRPr="00CC74AD" w14:paraId="255CD133"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7C9A2A2" w14:textId="77777777" w:rsidR="009D0006" w:rsidRPr="00CC74AD" w:rsidRDefault="009D0006" w:rsidP="00890FF8">
            <w:pPr>
              <w:pStyle w:val="Tabletext"/>
            </w:pPr>
            <w:r w:rsidRPr="00CC74AD">
              <w:t>Parent</w:t>
            </w:r>
          </w:p>
        </w:tc>
        <w:tc>
          <w:tcPr>
            <w:tcW w:w="1559" w:type="dxa"/>
            <w:noWrap/>
          </w:tcPr>
          <w:p w14:paraId="6D710AF3" w14:textId="77777777" w:rsidR="009D0006" w:rsidRPr="00CC74AD" w:rsidRDefault="009D0006" w:rsidP="00890FF8">
            <w:pPr>
              <w:pStyle w:val="Tabletext"/>
            </w:pPr>
            <w:r w:rsidRPr="00CC74AD">
              <w:t>2175</w:t>
            </w:r>
          </w:p>
        </w:tc>
        <w:tc>
          <w:tcPr>
            <w:tcW w:w="1559" w:type="dxa"/>
            <w:noWrap/>
          </w:tcPr>
          <w:p w14:paraId="24BDEDE9" w14:textId="77777777" w:rsidR="009D0006" w:rsidRPr="00CC74AD" w:rsidRDefault="009D0006" w:rsidP="00890FF8">
            <w:pPr>
              <w:pStyle w:val="Tabletext"/>
            </w:pPr>
            <w:r w:rsidRPr="00CC74AD">
              <w:t>76.3</w:t>
            </w:r>
          </w:p>
        </w:tc>
      </w:tr>
      <w:tr w:rsidR="009D0006" w:rsidRPr="00CC74AD" w14:paraId="4CBAEC4A"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4D244ED" w14:textId="77777777" w:rsidR="009D0006" w:rsidRPr="00CC74AD" w:rsidRDefault="009D0006" w:rsidP="00890FF8">
            <w:pPr>
              <w:pStyle w:val="Tabletext"/>
            </w:pPr>
            <w:r w:rsidRPr="00CC74AD">
              <w:t>Older sibling</w:t>
            </w:r>
          </w:p>
        </w:tc>
        <w:tc>
          <w:tcPr>
            <w:tcW w:w="1559" w:type="dxa"/>
            <w:noWrap/>
          </w:tcPr>
          <w:p w14:paraId="41AB292A" w14:textId="77777777" w:rsidR="009D0006" w:rsidRPr="00CC74AD" w:rsidRDefault="009D0006" w:rsidP="00890FF8">
            <w:pPr>
              <w:pStyle w:val="Tabletext"/>
            </w:pPr>
            <w:r w:rsidRPr="00CC74AD">
              <w:t>557</w:t>
            </w:r>
          </w:p>
        </w:tc>
        <w:tc>
          <w:tcPr>
            <w:tcW w:w="1559" w:type="dxa"/>
            <w:noWrap/>
          </w:tcPr>
          <w:p w14:paraId="5E570DD7" w14:textId="77777777" w:rsidR="009D0006" w:rsidRPr="00CC74AD" w:rsidRDefault="009D0006" w:rsidP="00890FF8">
            <w:pPr>
              <w:pStyle w:val="Tabletext"/>
            </w:pPr>
            <w:r w:rsidRPr="00CC74AD">
              <w:t>19.5</w:t>
            </w:r>
          </w:p>
        </w:tc>
      </w:tr>
      <w:tr w:rsidR="009D0006" w:rsidRPr="00CC74AD" w14:paraId="7951BB78"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A079E09" w14:textId="77777777" w:rsidR="009D0006" w:rsidRPr="00CC74AD" w:rsidRDefault="009D0006" w:rsidP="00890FF8">
            <w:pPr>
              <w:pStyle w:val="Tabletext"/>
            </w:pPr>
            <w:r w:rsidRPr="00CC74AD">
              <w:t>Extended family member</w:t>
            </w:r>
          </w:p>
        </w:tc>
        <w:tc>
          <w:tcPr>
            <w:tcW w:w="1559" w:type="dxa"/>
            <w:noWrap/>
          </w:tcPr>
          <w:p w14:paraId="5146A03A" w14:textId="77777777" w:rsidR="009D0006" w:rsidRPr="00CC74AD" w:rsidRDefault="009D0006" w:rsidP="00890FF8">
            <w:pPr>
              <w:pStyle w:val="Tabletext"/>
            </w:pPr>
            <w:r w:rsidRPr="00CC74AD">
              <w:t>516</w:t>
            </w:r>
          </w:p>
        </w:tc>
        <w:tc>
          <w:tcPr>
            <w:tcW w:w="1559" w:type="dxa"/>
            <w:noWrap/>
          </w:tcPr>
          <w:p w14:paraId="1D7DAC8F" w14:textId="77777777" w:rsidR="009D0006" w:rsidRPr="00CC74AD" w:rsidRDefault="009D0006" w:rsidP="00890FF8">
            <w:pPr>
              <w:pStyle w:val="Tabletext"/>
            </w:pPr>
            <w:r w:rsidRPr="00CC74AD">
              <w:t>18.1</w:t>
            </w:r>
          </w:p>
        </w:tc>
      </w:tr>
      <w:tr w:rsidR="009D0006" w:rsidRPr="00CC74AD" w14:paraId="6EA4748B"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F91DC69" w14:textId="77777777" w:rsidR="009D0006" w:rsidRPr="00CC74AD" w:rsidRDefault="009D0006" w:rsidP="00890FF8">
            <w:pPr>
              <w:pStyle w:val="Tabletext"/>
            </w:pPr>
            <w:r w:rsidRPr="00CC74AD">
              <w:t>Younger sib</w:t>
            </w:r>
            <w:r w:rsidRPr="00CC74AD">
              <w:lastRenderedPageBreak/>
              <w:t>ling</w:t>
            </w:r>
          </w:p>
        </w:tc>
        <w:tc>
          <w:tcPr>
            <w:tcW w:w="1559" w:type="dxa"/>
            <w:noWrap/>
          </w:tcPr>
          <w:p w14:paraId="29C17EB0" w14:textId="77777777" w:rsidR="009D0006" w:rsidRPr="00CC74AD" w:rsidRDefault="009D0006" w:rsidP="00890FF8">
            <w:pPr>
              <w:pStyle w:val="Tabletext"/>
            </w:pPr>
            <w:r w:rsidRPr="00CC74AD">
              <w:t>382</w:t>
            </w:r>
          </w:p>
        </w:tc>
        <w:tc>
          <w:tcPr>
            <w:tcW w:w="1559" w:type="dxa"/>
            <w:noWrap/>
          </w:tcPr>
          <w:p w14:paraId="7F25F7E8" w14:textId="77777777" w:rsidR="009D0006" w:rsidRPr="00CC74AD" w:rsidRDefault="009D0006" w:rsidP="00890FF8">
            <w:pPr>
              <w:pStyle w:val="Tabletext"/>
            </w:pPr>
            <w:r w:rsidRPr="00CC74AD">
              <w:t>13.4</w:t>
            </w:r>
          </w:p>
        </w:tc>
      </w:tr>
      <w:tr w:rsidR="009D0006" w:rsidRPr="00CC74AD" w14:paraId="1B432D28"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617DCAD" w14:textId="77777777" w:rsidR="009D0006" w:rsidRPr="00CC74AD" w:rsidRDefault="009D0006" w:rsidP="00890FF8">
            <w:pPr>
              <w:pStyle w:val="Tabletext"/>
            </w:pPr>
            <w:r w:rsidRPr="00CC74AD">
              <w:t>In-laws</w:t>
            </w:r>
          </w:p>
        </w:tc>
        <w:tc>
          <w:tcPr>
            <w:tcW w:w="1559" w:type="dxa"/>
            <w:noWrap/>
          </w:tcPr>
          <w:p w14:paraId="4C79AD24" w14:textId="77777777" w:rsidR="009D0006" w:rsidRPr="00CC74AD" w:rsidRDefault="009D0006" w:rsidP="00890FF8">
            <w:pPr>
              <w:pStyle w:val="Tabletext"/>
            </w:pPr>
            <w:r w:rsidRPr="00CC74AD">
              <w:t>135</w:t>
            </w:r>
          </w:p>
        </w:tc>
        <w:tc>
          <w:tcPr>
            <w:tcW w:w="1559" w:type="dxa"/>
            <w:noWrap/>
          </w:tcPr>
          <w:p w14:paraId="72F4252D" w14:textId="77777777" w:rsidR="009D0006" w:rsidRPr="00CC74AD" w:rsidRDefault="009D0006" w:rsidP="00890FF8">
            <w:pPr>
              <w:pStyle w:val="Tabletext"/>
            </w:pPr>
            <w:r w:rsidRPr="00CC74AD">
              <w:t>4.7</w:t>
            </w:r>
          </w:p>
        </w:tc>
      </w:tr>
      <w:tr w:rsidR="009D0006" w:rsidRPr="00CC74AD" w14:paraId="09A6FFF3"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B280A1B" w14:textId="77777777" w:rsidR="009D0006" w:rsidRPr="00CC74AD" w:rsidRDefault="009D0006" w:rsidP="00890FF8">
            <w:pPr>
              <w:pStyle w:val="Tabletext"/>
            </w:pPr>
            <w:r w:rsidRPr="00CC74AD">
              <w:t>Other family member</w:t>
            </w:r>
          </w:p>
        </w:tc>
        <w:tc>
          <w:tcPr>
            <w:tcW w:w="1559" w:type="dxa"/>
            <w:noWrap/>
          </w:tcPr>
          <w:p w14:paraId="4A189EF3" w14:textId="77777777" w:rsidR="009D0006" w:rsidRPr="00CC74AD" w:rsidRDefault="009D0006" w:rsidP="00890FF8">
            <w:pPr>
              <w:pStyle w:val="Tabletext"/>
            </w:pPr>
            <w:r w:rsidRPr="00CC74AD">
              <w:t>93</w:t>
            </w:r>
          </w:p>
        </w:tc>
        <w:tc>
          <w:tcPr>
            <w:tcW w:w="1559" w:type="dxa"/>
            <w:noWrap/>
          </w:tcPr>
          <w:p w14:paraId="2D96B4E8" w14:textId="77777777" w:rsidR="009D0006" w:rsidRPr="00CC74AD" w:rsidRDefault="009D0006" w:rsidP="00890FF8">
            <w:pPr>
              <w:pStyle w:val="Tabletext"/>
            </w:pPr>
            <w:r w:rsidRPr="00CC74AD">
              <w:t>3.3</w:t>
            </w:r>
          </w:p>
        </w:tc>
      </w:tr>
      <w:tr w:rsidR="009D0006" w:rsidRPr="00CC74AD" w14:paraId="2EAF1D4F"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6B5D4AF" w14:textId="77777777" w:rsidR="009D0006" w:rsidRPr="00CC74AD" w:rsidRDefault="009D0006" w:rsidP="00890FF8">
            <w:pPr>
              <w:pStyle w:val="Tabletext"/>
            </w:pPr>
            <w:r w:rsidRPr="00CC74AD">
              <w:t>Child or grandchild</w:t>
            </w:r>
          </w:p>
        </w:tc>
        <w:tc>
          <w:tcPr>
            <w:tcW w:w="1559" w:type="dxa"/>
            <w:noWrap/>
          </w:tcPr>
          <w:p w14:paraId="68AD1B62" w14:textId="77777777" w:rsidR="009D0006" w:rsidRPr="00CC74AD" w:rsidRDefault="009D0006" w:rsidP="00890FF8">
            <w:pPr>
              <w:pStyle w:val="Tabletext"/>
            </w:pPr>
            <w:r w:rsidRPr="00CC74AD">
              <w:t>30</w:t>
            </w:r>
          </w:p>
        </w:tc>
        <w:tc>
          <w:tcPr>
            <w:tcW w:w="1559" w:type="dxa"/>
            <w:noWrap/>
          </w:tcPr>
          <w:p w14:paraId="54006853" w14:textId="77777777" w:rsidR="009D0006" w:rsidRPr="00CC74AD" w:rsidRDefault="009D0006" w:rsidP="00890FF8">
            <w:pPr>
              <w:pStyle w:val="Tabletext"/>
            </w:pPr>
            <w:r w:rsidRPr="00CC74AD">
              <w:t>1.1</w:t>
            </w:r>
          </w:p>
        </w:tc>
      </w:tr>
      <w:tr w:rsidR="009D0006" w:rsidRPr="00CC74AD" w14:paraId="251E39C9"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F041B6C" w14:textId="77777777" w:rsidR="009D0006" w:rsidRPr="00CC74AD" w:rsidRDefault="009D0006" w:rsidP="00890FF8">
            <w:pPr>
              <w:pStyle w:val="Tabletext"/>
            </w:pPr>
            <w:r w:rsidRPr="00CC74AD">
              <w:t>Prefer not to say</w:t>
            </w:r>
          </w:p>
        </w:tc>
        <w:tc>
          <w:tcPr>
            <w:tcW w:w="1559" w:type="dxa"/>
            <w:noWrap/>
          </w:tcPr>
          <w:p w14:paraId="2B9CA8CC" w14:textId="77777777" w:rsidR="009D0006" w:rsidRPr="00CC74AD" w:rsidRDefault="009D0006" w:rsidP="00890FF8">
            <w:pPr>
              <w:pStyle w:val="Tabletext"/>
            </w:pPr>
            <w:r w:rsidRPr="00CC74AD">
              <w:t>83</w:t>
            </w:r>
          </w:p>
        </w:tc>
        <w:tc>
          <w:tcPr>
            <w:tcW w:w="1559" w:type="dxa"/>
            <w:noWrap/>
          </w:tcPr>
          <w:p w14:paraId="3404542E" w14:textId="77777777" w:rsidR="009D0006" w:rsidRPr="00CC74AD" w:rsidRDefault="009D0006" w:rsidP="00890FF8">
            <w:pPr>
              <w:pStyle w:val="Tabletext"/>
            </w:pPr>
            <w:r w:rsidRPr="00CC74AD">
              <w:t>2.9</w:t>
            </w:r>
          </w:p>
        </w:tc>
      </w:tr>
    </w:tbl>
    <w:p w14:paraId="53BD815F" w14:textId="77777777" w:rsidR="009D0006" w:rsidRPr="007926F8" w:rsidRDefault="009D0006" w:rsidP="00526E70">
      <w:pPr>
        <w:spacing w:before="360"/>
      </w:pPr>
      <w:r>
        <w:t>As shown in Table 54, a</w:t>
      </w:r>
      <w:r w:rsidRPr="007926F8">
        <w:t xml:space="preserve">mong </w:t>
      </w:r>
      <w:r>
        <w:t>adults</w:t>
      </w:r>
      <w:r w:rsidRPr="007926F8">
        <w:t xml:space="preserve"> with disability </w:t>
      </w:r>
      <w:r>
        <w:t xml:space="preserve">aged 18+ years </w:t>
      </w:r>
      <w:r w:rsidRPr="007926F8">
        <w:t>who had experienced violence from a family member, more than three-quarters reported that the family who perpetrated their most recent experience of violence was a parent (76.3%; n = 2175). Approximately one-fifth reported that the family member was an older sibling (19.5%; n = 557), followed by an extended family member (18.1%; n = 516)</w:t>
      </w:r>
      <w:r>
        <w:t xml:space="preserve"> </w:t>
      </w:r>
      <w:r w:rsidRPr="007926F8">
        <w:t xml:space="preserve">and a younger sibling (13.4%; n = 382). A small proportion of participants reported that the family member who perpetrated their most recent experience of violence was an in-law (4.7%; n = 135), another family member that was not listed (3.3%; n = 93) </w:t>
      </w:r>
      <w:r>
        <w:t>or</w:t>
      </w:r>
      <w:r w:rsidRPr="007926F8">
        <w:t xml:space="preserve"> a child or grandchild (1.1%; n = 30). </w:t>
      </w:r>
      <w:r w:rsidRPr="007B2E75">
        <w:t xml:space="preserve">A small number of participants who had experienced violence from </w:t>
      </w:r>
      <w:r>
        <w:t>a family member</w:t>
      </w:r>
      <w:r w:rsidRPr="007B2E75">
        <w:t xml:space="preserve"> preferred not to identify the gender of the perpetrator (</w:t>
      </w:r>
      <w:r>
        <w:t>2.9</w:t>
      </w:r>
      <w:r w:rsidRPr="007B2E75">
        <w:t xml:space="preserve">%; n = </w:t>
      </w:r>
      <w:r>
        <w:t>83</w:t>
      </w:r>
      <w:r w:rsidRPr="007B2E75">
        <w:t>).</w:t>
      </w:r>
    </w:p>
    <w:p w14:paraId="636CF0A3" w14:textId="3C6132F3" w:rsidR="009D0006" w:rsidRPr="000D7ED3" w:rsidRDefault="009D0006" w:rsidP="00153892">
      <w:pPr>
        <w:pStyle w:val="Heading2Numbered"/>
      </w:pPr>
      <w:bookmarkStart w:id="580" w:name="_Toc37346077"/>
      <w:bookmarkStart w:id="581" w:name="_Toc42029376"/>
      <w:bookmarkStart w:id="582" w:name="_Toc42030116"/>
      <w:bookmarkStart w:id="583" w:name="_Toc43903923"/>
      <w:bookmarkStart w:id="584" w:name="_Toc115968578"/>
      <w:bookmarkStart w:id="585" w:name="_Toc119662439"/>
      <w:r w:rsidRPr="000D7ED3">
        <w:t>Reporting violence and experiences of support</w:t>
      </w:r>
      <w:bookmarkEnd w:id="580"/>
      <w:bookmarkEnd w:id="581"/>
      <w:bookmarkEnd w:id="582"/>
      <w:bookmarkEnd w:id="583"/>
      <w:r w:rsidRPr="000D7ED3">
        <w:t xml:space="preserve"> - adults aged 18+ years</w:t>
      </w:r>
      <w:bookmarkEnd w:id="584"/>
      <w:bookmarkEnd w:id="585"/>
    </w:p>
    <w:p w14:paraId="6558897C" w14:textId="77777777" w:rsidR="009D0006" w:rsidRPr="000D7ED3" w:rsidRDefault="009D0006" w:rsidP="009D0006">
      <w:r w:rsidRPr="000D7ED3">
        <w:t xml:space="preserve">Participants who reported having ever experienced violence from an intimate partner or family member were asked whether they had reported the most recent instance in which this occurred to a professional service, such as the police, doctor or domestic or family violence service. Those who indicated that they had reported it to a particular service were also asked whether or not they felt supported by that service. Table </w:t>
      </w:r>
      <w:r>
        <w:t>55</w:t>
      </w:r>
      <w:r w:rsidRPr="000D7ED3">
        <w:t xml:space="preserve"> displays these results.</w:t>
      </w:r>
      <w:bookmarkStart w:id="586" w:name="_Toc37345851"/>
      <w:bookmarkStart w:id="587" w:name="_Toc46861278"/>
    </w:p>
    <w:p w14:paraId="5D3C4A5C" w14:textId="77777777" w:rsidR="008902AC" w:rsidRDefault="008902AC">
      <w:pPr>
        <w:spacing w:before="0"/>
        <w:rPr>
          <w:rFonts w:eastAsiaTheme="majorEastAsia" w:cstheme="majorBidi"/>
          <w:b/>
          <w:color w:val="000000" w:themeColor="text1"/>
        </w:rPr>
      </w:pPr>
      <w:bookmarkStart w:id="588" w:name="_Toc117062773"/>
      <w:bookmarkStart w:id="589" w:name="_Toc119651458"/>
      <w:r>
        <w:br w:type="page"/>
      </w:r>
    </w:p>
    <w:p w14:paraId="109F45F2" w14:textId="57907DF0" w:rsidR="009D0006" w:rsidRPr="000D7ED3" w:rsidRDefault="009D0006" w:rsidP="00526E70">
      <w:pPr>
        <w:pStyle w:val="Tableheading"/>
      </w:pPr>
      <w:r w:rsidRPr="000D7ED3">
        <w:t xml:space="preserve">Table </w:t>
      </w:r>
      <w:r>
        <w:rPr>
          <w:noProof/>
        </w:rPr>
        <w:fldChar w:fldCharType="begin"/>
      </w:r>
      <w:r>
        <w:rPr>
          <w:noProof/>
        </w:rPr>
        <w:instrText xml:space="preserve"> SEQ</w:instrText>
      </w:r>
      <w:r>
        <w:rPr>
          <w:noProof/>
        </w:rPr>
        <w:lastRenderedPageBreak/>
        <w:instrText xml:space="preserve"> Table \* ARABIC </w:instrText>
      </w:r>
      <w:r>
        <w:rPr>
          <w:noProof/>
        </w:rPr>
        <w:fldChar w:fldCharType="separate"/>
      </w:r>
      <w:r>
        <w:rPr>
          <w:noProof/>
        </w:rPr>
        <w:t>55</w:t>
      </w:r>
      <w:r>
        <w:rPr>
          <w:noProof/>
        </w:rPr>
        <w:fldChar w:fldCharType="end"/>
      </w:r>
      <w:r>
        <w:t xml:space="preserve">: </w:t>
      </w:r>
      <w:r w:rsidRPr="000D7ED3">
        <w:t>Service</w:t>
      </w:r>
      <w:r>
        <w:t xml:space="preserve"> or person</w:t>
      </w:r>
      <w:r w:rsidRPr="000D7ED3">
        <w:t xml:space="preserve"> to which intimate partner or family violence was reported the most recent time it occurred and proportion reporting feeling supported</w:t>
      </w:r>
      <w:r>
        <w:t>,</w:t>
      </w:r>
      <w:r w:rsidRPr="000D7ED3">
        <w:t xml:space="preserve"> among </w:t>
      </w:r>
      <w:r>
        <w:t>adults</w:t>
      </w:r>
      <w:r w:rsidRPr="000D7ED3">
        <w:t xml:space="preserve"> with disability</w:t>
      </w:r>
      <w:r>
        <w:t xml:space="preserve"> aged 18+ years</w:t>
      </w:r>
      <w:r w:rsidRPr="000D7ED3">
        <w:t xml:space="preserve"> (n = </w:t>
      </w:r>
      <w:r>
        <w:t>2139</w:t>
      </w:r>
      <w:r w:rsidRPr="000D7ED3">
        <w:t>)</w:t>
      </w:r>
      <w:bookmarkEnd w:id="586"/>
      <w:bookmarkEnd w:id="587"/>
      <w:bookmarkEnd w:id="588"/>
      <w:bookmarkEnd w:id="589"/>
    </w:p>
    <w:tbl>
      <w:tblPr>
        <w:tblStyle w:val="RCTable"/>
        <w:tblW w:w="9864" w:type="dxa"/>
        <w:tblInd w:w="-23" w:type="dxa"/>
        <w:tblLook w:val="04A0" w:firstRow="1" w:lastRow="0" w:firstColumn="1" w:lastColumn="0" w:noHBand="0" w:noVBand="1"/>
      </w:tblPr>
      <w:tblGrid>
        <w:gridCol w:w="5187"/>
        <w:gridCol w:w="1559"/>
        <w:gridCol w:w="1559"/>
        <w:gridCol w:w="1559"/>
      </w:tblGrid>
      <w:tr w:rsidR="009D0006" w:rsidRPr="00D75017" w14:paraId="3A68AE9C" w14:textId="77777777" w:rsidTr="00906752">
        <w:trPr>
          <w:cnfStyle w:val="100000000000" w:firstRow="1" w:lastRow="0" w:firstColumn="0" w:lastColumn="0" w:oddVBand="0" w:evenVBand="0" w:oddHBand="0" w:evenHBand="0" w:firstRowFirstColumn="0" w:firstRowLastColumn="0" w:lastRowFirstColumn="0" w:lastRowLastColumn="0"/>
          <w:trHeight w:val="346"/>
          <w:tblHeader/>
        </w:trPr>
        <w:tc>
          <w:tcPr>
            <w:tcW w:w="5187" w:type="dxa"/>
            <w:noWrap/>
            <w:hideMark/>
          </w:tcPr>
          <w:p w14:paraId="494B1DF8" w14:textId="77777777" w:rsidR="009D0006" w:rsidRPr="00D75017" w:rsidRDefault="009D0006" w:rsidP="00890FF8">
            <w:pPr>
              <w:pStyle w:val="Tableheader"/>
              <w:rPr>
                <w:lang w:val="en-US"/>
              </w:rPr>
            </w:pPr>
            <w:r w:rsidRPr="00D75017">
              <w:rPr>
                <w:lang w:val="en-US"/>
              </w:rPr>
              <w:t>Service to which assault was reported the most recent time</w:t>
            </w:r>
          </w:p>
        </w:tc>
        <w:tc>
          <w:tcPr>
            <w:tcW w:w="1559" w:type="dxa"/>
            <w:noWrap/>
            <w:hideMark/>
          </w:tcPr>
          <w:p w14:paraId="61C990C1" w14:textId="77777777" w:rsidR="009D0006" w:rsidRPr="00D75017" w:rsidRDefault="009D0006" w:rsidP="00890FF8">
            <w:pPr>
              <w:pStyle w:val="Tableheader"/>
              <w:rPr>
                <w:lang w:val="en-US"/>
              </w:rPr>
            </w:pPr>
            <w:r w:rsidRPr="00D75017">
              <w:rPr>
                <w:lang w:val="en-US"/>
              </w:rPr>
              <w:t>n</w:t>
            </w:r>
          </w:p>
        </w:tc>
        <w:tc>
          <w:tcPr>
            <w:tcW w:w="1559" w:type="dxa"/>
            <w:noWrap/>
            <w:hideMark/>
          </w:tcPr>
          <w:p w14:paraId="0CC317E7" w14:textId="77777777" w:rsidR="009D0006" w:rsidRPr="00D75017" w:rsidRDefault="009D0006" w:rsidP="00890FF8">
            <w:pPr>
              <w:pStyle w:val="Tableheader"/>
              <w:rPr>
                <w:lang w:val="en-US"/>
              </w:rPr>
            </w:pPr>
            <w:r w:rsidRPr="00D75017">
              <w:rPr>
                <w:lang w:val="en-US"/>
              </w:rPr>
              <w:t>%</w:t>
            </w:r>
          </w:p>
        </w:tc>
        <w:tc>
          <w:tcPr>
            <w:tcW w:w="1559" w:type="dxa"/>
            <w:noWrap/>
            <w:hideMark/>
          </w:tcPr>
          <w:p w14:paraId="3378BFF3" w14:textId="77777777" w:rsidR="009D0006" w:rsidRPr="00D75017" w:rsidRDefault="009D0006" w:rsidP="00890FF8">
            <w:pPr>
              <w:pStyle w:val="Tableheader"/>
              <w:rPr>
                <w:lang w:val="en-US"/>
              </w:rPr>
            </w:pPr>
            <w:r w:rsidRPr="00D75017">
              <w:rPr>
                <w:lang w:val="en-US"/>
              </w:rPr>
              <w:t>Felt supported (%)</w:t>
            </w:r>
          </w:p>
        </w:tc>
      </w:tr>
      <w:tr w:rsidR="009D0006" w:rsidRPr="00D75017" w14:paraId="474ED66C"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5CFF6EA3" w14:textId="77777777" w:rsidR="009D0006" w:rsidRPr="00D75017" w:rsidRDefault="009D0006" w:rsidP="00890FF8">
            <w:pPr>
              <w:pStyle w:val="Tabletext"/>
              <w:rPr>
                <w:lang w:val="en-US"/>
              </w:rPr>
            </w:pPr>
            <w:r w:rsidRPr="00D75017">
              <w:rPr>
                <w:lang w:val="en-US"/>
              </w:rPr>
              <w:t>Counselling service or psychologist</w:t>
            </w:r>
          </w:p>
        </w:tc>
        <w:tc>
          <w:tcPr>
            <w:tcW w:w="1559" w:type="dxa"/>
            <w:noWrap/>
          </w:tcPr>
          <w:p w14:paraId="4E44467F" w14:textId="77777777" w:rsidR="009D0006" w:rsidRPr="00D75017" w:rsidRDefault="009D0006" w:rsidP="00890FF8">
            <w:pPr>
              <w:pStyle w:val="Tabletext"/>
              <w:rPr>
                <w:lang w:val="en-US"/>
              </w:rPr>
            </w:pPr>
            <w:r>
              <w:t>496</w:t>
            </w:r>
          </w:p>
        </w:tc>
        <w:tc>
          <w:tcPr>
            <w:tcW w:w="1559" w:type="dxa"/>
            <w:noWrap/>
          </w:tcPr>
          <w:p w14:paraId="2C514377" w14:textId="77777777" w:rsidR="009D0006" w:rsidRPr="00D75017" w:rsidRDefault="009D0006" w:rsidP="00890FF8">
            <w:pPr>
              <w:pStyle w:val="Tabletext"/>
              <w:rPr>
                <w:lang w:val="en-US"/>
              </w:rPr>
            </w:pPr>
            <w:r>
              <w:t>23.2</w:t>
            </w:r>
          </w:p>
        </w:tc>
        <w:tc>
          <w:tcPr>
            <w:tcW w:w="1559" w:type="dxa"/>
            <w:noWrap/>
          </w:tcPr>
          <w:p w14:paraId="4495F117" w14:textId="77777777" w:rsidR="009D0006" w:rsidRPr="00D75017" w:rsidRDefault="009D0006" w:rsidP="00890FF8">
            <w:pPr>
              <w:pStyle w:val="Tabletext"/>
              <w:rPr>
                <w:lang w:val="en-US"/>
              </w:rPr>
            </w:pPr>
            <w:r>
              <w:rPr>
                <w:lang w:val="en-US"/>
              </w:rPr>
              <w:t>89.4</w:t>
            </w:r>
          </w:p>
        </w:tc>
      </w:tr>
      <w:tr w:rsidR="009D0006" w:rsidRPr="00D75017" w14:paraId="241014C2"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3684C99F" w14:textId="77777777" w:rsidR="009D0006" w:rsidRPr="00D75017" w:rsidRDefault="009D0006" w:rsidP="00890FF8">
            <w:pPr>
              <w:pStyle w:val="Tabletext"/>
              <w:rPr>
                <w:lang w:val="en-US"/>
              </w:rPr>
            </w:pPr>
            <w:r w:rsidRPr="00D75017">
              <w:rPr>
                <w:lang w:val="en-US"/>
              </w:rPr>
              <w:t>Police (including LGBTIQ liaison officers)</w:t>
            </w:r>
          </w:p>
        </w:tc>
        <w:tc>
          <w:tcPr>
            <w:tcW w:w="1559" w:type="dxa"/>
            <w:noWrap/>
          </w:tcPr>
          <w:p w14:paraId="1F37B12E" w14:textId="77777777" w:rsidR="009D0006" w:rsidRPr="00D75017" w:rsidRDefault="009D0006" w:rsidP="00890FF8">
            <w:pPr>
              <w:pStyle w:val="Tabletext"/>
              <w:rPr>
                <w:lang w:val="en-US"/>
              </w:rPr>
            </w:pPr>
            <w:r>
              <w:t>144</w:t>
            </w:r>
          </w:p>
        </w:tc>
        <w:tc>
          <w:tcPr>
            <w:tcW w:w="1559" w:type="dxa"/>
            <w:noWrap/>
          </w:tcPr>
          <w:p w14:paraId="3694F213" w14:textId="77777777" w:rsidR="009D0006" w:rsidRPr="00D75017" w:rsidRDefault="009D0006" w:rsidP="00890FF8">
            <w:pPr>
              <w:pStyle w:val="Tabletext"/>
              <w:rPr>
                <w:lang w:val="en-US"/>
              </w:rPr>
            </w:pPr>
            <w:r>
              <w:t>6.7</w:t>
            </w:r>
          </w:p>
        </w:tc>
        <w:tc>
          <w:tcPr>
            <w:tcW w:w="1559" w:type="dxa"/>
            <w:noWrap/>
          </w:tcPr>
          <w:p w14:paraId="0B179DDE" w14:textId="77777777" w:rsidR="009D0006" w:rsidRPr="00D75017" w:rsidRDefault="009D0006" w:rsidP="00890FF8">
            <w:pPr>
              <w:pStyle w:val="Tabletext"/>
              <w:rPr>
                <w:lang w:val="en-US"/>
              </w:rPr>
            </w:pPr>
            <w:r>
              <w:rPr>
                <w:lang w:val="en-US"/>
              </w:rPr>
              <w:t>45.0</w:t>
            </w:r>
          </w:p>
        </w:tc>
      </w:tr>
      <w:tr w:rsidR="009D0006" w:rsidRPr="00D75017" w14:paraId="7D68F91D"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17F9186B" w14:textId="77777777" w:rsidR="009D0006" w:rsidRPr="00D75017" w:rsidRDefault="009D0006" w:rsidP="00890FF8">
            <w:pPr>
              <w:pStyle w:val="Tabletext"/>
              <w:rPr>
                <w:lang w:val="en-US"/>
              </w:rPr>
            </w:pPr>
            <w:r w:rsidRPr="00D75017">
              <w:rPr>
                <w:lang w:val="en-US"/>
              </w:rPr>
              <w:t>Doctor or hospital</w:t>
            </w:r>
          </w:p>
        </w:tc>
        <w:tc>
          <w:tcPr>
            <w:tcW w:w="1559" w:type="dxa"/>
            <w:noWrap/>
          </w:tcPr>
          <w:p w14:paraId="4A2A6E5A" w14:textId="77777777" w:rsidR="009D0006" w:rsidRPr="00D75017" w:rsidRDefault="009D0006" w:rsidP="00890FF8">
            <w:pPr>
              <w:pStyle w:val="Tabletext"/>
              <w:rPr>
                <w:lang w:val="en-US"/>
              </w:rPr>
            </w:pPr>
            <w:r>
              <w:t>112</w:t>
            </w:r>
          </w:p>
        </w:tc>
        <w:tc>
          <w:tcPr>
            <w:tcW w:w="1559" w:type="dxa"/>
            <w:noWrap/>
          </w:tcPr>
          <w:p w14:paraId="58D85659" w14:textId="77777777" w:rsidR="009D0006" w:rsidRPr="00D75017" w:rsidRDefault="009D0006" w:rsidP="00890FF8">
            <w:pPr>
              <w:pStyle w:val="Tabletext"/>
              <w:rPr>
                <w:lang w:val="en-US"/>
              </w:rPr>
            </w:pPr>
            <w:r>
              <w:t>5.2</w:t>
            </w:r>
          </w:p>
        </w:tc>
        <w:tc>
          <w:tcPr>
            <w:tcW w:w="1559" w:type="dxa"/>
            <w:noWrap/>
          </w:tcPr>
          <w:p w14:paraId="7E75847F" w14:textId="77777777" w:rsidR="009D0006" w:rsidRPr="00D75017" w:rsidRDefault="009D0006" w:rsidP="00890FF8">
            <w:pPr>
              <w:pStyle w:val="Tabletext"/>
              <w:rPr>
                <w:lang w:val="en-US"/>
              </w:rPr>
            </w:pPr>
            <w:r>
              <w:rPr>
                <w:lang w:val="en-US"/>
              </w:rPr>
              <w:t>68.4</w:t>
            </w:r>
          </w:p>
        </w:tc>
      </w:tr>
      <w:tr w:rsidR="009D0006" w:rsidRPr="00D75017" w14:paraId="051E88C7"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3F29CCD7" w14:textId="77777777" w:rsidR="009D0006" w:rsidRPr="00D75017" w:rsidRDefault="009D0006" w:rsidP="00890FF8">
            <w:pPr>
              <w:pStyle w:val="Tabletext"/>
              <w:rPr>
                <w:lang w:val="en-US"/>
              </w:rPr>
            </w:pPr>
            <w:r w:rsidRPr="00D75017">
              <w:rPr>
                <w:lang w:val="en-US"/>
              </w:rPr>
              <w:t>Telephone helpline</w:t>
            </w:r>
          </w:p>
        </w:tc>
        <w:tc>
          <w:tcPr>
            <w:tcW w:w="1559" w:type="dxa"/>
            <w:noWrap/>
          </w:tcPr>
          <w:p w14:paraId="41A41EF6" w14:textId="77777777" w:rsidR="009D0006" w:rsidRPr="00D75017" w:rsidRDefault="009D0006" w:rsidP="00890FF8">
            <w:pPr>
              <w:pStyle w:val="Tabletext"/>
              <w:rPr>
                <w:lang w:val="en-US"/>
              </w:rPr>
            </w:pPr>
            <w:r>
              <w:t>70</w:t>
            </w:r>
          </w:p>
        </w:tc>
        <w:tc>
          <w:tcPr>
            <w:tcW w:w="1559" w:type="dxa"/>
            <w:noWrap/>
          </w:tcPr>
          <w:p w14:paraId="50448873" w14:textId="77777777" w:rsidR="009D0006" w:rsidRPr="00D75017" w:rsidRDefault="009D0006" w:rsidP="00890FF8">
            <w:pPr>
              <w:pStyle w:val="Tabletext"/>
              <w:rPr>
                <w:lang w:val="en-US"/>
              </w:rPr>
            </w:pPr>
            <w:r>
              <w:t>3.3</w:t>
            </w:r>
          </w:p>
        </w:tc>
        <w:tc>
          <w:tcPr>
            <w:tcW w:w="1559" w:type="dxa"/>
            <w:noWrap/>
          </w:tcPr>
          <w:p w14:paraId="70338FBF" w14:textId="77777777" w:rsidR="009D0006" w:rsidRPr="00D75017" w:rsidRDefault="009D0006" w:rsidP="00890FF8">
            <w:pPr>
              <w:pStyle w:val="Tabletext"/>
              <w:rPr>
                <w:lang w:val="en-US"/>
              </w:rPr>
            </w:pPr>
            <w:r>
              <w:rPr>
                <w:lang w:val="en-US"/>
              </w:rPr>
              <w:t>58.6</w:t>
            </w:r>
          </w:p>
        </w:tc>
      </w:tr>
      <w:tr w:rsidR="009D0006" w:rsidRPr="00D75017" w14:paraId="582B25D6"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7F71ED77" w14:textId="77777777" w:rsidR="009D0006" w:rsidRPr="00D75017" w:rsidRDefault="009D0006" w:rsidP="00890FF8">
            <w:pPr>
              <w:pStyle w:val="Tabletext"/>
              <w:rPr>
                <w:lang w:val="en-US"/>
              </w:rPr>
            </w:pPr>
            <w:r w:rsidRPr="00D75017">
              <w:rPr>
                <w:lang w:val="en-US"/>
              </w:rPr>
              <w:t>Lawyer, legal service, court system</w:t>
            </w:r>
          </w:p>
        </w:tc>
        <w:tc>
          <w:tcPr>
            <w:tcW w:w="1559" w:type="dxa"/>
            <w:noWrap/>
          </w:tcPr>
          <w:p w14:paraId="50AFF0C1" w14:textId="77777777" w:rsidR="009D0006" w:rsidRPr="00D75017" w:rsidRDefault="009D0006" w:rsidP="00890FF8">
            <w:pPr>
              <w:pStyle w:val="Tabletext"/>
              <w:rPr>
                <w:lang w:val="en-US"/>
              </w:rPr>
            </w:pPr>
            <w:r>
              <w:t>67</w:t>
            </w:r>
          </w:p>
        </w:tc>
        <w:tc>
          <w:tcPr>
            <w:tcW w:w="1559" w:type="dxa"/>
            <w:noWrap/>
          </w:tcPr>
          <w:p w14:paraId="08B40624" w14:textId="77777777" w:rsidR="009D0006" w:rsidRPr="00D75017" w:rsidRDefault="009D0006" w:rsidP="00890FF8">
            <w:pPr>
              <w:pStyle w:val="Tabletext"/>
              <w:rPr>
                <w:lang w:val="en-US"/>
              </w:rPr>
            </w:pPr>
            <w:r>
              <w:t>3.1</w:t>
            </w:r>
          </w:p>
        </w:tc>
        <w:tc>
          <w:tcPr>
            <w:tcW w:w="1559" w:type="dxa"/>
            <w:noWrap/>
          </w:tcPr>
          <w:p w14:paraId="7D5C4760" w14:textId="77777777" w:rsidR="009D0006" w:rsidRPr="00D75017" w:rsidRDefault="009D0006" w:rsidP="00890FF8">
            <w:pPr>
              <w:pStyle w:val="Tabletext"/>
              <w:rPr>
                <w:lang w:val="en-US"/>
              </w:rPr>
            </w:pPr>
            <w:r>
              <w:rPr>
                <w:lang w:val="en-US"/>
              </w:rPr>
              <w:t>57.1</w:t>
            </w:r>
          </w:p>
        </w:tc>
      </w:tr>
      <w:tr w:rsidR="009D0006" w:rsidRPr="00D75017" w14:paraId="0374652F"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0A57553E" w14:textId="77777777" w:rsidR="009D0006" w:rsidRPr="00D75017" w:rsidRDefault="009D0006" w:rsidP="00890FF8">
            <w:pPr>
              <w:pStyle w:val="Tabletext"/>
              <w:rPr>
                <w:lang w:val="en-US"/>
              </w:rPr>
            </w:pPr>
            <w:r w:rsidRPr="00D75017">
              <w:rPr>
                <w:lang w:val="en-US"/>
              </w:rPr>
              <w:t>Domestic or family violence service</w:t>
            </w:r>
          </w:p>
        </w:tc>
        <w:tc>
          <w:tcPr>
            <w:tcW w:w="1559" w:type="dxa"/>
            <w:noWrap/>
          </w:tcPr>
          <w:p w14:paraId="536DDE79" w14:textId="77777777" w:rsidR="009D0006" w:rsidRPr="00D75017" w:rsidRDefault="009D0006" w:rsidP="00890FF8">
            <w:pPr>
              <w:pStyle w:val="Tabletext"/>
              <w:rPr>
                <w:lang w:val="en-US"/>
              </w:rPr>
            </w:pPr>
            <w:r>
              <w:t>65</w:t>
            </w:r>
          </w:p>
        </w:tc>
        <w:tc>
          <w:tcPr>
            <w:tcW w:w="1559" w:type="dxa"/>
            <w:noWrap/>
          </w:tcPr>
          <w:p w14:paraId="38FCB594" w14:textId="77777777" w:rsidR="009D0006" w:rsidRPr="00D75017" w:rsidRDefault="009D0006" w:rsidP="00890FF8">
            <w:pPr>
              <w:pStyle w:val="Tabletext"/>
              <w:rPr>
                <w:lang w:val="en-US"/>
              </w:rPr>
            </w:pPr>
            <w:r>
              <w:t>3.0</w:t>
            </w:r>
          </w:p>
        </w:tc>
        <w:tc>
          <w:tcPr>
            <w:tcW w:w="1559" w:type="dxa"/>
            <w:noWrap/>
          </w:tcPr>
          <w:p w14:paraId="51CEBEA3" w14:textId="77777777" w:rsidR="009D0006" w:rsidRPr="00D75017" w:rsidRDefault="009D0006" w:rsidP="00890FF8">
            <w:pPr>
              <w:pStyle w:val="Tabletext"/>
              <w:rPr>
                <w:lang w:val="en-US"/>
              </w:rPr>
            </w:pPr>
            <w:r>
              <w:rPr>
                <w:lang w:val="en-US"/>
              </w:rPr>
              <w:t>65.1</w:t>
            </w:r>
          </w:p>
        </w:tc>
      </w:tr>
      <w:tr w:rsidR="009D0006" w:rsidRPr="00D75017" w14:paraId="76C1BAD6"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235A7A1E" w14:textId="77777777" w:rsidR="009D0006" w:rsidRPr="00D75017" w:rsidRDefault="009D0006" w:rsidP="00890FF8">
            <w:pPr>
              <w:pStyle w:val="Tabletext"/>
              <w:rPr>
                <w:lang w:val="en-US"/>
              </w:rPr>
            </w:pPr>
            <w:r w:rsidRPr="00D75017">
              <w:rPr>
                <w:lang w:val="en-US"/>
              </w:rPr>
              <w:t>Teacher or educational institution</w:t>
            </w:r>
          </w:p>
        </w:tc>
        <w:tc>
          <w:tcPr>
            <w:tcW w:w="1559" w:type="dxa"/>
            <w:noWrap/>
          </w:tcPr>
          <w:p w14:paraId="610B93A8" w14:textId="77777777" w:rsidR="009D0006" w:rsidRPr="00D75017" w:rsidRDefault="009D0006" w:rsidP="00890FF8">
            <w:pPr>
              <w:pStyle w:val="Tabletext"/>
              <w:rPr>
                <w:lang w:val="en-US"/>
              </w:rPr>
            </w:pPr>
            <w:r>
              <w:t>40</w:t>
            </w:r>
          </w:p>
        </w:tc>
        <w:tc>
          <w:tcPr>
            <w:tcW w:w="1559" w:type="dxa"/>
            <w:noWrap/>
          </w:tcPr>
          <w:p w14:paraId="142C8E2B" w14:textId="77777777" w:rsidR="009D0006" w:rsidRPr="00D75017" w:rsidRDefault="009D0006" w:rsidP="00890FF8">
            <w:pPr>
              <w:pStyle w:val="Tabletext"/>
              <w:rPr>
                <w:lang w:val="en-US"/>
              </w:rPr>
            </w:pPr>
            <w:r>
              <w:t>1.9</w:t>
            </w:r>
          </w:p>
        </w:tc>
        <w:tc>
          <w:tcPr>
            <w:tcW w:w="1559" w:type="dxa"/>
            <w:noWrap/>
          </w:tcPr>
          <w:p w14:paraId="0C56BDF3" w14:textId="77777777" w:rsidR="009D0006" w:rsidRPr="00D75017" w:rsidRDefault="009D0006" w:rsidP="00890FF8">
            <w:pPr>
              <w:pStyle w:val="Tabletext"/>
              <w:rPr>
                <w:lang w:val="en-US"/>
              </w:rPr>
            </w:pPr>
            <w:r>
              <w:rPr>
                <w:lang w:val="en-US"/>
              </w:rPr>
              <w:t>69.9</w:t>
            </w:r>
          </w:p>
        </w:tc>
      </w:tr>
      <w:tr w:rsidR="009D0006" w:rsidRPr="00D75017" w14:paraId="4266AFF2"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0129A05A" w14:textId="77777777" w:rsidR="009D0006" w:rsidRPr="00D75017" w:rsidRDefault="009D0006" w:rsidP="00890FF8">
            <w:pPr>
              <w:pStyle w:val="Tabletext"/>
              <w:rPr>
                <w:lang w:val="en-US"/>
              </w:rPr>
            </w:pPr>
            <w:r w:rsidRPr="00D75017">
              <w:rPr>
                <w:lang w:val="en-US"/>
              </w:rPr>
              <w:t>Employer</w:t>
            </w:r>
          </w:p>
        </w:tc>
        <w:tc>
          <w:tcPr>
            <w:tcW w:w="1559" w:type="dxa"/>
            <w:noWrap/>
          </w:tcPr>
          <w:p w14:paraId="34F952DF" w14:textId="77777777" w:rsidR="009D0006" w:rsidRPr="00D75017" w:rsidRDefault="009D0006" w:rsidP="00890FF8">
            <w:pPr>
              <w:pStyle w:val="Tabletext"/>
              <w:rPr>
                <w:lang w:val="en-US"/>
              </w:rPr>
            </w:pPr>
            <w:r>
              <w:t>32</w:t>
            </w:r>
          </w:p>
        </w:tc>
        <w:tc>
          <w:tcPr>
            <w:tcW w:w="1559" w:type="dxa"/>
            <w:noWrap/>
          </w:tcPr>
          <w:p w14:paraId="5BECF500" w14:textId="77777777" w:rsidR="009D0006" w:rsidRPr="00D75017" w:rsidRDefault="009D0006" w:rsidP="00890FF8">
            <w:pPr>
              <w:pStyle w:val="Tabletext"/>
              <w:rPr>
                <w:lang w:val="en-US"/>
              </w:rPr>
            </w:pPr>
            <w:r>
              <w:t>1.5</w:t>
            </w:r>
          </w:p>
        </w:tc>
        <w:tc>
          <w:tcPr>
            <w:tcW w:w="1559" w:type="dxa"/>
            <w:noWrap/>
          </w:tcPr>
          <w:p w14:paraId="2C7FEAFD" w14:textId="77777777" w:rsidR="009D0006" w:rsidRPr="00D75017" w:rsidRDefault="009D0006" w:rsidP="00890FF8">
            <w:pPr>
              <w:pStyle w:val="Tabletext"/>
              <w:rPr>
                <w:lang w:val="en-US"/>
              </w:rPr>
            </w:pPr>
            <w:r>
              <w:rPr>
                <w:lang w:val="en-US"/>
              </w:rPr>
              <w:t>71.3</w:t>
            </w:r>
          </w:p>
        </w:tc>
      </w:tr>
      <w:tr w:rsidR="009D0006" w:rsidRPr="00D75017" w14:paraId="0888CDC4"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7878AE0D" w14:textId="77777777" w:rsidR="009D0006" w:rsidRPr="00D75017" w:rsidRDefault="009D0006" w:rsidP="00890FF8">
            <w:pPr>
              <w:pStyle w:val="Tabletext"/>
              <w:rPr>
                <w:lang w:val="en-US"/>
              </w:rPr>
            </w:pPr>
            <w:r w:rsidRPr="00D75017">
              <w:rPr>
                <w:lang w:val="en-US"/>
              </w:rPr>
              <w:t>Sexual assault service</w:t>
            </w:r>
          </w:p>
        </w:tc>
        <w:tc>
          <w:tcPr>
            <w:tcW w:w="1559" w:type="dxa"/>
            <w:noWrap/>
          </w:tcPr>
          <w:p w14:paraId="48BA3271" w14:textId="77777777" w:rsidR="009D0006" w:rsidRPr="00D75017" w:rsidRDefault="009D0006" w:rsidP="00890FF8">
            <w:pPr>
              <w:pStyle w:val="Tabletext"/>
              <w:rPr>
                <w:lang w:val="en-US"/>
              </w:rPr>
            </w:pPr>
            <w:r>
              <w:t>30</w:t>
            </w:r>
          </w:p>
        </w:tc>
        <w:tc>
          <w:tcPr>
            <w:tcW w:w="1559" w:type="dxa"/>
            <w:noWrap/>
          </w:tcPr>
          <w:p w14:paraId="2A2DED7F" w14:textId="77777777" w:rsidR="009D0006" w:rsidRPr="00D75017" w:rsidRDefault="009D0006" w:rsidP="00890FF8">
            <w:pPr>
              <w:pStyle w:val="Tabletext"/>
              <w:rPr>
                <w:lang w:val="en-US"/>
              </w:rPr>
            </w:pPr>
            <w:r>
              <w:t>1.4</w:t>
            </w:r>
          </w:p>
        </w:tc>
        <w:tc>
          <w:tcPr>
            <w:tcW w:w="1559" w:type="dxa"/>
            <w:noWrap/>
          </w:tcPr>
          <w:p w14:paraId="3EFCEFD0" w14:textId="77777777" w:rsidR="009D0006" w:rsidRPr="00D75017" w:rsidRDefault="009D0006" w:rsidP="00890FF8">
            <w:pPr>
              <w:pStyle w:val="Tabletext"/>
              <w:rPr>
                <w:lang w:val="en-US"/>
              </w:rPr>
            </w:pPr>
            <w:r>
              <w:rPr>
                <w:lang w:val="en-US"/>
              </w:rPr>
              <w:t>79.6</w:t>
            </w:r>
          </w:p>
        </w:tc>
      </w:tr>
      <w:tr w:rsidR="009D0006" w:rsidRPr="00D75017" w14:paraId="5AB34BF1"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034A8B75" w14:textId="77777777" w:rsidR="009D0006" w:rsidRPr="00D75017" w:rsidRDefault="009D0006" w:rsidP="00890FF8">
            <w:pPr>
              <w:pStyle w:val="Tabletext"/>
              <w:rPr>
                <w:lang w:val="en-US"/>
              </w:rPr>
            </w:pPr>
            <w:r w:rsidRPr="00D75017">
              <w:rPr>
                <w:lang w:val="en-US"/>
              </w:rPr>
              <w:t>LGBTIQ organisation</w:t>
            </w:r>
          </w:p>
        </w:tc>
        <w:tc>
          <w:tcPr>
            <w:tcW w:w="1559" w:type="dxa"/>
            <w:noWrap/>
          </w:tcPr>
          <w:p w14:paraId="5DD4C445" w14:textId="77777777" w:rsidR="009D0006" w:rsidRPr="00D75017" w:rsidRDefault="009D0006" w:rsidP="00890FF8">
            <w:pPr>
              <w:pStyle w:val="Tabletext"/>
              <w:rPr>
                <w:lang w:val="en-US"/>
              </w:rPr>
            </w:pPr>
            <w:r>
              <w:t>28</w:t>
            </w:r>
          </w:p>
        </w:tc>
        <w:tc>
          <w:tcPr>
            <w:tcW w:w="1559" w:type="dxa"/>
            <w:noWrap/>
          </w:tcPr>
          <w:p w14:paraId="467A70D2" w14:textId="77777777" w:rsidR="009D0006" w:rsidRPr="00D75017" w:rsidRDefault="009D0006" w:rsidP="00890FF8">
            <w:pPr>
              <w:pStyle w:val="Tabletext"/>
              <w:rPr>
                <w:lang w:val="en-US"/>
              </w:rPr>
            </w:pPr>
            <w:r>
              <w:t>1.3</w:t>
            </w:r>
          </w:p>
        </w:tc>
        <w:tc>
          <w:tcPr>
            <w:tcW w:w="1559" w:type="dxa"/>
            <w:noWrap/>
          </w:tcPr>
          <w:p w14:paraId="62470C64" w14:textId="77777777" w:rsidR="009D0006" w:rsidRPr="00D75017" w:rsidRDefault="009D0006" w:rsidP="00890FF8">
            <w:pPr>
              <w:pStyle w:val="Tabletext"/>
              <w:rPr>
                <w:lang w:val="en-US"/>
              </w:rPr>
            </w:pPr>
            <w:r>
              <w:rPr>
                <w:lang w:val="en-US"/>
              </w:rPr>
              <w:t>73.9</w:t>
            </w:r>
          </w:p>
        </w:tc>
      </w:tr>
      <w:tr w:rsidR="009D0006" w:rsidRPr="00D75017" w14:paraId="3BBCE2A1"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2B7540CE" w14:textId="77777777" w:rsidR="009D0006" w:rsidRPr="00D75017" w:rsidRDefault="009D0006" w:rsidP="00890FF8">
            <w:pPr>
              <w:pStyle w:val="Tabletext"/>
              <w:rPr>
                <w:lang w:val="en-US"/>
              </w:rPr>
            </w:pPr>
            <w:r w:rsidRPr="00D75017">
              <w:rPr>
                <w:lang w:val="en-US"/>
              </w:rPr>
              <w:t>Religious or spiritual community leader or elder</w:t>
            </w:r>
          </w:p>
        </w:tc>
        <w:tc>
          <w:tcPr>
            <w:tcW w:w="1559" w:type="dxa"/>
            <w:noWrap/>
          </w:tcPr>
          <w:p w14:paraId="4C43FA06" w14:textId="77777777" w:rsidR="009D0006" w:rsidRPr="00D75017" w:rsidRDefault="009D0006" w:rsidP="00890FF8">
            <w:pPr>
              <w:pStyle w:val="Tabletext"/>
              <w:rPr>
                <w:lang w:val="en-US"/>
              </w:rPr>
            </w:pPr>
            <w:r>
              <w:t>16</w:t>
            </w:r>
          </w:p>
        </w:tc>
        <w:tc>
          <w:tcPr>
            <w:tcW w:w="1559" w:type="dxa"/>
            <w:noWrap/>
          </w:tcPr>
          <w:p w14:paraId="66DB9431" w14:textId="77777777" w:rsidR="009D0006" w:rsidRPr="00D75017" w:rsidRDefault="009D0006" w:rsidP="00890FF8">
            <w:pPr>
              <w:pStyle w:val="Tabletext"/>
              <w:rPr>
                <w:lang w:val="en-US"/>
              </w:rPr>
            </w:pPr>
            <w:r>
              <w:t>0.8</w:t>
            </w:r>
          </w:p>
        </w:tc>
        <w:tc>
          <w:tcPr>
            <w:tcW w:w="1559" w:type="dxa"/>
            <w:noWrap/>
          </w:tcPr>
          <w:p w14:paraId="10D0F7BE" w14:textId="77777777" w:rsidR="009D0006" w:rsidRPr="00D75017" w:rsidRDefault="009D0006" w:rsidP="00890FF8">
            <w:pPr>
              <w:pStyle w:val="Tabletext"/>
              <w:rPr>
                <w:lang w:val="en-US"/>
              </w:rPr>
            </w:pPr>
            <w:r>
              <w:rPr>
                <w:lang w:val="en-US"/>
              </w:rPr>
              <w:t>64.9</w:t>
            </w:r>
          </w:p>
        </w:tc>
      </w:tr>
      <w:tr w:rsidR="009D0006" w:rsidRPr="00D75017" w14:paraId="5C4C2975" w14:textId="77777777" w:rsidTr="00890FF8">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584F1394" w14:textId="77777777" w:rsidR="009D0006" w:rsidRPr="00D75017" w:rsidRDefault="009D0006" w:rsidP="00890FF8">
            <w:pPr>
              <w:pStyle w:val="Tabletext"/>
              <w:rPr>
                <w:lang w:val="en-US"/>
              </w:rPr>
            </w:pPr>
            <w:r w:rsidRPr="00D75017">
              <w:rPr>
                <w:lang w:val="en-US"/>
              </w:rPr>
              <w:t>Other</w:t>
            </w:r>
          </w:p>
        </w:tc>
        <w:tc>
          <w:tcPr>
            <w:tcW w:w="1559" w:type="dxa"/>
            <w:noWrap/>
          </w:tcPr>
          <w:p w14:paraId="6CAEED7A" w14:textId="77777777" w:rsidR="009D0006" w:rsidRPr="00D75017" w:rsidRDefault="009D0006" w:rsidP="00890FF8">
            <w:pPr>
              <w:pStyle w:val="Tabletext"/>
              <w:rPr>
                <w:lang w:val="en-US"/>
              </w:rPr>
            </w:pPr>
            <w:r>
              <w:t>110</w:t>
            </w:r>
          </w:p>
        </w:tc>
        <w:tc>
          <w:tcPr>
            <w:tcW w:w="1559" w:type="dxa"/>
            <w:noWrap/>
          </w:tcPr>
          <w:p w14:paraId="0DD963EC" w14:textId="77777777" w:rsidR="009D0006" w:rsidRPr="00D75017" w:rsidRDefault="009D0006" w:rsidP="00890FF8">
            <w:pPr>
              <w:pStyle w:val="Tabletext"/>
              <w:rPr>
                <w:lang w:val="en-US"/>
              </w:rPr>
            </w:pPr>
            <w:r>
              <w:t>5.1</w:t>
            </w:r>
          </w:p>
        </w:tc>
        <w:tc>
          <w:tcPr>
            <w:tcW w:w="1559" w:type="dxa"/>
            <w:noWrap/>
          </w:tcPr>
          <w:p w14:paraId="67DB1F49" w14:textId="77777777" w:rsidR="009D0006" w:rsidRPr="00D75017" w:rsidRDefault="009D0006" w:rsidP="00890FF8">
            <w:pPr>
              <w:pStyle w:val="Tabletext"/>
              <w:rPr>
                <w:lang w:val="en-US"/>
              </w:rPr>
            </w:pPr>
            <w:r>
              <w:rPr>
                <w:lang w:val="en-US"/>
              </w:rPr>
              <w:t>84.3</w:t>
            </w:r>
          </w:p>
        </w:tc>
      </w:tr>
      <w:tr w:rsidR="009D0006" w:rsidRPr="00D75017" w14:paraId="27E7E518" w14:textId="77777777" w:rsidTr="00890FF8">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70DF4398" w14:textId="77777777" w:rsidR="009D0006" w:rsidRPr="00D75017" w:rsidRDefault="009D0006" w:rsidP="00466C21">
            <w:pPr>
              <w:rPr>
                <w:rFonts w:ascii="Roboto" w:hAnsi="Roboto"/>
                <w:b/>
                <w:bCs/>
                <w:sz w:val="22"/>
                <w:lang w:val="en-US"/>
              </w:rPr>
            </w:pPr>
            <w:r w:rsidRPr="00D75017">
              <w:rPr>
                <w:rFonts w:ascii="Roboto" w:hAnsi="Roboto"/>
                <w:b/>
                <w:bCs/>
                <w:sz w:val="22"/>
                <w:lang w:val="en-US"/>
              </w:rPr>
              <w:t>I did not report this abusive behaviour</w:t>
            </w:r>
          </w:p>
        </w:tc>
        <w:tc>
          <w:tcPr>
            <w:tcW w:w="1559" w:type="dxa"/>
            <w:noWrap/>
            <w:hideMark/>
          </w:tcPr>
          <w:p w14:paraId="4031131B" w14:textId="77777777" w:rsidR="009D0006" w:rsidRPr="00D75017" w:rsidRDefault="009D0006" w:rsidP="00890FF8">
            <w:pPr>
              <w:pStyle w:val="Tabletext"/>
              <w:rPr>
                <w:rFonts w:ascii="Roboto" w:hAnsi="Roboto"/>
                <w:b/>
                <w:bCs/>
                <w:lang w:val="en-US"/>
              </w:rPr>
            </w:pPr>
            <w:r>
              <w:rPr>
                <w:rFonts w:ascii="Roboto" w:hAnsi="Roboto"/>
                <w:b/>
                <w:bCs/>
                <w:lang w:val="en-US"/>
              </w:rPr>
              <w:t>1443</w:t>
            </w:r>
          </w:p>
        </w:tc>
        <w:tc>
          <w:tcPr>
            <w:tcW w:w="1559" w:type="dxa"/>
            <w:noWrap/>
            <w:hideMark/>
          </w:tcPr>
          <w:p w14:paraId="35B6DA6F" w14:textId="77777777" w:rsidR="009D0006" w:rsidRPr="00D75017" w:rsidRDefault="009D0006" w:rsidP="00890FF8">
            <w:pPr>
              <w:pStyle w:val="Tabletext"/>
              <w:rPr>
                <w:rFonts w:ascii="Roboto" w:hAnsi="Roboto"/>
                <w:b/>
                <w:bCs/>
                <w:lang w:val="en-US"/>
              </w:rPr>
            </w:pPr>
            <w:r>
              <w:rPr>
                <w:rFonts w:ascii="Roboto" w:hAnsi="Roboto"/>
                <w:b/>
                <w:bCs/>
              </w:rPr>
              <w:t>67.5</w:t>
            </w:r>
          </w:p>
        </w:tc>
        <w:tc>
          <w:tcPr>
            <w:tcW w:w="1559" w:type="dxa"/>
            <w:noWrap/>
            <w:hideMark/>
          </w:tcPr>
          <w:p w14:paraId="42E6B62E" w14:textId="77777777" w:rsidR="009D0006" w:rsidRPr="00D75017" w:rsidRDefault="009D0006" w:rsidP="00890FF8">
            <w:pPr>
              <w:pStyle w:val="Tabletext"/>
              <w:rPr>
                <w:rFonts w:ascii="Roboto" w:hAnsi="Roboto"/>
                <w:b/>
                <w:bCs/>
                <w:lang w:val="en-US"/>
              </w:rPr>
            </w:pPr>
            <w:r w:rsidRPr="00D75017">
              <w:rPr>
                <w:rFonts w:ascii="Roboto" w:hAnsi="Roboto"/>
                <w:b/>
                <w:bCs/>
                <w:lang w:val="en-US"/>
              </w:rPr>
              <w:t>-</w:t>
            </w:r>
          </w:p>
        </w:tc>
      </w:tr>
    </w:tbl>
    <w:bookmarkEnd w:id="557"/>
    <w:p w14:paraId="4242F81E" w14:textId="77777777" w:rsidR="009D0006" w:rsidRDefault="009D0006" w:rsidP="00526E70">
      <w:pPr>
        <w:spacing w:before="360"/>
      </w:pPr>
      <w:r>
        <w:t>More</w:t>
      </w:r>
      <w:r w:rsidRPr="007926F8">
        <w:t xml:space="preserve"> than two-thirds of </w:t>
      </w:r>
      <w:r w:rsidRPr="000C02DC">
        <w:t>participants</w:t>
      </w:r>
      <w:r w:rsidRPr="007926F8">
        <w:t xml:space="preserve"> with disability in</w:t>
      </w:r>
      <w:r>
        <w:t xml:space="preserve"> </w:t>
      </w:r>
      <w:r>
        <w:rPr>
          <w:i/>
          <w:iCs/>
        </w:rPr>
        <w:t>Private Lives 3</w:t>
      </w:r>
      <w:r>
        <w:t xml:space="preserve"> who had experienced family violence did not report their most recent experience of violence to any professional services (67.5%; n = 1443). Of those who did report it, the most frequently reported service was </w:t>
      </w:r>
      <w:r w:rsidRPr="007926F8">
        <w:t>a counselling service or psychologist (23.2%; n = 496)</w:t>
      </w:r>
      <w:r>
        <w:t xml:space="preserve">. Only small proportions of participants reported to the remaining services, including police (6.7%; n= 144), doctor or hospital (5.2%; n = 112), telephone helpline (3.3%; n = 70), lawyer, legal service or court system (3.1%; n = 67), domestic or family violence service (3.0%; n = 65), teacher or educational institution (1.9%; n = 40), employer (1.5%; n = 32), sexual assault service (1.4%; n = 30), LGBTIQ organisation (1.3%; n = 28), religious or spiritual community leader or elder (0.8%; n = 16) or another service that was not listed (5.1%; n = 110). </w:t>
      </w:r>
    </w:p>
    <w:p w14:paraId="1E356979" w14:textId="77777777" w:rsidR="009D0006" w:rsidRDefault="009D0006" w:rsidP="009D0006">
      <w:r>
        <w:t xml:space="preserve">Among participants who had reported to these services, the highest proportion felt supported if they had reported to a counselling service or psychologist (89.4%), followed by a sexual assault service (79.6%), LGBTIQ organisation (73.9%), employer (71.3%), teacher or </w:t>
      </w:r>
      <w:r>
        <w:lastRenderedPageBreak/>
        <w:t>educational institution (69.9%), doctor or hospital (68.4%), domestic of family violence service (65.1%), religious or spiritual community leader or elder (64.9%), telephone helpline (58.6%) or lawyer, legal service or court system (57.1%). Those who reported to the police had the lowest proportion who felt supported (45.0%). Among participants who had reported to a service other than those listed, 84.3% had felt supported.</w:t>
      </w:r>
    </w:p>
    <w:p w14:paraId="021C00E1" w14:textId="77EC795A" w:rsidR="009D0006" w:rsidRPr="000D7ED3" w:rsidRDefault="009D0006" w:rsidP="00153892">
      <w:pPr>
        <w:pStyle w:val="Heading2Numbered"/>
      </w:pPr>
      <w:bookmarkStart w:id="590" w:name="_Toc37346078"/>
      <w:bookmarkStart w:id="591" w:name="_Toc42029377"/>
      <w:bookmarkStart w:id="592" w:name="_Toc42030117"/>
      <w:bookmarkStart w:id="593" w:name="_Toc43903924"/>
      <w:bookmarkStart w:id="594" w:name="_Toc115968579"/>
      <w:bookmarkStart w:id="595" w:name="_Toc119662440"/>
      <w:r w:rsidRPr="000D7ED3">
        <w:t>Preferences for future support</w:t>
      </w:r>
      <w:bookmarkEnd w:id="590"/>
      <w:bookmarkEnd w:id="591"/>
      <w:bookmarkEnd w:id="592"/>
      <w:bookmarkEnd w:id="593"/>
      <w:r w:rsidRPr="000D7ED3">
        <w:t xml:space="preserve"> - adults aged 18+ years</w:t>
      </w:r>
      <w:bookmarkEnd w:id="594"/>
      <w:bookmarkEnd w:id="595"/>
    </w:p>
    <w:p w14:paraId="075A7AE1" w14:textId="77777777" w:rsidR="009D0006" w:rsidRDefault="009D0006" w:rsidP="009D0006">
      <w:r w:rsidRPr="000D7ED3">
        <w:t xml:space="preserve">All participants </w:t>
      </w:r>
      <w:r>
        <w:t xml:space="preserve">with disability </w:t>
      </w:r>
      <w:r w:rsidRPr="000D7ED3">
        <w:t xml:space="preserve">(n = </w:t>
      </w:r>
      <w:r>
        <w:t>2614</w:t>
      </w:r>
      <w:r w:rsidRPr="000D7ED3">
        <w:t>) were asked where they would prefer to access support services if they ever experienced intimate partner or family violence in the future. Just over one</w:t>
      </w:r>
      <w:r>
        <w:t>-</w:t>
      </w:r>
      <w:r w:rsidRPr="000D7ED3">
        <w:t>third (35.1%; n =</w:t>
      </w:r>
      <w:r>
        <w:t xml:space="preserve"> 918</w:t>
      </w:r>
      <w:r w:rsidRPr="000D7ED3">
        <w:t xml:space="preserve">) reported ‘from a mainstream domestic violence service that is LGBTIQ-inclusive’, </w:t>
      </w:r>
      <w:r>
        <w:t>22.8</w:t>
      </w:r>
      <w:r w:rsidRPr="000D7ED3">
        <w:t xml:space="preserve">% (n = </w:t>
      </w:r>
      <w:r>
        <w:t>596</w:t>
      </w:r>
      <w:r w:rsidRPr="000D7ED3">
        <w:t xml:space="preserve">) ‘from a domestic violence service that caters only to </w:t>
      </w:r>
      <w:r w:rsidRPr="000D7ED3">
        <w:rPr>
          <w:lang w:val="en-US"/>
        </w:rPr>
        <w:t xml:space="preserve">lesbian, gay, bisexual, transgender and/or intersex </w:t>
      </w:r>
      <w:r w:rsidRPr="000D7ED3">
        <w:t xml:space="preserve">people, </w:t>
      </w:r>
      <w:r>
        <w:t>4.</w:t>
      </w:r>
      <w:r w:rsidRPr="000D7ED3">
        <w:t xml:space="preserve">3% (n = </w:t>
      </w:r>
      <w:r>
        <w:t>112</w:t>
      </w:r>
      <w:r w:rsidRPr="000D7ED3">
        <w:t>) from ‘a mainstream domestic violence service’, 2</w:t>
      </w:r>
      <w:r>
        <w:t>2.8</w:t>
      </w:r>
      <w:r w:rsidRPr="000D7ED3">
        <w:t xml:space="preserve">% (n = </w:t>
      </w:r>
      <w:r>
        <w:t>595</w:t>
      </w:r>
      <w:r w:rsidRPr="000D7ED3">
        <w:t xml:space="preserve">) ‘did not know’ and </w:t>
      </w:r>
      <w:r>
        <w:t>15.0</w:t>
      </w:r>
      <w:r w:rsidRPr="000D7ED3">
        <w:t xml:space="preserve">% (n = </w:t>
      </w:r>
      <w:r>
        <w:t>393</w:t>
      </w:r>
      <w:r w:rsidRPr="000D7ED3">
        <w:t xml:space="preserve">) had ‘no preference’. </w:t>
      </w:r>
      <w:bookmarkStart w:id="596" w:name="_Toc37346079"/>
      <w:bookmarkStart w:id="597" w:name="_Toc42029378"/>
      <w:bookmarkStart w:id="598" w:name="_Toc42030118"/>
      <w:bookmarkStart w:id="599" w:name="_Toc43903925"/>
      <w:bookmarkStart w:id="600" w:name="_Hlk35010875"/>
    </w:p>
    <w:p w14:paraId="58ABEA77" w14:textId="45F8732C" w:rsidR="009D0006" w:rsidRPr="000D7ED3" w:rsidRDefault="009D0006" w:rsidP="00153892">
      <w:pPr>
        <w:pStyle w:val="Heading2Numbered"/>
      </w:pPr>
      <w:bookmarkStart w:id="601" w:name="_Toc115968580"/>
      <w:bookmarkStart w:id="602" w:name="_Toc119662441"/>
      <w:r w:rsidRPr="000D7ED3">
        <w:t>Experiences of sexual assault</w:t>
      </w:r>
      <w:bookmarkEnd w:id="596"/>
      <w:bookmarkEnd w:id="597"/>
      <w:bookmarkEnd w:id="598"/>
      <w:bookmarkEnd w:id="599"/>
      <w:r w:rsidRPr="000D7ED3">
        <w:t xml:space="preserve"> - adults aged 18+ years</w:t>
      </w:r>
      <w:bookmarkEnd w:id="601"/>
      <w:bookmarkEnd w:id="602"/>
    </w:p>
    <w:p w14:paraId="564EB69D" w14:textId="77777777" w:rsidR="009D0006" w:rsidRDefault="009D0006" w:rsidP="009D0006">
      <w:r w:rsidRPr="000D7ED3">
        <w:t xml:space="preserve">Participants were asked </w:t>
      </w:r>
      <w:r w:rsidRPr="000D7ED3">
        <w:rPr>
          <w:lang w:val="en-US"/>
        </w:rPr>
        <w:t xml:space="preserve">if ‘anyone ever coerced or forced you into sexual acts you did not want to engage in?’ This included such acts as kissing, touching, sexual intercourse or being forced to watch pornography or unwanted sexual acts. </w:t>
      </w:r>
      <w:bookmarkStart w:id="603" w:name="_Hlk42080839"/>
      <w:r w:rsidRPr="000D7ED3">
        <w:t xml:space="preserve">Almost </w:t>
      </w:r>
      <w:r>
        <w:t>two-thirds</w:t>
      </w:r>
      <w:r w:rsidRPr="000D7ED3">
        <w:t xml:space="preserve"> (</w:t>
      </w:r>
      <w:r>
        <w:t>64.1</w:t>
      </w:r>
      <w:r w:rsidRPr="000D7ED3">
        <w:t xml:space="preserve">%; n = </w:t>
      </w:r>
      <w:r>
        <w:t>1680</w:t>
      </w:r>
      <w:r w:rsidRPr="000D7ED3">
        <w:t xml:space="preserve">) </w:t>
      </w:r>
      <w:r>
        <w:t xml:space="preserve">of adults with disability aged 18+ years </w:t>
      </w:r>
      <w:r w:rsidRPr="000D7ED3">
        <w:t>reported having ever been coerced or forced into sexual acts they did not want to engage in</w:t>
      </w:r>
      <w:r>
        <w:t>, with12.0</w:t>
      </w:r>
      <w:r w:rsidRPr="000D7ED3">
        <w:t xml:space="preserve">% (n = </w:t>
      </w:r>
      <w:r>
        <w:t>314</w:t>
      </w:r>
      <w:r w:rsidRPr="000D7ED3">
        <w:t xml:space="preserve">) </w:t>
      </w:r>
      <w:r>
        <w:t>reporting this in relation to</w:t>
      </w:r>
      <w:r w:rsidRPr="000D7ED3">
        <w:t xml:space="preserve"> the past 12 months. </w:t>
      </w:r>
    </w:p>
    <w:p w14:paraId="24C087A5" w14:textId="77777777" w:rsidR="009D0006" w:rsidRDefault="009D0006" w:rsidP="00526E70">
      <w:pPr>
        <w:pStyle w:val="Tableheading"/>
      </w:pPr>
      <w:bookmarkStart w:id="604" w:name="_Toc117062774"/>
      <w:bookmarkStart w:id="605" w:name="_Toc119651459"/>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56</w:t>
      </w:r>
      <w:r w:rsidRPr="00985828">
        <w:rPr>
          <w:bCs/>
          <w:sz w:val="18"/>
          <w:szCs w:val="18"/>
        </w:rPr>
        <w:fldChar w:fldCharType="end"/>
      </w:r>
      <w:r>
        <w:t xml:space="preserve">.1-56.4 </w:t>
      </w:r>
      <w:r w:rsidRPr="000D7ED3">
        <w:t xml:space="preserve">Proportion of </w:t>
      </w:r>
      <w:r>
        <w:t>adults aged 18+ years</w:t>
      </w:r>
      <w:r w:rsidRPr="000D7ED3">
        <w:t xml:space="preserve"> experiencing sexual assault in the past 12 months and ever, </w:t>
      </w:r>
      <w:r>
        <w:t xml:space="preserve">grouped </w:t>
      </w:r>
      <w:r w:rsidRPr="000D7ED3">
        <w:t xml:space="preserve">by </w:t>
      </w:r>
      <w:r>
        <w:t>D</w:t>
      </w:r>
      <w:r w:rsidRPr="000D7ED3">
        <w:t>isability</w:t>
      </w:r>
      <w:r>
        <w:t xml:space="preserve"> Flag category</w:t>
      </w:r>
      <w:r w:rsidRPr="000D7ED3">
        <w:t xml:space="preserve"> (n = </w:t>
      </w:r>
      <w:r>
        <w:t>6518</w:t>
      </w:r>
      <w:r w:rsidRPr="000D7ED3">
        <w:t>)</w:t>
      </w:r>
      <w:bookmarkEnd w:id="604"/>
      <w:bookmarkEnd w:id="605"/>
    </w:p>
    <w:p w14:paraId="092079EB" w14:textId="77777777" w:rsidR="009D0006" w:rsidRDefault="009D0006" w:rsidP="00526E70">
      <w:pPr>
        <w:pStyle w:val="Tableheading"/>
      </w:pPr>
      <w:r>
        <w:t>Table 56.1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3BA7E6E" w14:textId="77777777" w:rsidTr="007768C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DF1EFF5" w14:textId="77777777" w:rsidR="009D0006" w:rsidRPr="003F4D73" w:rsidRDefault="009D0006" w:rsidP="007768C7">
            <w:pPr>
              <w:pStyle w:val="Tableheader"/>
            </w:pPr>
            <w:r>
              <w:t>Sexual assault</w:t>
            </w:r>
          </w:p>
        </w:tc>
        <w:tc>
          <w:tcPr>
            <w:tcW w:w="1559" w:type="dxa"/>
            <w:noWrap/>
            <w:hideMark/>
          </w:tcPr>
          <w:p w14:paraId="058F5DB4" w14:textId="77777777" w:rsidR="009D0006" w:rsidRPr="003F4D73" w:rsidRDefault="009D0006" w:rsidP="007768C7">
            <w:pPr>
              <w:pStyle w:val="Tableheader"/>
            </w:pPr>
            <w:r>
              <w:t>n</w:t>
            </w:r>
          </w:p>
        </w:tc>
        <w:tc>
          <w:tcPr>
            <w:tcW w:w="1559" w:type="dxa"/>
            <w:noWrap/>
            <w:hideMark/>
          </w:tcPr>
          <w:p w14:paraId="680A71BE" w14:textId="77777777" w:rsidR="009D0006" w:rsidRPr="003F4D73" w:rsidRDefault="009D0006" w:rsidP="007768C7">
            <w:pPr>
              <w:pStyle w:val="Tableheader"/>
            </w:pPr>
            <w:r w:rsidRPr="003F4D73">
              <w:t>%</w:t>
            </w:r>
          </w:p>
        </w:tc>
      </w:tr>
      <w:tr w:rsidR="009D0006" w:rsidRPr="003F4D73" w14:paraId="27128F75" w14:textId="77777777" w:rsidTr="007768C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4913E31" w14:textId="77777777" w:rsidR="009D0006" w:rsidRPr="003F4D73" w:rsidRDefault="009D0006" w:rsidP="007768C7">
            <w:pPr>
              <w:pStyle w:val="Tabletext"/>
              <w:rPr>
                <w:color w:val="0D0D0D"/>
              </w:rPr>
            </w:pPr>
            <w:r>
              <w:t>Past 12 months</w:t>
            </w:r>
          </w:p>
        </w:tc>
        <w:tc>
          <w:tcPr>
            <w:tcW w:w="1559" w:type="dxa"/>
            <w:noWrap/>
          </w:tcPr>
          <w:p w14:paraId="630BBDEF" w14:textId="77777777" w:rsidR="009D0006" w:rsidRPr="003F4D73" w:rsidRDefault="009D0006" w:rsidP="007768C7">
            <w:pPr>
              <w:pStyle w:val="Tabletext"/>
              <w:rPr>
                <w:color w:val="0D0D0D"/>
              </w:rPr>
            </w:pPr>
            <w:r>
              <w:t>30</w:t>
            </w:r>
          </w:p>
        </w:tc>
        <w:tc>
          <w:tcPr>
            <w:tcW w:w="1559" w:type="dxa"/>
            <w:noWrap/>
          </w:tcPr>
          <w:p w14:paraId="54825563" w14:textId="77777777" w:rsidR="009D0006" w:rsidRPr="003F4D73" w:rsidRDefault="009D0006" w:rsidP="007768C7">
            <w:pPr>
              <w:pStyle w:val="Tabletext"/>
              <w:rPr>
                <w:color w:val="0D0D0D"/>
              </w:rPr>
            </w:pPr>
            <w:r>
              <w:t>6.9</w:t>
            </w:r>
          </w:p>
        </w:tc>
      </w:tr>
      <w:tr w:rsidR="009D0006" w:rsidRPr="003F4D73" w14:paraId="5830443C" w14:textId="77777777" w:rsidTr="007768C7">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E1642D7" w14:textId="77777777" w:rsidR="009D0006" w:rsidRPr="003F4D73" w:rsidRDefault="009D0006" w:rsidP="007768C7">
            <w:pPr>
              <w:pStyle w:val="Tabletext"/>
              <w:rPr>
                <w:color w:val="0D0D0D"/>
              </w:rPr>
            </w:pPr>
            <w:r>
              <w:t>Ever</w:t>
            </w:r>
          </w:p>
        </w:tc>
        <w:tc>
          <w:tcPr>
            <w:tcW w:w="1559" w:type="dxa"/>
            <w:noWrap/>
          </w:tcPr>
          <w:p w14:paraId="070EE296" w14:textId="77777777" w:rsidR="009D0006" w:rsidRPr="003F4D73" w:rsidRDefault="009D0006" w:rsidP="007768C7">
            <w:pPr>
              <w:pStyle w:val="Tabletext"/>
              <w:rPr>
                <w:color w:val="0D0D0D"/>
              </w:rPr>
            </w:pPr>
            <w:r>
              <w:rPr>
                <w:color w:val="0D0D0D"/>
              </w:rPr>
              <w:t>243</w:t>
            </w:r>
          </w:p>
        </w:tc>
        <w:tc>
          <w:tcPr>
            <w:tcW w:w="1559" w:type="dxa"/>
            <w:noWrap/>
          </w:tcPr>
          <w:p w14:paraId="61175BF9" w14:textId="77777777" w:rsidR="009D0006" w:rsidRPr="003F4D73" w:rsidRDefault="009D0006" w:rsidP="007768C7">
            <w:pPr>
              <w:pStyle w:val="Tabletext"/>
              <w:rPr>
                <w:color w:val="0D0D0D"/>
              </w:rPr>
            </w:pPr>
            <w:r>
              <w:rPr>
                <w:color w:val="0D0D0D"/>
              </w:rPr>
              <w:t>56.3</w:t>
            </w:r>
          </w:p>
        </w:tc>
      </w:tr>
    </w:tbl>
    <w:p w14:paraId="4EB69766" w14:textId="77777777" w:rsidR="009D0006" w:rsidRDefault="009D0006" w:rsidP="00526E70">
      <w:pPr>
        <w:pStyle w:val="Tableheading"/>
      </w:pPr>
      <w:r>
        <w:t xml:space="preserve">Table 56.2 </w:t>
      </w:r>
      <w:r>
        <w:lastRenderedPageBreak/>
        <w:t>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40EF8B4" w14:textId="77777777" w:rsidTr="007768C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DDB0995" w14:textId="77777777" w:rsidR="009D0006" w:rsidRPr="003F4D73" w:rsidRDefault="009D0006" w:rsidP="007768C7">
            <w:pPr>
              <w:pStyle w:val="Tableheader"/>
            </w:pPr>
            <w:r>
              <w:t>Sexual assault</w:t>
            </w:r>
          </w:p>
        </w:tc>
        <w:tc>
          <w:tcPr>
            <w:tcW w:w="1559" w:type="dxa"/>
            <w:hideMark/>
          </w:tcPr>
          <w:p w14:paraId="670B77B0" w14:textId="77777777" w:rsidR="009D0006" w:rsidRPr="003F4D73" w:rsidRDefault="009D0006" w:rsidP="007768C7">
            <w:pPr>
              <w:pStyle w:val="Tableheader"/>
            </w:pPr>
            <w:r>
              <w:t>n</w:t>
            </w:r>
          </w:p>
        </w:tc>
        <w:tc>
          <w:tcPr>
            <w:tcW w:w="1559" w:type="dxa"/>
            <w:hideMark/>
          </w:tcPr>
          <w:p w14:paraId="3DFB7D9E" w14:textId="77777777" w:rsidR="009D0006" w:rsidRPr="003F4D73" w:rsidRDefault="009D0006" w:rsidP="007768C7">
            <w:pPr>
              <w:pStyle w:val="Tableheader"/>
            </w:pPr>
            <w:r w:rsidRPr="003F4D73">
              <w:t>%</w:t>
            </w:r>
          </w:p>
        </w:tc>
      </w:tr>
      <w:tr w:rsidR="009D0006" w:rsidRPr="003F4D73" w14:paraId="1C9755F5" w14:textId="77777777" w:rsidTr="007768C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D67F737" w14:textId="77777777" w:rsidR="009D0006" w:rsidRPr="003F4D73" w:rsidRDefault="009D0006" w:rsidP="007768C7">
            <w:pPr>
              <w:pStyle w:val="Tabletext"/>
              <w:rPr>
                <w:color w:val="0D0D0D"/>
              </w:rPr>
            </w:pPr>
            <w:r>
              <w:t>Past 12 months</w:t>
            </w:r>
          </w:p>
        </w:tc>
        <w:tc>
          <w:tcPr>
            <w:tcW w:w="1559" w:type="dxa"/>
          </w:tcPr>
          <w:p w14:paraId="1883F37E" w14:textId="77777777" w:rsidR="009D0006" w:rsidRPr="003F4D73" w:rsidRDefault="009D0006" w:rsidP="007768C7">
            <w:pPr>
              <w:pStyle w:val="Tabletext"/>
              <w:rPr>
                <w:color w:val="0D0D0D"/>
              </w:rPr>
            </w:pPr>
            <w:r>
              <w:t>155</w:t>
            </w:r>
          </w:p>
        </w:tc>
        <w:tc>
          <w:tcPr>
            <w:tcW w:w="1559" w:type="dxa"/>
          </w:tcPr>
          <w:p w14:paraId="1920DBA7" w14:textId="77777777" w:rsidR="009D0006" w:rsidRPr="003F4D73" w:rsidRDefault="009D0006" w:rsidP="007768C7">
            <w:pPr>
              <w:pStyle w:val="Tabletext"/>
              <w:rPr>
                <w:color w:val="0D0D0D"/>
              </w:rPr>
            </w:pPr>
            <w:r>
              <w:t>11.2</w:t>
            </w:r>
          </w:p>
        </w:tc>
      </w:tr>
      <w:tr w:rsidR="009D0006" w:rsidRPr="003F4D73" w14:paraId="72D4C513" w14:textId="77777777" w:rsidTr="007768C7">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4C96BFF" w14:textId="77777777" w:rsidR="009D0006" w:rsidRPr="003F4D73" w:rsidRDefault="009D0006" w:rsidP="007768C7">
            <w:pPr>
              <w:pStyle w:val="Tabletext"/>
              <w:rPr>
                <w:color w:val="0D0D0D"/>
              </w:rPr>
            </w:pPr>
            <w:r>
              <w:t>Ever</w:t>
            </w:r>
          </w:p>
        </w:tc>
        <w:tc>
          <w:tcPr>
            <w:tcW w:w="1559" w:type="dxa"/>
          </w:tcPr>
          <w:p w14:paraId="6E41073A" w14:textId="77777777" w:rsidR="009D0006" w:rsidRPr="003F4D73" w:rsidRDefault="009D0006" w:rsidP="007768C7">
            <w:pPr>
              <w:pStyle w:val="Tabletext"/>
              <w:rPr>
                <w:color w:val="0D0D0D"/>
              </w:rPr>
            </w:pPr>
            <w:r>
              <w:rPr>
                <w:color w:val="0D0D0D"/>
              </w:rPr>
              <w:t>848</w:t>
            </w:r>
          </w:p>
        </w:tc>
        <w:tc>
          <w:tcPr>
            <w:tcW w:w="1559" w:type="dxa"/>
          </w:tcPr>
          <w:p w14:paraId="4FBF23FF" w14:textId="77777777" w:rsidR="009D0006" w:rsidRPr="003F4D73" w:rsidRDefault="009D0006" w:rsidP="007768C7">
            <w:pPr>
              <w:pStyle w:val="Tabletext"/>
              <w:rPr>
                <w:color w:val="0D0D0D"/>
              </w:rPr>
            </w:pPr>
            <w:r>
              <w:rPr>
                <w:color w:val="0D0D0D"/>
              </w:rPr>
              <w:t>61.0</w:t>
            </w:r>
          </w:p>
        </w:tc>
      </w:tr>
    </w:tbl>
    <w:p w14:paraId="67996921" w14:textId="77777777" w:rsidR="009D0006" w:rsidRDefault="009D0006" w:rsidP="002876D2">
      <w:pPr>
        <w:pStyle w:val="Tableheading"/>
      </w:pPr>
      <w:r>
        <w:t>Table 56.3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7927C59" w14:textId="77777777" w:rsidTr="007768C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3630151" w14:textId="77777777" w:rsidR="009D0006" w:rsidRPr="003F4D73" w:rsidRDefault="009D0006" w:rsidP="007768C7">
            <w:pPr>
              <w:pStyle w:val="Tableheader"/>
            </w:pPr>
            <w:r>
              <w:t>Sexual assault</w:t>
            </w:r>
          </w:p>
        </w:tc>
        <w:tc>
          <w:tcPr>
            <w:tcW w:w="1559" w:type="dxa"/>
            <w:noWrap/>
            <w:hideMark/>
          </w:tcPr>
          <w:p w14:paraId="08362A3D" w14:textId="77777777" w:rsidR="009D0006" w:rsidRPr="003F4D73" w:rsidRDefault="009D0006" w:rsidP="007768C7">
            <w:pPr>
              <w:pStyle w:val="Tableheader"/>
            </w:pPr>
            <w:r>
              <w:t>n</w:t>
            </w:r>
          </w:p>
        </w:tc>
        <w:tc>
          <w:tcPr>
            <w:tcW w:w="1559" w:type="dxa"/>
            <w:noWrap/>
            <w:hideMark/>
          </w:tcPr>
          <w:p w14:paraId="20FF2746" w14:textId="77777777" w:rsidR="009D0006" w:rsidRPr="003F4D73" w:rsidRDefault="009D0006" w:rsidP="007768C7">
            <w:pPr>
              <w:pStyle w:val="Tableheader"/>
            </w:pPr>
            <w:r w:rsidRPr="003F4D73">
              <w:t>%</w:t>
            </w:r>
          </w:p>
        </w:tc>
      </w:tr>
      <w:tr w:rsidR="009D0006" w:rsidRPr="003F4D73" w14:paraId="771E5FC4" w14:textId="77777777" w:rsidTr="007768C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9B94CF4" w14:textId="77777777" w:rsidR="009D0006" w:rsidRPr="003F4D73" w:rsidRDefault="009D0006" w:rsidP="007768C7">
            <w:pPr>
              <w:pStyle w:val="Tabletext"/>
              <w:rPr>
                <w:color w:val="0D0D0D"/>
              </w:rPr>
            </w:pPr>
            <w:r>
              <w:t>Past 12 months</w:t>
            </w:r>
          </w:p>
        </w:tc>
        <w:tc>
          <w:tcPr>
            <w:tcW w:w="1559" w:type="dxa"/>
            <w:noWrap/>
          </w:tcPr>
          <w:p w14:paraId="64CA18C3" w14:textId="77777777" w:rsidR="009D0006" w:rsidRPr="003F4D73" w:rsidRDefault="009D0006" w:rsidP="007768C7">
            <w:pPr>
              <w:pStyle w:val="Tabletext"/>
              <w:rPr>
                <w:color w:val="0D0D0D"/>
              </w:rPr>
            </w:pPr>
            <w:r>
              <w:rPr>
                <w:color w:val="0D0D0D"/>
              </w:rPr>
              <w:t>129</w:t>
            </w:r>
          </w:p>
        </w:tc>
        <w:tc>
          <w:tcPr>
            <w:tcW w:w="1559" w:type="dxa"/>
            <w:noWrap/>
          </w:tcPr>
          <w:p w14:paraId="3824CECD" w14:textId="77777777" w:rsidR="009D0006" w:rsidRPr="003F4D73" w:rsidRDefault="009D0006" w:rsidP="007768C7">
            <w:pPr>
              <w:pStyle w:val="Tabletext"/>
              <w:rPr>
                <w:color w:val="0D0D0D"/>
              </w:rPr>
            </w:pPr>
            <w:r>
              <w:rPr>
                <w:color w:val="0D0D0D"/>
              </w:rPr>
              <w:t>16.1</w:t>
            </w:r>
          </w:p>
        </w:tc>
      </w:tr>
      <w:tr w:rsidR="009D0006" w:rsidRPr="003F4D73" w14:paraId="5A7FBFF2" w14:textId="77777777" w:rsidTr="007768C7">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34CE57A" w14:textId="77777777" w:rsidR="009D0006" w:rsidRPr="003F4D73" w:rsidRDefault="009D0006" w:rsidP="007768C7">
            <w:pPr>
              <w:pStyle w:val="Tabletext"/>
              <w:rPr>
                <w:color w:val="0D0D0D"/>
              </w:rPr>
            </w:pPr>
            <w:r>
              <w:t>Ever</w:t>
            </w:r>
          </w:p>
        </w:tc>
        <w:tc>
          <w:tcPr>
            <w:tcW w:w="1559" w:type="dxa"/>
            <w:noWrap/>
          </w:tcPr>
          <w:p w14:paraId="180C5C27" w14:textId="77777777" w:rsidR="009D0006" w:rsidRPr="003F4D73" w:rsidRDefault="009D0006" w:rsidP="007768C7">
            <w:pPr>
              <w:pStyle w:val="Tabletext"/>
              <w:rPr>
                <w:color w:val="0D0D0D"/>
              </w:rPr>
            </w:pPr>
            <w:r>
              <w:rPr>
                <w:color w:val="0D0D0D"/>
              </w:rPr>
              <w:t>540</w:t>
            </w:r>
          </w:p>
        </w:tc>
        <w:tc>
          <w:tcPr>
            <w:tcW w:w="1559" w:type="dxa"/>
            <w:noWrap/>
          </w:tcPr>
          <w:p w14:paraId="2D380E0C" w14:textId="77777777" w:rsidR="009D0006" w:rsidRPr="003F4D73" w:rsidRDefault="009D0006" w:rsidP="007768C7">
            <w:pPr>
              <w:pStyle w:val="Tabletext"/>
              <w:rPr>
                <w:color w:val="0D0D0D"/>
              </w:rPr>
            </w:pPr>
            <w:r>
              <w:rPr>
                <w:color w:val="0D0D0D"/>
              </w:rPr>
              <w:t>67.5</w:t>
            </w:r>
          </w:p>
        </w:tc>
      </w:tr>
    </w:tbl>
    <w:p w14:paraId="71F37BBB" w14:textId="77777777" w:rsidR="009D0006" w:rsidRDefault="009D0006" w:rsidP="002876D2">
      <w:pPr>
        <w:pStyle w:val="Tableheading"/>
      </w:pPr>
      <w:r>
        <w:t>Table 56.4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3BC1F6E"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4DEA674" w14:textId="77777777" w:rsidR="009D0006" w:rsidRPr="003F4D73" w:rsidRDefault="009D0006" w:rsidP="00791601">
            <w:pPr>
              <w:pStyle w:val="Tableheader"/>
            </w:pPr>
            <w:r>
              <w:t>Sexual assault</w:t>
            </w:r>
          </w:p>
        </w:tc>
        <w:tc>
          <w:tcPr>
            <w:tcW w:w="1559" w:type="dxa"/>
            <w:hideMark/>
          </w:tcPr>
          <w:p w14:paraId="0CA46AD0" w14:textId="77777777" w:rsidR="009D0006" w:rsidRPr="003F4D73" w:rsidRDefault="009D0006" w:rsidP="00791601">
            <w:pPr>
              <w:pStyle w:val="Tableheader"/>
            </w:pPr>
            <w:r>
              <w:t>n</w:t>
            </w:r>
          </w:p>
        </w:tc>
        <w:tc>
          <w:tcPr>
            <w:tcW w:w="1559" w:type="dxa"/>
            <w:hideMark/>
          </w:tcPr>
          <w:p w14:paraId="1AA269A8" w14:textId="77777777" w:rsidR="009D0006" w:rsidRPr="003F4D73" w:rsidRDefault="009D0006" w:rsidP="00791601">
            <w:pPr>
              <w:pStyle w:val="Tableheader"/>
            </w:pPr>
            <w:r w:rsidRPr="003F4D73">
              <w:t>%</w:t>
            </w:r>
          </w:p>
        </w:tc>
      </w:tr>
      <w:tr w:rsidR="009D0006" w:rsidRPr="003F4D73" w14:paraId="49AF3181"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30EB127" w14:textId="77777777" w:rsidR="009D0006" w:rsidRPr="003F4D73" w:rsidRDefault="009D0006" w:rsidP="00791601">
            <w:pPr>
              <w:pStyle w:val="Tabletext"/>
              <w:rPr>
                <w:color w:val="0D0D0D"/>
              </w:rPr>
            </w:pPr>
            <w:r>
              <w:t>Past 12 months</w:t>
            </w:r>
          </w:p>
        </w:tc>
        <w:tc>
          <w:tcPr>
            <w:tcW w:w="1559" w:type="dxa"/>
          </w:tcPr>
          <w:p w14:paraId="25AEF81E" w14:textId="77777777" w:rsidR="009D0006" w:rsidRPr="003F4D73" w:rsidRDefault="009D0006" w:rsidP="00791601">
            <w:pPr>
              <w:pStyle w:val="Tabletext"/>
              <w:rPr>
                <w:color w:val="0D0D0D"/>
              </w:rPr>
            </w:pPr>
            <w:r>
              <w:rPr>
                <w:color w:val="0D0D0D"/>
              </w:rPr>
              <w:t>261</w:t>
            </w:r>
          </w:p>
        </w:tc>
        <w:tc>
          <w:tcPr>
            <w:tcW w:w="1559" w:type="dxa"/>
          </w:tcPr>
          <w:p w14:paraId="44714D4C" w14:textId="77777777" w:rsidR="009D0006" w:rsidRPr="003F4D73" w:rsidRDefault="009D0006" w:rsidP="00791601">
            <w:pPr>
              <w:pStyle w:val="Tabletext"/>
              <w:rPr>
                <w:color w:val="0D0D0D"/>
              </w:rPr>
            </w:pPr>
            <w:r>
              <w:rPr>
                <w:color w:val="0D0D0D"/>
              </w:rPr>
              <w:t>6.7</w:t>
            </w:r>
          </w:p>
        </w:tc>
      </w:tr>
      <w:tr w:rsidR="009D0006" w:rsidRPr="003F4D73" w14:paraId="61B08161"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10AF3FC" w14:textId="77777777" w:rsidR="009D0006" w:rsidRPr="003F4D73" w:rsidRDefault="009D0006" w:rsidP="00791601">
            <w:pPr>
              <w:pStyle w:val="Tabletext"/>
              <w:rPr>
                <w:color w:val="0D0D0D"/>
              </w:rPr>
            </w:pPr>
            <w:r>
              <w:t>Ever</w:t>
            </w:r>
          </w:p>
        </w:tc>
        <w:tc>
          <w:tcPr>
            <w:tcW w:w="1559" w:type="dxa"/>
          </w:tcPr>
          <w:p w14:paraId="7C3EE761" w14:textId="77777777" w:rsidR="009D0006" w:rsidRPr="003F4D73" w:rsidRDefault="009D0006" w:rsidP="00791601">
            <w:pPr>
              <w:pStyle w:val="Tabletext"/>
              <w:rPr>
                <w:color w:val="0D0D0D"/>
              </w:rPr>
            </w:pPr>
            <w:r>
              <w:rPr>
                <w:color w:val="0D0D0D"/>
              </w:rPr>
              <w:t>1545</w:t>
            </w:r>
          </w:p>
        </w:tc>
        <w:tc>
          <w:tcPr>
            <w:tcW w:w="1559" w:type="dxa"/>
          </w:tcPr>
          <w:p w14:paraId="143F7677" w14:textId="77777777" w:rsidR="009D0006" w:rsidRPr="003F4D73" w:rsidRDefault="009D0006" w:rsidP="00791601">
            <w:pPr>
              <w:pStyle w:val="Tabletext"/>
              <w:rPr>
                <w:color w:val="0D0D0D"/>
              </w:rPr>
            </w:pPr>
            <w:r>
              <w:rPr>
                <w:color w:val="0D0D0D"/>
              </w:rPr>
              <w:t>39.7</w:t>
            </w:r>
          </w:p>
        </w:tc>
      </w:tr>
    </w:tbl>
    <w:p w14:paraId="4B605163" w14:textId="77777777" w:rsidR="009D0006" w:rsidRDefault="009D0006" w:rsidP="002876D2">
      <w:pPr>
        <w:spacing w:before="360"/>
        <w:rPr>
          <w:lang w:val="en-US"/>
        </w:rPr>
      </w:pPr>
      <w:r w:rsidRPr="006F1F46">
        <w:rPr>
          <w:lang w:val="en-US"/>
        </w:rPr>
        <w:t xml:space="preserve">As displayed in Table </w:t>
      </w:r>
      <w:r>
        <w:rPr>
          <w:lang w:val="en-US"/>
        </w:rPr>
        <w:t>56.1-56.4</w:t>
      </w:r>
      <w:r w:rsidRPr="006F1F46">
        <w:rPr>
          <w:lang w:val="en-US"/>
        </w:rPr>
        <w:t xml:space="preserve">, participants not reporting disability in </w:t>
      </w:r>
      <w:r>
        <w:rPr>
          <w:i/>
          <w:iCs/>
          <w:lang w:val="en-US"/>
        </w:rPr>
        <w:t>Private Lives 3</w:t>
      </w:r>
      <w:r>
        <w:rPr>
          <w:lang w:val="en-US"/>
        </w:rPr>
        <w:t xml:space="preserve"> had the lowest proportion who had experienced sexual assault in the past 12 months (6.7%; n = 261) or ever in their lifetime (39.7%; n = 1545) compared to participants with disability. Participants who were </w:t>
      </w:r>
      <w:r>
        <w:t xml:space="preserve">categorised </w:t>
      </w:r>
      <w:r>
        <w:rPr>
          <w:lang w:val="en-US"/>
        </w:rPr>
        <w:t xml:space="preserve">with severe disability had the highest proportion who reported experiencing sexual assault in the past 12 months (16.1%; n = 129), followed by participants </w:t>
      </w:r>
      <w:r>
        <w:t xml:space="preserve">categorised </w:t>
      </w:r>
      <w:r>
        <w:rPr>
          <w:lang w:val="en-US"/>
        </w:rPr>
        <w:t xml:space="preserve">with moderate disability (11.2%; n = 155) and those </w:t>
      </w:r>
      <w:r>
        <w:t xml:space="preserve">categorised </w:t>
      </w:r>
      <w:r>
        <w:rPr>
          <w:lang w:val="en-US"/>
        </w:rPr>
        <w:t xml:space="preserve">with mild disability (6.9%; n = 30). </w:t>
      </w:r>
    </w:p>
    <w:p w14:paraId="491F1310" w14:textId="77777777" w:rsidR="009D0006" w:rsidRPr="005A19CB" w:rsidRDefault="009D0006" w:rsidP="009D0006">
      <w:pPr>
        <w:rPr>
          <w:lang w:val="en-US"/>
        </w:rPr>
      </w:pPr>
      <w:r>
        <w:rPr>
          <w:lang w:val="en-US"/>
        </w:rPr>
        <w:t xml:space="preserve">Similarly, participants </w:t>
      </w:r>
      <w:r>
        <w:t xml:space="preserve">categorised </w:t>
      </w:r>
      <w:r>
        <w:rPr>
          <w:lang w:val="en-US"/>
        </w:rPr>
        <w:t xml:space="preserve">with severe disability had the highest proportion who had ever experienced sexual assault in their lifetime (67.5%; n = 540), followed by participants </w:t>
      </w:r>
      <w:r>
        <w:t xml:space="preserve">categorised </w:t>
      </w:r>
      <w:r>
        <w:rPr>
          <w:lang w:val="en-US"/>
        </w:rPr>
        <w:t xml:space="preserve">with moderate disability (61.0%; n = 848) and those </w:t>
      </w:r>
      <w:r>
        <w:t xml:space="preserve">categorised </w:t>
      </w:r>
      <w:r>
        <w:rPr>
          <w:lang w:val="en-US"/>
        </w:rPr>
        <w:t>with mild disability (56.3%; n = 243).</w:t>
      </w:r>
    </w:p>
    <w:bookmarkEnd w:id="603"/>
    <w:p w14:paraId="482B2D52" w14:textId="77777777" w:rsidR="009D0006" w:rsidRDefault="009D0006" w:rsidP="009D0006">
      <w:pPr>
        <w:rPr>
          <w:rFonts w:ascii="Roboto Medium" w:hAnsi="Roboto Medium"/>
          <w:sz w:val="23"/>
        </w:rPr>
      </w:pPr>
      <w:r w:rsidRPr="000D7ED3">
        <w:t xml:space="preserve">Participants were then asked who perpetrated the sexual assault at the most recent time in which this occurred. Table </w:t>
      </w:r>
      <w:r>
        <w:t>57</w:t>
      </w:r>
      <w:r w:rsidRPr="000D7ED3">
        <w:t xml:space="preserve"> displays these results.</w:t>
      </w:r>
      <w:bookmarkStart w:id="606" w:name="_Toc37345852"/>
      <w:bookmarkStart w:id="607" w:name="_Toc46861279"/>
    </w:p>
    <w:p w14:paraId="57247389" w14:textId="77777777" w:rsidR="008902AC" w:rsidRDefault="008902AC">
      <w:pPr>
        <w:spacing w:before="0"/>
        <w:rPr>
          <w:rFonts w:eastAsiaTheme="majorEastAsia" w:cstheme="majorBidi"/>
          <w:b/>
          <w:bCs/>
          <w:color w:val="000000" w:themeColor="text1"/>
        </w:rPr>
      </w:pPr>
      <w:bookmarkStart w:id="608" w:name="_Toc117062775"/>
      <w:bookmarkStart w:id="609" w:name="_Toc119651460"/>
      <w:r>
        <w:rPr>
          <w:bCs/>
        </w:rPr>
        <w:br w:type="page"/>
      </w:r>
    </w:p>
    <w:p w14:paraId="3B767AD5" w14:textId="6CFD9405" w:rsidR="009D0006" w:rsidRPr="000D7ED3" w:rsidRDefault="009D0006" w:rsidP="002876D2">
      <w:pPr>
        <w:pStyle w:val="Tableheading"/>
      </w:pPr>
      <w:r w:rsidRPr="003670A1">
        <w:rPr>
          <w:bCs/>
        </w:rPr>
        <w:t xml:space="preserve">Table </w:t>
      </w:r>
      <w:r w:rsidRPr="00FA0461">
        <w:rPr>
          <w:bCs/>
        </w:rPr>
        <w:fldChar w:fldCharType="begin"/>
      </w:r>
      <w:r w:rsidRPr="003670A1">
        <w:rPr>
          <w:bCs/>
        </w:rPr>
        <w:instrText xml:space="preserve"> SEQ</w:instrText>
      </w:r>
      <w:r w:rsidRPr="003670A1">
        <w:rPr>
          <w:bCs/>
        </w:rPr>
        <w:lastRenderedPageBreak/>
        <w:instrText xml:space="preserve"> Table \* ARABIC </w:instrText>
      </w:r>
      <w:r w:rsidRPr="00FA0461">
        <w:rPr>
          <w:bCs/>
        </w:rPr>
        <w:fldChar w:fldCharType="separate"/>
      </w:r>
      <w:r>
        <w:rPr>
          <w:bCs/>
          <w:noProof/>
        </w:rPr>
        <w:t>57</w:t>
      </w:r>
      <w:r w:rsidRPr="00FA0461">
        <w:rPr>
          <w:bCs/>
        </w:rPr>
        <w:fldChar w:fldCharType="end"/>
      </w:r>
      <w:r>
        <w:t xml:space="preserve">: </w:t>
      </w:r>
      <w:r w:rsidRPr="000D7ED3">
        <w:t>Relation of sexual assault perpetrator to participants</w:t>
      </w:r>
      <w:r>
        <w:t xml:space="preserve"> among adults with disability aged 18+ years</w:t>
      </w:r>
      <w:r w:rsidRPr="000D7ED3">
        <w:t xml:space="preserve"> (n = </w:t>
      </w:r>
      <w:r>
        <w:t>1629</w:t>
      </w:r>
      <w:r w:rsidRPr="000D7ED3">
        <w:t>)</w:t>
      </w:r>
      <w:bookmarkEnd w:id="606"/>
      <w:bookmarkEnd w:id="607"/>
      <w:bookmarkEnd w:id="608"/>
      <w:bookmarkEnd w:id="609"/>
    </w:p>
    <w:tbl>
      <w:tblPr>
        <w:tblStyle w:val="RCTable"/>
        <w:tblW w:w="9864" w:type="dxa"/>
        <w:tblLook w:val="04A0" w:firstRow="1" w:lastRow="0" w:firstColumn="1" w:lastColumn="0" w:noHBand="0" w:noVBand="1"/>
      </w:tblPr>
      <w:tblGrid>
        <w:gridCol w:w="6746"/>
        <w:gridCol w:w="1559"/>
        <w:gridCol w:w="1559"/>
      </w:tblGrid>
      <w:tr w:rsidR="009D0006" w:rsidRPr="000D7ED3" w14:paraId="35C0A449"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4B530143" w14:textId="77777777" w:rsidR="009D0006" w:rsidRPr="000D7ED3" w:rsidRDefault="009D0006" w:rsidP="00791601">
            <w:pPr>
              <w:pStyle w:val="Tableheader"/>
            </w:pPr>
            <w:r w:rsidRPr="000D7ED3">
              <w:t>Sexual assault perpetrator</w:t>
            </w:r>
          </w:p>
        </w:tc>
        <w:tc>
          <w:tcPr>
            <w:tcW w:w="1559" w:type="dxa"/>
            <w:noWrap/>
            <w:hideMark/>
          </w:tcPr>
          <w:p w14:paraId="4A6456E8" w14:textId="77777777" w:rsidR="009D0006" w:rsidRPr="000D7ED3" w:rsidRDefault="009D0006" w:rsidP="00791601">
            <w:pPr>
              <w:pStyle w:val="Tableheader"/>
            </w:pPr>
            <w:r>
              <w:t>n</w:t>
            </w:r>
          </w:p>
        </w:tc>
        <w:tc>
          <w:tcPr>
            <w:tcW w:w="1559" w:type="dxa"/>
            <w:noWrap/>
            <w:hideMark/>
          </w:tcPr>
          <w:p w14:paraId="0666EDE2" w14:textId="77777777" w:rsidR="009D0006" w:rsidRPr="000D7ED3" w:rsidRDefault="009D0006" w:rsidP="00791601">
            <w:pPr>
              <w:pStyle w:val="Tableheader"/>
            </w:pPr>
            <w:r w:rsidRPr="000D7ED3">
              <w:t>%</w:t>
            </w:r>
          </w:p>
        </w:tc>
      </w:tr>
      <w:tr w:rsidR="009D0006" w:rsidRPr="000D7ED3" w14:paraId="56FA7287"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A6B4C4D" w14:textId="77777777" w:rsidR="009D0006" w:rsidRPr="000D7ED3" w:rsidRDefault="009D0006" w:rsidP="00791601">
            <w:pPr>
              <w:pStyle w:val="Tabletext"/>
            </w:pPr>
            <w:r w:rsidRPr="000D7ED3">
              <w:t>Former intimate partner</w:t>
            </w:r>
          </w:p>
        </w:tc>
        <w:tc>
          <w:tcPr>
            <w:tcW w:w="1559" w:type="dxa"/>
            <w:noWrap/>
          </w:tcPr>
          <w:p w14:paraId="415B0043" w14:textId="77777777" w:rsidR="009D0006" w:rsidRPr="000D7ED3" w:rsidRDefault="009D0006" w:rsidP="00791601">
            <w:pPr>
              <w:pStyle w:val="Tabletext"/>
            </w:pPr>
            <w:r>
              <w:t>403</w:t>
            </w:r>
          </w:p>
        </w:tc>
        <w:tc>
          <w:tcPr>
            <w:tcW w:w="1559" w:type="dxa"/>
            <w:noWrap/>
          </w:tcPr>
          <w:p w14:paraId="5B25DF75" w14:textId="77777777" w:rsidR="009D0006" w:rsidRPr="000D7ED3" w:rsidRDefault="009D0006" w:rsidP="00791601">
            <w:pPr>
              <w:pStyle w:val="Tabletext"/>
            </w:pPr>
            <w:r>
              <w:t>24.7</w:t>
            </w:r>
          </w:p>
        </w:tc>
      </w:tr>
      <w:tr w:rsidR="009D0006" w:rsidRPr="000D7ED3" w14:paraId="071B847D"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1089BE1" w14:textId="77777777" w:rsidR="009D0006" w:rsidRPr="000D7ED3" w:rsidRDefault="009D0006" w:rsidP="00791601">
            <w:pPr>
              <w:pStyle w:val="Tabletext"/>
            </w:pPr>
            <w:r w:rsidRPr="000D7ED3">
              <w:t>Intimate partner</w:t>
            </w:r>
          </w:p>
        </w:tc>
        <w:tc>
          <w:tcPr>
            <w:tcW w:w="1559" w:type="dxa"/>
            <w:noWrap/>
          </w:tcPr>
          <w:p w14:paraId="2250E3BA" w14:textId="77777777" w:rsidR="009D0006" w:rsidRPr="000D7ED3" w:rsidRDefault="009D0006" w:rsidP="00791601">
            <w:pPr>
              <w:pStyle w:val="Tabletext"/>
            </w:pPr>
            <w:r>
              <w:t>342</w:t>
            </w:r>
          </w:p>
        </w:tc>
        <w:tc>
          <w:tcPr>
            <w:tcW w:w="1559" w:type="dxa"/>
            <w:noWrap/>
          </w:tcPr>
          <w:p w14:paraId="143D1A02" w14:textId="77777777" w:rsidR="009D0006" w:rsidRPr="000D7ED3" w:rsidRDefault="009D0006" w:rsidP="00791601">
            <w:pPr>
              <w:pStyle w:val="Tabletext"/>
            </w:pPr>
            <w:r>
              <w:t>21.0</w:t>
            </w:r>
          </w:p>
        </w:tc>
      </w:tr>
      <w:tr w:rsidR="009D0006" w:rsidRPr="000D7ED3" w14:paraId="0A7CBD31"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5B66702" w14:textId="77777777" w:rsidR="009D0006" w:rsidRPr="000D7ED3" w:rsidRDefault="009D0006" w:rsidP="00791601">
            <w:pPr>
              <w:pStyle w:val="Tabletext"/>
            </w:pPr>
            <w:r w:rsidRPr="000D7ED3">
              <w:t>Friend</w:t>
            </w:r>
          </w:p>
        </w:tc>
        <w:tc>
          <w:tcPr>
            <w:tcW w:w="1559" w:type="dxa"/>
            <w:noWrap/>
          </w:tcPr>
          <w:p w14:paraId="019A8907" w14:textId="77777777" w:rsidR="009D0006" w:rsidRPr="000D7ED3" w:rsidRDefault="009D0006" w:rsidP="00791601">
            <w:pPr>
              <w:pStyle w:val="Tabletext"/>
            </w:pPr>
            <w:r>
              <w:t>339</w:t>
            </w:r>
          </w:p>
        </w:tc>
        <w:tc>
          <w:tcPr>
            <w:tcW w:w="1559" w:type="dxa"/>
            <w:noWrap/>
          </w:tcPr>
          <w:p w14:paraId="20878818" w14:textId="77777777" w:rsidR="009D0006" w:rsidRPr="000D7ED3" w:rsidRDefault="009D0006" w:rsidP="00791601">
            <w:pPr>
              <w:pStyle w:val="Tabletext"/>
            </w:pPr>
            <w:r>
              <w:t>20.8</w:t>
            </w:r>
          </w:p>
        </w:tc>
      </w:tr>
      <w:tr w:rsidR="009D0006" w:rsidRPr="000D7ED3" w14:paraId="018EE4BB"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E72AFD1" w14:textId="77777777" w:rsidR="009D0006" w:rsidRPr="000D7ED3" w:rsidRDefault="009D0006" w:rsidP="00791601">
            <w:pPr>
              <w:pStyle w:val="Tabletext"/>
            </w:pPr>
            <w:r w:rsidRPr="000D7ED3">
              <w:t>Casual encounter (e.g.</w:t>
            </w:r>
            <w:r>
              <w:t>,</w:t>
            </w:r>
            <w:r w:rsidRPr="000D7ED3">
              <w:t xml:space="preserve"> a hook-up)</w:t>
            </w:r>
          </w:p>
        </w:tc>
        <w:tc>
          <w:tcPr>
            <w:tcW w:w="1559" w:type="dxa"/>
            <w:noWrap/>
          </w:tcPr>
          <w:p w14:paraId="40CFD129" w14:textId="77777777" w:rsidR="009D0006" w:rsidRPr="000D7ED3" w:rsidRDefault="009D0006" w:rsidP="00791601">
            <w:pPr>
              <w:pStyle w:val="Tabletext"/>
            </w:pPr>
            <w:r>
              <w:t>282</w:t>
            </w:r>
          </w:p>
        </w:tc>
        <w:tc>
          <w:tcPr>
            <w:tcW w:w="1559" w:type="dxa"/>
            <w:noWrap/>
          </w:tcPr>
          <w:p w14:paraId="7F97E73C" w14:textId="77777777" w:rsidR="009D0006" w:rsidRPr="000D7ED3" w:rsidRDefault="009D0006" w:rsidP="00791601">
            <w:pPr>
              <w:pStyle w:val="Tabletext"/>
            </w:pPr>
            <w:r>
              <w:t>17.3</w:t>
            </w:r>
          </w:p>
        </w:tc>
      </w:tr>
      <w:tr w:rsidR="009D0006" w:rsidRPr="000D7ED3" w14:paraId="14400049"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1E99E31" w14:textId="77777777" w:rsidR="009D0006" w:rsidRPr="000D7ED3" w:rsidRDefault="009D0006" w:rsidP="00791601">
            <w:pPr>
              <w:pStyle w:val="Tabletext"/>
            </w:pPr>
            <w:r w:rsidRPr="000D7ED3">
              <w:t>Stranger</w:t>
            </w:r>
          </w:p>
        </w:tc>
        <w:tc>
          <w:tcPr>
            <w:tcW w:w="1559" w:type="dxa"/>
            <w:noWrap/>
          </w:tcPr>
          <w:p w14:paraId="5A66A9D9" w14:textId="77777777" w:rsidR="009D0006" w:rsidRPr="000D7ED3" w:rsidRDefault="009D0006" w:rsidP="00791601">
            <w:pPr>
              <w:pStyle w:val="Tabletext"/>
            </w:pPr>
            <w:r>
              <w:t>277</w:t>
            </w:r>
          </w:p>
        </w:tc>
        <w:tc>
          <w:tcPr>
            <w:tcW w:w="1559" w:type="dxa"/>
            <w:noWrap/>
          </w:tcPr>
          <w:p w14:paraId="2F8ECC4A" w14:textId="77777777" w:rsidR="009D0006" w:rsidRPr="000D7ED3" w:rsidRDefault="009D0006" w:rsidP="00791601">
            <w:pPr>
              <w:pStyle w:val="Tabletext"/>
            </w:pPr>
            <w:r>
              <w:t>17.0</w:t>
            </w:r>
          </w:p>
        </w:tc>
      </w:tr>
      <w:tr w:rsidR="009D0006" w:rsidRPr="000D7ED3" w14:paraId="6D145959"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657BC58" w14:textId="77777777" w:rsidR="009D0006" w:rsidRPr="000D7ED3" w:rsidRDefault="009D0006" w:rsidP="00791601">
            <w:pPr>
              <w:pStyle w:val="Tabletext"/>
            </w:pPr>
            <w:r w:rsidRPr="000D7ED3">
              <w:t>Another family member</w:t>
            </w:r>
          </w:p>
        </w:tc>
        <w:tc>
          <w:tcPr>
            <w:tcW w:w="1559" w:type="dxa"/>
            <w:noWrap/>
          </w:tcPr>
          <w:p w14:paraId="1EE17548" w14:textId="77777777" w:rsidR="009D0006" w:rsidRPr="000D7ED3" w:rsidRDefault="009D0006" w:rsidP="00791601">
            <w:pPr>
              <w:pStyle w:val="Tabletext"/>
            </w:pPr>
            <w:r>
              <w:t>65</w:t>
            </w:r>
          </w:p>
        </w:tc>
        <w:tc>
          <w:tcPr>
            <w:tcW w:w="1559" w:type="dxa"/>
            <w:noWrap/>
          </w:tcPr>
          <w:p w14:paraId="4A5D01A1" w14:textId="77777777" w:rsidR="009D0006" w:rsidRPr="000D7ED3" w:rsidRDefault="009D0006" w:rsidP="00791601">
            <w:pPr>
              <w:pStyle w:val="Tabletext"/>
            </w:pPr>
            <w:r>
              <w:t>4.0</w:t>
            </w:r>
          </w:p>
        </w:tc>
      </w:tr>
      <w:tr w:rsidR="009D0006" w:rsidRPr="000D7ED3" w14:paraId="72CF8720"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0B49FB2" w14:textId="77777777" w:rsidR="009D0006" w:rsidRPr="000D7ED3" w:rsidRDefault="009D0006" w:rsidP="00791601">
            <w:pPr>
              <w:pStyle w:val="Tabletext"/>
            </w:pPr>
            <w:r w:rsidRPr="000D7ED3">
              <w:t>Parent or guardian</w:t>
            </w:r>
          </w:p>
        </w:tc>
        <w:tc>
          <w:tcPr>
            <w:tcW w:w="1559" w:type="dxa"/>
            <w:noWrap/>
          </w:tcPr>
          <w:p w14:paraId="6C5F4CF3" w14:textId="77777777" w:rsidR="009D0006" w:rsidRPr="000D7ED3" w:rsidRDefault="009D0006" w:rsidP="00791601">
            <w:pPr>
              <w:pStyle w:val="Tabletext"/>
            </w:pPr>
            <w:r>
              <w:t>53</w:t>
            </w:r>
          </w:p>
        </w:tc>
        <w:tc>
          <w:tcPr>
            <w:tcW w:w="1559" w:type="dxa"/>
            <w:noWrap/>
          </w:tcPr>
          <w:p w14:paraId="1F17E597" w14:textId="77777777" w:rsidR="009D0006" w:rsidRPr="000D7ED3" w:rsidRDefault="009D0006" w:rsidP="00791601">
            <w:pPr>
              <w:pStyle w:val="Tabletext"/>
            </w:pPr>
            <w:r>
              <w:t>3.3</w:t>
            </w:r>
          </w:p>
        </w:tc>
      </w:tr>
      <w:tr w:rsidR="009D0006" w:rsidRPr="000D7ED3" w14:paraId="232660BB"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E7FDC73" w14:textId="77777777" w:rsidR="009D0006" w:rsidRPr="000D7ED3" w:rsidRDefault="009D0006" w:rsidP="00791601">
            <w:pPr>
              <w:pStyle w:val="Tabletext"/>
            </w:pPr>
            <w:r w:rsidRPr="000D7ED3">
              <w:t xml:space="preserve">Family-like relation </w:t>
            </w:r>
          </w:p>
        </w:tc>
        <w:tc>
          <w:tcPr>
            <w:tcW w:w="1559" w:type="dxa"/>
            <w:noWrap/>
          </w:tcPr>
          <w:p w14:paraId="2A38EB24" w14:textId="77777777" w:rsidR="009D0006" w:rsidRPr="000D7ED3" w:rsidRDefault="009D0006" w:rsidP="00791601">
            <w:pPr>
              <w:pStyle w:val="Tabletext"/>
            </w:pPr>
            <w:r>
              <w:t>48</w:t>
            </w:r>
          </w:p>
        </w:tc>
        <w:tc>
          <w:tcPr>
            <w:tcW w:w="1559" w:type="dxa"/>
            <w:noWrap/>
          </w:tcPr>
          <w:p w14:paraId="64A182DE" w14:textId="77777777" w:rsidR="009D0006" w:rsidRPr="000D7ED3" w:rsidRDefault="009D0006" w:rsidP="00791601">
            <w:pPr>
              <w:pStyle w:val="Tabletext"/>
            </w:pPr>
            <w:r>
              <w:t>3.0</w:t>
            </w:r>
          </w:p>
        </w:tc>
      </w:tr>
      <w:tr w:rsidR="009D0006" w:rsidRPr="000D7ED3" w14:paraId="1F796257"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259B6DC" w14:textId="77777777" w:rsidR="009D0006" w:rsidRPr="000D7ED3" w:rsidRDefault="009D0006" w:rsidP="00791601">
            <w:pPr>
              <w:pStyle w:val="Tabletext"/>
            </w:pPr>
            <w:r w:rsidRPr="000D7ED3">
              <w:t>A co-worker or boss</w:t>
            </w:r>
          </w:p>
        </w:tc>
        <w:tc>
          <w:tcPr>
            <w:tcW w:w="1559" w:type="dxa"/>
            <w:noWrap/>
          </w:tcPr>
          <w:p w14:paraId="16C8CFFF" w14:textId="77777777" w:rsidR="009D0006" w:rsidRPr="000D7ED3" w:rsidRDefault="009D0006" w:rsidP="00791601">
            <w:pPr>
              <w:pStyle w:val="Tabletext"/>
            </w:pPr>
            <w:r>
              <w:t>44</w:t>
            </w:r>
          </w:p>
        </w:tc>
        <w:tc>
          <w:tcPr>
            <w:tcW w:w="1559" w:type="dxa"/>
            <w:noWrap/>
          </w:tcPr>
          <w:p w14:paraId="30E01459" w14:textId="77777777" w:rsidR="009D0006" w:rsidRPr="000D7ED3" w:rsidRDefault="009D0006" w:rsidP="00791601">
            <w:pPr>
              <w:pStyle w:val="Tabletext"/>
            </w:pPr>
            <w:r>
              <w:t>2.7</w:t>
            </w:r>
          </w:p>
        </w:tc>
      </w:tr>
      <w:tr w:rsidR="009D0006" w:rsidRPr="000D7ED3" w14:paraId="4231A0CD"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EBE6C70" w14:textId="77777777" w:rsidR="009D0006" w:rsidRPr="000D7ED3" w:rsidRDefault="009D0006" w:rsidP="00791601">
            <w:pPr>
              <w:pStyle w:val="Tabletext"/>
            </w:pPr>
            <w:r w:rsidRPr="000D7ED3">
              <w:t>A sex work client</w:t>
            </w:r>
          </w:p>
        </w:tc>
        <w:tc>
          <w:tcPr>
            <w:tcW w:w="1559" w:type="dxa"/>
            <w:noWrap/>
          </w:tcPr>
          <w:p w14:paraId="3A52CD72" w14:textId="77777777" w:rsidR="009D0006" w:rsidRPr="000D7ED3" w:rsidRDefault="009D0006" w:rsidP="00791601">
            <w:pPr>
              <w:pStyle w:val="Tabletext"/>
            </w:pPr>
            <w:r>
              <w:t>35</w:t>
            </w:r>
          </w:p>
        </w:tc>
        <w:tc>
          <w:tcPr>
            <w:tcW w:w="1559" w:type="dxa"/>
            <w:noWrap/>
          </w:tcPr>
          <w:p w14:paraId="15A05034" w14:textId="77777777" w:rsidR="009D0006" w:rsidRPr="000D7ED3" w:rsidRDefault="009D0006" w:rsidP="00791601">
            <w:pPr>
              <w:pStyle w:val="Tabletext"/>
            </w:pPr>
            <w:r>
              <w:t>2.2</w:t>
            </w:r>
          </w:p>
        </w:tc>
      </w:tr>
      <w:tr w:rsidR="009D0006" w:rsidRPr="000D7ED3" w14:paraId="44605037"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4F29E03" w14:textId="77777777" w:rsidR="009D0006" w:rsidRPr="000D7ED3" w:rsidRDefault="009D0006" w:rsidP="00791601">
            <w:pPr>
              <w:pStyle w:val="Tabletext"/>
            </w:pPr>
            <w:r w:rsidRPr="000D7ED3">
              <w:t>Sibling</w:t>
            </w:r>
          </w:p>
        </w:tc>
        <w:tc>
          <w:tcPr>
            <w:tcW w:w="1559" w:type="dxa"/>
            <w:noWrap/>
          </w:tcPr>
          <w:p w14:paraId="6AA47BC8" w14:textId="77777777" w:rsidR="009D0006" w:rsidRPr="000D7ED3" w:rsidRDefault="009D0006" w:rsidP="00791601">
            <w:pPr>
              <w:pStyle w:val="Tabletext"/>
            </w:pPr>
            <w:r>
              <w:t>34</w:t>
            </w:r>
          </w:p>
        </w:tc>
        <w:tc>
          <w:tcPr>
            <w:tcW w:w="1559" w:type="dxa"/>
            <w:noWrap/>
          </w:tcPr>
          <w:p w14:paraId="432D8551" w14:textId="77777777" w:rsidR="009D0006" w:rsidRPr="000D7ED3" w:rsidRDefault="009D0006" w:rsidP="00791601">
            <w:pPr>
              <w:pStyle w:val="Tabletext"/>
            </w:pPr>
            <w:r>
              <w:t>2.1</w:t>
            </w:r>
          </w:p>
        </w:tc>
      </w:tr>
      <w:tr w:rsidR="009D0006" w:rsidRPr="000D7ED3" w14:paraId="29476FCF"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DF21503" w14:textId="77777777" w:rsidR="009D0006" w:rsidRPr="006F1F46" w:rsidRDefault="009D0006" w:rsidP="00791601">
            <w:pPr>
              <w:pStyle w:val="Tabletext"/>
            </w:pPr>
            <w:r w:rsidRPr="006F1F46">
              <w:t>Someone in a professional setting</w:t>
            </w:r>
          </w:p>
        </w:tc>
        <w:tc>
          <w:tcPr>
            <w:tcW w:w="1559" w:type="dxa"/>
            <w:noWrap/>
          </w:tcPr>
          <w:p w14:paraId="0B1CF56D" w14:textId="77777777" w:rsidR="009D0006" w:rsidRPr="000D7ED3" w:rsidRDefault="009D0006" w:rsidP="00791601">
            <w:pPr>
              <w:pStyle w:val="Tabletext"/>
            </w:pPr>
            <w:r>
              <w:t>27</w:t>
            </w:r>
          </w:p>
        </w:tc>
        <w:tc>
          <w:tcPr>
            <w:tcW w:w="1559" w:type="dxa"/>
            <w:noWrap/>
          </w:tcPr>
          <w:p w14:paraId="71000833" w14:textId="77777777" w:rsidR="009D0006" w:rsidRPr="000D7ED3" w:rsidRDefault="009D0006" w:rsidP="00791601">
            <w:pPr>
              <w:pStyle w:val="Tabletext"/>
            </w:pPr>
            <w:r>
              <w:t>1.7</w:t>
            </w:r>
          </w:p>
        </w:tc>
      </w:tr>
      <w:tr w:rsidR="009D0006" w:rsidRPr="000D7ED3" w14:paraId="1F050437"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499259A" w14:textId="77777777" w:rsidR="009D0006" w:rsidRPr="000D7ED3" w:rsidRDefault="009D0006" w:rsidP="00791601">
            <w:pPr>
              <w:pStyle w:val="Tabletext"/>
            </w:pPr>
            <w:r w:rsidRPr="000D7ED3">
              <w:t>Someone else</w:t>
            </w:r>
          </w:p>
        </w:tc>
        <w:tc>
          <w:tcPr>
            <w:tcW w:w="1559" w:type="dxa"/>
            <w:noWrap/>
          </w:tcPr>
          <w:p w14:paraId="724450C5" w14:textId="77777777" w:rsidR="009D0006" w:rsidRPr="000D7ED3" w:rsidRDefault="009D0006" w:rsidP="00791601">
            <w:pPr>
              <w:pStyle w:val="Tabletext"/>
            </w:pPr>
            <w:r>
              <w:t>91</w:t>
            </w:r>
          </w:p>
        </w:tc>
        <w:tc>
          <w:tcPr>
            <w:tcW w:w="1559" w:type="dxa"/>
            <w:noWrap/>
          </w:tcPr>
          <w:p w14:paraId="41DB8EE0" w14:textId="77777777" w:rsidR="009D0006" w:rsidRPr="000D7ED3" w:rsidRDefault="009D0006" w:rsidP="00791601">
            <w:pPr>
              <w:pStyle w:val="Tabletext"/>
            </w:pPr>
            <w:r>
              <w:t>5.6</w:t>
            </w:r>
          </w:p>
        </w:tc>
      </w:tr>
      <w:tr w:rsidR="009D0006" w:rsidRPr="000D7ED3" w14:paraId="6A69145C"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E7F677B" w14:textId="77777777" w:rsidR="009D0006" w:rsidRPr="000D7ED3" w:rsidRDefault="009D0006" w:rsidP="00791601">
            <w:pPr>
              <w:pStyle w:val="Tabletext"/>
            </w:pPr>
            <w:r w:rsidRPr="000D7ED3">
              <w:t>Prefer not to say</w:t>
            </w:r>
          </w:p>
        </w:tc>
        <w:tc>
          <w:tcPr>
            <w:tcW w:w="1559" w:type="dxa"/>
            <w:noWrap/>
          </w:tcPr>
          <w:p w14:paraId="18B1A7B0" w14:textId="77777777" w:rsidR="009D0006" w:rsidRPr="000D7ED3" w:rsidRDefault="009D0006" w:rsidP="00791601">
            <w:pPr>
              <w:pStyle w:val="Tabletext"/>
            </w:pPr>
            <w:r>
              <w:t>30</w:t>
            </w:r>
          </w:p>
        </w:tc>
        <w:tc>
          <w:tcPr>
            <w:tcW w:w="1559" w:type="dxa"/>
            <w:noWrap/>
          </w:tcPr>
          <w:p w14:paraId="727AC1C8" w14:textId="77777777" w:rsidR="009D0006" w:rsidRPr="000D7ED3" w:rsidRDefault="009D0006" w:rsidP="00791601">
            <w:pPr>
              <w:pStyle w:val="Tabletext"/>
            </w:pPr>
            <w:r>
              <w:t>1.8</w:t>
            </w:r>
          </w:p>
        </w:tc>
      </w:tr>
    </w:tbl>
    <w:p w14:paraId="7520BCAA" w14:textId="77777777" w:rsidR="009D0006" w:rsidRPr="006F1F46" w:rsidRDefault="009D0006" w:rsidP="002876D2">
      <w:pPr>
        <w:spacing w:before="360"/>
      </w:pPr>
      <w:r>
        <w:t>As shown in Table 57, a</w:t>
      </w:r>
      <w:r w:rsidRPr="006F1F46">
        <w:t xml:space="preserve">mong participants with disability </w:t>
      </w:r>
      <w:r>
        <w:t xml:space="preserve">in </w:t>
      </w:r>
      <w:r>
        <w:rPr>
          <w:i/>
          <w:iCs/>
        </w:rPr>
        <w:t>Private Lives 3</w:t>
      </w:r>
      <w:r>
        <w:t xml:space="preserve"> who had experienced sexual assault, almost one-quarter reported that their most recent experience of sexual assault was perpetrated by a former intimate partner (24.7%; n = 403). Approximately one-fifth or fewer reported that the perpetrator was an intimate partner (21.0%; n = 342), a friend (20.8%; n = 339), a casual encounter (17.3%; n = 282) or a stranger (17.0%; n = 277). Smaller proportions of participants reported that the perpetrator of their most recent experience of sexual assault was someone else not listed (5.6%; n = 91) or another family member different to those listed (4.0%; n = 65), followed by a parent or guardian (3.3%; n = 53), a family-like relation (3.0%; n = 48), a co-worker or boss (2.7%; n = 44), a sex work client (2.2%; n = 35), a sibling (2.1%; n = 34) or someone in a professional setting (1.7%; n = 27). Among participants who had experienced sexual assault, 1.8% (n = 30) preferred not to disclose who the perpetrator of their most recent experience of sexual assault was.</w:t>
      </w:r>
    </w:p>
    <w:p w14:paraId="03F2AEBD" w14:textId="67673407" w:rsidR="009D0006" w:rsidRPr="000D7ED3" w:rsidRDefault="009D0006" w:rsidP="00153892">
      <w:pPr>
        <w:pStyle w:val="Heading2Numbered"/>
      </w:pPr>
      <w:bookmarkStart w:id="610" w:name="_Toc43903926"/>
      <w:bookmarkStart w:id="611" w:name="_Toc115968581"/>
      <w:bookmarkStart w:id="612" w:name="_Toc119662442"/>
      <w:bookmarkEnd w:id="600"/>
      <w:r w:rsidRPr="000D7ED3">
        <w:t>Summary</w:t>
      </w:r>
      <w:bookmarkEnd w:id="610"/>
      <w:r>
        <w:t xml:space="preserve"> and</w:t>
      </w:r>
      <w:r>
        <w:lastRenderedPageBreak/>
        <w:t xml:space="preserve"> relation to existing literature</w:t>
      </w:r>
      <w:bookmarkEnd w:id="611"/>
      <w:bookmarkEnd w:id="612"/>
    </w:p>
    <w:p w14:paraId="10262835" w14:textId="77777777" w:rsidR="009D0006" w:rsidRDefault="009D0006" w:rsidP="009D0006">
      <w:r>
        <w:t xml:space="preserve">Adults with disability aged 18 + years from </w:t>
      </w:r>
      <w:r w:rsidRPr="003670A1">
        <w:rPr>
          <w:i/>
          <w:iCs/>
        </w:rPr>
        <w:t>Private Lives 3</w:t>
      </w:r>
      <w:r>
        <w:t xml:space="preserve"> reported very high rates of family violence. Almost three-quarters of those who were categorised with severe disability had experienced violence from an intimate partner, followed by more than two-thirds of those categorised with moderate or mild disability. Similarly, over four-fifths of participants categorised with severe disability had experienced violence from a family member, followed by more than three-quarters of those categorised with moderate disability and more than one-third of those categorised with mild disability.</w:t>
      </w:r>
    </w:p>
    <w:p w14:paraId="22E13ECA" w14:textId="77777777" w:rsidR="009D0006" w:rsidRDefault="009D0006" w:rsidP="009D0006">
      <w:r>
        <w:t>Participants categorised with severe disability reported over twice the levels of verbal, physical and sexual violence from a family member in their lifetimes than those without disability. The vast majority of violence from a family member was perpetrated by parents.</w:t>
      </w:r>
    </w:p>
    <w:p w14:paraId="36329470" w14:textId="77777777" w:rsidR="009D0006" w:rsidRPr="007926F8" w:rsidRDefault="009D0006" w:rsidP="009D0006">
      <w:r w:rsidRPr="007926F8">
        <w:t xml:space="preserve">More than two-thirds of </w:t>
      </w:r>
      <w:r w:rsidRPr="000C02DC">
        <w:t>participants</w:t>
      </w:r>
      <w:r w:rsidRPr="007926F8">
        <w:t xml:space="preserve"> with disability in</w:t>
      </w:r>
      <w:r>
        <w:t xml:space="preserve"> </w:t>
      </w:r>
      <w:r>
        <w:rPr>
          <w:i/>
        </w:rPr>
        <w:t>Private Lives 3</w:t>
      </w:r>
      <w:r>
        <w:t xml:space="preserve"> who had experienced family violence did not report their most recent experience of violence to any services. Of those who did report it, the most frequently reported service was </w:t>
      </w:r>
      <w:r w:rsidRPr="007926F8">
        <w:t>a counselling service or psychologist</w:t>
      </w:r>
      <w:r>
        <w:t>. Only small proportions of participants reported to the remaining services, including police, doctor or hospital, telephone helpline or domestic or family violence service. Among participants who had reported to these services, the highest proportion felt supported if they had reported to a counselling service or psychologist, followed by a sexual assault service and an LGBTIQ organisation. The lowest proportion felt supported in circumstances where they had reported their experience of family violence to the police.</w:t>
      </w:r>
    </w:p>
    <w:p w14:paraId="4D756A59" w14:textId="77777777" w:rsidR="009D0006" w:rsidRPr="004A4F92" w:rsidRDefault="009D0006" w:rsidP="009D0006">
      <w:r>
        <w:t>Overall, these findings point to a further heightened vulnerability for those with disability when compared to those without disability in relation to both violence from a family member and violence from an intimate partner. Despite this, these findings also suggest that many instances go unreported to services, and the degree to which participants felt supported when reporting their experiences was mixed depending on the service. Some studies in the more general population have also found that such experiences often go unreported, such as people with intellectual disability experiencing sexual violence.</w:t>
      </w:r>
      <w:r>
        <w:fldChar w:fldCharType="begin"/>
      </w:r>
      <w:r>
        <w:instrText xml:space="preserve"> ADDIN ZOTERO_ITEM CSL_CITATION {"citationID":"apobb7vma5","properties":{"formattedCitation":"(60)","plainCitation":"(60)","noteIndex":0},"citationItems":[{"id":5769,"uris":["http://zotero.org/groups/2463045/items/MP73V9U5"],"itemData":{"id":5769,"type":"article-journal","abstract":"Purpose People with an intellectual disability are much more likely to be sexually violated and the violation is less likely to be reported. Despite this being high-lighted at least 3 decades ago and improvements in both safeguarding and national reporting processes, under-reporting remains a problem. This paper explored under-reporting alongside prevention possibilities using safeguarding alerts raised in a Community Learning Disability Team within a UK NHS trust. Design/methodology/approach Using a combination of authentic but anonymised case vignettes and descriptive data drawn from the safeguarding team, under-reporting was examined through the lens of an ecological model. Safeguarding alerts raised in a particular year were compared with the number expected if all (estimated) cases of abuse were disclosed and reported. Findings Only 4.4 per cent of expected abuse cases were reported to the team, which is lower than the reporting level the authors had expected from the literature. There is evidence in the literature of the under-reporting of sexual assault for all kinds of people. Arguably, the implications of under-reporting for PwID are even more traumatic. Research limitations/implications Constraints included the lack of standardisation in data collection within the statutory services that report to the Birmingham Safeguarding Adults Board. One key recommendation is that the national provider of data for the NHS in the UK requires more complex and standardised audit information that would allow each local authority to benchmark their practice against a higher protection standard. Another recommendation is that compliance to quality standards sits within a comprehensive strategy. Originality/value This paper explored the extent to which the previously documented under-reporting concern remains an issue. Certainly eye-balling safeguarding compliance data in the NHS organisation we worked in led us to a concern that reporting might be even lower than implied in the literature. This together with a renewed spot-light on sexual violence (e.g, NHS England, 2018) led us to decide that it was timely to re-examine the problem.","container-title":"The Journal of Adult Protection","DOI":"10.1108/JAP-05-2019-0016","ISSN":"1466-8203","issue":"2","note":"publisher: Emerald Publishing Limited","page":"75-86","source":"Emerald Insight","title":"People with an intellectual disability: under-reporting sexual violence","title-short":"People with an intellectual disability","volume":"22","author":[{"family":"Willott","given":"Sara"},{"family":"Badger","given":"Wendy"},{"family":"Evans","given":"Vicky"}],"issued":{"date-parts":[["2020",1,1]]},"citation-key":"willottPeopleIntellectualDisability2020"}}],"schema":"https://github.com/citation-style-language/schema/raw/master/csl-citation.json"} </w:instrText>
      </w:r>
      <w:r>
        <w:fldChar w:fldCharType="separate"/>
      </w:r>
      <w:r>
        <w:rPr>
          <w:lang w:val="en-GB"/>
        </w:rPr>
        <w:t>(60)</w:t>
      </w:r>
      <w:r>
        <w:fldChar w:fldCharType="end"/>
      </w:r>
      <w:r>
        <w:t xml:space="preserve"> Qualitative research in Australia involving people who work in disability and mainstream violence services pointed to several potential barriers for people with intellectual disability in reporting experiences of violence.</w:t>
      </w:r>
      <w:r>
        <w:fldChar w:fldCharType="begin"/>
      </w:r>
      <w:r>
        <w:instrText xml:space="preserve"> ADDIN ZOTERO_ITEM CSL_CITATION {"citationID":"a17fagmtg76","properties":{"formattedCitation":"(61)","plainCitation":"(61)","noteIndex":0},"citationItems":[{"id":5775,"uris":["http://zotero.org/groups/2463045/items/5K5QMPZX"],"itemData":{"id":5775,"type":"article-journal","abstract":"Purpose Evidence from Australia and worldwide has highlighted the ongoing marginalisation, discrimination, abuse, violence and neglect of people with disability. One of the main areas of concern is that despite such evidence there remain fundamental barriers for people with disability to report violence and/or access supports. Significantly few studies have canvased the perspectives of people with intellectual disability (ID), family members or disability service providers. Accordingly as a first step, the purpose of this paper is to explore the perceptions of disability and violence-response professionals’ regarding the barriers and facilitators of effective support for people with ID reporting sexual violence and accessing mainstream supports. Design/methodology/approach A qualitative research design informed the basis of this study. Semi-structured interviews were conducted with seven participants who held roles within disability services and mainstream violence response. Interviews were recorded and transcribed. These transcripts were then analysed individually using a combination of thematic analysis and discourse analysis to bring to light the social and material structures within service systems in terms of how they disempower or empower supports for people with ID. Findings Participants from both services reported that professionals (particularly those outside the disability sector) lacked awareness of practical ways in which they could support people with ID to report and access services outside of disability-specific services. Participants also felt the capacity for people with ID to have a voice about what happens in the “aftermath” of reporting sexual violence was rarely acknowledged. Participants called for education and development of resources which could guide professional practice across disability and wider violence-response services. Participants saw investment in building interagency relationships across sectors as key to supporting the citizenship of people with ID. Originality/value This study suggests that there is a strong need for better community engagement and understanding of the multi-faceted issues surrounding responses to violence concerning people with ID. The findings of this study also outline implications for practice and policy which may be of interest to professionals both within disability and wider violence-response sectors in Australia and internationally.","container-title":"The Journal of Adult Protection","DOI":"10.1108/JAP-08-2017-0031","ISSN":"1466-8203","issue":"1","note":"publisher: Emerald Publishing Limited","page":"5-16","source":"Emerald Insight","title":"Barriers and facilitators in supporting people with intellectual disability to report sexual violence: perspectives of Australian disability and mainstream support providers","title-short":"Barriers and facilitators in supporting people with intellectual disability to report sexual violence","volume":"20","author":[{"family":"Fraser-Barbour","given":"Ellen Frances"},{"family":"Crocker","given":"Ruth"},{"family":"Walker","given":"Ruth"}],"issued":{"date-parts":[["2018",1,1]]},"citation-key":"fraser-barbourBarriersFacilitatorsSupporting2018"}}],"schema":"https://github.com/citation-style-language/schema/raw/master/csl-citation.json"} </w:instrText>
      </w:r>
      <w:r>
        <w:fldChar w:fldCharType="separate"/>
      </w:r>
      <w:r>
        <w:rPr>
          <w:lang w:val="en-GB"/>
        </w:rPr>
        <w:t>(61)</w:t>
      </w:r>
      <w:r>
        <w:fldChar w:fldCharType="end"/>
      </w:r>
      <w:r>
        <w:t xml:space="preserve"> This included suggestions that relevant professiona</w:t>
      </w:r>
      <w:r>
        <w:lastRenderedPageBreak/>
        <w:t>ls who support or work with people with intellectual disability may not always have sufficient awareness of ways to support them in reporting and accessing help in relation to experiences of violence. In some circumstances, LGBTQA+ people with disability may have further concerns about the support they may receive if this further involves disclosing their sexual orientation or gender identity.</w:t>
      </w:r>
      <w:r>
        <w:fldChar w:fldCharType="begin"/>
      </w:r>
      <w:r>
        <w:instrText xml:space="preserve"> ADDIN ZOTERO_ITEM CSL_CITATION {"citationID":"a2ftpuikbde","properties":{"formattedCitation":"(53)","plainCitation":"(53)","noteIndex":0},"citationItems":[{"id":3585,"uris":["http://zotero.org/groups/2463045/items/UWBX9IDL"],"itemData":{"id":3585,"type":"article-journal","abstract":"BACKGROUND: Lesbian, gay, bisexual, transgender, queer (LGBTQ) and gender diverse adults with intellectual disability experience exclusion within disability services.\nOBJECTIVE: This review explores the experiences of social inclusion/exclusion of this cohort in the context of disability services.\nSEARCH METHOD: A systematic search was conducted of peer-reviewed research published between January 2014 and April 2019. Five databases returned 66 articles plus three from hand searches.\nAPPRAISAL AND SYNTHESIS: Nine articles were included in this review. The Critical Appraisal Skills Programme tool was used to assess the quality of the research. NVivo 12 was used as a tool to organise the articles.\nRESULTS: Marginalisation of LGBTQ adults with intellectual disability in western societies is mirrored in disability organisations. There remains a dearth of research into experiences of transgender people with intellectual disability who use disability services.\nCONCLUSIONS: Research into interventions that support the inclusion of this cohort in disability support services is needed.","archive":"Medline","archive_location":"34309149","container-title":"Journal of Applied Research in Intellectual Disabilities","DOI":"10.1111/jar.12925","ISSN":"1468-3148","issue":"1","journalAbbreviation":"J Appl Res Intellect Disabil","language":"English","page":"46-59","source":"Ovid Technologies","title":"Social inclusion of LGBTQ and gender diverse adults with intellectual disability in disability services: A systematic review of the literature","volume":"35","author":[{"family":"Smith","given":"E."},{"family":"Zirnsak","given":"T. M."},{"family":"Power","given":"J."},{"family":"Lyons","given":"A."},{"family":"Bigby","given":"C."}],"issued":{"date-parts":[["2022"]]},"citation-key":"smithSocialInclusionLGBTQ2022"}}],"schema":"https://github.com/citation-style-language/schema/raw/master/csl-citation.json"} </w:instrText>
      </w:r>
      <w:r>
        <w:fldChar w:fldCharType="separate"/>
      </w:r>
      <w:r>
        <w:rPr>
          <w:lang w:val="en-GB"/>
        </w:rPr>
        <w:t>(53)</w:t>
      </w:r>
      <w:r>
        <w:fldChar w:fldCharType="end"/>
      </w:r>
      <w:r>
        <w:t xml:space="preserve"> </w:t>
      </w:r>
    </w:p>
    <w:p w14:paraId="2C7DB41F" w14:textId="77777777" w:rsidR="009D0006" w:rsidRDefault="009D0006" w:rsidP="00906752">
      <w:pPr>
        <w:rPr>
          <w:lang w:bidi="en-US"/>
        </w:rPr>
      </w:pPr>
      <w:bookmarkStart w:id="613" w:name="_Toc58252099"/>
      <w:bookmarkEnd w:id="541"/>
      <w:bookmarkEnd w:id="542"/>
      <w:r>
        <w:br w:type="page"/>
      </w:r>
    </w:p>
    <w:p w14:paraId="6D73D04B" w14:textId="5E3E049B" w:rsidR="009D0006" w:rsidRPr="009761D5" w:rsidRDefault="009D0006" w:rsidP="00153892">
      <w:pPr>
        <w:pStyle w:val="Heading1Numbered"/>
      </w:pPr>
      <w:bookmarkStart w:id="614" w:name="_Toc115968582"/>
      <w:bookmarkStart w:id="615" w:name="_Toc119662443"/>
      <w:r w:rsidRPr="009761D5">
        <w:t>Mental heal</w:t>
      </w:r>
      <w:r w:rsidRPr="009761D5">
        <w:lastRenderedPageBreak/>
        <w:t xml:space="preserve">th and </w:t>
      </w:r>
      <w:bookmarkEnd w:id="613"/>
      <w:r>
        <w:t>suicidality</w:t>
      </w:r>
      <w:bookmarkEnd w:id="614"/>
      <w:bookmarkEnd w:id="615"/>
      <w:r w:rsidRPr="009761D5">
        <w:t xml:space="preserve"> </w:t>
      </w:r>
    </w:p>
    <w:p w14:paraId="0F0AAE95" w14:textId="77777777" w:rsidR="009D0006" w:rsidRPr="009761D5" w:rsidRDefault="009D0006" w:rsidP="009D0006">
      <w:pPr>
        <w:rPr>
          <w:color w:val="7030A0"/>
          <w:lang w:val="en-US"/>
        </w:rPr>
      </w:pPr>
      <w:bookmarkStart w:id="616" w:name="_Toc40178320"/>
      <w:bookmarkStart w:id="617" w:name="_Toc40178567"/>
      <w:bookmarkStart w:id="618" w:name="_Toc40181871"/>
      <w:bookmarkStart w:id="619" w:name="_Toc40192130"/>
      <w:bookmarkStart w:id="620" w:name="_Toc44868223"/>
      <w:bookmarkStart w:id="621" w:name="_Toc79095826"/>
      <w:bookmarkStart w:id="622" w:name="_Toc79097326"/>
      <w:bookmarkStart w:id="623" w:name="_Toc79098699"/>
      <w:bookmarkStart w:id="624" w:name="_Toc79506921"/>
      <w:bookmarkStart w:id="625" w:name="_Toc79507100"/>
      <w:bookmarkStart w:id="626" w:name="_Toc79508324"/>
      <w:r>
        <w:t xml:space="preserve">Numerous studies have noted an elevated prevalence of mental ill-health among LGBTQA+ people as compared to heterosexual and/or cisgender populations. This is reflected in a range of outcomes, including very high rates of psychological distress, suicidal ideation, self-harm and suicide attempts. Despite these widely documented issues of concern, many LGBTQA+ people also experience significant challenges accessing safe and affirming mental health care. These experiences can be further exacerbated for people from a range of intersectional backgrounds, including people with disability. While the nature of such experience has been documented in several, valuable qualitative studies, the prevalence of mental ill-health and service response need for people with disability has not previously been established in Australia within a large and diverse sample. Hence, </w:t>
      </w:r>
      <w:bookmarkEnd w:id="616"/>
      <w:bookmarkEnd w:id="617"/>
      <w:bookmarkEnd w:id="618"/>
      <w:bookmarkEnd w:id="619"/>
      <w:bookmarkEnd w:id="620"/>
      <w:bookmarkEnd w:id="621"/>
      <w:bookmarkEnd w:id="622"/>
      <w:bookmarkEnd w:id="623"/>
      <w:bookmarkEnd w:id="624"/>
      <w:bookmarkEnd w:id="625"/>
      <w:bookmarkEnd w:id="626"/>
      <w:r>
        <w:rPr>
          <w:lang w:val="en-US"/>
        </w:rPr>
        <w:t>this chapter presents data on mental health and wellbeing and access to care in relation to LGBTQA+ young people and adults with disability.</w:t>
      </w:r>
    </w:p>
    <w:p w14:paraId="27D83BCF" w14:textId="2DA6788A" w:rsidR="009D0006" w:rsidRPr="009761D5" w:rsidRDefault="009D0006" w:rsidP="00153892">
      <w:pPr>
        <w:pStyle w:val="Heading2Numbered"/>
      </w:pPr>
      <w:bookmarkStart w:id="627" w:name="_Toc40178139"/>
      <w:bookmarkStart w:id="628" w:name="_Toc40192132"/>
      <w:bookmarkStart w:id="629" w:name="_Toc45633241"/>
      <w:bookmarkStart w:id="630" w:name="_Toc58252101"/>
      <w:bookmarkStart w:id="631" w:name="_Toc115968583"/>
      <w:bookmarkStart w:id="632" w:name="_Toc119662444"/>
      <w:bookmarkStart w:id="633" w:name="_Hlk52286268"/>
      <w:bookmarkStart w:id="634" w:name="_Hlk52288610"/>
      <w:r w:rsidRPr="009761D5">
        <w:t>Psychological distress (K10)</w:t>
      </w:r>
      <w:bookmarkEnd w:id="627"/>
      <w:bookmarkEnd w:id="628"/>
      <w:bookmarkEnd w:id="629"/>
      <w:bookmarkEnd w:id="630"/>
      <w:bookmarkEnd w:id="631"/>
      <w:bookmarkEnd w:id="632"/>
    </w:p>
    <w:bookmarkEnd w:id="633"/>
    <w:p w14:paraId="2D7B3816" w14:textId="77777777" w:rsidR="009D0006" w:rsidRDefault="009D0006" w:rsidP="009D0006">
      <w:r w:rsidRPr="009761D5">
        <w:t xml:space="preserve">The Kessler Psychological Distress Scale (K10) is a </w:t>
      </w:r>
      <w:r>
        <w:t>10</w:t>
      </w:r>
      <w:r w:rsidRPr="009761D5">
        <w:t>-item standardised scale developed to measure psycho</w:t>
      </w:r>
      <w:r>
        <w:t>logical</w:t>
      </w:r>
      <w:r w:rsidRPr="009761D5">
        <w:t xml:space="preserve"> distress, based on questions </w:t>
      </w:r>
      <w:r>
        <w:t>related to symptoms of anxiety and depression</w:t>
      </w:r>
      <w:r w:rsidRPr="009761D5">
        <w:t xml:space="preserve"> in the past </w:t>
      </w:r>
      <w:r>
        <w:t>4</w:t>
      </w:r>
      <w:r w:rsidRPr="009761D5">
        <w:t xml:space="preserve"> weeks. Responses to the questionnaire are summed to create a scale ranging from 10 to 50 with a higher score indicating higher levels of psychological distress. </w:t>
      </w:r>
      <w:r>
        <w:t xml:space="preserve">Both </w:t>
      </w:r>
      <w:r w:rsidRPr="009761D5">
        <w:rPr>
          <w:i/>
          <w:iCs/>
        </w:rPr>
        <w:t>Writing Themselves In 4</w:t>
      </w:r>
      <w:r w:rsidRPr="009761D5">
        <w:t xml:space="preserve"> </w:t>
      </w:r>
      <w:r>
        <w:t xml:space="preserve">and </w:t>
      </w:r>
      <w:r w:rsidRPr="00706910">
        <w:rPr>
          <w:i/>
          <w:iCs/>
        </w:rPr>
        <w:t>Private Lives 3</w:t>
      </w:r>
      <w:r>
        <w:t xml:space="preserve"> </w:t>
      </w:r>
      <w:r w:rsidRPr="009761D5">
        <w:t>follow</w:t>
      </w:r>
      <w:r>
        <w:t>ed</w:t>
      </w:r>
      <w:r w:rsidRPr="009761D5">
        <w:t xml:space="preserve"> the</w:t>
      </w:r>
      <w:r w:rsidRPr="009761D5" w:rsidDel="003C5AF6">
        <w:t xml:space="preserve"> </w:t>
      </w:r>
      <w:r>
        <w:t>Australian Bureau of Statistics</w:t>
      </w:r>
      <w:r w:rsidRPr="009761D5">
        <w:t xml:space="preserve"> </w:t>
      </w:r>
      <w:r>
        <w:t xml:space="preserve">approach for scoring and computing categories for the </w:t>
      </w:r>
      <w:r w:rsidRPr="009761D5">
        <w:t>K10</w:t>
      </w:r>
      <w:r>
        <w:t>.</w:t>
      </w:r>
      <w:r w:rsidRPr="008A63F7">
        <w:fldChar w:fldCharType="begin"/>
      </w:r>
      <w:r>
        <w:instrText xml:space="preserve"> ADDIN ZOTERO_ITEM CSL_CITATION {"citationID":"a90jf99tgb","properties":{"formattedCitation":"(62)","plainCitation":"(62)","noteIndex":0},"citationItems":[{"id":5759,"uris":["http://zotero.org/groups/2463045/items/QUKCWPNS"],"itemData":{"id":5759,"type":"webpage","abstract":"This is a summary from publication K10 Scoring which contains key figures, key points and notes from the publication.","language":"en","note":"publisher: c=AU; o=Commonwealth of Australia; ou=Australian Bureau of Statistics","title":"Use of the Kessler Psychological Distress Scale in ABS Health Surveys, Australia","URL":"https://www.abs.gov.au/ausstats/abs@.nsf/Lookup/4817.0.55.001Chapter92007-08","author":[{"family":"Australian Bureau of Statistics","given":""}],"accessed":{"date-parts":[["2021",1,6]]},"issued":{"date-parts":[["2012"]]},"citation-key":"australianbureauofstatisticsUseKesslerPsychological2012"}}],"schema":"https://github.com/citation-style-language/schema/raw/master/csl-citation.json"} </w:instrText>
      </w:r>
      <w:r w:rsidRPr="008A63F7">
        <w:fldChar w:fldCharType="separate"/>
      </w:r>
      <w:r>
        <w:rPr>
          <w:lang w:val="en-GB"/>
        </w:rPr>
        <w:t>(62)</w:t>
      </w:r>
      <w:r w:rsidRPr="008A63F7">
        <w:fldChar w:fldCharType="end"/>
      </w:r>
      <w:bookmarkStart w:id="635" w:name="_Toc45633914"/>
    </w:p>
    <w:p w14:paraId="6B236D32" w14:textId="666B22D1" w:rsidR="009D0006" w:rsidRPr="00C74BE6" w:rsidRDefault="009D0006" w:rsidP="00153892">
      <w:pPr>
        <w:pStyle w:val="Heading3Numbered"/>
      </w:pPr>
      <w:bookmarkStart w:id="636" w:name="_Toc115968584"/>
      <w:r w:rsidRPr="00C74BE6">
        <w:t>Experience of psychological distress – young people aged 14-21 years</w:t>
      </w:r>
      <w:bookmarkEnd w:id="636"/>
    </w:p>
    <w:p w14:paraId="492102C3" w14:textId="77777777" w:rsidR="009D0006" w:rsidRDefault="009D0006" w:rsidP="002876D2">
      <w:pPr>
        <w:pStyle w:val="Tableheading"/>
      </w:pPr>
      <w:bookmarkStart w:id="637" w:name="_Toc117062776"/>
      <w:bookmarkStart w:id="638" w:name="_Toc119651461"/>
      <w:r w:rsidRPr="00C74BE6">
        <w:t xml:space="preserve">Table </w:t>
      </w:r>
      <w:r w:rsidRPr="00C74BE6">
        <w:fldChar w:fldCharType="begin"/>
      </w:r>
      <w:r w:rsidRPr="004E2BB2">
        <w:instrText xml:space="preserve"> SEQ Table \* ARABIC </w:instrText>
      </w:r>
      <w:r w:rsidRPr="00C74BE6">
        <w:fldChar w:fldCharType="separate"/>
      </w:r>
      <w:r>
        <w:rPr>
          <w:noProof/>
        </w:rPr>
        <w:t>58</w:t>
      </w:r>
      <w:r w:rsidRPr="00C74BE6">
        <w:fldChar w:fldCharType="end"/>
      </w:r>
      <w:r>
        <w:t xml:space="preserve">: </w:t>
      </w:r>
      <w:r w:rsidRPr="009761D5">
        <w:t xml:space="preserve">Proportion of </w:t>
      </w:r>
      <w:r>
        <w:t>young people with disability aged 14-21 years who were</w:t>
      </w:r>
      <w:r w:rsidRPr="009761D5">
        <w:t xml:space="preserve"> experiencing psychological distress</w:t>
      </w:r>
      <w:bookmarkEnd w:id="635"/>
      <w:r>
        <w:t xml:space="preserve"> (n = 2486)</w:t>
      </w:r>
      <w:bookmarkEnd w:id="637"/>
      <w:bookmarkEnd w:id="638"/>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761D5" w14:paraId="70B7DA0A"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273C663" w14:textId="77777777" w:rsidR="009D0006" w:rsidRPr="009761D5" w:rsidRDefault="009D0006" w:rsidP="00791601">
            <w:pPr>
              <w:pStyle w:val="Tableheader"/>
            </w:pPr>
            <w:r>
              <w:t>Psychological distress</w:t>
            </w:r>
            <w:r w:rsidRPr="009761D5">
              <w:t> </w:t>
            </w:r>
          </w:p>
        </w:tc>
        <w:tc>
          <w:tcPr>
            <w:tcW w:w="1559" w:type="dxa"/>
            <w:noWrap/>
            <w:hideMark/>
          </w:tcPr>
          <w:p w14:paraId="7E8E8BBE" w14:textId="77777777" w:rsidR="009D0006" w:rsidRPr="009761D5" w:rsidRDefault="009D0006" w:rsidP="00791601">
            <w:pPr>
              <w:pStyle w:val="Tableheader"/>
              <w:rPr>
                <w:bCs/>
              </w:rPr>
            </w:pPr>
            <w:r w:rsidRPr="009761D5">
              <w:t>n</w:t>
            </w:r>
          </w:p>
        </w:tc>
        <w:tc>
          <w:tcPr>
            <w:tcW w:w="1559" w:type="dxa"/>
            <w:noWrap/>
            <w:hideMark/>
          </w:tcPr>
          <w:p w14:paraId="3D93F8AD" w14:textId="77777777" w:rsidR="009D0006" w:rsidRPr="009761D5" w:rsidRDefault="009D0006" w:rsidP="00791601">
            <w:pPr>
              <w:pStyle w:val="Tableheader"/>
              <w:rPr>
                <w:bCs/>
              </w:rPr>
            </w:pPr>
            <w:r w:rsidRPr="009761D5">
              <w:t>%</w:t>
            </w:r>
          </w:p>
        </w:tc>
      </w:tr>
      <w:tr w:rsidR="009D0006" w:rsidRPr="009761D5" w14:paraId="3415C3A9"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8349FA0" w14:textId="77777777" w:rsidR="009D0006" w:rsidRPr="009761D5" w:rsidRDefault="009D0006" w:rsidP="00791601">
            <w:pPr>
              <w:pStyle w:val="Tabletext"/>
            </w:pPr>
            <w:r w:rsidRPr="009761D5">
              <w:rPr>
                <w:lang w:val="en-US"/>
              </w:rPr>
              <w:t>Low (10–15)</w:t>
            </w:r>
          </w:p>
        </w:tc>
        <w:tc>
          <w:tcPr>
            <w:tcW w:w="1559" w:type="dxa"/>
            <w:noWrap/>
          </w:tcPr>
          <w:p w14:paraId="75DCAFD6" w14:textId="77777777" w:rsidR="009D0006" w:rsidRPr="009761D5" w:rsidRDefault="009D0006" w:rsidP="00791601">
            <w:pPr>
              <w:pStyle w:val="Tabletext"/>
            </w:pPr>
            <w:r>
              <w:t>30</w:t>
            </w:r>
          </w:p>
        </w:tc>
        <w:tc>
          <w:tcPr>
            <w:tcW w:w="1559" w:type="dxa"/>
            <w:noWrap/>
          </w:tcPr>
          <w:p w14:paraId="2E52A878" w14:textId="77777777" w:rsidR="009D0006" w:rsidRPr="009761D5" w:rsidRDefault="009D0006" w:rsidP="00791601">
            <w:pPr>
              <w:pStyle w:val="Tabletext"/>
            </w:pPr>
            <w:r>
              <w:t>1.2</w:t>
            </w:r>
          </w:p>
        </w:tc>
      </w:tr>
      <w:tr w:rsidR="009D0006" w:rsidRPr="009761D5" w14:paraId="57845862"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1FFE97C" w14:textId="77777777" w:rsidR="009D0006" w:rsidRPr="009761D5" w:rsidRDefault="009D0006" w:rsidP="00791601">
            <w:pPr>
              <w:pStyle w:val="Tabletext"/>
            </w:pPr>
            <w:r w:rsidRPr="009761D5">
              <w:rPr>
                <w:lang w:val="en-US"/>
              </w:rPr>
              <w:t>Moderate (16–21)</w:t>
            </w:r>
          </w:p>
        </w:tc>
        <w:tc>
          <w:tcPr>
            <w:tcW w:w="1559" w:type="dxa"/>
            <w:noWrap/>
          </w:tcPr>
          <w:p w14:paraId="11AD11A4" w14:textId="77777777" w:rsidR="009D0006" w:rsidRPr="009761D5" w:rsidRDefault="009D0006" w:rsidP="00791601">
            <w:pPr>
              <w:pStyle w:val="Tabletext"/>
            </w:pPr>
            <w:r>
              <w:t>169</w:t>
            </w:r>
          </w:p>
        </w:tc>
        <w:tc>
          <w:tcPr>
            <w:tcW w:w="1559" w:type="dxa"/>
            <w:noWrap/>
          </w:tcPr>
          <w:p w14:paraId="378A8104" w14:textId="77777777" w:rsidR="009D0006" w:rsidRPr="009761D5" w:rsidRDefault="009D0006" w:rsidP="00791601">
            <w:pPr>
              <w:pStyle w:val="Tabletext"/>
            </w:pPr>
            <w:r>
              <w:t>6.8</w:t>
            </w:r>
          </w:p>
        </w:tc>
      </w:tr>
      <w:tr w:rsidR="009D0006" w:rsidRPr="009761D5" w14:paraId="5262E4C7"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B3F90F4" w14:textId="77777777" w:rsidR="009D0006" w:rsidRPr="009761D5" w:rsidRDefault="009D0006" w:rsidP="00791601">
            <w:pPr>
              <w:pStyle w:val="Tabletext"/>
            </w:pPr>
            <w:r w:rsidRPr="009761D5">
              <w:rPr>
                <w:lang w:val="en-US"/>
              </w:rPr>
              <w:t>High (22–29)</w:t>
            </w:r>
          </w:p>
        </w:tc>
        <w:tc>
          <w:tcPr>
            <w:tcW w:w="1559" w:type="dxa"/>
            <w:noWrap/>
          </w:tcPr>
          <w:p w14:paraId="20A8A2F4" w14:textId="77777777" w:rsidR="009D0006" w:rsidRPr="009761D5" w:rsidRDefault="009D0006" w:rsidP="00791601">
            <w:pPr>
              <w:pStyle w:val="Tabletext"/>
            </w:pPr>
            <w:r>
              <w:t>582</w:t>
            </w:r>
          </w:p>
        </w:tc>
        <w:tc>
          <w:tcPr>
            <w:tcW w:w="1559" w:type="dxa"/>
            <w:noWrap/>
          </w:tcPr>
          <w:p w14:paraId="00803AF8" w14:textId="77777777" w:rsidR="009D0006" w:rsidRPr="009761D5" w:rsidRDefault="009D0006" w:rsidP="00791601">
            <w:pPr>
              <w:pStyle w:val="Tabletext"/>
            </w:pPr>
            <w:r>
              <w:t>23.4</w:t>
            </w:r>
          </w:p>
        </w:tc>
      </w:tr>
      <w:tr w:rsidR="009D0006" w:rsidRPr="009761D5" w14:paraId="4A59C707"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6EF9856" w14:textId="77777777" w:rsidR="009D0006" w:rsidRPr="009761D5" w:rsidRDefault="009D0006" w:rsidP="00791601">
            <w:pPr>
              <w:pStyle w:val="Tabletext"/>
            </w:pPr>
            <w:r w:rsidRPr="009761D5">
              <w:rPr>
                <w:lang w:val="en-US"/>
              </w:rPr>
              <w:t>Very high (30–50)</w:t>
            </w:r>
          </w:p>
        </w:tc>
        <w:tc>
          <w:tcPr>
            <w:tcW w:w="1559" w:type="dxa"/>
            <w:noWrap/>
          </w:tcPr>
          <w:p w14:paraId="20B3EBB8" w14:textId="77777777" w:rsidR="009D0006" w:rsidRPr="009761D5" w:rsidRDefault="009D0006" w:rsidP="00791601">
            <w:pPr>
              <w:pStyle w:val="Tabletext"/>
            </w:pPr>
            <w:r>
              <w:t>1705</w:t>
            </w:r>
          </w:p>
        </w:tc>
        <w:tc>
          <w:tcPr>
            <w:tcW w:w="1559" w:type="dxa"/>
            <w:noWrap/>
          </w:tcPr>
          <w:p w14:paraId="3166A878" w14:textId="77777777" w:rsidR="009D0006" w:rsidRPr="009761D5" w:rsidRDefault="009D0006" w:rsidP="00791601">
            <w:pPr>
              <w:pStyle w:val="Tabletext"/>
            </w:pPr>
            <w:r>
              <w:t>68.6</w:t>
            </w:r>
          </w:p>
        </w:tc>
      </w:tr>
    </w:tbl>
    <w:bookmarkEnd w:id="634"/>
    <w:p w14:paraId="2371AEB8" w14:textId="77777777" w:rsidR="009D0006" w:rsidRDefault="009D0006" w:rsidP="002876D2">
      <w:pPr>
        <w:spacing w:before="360"/>
      </w:pPr>
      <w:r>
        <w:t>As shown in</w:t>
      </w:r>
      <w:r>
        <w:lastRenderedPageBreak/>
        <w:t xml:space="preserve"> Table 58, 92.0% (n = 2287) of</w:t>
      </w:r>
      <w:r w:rsidRPr="00C0590A">
        <w:t xml:space="preserve"> </w:t>
      </w:r>
      <w:r>
        <w:t>young people</w:t>
      </w:r>
      <w:r w:rsidRPr="00C0590A">
        <w:t xml:space="preserve"> with disability </w:t>
      </w:r>
      <w:r>
        <w:t xml:space="preserve">in </w:t>
      </w:r>
      <w:r>
        <w:rPr>
          <w:i/>
          <w:iCs/>
        </w:rPr>
        <w:t>Writing Themselves In 4</w:t>
      </w:r>
      <w:r>
        <w:t xml:space="preserve"> reported experiencing high or very high levels of psychological distress in the past 4 weeks. </w:t>
      </w:r>
    </w:p>
    <w:p w14:paraId="368B0A4F" w14:textId="0D7518B7" w:rsidR="009D0006" w:rsidRPr="009761D5" w:rsidRDefault="009D0006" w:rsidP="00153892">
      <w:pPr>
        <w:pStyle w:val="Heading3Numbered"/>
      </w:pPr>
      <w:bookmarkStart w:id="639" w:name="_Toc115968585"/>
      <w:r w:rsidRPr="009761D5">
        <w:t>Experience of psychological distress – adults aged 18+ years</w:t>
      </w:r>
      <w:bookmarkEnd w:id="639"/>
    </w:p>
    <w:p w14:paraId="0F174F3F" w14:textId="4C62F072" w:rsidR="009D0006" w:rsidRPr="009761D5" w:rsidRDefault="009D0006" w:rsidP="002876D2">
      <w:pPr>
        <w:pStyle w:val="Tableheading"/>
      </w:pPr>
      <w:bookmarkStart w:id="640" w:name="_Toc117062777"/>
      <w:bookmarkStart w:id="641" w:name="_Toc119651462"/>
      <w:r w:rsidRPr="00706910">
        <w:rPr>
          <w:bCs/>
        </w:rPr>
        <w:t xml:space="preserve">Table </w:t>
      </w:r>
      <w:r w:rsidRPr="00887281">
        <w:rPr>
          <w:bCs/>
          <w:sz w:val="18"/>
          <w:szCs w:val="18"/>
        </w:rPr>
        <w:fldChar w:fldCharType="begin"/>
      </w:r>
      <w:r w:rsidRPr="00706910">
        <w:rPr>
          <w:bCs/>
        </w:rPr>
        <w:instrText xml:space="preserve"> SEQ Table \* ARABIC </w:instrText>
      </w:r>
      <w:r w:rsidRPr="00887281">
        <w:rPr>
          <w:bCs/>
          <w:sz w:val="18"/>
          <w:szCs w:val="18"/>
        </w:rPr>
        <w:fldChar w:fldCharType="separate"/>
      </w:r>
      <w:r>
        <w:rPr>
          <w:bCs/>
          <w:noProof/>
        </w:rPr>
        <w:t>59</w:t>
      </w:r>
      <w:r w:rsidRPr="00887281">
        <w:rPr>
          <w:bCs/>
          <w:sz w:val="18"/>
          <w:szCs w:val="18"/>
        </w:rPr>
        <w:fldChar w:fldCharType="end"/>
      </w:r>
      <w:r>
        <w:t xml:space="preserve">: </w:t>
      </w:r>
      <w:r w:rsidRPr="009761D5">
        <w:t xml:space="preserve">Proportion of </w:t>
      </w:r>
      <w:r>
        <w:t>adults with disability aged 18+ years who were</w:t>
      </w:r>
      <w:r w:rsidRPr="009761D5">
        <w:t xml:space="preserve"> experiencing psychological distress</w:t>
      </w:r>
      <w:r>
        <w:t xml:space="preserve"> (n = 2569)</w:t>
      </w:r>
      <w:bookmarkEnd w:id="640"/>
      <w:bookmarkEnd w:id="641"/>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761D5" w14:paraId="372F3320"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C47CF80" w14:textId="77777777" w:rsidR="009D0006" w:rsidRPr="009761D5" w:rsidRDefault="009D0006" w:rsidP="00791601">
            <w:pPr>
              <w:pStyle w:val="Tableheader"/>
            </w:pPr>
            <w:r>
              <w:t>Psychological distress</w:t>
            </w:r>
            <w:r w:rsidRPr="009761D5">
              <w:t> </w:t>
            </w:r>
          </w:p>
        </w:tc>
        <w:tc>
          <w:tcPr>
            <w:tcW w:w="1559" w:type="dxa"/>
            <w:noWrap/>
            <w:hideMark/>
          </w:tcPr>
          <w:p w14:paraId="39F00A09" w14:textId="77777777" w:rsidR="009D0006" w:rsidRPr="009761D5" w:rsidRDefault="009D0006" w:rsidP="00791601">
            <w:pPr>
              <w:pStyle w:val="Tableheader"/>
              <w:rPr>
                <w:bCs/>
              </w:rPr>
            </w:pPr>
            <w:r w:rsidRPr="009761D5">
              <w:t>n</w:t>
            </w:r>
          </w:p>
        </w:tc>
        <w:tc>
          <w:tcPr>
            <w:tcW w:w="1559" w:type="dxa"/>
            <w:noWrap/>
            <w:hideMark/>
          </w:tcPr>
          <w:p w14:paraId="48BDDF60" w14:textId="77777777" w:rsidR="009D0006" w:rsidRPr="009761D5" w:rsidRDefault="009D0006" w:rsidP="00791601">
            <w:pPr>
              <w:pStyle w:val="Tableheader"/>
              <w:rPr>
                <w:bCs/>
              </w:rPr>
            </w:pPr>
            <w:r w:rsidRPr="009761D5">
              <w:t>%</w:t>
            </w:r>
          </w:p>
        </w:tc>
      </w:tr>
      <w:tr w:rsidR="009D0006" w:rsidRPr="009761D5" w14:paraId="515C9E1C"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8C936E1" w14:textId="77777777" w:rsidR="009D0006" w:rsidRPr="009761D5" w:rsidRDefault="009D0006" w:rsidP="00791601">
            <w:pPr>
              <w:pStyle w:val="Tabletext"/>
            </w:pPr>
            <w:r w:rsidRPr="009761D5">
              <w:rPr>
                <w:lang w:val="en-US"/>
              </w:rPr>
              <w:t>Low (10–15)</w:t>
            </w:r>
          </w:p>
        </w:tc>
        <w:tc>
          <w:tcPr>
            <w:tcW w:w="1559" w:type="dxa"/>
            <w:noWrap/>
          </w:tcPr>
          <w:p w14:paraId="4A4B30ED" w14:textId="77777777" w:rsidR="009D0006" w:rsidRPr="009761D5" w:rsidRDefault="009D0006" w:rsidP="00791601">
            <w:pPr>
              <w:pStyle w:val="Tabletext"/>
            </w:pPr>
            <w:r>
              <w:t>178</w:t>
            </w:r>
          </w:p>
        </w:tc>
        <w:tc>
          <w:tcPr>
            <w:tcW w:w="1559" w:type="dxa"/>
            <w:noWrap/>
          </w:tcPr>
          <w:p w14:paraId="41A0D01C" w14:textId="77777777" w:rsidR="009D0006" w:rsidRPr="009761D5" w:rsidRDefault="009D0006" w:rsidP="00791601">
            <w:pPr>
              <w:pStyle w:val="Tabletext"/>
            </w:pPr>
            <w:r>
              <w:t>6.9</w:t>
            </w:r>
          </w:p>
        </w:tc>
      </w:tr>
      <w:tr w:rsidR="009D0006" w:rsidRPr="009761D5" w14:paraId="532C707A"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92A6D23" w14:textId="77777777" w:rsidR="009D0006" w:rsidRPr="009761D5" w:rsidRDefault="009D0006" w:rsidP="00791601">
            <w:pPr>
              <w:pStyle w:val="Tabletext"/>
            </w:pPr>
            <w:r w:rsidRPr="009761D5">
              <w:rPr>
                <w:lang w:val="en-US"/>
              </w:rPr>
              <w:t>Moderate (16–21)</w:t>
            </w:r>
          </w:p>
        </w:tc>
        <w:tc>
          <w:tcPr>
            <w:tcW w:w="1559" w:type="dxa"/>
            <w:noWrap/>
          </w:tcPr>
          <w:p w14:paraId="1BA9D72C" w14:textId="77777777" w:rsidR="009D0006" w:rsidRPr="009761D5" w:rsidRDefault="009D0006" w:rsidP="00791601">
            <w:pPr>
              <w:pStyle w:val="Tabletext"/>
            </w:pPr>
            <w:r>
              <w:t>388</w:t>
            </w:r>
          </w:p>
        </w:tc>
        <w:tc>
          <w:tcPr>
            <w:tcW w:w="1559" w:type="dxa"/>
            <w:noWrap/>
          </w:tcPr>
          <w:p w14:paraId="5DB06556" w14:textId="77777777" w:rsidR="009D0006" w:rsidRPr="009761D5" w:rsidRDefault="009D0006" w:rsidP="00791601">
            <w:pPr>
              <w:pStyle w:val="Tabletext"/>
            </w:pPr>
            <w:r>
              <w:t>15.1</w:t>
            </w:r>
          </w:p>
        </w:tc>
      </w:tr>
      <w:tr w:rsidR="009D0006" w:rsidRPr="009761D5" w14:paraId="01226C86"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AE3E929" w14:textId="77777777" w:rsidR="009D0006" w:rsidRPr="009761D5" w:rsidRDefault="009D0006" w:rsidP="00791601">
            <w:pPr>
              <w:pStyle w:val="Tabletext"/>
            </w:pPr>
            <w:r w:rsidRPr="009761D5">
              <w:rPr>
                <w:lang w:val="en-US"/>
              </w:rPr>
              <w:t>High (22–29)</w:t>
            </w:r>
          </w:p>
        </w:tc>
        <w:tc>
          <w:tcPr>
            <w:tcW w:w="1559" w:type="dxa"/>
            <w:noWrap/>
          </w:tcPr>
          <w:p w14:paraId="4474B8DD" w14:textId="77777777" w:rsidR="009D0006" w:rsidRPr="009761D5" w:rsidRDefault="009D0006" w:rsidP="00791601">
            <w:pPr>
              <w:pStyle w:val="Tabletext"/>
            </w:pPr>
            <w:r>
              <w:t>796</w:t>
            </w:r>
          </w:p>
        </w:tc>
        <w:tc>
          <w:tcPr>
            <w:tcW w:w="1559" w:type="dxa"/>
            <w:noWrap/>
          </w:tcPr>
          <w:p w14:paraId="4CE4D093" w14:textId="77777777" w:rsidR="009D0006" w:rsidRPr="009761D5" w:rsidRDefault="009D0006" w:rsidP="00791601">
            <w:pPr>
              <w:pStyle w:val="Tabletext"/>
            </w:pPr>
            <w:r>
              <w:t>31.0</w:t>
            </w:r>
          </w:p>
        </w:tc>
      </w:tr>
      <w:tr w:rsidR="009D0006" w:rsidRPr="009761D5" w14:paraId="5FE6F041"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0AA1158" w14:textId="77777777" w:rsidR="009D0006" w:rsidRPr="009761D5" w:rsidRDefault="009D0006" w:rsidP="00791601">
            <w:pPr>
              <w:pStyle w:val="Tabletext"/>
            </w:pPr>
            <w:r w:rsidRPr="009761D5">
              <w:rPr>
                <w:lang w:val="en-US"/>
              </w:rPr>
              <w:t>Very high (30–50)</w:t>
            </w:r>
          </w:p>
        </w:tc>
        <w:tc>
          <w:tcPr>
            <w:tcW w:w="1559" w:type="dxa"/>
            <w:noWrap/>
          </w:tcPr>
          <w:p w14:paraId="37682D72" w14:textId="77777777" w:rsidR="009D0006" w:rsidRPr="009761D5" w:rsidRDefault="009D0006" w:rsidP="00791601">
            <w:pPr>
              <w:pStyle w:val="Tabletext"/>
            </w:pPr>
            <w:r>
              <w:t>1207</w:t>
            </w:r>
          </w:p>
        </w:tc>
        <w:tc>
          <w:tcPr>
            <w:tcW w:w="1559" w:type="dxa"/>
            <w:noWrap/>
          </w:tcPr>
          <w:p w14:paraId="32A4308A" w14:textId="77777777" w:rsidR="009D0006" w:rsidRPr="009761D5" w:rsidRDefault="009D0006" w:rsidP="00791601">
            <w:pPr>
              <w:pStyle w:val="Tabletext"/>
            </w:pPr>
            <w:r>
              <w:t>47.0</w:t>
            </w:r>
          </w:p>
        </w:tc>
      </w:tr>
    </w:tbl>
    <w:p w14:paraId="28B279A4" w14:textId="77777777" w:rsidR="009D0006" w:rsidRPr="004E2605" w:rsidRDefault="009D0006" w:rsidP="002876D2">
      <w:pPr>
        <w:spacing w:before="360"/>
        <w:rPr>
          <w:w w:val="101"/>
        </w:rPr>
      </w:pPr>
      <w:r w:rsidRPr="004E2605">
        <w:rPr>
          <w:w w:val="101"/>
        </w:rPr>
        <w:t xml:space="preserve">As displayed in Table 59, 78.0% (n = 2003) of adults with disability in </w:t>
      </w:r>
      <w:r w:rsidRPr="004E2605">
        <w:rPr>
          <w:i/>
          <w:iCs/>
          <w:w w:val="101"/>
        </w:rPr>
        <w:t>Private Lives 3</w:t>
      </w:r>
      <w:r w:rsidRPr="004E2605">
        <w:rPr>
          <w:w w:val="101"/>
        </w:rPr>
        <w:t xml:space="preserve"> reported experiencing high or very high levels of psychological distress in the past 4 weeks. </w:t>
      </w:r>
    </w:p>
    <w:p w14:paraId="61F15694" w14:textId="27269028" w:rsidR="009D0006" w:rsidRPr="009761D5" w:rsidRDefault="009D0006" w:rsidP="004E2605">
      <w:pPr>
        <w:pStyle w:val="Heading3Numbered"/>
        <w:spacing w:before="240"/>
      </w:pPr>
      <w:bookmarkStart w:id="642" w:name="_Toc58252102"/>
      <w:bookmarkStart w:id="643" w:name="_Toc115968586"/>
      <w:r w:rsidRPr="009761D5">
        <w:t xml:space="preserve">Experience of psychological distress by </w:t>
      </w:r>
      <w:bookmarkEnd w:id="642"/>
      <w:r w:rsidRPr="009761D5">
        <w:t>disability – young people aged 14-21 years</w:t>
      </w:r>
      <w:bookmarkEnd w:id="643"/>
    </w:p>
    <w:p w14:paraId="029348FB" w14:textId="77777777" w:rsidR="009D0006" w:rsidRDefault="009D0006" w:rsidP="009D0006">
      <w:pPr>
        <w:rPr>
          <w:rFonts w:ascii="Roboto Medium" w:hAnsi="Roboto Medium"/>
          <w:bCs/>
          <w:sz w:val="23"/>
        </w:rPr>
      </w:pPr>
      <w:bookmarkStart w:id="644" w:name="_Hlk53318649"/>
      <w:r>
        <w:rPr>
          <w:lang w:val="en-GB"/>
        </w:rPr>
        <w:t>Tables</w:t>
      </w:r>
      <w:r w:rsidRPr="009761D5">
        <w:rPr>
          <w:lang w:val="en-GB"/>
        </w:rPr>
        <w:t xml:space="preserve"> </w:t>
      </w:r>
      <w:r>
        <w:rPr>
          <w:lang w:val="en-GB"/>
        </w:rPr>
        <w:t>60.1-60.7</w:t>
      </w:r>
      <w:r w:rsidRPr="009761D5">
        <w:rPr>
          <w:lang w:val="en-GB"/>
        </w:rPr>
        <w:t xml:space="preserve"> show the proportion of participants who experienced low, moderate, high or very high levels of psychological distress broken down by disability.</w:t>
      </w:r>
      <w:bookmarkEnd w:id="644"/>
    </w:p>
    <w:p w14:paraId="67637729" w14:textId="5B30F0E8" w:rsidR="009D0006" w:rsidRDefault="009D0006" w:rsidP="002876D2">
      <w:pPr>
        <w:pStyle w:val="Tableheading"/>
      </w:pPr>
      <w:bookmarkStart w:id="645" w:name="_Toc117062778"/>
      <w:bookmarkStart w:id="646" w:name="_Toc119651463"/>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60</w:t>
      </w:r>
      <w:r w:rsidRPr="00985828">
        <w:rPr>
          <w:bCs/>
          <w:sz w:val="18"/>
          <w:szCs w:val="18"/>
        </w:rPr>
        <w:fldChar w:fldCharType="end"/>
      </w:r>
      <w:r>
        <w:t xml:space="preserve">.1-60.7: </w:t>
      </w:r>
      <w:r w:rsidRPr="009761D5">
        <w:t xml:space="preserve">Proportion of </w:t>
      </w:r>
      <w:r>
        <w:t>young people aged 14-21 years</w:t>
      </w:r>
      <w:r w:rsidRPr="009761D5">
        <w:t xml:space="preserve"> experiencing psychological distress</w:t>
      </w:r>
      <w:r>
        <w:t>, grouped</w:t>
      </w:r>
      <w:r w:rsidRPr="009761D5">
        <w:t xml:space="preserve"> by disability</w:t>
      </w:r>
      <w:r>
        <w:t xml:space="preserve"> (n = 5737)</w:t>
      </w:r>
      <w:bookmarkEnd w:id="645"/>
      <w:bookmarkEnd w:id="646"/>
    </w:p>
    <w:p w14:paraId="6DDF3FA7" w14:textId="77777777" w:rsidR="009D0006" w:rsidRDefault="009D0006" w:rsidP="002876D2">
      <w:pPr>
        <w:pStyle w:val="Tableheading"/>
      </w:pPr>
      <w:r>
        <w:t>Table 60.1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5973B995"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2899DFC2" w14:textId="77777777" w:rsidR="009D0006" w:rsidRPr="00464BA9" w:rsidRDefault="009D0006" w:rsidP="00791601">
            <w:pPr>
              <w:pStyle w:val="Tableheader"/>
            </w:pPr>
            <w:r w:rsidRPr="00464BA9">
              <w:t>Psychological distress</w:t>
            </w:r>
          </w:p>
        </w:tc>
        <w:tc>
          <w:tcPr>
            <w:tcW w:w="1559" w:type="dxa"/>
            <w:noWrap/>
          </w:tcPr>
          <w:p w14:paraId="3229D325" w14:textId="77777777" w:rsidR="009D0006" w:rsidRPr="00464BA9" w:rsidRDefault="009D0006" w:rsidP="00791601">
            <w:pPr>
              <w:pStyle w:val="Tableheader"/>
            </w:pPr>
            <w:r w:rsidRPr="00464BA9">
              <w:t>n</w:t>
            </w:r>
          </w:p>
        </w:tc>
        <w:tc>
          <w:tcPr>
            <w:tcW w:w="1559" w:type="dxa"/>
            <w:noWrap/>
          </w:tcPr>
          <w:p w14:paraId="0995F8BA" w14:textId="77777777" w:rsidR="009D0006" w:rsidRPr="00464BA9" w:rsidRDefault="009D0006" w:rsidP="00791601">
            <w:pPr>
              <w:pStyle w:val="Tableheader"/>
            </w:pPr>
            <w:r w:rsidRPr="00464BA9">
              <w:t>%</w:t>
            </w:r>
          </w:p>
        </w:tc>
      </w:tr>
      <w:tr w:rsidR="009D0006" w:rsidRPr="00CC74AD" w14:paraId="3EF7FD15"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7A363F1" w14:textId="77777777" w:rsidR="009D0006" w:rsidRPr="00CC74AD" w:rsidRDefault="009D0006" w:rsidP="00791601">
            <w:pPr>
              <w:pStyle w:val="Tabletext"/>
            </w:pPr>
            <w:r w:rsidRPr="00CC74AD">
              <w:rPr>
                <w:lang w:val="en-US"/>
              </w:rPr>
              <w:t>Low or moderate</w:t>
            </w:r>
          </w:p>
        </w:tc>
        <w:tc>
          <w:tcPr>
            <w:tcW w:w="1559" w:type="dxa"/>
            <w:noWrap/>
          </w:tcPr>
          <w:p w14:paraId="623DF415" w14:textId="77777777" w:rsidR="009D0006" w:rsidRPr="00CC74AD" w:rsidRDefault="009D0006" w:rsidP="00791601">
            <w:pPr>
              <w:pStyle w:val="Tabletext"/>
            </w:pPr>
            <w:r w:rsidRPr="00CC74AD">
              <w:t>131</w:t>
            </w:r>
          </w:p>
        </w:tc>
        <w:tc>
          <w:tcPr>
            <w:tcW w:w="1559" w:type="dxa"/>
            <w:noWrap/>
          </w:tcPr>
          <w:p w14:paraId="7DC9BA2B" w14:textId="77777777" w:rsidR="009D0006" w:rsidRPr="00CC74AD" w:rsidRDefault="009D0006" w:rsidP="00791601">
            <w:pPr>
              <w:pStyle w:val="Tabletext"/>
            </w:pPr>
            <w:r w:rsidRPr="00CC74AD">
              <w:t>9.1</w:t>
            </w:r>
          </w:p>
        </w:tc>
      </w:tr>
      <w:tr w:rsidR="009D0006" w:rsidRPr="00CC74AD" w14:paraId="2CF9EBF4"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AB4D30A" w14:textId="77777777" w:rsidR="009D0006" w:rsidRPr="00CC74AD" w:rsidRDefault="009D0006" w:rsidP="00791601">
            <w:pPr>
              <w:pStyle w:val="Tabletext"/>
            </w:pPr>
            <w:r w:rsidRPr="00CC74AD">
              <w:rPr>
                <w:lang w:val="en-US"/>
              </w:rPr>
              <w:t>High or very high</w:t>
            </w:r>
          </w:p>
        </w:tc>
        <w:tc>
          <w:tcPr>
            <w:tcW w:w="1559" w:type="dxa"/>
            <w:noWrap/>
          </w:tcPr>
          <w:p w14:paraId="1610FA41" w14:textId="77777777" w:rsidR="009D0006" w:rsidRPr="00CC74AD" w:rsidRDefault="009D0006" w:rsidP="00791601">
            <w:pPr>
              <w:pStyle w:val="Tabletext"/>
            </w:pPr>
            <w:r w:rsidRPr="00CC74AD">
              <w:t>1302</w:t>
            </w:r>
          </w:p>
        </w:tc>
        <w:tc>
          <w:tcPr>
            <w:tcW w:w="1559" w:type="dxa"/>
            <w:noWrap/>
          </w:tcPr>
          <w:p w14:paraId="245D5E5D" w14:textId="77777777" w:rsidR="009D0006" w:rsidRPr="00CC74AD" w:rsidRDefault="009D0006" w:rsidP="00791601">
            <w:pPr>
              <w:pStyle w:val="Tabletext"/>
            </w:pPr>
            <w:r w:rsidRPr="00CC74AD">
              <w:t>90.9</w:t>
            </w:r>
          </w:p>
        </w:tc>
      </w:tr>
    </w:tbl>
    <w:p w14:paraId="0ADDC523" w14:textId="77777777" w:rsidR="009D0006" w:rsidRDefault="009D0006" w:rsidP="002876D2">
      <w:pPr>
        <w:pStyle w:val="Tableheading"/>
        <w:rPr>
          <w:lang w:val="en-GB"/>
        </w:rPr>
      </w:pPr>
      <w:r>
        <w:rPr>
          <w:lang w:val="en-GB"/>
        </w:rPr>
        <w:t>Table 60.2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2FE85D96"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78E08CDA" w14:textId="77777777" w:rsidR="009D0006" w:rsidRPr="00397A2D" w:rsidRDefault="009D0006" w:rsidP="00791601">
            <w:pPr>
              <w:pStyle w:val="Tableheader"/>
            </w:pPr>
            <w:r w:rsidRPr="00397A2D">
              <w:t>Psychological distress</w:t>
            </w:r>
          </w:p>
        </w:tc>
        <w:tc>
          <w:tcPr>
            <w:tcW w:w="1559" w:type="dxa"/>
          </w:tcPr>
          <w:p w14:paraId="59888FCA" w14:textId="77777777" w:rsidR="009D0006" w:rsidRPr="00397A2D" w:rsidRDefault="009D0006" w:rsidP="00791601">
            <w:pPr>
              <w:pStyle w:val="Tableheader"/>
            </w:pPr>
            <w:r w:rsidRPr="00397A2D">
              <w:t>n</w:t>
            </w:r>
          </w:p>
        </w:tc>
        <w:tc>
          <w:tcPr>
            <w:tcW w:w="1559" w:type="dxa"/>
          </w:tcPr>
          <w:p w14:paraId="67011751" w14:textId="77777777" w:rsidR="009D0006" w:rsidRPr="00397A2D" w:rsidRDefault="009D0006" w:rsidP="00791601">
            <w:pPr>
              <w:pStyle w:val="Tableheader"/>
            </w:pPr>
            <w:r w:rsidRPr="00397A2D">
              <w:t>%</w:t>
            </w:r>
          </w:p>
        </w:tc>
      </w:tr>
      <w:tr w:rsidR="009D0006" w:rsidRPr="00CC74AD" w14:paraId="19A383CD" w14:textId="77777777" w:rsidTr="00791601">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05B1132" w14:textId="77777777" w:rsidR="009D0006" w:rsidRPr="00CC74AD" w:rsidRDefault="009D0006" w:rsidP="00791601">
            <w:pPr>
              <w:pStyle w:val="Tabletext"/>
            </w:pPr>
            <w:r w:rsidRPr="00CC74AD">
              <w:rPr>
                <w:lang w:val="en-US"/>
              </w:rPr>
              <w:t>Low or moderate</w:t>
            </w:r>
          </w:p>
        </w:tc>
        <w:tc>
          <w:tcPr>
            <w:tcW w:w="1559" w:type="dxa"/>
          </w:tcPr>
          <w:p w14:paraId="40AF6C80" w14:textId="77777777" w:rsidR="009D0006" w:rsidRPr="00CC74AD" w:rsidRDefault="009D0006" w:rsidP="00791601">
            <w:pPr>
              <w:pStyle w:val="Tabletext"/>
            </w:pPr>
            <w:r w:rsidRPr="00CC74AD">
              <w:t>955</w:t>
            </w:r>
          </w:p>
        </w:tc>
        <w:tc>
          <w:tcPr>
            <w:tcW w:w="1559" w:type="dxa"/>
          </w:tcPr>
          <w:p w14:paraId="24E25354" w14:textId="77777777" w:rsidR="009D0006" w:rsidRPr="00CC74AD" w:rsidRDefault="009D0006" w:rsidP="00791601">
            <w:pPr>
              <w:pStyle w:val="Tabletext"/>
            </w:pPr>
            <w:r w:rsidRPr="00CC74AD">
              <w:t>29.4</w:t>
            </w:r>
          </w:p>
        </w:tc>
      </w:tr>
      <w:tr w:rsidR="009D0006" w:rsidRPr="00CC74AD" w14:paraId="3FACE9AF" w14:textId="77777777" w:rsidTr="00791601">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104117C" w14:textId="77777777" w:rsidR="009D0006" w:rsidRPr="00CC74AD" w:rsidRDefault="009D0006" w:rsidP="00791601">
            <w:pPr>
              <w:pStyle w:val="Tabletext"/>
            </w:pPr>
            <w:r w:rsidRPr="00CC74AD">
              <w:rPr>
                <w:lang w:val="en-US"/>
              </w:rPr>
              <w:t>High or very high</w:t>
            </w:r>
          </w:p>
        </w:tc>
        <w:tc>
          <w:tcPr>
            <w:tcW w:w="1559" w:type="dxa"/>
          </w:tcPr>
          <w:p w14:paraId="041F9CDD" w14:textId="77777777" w:rsidR="009D0006" w:rsidRPr="00CC74AD" w:rsidRDefault="009D0006" w:rsidP="00791601">
            <w:pPr>
              <w:pStyle w:val="Tabletext"/>
            </w:pPr>
            <w:r w:rsidRPr="00CC74AD">
              <w:t>2296</w:t>
            </w:r>
          </w:p>
        </w:tc>
        <w:tc>
          <w:tcPr>
            <w:tcW w:w="1559" w:type="dxa"/>
          </w:tcPr>
          <w:p w14:paraId="4BD18374" w14:textId="77777777" w:rsidR="009D0006" w:rsidRPr="00CC74AD" w:rsidRDefault="009D0006" w:rsidP="00791601">
            <w:pPr>
              <w:pStyle w:val="Tabletext"/>
            </w:pPr>
            <w:r w:rsidRPr="00CC74AD">
              <w:t>70.6</w:t>
            </w:r>
          </w:p>
        </w:tc>
      </w:tr>
    </w:tbl>
    <w:p w14:paraId="29955FF1" w14:textId="77777777" w:rsidR="009D0006" w:rsidRDefault="009D0006" w:rsidP="002876D2">
      <w:pPr>
        <w:pStyle w:val="Tableheading"/>
        <w:rPr>
          <w:lang w:val="en-GB"/>
        </w:rPr>
      </w:pPr>
      <w:r>
        <w:rPr>
          <w:lang w:val="en-GB"/>
        </w:rPr>
        <w:t xml:space="preserve">Table 60.3 </w:t>
      </w:r>
      <w:r>
        <w:rPr>
          <w:lang w:val="en-GB"/>
        </w:rPr>
        <w:lastRenderedPageBreak/>
        <w:t>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70469CB2"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628E736B" w14:textId="77777777" w:rsidR="009D0006" w:rsidRPr="00552EDD" w:rsidRDefault="009D0006" w:rsidP="00791601">
            <w:pPr>
              <w:pStyle w:val="Tableheader"/>
              <w:rPr>
                <w:lang w:val="en-US"/>
              </w:rPr>
            </w:pPr>
            <w:r w:rsidRPr="00552EDD">
              <w:t>Psychological distress</w:t>
            </w:r>
          </w:p>
        </w:tc>
        <w:tc>
          <w:tcPr>
            <w:tcW w:w="1559" w:type="dxa"/>
          </w:tcPr>
          <w:p w14:paraId="0DEECC08" w14:textId="77777777" w:rsidR="009D0006" w:rsidRPr="00552EDD" w:rsidRDefault="009D0006" w:rsidP="00791601">
            <w:pPr>
              <w:pStyle w:val="Tableheader"/>
              <w:rPr>
                <w:lang w:val="en-US"/>
              </w:rPr>
            </w:pPr>
            <w:r w:rsidRPr="00552EDD">
              <w:t>n</w:t>
            </w:r>
          </w:p>
        </w:tc>
        <w:tc>
          <w:tcPr>
            <w:tcW w:w="1559" w:type="dxa"/>
          </w:tcPr>
          <w:p w14:paraId="1D16018F" w14:textId="77777777" w:rsidR="009D0006" w:rsidRPr="00552EDD" w:rsidRDefault="009D0006" w:rsidP="00791601">
            <w:pPr>
              <w:pStyle w:val="Tableheader"/>
            </w:pPr>
            <w:r w:rsidRPr="00552EDD">
              <w:t>%</w:t>
            </w:r>
          </w:p>
        </w:tc>
      </w:tr>
      <w:tr w:rsidR="009D0006" w:rsidRPr="00CC74AD" w14:paraId="3540158B" w14:textId="77777777" w:rsidTr="00791601">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5FF63905" w14:textId="77777777" w:rsidR="009D0006" w:rsidRPr="00CC74AD" w:rsidRDefault="009D0006" w:rsidP="00791601">
            <w:pPr>
              <w:pStyle w:val="Tabletext"/>
              <w:rPr>
                <w:lang w:val="en-US"/>
              </w:rPr>
            </w:pPr>
            <w:r w:rsidRPr="00CC74AD">
              <w:rPr>
                <w:lang w:val="en-US"/>
              </w:rPr>
              <w:t>Low or moderate</w:t>
            </w:r>
          </w:p>
        </w:tc>
        <w:tc>
          <w:tcPr>
            <w:tcW w:w="1559" w:type="dxa"/>
          </w:tcPr>
          <w:p w14:paraId="03F66570" w14:textId="77777777" w:rsidR="009D0006" w:rsidRPr="00CC74AD" w:rsidRDefault="009D0006" w:rsidP="00791601">
            <w:pPr>
              <w:pStyle w:val="Tabletext"/>
            </w:pPr>
            <w:r w:rsidRPr="00CC74AD">
              <w:t>59</w:t>
            </w:r>
          </w:p>
        </w:tc>
        <w:tc>
          <w:tcPr>
            <w:tcW w:w="1559" w:type="dxa"/>
          </w:tcPr>
          <w:p w14:paraId="1E9E2D64" w14:textId="77777777" w:rsidR="009D0006" w:rsidRPr="00CC74AD" w:rsidRDefault="009D0006" w:rsidP="00791601">
            <w:pPr>
              <w:pStyle w:val="Tabletext"/>
            </w:pPr>
            <w:r w:rsidRPr="00CC74AD">
              <w:t>9.1</w:t>
            </w:r>
          </w:p>
        </w:tc>
      </w:tr>
      <w:tr w:rsidR="009D0006" w:rsidRPr="00CC74AD" w14:paraId="14B8457B" w14:textId="77777777" w:rsidTr="00791601">
        <w:trPr>
          <w:cnfStyle w:val="000000010000" w:firstRow="0" w:lastRow="0" w:firstColumn="0" w:lastColumn="0" w:oddVBand="0" w:evenVBand="0" w:oddHBand="0" w:evenHBand="1" w:firstRowFirstColumn="0" w:firstRowLastColumn="0" w:lastRowFirstColumn="0" w:lastRowLastColumn="0"/>
          <w:trHeight w:val="498"/>
        </w:trPr>
        <w:tc>
          <w:tcPr>
            <w:tcW w:w="6746" w:type="dxa"/>
            <w:noWrap/>
          </w:tcPr>
          <w:p w14:paraId="76874285" w14:textId="77777777" w:rsidR="009D0006" w:rsidRPr="00CC74AD" w:rsidRDefault="009D0006" w:rsidP="00791601">
            <w:pPr>
              <w:pStyle w:val="Tabletext"/>
              <w:rPr>
                <w:lang w:val="en-US"/>
              </w:rPr>
            </w:pPr>
            <w:r w:rsidRPr="00CC74AD">
              <w:rPr>
                <w:lang w:val="en-US"/>
              </w:rPr>
              <w:t>High or very high</w:t>
            </w:r>
          </w:p>
        </w:tc>
        <w:tc>
          <w:tcPr>
            <w:tcW w:w="1559" w:type="dxa"/>
          </w:tcPr>
          <w:p w14:paraId="3E0FDE07" w14:textId="77777777" w:rsidR="009D0006" w:rsidRPr="00CC74AD" w:rsidRDefault="009D0006" w:rsidP="00791601">
            <w:pPr>
              <w:pStyle w:val="Tabletext"/>
            </w:pPr>
            <w:r w:rsidRPr="00CC74AD">
              <w:t>590</w:t>
            </w:r>
          </w:p>
        </w:tc>
        <w:tc>
          <w:tcPr>
            <w:tcW w:w="1559" w:type="dxa"/>
          </w:tcPr>
          <w:p w14:paraId="01C59A2C" w14:textId="77777777" w:rsidR="009D0006" w:rsidRPr="00CC74AD" w:rsidRDefault="009D0006" w:rsidP="00791601">
            <w:pPr>
              <w:pStyle w:val="Tabletext"/>
            </w:pPr>
            <w:r w:rsidRPr="00CC74AD">
              <w:t>90.9</w:t>
            </w:r>
          </w:p>
        </w:tc>
      </w:tr>
    </w:tbl>
    <w:p w14:paraId="7C4E3BB3" w14:textId="77777777" w:rsidR="009D0006" w:rsidRDefault="009D0006" w:rsidP="002876D2">
      <w:pPr>
        <w:pStyle w:val="Tableheading"/>
        <w:rPr>
          <w:lang w:val="en-GB"/>
        </w:rPr>
      </w:pPr>
      <w:r>
        <w:rPr>
          <w:lang w:val="en-GB"/>
        </w:rPr>
        <w:t>Table 60.4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3ACC1260" w14:textId="77777777" w:rsidTr="00791601">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605545D3" w14:textId="77777777" w:rsidR="009D0006" w:rsidRPr="002D1E90" w:rsidRDefault="009D0006" w:rsidP="00791601">
            <w:pPr>
              <w:pStyle w:val="Tableheader"/>
              <w:rPr>
                <w:lang w:val="en-US"/>
              </w:rPr>
            </w:pPr>
            <w:r w:rsidRPr="00CC74AD">
              <w:t>Psychological distress</w:t>
            </w:r>
          </w:p>
        </w:tc>
        <w:tc>
          <w:tcPr>
            <w:tcW w:w="1559" w:type="dxa"/>
          </w:tcPr>
          <w:p w14:paraId="42649CF9" w14:textId="77777777" w:rsidR="009D0006" w:rsidRPr="00552EDD" w:rsidRDefault="009D0006" w:rsidP="00791601">
            <w:pPr>
              <w:pStyle w:val="Tableheader"/>
              <w:rPr>
                <w:lang w:val="en-US"/>
              </w:rPr>
            </w:pPr>
            <w:r w:rsidRPr="00552EDD">
              <w:t>n</w:t>
            </w:r>
          </w:p>
        </w:tc>
        <w:tc>
          <w:tcPr>
            <w:tcW w:w="1559" w:type="dxa"/>
          </w:tcPr>
          <w:p w14:paraId="28E6D6D3" w14:textId="77777777" w:rsidR="009D0006" w:rsidRPr="00552EDD" w:rsidRDefault="009D0006" w:rsidP="00791601">
            <w:pPr>
              <w:pStyle w:val="Tableheader"/>
            </w:pPr>
            <w:r w:rsidRPr="00552EDD">
              <w:t>%</w:t>
            </w:r>
          </w:p>
        </w:tc>
      </w:tr>
      <w:tr w:rsidR="009D0006" w:rsidRPr="00CC74AD" w14:paraId="2EE3FDB6" w14:textId="77777777" w:rsidTr="00791601">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41E9CFC8" w14:textId="77777777" w:rsidR="009D0006" w:rsidRPr="00CC74AD" w:rsidRDefault="009D0006" w:rsidP="00791601">
            <w:pPr>
              <w:pStyle w:val="Tabletext"/>
              <w:rPr>
                <w:lang w:val="en-US"/>
              </w:rPr>
            </w:pPr>
            <w:r w:rsidRPr="00CC74AD">
              <w:rPr>
                <w:lang w:val="en-US"/>
              </w:rPr>
              <w:t>Low or moderate</w:t>
            </w:r>
          </w:p>
        </w:tc>
        <w:tc>
          <w:tcPr>
            <w:tcW w:w="1559" w:type="dxa"/>
          </w:tcPr>
          <w:p w14:paraId="41D4FC81" w14:textId="77777777" w:rsidR="009D0006" w:rsidRPr="00CC74AD" w:rsidRDefault="009D0006" w:rsidP="00791601">
            <w:pPr>
              <w:pStyle w:val="Tabletext"/>
            </w:pPr>
            <w:r w:rsidRPr="00CC74AD">
              <w:t>8</w:t>
            </w:r>
          </w:p>
        </w:tc>
        <w:tc>
          <w:tcPr>
            <w:tcW w:w="1559" w:type="dxa"/>
          </w:tcPr>
          <w:p w14:paraId="22E7BA54" w14:textId="77777777" w:rsidR="009D0006" w:rsidRPr="00CC74AD" w:rsidRDefault="009D0006" w:rsidP="00791601">
            <w:pPr>
              <w:pStyle w:val="Tabletext"/>
            </w:pPr>
            <w:r w:rsidRPr="00CC74AD">
              <w:t>3.8</w:t>
            </w:r>
          </w:p>
        </w:tc>
      </w:tr>
      <w:tr w:rsidR="009D0006" w:rsidRPr="00CC74AD" w14:paraId="0B5B8EFD" w14:textId="77777777" w:rsidTr="00791601">
        <w:trPr>
          <w:cnfStyle w:val="000000010000" w:firstRow="0" w:lastRow="0" w:firstColumn="0" w:lastColumn="0" w:oddVBand="0" w:evenVBand="0" w:oddHBand="0" w:evenHBand="1" w:firstRowFirstColumn="0" w:firstRowLastColumn="0" w:lastRowFirstColumn="0" w:lastRowLastColumn="0"/>
          <w:trHeight w:val="498"/>
        </w:trPr>
        <w:tc>
          <w:tcPr>
            <w:tcW w:w="6746" w:type="dxa"/>
            <w:noWrap/>
          </w:tcPr>
          <w:p w14:paraId="7B88F6BF" w14:textId="77777777" w:rsidR="009D0006" w:rsidRPr="00CC74AD" w:rsidRDefault="009D0006" w:rsidP="00791601">
            <w:pPr>
              <w:pStyle w:val="Tabletext"/>
              <w:rPr>
                <w:lang w:val="en-US"/>
              </w:rPr>
            </w:pPr>
            <w:r w:rsidRPr="00CC74AD">
              <w:rPr>
                <w:lang w:val="en-US"/>
              </w:rPr>
              <w:t>High or very high</w:t>
            </w:r>
          </w:p>
        </w:tc>
        <w:tc>
          <w:tcPr>
            <w:tcW w:w="1559" w:type="dxa"/>
          </w:tcPr>
          <w:p w14:paraId="506EF01A" w14:textId="77777777" w:rsidR="009D0006" w:rsidRPr="00CC74AD" w:rsidRDefault="009D0006" w:rsidP="00791601">
            <w:pPr>
              <w:pStyle w:val="Tabletext"/>
            </w:pPr>
            <w:r w:rsidRPr="00CC74AD">
              <w:t>205</w:t>
            </w:r>
          </w:p>
        </w:tc>
        <w:tc>
          <w:tcPr>
            <w:tcW w:w="1559" w:type="dxa"/>
          </w:tcPr>
          <w:p w14:paraId="4AFDF2E1" w14:textId="77777777" w:rsidR="009D0006" w:rsidRPr="00CC74AD" w:rsidRDefault="009D0006" w:rsidP="00791601">
            <w:pPr>
              <w:pStyle w:val="Tabletext"/>
            </w:pPr>
            <w:r w:rsidRPr="00CC74AD">
              <w:t>96.2</w:t>
            </w:r>
          </w:p>
        </w:tc>
      </w:tr>
    </w:tbl>
    <w:p w14:paraId="52892CF1" w14:textId="77777777" w:rsidR="009D0006" w:rsidRDefault="009D0006" w:rsidP="002876D2">
      <w:pPr>
        <w:pStyle w:val="Tableheading"/>
        <w:rPr>
          <w:lang w:val="en-GB"/>
        </w:rPr>
      </w:pPr>
      <w:r>
        <w:rPr>
          <w:lang w:val="en-GB"/>
        </w:rPr>
        <w:t>Table 60.5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552EDD" w14:paraId="61DE9DA8"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738DF9C2" w14:textId="77777777" w:rsidR="009D0006" w:rsidRPr="00552EDD" w:rsidRDefault="009D0006" w:rsidP="005F0DA0">
            <w:pPr>
              <w:pStyle w:val="Tableheader"/>
              <w:rPr>
                <w:lang w:val="en-US"/>
              </w:rPr>
            </w:pPr>
            <w:r w:rsidRPr="00552EDD">
              <w:t>Psychological distress</w:t>
            </w:r>
          </w:p>
        </w:tc>
        <w:tc>
          <w:tcPr>
            <w:tcW w:w="1559" w:type="dxa"/>
          </w:tcPr>
          <w:p w14:paraId="28B36A02" w14:textId="77777777" w:rsidR="009D0006" w:rsidRPr="00552EDD" w:rsidRDefault="009D0006" w:rsidP="005F0DA0">
            <w:pPr>
              <w:pStyle w:val="Tableheader"/>
            </w:pPr>
            <w:r w:rsidRPr="00552EDD">
              <w:t>n</w:t>
            </w:r>
          </w:p>
        </w:tc>
        <w:tc>
          <w:tcPr>
            <w:tcW w:w="1559" w:type="dxa"/>
          </w:tcPr>
          <w:p w14:paraId="05F6A32D" w14:textId="77777777" w:rsidR="009D0006" w:rsidRPr="00552EDD" w:rsidRDefault="009D0006" w:rsidP="005F0DA0">
            <w:pPr>
              <w:pStyle w:val="Tableheader"/>
            </w:pPr>
            <w:r w:rsidRPr="00552EDD">
              <w:t>%</w:t>
            </w:r>
          </w:p>
        </w:tc>
      </w:tr>
      <w:tr w:rsidR="009D0006" w:rsidRPr="00CC74AD" w14:paraId="0D4BAE0F" w14:textId="77777777" w:rsidTr="005F0DA0">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34532B98" w14:textId="77777777" w:rsidR="009D0006" w:rsidRPr="00CC74AD" w:rsidRDefault="009D0006" w:rsidP="005F0DA0">
            <w:pPr>
              <w:pStyle w:val="Tabletext"/>
              <w:rPr>
                <w:lang w:val="en-US"/>
              </w:rPr>
            </w:pPr>
            <w:r w:rsidRPr="00CC74AD">
              <w:rPr>
                <w:lang w:val="en-US"/>
              </w:rPr>
              <w:t>Low or moderate</w:t>
            </w:r>
          </w:p>
        </w:tc>
        <w:tc>
          <w:tcPr>
            <w:tcW w:w="1559" w:type="dxa"/>
          </w:tcPr>
          <w:p w14:paraId="75BC3FD4" w14:textId="77777777" w:rsidR="009D0006" w:rsidRPr="00CC74AD" w:rsidRDefault="009D0006" w:rsidP="005F0DA0">
            <w:pPr>
              <w:pStyle w:val="Tabletext"/>
            </w:pPr>
            <w:r w:rsidRPr="00CC74AD">
              <w:t>10</w:t>
            </w:r>
          </w:p>
        </w:tc>
        <w:tc>
          <w:tcPr>
            <w:tcW w:w="1559" w:type="dxa"/>
          </w:tcPr>
          <w:p w14:paraId="51E9B182" w14:textId="77777777" w:rsidR="009D0006" w:rsidRPr="00CC74AD" w:rsidRDefault="009D0006" w:rsidP="005F0DA0">
            <w:pPr>
              <w:pStyle w:val="Tabletext"/>
            </w:pPr>
            <w:r w:rsidRPr="00CC74AD">
              <w:t>7.6</w:t>
            </w:r>
          </w:p>
        </w:tc>
      </w:tr>
      <w:tr w:rsidR="009D0006" w:rsidRPr="00CC74AD" w14:paraId="706F109D" w14:textId="77777777" w:rsidTr="005F0DA0">
        <w:trPr>
          <w:cnfStyle w:val="000000010000" w:firstRow="0" w:lastRow="0" w:firstColumn="0" w:lastColumn="0" w:oddVBand="0" w:evenVBand="0" w:oddHBand="0" w:evenHBand="1" w:firstRowFirstColumn="0" w:firstRowLastColumn="0" w:lastRowFirstColumn="0" w:lastRowLastColumn="0"/>
          <w:trHeight w:val="498"/>
        </w:trPr>
        <w:tc>
          <w:tcPr>
            <w:tcW w:w="6746" w:type="dxa"/>
            <w:noWrap/>
          </w:tcPr>
          <w:p w14:paraId="2B612328" w14:textId="77777777" w:rsidR="009D0006" w:rsidRPr="00CC74AD" w:rsidRDefault="009D0006" w:rsidP="005F0DA0">
            <w:pPr>
              <w:pStyle w:val="Tabletext"/>
              <w:rPr>
                <w:lang w:val="en-US"/>
              </w:rPr>
            </w:pPr>
            <w:r w:rsidRPr="00CC74AD">
              <w:rPr>
                <w:lang w:val="en-US"/>
              </w:rPr>
              <w:t>High or very high</w:t>
            </w:r>
          </w:p>
        </w:tc>
        <w:tc>
          <w:tcPr>
            <w:tcW w:w="1559" w:type="dxa"/>
          </w:tcPr>
          <w:p w14:paraId="488E87BA" w14:textId="77777777" w:rsidR="009D0006" w:rsidRPr="00CC74AD" w:rsidRDefault="009D0006" w:rsidP="005F0DA0">
            <w:pPr>
              <w:pStyle w:val="Tabletext"/>
            </w:pPr>
            <w:r w:rsidRPr="00CC74AD">
              <w:t>122</w:t>
            </w:r>
          </w:p>
        </w:tc>
        <w:tc>
          <w:tcPr>
            <w:tcW w:w="1559" w:type="dxa"/>
          </w:tcPr>
          <w:p w14:paraId="1EF9CE61" w14:textId="77777777" w:rsidR="009D0006" w:rsidRPr="00CC74AD" w:rsidRDefault="009D0006" w:rsidP="005F0DA0">
            <w:pPr>
              <w:pStyle w:val="Tabletext"/>
            </w:pPr>
            <w:r w:rsidRPr="00CC74AD">
              <w:t>92.4</w:t>
            </w:r>
          </w:p>
        </w:tc>
      </w:tr>
    </w:tbl>
    <w:p w14:paraId="6FDD4BC5" w14:textId="77777777" w:rsidR="009D0006" w:rsidRDefault="009D0006" w:rsidP="002876D2">
      <w:pPr>
        <w:pStyle w:val="Tableheading"/>
        <w:rPr>
          <w:lang w:val="en-GB"/>
        </w:rPr>
      </w:pPr>
      <w:r>
        <w:rPr>
          <w:lang w:val="en-GB"/>
        </w:rPr>
        <w:t>Table 60.6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552EDD" w14:paraId="3F00657D"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17B0C4C6" w14:textId="77777777" w:rsidR="009D0006" w:rsidRPr="002D1E90" w:rsidRDefault="009D0006" w:rsidP="005F0DA0">
            <w:pPr>
              <w:pStyle w:val="Tableheader"/>
              <w:rPr>
                <w:lang w:val="en-US"/>
              </w:rPr>
            </w:pPr>
            <w:r w:rsidRPr="00CC74AD">
              <w:t>Psychological distress</w:t>
            </w:r>
          </w:p>
        </w:tc>
        <w:tc>
          <w:tcPr>
            <w:tcW w:w="1559" w:type="dxa"/>
          </w:tcPr>
          <w:p w14:paraId="73798B4F" w14:textId="77777777" w:rsidR="009D0006" w:rsidRPr="00552EDD" w:rsidRDefault="009D0006" w:rsidP="005F0DA0">
            <w:pPr>
              <w:pStyle w:val="Tableheader"/>
            </w:pPr>
            <w:r w:rsidRPr="00552EDD">
              <w:t>n</w:t>
            </w:r>
          </w:p>
        </w:tc>
        <w:tc>
          <w:tcPr>
            <w:tcW w:w="1559" w:type="dxa"/>
          </w:tcPr>
          <w:p w14:paraId="18E25C6C" w14:textId="77777777" w:rsidR="009D0006" w:rsidRPr="00552EDD" w:rsidRDefault="009D0006" w:rsidP="005F0DA0">
            <w:pPr>
              <w:pStyle w:val="Tableheader"/>
            </w:pPr>
            <w:r w:rsidRPr="00552EDD">
              <w:t>%</w:t>
            </w:r>
          </w:p>
        </w:tc>
      </w:tr>
      <w:tr w:rsidR="009D0006" w:rsidRPr="00CC74AD" w14:paraId="4FFF8B75" w14:textId="77777777" w:rsidTr="005F0DA0">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0D42467A" w14:textId="77777777" w:rsidR="009D0006" w:rsidRPr="00CC74AD" w:rsidRDefault="009D0006" w:rsidP="005F0DA0">
            <w:pPr>
              <w:pStyle w:val="Tabletext"/>
              <w:rPr>
                <w:lang w:val="en-US"/>
              </w:rPr>
            </w:pPr>
            <w:r w:rsidRPr="00CC74AD">
              <w:rPr>
                <w:lang w:val="en-US"/>
              </w:rPr>
              <w:t>Low or moderate</w:t>
            </w:r>
          </w:p>
        </w:tc>
        <w:tc>
          <w:tcPr>
            <w:tcW w:w="1559" w:type="dxa"/>
          </w:tcPr>
          <w:p w14:paraId="42967689" w14:textId="77777777" w:rsidR="009D0006" w:rsidRPr="00CC74AD" w:rsidRDefault="009D0006" w:rsidP="005F0DA0">
            <w:pPr>
              <w:pStyle w:val="Tabletext"/>
            </w:pPr>
            <w:r w:rsidRPr="00CC74AD">
              <w:t>63</w:t>
            </w:r>
          </w:p>
        </w:tc>
        <w:tc>
          <w:tcPr>
            <w:tcW w:w="1559" w:type="dxa"/>
          </w:tcPr>
          <w:p w14:paraId="214E32CC" w14:textId="77777777" w:rsidR="009D0006" w:rsidRPr="00CC74AD" w:rsidRDefault="009D0006" w:rsidP="005F0DA0">
            <w:pPr>
              <w:pStyle w:val="Tabletext"/>
            </w:pPr>
            <w:r w:rsidRPr="00CC74AD">
              <w:t>8.8</w:t>
            </w:r>
          </w:p>
        </w:tc>
      </w:tr>
      <w:tr w:rsidR="009D0006" w:rsidRPr="00CC74AD" w14:paraId="253CB76D" w14:textId="77777777" w:rsidTr="005F0DA0">
        <w:trPr>
          <w:cnfStyle w:val="000000010000" w:firstRow="0" w:lastRow="0" w:firstColumn="0" w:lastColumn="0" w:oddVBand="0" w:evenVBand="0" w:oddHBand="0" w:evenHBand="1" w:firstRowFirstColumn="0" w:firstRowLastColumn="0" w:lastRowFirstColumn="0" w:lastRowLastColumn="0"/>
          <w:trHeight w:val="498"/>
        </w:trPr>
        <w:tc>
          <w:tcPr>
            <w:tcW w:w="6746" w:type="dxa"/>
            <w:noWrap/>
          </w:tcPr>
          <w:p w14:paraId="1995EF0F" w14:textId="77777777" w:rsidR="009D0006" w:rsidRPr="00CC74AD" w:rsidRDefault="009D0006" w:rsidP="005F0DA0">
            <w:pPr>
              <w:pStyle w:val="Tabletext"/>
              <w:rPr>
                <w:lang w:val="en-US"/>
              </w:rPr>
            </w:pPr>
            <w:r w:rsidRPr="00CC74AD">
              <w:rPr>
                <w:lang w:val="en-US"/>
              </w:rPr>
              <w:t>High or very high</w:t>
            </w:r>
          </w:p>
        </w:tc>
        <w:tc>
          <w:tcPr>
            <w:tcW w:w="1559" w:type="dxa"/>
          </w:tcPr>
          <w:p w14:paraId="2800C6FA" w14:textId="77777777" w:rsidR="009D0006" w:rsidRPr="00CC74AD" w:rsidRDefault="009D0006" w:rsidP="005F0DA0">
            <w:pPr>
              <w:pStyle w:val="Tabletext"/>
            </w:pPr>
            <w:r w:rsidRPr="00CC74AD">
              <w:t>653</w:t>
            </w:r>
          </w:p>
        </w:tc>
        <w:tc>
          <w:tcPr>
            <w:tcW w:w="1559" w:type="dxa"/>
          </w:tcPr>
          <w:p w14:paraId="40DE24F6" w14:textId="77777777" w:rsidR="009D0006" w:rsidRPr="00CC74AD" w:rsidRDefault="009D0006" w:rsidP="005F0DA0">
            <w:pPr>
              <w:pStyle w:val="Tabletext"/>
            </w:pPr>
            <w:r w:rsidRPr="00CC74AD">
              <w:t>91.2</w:t>
            </w:r>
          </w:p>
        </w:tc>
      </w:tr>
    </w:tbl>
    <w:p w14:paraId="2555A412" w14:textId="77777777" w:rsidR="009D0006" w:rsidRDefault="009D0006" w:rsidP="002876D2">
      <w:pPr>
        <w:pStyle w:val="Tableheading"/>
        <w:rPr>
          <w:lang w:val="en-GB"/>
        </w:rPr>
      </w:pPr>
      <w:r>
        <w:rPr>
          <w:lang w:val="en-GB"/>
        </w:rPr>
        <w:t>Table 60.7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657001C5"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6184075A" w14:textId="77777777" w:rsidR="009D0006" w:rsidRPr="002D1E90" w:rsidRDefault="009D0006" w:rsidP="005F0DA0">
            <w:pPr>
              <w:pStyle w:val="Tableheader"/>
              <w:rPr>
                <w:lang w:val="en-US"/>
              </w:rPr>
            </w:pPr>
            <w:r w:rsidRPr="00CC74AD">
              <w:t>Psychological distress</w:t>
            </w:r>
          </w:p>
        </w:tc>
        <w:tc>
          <w:tcPr>
            <w:tcW w:w="1559" w:type="dxa"/>
          </w:tcPr>
          <w:p w14:paraId="211AE61B" w14:textId="77777777" w:rsidR="009D0006" w:rsidRPr="00552EDD" w:rsidRDefault="009D0006" w:rsidP="005F0DA0">
            <w:pPr>
              <w:pStyle w:val="Tableheader"/>
            </w:pPr>
            <w:r w:rsidRPr="00552EDD">
              <w:t>n</w:t>
            </w:r>
          </w:p>
        </w:tc>
        <w:tc>
          <w:tcPr>
            <w:tcW w:w="1559" w:type="dxa"/>
          </w:tcPr>
          <w:p w14:paraId="1FFA6E8E" w14:textId="77777777" w:rsidR="009D0006" w:rsidRPr="00552EDD" w:rsidRDefault="009D0006" w:rsidP="005F0DA0">
            <w:pPr>
              <w:pStyle w:val="Tableheader"/>
            </w:pPr>
            <w:r w:rsidRPr="00552EDD">
              <w:t>%</w:t>
            </w:r>
          </w:p>
        </w:tc>
      </w:tr>
      <w:tr w:rsidR="009D0006" w:rsidRPr="00CC74AD" w14:paraId="6AD1280B" w14:textId="77777777" w:rsidTr="005F0DA0">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1500C7A6" w14:textId="77777777" w:rsidR="009D0006" w:rsidRPr="00CC74AD" w:rsidRDefault="009D0006" w:rsidP="005F0DA0">
            <w:pPr>
              <w:pStyle w:val="Tabletext"/>
              <w:rPr>
                <w:lang w:val="en-US"/>
              </w:rPr>
            </w:pPr>
            <w:r w:rsidRPr="00CC74AD">
              <w:rPr>
                <w:lang w:val="en-US"/>
              </w:rPr>
              <w:t>Low or moderate</w:t>
            </w:r>
          </w:p>
        </w:tc>
        <w:tc>
          <w:tcPr>
            <w:tcW w:w="1559" w:type="dxa"/>
          </w:tcPr>
          <w:p w14:paraId="59F7E00E" w14:textId="77777777" w:rsidR="009D0006" w:rsidRPr="00CC74AD" w:rsidRDefault="009D0006" w:rsidP="005F0DA0">
            <w:pPr>
              <w:pStyle w:val="Tabletext"/>
            </w:pPr>
            <w:r w:rsidRPr="00CC74AD">
              <w:t>68</w:t>
            </w:r>
          </w:p>
        </w:tc>
        <w:tc>
          <w:tcPr>
            <w:tcW w:w="1559" w:type="dxa"/>
          </w:tcPr>
          <w:p w14:paraId="155B4E22" w14:textId="77777777" w:rsidR="009D0006" w:rsidRPr="00CC74AD" w:rsidRDefault="009D0006" w:rsidP="005F0DA0">
            <w:pPr>
              <w:pStyle w:val="Tabletext"/>
            </w:pPr>
            <w:r w:rsidRPr="00CC74AD">
              <w:t>6.5</w:t>
            </w:r>
          </w:p>
        </w:tc>
      </w:tr>
      <w:tr w:rsidR="009D0006" w:rsidRPr="00CC74AD" w14:paraId="129C562B" w14:textId="77777777" w:rsidTr="005F0DA0">
        <w:trPr>
          <w:cnfStyle w:val="000000010000" w:firstRow="0" w:lastRow="0" w:firstColumn="0" w:lastColumn="0" w:oddVBand="0" w:evenVBand="0" w:oddHBand="0" w:evenHBand="1" w:firstRowFirstColumn="0" w:firstRowLastColumn="0" w:lastRowFirstColumn="0" w:lastRowLastColumn="0"/>
          <w:trHeight w:val="498"/>
        </w:trPr>
        <w:tc>
          <w:tcPr>
            <w:tcW w:w="6746" w:type="dxa"/>
            <w:noWrap/>
          </w:tcPr>
          <w:p w14:paraId="74FA28F3" w14:textId="77777777" w:rsidR="009D0006" w:rsidRPr="00CC74AD" w:rsidRDefault="009D0006" w:rsidP="005F0DA0">
            <w:pPr>
              <w:pStyle w:val="Tabletext"/>
              <w:rPr>
                <w:lang w:val="en-US"/>
              </w:rPr>
            </w:pPr>
            <w:r w:rsidRPr="00CC74AD">
              <w:rPr>
                <w:lang w:val="en-US"/>
              </w:rPr>
              <w:t>High or very high</w:t>
            </w:r>
          </w:p>
        </w:tc>
        <w:tc>
          <w:tcPr>
            <w:tcW w:w="1559" w:type="dxa"/>
          </w:tcPr>
          <w:p w14:paraId="3C01F554" w14:textId="77777777" w:rsidR="009D0006" w:rsidRPr="00CC74AD" w:rsidRDefault="009D0006" w:rsidP="005F0DA0">
            <w:pPr>
              <w:pStyle w:val="Tabletext"/>
            </w:pPr>
            <w:r w:rsidRPr="00CC74AD">
              <w:t>985</w:t>
            </w:r>
          </w:p>
        </w:tc>
        <w:tc>
          <w:tcPr>
            <w:tcW w:w="1559" w:type="dxa"/>
          </w:tcPr>
          <w:p w14:paraId="322D6584" w14:textId="77777777" w:rsidR="009D0006" w:rsidRPr="00CC74AD" w:rsidRDefault="009D0006" w:rsidP="005F0DA0">
            <w:pPr>
              <w:pStyle w:val="Tabletext"/>
            </w:pPr>
            <w:r w:rsidRPr="00CC74AD">
              <w:t>93.5</w:t>
            </w:r>
          </w:p>
        </w:tc>
      </w:tr>
    </w:tbl>
    <w:p w14:paraId="12A2619A" w14:textId="77777777" w:rsidR="009D0006" w:rsidRPr="005F0DA0" w:rsidRDefault="009D0006" w:rsidP="005F0DA0">
      <w:pPr>
        <w:pStyle w:val="TableTextNotebelow"/>
        <w:rPr>
          <w:i/>
          <w:lang w:val="en-GB" w:eastAsia="ja-JP"/>
        </w:rPr>
      </w:pPr>
      <w:r w:rsidRPr="005F0DA0">
        <w:rPr>
          <w:rFonts w:cs="Arial"/>
          <w:i/>
          <w:lang w:val="en-GB"/>
        </w:rPr>
        <w:t xml:space="preserve">* </w:t>
      </w:r>
      <w:r w:rsidRPr="005F0DA0">
        <w:rPr>
          <w:i/>
          <w:lang w:val="en-GB"/>
        </w:rPr>
        <w:t xml:space="preserve">In order to be more comparable with general population data, ‘any disability’ does not include participants who only reported ‘mental illness’ and no other disability or long-term health condition. </w:t>
      </w:r>
    </w:p>
    <w:p w14:paraId="29A48AB1" w14:textId="77777777" w:rsidR="009D0006" w:rsidRDefault="009D0006" w:rsidP="002876D2">
      <w:pPr>
        <w:spacing w:before="360"/>
        <w:rPr>
          <w:lang w:val="en-GB"/>
        </w:rPr>
      </w:pPr>
      <w:r w:rsidRPr="00C47CBF">
        <w:rPr>
          <w:lang w:val="en-GB"/>
        </w:rPr>
        <w:t>As displayed in Table</w:t>
      </w:r>
      <w:r>
        <w:rPr>
          <w:lang w:val="en-GB"/>
        </w:rPr>
        <w:t>s</w:t>
      </w:r>
      <w:r w:rsidRPr="00C47CBF">
        <w:rPr>
          <w:lang w:val="en-GB"/>
        </w:rPr>
        <w:t xml:space="preserve"> </w:t>
      </w:r>
      <w:r>
        <w:rPr>
          <w:lang w:val="en-GB"/>
        </w:rPr>
        <w:t>60.1-60.2</w:t>
      </w:r>
      <w:r w:rsidRPr="00C47CBF">
        <w:rPr>
          <w:lang w:val="en-GB"/>
        </w:rPr>
        <w:t xml:space="preserve">, a </w:t>
      </w:r>
      <w:r>
        <w:rPr>
          <w:lang w:val="en-GB"/>
        </w:rPr>
        <w:t>larger</w:t>
      </w:r>
      <w:r w:rsidRPr="00C47CBF">
        <w:rPr>
          <w:lang w:val="en-GB"/>
        </w:rPr>
        <w:t xml:space="preserve"> proportion of participants with </w:t>
      </w:r>
      <w:r>
        <w:rPr>
          <w:lang w:val="en-GB"/>
        </w:rPr>
        <w:t xml:space="preserve">any </w:t>
      </w:r>
      <w:r w:rsidRPr="00C47CBF">
        <w:rPr>
          <w:lang w:val="en-GB"/>
        </w:rPr>
        <w:t xml:space="preserve">disability </w:t>
      </w:r>
      <w:r>
        <w:rPr>
          <w:lang w:val="en-GB"/>
        </w:rPr>
        <w:t xml:space="preserve">in </w:t>
      </w:r>
      <w:r>
        <w:rPr>
          <w:i/>
          <w:iCs/>
          <w:lang w:val="en-GB"/>
        </w:rPr>
        <w:t>Writing Themselves In 4</w:t>
      </w:r>
      <w:r>
        <w:rPr>
          <w:lang w:val="en-GB"/>
        </w:rPr>
        <w:t xml:space="preserve"> had experienced high or very high levels of psychological distress (90.9%; n = 1302) compared to participants without disability (70.6%; n = 2296).</w:t>
      </w:r>
    </w:p>
    <w:p w14:paraId="28696F1C" w14:textId="77777777" w:rsidR="009D0006" w:rsidRDefault="009D0006" w:rsidP="009D0006">
      <w:pPr>
        <w:rPr>
          <w:rFonts w:ascii="Roboto Medium" w:hAnsi="Roboto Medium" w:cs="Brioni Std Medium"/>
          <w:color w:val="000000" w:themeColor="text1"/>
          <w:sz w:val="25"/>
          <w:szCs w:val="25"/>
          <w:lang w:val="en-GB"/>
        </w:rPr>
      </w:pPr>
      <w:r>
        <w:rPr>
          <w:lang w:val="en-GB"/>
        </w:rPr>
        <w:t>Among participants with disability, the vast majority had experienced high or very high levels of psychological distress in the past 4 weeks. Participants reporting autism/neur</w:t>
      </w:r>
      <w:r>
        <w:rPr>
          <w:lang w:val="en-GB"/>
        </w:rPr>
        <w:lastRenderedPageBreak/>
        <w:t xml:space="preserve">odiversity with intellectual disability had the highest proportion who had experienced high or very high psychological distress (96.2%; n = </w:t>
      </w:r>
      <w:r w:rsidRPr="00861176">
        <w:rPr>
          <w:lang w:val="en-GB"/>
        </w:rPr>
        <w:t>205</w:t>
      </w:r>
      <w:r w:rsidRPr="00A42772">
        <w:rPr>
          <w:lang w:val="en-GB"/>
        </w:rPr>
        <w:t>), followed by</w:t>
      </w:r>
      <w:r>
        <w:rPr>
          <w:lang w:val="en-GB"/>
        </w:rPr>
        <w:t xml:space="preserve"> </w:t>
      </w:r>
      <w:r>
        <w:t xml:space="preserve">participants with a </w:t>
      </w:r>
      <w:r w:rsidRPr="004A0393">
        <w:t xml:space="preserve">mental health condition </w:t>
      </w:r>
      <w:r>
        <w:t xml:space="preserve">(93.5%; n = 985), participants with </w:t>
      </w:r>
      <w:r w:rsidRPr="004A0393">
        <w:t>intellectual disability</w:t>
      </w:r>
      <w:r>
        <w:t xml:space="preserve"> (92.4%; n = 122), participants with </w:t>
      </w:r>
      <w:r w:rsidRPr="004A0393">
        <w:t>physical or sensory disability</w:t>
      </w:r>
      <w:r>
        <w:t xml:space="preserve"> (91.2%; n = 653) and participants with autism/neurodiversity (90.9%; n = 59). </w:t>
      </w:r>
      <w:r w:rsidRPr="006F6622">
        <w:t xml:space="preserve">In addition, 94.8% (n = 327) of the overall group of participants with intellectual disability, with or without </w:t>
      </w:r>
      <w:r>
        <w:t>autism/neurodiversity</w:t>
      </w:r>
      <w:r w:rsidRPr="006F6622">
        <w:t>, reported high or very high levels of psychological distress.</w:t>
      </w:r>
      <w:r>
        <w:t xml:space="preserve"> </w:t>
      </w:r>
      <w:bookmarkStart w:id="647" w:name="_Toc58252104"/>
    </w:p>
    <w:p w14:paraId="58BF3EE9" w14:textId="0ACE4B2C" w:rsidR="009D0006" w:rsidRDefault="009D0006" w:rsidP="00153892">
      <w:pPr>
        <w:pStyle w:val="Heading3Numbered"/>
      </w:pPr>
      <w:bookmarkStart w:id="648" w:name="_Toc115968587"/>
      <w:r w:rsidRPr="009761D5">
        <w:t>Experience of psychological distress by disability</w:t>
      </w:r>
      <w:r>
        <w:t xml:space="preserve"> </w:t>
      </w:r>
      <w:r w:rsidRPr="009761D5">
        <w:t>– adults aged 18+ years</w:t>
      </w:r>
      <w:bookmarkEnd w:id="648"/>
    </w:p>
    <w:p w14:paraId="3BDD52E0" w14:textId="77777777" w:rsidR="009D0006" w:rsidRDefault="009D0006" w:rsidP="002876D2">
      <w:pPr>
        <w:pStyle w:val="Tableheading"/>
      </w:pPr>
      <w:bookmarkStart w:id="649" w:name="_Toc117062779"/>
      <w:bookmarkStart w:id="650" w:name="_Toc119651464"/>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61</w:t>
      </w:r>
      <w:r w:rsidRPr="00985828">
        <w:rPr>
          <w:bCs/>
          <w:sz w:val="18"/>
          <w:szCs w:val="18"/>
        </w:rPr>
        <w:fldChar w:fldCharType="end"/>
      </w:r>
      <w:r>
        <w:t xml:space="preserve">.1-61.4 </w:t>
      </w:r>
      <w:r w:rsidRPr="00CA5F45">
        <w:t xml:space="preserve">Proportion of </w:t>
      </w:r>
      <w:r>
        <w:t>adults aged 18+ years</w:t>
      </w:r>
      <w:r w:rsidRPr="000D7ED3">
        <w:t xml:space="preserve"> </w:t>
      </w:r>
      <w:r w:rsidRPr="00CA5F45">
        <w:t>experiencing psychological distress</w:t>
      </w:r>
      <w:r>
        <w:t>,</w:t>
      </w:r>
      <w:r w:rsidRPr="00CA5F45">
        <w:t xml:space="preserve"> </w:t>
      </w:r>
      <w:r w:rsidRPr="003D4AB3">
        <w:t>grouped by Disability Flag category</w:t>
      </w:r>
      <w:r>
        <w:t xml:space="preserve"> (n = 6385)</w:t>
      </w:r>
      <w:bookmarkEnd w:id="649"/>
      <w:bookmarkEnd w:id="650"/>
    </w:p>
    <w:p w14:paraId="34C13A3C" w14:textId="77777777" w:rsidR="009D0006" w:rsidRDefault="009D0006" w:rsidP="002876D2">
      <w:pPr>
        <w:pStyle w:val="Tableheading"/>
      </w:pPr>
      <w:r>
        <w:t>Table 61.1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4F23F53"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3E3E7FC" w14:textId="77777777" w:rsidR="009D0006" w:rsidRPr="005F0DA0" w:rsidRDefault="009D0006" w:rsidP="005F0DA0">
            <w:pPr>
              <w:pStyle w:val="Tableheader"/>
            </w:pPr>
            <w:r w:rsidRPr="005F0DA0">
              <w:t>Psychological distress </w:t>
            </w:r>
          </w:p>
        </w:tc>
        <w:tc>
          <w:tcPr>
            <w:tcW w:w="1559" w:type="dxa"/>
            <w:noWrap/>
            <w:hideMark/>
          </w:tcPr>
          <w:p w14:paraId="0947A6BC" w14:textId="77777777" w:rsidR="009D0006" w:rsidRPr="005F0DA0" w:rsidRDefault="009D0006" w:rsidP="005F0DA0">
            <w:pPr>
              <w:pStyle w:val="Tableheader"/>
            </w:pPr>
            <w:r w:rsidRPr="005F0DA0">
              <w:t>n</w:t>
            </w:r>
          </w:p>
        </w:tc>
        <w:tc>
          <w:tcPr>
            <w:tcW w:w="1559" w:type="dxa"/>
            <w:noWrap/>
            <w:hideMark/>
          </w:tcPr>
          <w:p w14:paraId="1CD43B43" w14:textId="77777777" w:rsidR="009D0006" w:rsidRPr="005F0DA0" w:rsidRDefault="009D0006" w:rsidP="005F0DA0">
            <w:pPr>
              <w:pStyle w:val="Tableheader"/>
            </w:pPr>
            <w:r w:rsidRPr="005F0DA0">
              <w:t>%</w:t>
            </w:r>
          </w:p>
        </w:tc>
      </w:tr>
      <w:tr w:rsidR="009D0006" w:rsidRPr="003F4D73" w14:paraId="29E2C88C"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C741FA8" w14:textId="77777777" w:rsidR="009D0006" w:rsidRPr="00F103F7" w:rsidRDefault="009D0006" w:rsidP="005F0DA0">
            <w:pPr>
              <w:pStyle w:val="Tabletext"/>
              <w:rPr>
                <w:color w:val="0D0D0D"/>
              </w:rPr>
            </w:pPr>
            <w:r w:rsidRPr="00F103F7">
              <w:rPr>
                <w:lang w:val="en-US"/>
              </w:rPr>
              <w:t>Low or moderate</w:t>
            </w:r>
          </w:p>
        </w:tc>
        <w:tc>
          <w:tcPr>
            <w:tcW w:w="1559" w:type="dxa"/>
            <w:noWrap/>
          </w:tcPr>
          <w:p w14:paraId="7DEF34F6" w14:textId="77777777" w:rsidR="009D0006" w:rsidRPr="003F4D73" w:rsidRDefault="009D0006" w:rsidP="005F0DA0">
            <w:pPr>
              <w:pStyle w:val="Tabletext"/>
              <w:rPr>
                <w:color w:val="0D0D0D"/>
              </w:rPr>
            </w:pPr>
            <w:r>
              <w:t>151</w:t>
            </w:r>
          </w:p>
        </w:tc>
        <w:tc>
          <w:tcPr>
            <w:tcW w:w="1559" w:type="dxa"/>
            <w:noWrap/>
          </w:tcPr>
          <w:p w14:paraId="5CCFC5C4" w14:textId="77777777" w:rsidR="009D0006" w:rsidRPr="003F4D73" w:rsidRDefault="009D0006" w:rsidP="005F0DA0">
            <w:pPr>
              <w:pStyle w:val="Tabletext"/>
              <w:rPr>
                <w:color w:val="0D0D0D"/>
              </w:rPr>
            </w:pPr>
            <w:r>
              <w:t>35.6</w:t>
            </w:r>
          </w:p>
        </w:tc>
      </w:tr>
      <w:tr w:rsidR="009D0006" w:rsidRPr="003F4D73" w14:paraId="5C17BB3E" w14:textId="77777777" w:rsidTr="005F0DA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C345C40" w14:textId="77777777" w:rsidR="009D0006" w:rsidRPr="00F103F7" w:rsidRDefault="009D0006" w:rsidP="005F0DA0">
            <w:pPr>
              <w:pStyle w:val="Tabletext"/>
              <w:rPr>
                <w:color w:val="0D0D0D"/>
              </w:rPr>
            </w:pPr>
            <w:r w:rsidRPr="00F103F7">
              <w:rPr>
                <w:lang w:val="en-US"/>
              </w:rPr>
              <w:t>High or very high</w:t>
            </w:r>
          </w:p>
        </w:tc>
        <w:tc>
          <w:tcPr>
            <w:tcW w:w="1559" w:type="dxa"/>
            <w:noWrap/>
          </w:tcPr>
          <w:p w14:paraId="7FC408B2" w14:textId="77777777" w:rsidR="009D0006" w:rsidRPr="003F4D73" w:rsidRDefault="009D0006" w:rsidP="005F0DA0">
            <w:pPr>
              <w:pStyle w:val="Tabletext"/>
              <w:rPr>
                <w:color w:val="0D0D0D"/>
              </w:rPr>
            </w:pPr>
            <w:r>
              <w:t>273</w:t>
            </w:r>
          </w:p>
        </w:tc>
        <w:tc>
          <w:tcPr>
            <w:tcW w:w="1559" w:type="dxa"/>
            <w:noWrap/>
          </w:tcPr>
          <w:p w14:paraId="1E8E81D6" w14:textId="77777777" w:rsidR="009D0006" w:rsidRPr="003F4D73" w:rsidRDefault="009D0006" w:rsidP="005F0DA0">
            <w:pPr>
              <w:pStyle w:val="Tabletext"/>
              <w:rPr>
                <w:color w:val="0D0D0D"/>
              </w:rPr>
            </w:pPr>
            <w:r>
              <w:t>64.4</w:t>
            </w:r>
          </w:p>
        </w:tc>
      </w:tr>
    </w:tbl>
    <w:p w14:paraId="16CC6A54" w14:textId="77777777" w:rsidR="009D0006" w:rsidRPr="003255FB" w:rsidRDefault="009D0006" w:rsidP="002876D2">
      <w:pPr>
        <w:pStyle w:val="Tableheading"/>
      </w:pPr>
      <w:r w:rsidRPr="003255FB">
        <w:t>Table 61.2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A1A134D"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B17CA6B" w14:textId="77777777" w:rsidR="009D0006" w:rsidRPr="005F0DA0" w:rsidRDefault="009D0006" w:rsidP="005F0DA0">
            <w:pPr>
              <w:pStyle w:val="Tableheader"/>
            </w:pPr>
            <w:r w:rsidRPr="005F0DA0">
              <w:t>Psychological distress </w:t>
            </w:r>
          </w:p>
        </w:tc>
        <w:tc>
          <w:tcPr>
            <w:tcW w:w="1559" w:type="dxa"/>
            <w:hideMark/>
          </w:tcPr>
          <w:p w14:paraId="1ABD43AA" w14:textId="77777777" w:rsidR="009D0006" w:rsidRPr="005F0DA0" w:rsidRDefault="009D0006" w:rsidP="005F0DA0">
            <w:pPr>
              <w:pStyle w:val="Tableheader"/>
            </w:pPr>
            <w:r w:rsidRPr="005F0DA0">
              <w:t>n</w:t>
            </w:r>
          </w:p>
        </w:tc>
        <w:tc>
          <w:tcPr>
            <w:tcW w:w="1559" w:type="dxa"/>
            <w:hideMark/>
          </w:tcPr>
          <w:p w14:paraId="69D98D99" w14:textId="77777777" w:rsidR="009D0006" w:rsidRPr="005F0DA0" w:rsidRDefault="009D0006" w:rsidP="005F0DA0">
            <w:pPr>
              <w:pStyle w:val="Tableheader"/>
            </w:pPr>
            <w:r w:rsidRPr="005F0DA0">
              <w:t>%</w:t>
            </w:r>
          </w:p>
        </w:tc>
      </w:tr>
      <w:tr w:rsidR="009D0006" w:rsidRPr="003F4D73" w14:paraId="0F8E1BDC"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5636051" w14:textId="77777777" w:rsidR="009D0006" w:rsidRPr="00F103F7" w:rsidRDefault="009D0006" w:rsidP="005F0DA0">
            <w:pPr>
              <w:pStyle w:val="Tabletext"/>
              <w:rPr>
                <w:color w:val="0D0D0D"/>
              </w:rPr>
            </w:pPr>
            <w:r w:rsidRPr="00F103F7">
              <w:rPr>
                <w:lang w:val="en-US"/>
              </w:rPr>
              <w:t>Low or moderate</w:t>
            </w:r>
          </w:p>
        </w:tc>
        <w:tc>
          <w:tcPr>
            <w:tcW w:w="1559" w:type="dxa"/>
          </w:tcPr>
          <w:p w14:paraId="4072DA1E" w14:textId="77777777" w:rsidR="009D0006" w:rsidRPr="003F4D73" w:rsidRDefault="009D0006" w:rsidP="005F0DA0">
            <w:pPr>
              <w:pStyle w:val="Tabletext"/>
              <w:rPr>
                <w:color w:val="0D0D0D"/>
              </w:rPr>
            </w:pPr>
            <w:r>
              <w:t>312</w:t>
            </w:r>
          </w:p>
        </w:tc>
        <w:tc>
          <w:tcPr>
            <w:tcW w:w="1559" w:type="dxa"/>
          </w:tcPr>
          <w:p w14:paraId="112690CF" w14:textId="77777777" w:rsidR="009D0006" w:rsidRPr="003F4D73" w:rsidRDefault="009D0006" w:rsidP="005F0DA0">
            <w:pPr>
              <w:pStyle w:val="Tabletext"/>
              <w:rPr>
                <w:color w:val="0D0D0D"/>
              </w:rPr>
            </w:pPr>
            <w:r>
              <w:t>22.9</w:t>
            </w:r>
          </w:p>
        </w:tc>
      </w:tr>
      <w:tr w:rsidR="009D0006" w:rsidRPr="003F4D73" w14:paraId="3DBE5D66" w14:textId="77777777" w:rsidTr="005F0DA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9CF8569" w14:textId="77777777" w:rsidR="009D0006" w:rsidRPr="00F103F7" w:rsidRDefault="009D0006" w:rsidP="005F0DA0">
            <w:pPr>
              <w:pStyle w:val="Tabletext"/>
              <w:rPr>
                <w:color w:val="0D0D0D"/>
              </w:rPr>
            </w:pPr>
            <w:r w:rsidRPr="00F103F7">
              <w:rPr>
                <w:lang w:val="en-US"/>
              </w:rPr>
              <w:t>High or very high</w:t>
            </w:r>
          </w:p>
        </w:tc>
        <w:tc>
          <w:tcPr>
            <w:tcW w:w="1559" w:type="dxa"/>
          </w:tcPr>
          <w:p w14:paraId="093DF9B8" w14:textId="77777777" w:rsidR="009D0006" w:rsidRPr="003F4D73" w:rsidRDefault="009D0006" w:rsidP="005F0DA0">
            <w:pPr>
              <w:pStyle w:val="Tabletext"/>
              <w:rPr>
                <w:color w:val="0D0D0D"/>
              </w:rPr>
            </w:pPr>
            <w:r>
              <w:t>1053</w:t>
            </w:r>
          </w:p>
        </w:tc>
        <w:tc>
          <w:tcPr>
            <w:tcW w:w="1559" w:type="dxa"/>
          </w:tcPr>
          <w:p w14:paraId="29A1C2E4" w14:textId="77777777" w:rsidR="009D0006" w:rsidRPr="003F4D73" w:rsidRDefault="009D0006" w:rsidP="005F0DA0">
            <w:pPr>
              <w:pStyle w:val="Tabletext"/>
              <w:rPr>
                <w:color w:val="0D0D0D"/>
              </w:rPr>
            </w:pPr>
            <w:r>
              <w:t>77.1</w:t>
            </w:r>
          </w:p>
        </w:tc>
      </w:tr>
    </w:tbl>
    <w:p w14:paraId="0A5F98AF" w14:textId="77777777" w:rsidR="009D0006" w:rsidRPr="003255FB" w:rsidRDefault="009D0006" w:rsidP="002876D2">
      <w:pPr>
        <w:pStyle w:val="Tableheading"/>
      </w:pPr>
      <w:r w:rsidRPr="003255FB">
        <w:t>Table 61.3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532125E"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07132EA" w14:textId="77777777" w:rsidR="009D0006" w:rsidRPr="002D1E90" w:rsidRDefault="009D0006" w:rsidP="005F0DA0">
            <w:pPr>
              <w:pStyle w:val="Tableheader"/>
              <w:rPr>
                <w:color w:val="0D0D0D"/>
              </w:rPr>
            </w:pPr>
            <w:r>
              <w:t>Psychological distress</w:t>
            </w:r>
            <w:r w:rsidRPr="002D1E90">
              <w:t> </w:t>
            </w:r>
          </w:p>
        </w:tc>
        <w:tc>
          <w:tcPr>
            <w:tcW w:w="1559" w:type="dxa"/>
            <w:noWrap/>
            <w:hideMark/>
          </w:tcPr>
          <w:p w14:paraId="61BAFD78" w14:textId="77777777" w:rsidR="009D0006" w:rsidRPr="003F4D73" w:rsidRDefault="009D0006" w:rsidP="005F0DA0">
            <w:pPr>
              <w:pStyle w:val="Tableheader"/>
              <w:rPr>
                <w:color w:val="0D0D0D"/>
              </w:rPr>
            </w:pPr>
            <w:r>
              <w:rPr>
                <w:color w:val="0D0D0D"/>
              </w:rPr>
              <w:t>n</w:t>
            </w:r>
          </w:p>
        </w:tc>
        <w:tc>
          <w:tcPr>
            <w:tcW w:w="1559" w:type="dxa"/>
            <w:noWrap/>
            <w:hideMark/>
          </w:tcPr>
          <w:p w14:paraId="5D9AC2DA" w14:textId="77777777" w:rsidR="009D0006" w:rsidRPr="003F4D73" w:rsidRDefault="009D0006" w:rsidP="005F0DA0">
            <w:pPr>
              <w:pStyle w:val="Tableheader"/>
              <w:rPr>
                <w:color w:val="0D0D0D"/>
              </w:rPr>
            </w:pPr>
            <w:r w:rsidRPr="003F4D73">
              <w:rPr>
                <w:color w:val="0D0D0D"/>
              </w:rPr>
              <w:t>%</w:t>
            </w:r>
          </w:p>
        </w:tc>
      </w:tr>
      <w:tr w:rsidR="009D0006" w:rsidRPr="003F4D73" w14:paraId="777B3165"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CF76C93" w14:textId="77777777" w:rsidR="009D0006" w:rsidRPr="00F103F7" w:rsidRDefault="009D0006" w:rsidP="005F0DA0">
            <w:pPr>
              <w:pStyle w:val="Tabletext"/>
              <w:rPr>
                <w:color w:val="0D0D0D"/>
              </w:rPr>
            </w:pPr>
            <w:r w:rsidRPr="00F103F7">
              <w:rPr>
                <w:lang w:val="en-US"/>
              </w:rPr>
              <w:t>Low or moderate</w:t>
            </w:r>
          </w:p>
        </w:tc>
        <w:tc>
          <w:tcPr>
            <w:tcW w:w="1559" w:type="dxa"/>
            <w:noWrap/>
          </w:tcPr>
          <w:p w14:paraId="7B0D27BA" w14:textId="77777777" w:rsidR="009D0006" w:rsidRPr="003F4D73" w:rsidRDefault="009D0006" w:rsidP="005F0DA0">
            <w:pPr>
              <w:pStyle w:val="Tabletext"/>
              <w:rPr>
                <w:color w:val="0D0D0D"/>
              </w:rPr>
            </w:pPr>
            <w:r>
              <w:t>103</w:t>
            </w:r>
          </w:p>
        </w:tc>
        <w:tc>
          <w:tcPr>
            <w:tcW w:w="1559" w:type="dxa"/>
            <w:noWrap/>
          </w:tcPr>
          <w:p w14:paraId="42BA1317" w14:textId="77777777" w:rsidR="009D0006" w:rsidRPr="003F4D73" w:rsidRDefault="009D0006" w:rsidP="005F0DA0">
            <w:pPr>
              <w:pStyle w:val="Tabletext"/>
              <w:rPr>
                <w:color w:val="0D0D0D"/>
              </w:rPr>
            </w:pPr>
            <w:r>
              <w:t>13.2</w:t>
            </w:r>
          </w:p>
        </w:tc>
      </w:tr>
      <w:tr w:rsidR="009D0006" w:rsidRPr="003F4D73" w14:paraId="2A3ADB98" w14:textId="77777777" w:rsidTr="005F0DA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C22D9F0" w14:textId="77777777" w:rsidR="009D0006" w:rsidRPr="00F103F7" w:rsidRDefault="009D0006" w:rsidP="005F0DA0">
            <w:pPr>
              <w:pStyle w:val="Tabletext"/>
              <w:rPr>
                <w:color w:val="0D0D0D"/>
              </w:rPr>
            </w:pPr>
            <w:r w:rsidRPr="00F103F7">
              <w:rPr>
                <w:lang w:val="en-US"/>
              </w:rPr>
              <w:t>High or very high</w:t>
            </w:r>
          </w:p>
        </w:tc>
        <w:tc>
          <w:tcPr>
            <w:tcW w:w="1559" w:type="dxa"/>
            <w:noWrap/>
          </w:tcPr>
          <w:p w14:paraId="700FBBE7" w14:textId="77777777" w:rsidR="009D0006" w:rsidRPr="003F4D73" w:rsidRDefault="009D0006" w:rsidP="005F0DA0">
            <w:pPr>
              <w:pStyle w:val="Tabletext"/>
              <w:rPr>
                <w:color w:val="0D0D0D"/>
              </w:rPr>
            </w:pPr>
            <w:r>
              <w:t>677</w:t>
            </w:r>
          </w:p>
        </w:tc>
        <w:tc>
          <w:tcPr>
            <w:tcW w:w="1559" w:type="dxa"/>
            <w:noWrap/>
          </w:tcPr>
          <w:p w14:paraId="26A88674" w14:textId="77777777" w:rsidR="009D0006" w:rsidRPr="003F4D73" w:rsidRDefault="009D0006" w:rsidP="005F0DA0">
            <w:pPr>
              <w:pStyle w:val="Tabletext"/>
              <w:rPr>
                <w:color w:val="0D0D0D"/>
              </w:rPr>
            </w:pPr>
            <w:r>
              <w:t>86.8</w:t>
            </w:r>
          </w:p>
        </w:tc>
      </w:tr>
    </w:tbl>
    <w:p w14:paraId="1ACFCAC5" w14:textId="77777777" w:rsidR="009D0006" w:rsidRPr="003255FB" w:rsidRDefault="009D0006" w:rsidP="002876D2">
      <w:pPr>
        <w:pStyle w:val="Tableheading"/>
      </w:pPr>
      <w:r w:rsidRPr="003255FB">
        <w:t>Table 61.4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A1A5A19"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0A2B857" w14:textId="77777777" w:rsidR="009D0006" w:rsidRPr="002D1E90" w:rsidRDefault="009D0006" w:rsidP="005F0DA0">
            <w:pPr>
              <w:pStyle w:val="Tableheader"/>
              <w:rPr>
                <w:color w:val="0D0D0D"/>
              </w:rPr>
            </w:pPr>
            <w:r>
              <w:t>Psychological distress</w:t>
            </w:r>
            <w:r w:rsidRPr="002D1E90">
              <w:t> </w:t>
            </w:r>
          </w:p>
        </w:tc>
        <w:tc>
          <w:tcPr>
            <w:tcW w:w="1559" w:type="dxa"/>
            <w:hideMark/>
          </w:tcPr>
          <w:p w14:paraId="6D86B419" w14:textId="77777777" w:rsidR="009D0006" w:rsidRPr="003F4D73" w:rsidRDefault="009D0006" w:rsidP="005F0DA0">
            <w:pPr>
              <w:pStyle w:val="Tableheader"/>
              <w:rPr>
                <w:color w:val="0D0D0D"/>
              </w:rPr>
            </w:pPr>
            <w:r>
              <w:rPr>
                <w:color w:val="0D0D0D"/>
              </w:rPr>
              <w:t>n</w:t>
            </w:r>
          </w:p>
        </w:tc>
        <w:tc>
          <w:tcPr>
            <w:tcW w:w="1559" w:type="dxa"/>
            <w:hideMark/>
          </w:tcPr>
          <w:p w14:paraId="63B822C2" w14:textId="77777777" w:rsidR="009D0006" w:rsidRPr="003F4D73" w:rsidRDefault="009D0006" w:rsidP="005F0DA0">
            <w:pPr>
              <w:pStyle w:val="Tableheader"/>
              <w:rPr>
                <w:color w:val="0D0D0D"/>
              </w:rPr>
            </w:pPr>
            <w:r w:rsidRPr="003F4D73">
              <w:rPr>
                <w:color w:val="0D0D0D"/>
              </w:rPr>
              <w:t>%</w:t>
            </w:r>
          </w:p>
        </w:tc>
      </w:tr>
      <w:tr w:rsidR="009D0006" w:rsidRPr="003F4D73" w14:paraId="7290673D"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FFF40F4" w14:textId="77777777" w:rsidR="009D0006" w:rsidRPr="00F103F7" w:rsidRDefault="009D0006" w:rsidP="005F0DA0">
            <w:pPr>
              <w:pStyle w:val="Tabletext"/>
              <w:rPr>
                <w:color w:val="0D0D0D"/>
              </w:rPr>
            </w:pPr>
            <w:r w:rsidRPr="00F103F7">
              <w:rPr>
                <w:lang w:val="en-US"/>
              </w:rPr>
              <w:t>Low or moderate</w:t>
            </w:r>
          </w:p>
        </w:tc>
        <w:tc>
          <w:tcPr>
            <w:tcW w:w="1559" w:type="dxa"/>
          </w:tcPr>
          <w:p w14:paraId="0E6BC29C" w14:textId="77777777" w:rsidR="009D0006" w:rsidRPr="003F4D73" w:rsidRDefault="009D0006" w:rsidP="005F0DA0">
            <w:pPr>
              <w:pStyle w:val="Tabletext"/>
              <w:rPr>
                <w:color w:val="0D0D0D"/>
              </w:rPr>
            </w:pPr>
            <w:r>
              <w:rPr>
                <w:color w:val="0D0D0D"/>
              </w:rPr>
              <w:t>2224</w:t>
            </w:r>
          </w:p>
        </w:tc>
        <w:tc>
          <w:tcPr>
            <w:tcW w:w="1559" w:type="dxa"/>
          </w:tcPr>
          <w:p w14:paraId="571598B6" w14:textId="77777777" w:rsidR="009D0006" w:rsidRPr="003F4D73" w:rsidRDefault="009D0006" w:rsidP="005F0DA0">
            <w:pPr>
              <w:pStyle w:val="Tabletext"/>
              <w:rPr>
                <w:color w:val="0D0D0D"/>
              </w:rPr>
            </w:pPr>
            <w:r>
              <w:rPr>
                <w:color w:val="0D0D0D"/>
              </w:rPr>
              <w:t>58.2</w:t>
            </w:r>
          </w:p>
        </w:tc>
      </w:tr>
      <w:tr w:rsidR="009D0006" w:rsidRPr="003F4D73" w14:paraId="516823C6" w14:textId="77777777" w:rsidTr="005F0DA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8D5894C" w14:textId="77777777" w:rsidR="009D0006" w:rsidRPr="00F103F7" w:rsidRDefault="009D0006" w:rsidP="005F0DA0">
            <w:pPr>
              <w:pStyle w:val="Tabletext"/>
              <w:rPr>
                <w:color w:val="0D0D0D"/>
              </w:rPr>
            </w:pPr>
            <w:r w:rsidRPr="00F103F7">
              <w:rPr>
                <w:lang w:val="en-US"/>
              </w:rPr>
              <w:t>High or very high</w:t>
            </w:r>
          </w:p>
        </w:tc>
        <w:tc>
          <w:tcPr>
            <w:tcW w:w="1559" w:type="dxa"/>
          </w:tcPr>
          <w:p w14:paraId="2300DF16" w14:textId="77777777" w:rsidR="009D0006" w:rsidRPr="003F4D73" w:rsidRDefault="009D0006" w:rsidP="005F0DA0">
            <w:pPr>
              <w:pStyle w:val="Tabletext"/>
              <w:rPr>
                <w:color w:val="0D0D0D"/>
              </w:rPr>
            </w:pPr>
            <w:r>
              <w:rPr>
                <w:color w:val="0D0D0D"/>
              </w:rPr>
              <w:t>1592</w:t>
            </w:r>
          </w:p>
        </w:tc>
        <w:tc>
          <w:tcPr>
            <w:tcW w:w="1559" w:type="dxa"/>
          </w:tcPr>
          <w:p w14:paraId="737B047D" w14:textId="77777777" w:rsidR="009D0006" w:rsidRPr="003F4D73" w:rsidRDefault="009D0006" w:rsidP="005F0DA0">
            <w:pPr>
              <w:pStyle w:val="Tabletext"/>
              <w:rPr>
                <w:color w:val="0D0D0D"/>
              </w:rPr>
            </w:pPr>
            <w:r>
              <w:rPr>
                <w:color w:val="0D0D0D"/>
              </w:rPr>
              <w:t>41.7</w:t>
            </w:r>
          </w:p>
        </w:tc>
      </w:tr>
    </w:tbl>
    <w:p w14:paraId="33795D4A" w14:textId="41FC4534" w:rsidR="009D0006" w:rsidRDefault="009D0006" w:rsidP="002876D2">
      <w:pPr>
        <w:spacing w:before="360"/>
      </w:pPr>
      <w:r>
        <w:rPr>
          <w:lang w:val="en-GB"/>
        </w:rPr>
        <w:t>As shown in Tables 61.1-61.4, a</w:t>
      </w:r>
      <w:r w:rsidRPr="00A42772">
        <w:rPr>
          <w:lang w:val="en-GB"/>
        </w:rPr>
        <w:t xml:space="preserve"> much lower proportion of participants without disability in </w:t>
      </w:r>
      <w:r w:rsidRPr="00140CED">
        <w:rPr>
          <w:i/>
          <w:iCs/>
          <w:lang w:val="en-GB"/>
        </w:rPr>
        <w:t>Private Lives 3</w:t>
      </w:r>
      <w:r w:rsidRPr="00C47CBF">
        <w:rPr>
          <w:i/>
          <w:iCs/>
          <w:lang w:val="en-GB"/>
        </w:rPr>
        <w:t xml:space="preserve"> </w:t>
      </w:r>
      <w:r w:rsidRPr="00A42772">
        <w:rPr>
          <w:lang w:val="en-GB"/>
        </w:rPr>
        <w:t xml:space="preserve">reported high or very high levels of psychological distress in the past </w:t>
      </w:r>
      <w:r>
        <w:rPr>
          <w:lang w:val="en-GB"/>
        </w:rPr>
        <w:t>4</w:t>
      </w:r>
      <w:r w:rsidRPr="00A42772">
        <w:rPr>
          <w:lang w:val="en-GB"/>
        </w:rPr>
        <w:t xml:space="preserve"> weeks (41.7</w:t>
      </w:r>
      <w:r w:rsidRPr="00A42772">
        <w:rPr>
          <w:lang w:val="en-GB"/>
        </w:rPr>
        <w:lastRenderedPageBreak/>
        <w:t xml:space="preserve">%; n = 1592) compared to participants with disability. Among participants with disability, those </w:t>
      </w:r>
      <w:r>
        <w:rPr>
          <w:lang w:val="en-GB"/>
        </w:rPr>
        <w:t xml:space="preserve">categorised </w:t>
      </w:r>
      <w:r w:rsidRPr="00A42772">
        <w:rPr>
          <w:lang w:val="en-GB"/>
        </w:rPr>
        <w:t>w</w:t>
      </w:r>
      <w:r>
        <w:rPr>
          <w:lang w:val="en-GB"/>
        </w:rPr>
        <w:t>ith</w:t>
      </w:r>
      <w:r w:rsidRPr="00A42772">
        <w:rPr>
          <w:lang w:val="en-GB"/>
        </w:rPr>
        <w:t xml:space="preserve"> severe disability had the highest proportion who had experienced high or very high psychological distress (86.8%; n = 677), followed by </w:t>
      </w:r>
      <w:r w:rsidRPr="00C47CBF">
        <w:rPr>
          <w:lang w:val="en-GB"/>
        </w:rPr>
        <w:t xml:space="preserve">participants </w:t>
      </w:r>
      <w:r>
        <w:rPr>
          <w:lang w:val="en-GB"/>
        </w:rPr>
        <w:t xml:space="preserve">categorised </w:t>
      </w:r>
      <w:r w:rsidRPr="00C47CBF">
        <w:rPr>
          <w:lang w:val="en-GB"/>
        </w:rPr>
        <w:t>with moderate disability (77.1%; n = 1053)</w:t>
      </w:r>
      <w:r>
        <w:rPr>
          <w:lang w:val="en-GB"/>
        </w:rPr>
        <w:t xml:space="preserve"> and </w:t>
      </w:r>
      <w:r>
        <w:t xml:space="preserve">those </w:t>
      </w:r>
      <w:r>
        <w:rPr>
          <w:lang w:val="en-GB"/>
        </w:rPr>
        <w:t>categorised</w:t>
      </w:r>
      <w:r>
        <w:t xml:space="preserve"> with mild disability (64.4%; n = 273).</w:t>
      </w:r>
      <w:bookmarkEnd w:id="647"/>
    </w:p>
    <w:p w14:paraId="51FCBB85" w14:textId="6CC63438" w:rsidR="009D0006" w:rsidRDefault="009D0006" w:rsidP="00153892">
      <w:pPr>
        <w:pStyle w:val="Heading3Numbered"/>
      </w:pPr>
      <w:bookmarkStart w:id="651" w:name="_Toc115968588"/>
      <w:r w:rsidRPr="009761D5">
        <w:t xml:space="preserve">Psychological distress </w:t>
      </w:r>
      <w:r>
        <w:t>according to</w:t>
      </w:r>
      <w:r w:rsidRPr="009761D5">
        <w:t xml:space="preserve"> experiences of harassment and assault – young people aged 14-21 years</w:t>
      </w:r>
      <w:bookmarkEnd w:id="651"/>
    </w:p>
    <w:p w14:paraId="67B2BCC6" w14:textId="79A12440" w:rsidR="009D0006" w:rsidRDefault="009D0006" w:rsidP="002876D2">
      <w:pPr>
        <w:pStyle w:val="Tableheading"/>
      </w:pPr>
      <w:bookmarkStart w:id="652" w:name="_Toc117062780"/>
      <w:bookmarkStart w:id="653" w:name="_Toc119651465"/>
      <w:r w:rsidRPr="00C47CBF">
        <w:rPr>
          <w:bCs/>
        </w:rPr>
        <w:t>Table</w:t>
      </w:r>
      <w:r>
        <w:rPr>
          <w:bCs/>
        </w:rPr>
        <w:t>s</w:t>
      </w:r>
      <w:r w:rsidRPr="00C47CBF">
        <w:rPr>
          <w:bCs/>
        </w:rPr>
        <w:t xml:space="preserve"> </w:t>
      </w:r>
      <w:r w:rsidRPr="00786BD5">
        <w:rPr>
          <w:bCs/>
          <w:sz w:val="18"/>
          <w:szCs w:val="18"/>
        </w:rPr>
        <w:fldChar w:fldCharType="begin"/>
      </w:r>
      <w:r w:rsidRPr="00C47CBF">
        <w:rPr>
          <w:bCs/>
        </w:rPr>
        <w:instrText xml:space="preserve"> SEQ Table \* ARABIC </w:instrText>
      </w:r>
      <w:r w:rsidRPr="00786BD5">
        <w:rPr>
          <w:bCs/>
          <w:sz w:val="18"/>
          <w:szCs w:val="18"/>
        </w:rPr>
        <w:fldChar w:fldCharType="separate"/>
      </w:r>
      <w:r>
        <w:rPr>
          <w:bCs/>
          <w:noProof/>
        </w:rPr>
        <w:t>62</w:t>
      </w:r>
      <w:r w:rsidRPr="00786BD5">
        <w:rPr>
          <w:bCs/>
          <w:sz w:val="18"/>
          <w:szCs w:val="18"/>
        </w:rPr>
        <w:fldChar w:fldCharType="end"/>
      </w:r>
      <w:r>
        <w:t xml:space="preserve">.1-62.6 </w:t>
      </w:r>
      <w:r w:rsidRPr="009761D5">
        <w:t xml:space="preserve">Psychological distress </w:t>
      </w:r>
      <w:r>
        <w:t>according to</w:t>
      </w:r>
      <w:r w:rsidRPr="009761D5">
        <w:t xml:space="preserve"> experiences of harassment </w:t>
      </w:r>
      <w:r>
        <w:t>or</w:t>
      </w:r>
      <w:r w:rsidRPr="009761D5">
        <w:t xml:space="preserve"> assault</w:t>
      </w:r>
      <w:r>
        <w:t xml:space="preserve"> among young people with disability aged 14-21 years</w:t>
      </w:r>
      <w:bookmarkEnd w:id="652"/>
      <w:bookmarkEnd w:id="653"/>
    </w:p>
    <w:p w14:paraId="4F00E181" w14:textId="77777777" w:rsidR="009D0006" w:rsidRDefault="009D0006" w:rsidP="002876D2">
      <w:pPr>
        <w:pStyle w:val="Tableheading"/>
      </w:pPr>
      <w:r>
        <w:t>Table 62.1 No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7795EE3"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FD7E914" w14:textId="77777777" w:rsidR="009D0006" w:rsidRPr="005F0DA0" w:rsidRDefault="009D0006" w:rsidP="005F0DA0">
            <w:pPr>
              <w:pStyle w:val="Tableheader"/>
            </w:pPr>
            <w:r w:rsidRPr="005F0DA0">
              <w:t>Psychological distress</w:t>
            </w:r>
          </w:p>
        </w:tc>
        <w:tc>
          <w:tcPr>
            <w:tcW w:w="1559" w:type="dxa"/>
            <w:noWrap/>
            <w:hideMark/>
          </w:tcPr>
          <w:p w14:paraId="49158E97" w14:textId="77777777" w:rsidR="009D0006" w:rsidRPr="005F0DA0" w:rsidRDefault="009D0006" w:rsidP="005F0DA0">
            <w:pPr>
              <w:pStyle w:val="Tableheader"/>
            </w:pPr>
            <w:r w:rsidRPr="005F0DA0">
              <w:t>n</w:t>
            </w:r>
          </w:p>
        </w:tc>
        <w:tc>
          <w:tcPr>
            <w:tcW w:w="1559" w:type="dxa"/>
            <w:noWrap/>
            <w:hideMark/>
          </w:tcPr>
          <w:p w14:paraId="5B0C071A" w14:textId="77777777" w:rsidR="009D0006" w:rsidRPr="005F0DA0" w:rsidRDefault="009D0006" w:rsidP="005F0DA0">
            <w:pPr>
              <w:pStyle w:val="Tableheader"/>
            </w:pPr>
            <w:r w:rsidRPr="005F0DA0">
              <w:t>%</w:t>
            </w:r>
          </w:p>
        </w:tc>
      </w:tr>
      <w:tr w:rsidR="009D0006" w:rsidRPr="003F4D73" w14:paraId="49EB17A9"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63A20A1" w14:textId="77777777" w:rsidR="009D0006" w:rsidRPr="003F4D73" w:rsidRDefault="009D0006" w:rsidP="005F0DA0">
            <w:pPr>
              <w:pStyle w:val="Tabletext"/>
              <w:rPr>
                <w:color w:val="0D0D0D"/>
              </w:rPr>
            </w:pPr>
            <w:r>
              <w:rPr>
                <w:lang w:val="en-US"/>
              </w:rPr>
              <w:t>High or very high</w:t>
            </w:r>
          </w:p>
        </w:tc>
        <w:tc>
          <w:tcPr>
            <w:tcW w:w="1559" w:type="dxa"/>
            <w:noWrap/>
          </w:tcPr>
          <w:p w14:paraId="7F028532" w14:textId="77777777" w:rsidR="009D0006" w:rsidRPr="003F4D73" w:rsidRDefault="009D0006" w:rsidP="005F0DA0">
            <w:pPr>
              <w:pStyle w:val="Tabletext"/>
              <w:rPr>
                <w:color w:val="0D0D0D"/>
              </w:rPr>
            </w:pPr>
            <w:r>
              <w:t>1101</w:t>
            </w:r>
          </w:p>
        </w:tc>
        <w:tc>
          <w:tcPr>
            <w:tcW w:w="1559" w:type="dxa"/>
            <w:noWrap/>
          </w:tcPr>
          <w:p w14:paraId="1EBCBEA9" w14:textId="77777777" w:rsidR="009D0006" w:rsidRPr="003F4D73" w:rsidRDefault="009D0006" w:rsidP="005F0DA0">
            <w:pPr>
              <w:pStyle w:val="Tabletext"/>
              <w:rPr>
                <w:color w:val="0D0D0D"/>
              </w:rPr>
            </w:pPr>
            <w:r>
              <w:t>88.8</w:t>
            </w:r>
          </w:p>
        </w:tc>
      </w:tr>
    </w:tbl>
    <w:p w14:paraId="5AF7860F" w14:textId="77777777" w:rsidR="009D0006" w:rsidRDefault="009D0006" w:rsidP="002876D2">
      <w:pPr>
        <w:pStyle w:val="Tableheading"/>
      </w:pPr>
      <w:r>
        <w:t>Table 62.2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18245FC"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4DEDB38" w14:textId="77777777" w:rsidR="009D0006" w:rsidRPr="005F0DA0" w:rsidRDefault="009D0006" w:rsidP="005F0DA0">
            <w:pPr>
              <w:pStyle w:val="Tableheader"/>
            </w:pPr>
            <w:r w:rsidRPr="005F0DA0">
              <w:t>Psychological distress</w:t>
            </w:r>
          </w:p>
        </w:tc>
        <w:tc>
          <w:tcPr>
            <w:tcW w:w="1559" w:type="dxa"/>
            <w:hideMark/>
          </w:tcPr>
          <w:p w14:paraId="548CD127" w14:textId="77777777" w:rsidR="009D0006" w:rsidRPr="005F0DA0" w:rsidRDefault="009D0006" w:rsidP="005F0DA0">
            <w:pPr>
              <w:pStyle w:val="Tableheader"/>
            </w:pPr>
            <w:r w:rsidRPr="005F0DA0">
              <w:t>n</w:t>
            </w:r>
          </w:p>
        </w:tc>
        <w:tc>
          <w:tcPr>
            <w:tcW w:w="1559" w:type="dxa"/>
            <w:hideMark/>
          </w:tcPr>
          <w:p w14:paraId="3940AEE4" w14:textId="77777777" w:rsidR="009D0006" w:rsidRPr="005F0DA0" w:rsidRDefault="009D0006" w:rsidP="005F0DA0">
            <w:pPr>
              <w:pStyle w:val="Tableheader"/>
            </w:pPr>
            <w:r w:rsidRPr="005F0DA0">
              <w:t>%</w:t>
            </w:r>
          </w:p>
        </w:tc>
      </w:tr>
      <w:tr w:rsidR="009D0006" w:rsidRPr="003F4D73" w14:paraId="5EBAB61B"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DC39043" w14:textId="77777777" w:rsidR="009D0006" w:rsidRPr="003F4D73" w:rsidRDefault="009D0006" w:rsidP="005F0DA0">
            <w:pPr>
              <w:pStyle w:val="Tabletext"/>
              <w:rPr>
                <w:color w:val="0D0D0D"/>
              </w:rPr>
            </w:pPr>
            <w:r>
              <w:rPr>
                <w:lang w:val="en-US"/>
              </w:rPr>
              <w:t>High or very high</w:t>
            </w:r>
          </w:p>
        </w:tc>
        <w:tc>
          <w:tcPr>
            <w:tcW w:w="1559" w:type="dxa"/>
          </w:tcPr>
          <w:p w14:paraId="528251A0" w14:textId="77777777" w:rsidR="009D0006" w:rsidRPr="003F4D73" w:rsidRDefault="009D0006" w:rsidP="005F0DA0">
            <w:pPr>
              <w:pStyle w:val="Tabletext"/>
              <w:rPr>
                <w:color w:val="0D0D0D"/>
              </w:rPr>
            </w:pPr>
            <w:r>
              <w:t>1112</w:t>
            </w:r>
          </w:p>
        </w:tc>
        <w:tc>
          <w:tcPr>
            <w:tcW w:w="1559" w:type="dxa"/>
          </w:tcPr>
          <w:p w14:paraId="6C825318" w14:textId="77777777" w:rsidR="009D0006" w:rsidRPr="003F4D73" w:rsidRDefault="009D0006" w:rsidP="005F0DA0">
            <w:pPr>
              <w:pStyle w:val="Tabletext"/>
              <w:rPr>
                <w:color w:val="0D0D0D"/>
              </w:rPr>
            </w:pPr>
            <w:r>
              <w:t>95.6</w:t>
            </w:r>
          </w:p>
        </w:tc>
      </w:tr>
    </w:tbl>
    <w:p w14:paraId="3BE90359" w14:textId="77777777" w:rsidR="009D0006" w:rsidRDefault="009D0006" w:rsidP="002876D2">
      <w:pPr>
        <w:pStyle w:val="Tableheading"/>
      </w:pPr>
      <w:r>
        <w:t>Table 62.3 No 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747959F"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532497E" w14:textId="77777777" w:rsidR="009D0006" w:rsidRPr="005F0DA0" w:rsidRDefault="009D0006" w:rsidP="005F0DA0">
            <w:pPr>
              <w:pStyle w:val="Tableheader"/>
            </w:pPr>
            <w:r w:rsidRPr="005F0DA0">
              <w:t>Psychological distress</w:t>
            </w:r>
          </w:p>
        </w:tc>
        <w:tc>
          <w:tcPr>
            <w:tcW w:w="1559" w:type="dxa"/>
            <w:noWrap/>
            <w:hideMark/>
          </w:tcPr>
          <w:p w14:paraId="253A50A6" w14:textId="77777777" w:rsidR="009D0006" w:rsidRPr="005F0DA0" w:rsidRDefault="009D0006" w:rsidP="005F0DA0">
            <w:pPr>
              <w:pStyle w:val="Tableheader"/>
            </w:pPr>
            <w:r w:rsidRPr="005F0DA0">
              <w:t>n</w:t>
            </w:r>
          </w:p>
        </w:tc>
        <w:tc>
          <w:tcPr>
            <w:tcW w:w="1559" w:type="dxa"/>
            <w:noWrap/>
            <w:hideMark/>
          </w:tcPr>
          <w:p w14:paraId="4934BD1B" w14:textId="77777777" w:rsidR="009D0006" w:rsidRPr="005F0DA0" w:rsidRDefault="009D0006" w:rsidP="005F0DA0">
            <w:pPr>
              <w:pStyle w:val="Tableheader"/>
            </w:pPr>
            <w:r w:rsidRPr="005F0DA0">
              <w:t>%</w:t>
            </w:r>
          </w:p>
        </w:tc>
      </w:tr>
      <w:tr w:rsidR="009D0006" w:rsidRPr="003F4D73" w14:paraId="7C52CB89"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0439BF3" w14:textId="77777777" w:rsidR="009D0006" w:rsidRPr="003F4D73" w:rsidRDefault="009D0006" w:rsidP="005F0DA0">
            <w:pPr>
              <w:pStyle w:val="Tabletext"/>
              <w:rPr>
                <w:color w:val="0D0D0D"/>
              </w:rPr>
            </w:pPr>
            <w:r>
              <w:rPr>
                <w:lang w:val="en-US"/>
              </w:rPr>
              <w:t>High or very high</w:t>
            </w:r>
          </w:p>
        </w:tc>
        <w:tc>
          <w:tcPr>
            <w:tcW w:w="1559" w:type="dxa"/>
            <w:noWrap/>
          </w:tcPr>
          <w:p w14:paraId="1CC2930B" w14:textId="77777777" w:rsidR="009D0006" w:rsidRPr="003F4D73" w:rsidRDefault="009D0006" w:rsidP="005F0DA0">
            <w:pPr>
              <w:pStyle w:val="Tabletext"/>
              <w:rPr>
                <w:color w:val="0D0D0D"/>
              </w:rPr>
            </w:pPr>
            <w:r>
              <w:t>1702</w:t>
            </w:r>
          </w:p>
        </w:tc>
        <w:tc>
          <w:tcPr>
            <w:tcW w:w="1559" w:type="dxa"/>
            <w:noWrap/>
          </w:tcPr>
          <w:p w14:paraId="6F8FD7B2" w14:textId="77777777" w:rsidR="009D0006" w:rsidRPr="003F4D73" w:rsidRDefault="009D0006" w:rsidP="005F0DA0">
            <w:pPr>
              <w:pStyle w:val="Tabletext"/>
              <w:rPr>
                <w:color w:val="0D0D0D"/>
              </w:rPr>
            </w:pPr>
            <w:r>
              <w:t>91.0</w:t>
            </w:r>
          </w:p>
        </w:tc>
      </w:tr>
    </w:tbl>
    <w:p w14:paraId="0F573AFD" w14:textId="77777777" w:rsidR="009D0006" w:rsidRDefault="009D0006" w:rsidP="002876D2">
      <w:pPr>
        <w:pStyle w:val="Tableheading"/>
      </w:pPr>
      <w:r>
        <w:t>Table 62.4 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6892425"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07EA4E6" w14:textId="77777777" w:rsidR="009D0006" w:rsidRPr="003F4D73" w:rsidRDefault="009D0006" w:rsidP="005F0DA0">
            <w:pPr>
              <w:pStyle w:val="Tableheader"/>
              <w:rPr>
                <w:color w:val="0D0D0D"/>
              </w:rPr>
            </w:pPr>
            <w:r>
              <w:t>Psychological distress</w:t>
            </w:r>
          </w:p>
        </w:tc>
        <w:tc>
          <w:tcPr>
            <w:tcW w:w="1559" w:type="dxa"/>
            <w:hideMark/>
          </w:tcPr>
          <w:p w14:paraId="3588CCBE" w14:textId="77777777" w:rsidR="009D0006" w:rsidRPr="00906752" w:rsidRDefault="009D0006" w:rsidP="00906752">
            <w:pPr>
              <w:pStyle w:val="Tableheader"/>
            </w:pPr>
            <w:r>
              <w:t>n</w:t>
            </w:r>
          </w:p>
        </w:tc>
        <w:tc>
          <w:tcPr>
            <w:tcW w:w="1559" w:type="dxa"/>
            <w:hideMark/>
          </w:tcPr>
          <w:p w14:paraId="5C236FE9" w14:textId="77777777" w:rsidR="009D0006" w:rsidRPr="00906752" w:rsidRDefault="009D0006" w:rsidP="00906752">
            <w:pPr>
              <w:pStyle w:val="Tableheader"/>
            </w:pPr>
            <w:r w:rsidRPr="003F4D73">
              <w:t>%</w:t>
            </w:r>
          </w:p>
        </w:tc>
      </w:tr>
      <w:tr w:rsidR="009D0006" w:rsidRPr="003F4D73" w14:paraId="1C618C4C"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63C8BDC" w14:textId="77777777" w:rsidR="009D0006" w:rsidRPr="003F4D73" w:rsidRDefault="009D0006" w:rsidP="005F0DA0">
            <w:pPr>
              <w:pStyle w:val="Tabletext"/>
              <w:rPr>
                <w:color w:val="0D0D0D"/>
              </w:rPr>
            </w:pPr>
            <w:r>
              <w:rPr>
                <w:lang w:val="en-US"/>
              </w:rPr>
              <w:t>High or very high</w:t>
            </w:r>
          </w:p>
        </w:tc>
        <w:tc>
          <w:tcPr>
            <w:tcW w:w="1559" w:type="dxa"/>
          </w:tcPr>
          <w:p w14:paraId="3BCE70C1" w14:textId="77777777" w:rsidR="009D0006" w:rsidRPr="003F4D73" w:rsidRDefault="009D0006" w:rsidP="005F0DA0">
            <w:pPr>
              <w:pStyle w:val="Tabletext"/>
              <w:rPr>
                <w:color w:val="0D0D0D"/>
              </w:rPr>
            </w:pPr>
            <w:r>
              <w:t>253</w:t>
            </w:r>
          </w:p>
        </w:tc>
        <w:tc>
          <w:tcPr>
            <w:tcW w:w="1559" w:type="dxa"/>
          </w:tcPr>
          <w:p w14:paraId="79C88349" w14:textId="77777777" w:rsidR="009D0006" w:rsidRPr="003F4D73" w:rsidRDefault="009D0006" w:rsidP="005F0DA0">
            <w:pPr>
              <w:pStyle w:val="Tabletext"/>
              <w:rPr>
                <w:color w:val="0D0D0D"/>
              </w:rPr>
            </w:pPr>
            <w:r>
              <w:t>95.8</w:t>
            </w:r>
          </w:p>
        </w:tc>
      </w:tr>
    </w:tbl>
    <w:p w14:paraId="654FEDFD" w14:textId="77777777" w:rsidR="009D0006" w:rsidRDefault="009D0006" w:rsidP="002876D2">
      <w:pPr>
        <w:pStyle w:val="Tableheading"/>
      </w:pPr>
      <w:r>
        <w:t>Table 62.5 No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C6E6891" w14:textId="77777777" w:rsidTr="005F0DA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669ED75" w14:textId="77777777" w:rsidR="009D0006" w:rsidRPr="003F4D73" w:rsidRDefault="009D0006" w:rsidP="005F0DA0">
            <w:pPr>
              <w:pStyle w:val="Tableheader"/>
              <w:rPr>
                <w:color w:val="0D0D0D"/>
              </w:rPr>
            </w:pPr>
            <w:r>
              <w:t>Psychological distress</w:t>
            </w:r>
          </w:p>
        </w:tc>
        <w:tc>
          <w:tcPr>
            <w:tcW w:w="1559" w:type="dxa"/>
            <w:noWrap/>
            <w:hideMark/>
          </w:tcPr>
          <w:p w14:paraId="68C78694" w14:textId="77777777" w:rsidR="009D0006" w:rsidRPr="00906752" w:rsidRDefault="009D0006" w:rsidP="00906752">
            <w:pPr>
              <w:pStyle w:val="Tableheader"/>
            </w:pPr>
            <w:r>
              <w:t>n</w:t>
            </w:r>
          </w:p>
        </w:tc>
        <w:tc>
          <w:tcPr>
            <w:tcW w:w="1559" w:type="dxa"/>
            <w:noWrap/>
            <w:hideMark/>
          </w:tcPr>
          <w:p w14:paraId="4982DD3E" w14:textId="77777777" w:rsidR="009D0006" w:rsidRPr="00906752" w:rsidRDefault="009D0006" w:rsidP="00906752">
            <w:pPr>
              <w:pStyle w:val="Tableheader"/>
            </w:pPr>
            <w:r w:rsidRPr="003F4D73">
              <w:t>%</w:t>
            </w:r>
          </w:p>
        </w:tc>
      </w:tr>
      <w:tr w:rsidR="009D0006" w:rsidRPr="003F4D73" w14:paraId="4E690AE1" w14:textId="77777777" w:rsidTr="005F0DA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2AE62BB" w14:textId="77777777" w:rsidR="009D0006" w:rsidRPr="003F4D73" w:rsidRDefault="009D0006" w:rsidP="005F0DA0">
            <w:pPr>
              <w:pStyle w:val="Tabletext"/>
              <w:rPr>
                <w:color w:val="0D0D0D"/>
              </w:rPr>
            </w:pPr>
            <w:r>
              <w:rPr>
                <w:lang w:val="en-US"/>
              </w:rPr>
              <w:t>High or very high</w:t>
            </w:r>
          </w:p>
        </w:tc>
        <w:tc>
          <w:tcPr>
            <w:tcW w:w="1559" w:type="dxa"/>
            <w:noWrap/>
          </w:tcPr>
          <w:p w14:paraId="270E9AE5" w14:textId="77777777" w:rsidR="009D0006" w:rsidRPr="003F4D73" w:rsidRDefault="009D0006" w:rsidP="005F0DA0">
            <w:pPr>
              <w:pStyle w:val="Tabletext"/>
              <w:rPr>
                <w:color w:val="0D0D0D"/>
              </w:rPr>
            </w:pPr>
            <w:r>
              <w:t>1407</w:t>
            </w:r>
          </w:p>
        </w:tc>
        <w:tc>
          <w:tcPr>
            <w:tcW w:w="1559" w:type="dxa"/>
            <w:noWrap/>
          </w:tcPr>
          <w:p w14:paraId="7658F983" w14:textId="77777777" w:rsidR="009D0006" w:rsidRPr="003F4D73" w:rsidRDefault="009D0006" w:rsidP="005F0DA0">
            <w:pPr>
              <w:pStyle w:val="Tabletext"/>
              <w:rPr>
                <w:color w:val="0D0D0D"/>
              </w:rPr>
            </w:pPr>
            <w:r>
              <w:t>90.6</w:t>
            </w:r>
          </w:p>
        </w:tc>
      </w:tr>
    </w:tbl>
    <w:p w14:paraId="2ED32FFB" w14:textId="77777777" w:rsidR="009D0006" w:rsidRDefault="009D0006" w:rsidP="002876D2">
      <w:pPr>
        <w:pStyle w:val="Tableheading"/>
      </w:pPr>
      <w:r>
        <w:t>Table 62.6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06752" w:rsidRPr="003F4D73" w14:paraId="1545D3D6" w14:textId="77777777" w:rsidTr="00C544D8">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76E48CA4" w14:textId="77777777" w:rsidR="00906752" w:rsidRPr="00906752" w:rsidRDefault="00906752" w:rsidP="00906752">
            <w:pPr>
              <w:pStyle w:val="Tableheader"/>
            </w:pPr>
            <w:r w:rsidRPr="00906752">
              <w:t>Psychological distress</w:t>
            </w:r>
          </w:p>
        </w:tc>
        <w:tc>
          <w:tcPr>
            <w:tcW w:w="1559" w:type="dxa"/>
          </w:tcPr>
          <w:p w14:paraId="2F8A03D4" w14:textId="7AEFC903" w:rsidR="00906752" w:rsidRPr="00906752" w:rsidRDefault="00906752" w:rsidP="00906752">
            <w:pPr>
              <w:pStyle w:val="Tableheader"/>
            </w:pPr>
            <w:r w:rsidRPr="00906752">
              <w:t>n</w:t>
            </w:r>
          </w:p>
        </w:tc>
        <w:tc>
          <w:tcPr>
            <w:tcW w:w="1559" w:type="dxa"/>
          </w:tcPr>
          <w:p w14:paraId="38F47553" w14:textId="5BFF7166" w:rsidR="00906752" w:rsidRPr="00906752" w:rsidRDefault="00906752" w:rsidP="00906752">
            <w:pPr>
              <w:pStyle w:val="Tableheader"/>
            </w:pPr>
            <w:r w:rsidRPr="00906752">
              <w:t>%</w:t>
            </w:r>
          </w:p>
        </w:tc>
      </w:tr>
      <w:tr w:rsidR="009D0006" w:rsidRPr="003F4D73" w14:paraId="4155AA4F" w14:textId="77777777" w:rsidTr="00311BD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5D2411D" w14:textId="77777777" w:rsidR="009D0006" w:rsidRPr="003F4D73" w:rsidRDefault="009D0006" w:rsidP="00311BD7">
            <w:pPr>
              <w:pStyle w:val="Tabletext"/>
              <w:rPr>
                <w:color w:val="0D0D0D"/>
              </w:rPr>
            </w:pPr>
            <w:r>
              <w:rPr>
                <w:lang w:val="en-US"/>
              </w:rPr>
              <w:t>High or very high</w:t>
            </w:r>
          </w:p>
        </w:tc>
        <w:tc>
          <w:tcPr>
            <w:tcW w:w="1559" w:type="dxa"/>
          </w:tcPr>
          <w:p w14:paraId="0E18CD48" w14:textId="77777777" w:rsidR="009D0006" w:rsidRPr="003F4D73" w:rsidRDefault="009D0006" w:rsidP="00311BD7">
            <w:pPr>
              <w:pStyle w:val="Tabletext"/>
              <w:rPr>
                <w:color w:val="0D0D0D"/>
              </w:rPr>
            </w:pPr>
            <w:r>
              <w:t>619</w:t>
            </w:r>
          </w:p>
        </w:tc>
        <w:tc>
          <w:tcPr>
            <w:tcW w:w="1559" w:type="dxa"/>
          </w:tcPr>
          <w:p w14:paraId="6887EB2A" w14:textId="77777777" w:rsidR="009D0006" w:rsidRPr="003F4D73" w:rsidRDefault="009D0006" w:rsidP="00311BD7">
            <w:pPr>
              <w:pStyle w:val="Tabletext"/>
              <w:rPr>
                <w:color w:val="0D0D0D"/>
              </w:rPr>
            </w:pPr>
            <w:r>
              <w:t>94.5</w:t>
            </w:r>
          </w:p>
        </w:tc>
      </w:tr>
    </w:tbl>
    <w:p w14:paraId="006DADBF" w14:textId="77777777" w:rsidR="009D0006" w:rsidRDefault="009D0006" w:rsidP="002876D2">
      <w:pPr>
        <w:spacing w:before="360"/>
      </w:pPr>
      <w:r>
        <w:t>A greater p</w:t>
      </w:r>
      <w:r>
        <w:lastRenderedPageBreak/>
        <w:t>roportion of</w:t>
      </w:r>
      <w:r w:rsidRPr="00AF4A20">
        <w:t xml:space="preserve"> </w:t>
      </w:r>
      <w:r w:rsidRPr="00861176">
        <w:t>participants</w:t>
      </w:r>
      <w:r w:rsidRPr="00AF4A20">
        <w:t xml:space="preserve"> with disability </w:t>
      </w:r>
      <w:r>
        <w:t>who had experienced verbal, physical or sexual harassment or assault in the past 12 months reported high or very high psychological distress compared to participants who had not experienced these forms or harassment in the same time period. A greater proportion of participants who had experienced verbal harassment also reported high or very high psychological distress (95.6%; n = 1112) compared to participants who had not experienced any verbal harassment (88.8%; n = 1101). A higher proportion of participants who had experienced physical harassment reported high or very high psychological distress (95.8%; n = 253) compared to those who had not (91.0%; n = 1702). Finally, a greater proportion of participants who had experienced sexual assault reported high or very high psychological distress (94.5%; n = 619) compared to participants who had not (90.6%; n = 1407).</w:t>
      </w:r>
    </w:p>
    <w:p w14:paraId="0AAF1F81" w14:textId="3723A037" w:rsidR="009D0006" w:rsidRPr="007172E4" w:rsidRDefault="009D0006" w:rsidP="00153892">
      <w:pPr>
        <w:pStyle w:val="Heading3Numbered"/>
      </w:pPr>
      <w:bookmarkStart w:id="654" w:name="_Toc115968589"/>
      <w:r w:rsidRPr="007172E4">
        <w:t xml:space="preserve">Psychological distress </w:t>
      </w:r>
      <w:r>
        <w:t xml:space="preserve">according to </w:t>
      </w:r>
      <w:r w:rsidRPr="007172E4">
        <w:t>experiences of discrimination, harassment and exclusion – adults aged 18+ years</w:t>
      </w:r>
      <w:bookmarkEnd w:id="654"/>
    </w:p>
    <w:p w14:paraId="7B58444B" w14:textId="7A428DEA" w:rsidR="009D0006" w:rsidRDefault="009D0006" w:rsidP="002876D2">
      <w:pPr>
        <w:pStyle w:val="Tableheading"/>
      </w:pPr>
      <w:bookmarkStart w:id="655" w:name="_Toc117062781"/>
      <w:bookmarkStart w:id="656" w:name="_Toc119651466"/>
      <w:r w:rsidRPr="0021478C">
        <w:t>Table</w:t>
      </w:r>
      <w:r>
        <w:t>s</w:t>
      </w:r>
      <w:r w:rsidRPr="0021478C">
        <w:t xml:space="preserve"> </w:t>
      </w:r>
      <w:r>
        <w:rPr>
          <w:noProof/>
        </w:rPr>
        <w:fldChar w:fldCharType="begin"/>
      </w:r>
      <w:r>
        <w:rPr>
          <w:noProof/>
        </w:rPr>
        <w:instrText xml:space="preserve"> SEQ Table \* ARABIC </w:instrText>
      </w:r>
      <w:r>
        <w:rPr>
          <w:noProof/>
        </w:rPr>
        <w:fldChar w:fldCharType="separate"/>
      </w:r>
      <w:r>
        <w:rPr>
          <w:noProof/>
        </w:rPr>
        <w:t>63</w:t>
      </w:r>
      <w:r>
        <w:rPr>
          <w:noProof/>
        </w:rPr>
        <w:fldChar w:fldCharType="end"/>
      </w:r>
      <w:r>
        <w:rPr>
          <w:noProof/>
        </w:rPr>
        <w:t>.1-63.6</w:t>
      </w:r>
      <w:r w:rsidRPr="0021478C">
        <w:t>:</w:t>
      </w:r>
      <w:r>
        <w:t xml:space="preserve"> </w:t>
      </w:r>
      <w:r w:rsidRPr="001C3CE2">
        <w:t xml:space="preserve">Psychological distress </w:t>
      </w:r>
      <w:r>
        <w:t>according to</w:t>
      </w:r>
      <w:r w:rsidRPr="001C3CE2">
        <w:t xml:space="preserve"> experiences of harassment and assault</w:t>
      </w:r>
      <w:r>
        <w:t xml:space="preserve"> among adults with disability aged 18+ years</w:t>
      </w:r>
      <w:bookmarkEnd w:id="655"/>
      <w:bookmarkEnd w:id="656"/>
    </w:p>
    <w:p w14:paraId="0440F1F0" w14:textId="77777777" w:rsidR="009D0006" w:rsidRPr="001C3CE2" w:rsidRDefault="009D0006" w:rsidP="002876D2">
      <w:pPr>
        <w:pStyle w:val="Tableheading"/>
      </w:pPr>
      <w:r>
        <w:t>Table 63.1 No 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71A5295" w14:textId="77777777" w:rsidTr="00311BD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A8E49A5" w14:textId="77777777" w:rsidR="009D0006" w:rsidRPr="00311BD7" w:rsidRDefault="009D0006" w:rsidP="00311BD7">
            <w:pPr>
              <w:pStyle w:val="Tableheader"/>
            </w:pPr>
            <w:r w:rsidRPr="00311BD7">
              <w:t>Psychological distress</w:t>
            </w:r>
          </w:p>
        </w:tc>
        <w:tc>
          <w:tcPr>
            <w:tcW w:w="1559" w:type="dxa"/>
            <w:noWrap/>
            <w:hideMark/>
          </w:tcPr>
          <w:p w14:paraId="4FAC2764" w14:textId="77777777" w:rsidR="009D0006" w:rsidRPr="00311BD7" w:rsidRDefault="009D0006" w:rsidP="00311BD7">
            <w:pPr>
              <w:pStyle w:val="Tableheader"/>
            </w:pPr>
            <w:r w:rsidRPr="00311BD7">
              <w:t>n</w:t>
            </w:r>
          </w:p>
        </w:tc>
        <w:tc>
          <w:tcPr>
            <w:tcW w:w="1559" w:type="dxa"/>
            <w:noWrap/>
            <w:hideMark/>
          </w:tcPr>
          <w:p w14:paraId="1A70091D" w14:textId="77777777" w:rsidR="009D0006" w:rsidRPr="00311BD7" w:rsidRDefault="009D0006" w:rsidP="00311BD7">
            <w:pPr>
              <w:pStyle w:val="Tableheader"/>
            </w:pPr>
            <w:r w:rsidRPr="00311BD7">
              <w:t>%</w:t>
            </w:r>
          </w:p>
        </w:tc>
      </w:tr>
      <w:tr w:rsidR="009D0006" w:rsidRPr="003F4D73" w14:paraId="487A51E5" w14:textId="77777777" w:rsidTr="00311BD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7DF0F0C" w14:textId="77777777" w:rsidR="009D0006" w:rsidRPr="003F4D73" w:rsidRDefault="009D0006" w:rsidP="00311BD7">
            <w:pPr>
              <w:pStyle w:val="Tabletext"/>
              <w:rPr>
                <w:color w:val="0D0D0D"/>
              </w:rPr>
            </w:pPr>
            <w:r>
              <w:rPr>
                <w:lang w:val="en-US"/>
              </w:rPr>
              <w:t>High or very high</w:t>
            </w:r>
          </w:p>
        </w:tc>
        <w:tc>
          <w:tcPr>
            <w:tcW w:w="1559" w:type="dxa"/>
            <w:noWrap/>
          </w:tcPr>
          <w:p w14:paraId="33510EEF" w14:textId="77777777" w:rsidR="009D0006" w:rsidRPr="003F4D73" w:rsidRDefault="009D0006" w:rsidP="00311BD7">
            <w:pPr>
              <w:pStyle w:val="Tabletext"/>
              <w:rPr>
                <w:color w:val="0D0D0D"/>
              </w:rPr>
            </w:pPr>
            <w:r>
              <w:t>805</w:t>
            </w:r>
          </w:p>
        </w:tc>
        <w:tc>
          <w:tcPr>
            <w:tcW w:w="1559" w:type="dxa"/>
            <w:noWrap/>
          </w:tcPr>
          <w:p w14:paraId="47B6BCEB" w14:textId="77777777" w:rsidR="009D0006" w:rsidRPr="003F4D73" w:rsidRDefault="009D0006" w:rsidP="00311BD7">
            <w:pPr>
              <w:pStyle w:val="Tabletext"/>
              <w:rPr>
                <w:color w:val="0D0D0D"/>
              </w:rPr>
            </w:pPr>
            <w:r>
              <w:t>70.8</w:t>
            </w:r>
          </w:p>
        </w:tc>
      </w:tr>
    </w:tbl>
    <w:p w14:paraId="17A4A5D2" w14:textId="77777777" w:rsidR="009D0006" w:rsidRDefault="009D0006" w:rsidP="002876D2">
      <w:pPr>
        <w:pStyle w:val="Tableheading"/>
      </w:pPr>
      <w:r>
        <w:t>Table 63.2 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F7A7120" w14:textId="77777777" w:rsidTr="00311BD7">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27A24C9" w14:textId="77777777" w:rsidR="009D0006" w:rsidRPr="00311BD7" w:rsidRDefault="009D0006" w:rsidP="00311BD7">
            <w:pPr>
              <w:pStyle w:val="Tableheader"/>
            </w:pPr>
            <w:r w:rsidRPr="00311BD7">
              <w:t>Psychological distress</w:t>
            </w:r>
          </w:p>
        </w:tc>
        <w:tc>
          <w:tcPr>
            <w:tcW w:w="1559" w:type="dxa"/>
            <w:hideMark/>
          </w:tcPr>
          <w:p w14:paraId="42E1EF0A" w14:textId="77777777" w:rsidR="009D0006" w:rsidRPr="00311BD7" w:rsidRDefault="009D0006" w:rsidP="00311BD7">
            <w:pPr>
              <w:pStyle w:val="Tableheader"/>
            </w:pPr>
            <w:r w:rsidRPr="00311BD7">
              <w:t>n</w:t>
            </w:r>
          </w:p>
        </w:tc>
        <w:tc>
          <w:tcPr>
            <w:tcW w:w="1559" w:type="dxa"/>
            <w:hideMark/>
          </w:tcPr>
          <w:p w14:paraId="709C1910" w14:textId="77777777" w:rsidR="009D0006" w:rsidRPr="00311BD7" w:rsidRDefault="009D0006" w:rsidP="00311BD7">
            <w:pPr>
              <w:pStyle w:val="Tableheader"/>
            </w:pPr>
            <w:r w:rsidRPr="00311BD7">
              <w:t>%</w:t>
            </w:r>
          </w:p>
        </w:tc>
      </w:tr>
      <w:tr w:rsidR="009D0006" w:rsidRPr="003F4D73" w14:paraId="05AE9C76" w14:textId="77777777" w:rsidTr="00311BD7">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752AB46" w14:textId="77777777" w:rsidR="009D0006" w:rsidRPr="003F4D73" w:rsidRDefault="009D0006" w:rsidP="00311BD7">
            <w:pPr>
              <w:pStyle w:val="Tabletext"/>
              <w:rPr>
                <w:color w:val="0D0D0D"/>
              </w:rPr>
            </w:pPr>
            <w:r>
              <w:rPr>
                <w:lang w:val="en-US"/>
              </w:rPr>
              <w:t>High or very high</w:t>
            </w:r>
          </w:p>
        </w:tc>
        <w:tc>
          <w:tcPr>
            <w:tcW w:w="1559" w:type="dxa"/>
          </w:tcPr>
          <w:p w14:paraId="09815D52" w14:textId="77777777" w:rsidR="009D0006" w:rsidRPr="003F4D73" w:rsidRDefault="009D0006" w:rsidP="00311BD7">
            <w:pPr>
              <w:pStyle w:val="Tabletext"/>
              <w:rPr>
                <w:color w:val="0D0D0D"/>
              </w:rPr>
            </w:pPr>
            <w:r>
              <w:t>985</w:t>
            </w:r>
          </w:p>
        </w:tc>
        <w:tc>
          <w:tcPr>
            <w:tcW w:w="1559" w:type="dxa"/>
          </w:tcPr>
          <w:p w14:paraId="42E5D1CE" w14:textId="77777777" w:rsidR="009D0006" w:rsidRPr="003F4D73" w:rsidRDefault="009D0006" w:rsidP="00311BD7">
            <w:pPr>
              <w:pStyle w:val="Tabletext"/>
              <w:rPr>
                <w:color w:val="0D0D0D"/>
              </w:rPr>
            </w:pPr>
            <w:r>
              <w:t>85.7</w:t>
            </w:r>
          </w:p>
        </w:tc>
      </w:tr>
    </w:tbl>
    <w:p w14:paraId="16B51F6E" w14:textId="77777777" w:rsidR="009D0006" w:rsidRDefault="009D0006" w:rsidP="002876D2">
      <w:pPr>
        <w:pStyle w:val="Tableheading"/>
      </w:pPr>
      <w:r>
        <w:t>Table 63.3 No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12A3CAD" w14:textId="77777777" w:rsidTr="00460BA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D837A28" w14:textId="77777777" w:rsidR="009D0006" w:rsidRPr="00460BA4" w:rsidRDefault="009D0006" w:rsidP="00460BA4">
            <w:pPr>
              <w:pStyle w:val="Tableheader"/>
            </w:pPr>
            <w:r w:rsidRPr="00460BA4">
              <w:t>Psychological distress</w:t>
            </w:r>
          </w:p>
        </w:tc>
        <w:tc>
          <w:tcPr>
            <w:tcW w:w="1559" w:type="dxa"/>
            <w:noWrap/>
            <w:hideMark/>
          </w:tcPr>
          <w:p w14:paraId="77F21709" w14:textId="77777777" w:rsidR="009D0006" w:rsidRPr="00460BA4" w:rsidRDefault="009D0006" w:rsidP="00460BA4">
            <w:pPr>
              <w:pStyle w:val="Tableheader"/>
            </w:pPr>
            <w:r w:rsidRPr="00460BA4">
              <w:t>n</w:t>
            </w:r>
          </w:p>
        </w:tc>
        <w:tc>
          <w:tcPr>
            <w:tcW w:w="1559" w:type="dxa"/>
            <w:noWrap/>
            <w:hideMark/>
          </w:tcPr>
          <w:p w14:paraId="1D6AB18D" w14:textId="77777777" w:rsidR="009D0006" w:rsidRPr="00460BA4" w:rsidRDefault="009D0006" w:rsidP="00460BA4">
            <w:pPr>
              <w:pStyle w:val="Tableheader"/>
            </w:pPr>
            <w:r w:rsidRPr="00460BA4">
              <w:t>%</w:t>
            </w:r>
          </w:p>
        </w:tc>
      </w:tr>
      <w:tr w:rsidR="009D0006" w:rsidRPr="003F4D73" w14:paraId="515A938B" w14:textId="77777777" w:rsidTr="00460BA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C667324" w14:textId="77777777" w:rsidR="009D0006" w:rsidRPr="003F4D73" w:rsidRDefault="009D0006" w:rsidP="00460BA4">
            <w:pPr>
              <w:pStyle w:val="Tabletext"/>
              <w:rPr>
                <w:color w:val="0D0D0D"/>
              </w:rPr>
            </w:pPr>
            <w:r>
              <w:rPr>
                <w:lang w:val="en-US"/>
              </w:rPr>
              <w:t>High or very high</w:t>
            </w:r>
          </w:p>
        </w:tc>
        <w:tc>
          <w:tcPr>
            <w:tcW w:w="1559" w:type="dxa"/>
            <w:noWrap/>
          </w:tcPr>
          <w:p w14:paraId="315C120F" w14:textId="77777777" w:rsidR="009D0006" w:rsidRPr="003F4D73" w:rsidRDefault="009D0006" w:rsidP="00460BA4">
            <w:pPr>
              <w:pStyle w:val="Tabletext"/>
              <w:rPr>
                <w:color w:val="0D0D0D"/>
              </w:rPr>
            </w:pPr>
            <w:r>
              <w:t>952</w:t>
            </w:r>
          </w:p>
        </w:tc>
        <w:tc>
          <w:tcPr>
            <w:tcW w:w="1559" w:type="dxa"/>
            <w:noWrap/>
          </w:tcPr>
          <w:p w14:paraId="342D852B" w14:textId="77777777" w:rsidR="009D0006" w:rsidRPr="003F4D73" w:rsidRDefault="009D0006" w:rsidP="00460BA4">
            <w:pPr>
              <w:pStyle w:val="Tabletext"/>
              <w:rPr>
                <w:color w:val="0D0D0D"/>
              </w:rPr>
            </w:pPr>
            <w:r>
              <w:t>73.0</w:t>
            </w:r>
          </w:p>
        </w:tc>
      </w:tr>
    </w:tbl>
    <w:p w14:paraId="1ADB1BEE" w14:textId="77777777" w:rsidR="009D0006" w:rsidRDefault="009D0006" w:rsidP="002876D2">
      <w:pPr>
        <w:pStyle w:val="Tableheading"/>
      </w:pPr>
      <w:r>
        <w:t>Table 63.4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FD05C61" w14:textId="77777777" w:rsidTr="00460BA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2CB4A88" w14:textId="77777777" w:rsidR="009D0006" w:rsidRPr="00460BA4" w:rsidRDefault="009D0006" w:rsidP="00460BA4">
            <w:pPr>
              <w:pStyle w:val="Tableheader"/>
            </w:pPr>
            <w:r w:rsidRPr="00460BA4">
              <w:t>Psychological distress</w:t>
            </w:r>
          </w:p>
        </w:tc>
        <w:tc>
          <w:tcPr>
            <w:tcW w:w="1559" w:type="dxa"/>
            <w:hideMark/>
          </w:tcPr>
          <w:p w14:paraId="2BF731C7" w14:textId="77777777" w:rsidR="009D0006" w:rsidRPr="00460BA4" w:rsidRDefault="009D0006" w:rsidP="00460BA4">
            <w:pPr>
              <w:pStyle w:val="Tableheader"/>
            </w:pPr>
            <w:r w:rsidRPr="00460BA4">
              <w:t>n</w:t>
            </w:r>
          </w:p>
        </w:tc>
        <w:tc>
          <w:tcPr>
            <w:tcW w:w="1559" w:type="dxa"/>
            <w:hideMark/>
          </w:tcPr>
          <w:p w14:paraId="453D6820" w14:textId="77777777" w:rsidR="009D0006" w:rsidRPr="00460BA4" w:rsidRDefault="009D0006" w:rsidP="00460BA4">
            <w:pPr>
              <w:pStyle w:val="Tableheader"/>
            </w:pPr>
            <w:r w:rsidRPr="00460BA4">
              <w:t>%</w:t>
            </w:r>
          </w:p>
        </w:tc>
      </w:tr>
      <w:tr w:rsidR="009D0006" w:rsidRPr="003F4D73" w14:paraId="60A8BDB8" w14:textId="77777777" w:rsidTr="00460BA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774DD63" w14:textId="77777777" w:rsidR="009D0006" w:rsidRPr="003F4D73" w:rsidRDefault="009D0006" w:rsidP="00460BA4">
            <w:pPr>
              <w:pStyle w:val="Tabletext"/>
              <w:rPr>
                <w:color w:val="0D0D0D"/>
              </w:rPr>
            </w:pPr>
            <w:r>
              <w:rPr>
                <w:lang w:val="en-US"/>
              </w:rPr>
              <w:t>High or very high</w:t>
            </w:r>
          </w:p>
        </w:tc>
        <w:tc>
          <w:tcPr>
            <w:tcW w:w="1559" w:type="dxa"/>
          </w:tcPr>
          <w:p w14:paraId="395E0B3D" w14:textId="77777777" w:rsidR="009D0006" w:rsidRPr="003F4D73" w:rsidRDefault="009D0006" w:rsidP="00460BA4">
            <w:pPr>
              <w:pStyle w:val="Tabletext"/>
              <w:rPr>
                <w:color w:val="0D0D0D"/>
              </w:rPr>
            </w:pPr>
            <w:r>
              <w:t>833</w:t>
            </w:r>
          </w:p>
        </w:tc>
        <w:tc>
          <w:tcPr>
            <w:tcW w:w="1559" w:type="dxa"/>
          </w:tcPr>
          <w:p w14:paraId="67E1E8B1" w14:textId="77777777" w:rsidR="009D0006" w:rsidRPr="003F4D73" w:rsidRDefault="009D0006" w:rsidP="00460BA4">
            <w:pPr>
              <w:pStyle w:val="Tabletext"/>
              <w:rPr>
                <w:color w:val="0D0D0D"/>
              </w:rPr>
            </w:pPr>
            <w:r>
              <w:t>86.1</w:t>
            </w:r>
          </w:p>
        </w:tc>
      </w:tr>
    </w:tbl>
    <w:p w14:paraId="44831981" w14:textId="77777777" w:rsidR="009D0006" w:rsidRDefault="009D0006" w:rsidP="002876D2">
      <w:pPr>
        <w:pStyle w:val="Tableheading"/>
      </w:pPr>
      <w:r>
        <w:t xml:space="preserve">Table 63.5 </w:t>
      </w:r>
      <w:r>
        <w:lastRenderedPageBreak/>
        <w:t>No 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47D5377" w14:textId="77777777" w:rsidTr="00460BA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47645A6" w14:textId="77777777" w:rsidR="009D0006" w:rsidRPr="00460BA4" w:rsidRDefault="009D0006" w:rsidP="00460BA4">
            <w:pPr>
              <w:pStyle w:val="Tableheader"/>
            </w:pPr>
            <w:r w:rsidRPr="00460BA4">
              <w:t>Psychological distress</w:t>
            </w:r>
          </w:p>
        </w:tc>
        <w:tc>
          <w:tcPr>
            <w:tcW w:w="1559" w:type="dxa"/>
            <w:noWrap/>
            <w:hideMark/>
          </w:tcPr>
          <w:p w14:paraId="785ADEB2" w14:textId="77777777" w:rsidR="009D0006" w:rsidRPr="00460BA4" w:rsidRDefault="009D0006" w:rsidP="00460BA4">
            <w:pPr>
              <w:pStyle w:val="Tableheader"/>
            </w:pPr>
            <w:r w:rsidRPr="00460BA4">
              <w:t>n</w:t>
            </w:r>
          </w:p>
        </w:tc>
        <w:tc>
          <w:tcPr>
            <w:tcW w:w="1559" w:type="dxa"/>
            <w:noWrap/>
            <w:hideMark/>
          </w:tcPr>
          <w:p w14:paraId="511E5A5C" w14:textId="77777777" w:rsidR="009D0006" w:rsidRPr="00460BA4" w:rsidRDefault="009D0006" w:rsidP="00460BA4">
            <w:pPr>
              <w:pStyle w:val="Tableheader"/>
            </w:pPr>
            <w:r w:rsidRPr="00460BA4">
              <w:t>%</w:t>
            </w:r>
          </w:p>
        </w:tc>
      </w:tr>
      <w:tr w:rsidR="009D0006" w:rsidRPr="003F4D73" w14:paraId="3AC0AE8B" w14:textId="77777777" w:rsidTr="00460BA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6F7C01E" w14:textId="77777777" w:rsidR="009D0006" w:rsidRPr="003F4D73" w:rsidRDefault="009D0006" w:rsidP="00460BA4">
            <w:pPr>
              <w:pStyle w:val="Tabletext"/>
              <w:rPr>
                <w:color w:val="0D0D0D"/>
              </w:rPr>
            </w:pPr>
            <w:r>
              <w:rPr>
                <w:lang w:val="en-US"/>
              </w:rPr>
              <w:t>High or very high</w:t>
            </w:r>
          </w:p>
        </w:tc>
        <w:tc>
          <w:tcPr>
            <w:tcW w:w="1559" w:type="dxa"/>
            <w:noWrap/>
          </w:tcPr>
          <w:p w14:paraId="0992081B" w14:textId="77777777" w:rsidR="009D0006" w:rsidRPr="003F4D73" w:rsidRDefault="009D0006" w:rsidP="00460BA4">
            <w:pPr>
              <w:pStyle w:val="Tabletext"/>
              <w:rPr>
                <w:color w:val="0D0D0D"/>
              </w:rPr>
            </w:pPr>
            <w:r>
              <w:t>1167</w:t>
            </w:r>
          </w:p>
        </w:tc>
        <w:tc>
          <w:tcPr>
            <w:tcW w:w="1559" w:type="dxa"/>
            <w:noWrap/>
          </w:tcPr>
          <w:p w14:paraId="424DB90B" w14:textId="77777777" w:rsidR="009D0006" w:rsidRPr="003F4D73" w:rsidRDefault="009D0006" w:rsidP="00460BA4">
            <w:pPr>
              <w:pStyle w:val="Tabletext"/>
              <w:rPr>
                <w:color w:val="0D0D0D"/>
              </w:rPr>
            </w:pPr>
            <w:r>
              <w:t>74.4</w:t>
            </w:r>
          </w:p>
        </w:tc>
      </w:tr>
    </w:tbl>
    <w:p w14:paraId="0CF4D248" w14:textId="77777777" w:rsidR="009D0006" w:rsidRDefault="009D0006" w:rsidP="002876D2">
      <w:pPr>
        <w:pStyle w:val="Tableheading"/>
      </w:pPr>
      <w:r>
        <w:t>Table 63.6 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47692FB" w14:textId="77777777" w:rsidTr="00460BA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733C815" w14:textId="77777777" w:rsidR="009D0006" w:rsidRPr="00460BA4" w:rsidRDefault="009D0006" w:rsidP="00460BA4">
            <w:pPr>
              <w:pStyle w:val="Tableheader"/>
            </w:pPr>
            <w:r w:rsidRPr="00460BA4">
              <w:t>Psychological distress</w:t>
            </w:r>
          </w:p>
        </w:tc>
        <w:tc>
          <w:tcPr>
            <w:tcW w:w="1559" w:type="dxa"/>
            <w:hideMark/>
          </w:tcPr>
          <w:p w14:paraId="088FA2C0" w14:textId="77777777" w:rsidR="009D0006" w:rsidRPr="00460BA4" w:rsidRDefault="009D0006" w:rsidP="00460BA4">
            <w:pPr>
              <w:pStyle w:val="Tableheader"/>
            </w:pPr>
            <w:r w:rsidRPr="00460BA4">
              <w:t>n</w:t>
            </w:r>
          </w:p>
        </w:tc>
        <w:tc>
          <w:tcPr>
            <w:tcW w:w="1559" w:type="dxa"/>
            <w:hideMark/>
          </w:tcPr>
          <w:p w14:paraId="0963606B" w14:textId="77777777" w:rsidR="009D0006" w:rsidRPr="00460BA4" w:rsidRDefault="009D0006" w:rsidP="00460BA4">
            <w:pPr>
              <w:pStyle w:val="Tableheader"/>
            </w:pPr>
            <w:r w:rsidRPr="00460BA4">
              <w:t>%</w:t>
            </w:r>
          </w:p>
        </w:tc>
      </w:tr>
      <w:tr w:rsidR="009D0006" w:rsidRPr="00460BA4" w14:paraId="1128993D" w14:textId="77777777" w:rsidTr="00460BA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3F1842C" w14:textId="77777777" w:rsidR="009D0006" w:rsidRPr="00460BA4" w:rsidRDefault="009D0006" w:rsidP="00460BA4">
            <w:pPr>
              <w:pStyle w:val="Tabletext"/>
            </w:pPr>
            <w:r w:rsidRPr="00460BA4">
              <w:t>High or very high</w:t>
            </w:r>
          </w:p>
        </w:tc>
        <w:tc>
          <w:tcPr>
            <w:tcW w:w="1559" w:type="dxa"/>
          </w:tcPr>
          <w:p w14:paraId="33684F6C" w14:textId="77777777" w:rsidR="009D0006" w:rsidRPr="00460BA4" w:rsidRDefault="009D0006" w:rsidP="00460BA4">
            <w:pPr>
              <w:pStyle w:val="Tabletext"/>
            </w:pPr>
            <w:r w:rsidRPr="00460BA4">
              <w:t>606</w:t>
            </w:r>
          </w:p>
        </w:tc>
        <w:tc>
          <w:tcPr>
            <w:tcW w:w="1559" w:type="dxa"/>
          </w:tcPr>
          <w:p w14:paraId="43BBA7FE" w14:textId="77777777" w:rsidR="009D0006" w:rsidRPr="00460BA4" w:rsidRDefault="009D0006" w:rsidP="00460BA4">
            <w:pPr>
              <w:pStyle w:val="Tabletext"/>
            </w:pPr>
            <w:r w:rsidRPr="00460BA4">
              <w:t>87.2</w:t>
            </w:r>
          </w:p>
        </w:tc>
      </w:tr>
    </w:tbl>
    <w:p w14:paraId="478BC9A1" w14:textId="77777777" w:rsidR="009D0006" w:rsidRPr="00AF4A20" w:rsidRDefault="009D0006" w:rsidP="002876D2">
      <w:pPr>
        <w:spacing w:before="360"/>
      </w:pPr>
      <w:r>
        <w:t>As shown in Tables 63.1-63.6, a</w:t>
      </w:r>
      <w:r w:rsidRPr="00AF4A20">
        <w:t xml:space="preserve"> greater proportion of p</w:t>
      </w:r>
      <w:r w:rsidRPr="008F4666">
        <w:t xml:space="preserve">articipants with disability in </w:t>
      </w:r>
      <w:r w:rsidRPr="00C47CBF">
        <w:rPr>
          <w:i/>
          <w:iCs/>
        </w:rPr>
        <w:t>Private Lives 3</w:t>
      </w:r>
      <w:r w:rsidRPr="00AF4A20">
        <w:t xml:space="preserve"> who had experienced harassment or assau</w:t>
      </w:r>
      <w:r w:rsidRPr="008F4666">
        <w:t xml:space="preserve">lt in the past 12 months reported high or very high psychological distress compared to those who had not experienced harassment or assault in the past 12 months. </w:t>
      </w:r>
      <w:r>
        <w:t>A higher proportion of p</w:t>
      </w:r>
      <w:r w:rsidRPr="008F4666">
        <w:t xml:space="preserve">articipants who had experienced social exclusion in the past 12 months </w:t>
      </w:r>
      <w:r>
        <w:t xml:space="preserve">were experiencing </w:t>
      </w:r>
      <w:r w:rsidRPr="008F4666">
        <w:t xml:space="preserve">high or very high psychological distress (85.7%; n = 985) compared to participants who had not experienced </w:t>
      </w:r>
      <w:r>
        <w:t xml:space="preserve">social exclusion </w:t>
      </w:r>
      <w:r w:rsidRPr="008F4666">
        <w:t xml:space="preserve">(70.8%; n = 805). </w:t>
      </w:r>
      <w:r>
        <w:t>A higher proportion of p</w:t>
      </w:r>
      <w:r w:rsidRPr="008F4666">
        <w:t>articipants who had experienced verbal abuse including hateful or obscene phone calls reported high or very high psychological distress (86.1%; n = 833) compared to those who had not (73.0%; n = 952)</w:t>
      </w:r>
      <w:r>
        <w:t xml:space="preserve">. Finally, a higher proportion of </w:t>
      </w:r>
      <w:r w:rsidRPr="008F4666">
        <w:t>participants who had experienced harassment such as being spat at and offensive gestures reported high or very high psychological distress (87.2%; n = 606) compared to those who had not (74.4%; n = 1167).</w:t>
      </w:r>
    </w:p>
    <w:p w14:paraId="4D22FBAB" w14:textId="6041D136" w:rsidR="009D0006" w:rsidRPr="00E45EEB" w:rsidRDefault="009D0006" w:rsidP="00153892">
      <w:pPr>
        <w:pStyle w:val="Heading2Numbered"/>
      </w:pPr>
      <w:bookmarkStart w:id="657" w:name="_Toc115968590"/>
      <w:bookmarkStart w:id="658" w:name="_Toc119662445"/>
      <w:r w:rsidRPr="00E45EEB">
        <w:t>Suicidal ideation</w:t>
      </w:r>
      <w:r>
        <w:t xml:space="preserve"> </w:t>
      </w:r>
      <w:r w:rsidRPr="00E45EEB">
        <w:t>and attempts</w:t>
      </w:r>
      <w:bookmarkEnd w:id="657"/>
      <w:bookmarkEnd w:id="658"/>
    </w:p>
    <w:p w14:paraId="521DACB5" w14:textId="77777777" w:rsidR="009D0006" w:rsidRPr="009761D5" w:rsidRDefault="009D0006" w:rsidP="009D0006">
      <w:r w:rsidRPr="009761D5">
        <w:t>Suicide is the leading cause of death among people aged between 15-24 years in Australia</w:t>
      </w:r>
      <w:r>
        <w:t>.</w:t>
      </w:r>
      <w:r w:rsidRPr="009761D5">
        <w:fldChar w:fldCharType="begin"/>
      </w:r>
      <w:r>
        <w:instrText xml:space="preserve"> ADDIN ZOTERO_ITEM CSL_CITATION {"citationID":"aqkG9XHi","properties":{"formattedCitation":"(63)","plainCitation":"(63)","noteIndex":0},"citationItems":[{"id":"hc6yy1rM/EqhbGBDo","uris":["http://zotero.org/users/4948307/items/XJG78V33"],"itemData":{"id":50,"type":"webpage","abstract":"Deaths data are@a vital measure of a population@s health, and provides information on patterns of diseases that cause death, by population groups and over time. Examining death patterns can help...","container-title":"Australian Institute of Health and Welfare","language":"en-AU","title":"Deaths in Australia, Leading causes of death","URL":"https://www.aihw.gov.au/reports/life-expectancy-death/deaths-in-australia/contents/leading-causes-of-death","author":[{"family":"Australian Institute of Health and Welfare","given":""}],"accessed":{"date-parts":[["2020",10,13]]},"issued":{"date-parts":[["2020"]]}}}],"schema":"https://github.com/citation-style-language/schema/raw/master/csl-citation.json"} </w:instrText>
      </w:r>
      <w:r w:rsidRPr="009761D5">
        <w:fldChar w:fldCharType="separate"/>
      </w:r>
      <w:r>
        <w:rPr>
          <w:lang w:val="en-GB"/>
        </w:rPr>
        <w:t>(63)</w:t>
      </w:r>
      <w:r w:rsidRPr="009761D5">
        <w:fldChar w:fldCharType="end"/>
      </w:r>
    </w:p>
    <w:p w14:paraId="57777092" w14:textId="77777777" w:rsidR="009D0006" w:rsidRPr="009761D5" w:rsidRDefault="009D0006" w:rsidP="009D0006">
      <w:bookmarkStart w:id="659" w:name="_Hlk52289758"/>
      <w:r w:rsidRPr="009761D5">
        <w:rPr>
          <w:i/>
          <w:iCs/>
        </w:rPr>
        <w:t>Writing Themselves In 4</w:t>
      </w:r>
      <w:r w:rsidRPr="009761D5">
        <w:t xml:space="preserve"> </w:t>
      </w:r>
      <w:r>
        <w:t xml:space="preserve">and </w:t>
      </w:r>
      <w:r w:rsidRPr="00C47CBF">
        <w:rPr>
          <w:i/>
          <w:iCs/>
        </w:rPr>
        <w:t>Private Lives 3</w:t>
      </w:r>
      <w:r>
        <w:t xml:space="preserve"> </w:t>
      </w:r>
      <w:r w:rsidRPr="009761D5">
        <w:t xml:space="preserve">asked participants about </w:t>
      </w:r>
      <w:r w:rsidRPr="00C47CBF">
        <w:t>suicidal ideation</w:t>
      </w:r>
      <w:r w:rsidRPr="009761D5">
        <w:rPr>
          <w:b/>
          <w:bCs/>
        </w:rPr>
        <w:t xml:space="preserve"> </w:t>
      </w:r>
      <w:r w:rsidRPr="00C47CBF">
        <w:t>(</w:t>
      </w:r>
      <w:r w:rsidRPr="009761D5">
        <w:t xml:space="preserve">defined as ‘experiences of thoughts about suicide, wanting to die or about ending your life’) </w:t>
      </w:r>
      <w:r>
        <w:t xml:space="preserve">and </w:t>
      </w:r>
      <w:r w:rsidRPr="00C47CBF">
        <w:t>suicide attempts</w:t>
      </w:r>
      <w:r w:rsidRPr="009761D5">
        <w:rPr>
          <w:b/>
          <w:bCs/>
        </w:rPr>
        <w:t xml:space="preserve"> </w:t>
      </w:r>
      <w:r w:rsidRPr="00C47CBF">
        <w:t>(</w:t>
      </w:r>
      <w:r w:rsidRPr="009761D5">
        <w:t>defined as having ‘attempted suicide or to end your life)</w:t>
      </w:r>
      <w:r>
        <w:t>.</w:t>
      </w:r>
    </w:p>
    <w:p w14:paraId="1C26828F" w14:textId="77777777" w:rsidR="009D0006" w:rsidRPr="009761D5" w:rsidRDefault="009D0006" w:rsidP="009D0006">
      <w:pPr>
        <w:rPr>
          <w:bCs/>
          <w:lang w:val="en-US"/>
        </w:rPr>
      </w:pPr>
      <w:r w:rsidRPr="009761D5">
        <w:t>Previous research has found that asking people about suicide does not increase the risk of suicide</w:t>
      </w:r>
      <w:r>
        <w:t>.</w:t>
      </w:r>
      <w:r w:rsidRPr="009761D5">
        <w:fldChar w:fldCharType="begin"/>
      </w:r>
      <w:r>
        <w:instrText xml:space="preserve"> ADDIN ZOTERO_ITEM CSL_CITATION {"citationID":"lXOJqGrq","properties":{"formattedCitation":"(64)","plainCitation":"(64)","noteIndex":0},"citationItems":[{"id":"hc6yy1rM/tAlHMTbu","uris":["http://zotero.org/users/4948307/items/I9I7NN85"],"itemData":{"id":620,"type":"article-journal","abstract":"Both researchers and oversight committees share concerns about patient safety in the study-related assessment of suicidality. However, concern about assessing suicidal thoughts can be a barrier to the development of empirical evidence that informs research on how to safely conduct these assessments. A question has been raised if asking about suicidal thoughts can result in iatrogenic increases of such thoughts, especially among at-risk samples. The current study repeatedly tested suicidal ideation at 6-month intervals for up to 2-years. Suicidal ideation was measured with the Suicidal Ideation Questionnaire Junior, and administered to adolescents who had previously received inpatient psychiatric care. Change in suicidal ideation was tested using several analytic techniques, each of which pointed to a significant decline in suicidal ideation in the context of repeated assessment. This and previous study outcomes suggest that asking an at-risk population about suicidal ideation is not associated with subsequent increases in suicidal ideation.","container-title":"Suicide &amp; life-threatening behavior","DOI":"10.1111/j.1943-278X.2012.0095.x","ISSN":"0363-0234","issue":"3","journalAbbreviation":"Suicide Life Threat Behav","note":"PMID: 22548324\nPMCID: PMC3597074","page":"341-351","source":"PubMed Central","title":"What’s the Harm in Asking about Suicidal Ideation?","volume":"42","author":[{"family":"Mathias","given":"Charles W."},{"family":"Furr","given":"R. Michael"},{"family":"Sheftall","given":"Arielle H."},{"family":"Hill-Kapturczak","given":"Nathalie"},{"family":"Crum","given":"Paige"},{"family":"Dougherty","given":"Donald M."}],"issued":{"date-parts":[["2012",6]]}}}],"schema":"https://github.com/citation-style-language/schema/raw/master/csl-citation.json"} </w:instrText>
      </w:r>
      <w:r w:rsidRPr="009761D5">
        <w:fldChar w:fldCharType="separate"/>
      </w:r>
      <w:r>
        <w:rPr>
          <w:lang w:val="en-GB"/>
        </w:rPr>
        <w:t>(64)</w:t>
      </w:r>
      <w:r w:rsidRPr="009761D5">
        <w:fldChar w:fldCharType="end"/>
      </w:r>
      <w:r w:rsidRPr="009761D5">
        <w:t xml:space="preserve"> Nonetheless, as a precaution, online and telephone resources were provided for Q</w:t>
      </w:r>
      <w:r>
        <w:t>Life</w:t>
      </w:r>
      <w:r w:rsidRPr="009761D5">
        <w:t xml:space="preserve"> and K</w:t>
      </w:r>
      <w:r>
        <w:t xml:space="preserve">ids Helpline </w:t>
      </w:r>
      <w:r w:rsidRPr="009761D5">
        <w:t>prior to these questions</w:t>
      </w:r>
      <w:r>
        <w:t xml:space="preserve"> in both of the surveys</w:t>
      </w:r>
      <w:r w:rsidRPr="009761D5">
        <w:t xml:space="preserve">, as well as the end of </w:t>
      </w:r>
      <w:r>
        <w:t>each</w:t>
      </w:r>
      <w:r w:rsidRPr="009761D5">
        <w:t xml:space="preserve"> survey. Prior to the questions being asked, participants were given the option to choose ‘prefer not to answer these questions’ with the bold text ‘</w:t>
      </w:r>
      <w:r w:rsidRPr="009761D5">
        <w:rPr>
          <w:bCs/>
          <w:lang w:val="en-US"/>
        </w:rPr>
        <w:t>If you feel uncomf</w:t>
      </w:r>
      <w:r w:rsidRPr="009761D5">
        <w:rPr>
          <w:bCs/>
          <w:lang w:val="en-US"/>
        </w:rPr>
        <w:lastRenderedPageBreak/>
        <w:t>ortable answering these questions, please skip them'.</w:t>
      </w:r>
      <w:r w:rsidRPr="009761D5">
        <w:rPr>
          <w:lang w:val="en-US"/>
        </w:rPr>
        <w:t xml:space="preserve"> </w:t>
      </w:r>
      <w:r w:rsidRPr="009761D5">
        <w:rPr>
          <w:bCs/>
          <w:lang w:val="en-US"/>
        </w:rPr>
        <w:t>Skipping this question does not make your other responses any less valuable’</w:t>
      </w:r>
      <w:r>
        <w:rPr>
          <w:bCs/>
          <w:lang w:val="en-US"/>
        </w:rPr>
        <w:t>.</w:t>
      </w:r>
      <w:r w:rsidRPr="009761D5">
        <w:rPr>
          <w:bCs/>
          <w:lang w:val="en-US"/>
        </w:rPr>
        <w:t xml:space="preserve"> Participants were also given the option of ‘prefer not to answer’ for each question regarding suicidal ideation, suicide plans, suicide attempts, self-harm ideation and self-harm attempts.</w:t>
      </w:r>
    </w:p>
    <w:p w14:paraId="0C6B628C" w14:textId="5803EF50" w:rsidR="009D0006" w:rsidRPr="001559D6" w:rsidRDefault="009D0006" w:rsidP="00153892">
      <w:pPr>
        <w:pStyle w:val="Heading3Numbered"/>
      </w:pPr>
      <w:bookmarkStart w:id="660" w:name="_Toc115968591"/>
      <w:bookmarkStart w:id="661" w:name="_Toc45633543"/>
      <w:bookmarkEnd w:id="659"/>
      <w:r w:rsidRPr="006D6B0C">
        <w:t>Suicidal ideation and suicide attempt among participants with disability – young people aged 14-21 years</w:t>
      </w:r>
      <w:bookmarkEnd w:id="660"/>
    </w:p>
    <w:p w14:paraId="0EB049FD" w14:textId="77777777" w:rsidR="009D0006" w:rsidRPr="00E45EEB" w:rsidRDefault="009D0006" w:rsidP="002876D2">
      <w:r>
        <w:rPr>
          <w:lang w:val="en-US"/>
        </w:rPr>
        <w:t>Tables</w:t>
      </w:r>
      <w:r w:rsidRPr="009761D5">
        <w:rPr>
          <w:lang w:val="en-US"/>
        </w:rPr>
        <w:t xml:space="preserve"> </w:t>
      </w:r>
      <w:r>
        <w:rPr>
          <w:lang w:val="en-US"/>
        </w:rPr>
        <w:t>64.1-64.2</w:t>
      </w:r>
      <w:r w:rsidRPr="009761D5">
        <w:rPr>
          <w:lang w:val="en-US"/>
        </w:rPr>
        <w:t xml:space="preserve"> displays the proportion</w:t>
      </w:r>
      <w:r>
        <w:rPr>
          <w:lang w:val="en-US"/>
        </w:rPr>
        <w:t>s</w:t>
      </w:r>
      <w:r w:rsidRPr="009761D5">
        <w:rPr>
          <w:lang w:val="en-US"/>
        </w:rPr>
        <w:t xml:space="preserve"> of </w:t>
      </w:r>
      <w:r w:rsidRPr="009761D5">
        <w:rPr>
          <w:i/>
          <w:iCs/>
        </w:rPr>
        <w:t>Writing Themselves In 4</w:t>
      </w:r>
      <w:r w:rsidRPr="009761D5">
        <w:t xml:space="preserve"> </w:t>
      </w:r>
      <w:r w:rsidRPr="009761D5">
        <w:rPr>
          <w:lang w:val="en-US"/>
        </w:rPr>
        <w:t xml:space="preserve">participants </w:t>
      </w:r>
      <w:r>
        <w:rPr>
          <w:lang w:val="en-US"/>
        </w:rPr>
        <w:t xml:space="preserve">with disability </w:t>
      </w:r>
      <w:r w:rsidRPr="009761D5">
        <w:rPr>
          <w:lang w:val="en-US"/>
        </w:rPr>
        <w:t>who responded to questions regarding suicid</w:t>
      </w:r>
      <w:r>
        <w:rPr>
          <w:lang w:val="en-US"/>
        </w:rPr>
        <w:t>al</w:t>
      </w:r>
      <w:r w:rsidRPr="009761D5">
        <w:rPr>
          <w:lang w:val="en-US"/>
        </w:rPr>
        <w:t xml:space="preserve"> ideation</w:t>
      </w:r>
      <w:r>
        <w:rPr>
          <w:lang w:val="en-US"/>
        </w:rPr>
        <w:t xml:space="preserve"> </w:t>
      </w:r>
      <w:r w:rsidRPr="009761D5">
        <w:rPr>
          <w:lang w:val="en-US"/>
        </w:rPr>
        <w:t xml:space="preserve">or </w:t>
      </w:r>
      <w:r>
        <w:rPr>
          <w:lang w:val="en-US"/>
        </w:rPr>
        <w:t xml:space="preserve">suicide </w:t>
      </w:r>
      <w:r w:rsidRPr="009761D5">
        <w:rPr>
          <w:lang w:val="en-US"/>
        </w:rPr>
        <w:t xml:space="preserve">attempts. </w:t>
      </w:r>
    </w:p>
    <w:p w14:paraId="1C131A12" w14:textId="77777777" w:rsidR="009D0006" w:rsidRDefault="009D0006" w:rsidP="002876D2">
      <w:pPr>
        <w:pStyle w:val="Tableheading"/>
      </w:pPr>
      <w:bookmarkStart w:id="662" w:name="_Toc117062782"/>
      <w:bookmarkStart w:id="663" w:name="_Toc119651467"/>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64</w:t>
      </w:r>
      <w:r w:rsidRPr="00985828">
        <w:rPr>
          <w:bCs/>
          <w:sz w:val="18"/>
          <w:szCs w:val="18"/>
        </w:rPr>
        <w:fldChar w:fldCharType="end"/>
      </w:r>
      <w:r>
        <w:t xml:space="preserve">.1-64.2: </w:t>
      </w:r>
      <w:r w:rsidRPr="00CA5F45">
        <w:t xml:space="preserve">Proportion of </w:t>
      </w:r>
      <w:r>
        <w:t>young people with disability</w:t>
      </w:r>
      <w:r w:rsidRPr="00CA5F45">
        <w:t xml:space="preserve"> </w:t>
      </w:r>
      <w:r>
        <w:t>aged 14-21 years experiencing suicidal ideation</w:t>
      </w:r>
      <w:r w:rsidRPr="00CA5F45">
        <w:t xml:space="preserve"> </w:t>
      </w:r>
      <w:r>
        <w:t>or suicide attempt in the past 12 months or ever</w:t>
      </w:r>
      <w:bookmarkEnd w:id="662"/>
      <w:bookmarkEnd w:id="663"/>
    </w:p>
    <w:p w14:paraId="23DBEFFE" w14:textId="77777777" w:rsidR="009D0006" w:rsidRPr="00C544D8" w:rsidRDefault="009D0006" w:rsidP="00C544D8">
      <w:pPr>
        <w:pStyle w:val="Tableheading"/>
      </w:pPr>
      <w:r w:rsidRPr="00C544D8">
        <w:t xml:space="preserve">Table 64.1 Suicidal </w:t>
      </w:r>
      <w:r w:rsidRPr="00C544D8">
        <w:rPr>
          <w:rFonts w:eastAsia="Calibri" w:cs="Calibri"/>
          <w:color w:val="auto"/>
          <w:sz w:val="22"/>
          <w:szCs w:val="20"/>
        </w:rPr>
        <w:t>ideation</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6467C0C" w14:textId="77777777" w:rsidTr="00EE002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792B9BE" w14:textId="77777777" w:rsidR="009D0006" w:rsidRPr="003F4D73" w:rsidRDefault="009D0006" w:rsidP="00EE0020">
            <w:pPr>
              <w:pStyle w:val="Tableheader"/>
            </w:pPr>
          </w:p>
        </w:tc>
        <w:tc>
          <w:tcPr>
            <w:tcW w:w="1559" w:type="dxa"/>
            <w:hideMark/>
          </w:tcPr>
          <w:p w14:paraId="62EC7906" w14:textId="77777777" w:rsidR="009D0006" w:rsidRPr="003F4D73" w:rsidRDefault="009D0006" w:rsidP="00EE0020">
            <w:pPr>
              <w:pStyle w:val="Tableheader"/>
            </w:pPr>
            <w:r>
              <w:t>n</w:t>
            </w:r>
          </w:p>
        </w:tc>
        <w:tc>
          <w:tcPr>
            <w:tcW w:w="1559" w:type="dxa"/>
            <w:hideMark/>
          </w:tcPr>
          <w:p w14:paraId="24EBD491" w14:textId="77777777" w:rsidR="009D0006" w:rsidRPr="003F4D73" w:rsidRDefault="009D0006" w:rsidP="00EE0020">
            <w:pPr>
              <w:pStyle w:val="Tableheader"/>
            </w:pPr>
            <w:r w:rsidRPr="003F4D73">
              <w:t>%</w:t>
            </w:r>
          </w:p>
        </w:tc>
      </w:tr>
      <w:tr w:rsidR="009D0006" w:rsidRPr="003F4D73" w14:paraId="03143E40"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91182C5" w14:textId="77777777" w:rsidR="009D0006" w:rsidRPr="003F4D73" w:rsidRDefault="009D0006" w:rsidP="00EE0020">
            <w:pPr>
              <w:pStyle w:val="Tabletext"/>
            </w:pPr>
            <w:r>
              <w:t>Past 12 months</w:t>
            </w:r>
          </w:p>
        </w:tc>
        <w:tc>
          <w:tcPr>
            <w:tcW w:w="1559" w:type="dxa"/>
          </w:tcPr>
          <w:p w14:paraId="0FD29211" w14:textId="77777777" w:rsidR="009D0006" w:rsidRPr="003F4D73" w:rsidRDefault="009D0006" w:rsidP="00EE0020">
            <w:pPr>
              <w:pStyle w:val="Tabletext"/>
            </w:pPr>
            <w:r>
              <w:rPr>
                <w:color w:val="000000"/>
              </w:rPr>
              <w:t>1753</w:t>
            </w:r>
          </w:p>
        </w:tc>
        <w:tc>
          <w:tcPr>
            <w:tcW w:w="1559" w:type="dxa"/>
          </w:tcPr>
          <w:p w14:paraId="1C3A4921" w14:textId="77777777" w:rsidR="009D0006" w:rsidRPr="003F4D73" w:rsidRDefault="009D0006" w:rsidP="00EE0020">
            <w:pPr>
              <w:pStyle w:val="Tabletext"/>
            </w:pPr>
            <w:r>
              <w:rPr>
                <w:color w:val="000000"/>
              </w:rPr>
              <w:t>70.5</w:t>
            </w:r>
          </w:p>
        </w:tc>
      </w:tr>
      <w:tr w:rsidR="009D0006" w:rsidRPr="003F4D73" w14:paraId="4C916C90" w14:textId="77777777" w:rsidTr="00EE002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AA4C6C3" w14:textId="77777777" w:rsidR="009D0006" w:rsidRPr="003F4D73" w:rsidRDefault="009D0006" w:rsidP="00EE0020">
            <w:pPr>
              <w:pStyle w:val="Tabletext"/>
            </w:pPr>
            <w:r>
              <w:rPr>
                <w:color w:val="000000"/>
                <w:lang w:val="en-US"/>
              </w:rPr>
              <w:t>Ever</w:t>
            </w:r>
          </w:p>
        </w:tc>
        <w:tc>
          <w:tcPr>
            <w:tcW w:w="1559" w:type="dxa"/>
          </w:tcPr>
          <w:p w14:paraId="5E69F271" w14:textId="77777777" w:rsidR="009D0006" w:rsidRPr="003F4D73" w:rsidRDefault="009D0006" w:rsidP="00EE0020">
            <w:pPr>
              <w:pStyle w:val="Tabletext"/>
            </w:pPr>
            <w:r>
              <w:rPr>
                <w:color w:val="000000"/>
              </w:rPr>
              <w:t>2222</w:t>
            </w:r>
          </w:p>
        </w:tc>
        <w:tc>
          <w:tcPr>
            <w:tcW w:w="1559" w:type="dxa"/>
          </w:tcPr>
          <w:p w14:paraId="2186D476" w14:textId="77777777" w:rsidR="009D0006" w:rsidRPr="003F4D73" w:rsidRDefault="009D0006" w:rsidP="00EE0020">
            <w:pPr>
              <w:pStyle w:val="Tabletext"/>
            </w:pPr>
            <w:r>
              <w:rPr>
                <w:color w:val="000000"/>
              </w:rPr>
              <w:t>89.3</w:t>
            </w:r>
          </w:p>
        </w:tc>
      </w:tr>
      <w:tr w:rsidR="009D0006" w:rsidRPr="003F4D73" w14:paraId="005C2F2D"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1FEA4E9" w14:textId="77777777" w:rsidR="009D0006" w:rsidRDefault="009D0006" w:rsidP="00EE0020">
            <w:pPr>
              <w:pStyle w:val="Tabletext"/>
              <w:rPr>
                <w:color w:val="000000"/>
              </w:rPr>
            </w:pPr>
            <w:r>
              <w:rPr>
                <w:color w:val="000000"/>
              </w:rPr>
              <w:t>Prefer not to say</w:t>
            </w:r>
          </w:p>
        </w:tc>
        <w:tc>
          <w:tcPr>
            <w:tcW w:w="1559" w:type="dxa"/>
          </w:tcPr>
          <w:p w14:paraId="210934E5" w14:textId="77777777" w:rsidR="009D0006" w:rsidRDefault="009D0006" w:rsidP="00EE0020">
            <w:pPr>
              <w:pStyle w:val="Tabletext"/>
              <w:rPr>
                <w:color w:val="000000"/>
              </w:rPr>
            </w:pPr>
            <w:r>
              <w:rPr>
                <w:color w:val="000000"/>
              </w:rPr>
              <w:t>93</w:t>
            </w:r>
          </w:p>
        </w:tc>
        <w:tc>
          <w:tcPr>
            <w:tcW w:w="1559" w:type="dxa"/>
          </w:tcPr>
          <w:p w14:paraId="793EFC26" w14:textId="77777777" w:rsidR="009D0006" w:rsidRDefault="009D0006" w:rsidP="00EE0020">
            <w:pPr>
              <w:pStyle w:val="Tabletext"/>
              <w:rPr>
                <w:color w:val="000000"/>
              </w:rPr>
            </w:pPr>
            <w:r>
              <w:rPr>
                <w:color w:val="000000"/>
              </w:rPr>
              <w:t>3.8</w:t>
            </w:r>
          </w:p>
        </w:tc>
      </w:tr>
    </w:tbl>
    <w:p w14:paraId="6B8A7E14" w14:textId="77777777" w:rsidR="009D0006" w:rsidRDefault="009D0006" w:rsidP="002876D2">
      <w:pPr>
        <w:pStyle w:val="Tableheading"/>
      </w:pPr>
      <w:r>
        <w:t>Table 64.2 Suicide attempt</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3FF57E8" w14:textId="77777777" w:rsidTr="00EE002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B13AFF7" w14:textId="77777777" w:rsidR="009D0006" w:rsidRPr="003F4D73" w:rsidRDefault="009D0006" w:rsidP="00EE0020">
            <w:pPr>
              <w:pStyle w:val="Tableheader"/>
            </w:pPr>
          </w:p>
        </w:tc>
        <w:tc>
          <w:tcPr>
            <w:tcW w:w="1559" w:type="dxa"/>
            <w:hideMark/>
          </w:tcPr>
          <w:p w14:paraId="7D5271C4" w14:textId="77777777" w:rsidR="009D0006" w:rsidRPr="003F4D73" w:rsidRDefault="009D0006" w:rsidP="00EE0020">
            <w:pPr>
              <w:pStyle w:val="Tableheader"/>
            </w:pPr>
            <w:r>
              <w:t>n</w:t>
            </w:r>
          </w:p>
        </w:tc>
        <w:tc>
          <w:tcPr>
            <w:tcW w:w="1559" w:type="dxa"/>
            <w:hideMark/>
          </w:tcPr>
          <w:p w14:paraId="5EE360A4" w14:textId="77777777" w:rsidR="009D0006" w:rsidRPr="003F4D73" w:rsidRDefault="009D0006" w:rsidP="00EE0020">
            <w:pPr>
              <w:pStyle w:val="Tableheader"/>
            </w:pPr>
            <w:r w:rsidRPr="003F4D73">
              <w:t>%</w:t>
            </w:r>
          </w:p>
        </w:tc>
      </w:tr>
      <w:tr w:rsidR="009D0006" w:rsidRPr="003F4D73" w14:paraId="76BE57B6"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5DC4171" w14:textId="77777777" w:rsidR="009D0006" w:rsidRPr="003F4D73" w:rsidRDefault="009D0006" w:rsidP="00EE0020">
            <w:pPr>
              <w:pStyle w:val="Tabletext"/>
            </w:pPr>
            <w:r>
              <w:t>Past 12 months</w:t>
            </w:r>
          </w:p>
        </w:tc>
        <w:tc>
          <w:tcPr>
            <w:tcW w:w="1559" w:type="dxa"/>
          </w:tcPr>
          <w:p w14:paraId="6DC73D93" w14:textId="77777777" w:rsidR="009D0006" w:rsidRPr="003F4D73" w:rsidRDefault="009D0006" w:rsidP="00EE0020">
            <w:pPr>
              <w:pStyle w:val="Tabletext"/>
            </w:pPr>
            <w:r>
              <w:rPr>
                <w:color w:val="000000"/>
              </w:rPr>
              <w:t>387</w:t>
            </w:r>
          </w:p>
        </w:tc>
        <w:tc>
          <w:tcPr>
            <w:tcW w:w="1559" w:type="dxa"/>
          </w:tcPr>
          <w:p w14:paraId="0F923315" w14:textId="77777777" w:rsidR="009D0006" w:rsidRPr="003F4D73" w:rsidRDefault="009D0006" w:rsidP="00EE0020">
            <w:pPr>
              <w:pStyle w:val="Tabletext"/>
            </w:pPr>
            <w:r>
              <w:rPr>
                <w:color w:val="000000"/>
              </w:rPr>
              <w:t>15.7</w:t>
            </w:r>
          </w:p>
        </w:tc>
      </w:tr>
      <w:tr w:rsidR="009D0006" w:rsidRPr="003F4D73" w14:paraId="397D1C11" w14:textId="77777777" w:rsidTr="00EE002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F37CBF6" w14:textId="77777777" w:rsidR="009D0006" w:rsidRPr="003F4D73" w:rsidRDefault="009D0006" w:rsidP="00EE0020">
            <w:pPr>
              <w:pStyle w:val="Tabletext"/>
            </w:pPr>
            <w:r>
              <w:rPr>
                <w:color w:val="000000"/>
                <w:lang w:val="en-US"/>
              </w:rPr>
              <w:t>Ever</w:t>
            </w:r>
          </w:p>
        </w:tc>
        <w:tc>
          <w:tcPr>
            <w:tcW w:w="1559" w:type="dxa"/>
          </w:tcPr>
          <w:p w14:paraId="1A989D79" w14:textId="77777777" w:rsidR="009D0006" w:rsidRPr="003F4D73" w:rsidRDefault="009D0006" w:rsidP="00EE0020">
            <w:pPr>
              <w:pStyle w:val="Tabletext"/>
            </w:pPr>
            <w:r>
              <w:rPr>
                <w:color w:val="000000"/>
              </w:rPr>
              <w:t>971</w:t>
            </w:r>
          </w:p>
        </w:tc>
        <w:tc>
          <w:tcPr>
            <w:tcW w:w="1559" w:type="dxa"/>
          </w:tcPr>
          <w:p w14:paraId="6BDDDD3B" w14:textId="77777777" w:rsidR="009D0006" w:rsidRPr="003F4D73" w:rsidRDefault="009D0006" w:rsidP="00EE0020">
            <w:pPr>
              <w:pStyle w:val="Tabletext"/>
            </w:pPr>
            <w:r>
              <w:rPr>
                <w:color w:val="000000"/>
              </w:rPr>
              <w:t>39.4</w:t>
            </w:r>
          </w:p>
        </w:tc>
      </w:tr>
      <w:tr w:rsidR="009D0006" w:rsidRPr="003F4D73" w14:paraId="07C2D7AC"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FAA86EE" w14:textId="77777777" w:rsidR="009D0006" w:rsidRDefault="009D0006" w:rsidP="00EE0020">
            <w:pPr>
              <w:pStyle w:val="Tabletext"/>
              <w:rPr>
                <w:color w:val="000000"/>
              </w:rPr>
            </w:pPr>
            <w:r>
              <w:rPr>
                <w:color w:val="000000"/>
              </w:rPr>
              <w:t>Prefer not to say</w:t>
            </w:r>
          </w:p>
        </w:tc>
        <w:tc>
          <w:tcPr>
            <w:tcW w:w="1559" w:type="dxa"/>
          </w:tcPr>
          <w:p w14:paraId="1C070845" w14:textId="77777777" w:rsidR="009D0006" w:rsidRDefault="009D0006" w:rsidP="00EE0020">
            <w:pPr>
              <w:pStyle w:val="Tabletext"/>
              <w:rPr>
                <w:color w:val="000000"/>
              </w:rPr>
            </w:pPr>
            <w:r>
              <w:rPr>
                <w:color w:val="000000"/>
              </w:rPr>
              <w:t>165</w:t>
            </w:r>
          </w:p>
        </w:tc>
        <w:tc>
          <w:tcPr>
            <w:tcW w:w="1559" w:type="dxa"/>
          </w:tcPr>
          <w:p w14:paraId="54D4EE32" w14:textId="77777777" w:rsidR="009D0006" w:rsidRDefault="009D0006" w:rsidP="00EE0020">
            <w:pPr>
              <w:pStyle w:val="Tabletext"/>
              <w:rPr>
                <w:color w:val="000000"/>
              </w:rPr>
            </w:pPr>
            <w:r>
              <w:rPr>
                <w:color w:val="000000"/>
              </w:rPr>
              <w:t>6.7</w:t>
            </w:r>
          </w:p>
        </w:tc>
      </w:tr>
    </w:tbl>
    <w:p w14:paraId="58D89D5A" w14:textId="77777777" w:rsidR="009D0006" w:rsidRPr="00C47CBF" w:rsidRDefault="009D0006" w:rsidP="002876D2">
      <w:pPr>
        <w:spacing w:before="360"/>
      </w:pPr>
      <w:r>
        <w:t>As shown in Tables 64.1-64.2, a</w:t>
      </w:r>
      <w:r w:rsidRPr="00C47CBF">
        <w:t xml:space="preserve">mong participants </w:t>
      </w:r>
      <w:r>
        <w:t xml:space="preserve">with disability in </w:t>
      </w:r>
      <w:r>
        <w:rPr>
          <w:i/>
          <w:iCs/>
        </w:rPr>
        <w:t>Writing Themselves In 4</w:t>
      </w:r>
      <w:r>
        <w:t>, almost 90% had experienced suicidal ideation at some point in their lifetime (89.3%; n = 2222) and approximately 70% had experienced suicidal ideation in the past 12 months (70.5%; n = 1753). Almost two-fifths of participants with disability had ever attempted suicide (39.4%; n = 971) and more than 1 in 10 had attempted suicide in the past 12 months (15.7%; n = 387).</w:t>
      </w:r>
    </w:p>
    <w:p w14:paraId="3CBE8E6D" w14:textId="77777777" w:rsidR="006346CA" w:rsidRDefault="009D0006" w:rsidP="006346CA">
      <w:r>
        <w:t>The</w:t>
      </w:r>
      <w:r w:rsidRPr="00463B02">
        <w:t xml:space="preserve"> closest comparable population-based data comes from the </w:t>
      </w:r>
      <w:r>
        <w:t>second</w:t>
      </w:r>
      <w:r w:rsidRPr="00463B02">
        <w:t xml:space="preserve"> Australian Child and Adolescent Survey of Mental Health and Wellbeing</w:t>
      </w:r>
      <w:r w:rsidRPr="009F2DDE">
        <w:fldChar w:fldCharType="begin"/>
      </w:r>
      <w:r>
        <w:instrText xml:space="preserve"> ADDIN ZOTERO_ITEM CSL_CITATION {"citationID":"a14pq0khd5l","properties":{"formattedCitation":"(65)","plainCitation":"(65)","noteIndex":0},"citationItems":[{"id":5767,"uris":["http://zotero.org/groups/2463045/items/QRAC74XK"],"itemData":{"id":5767,"type":"report","event-place":"Canberra","publisher":"Department of Health","publisher-place":"Canberra","title":"The mental health of children and adolescents: Report on the second Australian Child and Adolescent Survey of Mental Health and Wellbeing","URL":"http://www.health.gov.au/internet/main/publishing.nsf/Content/mental-pubs-m-child2","author":[{"family":"Lawrence","given":"D"},{"family":"Johnson","given":"S E"},{"family":"Hafekost","given":"J"},{"family":"Boterhoven de Haan","given":"K"},{"family":"Sawyer","given":"M G"},{"family":"Ainley","given":"J"},{"family":"et al","given":""}],"issued":{"date-parts":[["2015"]]},"citation-key":"lawrenceMentalHealthChildren2015"}}],"schema":"https://github.com/citation-style-language/schema/raw/master/csl-citation.json"} </w:instrText>
      </w:r>
      <w:r w:rsidRPr="009F2DDE">
        <w:fldChar w:fldCharType="separate"/>
      </w:r>
      <w:r>
        <w:rPr>
          <w:lang w:val="en-GB"/>
        </w:rPr>
        <w:t>(65)</w:t>
      </w:r>
      <w:r w:rsidRPr="009F2DDE">
        <w:fldChar w:fldCharType="end"/>
      </w:r>
      <w:r w:rsidRPr="00463B02">
        <w:t xml:space="preserve"> where data from 16-17-year-olds is the most appropriate reference point. A summary of this comparison of suicidal ideation (n = </w:t>
      </w:r>
      <w:r>
        <w:t>910 for 16-17-year-olds</w:t>
      </w:r>
      <w:r w:rsidRPr="00463B02">
        <w:t xml:space="preserve">) and suicide attempts (n = </w:t>
      </w:r>
      <w:r>
        <w:t>900</w:t>
      </w:r>
      <w:r w:rsidRPr="003669DB">
        <w:t xml:space="preserve"> </w:t>
      </w:r>
      <w:r>
        <w:t>for 16-17-year-olds</w:t>
      </w:r>
      <w:r w:rsidRPr="00463B02">
        <w:t>) among parti</w:t>
      </w:r>
      <w:r w:rsidRPr="00463B02">
        <w:lastRenderedPageBreak/>
        <w:t>cipants aged 16</w:t>
      </w:r>
      <w:r>
        <w:t>-</w:t>
      </w:r>
      <w:r w:rsidRPr="00463B02">
        <w:t>17 years</w:t>
      </w:r>
      <w:r>
        <w:t xml:space="preserve"> with disability</w:t>
      </w:r>
      <w:r w:rsidRPr="00463B02">
        <w:t xml:space="preserve"> in </w:t>
      </w:r>
      <w:r w:rsidRPr="003669DB">
        <w:t>Writing Themselves In 4</w:t>
      </w:r>
      <w:r w:rsidRPr="007172E4">
        <w:t xml:space="preserve"> and those in the general population aged 16</w:t>
      </w:r>
      <w:r>
        <w:t>-</w:t>
      </w:r>
      <w:r w:rsidRPr="007172E4">
        <w:t xml:space="preserve">17 years is shown in </w:t>
      </w:r>
      <w:r>
        <w:t>Table</w:t>
      </w:r>
      <w:r w:rsidRPr="007172E4">
        <w:t xml:space="preserve"> </w:t>
      </w:r>
      <w:r>
        <w:t>65</w:t>
      </w:r>
      <w:r w:rsidRPr="007172E4">
        <w:t xml:space="preserve"> below</w:t>
      </w:r>
      <w:bookmarkStart w:id="664" w:name="_Toc115968592"/>
      <w:r w:rsidR="006346CA">
        <w:t>.</w:t>
      </w:r>
    </w:p>
    <w:p w14:paraId="06ED6B1E" w14:textId="0BD67120" w:rsidR="009D0006" w:rsidRPr="006346CA" w:rsidRDefault="009D0006" w:rsidP="006346CA">
      <w:pPr>
        <w:pStyle w:val="Heading3Numbered"/>
        <w:rPr>
          <w:rFonts w:eastAsia="Calibri"/>
          <w:szCs w:val="22"/>
        </w:rPr>
      </w:pPr>
      <w:r w:rsidRPr="003669DB">
        <w:t>Suicidal ideation and suicide attempt among participants with disability – young people aged 16-17 years</w:t>
      </w:r>
      <w:bookmarkEnd w:id="664"/>
    </w:p>
    <w:p w14:paraId="5D331EDC" w14:textId="77777777" w:rsidR="009D0006" w:rsidRDefault="009D0006" w:rsidP="00184CF2">
      <w:bookmarkStart w:id="665" w:name="_Toc117062783"/>
      <w:bookmarkStart w:id="666" w:name="_Toc119651468"/>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65</w:t>
      </w:r>
      <w:r w:rsidRPr="00985828">
        <w:rPr>
          <w:bCs/>
          <w:sz w:val="18"/>
          <w:szCs w:val="18"/>
        </w:rPr>
        <w:fldChar w:fldCharType="end"/>
      </w:r>
      <w:r>
        <w:t xml:space="preserve">.1-65.4 </w:t>
      </w:r>
      <w:r w:rsidRPr="00CA5F45">
        <w:t>Proportion of participants</w:t>
      </w:r>
      <w:r>
        <w:t xml:space="preserve"> with disability and the general population experiencing suicidal ideation</w:t>
      </w:r>
      <w:r w:rsidRPr="00CA5F45">
        <w:t xml:space="preserve"> </w:t>
      </w:r>
      <w:r>
        <w:t>or suicide attempt among young people aged 16-17 years</w:t>
      </w:r>
      <w:bookmarkEnd w:id="665"/>
      <w:bookmarkEnd w:id="666"/>
      <w:r>
        <w:t xml:space="preserve"> </w:t>
      </w:r>
    </w:p>
    <w:p w14:paraId="0D33CA46" w14:textId="77777777" w:rsidR="009D0006" w:rsidRPr="00DC5ECC" w:rsidRDefault="009D0006" w:rsidP="002876D2">
      <w:pPr>
        <w:pStyle w:val="Tableheading"/>
      </w:pPr>
      <w:r>
        <w:t xml:space="preserve">Table 65.1 </w:t>
      </w:r>
      <w:r w:rsidRPr="00D53B23">
        <w:rPr>
          <w:i/>
        </w:rPr>
        <w:t>Writing Themselves In 4</w:t>
      </w:r>
      <w:r>
        <w:t xml:space="preserve"> participants with disability aged 16-17 years, Suicidal ideation</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D8C960A" w14:textId="77777777" w:rsidTr="00EE0020">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6E38592" w14:textId="77777777" w:rsidR="009D0006" w:rsidRPr="003F4D73" w:rsidRDefault="009D0006" w:rsidP="00EE0020">
            <w:pPr>
              <w:pStyle w:val="Tableheader"/>
            </w:pPr>
          </w:p>
        </w:tc>
        <w:tc>
          <w:tcPr>
            <w:tcW w:w="1559" w:type="dxa"/>
            <w:hideMark/>
          </w:tcPr>
          <w:p w14:paraId="3187F6F9" w14:textId="77777777" w:rsidR="009D0006" w:rsidRPr="003F4D73" w:rsidRDefault="009D0006" w:rsidP="00EE0020">
            <w:pPr>
              <w:pStyle w:val="Tableheader"/>
            </w:pPr>
            <w:r>
              <w:t>n</w:t>
            </w:r>
          </w:p>
        </w:tc>
        <w:tc>
          <w:tcPr>
            <w:tcW w:w="1559" w:type="dxa"/>
            <w:hideMark/>
          </w:tcPr>
          <w:p w14:paraId="481A8C7E" w14:textId="77777777" w:rsidR="009D0006" w:rsidRPr="003F4D73" w:rsidRDefault="009D0006" w:rsidP="00EE0020">
            <w:pPr>
              <w:pStyle w:val="Tableheader"/>
            </w:pPr>
            <w:r w:rsidRPr="003F4D73">
              <w:t>%</w:t>
            </w:r>
          </w:p>
        </w:tc>
      </w:tr>
      <w:tr w:rsidR="009D0006" w:rsidRPr="003F4D73" w14:paraId="600A9620"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564D66C" w14:textId="77777777" w:rsidR="009D0006" w:rsidRPr="003F4D73" w:rsidRDefault="009D0006" w:rsidP="00EE0020">
            <w:pPr>
              <w:pStyle w:val="Tabletext"/>
            </w:pPr>
            <w:r>
              <w:t>Past 12 months</w:t>
            </w:r>
          </w:p>
        </w:tc>
        <w:tc>
          <w:tcPr>
            <w:tcW w:w="1559" w:type="dxa"/>
          </w:tcPr>
          <w:p w14:paraId="1882D071" w14:textId="77777777" w:rsidR="009D0006" w:rsidRPr="003F4D73" w:rsidRDefault="009D0006" w:rsidP="00EE0020">
            <w:pPr>
              <w:pStyle w:val="Tabletext"/>
            </w:pPr>
            <w:r>
              <w:rPr>
                <w:color w:val="000000"/>
              </w:rPr>
              <w:t>638</w:t>
            </w:r>
          </w:p>
        </w:tc>
        <w:tc>
          <w:tcPr>
            <w:tcW w:w="1559" w:type="dxa"/>
          </w:tcPr>
          <w:p w14:paraId="6D834568" w14:textId="77777777" w:rsidR="009D0006" w:rsidRPr="003F4D73" w:rsidRDefault="009D0006" w:rsidP="00EE0020">
            <w:pPr>
              <w:pStyle w:val="Tabletext"/>
            </w:pPr>
            <w:r>
              <w:rPr>
                <w:color w:val="000000"/>
              </w:rPr>
              <w:t>70.1</w:t>
            </w:r>
          </w:p>
        </w:tc>
      </w:tr>
      <w:tr w:rsidR="009D0006" w:rsidRPr="003F4D73" w14:paraId="02F15CD1" w14:textId="77777777" w:rsidTr="00EE0020">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12E2078" w14:textId="77777777" w:rsidR="009D0006" w:rsidRPr="003F4D73" w:rsidRDefault="009D0006" w:rsidP="00EE0020">
            <w:pPr>
              <w:pStyle w:val="Tabletext"/>
            </w:pPr>
            <w:r>
              <w:rPr>
                <w:color w:val="000000"/>
                <w:lang w:val="en-US"/>
              </w:rPr>
              <w:t>Ever</w:t>
            </w:r>
          </w:p>
        </w:tc>
        <w:tc>
          <w:tcPr>
            <w:tcW w:w="1559" w:type="dxa"/>
          </w:tcPr>
          <w:p w14:paraId="31A06314" w14:textId="77777777" w:rsidR="009D0006" w:rsidRPr="003F4D73" w:rsidRDefault="009D0006" w:rsidP="00EE0020">
            <w:pPr>
              <w:pStyle w:val="Tabletext"/>
            </w:pPr>
            <w:r>
              <w:rPr>
                <w:color w:val="000000"/>
              </w:rPr>
              <w:t>800</w:t>
            </w:r>
          </w:p>
        </w:tc>
        <w:tc>
          <w:tcPr>
            <w:tcW w:w="1559" w:type="dxa"/>
          </w:tcPr>
          <w:p w14:paraId="7105B4AE" w14:textId="77777777" w:rsidR="009D0006" w:rsidRPr="003F4D73" w:rsidRDefault="009D0006" w:rsidP="00EE0020">
            <w:pPr>
              <w:pStyle w:val="Tabletext"/>
            </w:pPr>
            <w:r>
              <w:rPr>
                <w:color w:val="000000"/>
              </w:rPr>
              <w:t>87.9</w:t>
            </w:r>
          </w:p>
        </w:tc>
      </w:tr>
      <w:tr w:rsidR="009D0006" w:rsidRPr="003F4D73" w14:paraId="132A0909" w14:textId="77777777" w:rsidTr="00EE0020">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0827D18" w14:textId="77777777" w:rsidR="009D0006" w:rsidRDefault="009D0006" w:rsidP="00EE0020">
            <w:pPr>
              <w:pStyle w:val="Tabletext"/>
              <w:rPr>
                <w:color w:val="000000"/>
              </w:rPr>
            </w:pPr>
            <w:r>
              <w:rPr>
                <w:color w:val="000000"/>
              </w:rPr>
              <w:t>Prefer not to say</w:t>
            </w:r>
          </w:p>
        </w:tc>
        <w:tc>
          <w:tcPr>
            <w:tcW w:w="1559" w:type="dxa"/>
          </w:tcPr>
          <w:p w14:paraId="2905B9EB" w14:textId="77777777" w:rsidR="009D0006" w:rsidRDefault="009D0006" w:rsidP="00EE0020">
            <w:pPr>
              <w:pStyle w:val="Tabletext"/>
              <w:rPr>
                <w:color w:val="000000"/>
              </w:rPr>
            </w:pPr>
            <w:r>
              <w:rPr>
                <w:color w:val="000000"/>
              </w:rPr>
              <w:t>38</w:t>
            </w:r>
          </w:p>
        </w:tc>
        <w:tc>
          <w:tcPr>
            <w:tcW w:w="1559" w:type="dxa"/>
          </w:tcPr>
          <w:p w14:paraId="5BBA3FAF" w14:textId="77777777" w:rsidR="009D0006" w:rsidRDefault="009D0006" w:rsidP="00EE0020">
            <w:pPr>
              <w:pStyle w:val="Tabletext"/>
              <w:rPr>
                <w:color w:val="000000"/>
              </w:rPr>
            </w:pPr>
            <w:r>
              <w:rPr>
                <w:color w:val="000000"/>
              </w:rPr>
              <w:t>4.1</w:t>
            </w:r>
          </w:p>
        </w:tc>
      </w:tr>
    </w:tbl>
    <w:p w14:paraId="4EA96201" w14:textId="77777777" w:rsidR="009D0006" w:rsidRPr="002876D2" w:rsidRDefault="009D0006" w:rsidP="002876D2">
      <w:pPr>
        <w:pStyle w:val="Tableheading"/>
      </w:pPr>
      <w:r w:rsidRPr="002876D2">
        <w:t>Table 65.2 Writing Themselves In 4 participants with disability aged 16-17 years, Suicide attempt</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62A73B5" w14:textId="77777777" w:rsidTr="00EA37E2">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321A1FE" w14:textId="77777777" w:rsidR="009D0006" w:rsidRPr="003F4D73" w:rsidRDefault="009D0006" w:rsidP="00EA37E2">
            <w:pPr>
              <w:pStyle w:val="Tableheader"/>
            </w:pPr>
          </w:p>
        </w:tc>
        <w:tc>
          <w:tcPr>
            <w:tcW w:w="1559" w:type="dxa"/>
          </w:tcPr>
          <w:p w14:paraId="4C50811D" w14:textId="77777777" w:rsidR="009D0006" w:rsidRDefault="009D0006" w:rsidP="00EA37E2">
            <w:pPr>
              <w:pStyle w:val="Tableheader"/>
            </w:pPr>
            <w:r>
              <w:t>n</w:t>
            </w:r>
          </w:p>
        </w:tc>
        <w:tc>
          <w:tcPr>
            <w:tcW w:w="1559" w:type="dxa"/>
          </w:tcPr>
          <w:p w14:paraId="47760855" w14:textId="77777777" w:rsidR="009D0006" w:rsidRDefault="009D0006" w:rsidP="00EA37E2">
            <w:pPr>
              <w:pStyle w:val="Tableheader"/>
            </w:pPr>
            <w:r w:rsidRPr="003F4D73">
              <w:t>%</w:t>
            </w:r>
          </w:p>
        </w:tc>
      </w:tr>
      <w:tr w:rsidR="009D0006" w:rsidRPr="003F4D73" w14:paraId="76ABDF7D" w14:textId="77777777" w:rsidTr="00EA37E2">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5A59D86" w14:textId="77777777" w:rsidR="009D0006" w:rsidRPr="003F4D73" w:rsidRDefault="009D0006" w:rsidP="00EA37E2">
            <w:pPr>
              <w:pStyle w:val="Tabletext"/>
            </w:pPr>
            <w:r>
              <w:t>Past 12 months</w:t>
            </w:r>
          </w:p>
        </w:tc>
        <w:tc>
          <w:tcPr>
            <w:tcW w:w="1559" w:type="dxa"/>
          </w:tcPr>
          <w:p w14:paraId="6D99156A" w14:textId="77777777" w:rsidR="009D0006" w:rsidRDefault="009D0006" w:rsidP="00EA37E2">
            <w:pPr>
              <w:pStyle w:val="Tabletext"/>
              <w:rPr>
                <w:color w:val="000000"/>
              </w:rPr>
            </w:pPr>
            <w:r>
              <w:rPr>
                <w:color w:val="000000"/>
              </w:rPr>
              <w:t>164</w:t>
            </w:r>
          </w:p>
        </w:tc>
        <w:tc>
          <w:tcPr>
            <w:tcW w:w="1559" w:type="dxa"/>
          </w:tcPr>
          <w:p w14:paraId="24D7678A" w14:textId="77777777" w:rsidR="009D0006" w:rsidRDefault="009D0006" w:rsidP="00EA37E2">
            <w:pPr>
              <w:pStyle w:val="Tabletext"/>
              <w:rPr>
                <w:color w:val="000000"/>
              </w:rPr>
            </w:pPr>
            <w:r>
              <w:rPr>
                <w:color w:val="000000"/>
              </w:rPr>
              <w:t>18.2</w:t>
            </w:r>
          </w:p>
        </w:tc>
      </w:tr>
      <w:tr w:rsidR="009D0006" w:rsidRPr="003F4D73" w14:paraId="0649F2D4" w14:textId="77777777" w:rsidTr="00EA37E2">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AA9ADC1" w14:textId="77777777" w:rsidR="009D0006" w:rsidRPr="003F4D73" w:rsidRDefault="009D0006" w:rsidP="00EA37E2">
            <w:pPr>
              <w:pStyle w:val="Tabletext"/>
            </w:pPr>
            <w:r>
              <w:rPr>
                <w:color w:val="000000"/>
                <w:lang w:val="en-US"/>
              </w:rPr>
              <w:t>Ever</w:t>
            </w:r>
          </w:p>
        </w:tc>
        <w:tc>
          <w:tcPr>
            <w:tcW w:w="1559" w:type="dxa"/>
          </w:tcPr>
          <w:p w14:paraId="1A7B9BF5" w14:textId="77777777" w:rsidR="009D0006" w:rsidRDefault="009D0006" w:rsidP="00EA37E2">
            <w:pPr>
              <w:pStyle w:val="Tabletext"/>
              <w:rPr>
                <w:color w:val="000000"/>
              </w:rPr>
            </w:pPr>
            <w:r>
              <w:rPr>
                <w:color w:val="000000"/>
              </w:rPr>
              <w:t>354</w:t>
            </w:r>
          </w:p>
        </w:tc>
        <w:tc>
          <w:tcPr>
            <w:tcW w:w="1559" w:type="dxa"/>
          </w:tcPr>
          <w:p w14:paraId="131ACD7D" w14:textId="77777777" w:rsidR="009D0006" w:rsidRDefault="009D0006" w:rsidP="00EA37E2">
            <w:pPr>
              <w:pStyle w:val="Tabletext"/>
              <w:rPr>
                <w:color w:val="000000"/>
              </w:rPr>
            </w:pPr>
            <w:r>
              <w:rPr>
                <w:color w:val="000000"/>
              </w:rPr>
              <w:t>39.3</w:t>
            </w:r>
          </w:p>
        </w:tc>
      </w:tr>
      <w:tr w:rsidR="009D0006" w:rsidRPr="003F4D73" w14:paraId="7C91C7E4" w14:textId="77777777" w:rsidTr="00EA37E2">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DF56E41" w14:textId="77777777" w:rsidR="009D0006" w:rsidRDefault="009D0006" w:rsidP="00EA37E2">
            <w:pPr>
              <w:pStyle w:val="Tabletext"/>
              <w:rPr>
                <w:color w:val="000000"/>
              </w:rPr>
            </w:pPr>
            <w:r>
              <w:rPr>
                <w:color w:val="000000"/>
              </w:rPr>
              <w:t>Prefer not to say</w:t>
            </w:r>
          </w:p>
        </w:tc>
        <w:tc>
          <w:tcPr>
            <w:tcW w:w="1559" w:type="dxa"/>
          </w:tcPr>
          <w:p w14:paraId="2B939925" w14:textId="77777777" w:rsidR="009D0006" w:rsidRDefault="009D0006" w:rsidP="00EA37E2">
            <w:pPr>
              <w:pStyle w:val="Tabletext"/>
              <w:rPr>
                <w:color w:val="000000"/>
              </w:rPr>
            </w:pPr>
            <w:r>
              <w:rPr>
                <w:color w:val="000000"/>
              </w:rPr>
              <w:t>58</w:t>
            </w:r>
          </w:p>
        </w:tc>
        <w:tc>
          <w:tcPr>
            <w:tcW w:w="1559" w:type="dxa"/>
          </w:tcPr>
          <w:p w14:paraId="5866D8A3" w14:textId="77777777" w:rsidR="009D0006" w:rsidRDefault="009D0006" w:rsidP="00EA37E2">
            <w:pPr>
              <w:pStyle w:val="Tabletext"/>
              <w:rPr>
                <w:color w:val="000000"/>
              </w:rPr>
            </w:pPr>
            <w:r>
              <w:rPr>
                <w:color w:val="000000"/>
              </w:rPr>
              <w:t>6.5</w:t>
            </w:r>
          </w:p>
        </w:tc>
      </w:tr>
    </w:tbl>
    <w:p w14:paraId="7FAE7E7E" w14:textId="77777777" w:rsidR="009D0006" w:rsidRDefault="009D0006" w:rsidP="00184CF2">
      <w:pPr>
        <w:pStyle w:val="Tableheading"/>
      </w:pPr>
      <w:r>
        <w:t>Table 65.3 General Australian population aged 16-17 years, Suicidal ideation</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F855DD0" w14:textId="77777777" w:rsidTr="00EA37E2">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437B3F6" w14:textId="77777777" w:rsidR="009D0006" w:rsidRPr="003F4D73" w:rsidRDefault="009D0006" w:rsidP="00246D84">
            <w:pPr>
              <w:pStyle w:val="Tableheader"/>
            </w:pPr>
          </w:p>
        </w:tc>
        <w:tc>
          <w:tcPr>
            <w:tcW w:w="1559" w:type="dxa"/>
          </w:tcPr>
          <w:p w14:paraId="47FFDEE0" w14:textId="77777777" w:rsidR="009D0006" w:rsidRDefault="009D0006" w:rsidP="00246D84">
            <w:pPr>
              <w:pStyle w:val="Tableheader"/>
            </w:pPr>
            <w:r>
              <w:t>n</w:t>
            </w:r>
          </w:p>
        </w:tc>
        <w:tc>
          <w:tcPr>
            <w:tcW w:w="1559" w:type="dxa"/>
          </w:tcPr>
          <w:p w14:paraId="3E16108A" w14:textId="77777777" w:rsidR="009D0006" w:rsidRDefault="009D0006" w:rsidP="00246D84">
            <w:pPr>
              <w:pStyle w:val="Tableheader"/>
            </w:pPr>
            <w:r w:rsidRPr="003F4D73">
              <w:t>%</w:t>
            </w:r>
          </w:p>
        </w:tc>
      </w:tr>
      <w:tr w:rsidR="009D0006" w:rsidRPr="003F4D73" w14:paraId="2B37EEEB" w14:textId="77777777" w:rsidTr="00EA37E2">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A6CF30A" w14:textId="77777777" w:rsidR="009D0006" w:rsidRPr="003F4D73" w:rsidRDefault="009D0006" w:rsidP="00246D84">
            <w:pPr>
              <w:pStyle w:val="Tabletext"/>
            </w:pPr>
            <w:r>
              <w:t>Past 12 months</w:t>
            </w:r>
          </w:p>
        </w:tc>
        <w:tc>
          <w:tcPr>
            <w:tcW w:w="1559" w:type="dxa"/>
          </w:tcPr>
          <w:p w14:paraId="70B4B7D9" w14:textId="77777777" w:rsidR="009D0006" w:rsidRDefault="009D0006" w:rsidP="00246D84">
            <w:pPr>
              <w:pStyle w:val="Tabletext"/>
              <w:rPr>
                <w:color w:val="000000"/>
              </w:rPr>
            </w:pPr>
            <w:r>
              <w:rPr>
                <w:color w:val="000000"/>
              </w:rPr>
              <w:t>-</w:t>
            </w:r>
          </w:p>
        </w:tc>
        <w:tc>
          <w:tcPr>
            <w:tcW w:w="1559" w:type="dxa"/>
          </w:tcPr>
          <w:p w14:paraId="5FFDEB47" w14:textId="77777777" w:rsidR="009D0006" w:rsidRDefault="009D0006" w:rsidP="00246D84">
            <w:pPr>
              <w:pStyle w:val="Tabletext"/>
              <w:rPr>
                <w:color w:val="000000"/>
              </w:rPr>
            </w:pPr>
            <w:r>
              <w:rPr>
                <w:color w:val="000000"/>
              </w:rPr>
              <w:t>11.2</w:t>
            </w:r>
          </w:p>
        </w:tc>
      </w:tr>
      <w:tr w:rsidR="009D0006" w:rsidRPr="003F4D73" w14:paraId="4941E2FE" w14:textId="77777777" w:rsidTr="00EA37E2">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BD564F8" w14:textId="77777777" w:rsidR="009D0006" w:rsidRPr="003F4D73" w:rsidRDefault="009D0006" w:rsidP="00246D84">
            <w:pPr>
              <w:pStyle w:val="Tabletext"/>
            </w:pPr>
            <w:r>
              <w:rPr>
                <w:color w:val="000000"/>
                <w:lang w:val="en-US"/>
              </w:rPr>
              <w:t>Ever</w:t>
            </w:r>
          </w:p>
        </w:tc>
        <w:tc>
          <w:tcPr>
            <w:tcW w:w="1559" w:type="dxa"/>
          </w:tcPr>
          <w:p w14:paraId="648F4F64" w14:textId="77777777" w:rsidR="009D0006" w:rsidRDefault="009D0006" w:rsidP="00246D84">
            <w:pPr>
              <w:pStyle w:val="Tabletext"/>
              <w:rPr>
                <w:color w:val="000000"/>
              </w:rPr>
            </w:pPr>
            <w:r>
              <w:rPr>
                <w:color w:val="000000"/>
              </w:rPr>
              <w:t>-</w:t>
            </w:r>
          </w:p>
        </w:tc>
        <w:tc>
          <w:tcPr>
            <w:tcW w:w="1559" w:type="dxa"/>
          </w:tcPr>
          <w:p w14:paraId="68E58C3D" w14:textId="77777777" w:rsidR="009D0006" w:rsidRDefault="009D0006" w:rsidP="00246D84">
            <w:pPr>
              <w:pStyle w:val="Tabletext"/>
              <w:rPr>
                <w:color w:val="000000"/>
              </w:rPr>
            </w:pPr>
            <w:r>
              <w:rPr>
                <w:color w:val="000000"/>
              </w:rPr>
              <w:t>-</w:t>
            </w:r>
          </w:p>
        </w:tc>
      </w:tr>
      <w:tr w:rsidR="009D0006" w:rsidRPr="003F4D73" w14:paraId="49351CD9" w14:textId="77777777" w:rsidTr="00EA37E2">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7FADF426" w14:textId="77777777" w:rsidR="009D0006" w:rsidRDefault="009D0006" w:rsidP="00246D84">
            <w:pPr>
              <w:pStyle w:val="Tabletext"/>
              <w:rPr>
                <w:color w:val="000000"/>
              </w:rPr>
            </w:pPr>
            <w:r>
              <w:rPr>
                <w:color w:val="000000"/>
              </w:rPr>
              <w:t>Prefer not to say</w:t>
            </w:r>
          </w:p>
        </w:tc>
        <w:tc>
          <w:tcPr>
            <w:tcW w:w="1559" w:type="dxa"/>
          </w:tcPr>
          <w:p w14:paraId="4F7C59C1" w14:textId="77777777" w:rsidR="009D0006" w:rsidRDefault="009D0006" w:rsidP="00246D84">
            <w:pPr>
              <w:pStyle w:val="Tabletext"/>
              <w:rPr>
                <w:color w:val="000000"/>
              </w:rPr>
            </w:pPr>
            <w:r>
              <w:rPr>
                <w:color w:val="000000"/>
              </w:rPr>
              <w:t>-</w:t>
            </w:r>
          </w:p>
        </w:tc>
        <w:tc>
          <w:tcPr>
            <w:tcW w:w="1559" w:type="dxa"/>
          </w:tcPr>
          <w:p w14:paraId="708C1601" w14:textId="77777777" w:rsidR="009D0006" w:rsidRDefault="009D0006" w:rsidP="00246D84">
            <w:pPr>
              <w:pStyle w:val="Tabletext"/>
              <w:rPr>
                <w:color w:val="000000"/>
              </w:rPr>
            </w:pPr>
            <w:r>
              <w:rPr>
                <w:color w:val="000000"/>
              </w:rPr>
              <w:t>-</w:t>
            </w:r>
          </w:p>
        </w:tc>
      </w:tr>
    </w:tbl>
    <w:p w14:paraId="15A08DAC" w14:textId="77777777" w:rsidR="009D0006" w:rsidRDefault="009D0006" w:rsidP="00184CF2">
      <w:pPr>
        <w:pStyle w:val="Tableheading"/>
      </w:pPr>
      <w:r>
        <w:t>Table 65.4 General Australian population aged 16-17 years, Suicide attempt</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4D25FE1"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B67B4FC" w14:textId="77777777" w:rsidR="009D0006" w:rsidRPr="003F4D73" w:rsidRDefault="009D0006" w:rsidP="00246D84">
            <w:pPr>
              <w:pStyle w:val="Tableheader"/>
            </w:pPr>
          </w:p>
        </w:tc>
        <w:tc>
          <w:tcPr>
            <w:tcW w:w="1559" w:type="dxa"/>
            <w:hideMark/>
          </w:tcPr>
          <w:p w14:paraId="6496F58C" w14:textId="77777777" w:rsidR="009D0006" w:rsidRPr="003F4D73" w:rsidRDefault="009D0006" w:rsidP="00246D84">
            <w:pPr>
              <w:pStyle w:val="Tableheader"/>
            </w:pPr>
            <w:r>
              <w:t>n</w:t>
            </w:r>
          </w:p>
        </w:tc>
        <w:tc>
          <w:tcPr>
            <w:tcW w:w="1559" w:type="dxa"/>
            <w:hideMark/>
          </w:tcPr>
          <w:p w14:paraId="0E56D913" w14:textId="77777777" w:rsidR="009D0006" w:rsidRPr="003F4D73" w:rsidRDefault="009D0006" w:rsidP="00246D84">
            <w:pPr>
              <w:pStyle w:val="Tableheader"/>
            </w:pPr>
            <w:r w:rsidRPr="003F4D73">
              <w:t>%</w:t>
            </w:r>
          </w:p>
        </w:tc>
      </w:tr>
      <w:tr w:rsidR="009D0006" w:rsidRPr="003F4D73" w14:paraId="55530282"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5B51A80" w14:textId="77777777" w:rsidR="009D0006" w:rsidRPr="003F4D73" w:rsidRDefault="009D0006" w:rsidP="00246D84">
            <w:pPr>
              <w:pStyle w:val="Tabletext"/>
            </w:pPr>
            <w:r>
              <w:t>Past 12 months</w:t>
            </w:r>
          </w:p>
        </w:tc>
        <w:tc>
          <w:tcPr>
            <w:tcW w:w="1559" w:type="dxa"/>
          </w:tcPr>
          <w:p w14:paraId="0FC65939" w14:textId="77777777" w:rsidR="009D0006" w:rsidRPr="003F4D73" w:rsidRDefault="009D0006" w:rsidP="00246D84">
            <w:pPr>
              <w:pStyle w:val="Tabletext"/>
            </w:pPr>
            <w:r>
              <w:t>-</w:t>
            </w:r>
          </w:p>
        </w:tc>
        <w:tc>
          <w:tcPr>
            <w:tcW w:w="1559" w:type="dxa"/>
          </w:tcPr>
          <w:p w14:paraId="4759A670" w14:textId="77777777" w:rsidR="009D0006" w:rsidRPr="003F4D73" w:rsidRDefault="009D0006" w:rsidP="00246D84">
            <w:pPr>
              <w:pStyle w:val="Tabletext"/>
            </w:pPr>
            <w:r>
              <w:t>3.8</w:t>
            </w:r>
          </w:p>
        </w:tc>
      </w:tr>
      <w:tr w:rsidR="009D0006" w:rsidRPr="003F4D73" w14:paraId="5AFDC657"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C941DAD" w14:textId="77777777" w:rsidR="009D0006" w:rsidRPr="003F4D73" w:rsidRDefault="009D0006" w:rsidP="00246D84">
            <w:pPr>
              <w:pStyle w:val="Tabletext"/>
            </w:pPr>
            <w:r>
              <w:rPr>
                <w:color w:val="000000"/>
                <w:lang w:val="en-US"/>
              </w:rPr>
              <w:t>Ever</w:t>
            </w:r>
          </w:p>
        </w:tc>
        <w:tc>
          <w:tcPr>
            <w:tcW w:w="1559" w:type="dxa"/>
          </w:tcPr>
          <w:p w14:paraId="094357A2" w14:textId="77777777" w:rsidR="009D0006" w:rsidRPr="003F4D73" w:rsidRDefault="009D0006" w:rsidP="00246D84">
            <w:pPr>
              <w:pStyle w:val="Tabletext"/>
            </w:pPr>
            <w:r>
              <w:t>-</w:t>
            </w:r>
          </w:p>
        </w:tc>
        <w:tc>
          <w:tcPr>
            <w:tcW w:w="1559" w:type="dxa"/>
          </w:tcPr>
          <w:p w14:paraId="778596F9" w14:textId="77777777" w:rsidR="009D0006" w:rsidRPr="003F4D73" w:rsidRDefault="009D0006" w:rsidP="00246D84">
            <w:pPr>
              <w:pStyle w:val="Tabletext"/>
            </w:pPr>
            <w:r>
              <w:t>5.3</w:t>
            </w:r>
          </w:p>
        </w:tc>
      </w:tr>
      <w:tr w:rsidR="009D0006" w:rsidRPr="003F4D73" w14:paraId="2992A3B7"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4AEE96C" w14:textId="77777777" w:rsidR="009D0006" w:rsidRDefault="009D0006" w:rsidP="00246D84">
            <w:pPr>
              <w:pStyle w:val="Tabletext"/>
              <w:rPr>
                <w:color w:val="000000"/>
              </w:rPr>
            </w:pPr>
            <w:r>
              <w:rPr>
                <w:color w:val="000000"/>
              </w:rPr>
              <w:t>Prefer not to say</w:t>
            </w:r>
          </w:p>
        </w:tc>
        <w:tc>
          <w:tcPr>
            <w:tcW w:w="1559" w:type="dxa"/>
          </w:tcPr>
          <w:p w14:paraId="553DAAB3" w14:textId="77777777" w:rsidR="009D0006" w:rsidRDefault="009D0006" w:rsidP="00246D84">
            <w:pPr>
              <w:pStyle w:val="Tabletext"/>
              <w:rPr>
                <w:color w:val="000000"/>
              </w:rPr>
            </w:pPr>
            <w:r>
              <w:rPr>
                <w:color w:val="000000"/>
              </w:rPr>
              <w:t>-</w:t>
            </w:r>
          </w:p>
        </w:tc>
        <w:tc>
          <w:tcPr>
            <w:tcW w:w="1559" w:type="dxa"/>
          </w:tcPr>
          <w:p w14:paraId="39CA8665" w14:textId="77777777" w:rsidR="009D0006" w:rsidRDefault="009D0006" w:rsidP="00246D84">
            <w:pPr>
              <w:pStyle w:val="Tabletext"/>
              <w:rPr>
                <w:color w:val="000000"/>
              </w:rPr>
            </w:pPr>
            <w:r>
              <w:rPr>
                <w:color w:val="000000"/>
              </w:rPr>
              <w:t>-</w:t>
            </w:r>
          </w:p>
        </w:tc>
      </w:tr>
    </w:tbl>
    <w:p w14:paraId="7BFB0744" w14:textId="56CEAAC5" w:rsidR="006346CA" w:rsidRDefault="009D0006" w:rsidP="00184CF2">
      <w:pPr>
        <w:spacing w:before="360"/>
      </w:pPr>
      <w:r>
        <w:t>As shown in</w:t>
      </w:r>
      <w:r>
        <w:lastRenderedPageBreak/>
        <w:t xml:space="preserve"> Tables 65.1-65.4, a</w:t>
      </w:r>
      <w:r w:rsidRPr="00C47CBF">
        <w:t xml:space="preserve"> </w:t>
      </w:r>
      <w:r>
        <w:t>greater</w:t>
      </w:r>
      <w:r w:rsidRPr="00C47CBF">
        <w:t xml:space="preserve"> proportion of 16-17</w:t>
      </w:r>
      <w:r>
        <w:t>-</w:t>
      </w:r>
      <w:r w:rsidRPr="00C47CBF">
        <w:t>year</w:t>
      </w:r>
      <w:r>
        <w:t>-</w:t>
      </w:r>
      <w:r w:rsidRPr="00C47CBF">
        <w:t xml:space="preserve">old participants with </w:t>
      </w:r>
      <w:r>
        <w:t xml:space="preserve">disability in </w:t>
      </w:r>
      <w:r>
        <w:rPr>
          <w:i/>
          <w:iCs/>
        </w:rPr>
        <w:t>Writing Themselves In 4</w:t>
      </w:r>
      <w:r>
        <w:t xml:space="preserve"> had experienced suicidal ideation (70.1%; n = 638) or a suicide attempt (18.2%; n = 164) in the past 12 months compared to the general Australian population of people aged 16-17 years, of whom 11.2% had experienced suicidal ideation and 3.8% a suicide attempt in the past 12 months. Additionally, the proportion of </w:t>
      </w:r>
      <w:r w:rsidRPr="006F47D9">
        <w:t>16-17</w:t>
      </w:r>
      <w:r>
        <w:t>-</w:t>
      </w:r>
      <w:r w:rsidRPr="006F47D9">
        <w:t>year</w:t>
      </w:r>
      <w:r>
        <w:t>-</w:t>
      </w:r>
      <w:r w:rsidRPr="006F47D9">
        <w:t xml:space="preserve">old participants with </w:t>
      </w:r>
      <w:r>
        <w:t xml:space="preserve">disability in </w:t>
      </w:r>
      <w:r>
        <w:rPr>
          <w:i/>
          <w:iCs/>
        </w:rPr>
        <w:t>Writing Themselves In 4</w:t>
      </w:r>
      <w:r>
        <w:t xml:space="preserve"> who had attempted suicide in their lifetime was almost eight times greater (39.3%; n = 354) than the proportion of the general Australian population of people aged 16-17 years old who had attempted suicide in their lifetime (5.3%)</w:t>
      </w:r>
      <w:bookmarkStart w:id="667" w:name="_Toc115968593"/>
      <w:r w:rsidR="006346CA">
        <w:t>.</w:t>
      </w:r>
    </w:p>
    <w:p w14:paraId="0D8770F8" w14:textId="2DFEFFAC" w:rsidR="009D0006" w:rsidRDefault="009D0006" w:rsidP="006346CA">
      <w:pPr>
        <w:pStyle w:val="Heading3Numbered"/>
      </w:pPr>
      <w:r w:rsidRPr="003669DB">
        <w:t>Suicidal ideation and suicide attempt among participants with disability – adults aged 18+ years</w:t>
      </w:r>
      <w:bookmarkEnd w:id="667"/>
    </w:p>
    <w:p w14:paraId="2005A027" w14:textId="77777777" w:rsidR="009D0006" w:rsidRDefault="009D0006" w:rsidP="00184CF2">
      <w:pPr>
        <w:pStyle w:val="Tableheading"/>
      </w:pPr>
      <w:bookmarkStart w:id="668" w:name="_Toc117062784"/>
      <w:bookmarkStart w:id="669" w:name="_Toc119651469"/>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66</w:t>
      </w:r>
      <w:r w:rsidRPr="00985828">
        <w:rPr>
          <w:bCs/>
          <w:sz w:val="18"/>
          <w:szCs w:val="18"/>
        </w:rPr>
        <w:fldChar w:fldCharType="end"/>
      </w:r>
      <w:r>
        <w:t xml:space="preserve">.1-66.4: </w:t>
      </w:r>
      <w:r w:rsidRPr="00CA5F45">
        <w:t>Proportion of participants</w:t>
      </w:r>
      <w:r>
        <w:t xml:space="preserve"> with disability and the general population experiencing suicidal ideation</w:t>
      </w:r>
      <w:r w:rsidRPr="00CA5F45">
        <w:t xml:space="preserve"> </w:t>
      </w:r>
      <w:r>
        <w:t>or suicide attempt among adults aged 18+ years</w:t>
      </w:r>
      <w:bookmarkEnd w:id="668"/>
      <w:bookmarkEnd w:id="669"/>
      <w:r>
        <w:t xml:space="preserve"> </w:t>
      </w:r>
    </w:p>
    <w:p w14:paraId="12DDCBA4" w14:textId="77777777" w:rsidR="009D0006" w:rsidRPr="00DC5ECC" w:rsidRDefault="009D0006" w:rsidP="00184CF2">
      <w:pPr>
        <w:pStyle w:val="Tableheading"/>
      </w:pPr>
      <w:r>
        <w:t xml:space="preserve">Table 66.1 </w:t>
      </w:r>
      <w:r w:rsidRPr="00DD7F05">
        <w:rPr>
          <w:i/>
        </w:rPr>
        <w:t>Private Lives 3</w:t>
      </w:r>
      <w:r>
        <w:t xml:space="preserve"> participants with disability, Suicidal ideation</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4C40DF8"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1DA1364" w14:textId="77777777" w:rsidR="009D0006" w:rsidRPr="003F4D73" w:rsidRDefault="009D0006" w:rsidP="00246D84">
            <w:pPr>
              <w:pStyle w:val="Tableheader"/>
            </w:pPr>
          </w:p>
        </w:tc>
        <w:tc>
          <w:tcPr>
            <w:tcW w:w="1559" w:type="dxa"/>
            <w:hideMark/>
          </w:tcPr>
          <w:p w14:paraId="0626C1BE" w14:textId="77777777" w:rsidR="009D0006" w:rsidRPr="003F4D73" w:rsidRDefault="009D0006" w:rsidP="00246D84">
            <w:pPr>
              <w:pStyle w:val="Tableheader"/>
            </w:pPr>
            <w:r>
              <w:t>n</w:t>
            </w:r>
          </w:p>
        </w:tc>
        <w:tc>
          <w:tcPr>
            <w:tcW w:w="1559" w:type="dxa"/>
            <w:hideMark/>
          </w:tcPr>
          <w:p w14:paraId="17E34468" w14:textId="77777777" w:rsidR="009D0006" w:rsidRPr="003F4D73" w:rsidRDefault="009D0006" w:rsidP="00246D84">
            <w:pPr>
              <w:pStyle w:val="Tableheader"/>
            </w:pPr>
            <w:r w:rsidRPr="003F4D73">
              <w:t>%</w:t>
            </w:r>
          </w:p>
        </w:tc>
      </w:tr>
      <w:tr w:rsidR="009D0006" w:rsidRPr="003F4D73" w14:paraId="1E973ADE"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058A1CE" w14:textId="77777777" w:rsidR="009D0006" w:rsidRPr="003F4D73" w:rsidRDefault="009D0006" w:rsidP="00246D84">
            <w:pPr>
              <w:pStyle w:val="Tabletext"/>
            </w:pPr>
            <w:r>
              <w:t>Past 12 months</w:t>
            </w:r>
          </w:p>
        </w:tc>
        <w:tc>
          <w:tcPr>
            <w:tcW w:w="1559" w:type="dxa"/>
          </w:tcPr>
          <w:p w14:paraId="13445D51" w14:textId="77777777" w:rsidR="009D0006" w:rsidRPr="003F4D73" w:rsidRDefault="009D0006" w:rsidP="00246D84">
            <w:pPr>
              <w:pStyle w:val="Tabletext"/>
            </w:pPr>
            <w:r>
              <w:rPr>
                <w:color w:val="000000"/>
              </w:rPr>
              <w:t>1567</w:t>
            </w:r>
          </w:p>
        </w:tc>
        <w:tc>
          <w:tcPr>
            <w:tcW w:w="1559" w:type="dxa"/>
          </w:tcPr>
          <w:p w14:paraId="40BC9B1B" w14:textId="77777777" w:rsidR="009D0006" w:rsidRPr="003F4D73" w:rsidRDefault="009D0006" w:rsidP="00246D84">
            <w:pPr>
              <w:pStyle w:val="Tabletext"/>
            </w:pPr>
            <w:r>
              <w:rPr>
                <w:color w:val="000000"/>
              </w:rPr>
              <w:t>59.8</w:t>
            </w:r>
          </w:p>
        </w:tc>
      </w:tr>
      <w:tr w:rsidR="009D0006" w:rsidRPr="003F4D73" w14:paraId="0DDAE7DA"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ABA2B3E" w14:textId="77777777" w:rsidR="009D0006" w:rsidRPr="003F4D73" w:rsidRDefault="009D0006" w:rsidP="00246D84">
            <w:pPr>
              <w:pStyle w:val="Tabletext"/>
            </w:pPr>
            <w:r>
              <w:rPr>
                <w:color w:val="000000"/>
                <w:lang w:val="en-US"/>
              </w:rPr>
              <w:t>Ever</w:t>
            </w:r>
          </w:p>
        </w:tc>
        <w:tc>
          <w:tcPr>
            <w:tcW w:w="1559" w:type="dxa"/>
          </w:tcPr>
          <w:p w14:paraId="4319C623" w14:textId="77777777" w:rsidR="009D0006" w:rsidRPr="003F4D73" w:rsidRDefault="009D0006" w:rsidP="00246D84">
            <w:pPr>
              <w:pStyle w:val="Tabletext"/>
            </w:pPr>
            <w:r>
              <w:rPr>
                <w:color w:val="000000"/>
              </w:rPr>
              <w:t>2309</w:t>
            </w:r>
          </w:p>
        </w:tc>
        <w:tc>
          <w:tcPr>
            <w:tcW w:w="1559" w:type="dxa"/>
          </w:tcPr>
          <w:p w14:paraId="4ED2F3AC" w14:textId="77777777" w:rsidR="009D0006" w:rsidRPr="003F4D73" w:rsidRDefault="009D0006" w:rsidP="00246D84">
            <w:pPr>
              <w:pStyle w:val="Tabletext"/>
            </w:pPr>
            <w:r>
              <w:rPr>
                <w:color w:val="000000"/>
              </w:rPr>
              <w:t>88.2</w:t>
            </w:r>
          </w:p>
        </w:tc>
      </w:tr>
      <w:tr w:rsidR="009D0006" w:rsidRPr="00113A42" w14:paraId="0D63720C"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1FD4BEC" w14:textId="77777777" w:rsidR="009D0006" w:rsidRPr="00C47CBF" w:rsidRDefault="009D0006" w:rsidP="00246D84">
            <w:pPr>
              <w:pStyle w:val="Tabletext"/>
              <w:rPr>
                <w:rFonts w:eastAsia="MS Mincho"/>
                <w:color w:val="000000"/>
                <w:szCs w:val="23"/>
              </w:rPr>
            </w:pPr>
            <w:r w:rsidRPr="00C47CBF">
              <w:rPr>
                <w:rFonts w:eastAsia="MS Mincho"/>
                <w:color w:val="000000"/>
                <w:szCs w:val="23"/>
              </w:rPr>
              <w:t>Prefer not to say</w:t>
            </w:r>
          </w:p>
        </w:tc>
        <w:tc>
          <w:tcPr>
            <w:tcW w:w="1559" w:type="dxa"/>
          </w:tcPr>
          <w:p w14:paraId="0D565948" w14:textId="77777777" w:rsidR="009D0006" w:rsidRPr="00C47CBF" w:rsidRDefault="009D0006" w:rsidP="00246D84">
            <w:pPr>
              <w:pStyle w:val="Tabletext"/>
              <w:rPr>
                <w:rFonts w:eastAsia="MS Mincho"/>
                <w:color w:val="000000"/>
                <w:szCs w:val="23"/>
              </w:rPr>
            </w:pPr>
            <w:r w:rsidRPr="00C47CBF">
              <w:rPr>
                <w:rFonts w:eastAsia="MS Mincho"/>
                <w:color w:val="000000"/>
                <w:szCs w:val="23"/>
              </w:rPr>
              <w:t>64</w:t>
            </w:r>
          </w:p>
        </w:tc>
        <w:tc>
          <w:tcPr>
            <w:tcW w:w="1559" w:type="dxa"/>
          </w:tcPr>
          <w:p w14:paraId="44ABC9A4" w14:textId="77777777" w:rsidR="009D0006" w:rsidRPr="00C47CBF" w:rsidRDefault="009D0006" w:rsidP="00246D84">
            <w:pPr>
              <w:pStyle w:val="Tabletext"/>
              <w:rPr>
                <w:rFonts w:eastAsia="MS Mincho"/>
                <w:color w:val="000000"/>
                <w:szCs w:val="23"/>
              </w:rPr>
            </w:pPr>
            <w:r w:rsidRPr="00C47CBF">
              <w:rPr>
                <w:rFonts w:eastAsia="MS Mincho"/>
                <w:color w:val="000000"/>
                <w:szCs w:val="23"/>
              </w:rPr>
              <w:t>2.5</w:t>
            </w:r>
          </w:p>
        </w:tc>
      </w:tr>
    </w:tbl>
    <w:p w14:paraId="3B1AE531" w14:textId="77777777" w:rsidR="009D0006" w:rsidRDefault="009D0006" w:rsidP="00184CF2">
      <w:pPr>
        <w:pStyle w:val="Tableheading"/>
      </w:pPr>
      <w:bookmarkStart w:id="670" w:name="_Toc58252110"/>
      <w:bookmarkEnd w:id="661"/>
      <w:r>
        <w:t xml:space="preserve">Table 66.2 </w:t>
      </w:r>
      <w:r w:rsidRPr="00DD7F05">
        <w:rPr>
          <w:i/>
        </w:rPr>
        <w:t>Private Lives 3</w:t>
      </w:r>
      <w:r>
        <w:t xml:space="preserve"> participants with disability, Suicide attempt</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B499034"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11D7506F" w14:textId="77777777" w:rsidR="009D0006" w:rsidRPr="003F4D73" w:rsidRDefault="009D0006" w:rsidP="00246D84">
            <w:pPr>
              <w:pStyle w:val="Tableheader"/>
            </w:pPr>
          </w:p>
        </w:tc>
        <w:tc>
          <w:tcPr>
            <w:tcW w:w="3118" w:type="dxa"/>
            <w:gridSpan w:val="2"/>
          </w:tcPr>
          <w:p w14:paraId="0C357EAE" w14:textId="77777777" w:rsidR="009D0006" w:rsidRPr="003F4D73" w:rsidRDefault="009D0006" w:rsidP="00246D84">
            <w:pPr>
              <w:pStyle w:val="Tableheader"/>
            </w:pPr>
            <w:r>
              <w:t>Suicide attempt</w:t>
            </w:r>
          </w:p>
        </w:tc>
      </w:tr>
      <w:tr w:rsidR="009D0006" w:rsidRPr="003F4D73" w14:paraId="72C8EE9E"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02E2788" w14:textId="77777777" w:rsidR="009D0006" w:rsidRPr="003F4D73" w:rsidRDefault="009D0006" w:rsidP="00246D84">
            <w:pPr>
              <w:pStyle w:val="Tabletext"/>
            </w:pPr>
          </w:p>
        </w:tc>
        <w:tc>
          <w:tcPr>
            <w:tcW w:w="1559" w:type="dxa"/>
          </w:tcPr>
          <w:p w14:paraId="15AF6400" w14:textId="77777777" w:rsidR="009D0006" w:rsidRDefault="009D0006" w:rsidP="00246D84">
            <w:pPr>
              <w:pStyle w:val="Tabletext"/>
            </w:pPr>
            <w:r>
              <w:t>n</w:t>
            </w:r>
          </w:p>
        </w:tc>
        <w:tc>
          <w:tcPr>
            <w:tcW w:w="1559" w:type="dxa"/>
          </w:tcPr>
          <w:p w14:paraId="049C1471" w14:textId="77777777" w:rsidR="009D0006" w:rsidRDefault="009D0006" w:rsidP="00246D84">
            <w:pPr>
              <w:pStyle w:val="Tabletext"/>
            </w:pPr>
            <w:r w:rsidRPr="003F4D73">
              <w:t>%</w:t>
            </w:r>
          </w:p>
        </w:tc>
      </w:tr>
      <w:tr w:rsidR="009D0006" w:rsidRPr="003F4D73" w14:paraId="0FE083B3"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1770CC0" w14:textId="77777777" w:rsidR="009D0006" w:rsidRPr="003F4D73" w:rsidRDefault="009D0006" w:rsidP="00246D84">
            <w:pPr>
              <w:pStyle w:val="Tabletext"/>
            </w:pPr>
            <w:r>
              <w:t>Past 12 months</w:t>
            </w:r>
          </w:p>
        </w:tc>
        <w:tc>
          <w:tcPr>
            <w:tcW w:w="1559" w:type="dxa"/>
          </w:tcPr>
          <w:p w14:paraId="6F30E435" w14:textId="77777777" w:rsidR="009D0006" w:rsidRDefault="009D0006" w:rsidP="00246D84">
            <w:pPr>
              <w:pStyle w:val="Tabletext"/>
              <w:rPr>
                <w:color w:val="000000"/>
              </w:rPr>
            </w:pPr>
            <w:r>
              <w:rPr>
                <w:color w:val="000000"/>
              </w:rPr>
              <w:t>184</w:t>
            </w:r>
          </w:p>
        </w:tc>
        <w:tc>
          <w:tcPr>
            <w:tcW w:w="1559" w:type="dxa"/>
          </w:tcPr>
          <w:p w14:paraId="41AFC9E1" w14:textId="77777777" w:rsidR="009D0006" w:rsidRDefault="009D0006" w:rsidP="00246D84">
            <w:pPr>
              <w:pStyle w:val="Tabletext"/>
              <w:rPr>
                <w:color w:val="000000"/>
              </w:rPr>
            </w:pPr>
            <w:r>
              <w:rPr>
                <w:color w:val="000000"/>
              </w:rPr>
              <w:t>8.4</w:t>
            </w:r>
          </w:p>
        </w:tc>
      </w:tr>
      <w:tr w:rsidR="009D0006" w:rsidRPr="003F4D73" w14:paraId="6970C889"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3291E07" w14:textId="77777777" w:rsidR="009D0006" w:rsidRPr="003F4D73" w:rsidRDefault="009D0006" w:rsidP="00246D84">
            <w:pPr>
              <w:pStyle w:val="Tabletext"/>
            </w:pPr>
            <w:r>
              <w:rPr>
                <w:color w:val="000000"/>
                <w:lang w:val="en-US"/>
              </w:rPr>
              <w:t>Ever</w:t>
            </w:r>
          </w:p>
        </w:tc>
        <w:tc>
          <w:tcPr>
            <w:tcW w:w="1559" w:type="dxa"/>
          </w:tcPr>
          <w:p w14:paraId="4B71CEA1" w14:textId="77777777" w:rsidR="009D0006" w:rsidRDefault="009D0006" w:rsidP="00246D84">
            <w:pPr>
              <w:pStyle w:val="Tabletext"/>
              <w:rPr>
                <w:color w:val="000000"/>
              </w:rPr>
            </w:pPr>
            <w:r>
              <w:rPr>
                <w:color w:val="000000"/>
              </w:rPr>
              <w:t>950</w:t>
            </w:r>
          </w:p>
        </w:tc>
        <w:tc>
          <w:tcPr>
            <w:tcW w:w="1559" w:type="dxa"/>
          </w:tcPr>
          <w:p w14:paraId="6810D964" w14:textId="77777777" w:rsidR="009D0006" w:rsidRDefault="009D0006" w:rsidP="00246D84">
            <w:pPr>
              <w:pStyle w:val="Tabletext"/>
              <w:rPr>
                <w:color w:val="000000"/>
              </w:rPr>
            </w:pPr>
            <w:r>
              <w:rPr>
                <w:color w:val="000000"/>
              </w:rPr>
              <w:t>43.4</w:t>
            </w:r>
          </w:p>
        </w:tc>
      </w:tr>
      <w:tr w:rsidR="009D0006" w:rsidRPr="00113A42" w14:paraId="33582273"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6CA2F99" w14:textId="77777777" w:rsidR="009D0006" w:rsidRPr="00C47CBF" w:rsidRDefault="009D0006" w:rsidP="00246D84">
            <w:pPr>
              <w:pStyle w:val="Tabletext"/>
              <w:rPr>
                <w:rFonts w:eastAsia="MS Mincho"/>
                <w:color w:val="000000"/>
                <w:szCs w:val="23"/>
              </w:rPr>
            </w:pPr>
            <w:r w:rsidRPr="00C47CBF">
              <w:rPr>
                <w:rFonts w:eastAsia="MS Mincho"/>
                <w:color w:val="000000"/>
                <w:szCs w:val="23"/>
              </w:rPr>
              <w:t>Prefer not to say</w:t>
            </w:r>
          </w:p>
        </w:tc>
        <w:tc>
          <w:tcPr>
            <w:tcW w:w="1559" w:type="dxa"/>
          </w:tcPr>
          <w:p w14:paraId="3590D5C7" w14:textId="77777777" w:rsidR="009D0006" w:rsidRPr="00C47CBF" w:rsidRDefault="009D0006" w:rsidP="00246D84">
            <w:pPr>
              <w:pStyle w:val="Tabletext"/>
              <w:rPr>
                <w:rFonts w:eastAsia="MS Mincho"/>
                <w:color w:val="000000"/>
                <w:szCs w:val="23"/>
              </w:rPr>
            </w:pPr>
            <w:r w:rsidRPr="00C47CBF">
              <w:rPr>
                <w:rFonts w:eastAsia="MS Mincho"/>
                <w:color w:val="000000"/>
                <w:szCs w:val="23"/>
              </w:rPr>
              <w:t>115</w:t>
            </w:r>
          </w:p>
        </w:tc>
        <w:tc>
          <w:tcPr>
            <w:tcW w:w="1559" w:type="dxa"/>
          </w:tcPr>
          <w:p w14:paraId="1065FAED" w14:textId="77777777" w:rsidR="009D0006" w:rsidRPr="00C47CBF" w:rsidRDefault="009D0006" w:rsidP="00246D84">
            <w:pPr>
              <w:pStyle w:val="Tabletext"/>
              <w:rPr>
                <w:rFonts w:eastAsia="MS Mincho"/>
                <w:color w:val="000000"/>
                <w:szCs w:val="23"/>
              </w:rPr>
            </w:pPr>
            <w:r w:rsidRPr="00C47CBF">
              <w:rPr>
                <w:rFonts w:eastAsia="MS Mincho"/>
                <w:color w:val="000000"/>
                <w:szCs w:val="23"/>
              </w:rPr>
              <w:t>5.2</w:t>
            </w:r>
          </w:p>
        </w:tc>
      </w:tr>
    </w:tbl>
    <w:p w14:paraId="572E7323" w14:textId="77777777" w:rsidR="009D0006" w:rsidRDefault="009D0006" w:rsidP="00184CF2">
      <w:pPr>
        <w:pStyle w:val="Tableheading"/>
      </w:pPr>
      <w:r>
        <w:t>Table 66.3 General Australian population, Suicidal ideation</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66D8B08"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C03EBFE" w14:textId="77777777" w:rsidR="009D0006" w:rsidRPr="003F4D73" w:rsidRDefault="009D0006" w:rsidP="00246D84">
            <w:pPr>
              <w:pStyle w:val="Tableheader"/>
            </w:pPr>
          </w:p>
        </w:tc>
        <w:tc>
          <w:tcPr>
            <w:tcW w:w="1559" w:type="dxa"/>
          </w:tcPr>
          <w:p w14:paraId="2D8146CB" w14:textId="77777777" w:rsidR="009D0006" w:rsidRDefault="009D0006" w:rsidP="00246D84">
            <w:pPr>
              <w:pStyle w:val="Tableheader"/>
            </w:pPr>
            <w:r>
              <w:t>n</w:t>
            </w:r>
          </w:p>
        </w:tc>
        <w:tc>
          <w:tcPr>
            <w:tcW w:w="1559" w:type="dxa"/>
          </w:tcPr>
          <w:p w14:paraId="53859337" w14:textId="77777777" w:rsidR="009D0006" w:rsidRDefault="009D0006" w:rsidP="00246D84">
            <w:pPr>
              <w:pStyle w:val="Tableheader"/>
            </w:pPr>
            <w:r w:rsidRPr="003F4D73">
              <w:t>%</w:t>
            </w:r>
          </w:p>
        </w:tc>
      </w:tr>
      <w:tr w:rsidR="009D0006" w:rsidRPr="003F4D73" w14:paraId="5968774A"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37B9AE1" w14:textId="77777777" w:rsidR="009D0006" w:rsidRPr="003F4D73" w:rsidRDefault="009D0006" w:rsidP="00246D84">
            <w:pPr>
              <w:pStyle w:val="Tabletext"/>
            </w:pPr>
            <w:r>
              <w:t>Past 12 months</w:t>
            </w:r>
          </w:p>
        </w:tc>
        <w:tc>
          <w:tcPr>
            <w:tcW w:w="1559" w:type="dxa"/>
          </w:tcPr>
          <w:p w14:paraId="67F195EF" w14:textId="77777777" w:rsidR="009D0006" w:rsidRDefault="009D0006" w:rsidP="00246D84">
            <w:pPr>
              <w:pStyle w:val="Tabletext"/>
              <w:rPr>
                <w:color w:val="000000"/>
              </w:rPr>
            </w:pPr>
            <w:r>
              <w:rPr>
                <w:color w:val="000000"/>
              </w:rPr>
              <w:t>-</w:t>
            </w:r>
          </w:p>
        </w:tc>
        <w:tc>
          <w:tcPr>
            <w:tcW w:w="1559" w:type="dxa"/>
          </w:tcPr>
          <w:p w14:paraId="3A11D6C1" w14:textId="77777777" w:rsidR="009D0006" w:rsidRDefault="009D0006" w:rsidP="00246D84">
            <w:pPr>
              <w:pStyle w:val="Tabletext"/>
              <w:rPr>
                <w:color w:val="000000"/>
              </w:rPr>
            </w:pPr>
            <w:r>
              <w:rPr>
                <w:color w:val="000000"/>
              </w:rPr>
              <w:t>2.3</w:t>
            </w:r>
          </w:p>
        </w:tc>
      </w:tr>
      <w:tr w:rsidR="009D0006" w:rsidRPr="003F4D73" w14:paraId="2411078B"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7B52F2C" w14:textId="77777777" w:rsidR="009D0006" w:rsidRPr="003F4D73" w:rsidRDefault="009D0006" w:rsidP="00246D84">
            <w:pPr>
              <w:pStyle w:val="Tabletext"/>
            </w:pPr>
            <w:r>
              <w:rPr>
                <w:color w:val="000000"/>
                <w:lang w:val="en-US"/>
              </w:rPr>
              <w:t>Ever</w:t>
            </w:r>
          </w:p>
        </w:tc>
        <w:tc>
          <w:tcPr>
            <w:tcW w:w="1559" w:type="dxa"/>
          </w:tcPr>
          <w:p w14:paraId="1CDF63EF" w14:textId="77777777" w:rsidR="009D0006" w:rsidRDefault="009D0006" w:rsidP="00246D84">
            <w:pPr>
              <w:pStyle w:val="Tabletext"/>
              <w:rPr>
                <w:color w:val="000000"/>
              </w:rPr>
            </w:pPr>
            <w:r>
              <w:rPr>
                <w:color w:val="000000"/>
              </w:rPr>
              <w:t>-</w:t>
            </w:r>
          </w:p>
        </w:tc>
        <w:tc>
          <w:tcPr>
            <w:tcW w:w="1559" w:type="dxa"/>
          </w:tcPr>
          <w:p w14:paraId="41097D19" w14:textId="77777777" w:rsidR="009D0006" w:rsidRDefault="009D0006" w:rsidP="00246D84">
            <w:pPr>
              <w:pStyle w:val="Tabletext"/>
              <w:rPr>
                <w:color w:val="000000"/>
              </w:rPr>
            </w:pPr>
            <w:r>
              <w:rPr>
                <w:color w:val="000000"/>
              </w:rPr>
              <w:t>13.3</w:t>
            </w:r>
          </w:p>
        </w:tc>
      </w:tr>
      <w:tr w:rsidR="009D0006" w:rsidRPr="00113A42" w14:paraId="2E9BED0C"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C5B22B5" w14:textId="77777777" w:rsidR="009D0006" w:rsidRPr="00C47CBF" w:rsidRDefault="009D0006" w:rsidP="00246D84">
            <w:pPr>
              <w:pStyle w:val="Tabletext"/>
              <w:rPr>
                <w:rFonts w:eastAsia="MS Mincho"/>
                <w:color w:val="000000"/>
                <w:szCs w:val="23"/>
              </w:rPr>
            </w:pPr>
            <w:r w:rsidRPr="00C47CBF">
              <w:rPr>
                <w:rFonts w:eastAsia="MS Mincho"/>
                <w:color w:val="000000"/>
                <w:szCs w:val="23"/>
              </w:rPr>
              <w:t>Prefer not to say</w:t>
            </w:r>
          </w:p>
        </w:tc>
        <w:tc>
          <w:tcPr>
            <w:tcW w:w="1559" w:type="dxa"/>
          </w:tcPr>
          <w:p w14:paraId="0F4F50F9" w14:textId="77777777" w:rsidR="009D0006" w:rsidRPr="00C47CBF" w:rsidRDefault="009D0006" w:rsidP="00246D84">
            <w:pPr>
              <w:pStyle w:val="Tabletext"/>
              <w:rPr>
                <w:rFonts w:eastAsia="MS Mincho"/>
                <w:color w:val="000000"/>
                <w:szCs w:val="23"/>
              </w:rPr>
            </w:pPr>
            <w:r w:rsidRPr="00C47CBF">
              <w:rPr>
                <w:rFonts w:eastAsia="MS Mincho"/>
                <w:color w:val="000000"/>
                <w:szCs w:val="23"/>
              </w:rPr>
              <w:t>-</w:t>
            </w:r>
          </w:p>
        </w:tc>
        <w:tc>
          <w:tcPr>
            <w:tcW w:w="1559" w:type="dxa"/>
          </w:tcPr>
          <w:p w14:paraId="70E2246A" w14:textId="77777777" w:rsidR="009D0006" w:rsidRPr="00C47CBF" w:rsidRDefault="009D0006" w:rsidP="00246D84">
            <w:pPr>
              <w:pStyle w:val="Tabletext"/>
              <w:rPr>
                <w:rFonts w:eastAsia="MS Mincho"/>
                <w:color w:val="000000"/>
                <w:szCs w:val="23"/>
              </w:rPr>
            </w:pPr>
            <w:r w:rsidRPr="00C47CBF">
              <w:rPr>
                <w:rFonts w:eastAsia="MS Mincho"/>
                <w:color w:val="000000"/>
                <w:szCs w:val="23"/>
              </w:rPr>
              <w:t>-</w:t>
            </w:r>
          </w:p>
        </w:tc>
      </w:tr>
    </w:tbl>
    <w:p w14:paraId="2EE1A6A0" w14:textId="77777777" w:rsidR="009D0006" w:rsidRDefault="009D0006" w:rsidP="00184CF2">
      <w:pPr>
        <w:pStyle w:val="Tableheading"/>
      </w:pPr>
      <w:r>
        <w:t xml:space="preserve">Table 66.4 </w:t>
      </w:r>
      <w:r>
        <w:lastRenderedPageBreak/>
        <w:t>General Australian population, Suicide attempt</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45AFB4F"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1C2039F" w14:textId="77777777" w:rsidR="009D0006" w:rsidRPr="003F4D73" w:rsidRDefault="009D0006" w:rsidP="00246D84">
            <w:pPr>
              <w:pStyle w:val="Tableheader"/>
            </w:pPr>
          </w:p>
        </w:tc>
        <w:tc>
          <w:tcPr>
            <w:tcW w:w="1559" w:type="dxa"/>
            <w:hideMark/>
          </w:tcPr>
          <w:p w14:paraId="2B11A6C8" w14:textId="77777777" w:rsidR="009D0006" w:rsidRPr="003F4D73" w:rsidRDefault="009D0006" w:rsidP="00246D84">
            <w:pPr>
              <w:pStyle w:val="Tableheader"/>
            </w:pPr>
            <w:r>
              <w:t>n</w:t>
            </w:r>
          </w:p>
        </w:tc>
        <w:tc>
          <w:tcPr>
            <w:tcW w:w="1559" w:type="dxa"/>
            <w:hideMark/>
          </w:tcPr>
          <w:p w14:paraId="5F380D16" w14:textId="77777777" w:rsidR="009D0006" w:rsidRPr="003F4D73" w:rsidRDefault="009D0006" w:rsidP="00246D84">
            <w:pPr>
              <w:pStyle w:val="Tableheader"/>
            </w:pPr>
            <w:r w:rsidRPr="003F4D73">
              <w:t>%</w:t>
            </w:r>
          </w:p>
        </w:tc>
      </w:tr>
      <w:tr w:rsidR="009D0006" w:rsidRPr="003F4D73" w14:paraId="520B9DCF"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167B1E8" w14:textId="77777777" w:rsidR="009D0006" w:rsidRPr="003F4D73" w:rsidRDefault="009D0006" w:rsidP="00246D84">
            <w:pPr>
              <w:pStyle w:val="Tabletext"/>
            </w:pPr>
            <w:r>
              <w:t>Past 12 months</w:t>
            </w:r>
          </w:p>
        </w:tc>
        <w:tc>
          <w:tcPr>
            <w:tcW w:w="1559" w:type="dxa"/>
          </w:tcPr>
          <w:p w14:paraId="7220F190" w14:textId="77777777" w:rsidR="009D0006" w:rsidRPr="003F4D73" w:rsidRDefault="009D0006" w:rsidP="00246D84">
            <w:pPr>
              <w:pStyle w:val="Tabletext"/>
            </w:pPr>
            <w:r>
              <w:t>-</w:t>
            </w:r>
          </w:p>
        </w:tc>
        <w:tc>
          <w:tcPr>
            <w:tcW w:w="1559" w:type="dxa"/>
          </w:tcPr>
          <w:p w14:paraId="74E00ACF" w14:textId="77777777" w:rsidR="009D0006" w:rsidRPr="003F4D73" w:rsidRDefault="009D0006" w:rsidP="00246D84">
            <w:pPr>
              <w:pStyle w:val="Tabletext"/>
            </w:pPr>
            <w:r>
              <w:t>0.4</w:t>
            </w:r>
          </w:p>
        </w:tc>
      </w:tr>
      <w:tr w:rsidR="009D0006" w:rsidRPr="003F4D73" w14:paraId="47730BC2"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2B1FCB8" w14:textId="77777777" w:rsidR="009D0006" w:rsidRPr="003F4D73" w:rsidRDefault="009D0006" w:rsidP="00246D84">
            <w:pPr>
              <w:pStyle w:val="Tabletext"/>
            </w:pPr>
            <w:r>
              <w:rPr>
                <w:color w:val="000000"/>
                <w:lang w:val="en-US"/>
              </w:rPr>
              <w:t>Ever</w:t>
            </w:r>
          </w:p>
        </w:tc>
        <w:tc>
          <w:tcPr>
            <w:tcW w:w="1559" w:type="dxa"/>
          </w:tcPr>
          <w:p w14:paraId="2138F59D" w14:textId="77777777" w:rsidR="009D0006" w:rsidRPr="003F4D73" w:rsidRDefault="009D0006" w:rsidP="00246D84">
            <w:pPr>
              <w:pStyle w:val="Tabletext"/>
            </w:pPr>
            <w:r>
              <w:t>-</w:t>
            </w:r>
          </w:p>
        </w:tc>
        <w:tc>
          <w:tcPr>
            <w:tcW w:w="1559" w:type="dxa"/>
          </w:tcPr>
          <w:p w14:paraId="2133488D" w14:textId="77777777" w:rsidR="009D0006" w:rsidRPr="003F4D73" w:rsidRDefault="009D0006" w:rsidP="00246D84">
            <w:pPr>
              <w:pStyle w:val="Tabletext"/>
            </w:pPr>
            <w:r>
              <w:t>3.2</w:t>
            </w:r>
          </w:p>
        </w:tc>
      </w:tr>
      <w:tr w:rsidR="009D0006" w:rsidRPr="00113A42" w14:paraId="2509BB14"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396F6B5" w14:textId="77777777" w:rsidR="009D0006" w:rsidRPr="00C47CBF" w:rsidRDefault="009D0006" w:rsidP="00246D84">
            <w:pPr>
              <w:pStyle w:val="Tabletext"/>
              <w:rPr>
                <w:rFonts w:eastAsia="MS Mincho"/>
                <w:color w:val="000000"/>
                <w:szCs w:val="23"/>
              </w:rPr>
            </w:pPr>
            <w:r w:rsidRPr="00C47CBF">
              <w:rPr>
                <w:rFonts w:eastAsia="MS Mincho"/>
                <w:color w:val="000000"/>
                <w:szCs w:val="23"/>
              </w:rPr>
              <w:t>Prefer not to say</w:t>
            </w:r>
          </w:p>
        </w:tc>
        <w:tc>
          <w:tcPr>
            <w:tcW w:w="1559" w:type="dxa"/>
          </w:tcPr>
          <w:p w14:paraId="71834070" w14:textId="77777777" w:rsidR="009D0006" w:rsidRPr="00C47CBF" w:rsidRDefault="009D0006" w:rsidP="00246D84">
            <w:pPr>
              <w:pStyle w:val="Tabletext"/>
              <w:rPr>
                <w:rFonts w:eastAsia="MS Mincho"/>
                <w:color w:val="000000"/>
                <w:szCs w:val="23"/>
              </w:rPr>
            </w:pPr>
            <w:r w:rsidRPr="00C47CBF">
              <w:rPr>
                <w:rFonts w:eastAsia="MS Mincho"/>
                <w:color w:val="000000"/>
                <w:szCs w:val="23"/>
              </w:rPr>
              <w:t>-</w:t>
            </w:r>
          </w:p>
        </w:tc>
        <w:tc>
          <w:tcPr>
            <w:tcW w:w="1559" w:type="dxa"/>
          </w:tcPr>
          <w:p w14:paraId="534BFBDA" w14:textId="77777777" w:rsidR="009D0006" w:rsidRPr="00C47CBF" w:rsidRDefault="009D0006" w:rsidP="00246D84">
            <w:pPr>
              <w:pStyle w:val="Tabletext"/>
              <w:rPr>
                <w:rFonts w:eastAsia="MS Mincho"/>
                <w:color w:val="000000"/>
                <w:szCs w:val="23"/>
              </w:rPr>
            </w:pPr>
            <w:r w:rsidRPr="00C47CBF">
              <w:rPr>
                <w:rFonts w:eastAsia="MS Mincho"/>
                <w:color w:val="000000"/>
                <w:szCs w:val="23"/>
              </w:rPr>
              <w:t>-</w:t>
            </w:r>
          </w:p>
        </w:tc>
      </w:tr>
    </w:tbl>
    <w:p w14:paraId="015AC2CA" w14:textId="77777777" w:rsidR="009D0006" w:rsidRDefault="009D0006" w:rsidP="00184CF2">
      <w:pPr>
        <w:spacing w:before="360"/>
      </w:pPr>
      <w:r w:rsidRPr="00C47CBF">
        <w:t>As shown in Table</w:t>
      </w:r>
      <w:r>
        <w:t>s</w:t>
      </w:r>
      <w:r w:rsidRPr="00C47CBF">
        <w:t xml:space="preserve"> </w:t>
      </w:r>
      <w:r>
        <w:t xml:space="preserve">66.1-66.4, a much greater proportion of participants with disability in </w:t>
      </w:r>
      <w:r>
        <w:rPr>
          <w:i/>
          <w:iCs/>
        </w:rPr>
        <w:t>Private Lives 3</w:t>
      </w:r>
      <w:r>
        <w:t xml:space="preserve"> had experienced suicidal ideation (59.4%; n = 1567) or a suicide attempt (8.4%; n = 184) in the past 12 months compared to the general population. In the general population, 2.3% of participants had experienced suicidal ideation in the past 12 months and 0.4% had attempted suicide in the past 12 months. As the closest comparable population-based data, general population data shown in Table 66 is from the </w:t>
      </w:r>
      <w:r w:rsidRPr="000C5D54">
        <w:rPr>
          <w:i/>
          <w:iCs/>
        </w:rPr>
        <w:t>2007 National Survey of Mental Health and Wellbeing</w:t>
      </w:r>
      <w:r w:rsidRPr="008F6DE4">
        <w:t>.</w:t>
      </w:r>
      <w:r w:rsidRPr="008F6DE4">
        <w:fldChar w:fldCharType="begin"/>
      </w:r>
      <w:r>
        <w:instrText xml:space="preserve"> ADDIN ZOTERO_ITEM CSL_CITATION {"citationID":"a1v2tobaqqu","properties":{"formattedCitation":"(66)","plainCitation":"(66)","noteIndex":0},"citationItems":[{"id":"hc6yy1rM/1TRMV6wU","uris":["http://zotero.org/users/4948307/items/PBRBSGQN"],"itemData":{"id":"Z7ANDQFf/Qa29RxkZ","type":"article-journal","abstract":"Objectives: To provide an overview of the lifetime and 12 month prevalence of suicidal ideation, suicide plans and suicide attempts for Australian adults as a whole and for particular sociodemographic and clinical population subgroups, and to explore the health service use of people with suicidality.Method: Data came from the 2007 National Survey of Mental Health and Wellbeing (2007 NSMHWB), a nationally, representative household survey of 8841 individuals aged 16?85 years.Results: A total of 13.3% of respondents had suicidal ideation during their lifetime, 4.0% had made a suicide plan and 3.2% had made a suicide attempt. The equivalent 12 month prevalence rates were 2.3%, 0.6% and 0.4%, for ideation, plans and attempts, respectively. In general, suicidality in the previous 12 months tended to be relatively more common in women, younger people, those outside the labour force, and those with mental disorders; and less common in those who were married or in de facto relationships, and those with moderate levels of education. A number of the differences in prevalence rates between sociodemographic and clinical subgroups did not reach statistical significance due to data availability constraints and the conservative tests of significance that were used by necessity. These patterns warrant further exploration. Service use for mental health problems was higher among people with suicidality than it was among the general population, but significant numbers of those experiencing suicidality did not receive treatment.Conclusions: Suicidal thoughts and behaviours are not uncommon among the Australian adult population. These thoughts and behaviours are not only predictive of subsequent fatal suicidal acts, but are significant public health problems in their own right. They are associated with high levels of burden at an individual and societal level. Further analysis is required to assess the effectiveness of the national policy frameworks in reducing the spectrum of suicidal thoughts and behaviours.","container-title":"Australian &amp; New Zealand Journal of Psychiatry","DOI":"10.1080/00048670902970874","ISSN":"0004-8674","issue":"7","journalAbbreviation":"Aust N Z J Psychiatry","note":"publisher: SAGE Publications Ltd","page":"635-643","title":"Suicidal Thoughts and Behaviours Among Australian Adults: Findings from the 2007 National Survey of Mental Health and Wellbeing","volume":"43","author":[{"family":"Johnston","given":"Amy K."},{"family":"Pirkis","given":"Jane E."},{"family":"Burgess","given":"Philip M."}],"issued":{"date-parts":[["2009",1,1]]}}}],"schema":"https://github.com/citation-style-language/schema/raw/master/csl-citation.json"} </w:instrText>
      </w:r>
      <w:r w:rsidRPr="008F6DE4">
        <w:fldChar w:fldCharType="separate"/>
      </w:r>
      <w:r>
        <w:rPr>
          <w:lang w:val="en-GB"/>
        </w:rPr>
        <w:t>(66)</w:t>
      </w:r>
      <w:r w:rsidRPr="008F6DE4">
        <w:fldChar w:fldCharType="end"/>
      </w:r>
    </w:p>
    <w:p w14:paraId="11EF6EAA" w14:textId="77777777" w:rsidR="009D0006" w:rsidRPr="005409D0" w:rsidRDefault="009D0006" w:rsidP="009D0006">
      <w:r>
        <w:t xml:space="preserve">Additionally, a much greater proportion of participants with disability in </w:t>
      </w:r>
      <w:r>
        <w:rPr>
          <w:i/>
          <w:iCs/>
        </w:rPr>
        <w:t>Private Lives 3</w:t>
      </w:r>
      <w:r>
        <w:t xml:space="preserve"> had experienced suicidal ideation or a suicide attempt in their lifetime compared to</w:t>
      </w:r>
      <w:r w:rsidRPr="005409D0">
        <w:t xml:space="preserve"> </w:t>
      </w:r>
      <w:r>
        <w:t xml:space="preserve">participants from the general Australian population. Almost 9 in 10 participants with disability in </w:t>
      </w:r>
      <w:r>
        <w:rPr>
          <w:i/>
          <w:iCs/>
        </w:rPr>
        <w:t>Private Lives 3</w:t>
      </w:r>
      <w:r>
        <w:t xml:space="preserve"> had ever experienced suicidal ideation (88.2%; n = 2309) compared to a little over 1 in 10 in the general population (13.3%). More than two-fifths of participants with disability in </w:t>
      </w:r>
      <w:r>
        <w:rPr>
          <w:i/>
          <w:iCs/>
        </w:rPr>
        <w:t xml:space="preserve">Private Lives 3 </w:t>
      </w:r>
      <w:r>
        <w:t>had ever attempted suicide (43.4%; n = 950) compared to 3.2% of the general population.</w:t>
      </w:r>
    </w:p>
    <w:p w14:paraId="29753AD7" w14:textId="0E5BA161" w:rsidR="009D0006" w:rsidRPr="009761D5" w:rsidRDefault="009D0006" w:rsidP="006346CA">
      <w:pPr>
        <w:pStyle w:val="Heading3Numbered"/>
      </w:pPr>
      <w:bookmarkStart w:id="671" w:name="_Toc115968594"/>
      <w:r w:rsidRPr="009761D5">
        <w:t xml:space="preserve">Suicidal ideation in the past 12 months and ever by </w:t>
      </w:r>
      <w:bookmarkEnd w:id="670"/>
      <w:r w:rsidRPr="009761D5">
        <w:t>disability – young people aged 14-21 years</w:t>
      </w:r>
      <w:bookmarkEnd w:id="671"/>
    </w:p>
    <w:p w14:paraId="115F093C" w14:textId="77777777" w:rsidR="009D0006" w:rsidRPr="00C47CBF" w:rsidRDefault="009D0006" w:rsidP="009D0006">
      <w:r w:rsidRPr="00782BFA">
        <w:t>Tables 67 display</w:t>
      </w:r>
      <w:r>
        <w:t>s</w:t>
      </w:r>
      <w:r w:rsidRPr="00782BFA">
        <w:t xml:space="preserve"> the</w:t>
      </w:r>
      <w:r>
        <w:t xml:space="preserve"> proportion of young people aged 14-21 years in </w:t>
      </w:r>
      <w:r w:rsidRPr="000C5D54">
        <w:rPr>
          <w:i/>
          <w:iCs/>
        </w:rPr>
        <w:t>Writing Themselves In 4</w:t>
      </w:r>
      <w:r>
        <w:t xml:space="preserve"> who reported experiencing suicidal ideation or a suicide attempt in the past 12 months according to disability.  </w:t>
      </w:r>
      <w:r w:rsidRPr="007172E4">
        <w:t xml:space="preserve"> </w:t>
      </w:r>
    </w:p>
    <w:p w14:paraId="05F20AB2" w14:textId="4A7DB7CE" w:rsidR="009D0006" w:rsidRPr="00184CF2" w:rsidRDefault="009D0006" w:rsidP="00184CF2">
      <w:pPr>
        <w:pStyle w:val="Tableheading"/>
      </w:pPr>
      <w:bookmarkStart w:id="672" w:name="_Toc117062785"/>
      <w:bookmarkStart w:id="673" w:name="_Toc119651470"/>
      <w:r w:rsidRPr="00184CF2">
        <w:t xml:space="preserve">Tables </w:t>
      </w:r>
      <w:r w:rsidR="00C9023A">
        <w:fldChar w:fldCharType="begin"/>
      </w:r>
      <w:r w:rsidR="00C9023A">
        <w:instrText xml:space="preserve"> SEQ Table \* ARABIC </w:instrText>
      </w:r>
      <w:r w:rsidR="00C9023A">
        <w:fldChar w:fldCharType="separate"/>
      </w:r>
      <w:r w:rsidRPr="00184CF2">
        <w:t>67</w:t>
      </w:r>
      <w:r w:rsidR="00C9023A">
        <w:fldChar w:fldCharType="end"/>
      </w:r>
      <w:r w:rsidRPr="00184CF2">
        <w:t>.1-67.7: Suicidal ideation in the past 12 months and ever among young people aged 14-21 years, grouped by disability (n = 5721)</w:t>
      </w:r>
      <w:bookmarkEnd w:id="672"/>
      <w:bookmarkEnd w:id="673"/>
    </w:p>
    <w:p w14:paraId="3190F9DD" w14:textId="77777777" w:rsidR="009D0006" w:rsidRDefault="009D0006" w:rsidP="00246D84">
      <w:pPr>
        <w:pStyle w:val="Tableheading"/>
      </w:pPr>
      <w:r>
        <w:t>Table 67.1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49A693D1"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21CE4F0B" w14:textId="77777777" w:rsidR="009D0006" w:rsidRPr="002D1E90" w:rsidRDefault="009D0006" w:rsidP="00246D84">
            <w:pPr>
              <w:pStyle w:val="Tableheader"/>
            </w:pPr>
            <w:r w:rsidRPr="00CC74AD">
              <w:t>Suicidal ideation </w:t>
            </w:r>
          </w:p>
        </w:tc>
        <w:tc>
          <w:tcPr>
            <w:tcW w:w="1559" w:type="dxa"/>
            <w:noWrap/>
          </w:tcPr>
          <w:p w14:paraId="02BB1A3A" w14:textId="77777777" w:rsidR="009D0006" w:rsidRPr="00C10C14" w:rsidRDefault="009D0006" w:rsidP="00246D84">
            <w:pPr>
              <w:pStyle w:val="Tableheader"/>
            </w:pPr>
            <w:r w:rsidRPr="00C10C14">
              <w:t>n</w:t>
            </w:r>
          </w:p>
        </w:tc>
        <w:tc>
          <w:tcPr>
            <w:tcW w:w="1559" w:type="dxa"/>
            <w:noWrap/>
          </w:tcPr>
          <w:p w14:paraId="5EE9C7E5" w14:textId="77777777" w:rsidR="009D0006" w:rsidRPr="00C10C14" w:rsidRDefault="009D0006" w:rsidP="00246D84">
            <w:pPr>
              <w:pStyle w:val="Tableheader"/>
            </w:pPr>
            <w:r w:rsidRPr="00C10C14">
              <w:t>%</w:t>
            </w:r>
          </w:p>
        </w:tc>
      </w:tr>
      <w:tr w:rsidR="009D0006" w:rsidRPr="00CC74AD" w14:paraId="3D54528E"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6819624" w14:textId="77777777" w:rsidR="009D0006" w:rsidRPr="00CC74AD" w:rsidRDefault="009D0006" w:rsidP="00246D84">
            <w:pPr>
              <w:pStyle w:val="Tabletext"/>
            </w:pPr>
            <w:r w:rsidRPr="00CC74AD">
              <w:rPr>
                <w:lang w:val="en-US"/>
              </w:rPr>
              <w:t>Past 12 months</w:t>
            </w:r>
          </w:p>
        </w:tc>
        <w:tc>
          <w:tcPr>
            <w:tcW w:w="1559" w:type="dxa"/>
            <w:noWrap/>
          </w:tcPr>
          <w:p w14:paraId="0469950F" w14:textId="77777777" w:rsidR="009D0006" w:rsidRPr="00CC74AD" w:rsidRDefault="009D0006" w:rsidP="00246D84">
            <w:pPr>
              <w:pStyle w:val="Tabletext"/>
            </w:pPr>
            <w:r w:rsidRPr="00CC74AD">
              <w:t>998</w:t>
            </w:r>
          </w:p>
        </w:tc>
        <w:tc>
          <w:tcPr>
            <w:tcW w:w="1559" w:type="dxa"/>
            <w:noWrap/>
          </w:tcPr>
          <w:p w14:paraId="618819D8" w14:textId="77777777" w:rsidR="009D0006" w:rsidRPr="00CC74AD" w:rsidRDefault="009D0006" w:rsidP="00246D84">
            <w:pPr>
              <w:pStyle w:val="Tabletext"/>
            </w:pPr>
            <w:r w:rsidRPr="00CC74AD">
              <w:t>69.6</w:t>
            </w:r>
          </w:p>
        </w:tc>
      </w:tr>
      <w:tr w:rsidR="009D0006" w:rsidRPr="00CC74AD" w14:paraId="269D1907"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66EFD851" w14:textId="77777777" w:rsidR="009D0006" w:rsidRPr="00CC74AD" w:rsidRDefault="009D0006" w:rsidP="00246D84">
            <w:pPr>
              <w:pStyle w:val="Tabletext"/>
            </w:pPr>
            <w:r w:rsidRPr="00CC74AD">
              <w:rPr>
                <w:lang w:val="en-US"/>
              </w:rPr>
              <w:t>Ever</w:t>
            </w:r>
          </w:p>
        </w:tc>
        <w:tc>
          <w:tcPr>
            <w:tcW w:w="1559" w:type="dxa"/>
            <w:noWrap/>
          </w:tcPr>
          <w:p w14:paraId="1A4A8740" w14:textId="77777777" w:rsidR="009D0006" w:rsidRPr="00CC74AD" w:rsidRDefault="009D0006" w:rsidP="00246D84">
            <w:pPr>
              <w:pStyle w:val="Tabletext"/>
            </w:pPr>
            <w:r w:rsidRPr="00CC74AD">
              <w:t>1265</w:t>
            </w:r>
          </w:p>
        </w:tc>
        <w:tc>
          <w:tcPr>
            <w:tcW w:w="1559" w:type="dxa"/>
            <w:noWrap/>
          </w:tcPr>
          <w:p w14:paraId="38336456" w14:textId="77777777" w:rsidR="009D0006" w:rsidRPr="00CC74AD" w:rsidRDefault="009D0006" w:rsidP="00246D84">
            <w:pPr>
              <w:pStyle w:val="Tabletext"/>
            </w:pPr>
            <w:r w:rsidRPr="00CC74AD">
              <w:t>88.3</w:t>
            </w:r>
          </w:p>
        </w:tc>
      </w:tr>
    </w:tbl>
    <w:p w14:paraId="73D5D697" w14:textId="77777777" w:rsidR="009D0006" w:rsidRDefault="009D0006" w:rsidP="00246D84">
      <w:pPr>
        <w:pStyle w:val="Tableheading"/>
        <w:rPr>
          <w:lang w:val="en-GB"/>
        </w:rPr>
      </w:pPr>
      <w:r>
        <w:rPr>
          <w:lang w:val="en-GB"/>
        </w:rPr>
        <w:t xml:space="preserve">Table 67.2 </w:t>
      </w:r>
      <w:r>
        <w:rPr>
          <w:lang w:val="en-GB"/>
        </w:rPr>
        <w:lastRenderedPageBreak/>
        <w:t>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4F372F4A" w14:textId="77777777" w:rsidTr="00246D84">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6D964FC5" w14:textId="77777777" w:rsidR="009D0006" w:rsidRPr="002D1E90" w:rsidRDefault="009D0006" w:rsidP="00246D84">
            <w:pPr>
              <w:pStyle w:val="Tableheader"/>
            </w:pPr>
            <w:r w:rsidRPr="00CC74AD">
              <w:t>Suicidal ideation </w:t>
            </w:r>
          </w:p>
        </w:tc>
        <w:tc>
          <w:tcPr>
            <w:tcW w:w="1559" w:type="dxa"/>
          </w:tcPr>
          <w:p w14:paraId="3A7F2E94" w14:textId="77777777" w:rsidR="009D0006" w:rsidRPr="00C10C14" w:rsidRDefault="009D0006" w:rsidP="00246D84">
            <w:pPr>
              <w:pStyle w:val="Tableheader"/>
            </w:pPr>
            <w:r w:rsidRPr="00C10C14">
              <w:t>n</w:t>
            </w:r>
          </w:p>
        </w:tc>
        <w:tc>
          <w:tcPr>
            <w:tcW w:w="1559" w:type="dxa"/>
          </w:tcPr>
          <w:p w14:paraId="3C2AC0E7" w14:textId="77777777" w:rsidR="009D0006" w:rsidRPr="00C10C14" w:rsidRDefault="009D0006" w:rsidP="00246D84">
            <w:pPr>
              <w:pStyle w:val="Tableheader"/>
            </w:pPr>
            <w:r w:rsidRPr="00C10C14">
              <w:t>%</w:t>
            </w:r>
          </w:p>
        </w:tc>
      </w:tr>
      <w:tr w:rsidR="009D0006" w:rsidRPr="00CC74AD" w14:paraId="2018D164" w14:textId="77777777" w:rsidTr="00246D84">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31E0DC4" w14:textId="77777777" w:rsidR="009D0006" w:rsidRPr="00CC74AD" w:rsidRDefault="009D0006" w:rsidP="00246D84">
            <w:pPr>
              <w:pStyle w:val="Tabletext"/>
            </w:pPr>
            <w:r w:rsidRPr="00CC74AD">
              <w:rPr>
                <w:lang w:val="en-US"/>
              </w:rPr>
              <w:t>Past 12 months</w:t>
            </w:r>
          </w:p>
        </w:tc>
        <w:tc>
          <w:tcPr>
            <w:tcW w:w="1559" w:type="dxa"/>
          </w:tcPr>
          <w:p w14:paraId="0302D08E" w14:textId="77777777" w:rsidR="009D0006" w:rsidRPr="00CC74AD" w:rsidRDefault="009D0006" w:rsidP="00246D84">
            <w:pPr>
              <w:pStyle w:val="Tabletext"/>
            </w:pPr>
            <w:r w:rsidRPr="00CC74AD">
              <w:t>1550</w:t>
            </w:r>
          </w:p>
        </w:tc>
        <w:tc>
          <w:tcPr>
            <w:tcW w:w="1559" w:type="dxa"/>
          </w:tcPr>
          <w:p w14:paraId="1E077B7B" w14:textId="77777777" w:rsidR="009D0006" w:rsidRPr="00CC74AD" w:rsidRDefault="009D0006" w:rsidP="00246D84">
            <w:pPr>
              <w:pStyle w:val="Tabletext"/>
            </w:pPr>
            <w:r w:rsidRPr="00CC74AD">
              <w:t>47.9</w:t>
            </w:r>
          </w:p>
        </w:tc>
      </w:tr>
      <w:tr w:rsidR="009D0006" w:rsidRPr="00CC74AD" w14:paraId="6AC82465"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3259A2E" w14:textId="77777777" w:rsidR="009D0006" w:rsidRPr="00CC74AD" w:rsidRDefault="009D0006" w:rsidP="00246D84">
            <w:pPr>
              <w:pStyle w:val="Tabletext"/>
            </w:pPr>
            <w:r w:rsidRPr="00CC74AD">
              <w:rPr>
                <w:lang w:val="en-US"/>
              </w:rPr>
              <w:t>Ever</w:t>
            </w:r>
          </w:p>
        </w:tc>
        <w:tc>
          <w:tcPr>
            <w:tcW w:w="1559" w:type="dxa"/>
          </w:tcPr>
          <w:p w14:paraId="0498C10A" w14:textId="77777777" w:rsidR="009D0006" w:rsidRPr="00CC74AD" w:rsidRDefault="009D0006" w:rsidP="00246D84">
            <w:pPr>
              <w:pStyle w:val="Tabletext"/>
            </w:pPr>
            <w:r w:rsidRPr="00CC74AD">
              <w:t>2244</w:t>
            </w:r>
          </w:p>
        </w:tc>
        <w:tc>
          <w:tcPr>
            <w:tcW w:w="1559" w:type="dxa"/>
          </w:tcPr>
          <w:p w14:paraId="73324684" w14:textId="77777777" w:rsidR="009D0006" w:rsidRPr="00CC74AD" w:rsidRDefault="009D0006" w:rsidP="00246D84">
            <w:pPr>
              <w:pStyle w:val="Tabletext"/>
            </w:pPr>
            <w:r w:rsidRPr="00CC74AD">
              <w:t>69.4</w:t>
            </w:r>
          </w:p>
        </w:tc>
      </w:tr>
    </w:tbl>
    <w:p w14:paraId="1B292D01" w14:textId="77777777" w:rsidR="009D0006" w:rsidRDefault="009D0006" w:rsidP="00246D84">
      <w:pPr>
        <w:pStyle w:val="Tableheading"/>
        <w:rPr>
          <w:lang w:val="en-GB"/>
        </w:rPr>
      </w:pPr>
      <w:r>
        <w:rPr>
          <w:lang w:val="en-GB"/>
        </w:rPr>
        <w:t>Table 67.3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418D8627" w14:textId="77777777" w:rsidTr="00246D84">
        <w:trPr>
          <w:cnfStyle w:val="100000000000" w:firstRow="1" w:lastRow="0" w:firstColumn="0" w:lastColumn="0" w:oddVBand="0" w:evenVBand="0" w:oddHBand="0" w:evenHBand="0" w:firstRowFirstColumn="0" w:firstRowLastColumn="0" w:lastRowFirstColumn="0" w:lastRowLastColumn="0"/>
          <w:trHeight w:val="498"/>
        </w:trPr>
        <w:tc>
          <w:tcPr>
            <w:tcW w:w="6746" w:type="dxa"/>
            <w:noWrap/>
          </w:tcPr>
          <w:p w14:paraId="15B05203" w14:textId="77777777" w:rsidR="009D0006" w:rsidRPr="002D1E90" w:rsidRDefault="009D0006" w:rsidP="00246D84">
            <w:pPr>
              <w:pStyle w:val="Tableheader"/>
              <w:rPr>
                <w:lang w:val="en-US"/>
              </w:rPr>
            </w:pPr>
            <w:r w:rsidRPr="00CC74AD">
              <w:t>Suicidal ideation </w:t>
            </w:r>
          </w:p>
        </w:tc>
        <w:tc>
          <w:tcPr>
            <w:tcW w:w="1559" w:type="dxa"/>
          </w:tcPr>
          <w:p w14:paraId="2846FDFB" w14:textId="77777777" w:rsidR="009D0006" w:rsidRPr="00C10C14" w:rsidRDefault="009D0006" w:rsidP="00246D84">
            <w:pPr>
              <w:pStyle w:val="Tableheader"/>
              <w:rPr>
                <w:lang w:val="en-US"/>
              </w:rPr>
            </w:pPr>
            <w:r w:rsidRPr="00C10C14">
              <w:t>n</w:t>
            </w:r>
          </w:p>
        </w:tc>
        <w:tc>
          <w:tcPr>
            <w:tcW w:w="1559" w:type="dxa"/>
          </w:tcPr>
          <w:p w14:paraId="468A4533" w14:textId="77777777" w:rsidR="009D0006" w:rsidRPr="00C10C14" w:rsidRDefault="009D0006" w:rsidP="00246D84">
            <w:pPr>
              <w:pStyle w:val="Tableheader"/>
            </w:pPr>
            <w:r w:rsidRPr="00C10C14">
              <w:t>%</w:t>
            </w:r>
          </w:p>
        </w:tc>
      </w:tr>
      <w:tr w:rsidR="009D0006" w:rsidRPr="00CC74AD" w14:paraId="551371CB" w14:textId="77777777" w:rsidTr="00246D84">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6D604ABA" w14:textId="77777777" w:rsidR="009D0006" w:rsidRPr="00CC74AD" w:rsidRDefault="009D0006" w:rsidP="00246D84">
            <w:pPr>
              <w:pStyle w:val="Tabletext"/>
              <w:rPr>
                <w:lang w:val="en-US"/>
              </w:rPr>
            </w:pPr>
            <w:r w:rsidRPr="00CC74AD">
              <w:rPr>
                <w:lang w:val="en-US"/>
              </w:rPr>
              <w:t>Past 12 months</w:t>
            </w:r>
          </w:p>
        </w:tc>
        <w:tc>
          <w:tcPr>
            <w:tcW w:w="1559" w:type="dxa"/>
          </w:tcPr>
          <w:p w14:paraId="221FA321" w14:textId="77777777" w:rsidR="009D0006" w:rsidRPr="00CC74AD" w:rsidRDefault="009D0006" w:rsidP="00246D84">
            <w:pPr>
              <w:pStyle w:val="Tabletext"/>
            </w:pPr>
            <w:r w:rsidRPr="00CC74AD">
              <w:t>443</w:t>
            </w:r>
          </w:p>
        </w:tc>
        <w:tc>
          <w:tcPr>
            <w:tcW w:w="1559" w:type="dxa"/>
          </w:tcPr>
          <w:p w14:paraId="32C1EFA6" w14:textId="77777777" w:rsidR="009D0006" w:rsidRPr="00CC74AD" w:rsidRDefault="009D0006" w:rsidP="00246D84">
            <w:pPr>
              <w:pStyle w:val="Tabletext"/>
            </w:pPr>
            <w:r w:rsidRPr="00CC74AD">
              <w:t>68.5</w:t>
            </w:r>
          </w:p>
        </w:tc>
      </w:tr>
      <w:tr w:rsidR="009D0006" w:rsidRPr="00CC74AD" w14:paraId="2EE15B39"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66016551" w14:textId="77777777" w:rsidR="009D0006" w:rsidRPr="00CC74AD" w:rsidRDefault="009D0006" w:rsidP="00246D84">
            <w:pPr>
              <w:pStyle w:val="Tabletext"/>
              <w:rPr>
                <w:lang w:val="en-US"/>
              </w:rPr>
            </w:pPr>
            <w:r w:rsidRPr="00CC74AD">
              <w:rPr>
                <w:lang w:val="en-US"/>
              </w:rPr>
              <w:t>Ever</w:t>
            </w:r>
          </w:p>
        </w:tc>
        <w:tc>
          <w:tcPr>
            <w:tcW w:w="1559" w:type="dxa"/>
          </w:tcPr>
          <w:p w14:paraId="5E98B5D5" w14:textId="77777777" w:rsidR="009D0006" w:rsidRPr="00CC74AD" w:rsidRDefault="009D0006" w:rsidP="00246D84">
            <w:pPr>
              <w:pStyle w:val="Tabletext"/>
            </w:pPr>
            <w:r w:rsidRPr="00CC74AD">
              <w:t>570</w:t>
            </w:r>
          </w:p>
        </w:tc>
        <w:tc>
          <w:tcPr>
            <w:tcW w:w="1559" w:type="dxa"/>
          </w:tcPr>
          <w:p w14:paraId="23848B51" w14:textId="77777777" w:rsidR="009D0006" w:rsidRPr="00CC74AD" w:rsidRDefault="009D0006" w:rsidP="00246D84">
            <w:pPr>
              <w:pStyle w:val="Tabletext"/>
            </w:pPr>
            <w:r w:rsidRPr="00CC74AD">
              <w:t>88.1</w:t>
            </w:r>
          </w:p>
        </w:tc>
      </w:tr>
    </w:tbl>
    <w:p w14:paraId="16756769" w14:textId="77777777" w:rsidR="009D0006" w:rsidRDefault="009D0006" w:rsidP="00246D84">
      <w:pPr>
        <w:pStyle w:val="Tableheading"/>
        <w:rPr>
          <w:lang w:val="en-GB"/>
        </w:rPr>
      </w:pPr>
      <w:r>
        <w:rPr>
          <w:lang w:val="en-GB"/>
        </w:rPr>
        <w:t>Table 67.4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5D6CAE37" w14:textId="77777777" w:rsidTr="00246D84">
        <w:trPr>
          <w:cnfStyle w:val="100000000000" w:firstRow="1" w:lastRow="0" w:firstColumn="0" w:lastColumn="0" w:oddVBand="0" w:evenVBand="0" w:oddHBand="0" w:evenHBand="0" w:firstRowFirstColumn="0" w:firstRowLastColumn="0" w:lastRowFirstColumn="0" w:lastRowLastColumn="0"/>
          <w:trHeight w:val="498"/>
        </w:trPr>
        <w:tc>
          <w:tcPr>
            <w:tcW w:w="6746" w:type="dxa"/>
            <w:noWrap/>
          </w:tcPr>
          <w:p w14:paraId="310CE87C" w14:textId="77777777" w:rsidR="009D0006" w:rsidRPr="002D1E90" w:rsidRDefault="009D0006" w:rsidP="00246D84">
            <w:pPr>
              <w:pStyle w:val="Tableheader"/>
              <w:rPr>
                <w:lang w:val="en-US"/>
              </w:rPr>
            </w:pPr>
            <w:r w:rsidRPr="00CC74AD">
              <w:t>Suicidal ideation </w:t>
            </w:r>
          </w:p>
        </w:tc>
        <w:tc>
          <w:tcPr>
            <w:tcW w:w="1559" w:type="dxa"/>
          </w:tcPr>
          <w:p w14:paraId="573F9F82" w14:textId="77777777" w:rsidR="009D0006" w:rsidRPr="00C10C14" w:rsidRDefault="009D0006" w:rsidP="00246D84">
            <w:pPr>
              <w:pStyle w:val="Tableheader"/>
              <w:rPr>
                <w:lang w:val="en-US"/>
              </w:rPr>
            </w:pPr>
            <w:r w:rsidRPr="00C10C14">
              <w:t>n</w:t>
            </w:r>
          </w:p>
        </w:tc>
        <w:tc>
          <w:tcPr>
            <w:tcW w:w="1559" w:type="dxa"/>
          </w:tcPr>
          <w:p w14:paraId="3ED71C7D" w14:textId="77777777" w:rsidR="009D0006" w:rsidRPr="00C10C14" w:rsidRDefault="009D0006" w:rsidP="00246D84">
            <w:pPr>
              <w:pStyle w:val="Tableheader"/>
            </w:pPr>
            <w:r w:rsidRPr="00C10C14">
              <w:t>%</w:t>
            </w:r>
          </w:p>
        </w:tc>
      </w:tr>
      <w:tr w:rsidR="009D0006" w:rsidRPr="00CC74AD" w14:paraId="5C49245F" w14:textId="77777777" w:rsidTr="00246D84">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2D6466C6" w14:textId="77777777" w:rsidR="009D0006" w:rsidRPr="00CC74AD" w:rsidRDefault="009D0006" w:rsidP="00246D84">
            <w:pPr>
              <w:pStyle w:val="Tabletext"/>
              <w:rPr>
                <w:lang w:val="en-US"/>
              </w:rPr>
            </w:pPr>
            <w:r w:rsidRPr="00CC74AD">
              <w:rPr>
                <w:lang w:val="en-US"/>
              </w:rPr>
              <w:t>Past 12 months</w:t>
            </w:r>
          </w:p>
        </w:tc>
        <w:tc>
          <w:tcPr>
            <w:tcW w:w="1559" w:type="dxa"/>
          </w:tcPr>
          <w:p w14:paraId="7FC777E4" w14:textId="77777777" w:rsidR="009D0006" w:rsidRPr="00CC74AD" w:rsidRDefault="009D0006" w:rsidP="00246D84">
            <w:pPr>
              <w:pStyle w:val="Tabletext"/>
            </w:pPr>
            <w:r w:rsidRPr="00CC74AD">
              <w:t>162</w:t>
            </w:r>
          </w:p>
        </w:tc>
        <w:tc>
          <w:tcPr>
            <w:tcW w:w="1559" w:type="dxa"/>
          </w:tcPr>
          <w:p w14:paraId="224F6E5A" w14:textId="77777777" w:rsidR="009D0006" w:rsidRPr="00CC74AD" w:rsidRDefault="009D0006" w:rsidP="00246D84">
            <w:pPr>
              <w:pStyle w:val="Tabletext"/>
            </w:pPr>
            <w:r w:rsidRPr="00CC74AD">
              <w:t>75.7</w:t>
            </w:r>
          </w:p>
        </w:tc>
      </w:tr>
      <w:tr w:rsidR="009D0006" w:rsidRPr="00CC74AD" w14:paraId="42D6DBA2"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D053AC2" w14:textId="77777777" w:rsidR="009D0006" w:rsidRPr="00CC74AD" w:rsidRDefault="009D0006" w:rsidP="00246D84">
            <w:pPr>
              <w:pStyle w:val="Tabletext"/>
              <w:rPr>
                <w:lang w:val="en-US"/>
              </w:rPr>
            </w:pPr>
            <w:r w:rsidRPr="00CC74AD">
              <w:rPr>
                <w:lang w:val="en-US"/>
              </w:rPr>
              <w:t>Ever</w:t>
            </w:r>
          </w:p>
        </w:tc>
        <w:tc>
          <w:tcPr>
            <w:tcW w:w="1559" w:type="dxa"/>
          </w:tcPr>
          <w:p w14:paraId="4CAC140B" w14:textId="77777777" w:rsidR="009D0006" w:rsidRPr="00CC74AD" w:rsidRDefault="009D0006" w:rsidP="00246D84">
            <w:pPr>
              <w:pStyle w:val="Tabletext"/>
            </w:pPr>
            <w:r w:rsidRPr="00CC74AD">
              <w:t>196</w:t>
            </w:r>
          </w:p>
        </w:tc>
        <w:tc>
          <w:tcPr>
            <w:tcW w:w="1559" w:type="dxa"/>
          </w:tcPr>
          <w:p w14:paraId="0089D5AC" w14:textId="77777777" w:rsidR="009D0006" w:rsidRPr="00CC74AD" w:rsidRDefault="009D0006" w:rsidP="00246D84">
            <w:pPr>
              <w:pStyle w:val="Tabletext"/>
            </w:pPr>
            <w:r w:rsidRPr="00CC74AD">
              <w:t>91.6</w:t>
            </w:r>
          </w:p>
        </w:tc>
      </w:tr>
    </w:tbl>
    <w:p w14:paraId="47B4BFE0" w14:textId="77777777" w:rsidR="009D0006" w:rsidRDefault="009D0006" w:rsidP="00246D84">
      <w:pPr>
        <w:pStyle w:val="Tableheading"/>
        <w:rPr>
          <w:lang w:val="en-GB"/>
        </w:rPr>
      </w:pPr>
      <w:r>
        <w:rPr>
          <w:lang w:val="en-GB"/>
        </w:rPr>
        <w:t>Table 67.5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547F5BAB" w14:textId="77777777" w:rsidTr="00246D84">
        <w:trPr>
          <w:cnfStyle w:val="100000000000" w:firstRow="1" w:lastRow="0" w:firstColumn="0" w:lastColumn="0" w:oddVBand="0" w:evenVBand="0" w:oddHBand="0" w:evenHBand="0" w:firstRowFirstColumn="0" w:firstRowLastColumn="0" w:lastRowFirstColumn="0" w:lastRowLastColumn="0"/>
          <w:trHeight w:val="498"/>
        </w:trPr>
        <w:tc>
          <w:tcPr>
            <w:tcW w:w="6746" w:type="dxa"/>
            <w:noWrap/>
          </w:tcPr>
          <w:p w14:paraId="7C31DA80" w14:textId="77777777" w:rsidR="009D0006" w:rsidRPr="002D1E90" w:rsidRDefault="009D0006" w:rsidP="00246D84">
            <w:pPr>
              <w:pStyle w:val="Tableheader"/>
              <w:rPr>
                <w:lang w:val="en-US"/>
              </w:rPr>
            </w:pPr>
            <w:r w:rsidRPr="00CC74AD">
              <w:t>Suicidal ideation </w:t>
            </w:r>
          </w:p>
        </w:tc>
        <w:tc>
          <w:tcPr>
            <w:tcW w:w="1559" w:type="dxa"/>
          </w:tcPr>
          <w:p w14:paraId="1F985072" w14:textId="77777777" w:rsidR="009D0006" w:rsidRPr="00C10C14" w:rsidRDefault="009D0006" w:rsidP="00246D84">
            <w:pPr>
              <w:pStyle w:val="Tableheader"/>
            </w:pPr>
            <w:r w:rsidRPr="00C10C14">
              <w:t>n</w:t>
            </w:r>
          </w:p>
        </w:tc>
        <w:tc>
          <w:tcPr>
            <w:tcW w:w="1559" w:type="dxa"/>
          </w:tcPr>
          <w:p w14:paraId="3152E747" w14:textId="77777777" w:rsidR="009D0006" w:rsidRPr="00C10C14" w:rsidRDefault="009D0006" w:rsidP="00246D84">
            <w:pPr>
              <w:pStyle w:val="Tableheader"/>
            </w:pPr>
            <w:r w:rsidRPr="00C10C14">
              <w:t>%</w:t>
            </w:r>
          </w:p>
        </w:tc>
      </w:tr>
      <w:tr w:rsidR="009D0006" w:rsidRPr="00CC74AD" w14:paraId="7A005E31" w14:textId="77777777" w:rsidTr="00246D84">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34EC96E6" w14:textId="77777777" w:rsidR="009D0006" w:rsidRPr="00CC74AD" w:rsidRDefault="009D0006" w:rsidP="00246D84">
            <w:pPr>
              <w:pStyle w:val="Tabletext"/>
              <w:rPr>
                <w:lang w:val="en-US"/>
              </w:rPr>
            </w:pPr>
            <w:r w:rsidRPr="00CC74AD">
              <w:rPr>
                <w:lang w:val="en-US"/>
              </w:rPr>
              <w:t>Past 12 months</w:t>
            </w:r>
          </w:p>
        </w:tc>
        <w:tc>
          <w:tcPr>
            <w:tcW w:w="1559" w:type="dxa"/>
          </w:tcPr>
          <w:p w14:paraId="7365BEFB" w14:textId="77777777" w:rsidR="009D0006" w:rsidRPr="00CC74AD" w:rsidRDefault="009D0006" w:rsidP="00246D84">
            <w:pPr>
              <w:pStyle w:val="Tabletext"/>
            </w:pPr>
            <w:r w:rsidRPr="00CC74AD">
              <w:t>95</w:t>
            </w:r>
          </w:p>
        </w:tc>
        <w:tc>
          <w:tcPr>
            <w:tcW w:w="1559" w:type="dxa"/>
          </w:tcPr>
          <w:p w14:paraId="215CA3B0" w14:textId="77777777" w:rsidR="009D0006" w:rsidRPr="00CC74AD" w:rsidRDefault="009D0006" w:rsidP="00246D84">
            <w:pPr>
              <w:pStyle w:val="Tabletext"/>
            </w:pPr>
            <w:r w:rsidRPr="00CC74AD">
              <w:t>72.5</w:t>
            </w:r>
          </w:p>
        </w:tc>
      </w:tr>
      <w:tr w:rsidR="009D0006" w:rsidRPr="00CC74AD" w14:paraId="7D2F824D"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B2A7409" w14:textId="77777777" w:rsidR="009D0006" w:rsidRPr="00CC74AD" w:rsidRDefault="009D0006" w:rsidP="00246D84">
            <w:pPr>
              <w:pStyle w:val="Tabletext"/>
              <w:rPr>
                <w:lang w:val="en-US"/>
              </w:rPr>
            </w:pPr>
            <w:r w:rsidRPr="00CC74AD">
              <w:rPr>
                <w:lang w:val="en-US"/>
              </w:rPr>
              <w:t>Ever</w:t>
            </w:r>
          </w:p>
        </w:tc>
        <w:tc>
          <w:tcPr>
            <w:tcW w:w="1559" w:type="dxa"/>
          </w:tcPr>
          <w:p w14:paraId="26B26F63" w14:textId="77777777" w:rsidR="009D0006" w:rsidRPr="00CC74AD" w:rsidRDefault="009D0006" w:rsidP="00246D84">
            <w:pPr>
              <w:pStyle w:val="Tabletext"/>
            </w:pPr>
            <w:r w:rsidRPr="00CC74AD">
              <w:t>119</w:t>
            </w:r>
          </w:p>
        </w:tc>
        <w:tc>
          <w:tcPr>
            <w:tcW w:w="1559" w:type="dxa"/>
          </w:tcPr>
          <w:p w14:paraId="2667F505" w14:textId="77777777" w:rsidR="009D0006" w:rsidRPr="00CC74AD" w:rsidRDefault="009D0006" w:rsidP="00246D84">
            <w:pPr>
              <w:pStyle w:val="Tabletext"/>
            </w:pPr>
            <w:r w:rsidRPr="00CC74AD">
              <w:t>90.8</w:t>
            </w:r>
          </w:p>
        </w:tc>
      </w:tr>
    </w:tbl>
    <w:p w14:paraId="22A6BABC" w14:textId="77777777" w:rsidR="009D0006" w:rsidRDefault="009D0006" w:rsidP="00246D84">
      <w:pPr>
        <w:pStyle w:val="Tableheading"/>
        <w:rPr>
          <w:lang w:val="en-GB"/>
        </w:rPr>
      </w:pPr>
      <w:r>
        <w:rPr>
          <w:lang w:val="en-GB"/>
        </w:rPr>
        <w:t>Table 67.6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17AAE226" w14:textId="77777777" w:rsidTr="00246D84">
        <w:trPr>
          <w:cnfStyle w:val="100000000000" w:firstRow="1" w:lastRow="0" w:firstColumn="0" w:lastColumn="0" w:oddVBand="0" w:evenVBand="0" w:oddHBand="0" w:evenHBand="0" w:firstRowFirstColumn="0" w:firstRowLastColumn="0" w:lastRowFirstColumn="0" w:lastRowLastColumn="0"/>
          <w:trHeight w:val="498"/>
        </w:trPr>
        <w:tc>
          <w:tcPr>
            <w:tcW w:w="6746" w:type="dxa"/>
            <w:noWrap/>
          </w:tcPr>
          <w:p w14:paraId="71569463" w14:textId="77777777" w:rsidR="009D0006" w:rsidRPr="002D1E90" w:rsidRDefault="009D0006" w:rsidP="00246D84">
            <w:pPr>
              <w:pStyle w:val="Tableheader"/>
              <w:rPr>
                <w:lang w:val="en-US"/>
              </w:rPr>
            </w:pPr>
            <w:r w:rsidRPr="00CC74AD">
              <w:t>Suicidal ideation </w:t>
            </w:r>
          </w:p>
        </w:tc>
        <w:tc>
          <w:tcPr>
            <w:tcW w:w="1559" w:type="dxa"/>
          </w:tcPr>
          <w:p w14:paraId="21878EDB" w14:textId="77777777" w:rsidR="009D0006" w:rsidRPr="00C10C14" w:rsidRDefault="009D0006" w:rsidP="00246D84">
            <w:pPr>
              <w:pStyle w:val="Tableheader"/>
            </w:pPr>
            <w:r w:rsidRPr="00C10C14">
              <w:t>n</w:t>
            </w:r>
          </w:p>
        </w:tc>
        <w:tc>
          <w:tcPr>
            <w:tcW w:w="1559" w:type="dxa"/>
          </w:tcPr>
          <w:p w14:paraId="688028D2" w14:textId="77777777" w:rsidR="009D0006" w:rsidRPr="00C10C14" w:rsidRDefault="009D0006" w:rsidP="00246D84">
            <w:pPr>
              <w:pStyle w:val="Tableheader"/>
            </w:pPr>
            <w:r w:rsidRPr="00C10C14">
              <w:t>%</w:t>
            </w:r>
          </w:p>
        </w:tc>
      </w:tr>
      <w:tr w:rsidR="009D0006" w:rsidRPr="00CC74AD" w14:paraId="626DAF1F" w14:textId="77777777" w:rsidTr="00246D84">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11B287D3" w14:textId="77777777" w:rsidR="009D0006" w:rsidRPr="00CC74AD" w:rsidRDefault="009D0006" w:rsidP="00246D84">
            <w:pPr>
              <w:pStyle w:val="Tabletext"/>
              <w:rPr>
                <w:lang w:val="en-US"/>
              </w:rPr>
            </w:pPr>
            <w:r w:rsidRPr="00CC74AD">
              <w:rPr>
                <w:lang w:val="en-US"/>
              </w:rPr>
              <w:t>Past 12 months</w:t>
            </w:r>
          </w:p>
        </w:tc>
        <w:tc>
          <w:tcPr>
            <w:tcW w:w="1559" w:type="dxa"/>
          </w:tcPr>
          <w:p w14:paraId="09117017" w14:textId="77777777" w:rsidR="009D0006" w:rsidRPr="00CC74AD" w:rsidRDefault="009D0006" w:rsidP="00246D84">
            <w:pPr>
              <w:pStyle w:val="Tabletext"/>
            </w:pPr>
            <w:r w:rsidRPr="00CC74AD">
              <w:t>508</w:t>
            </w:r>
          </w:p>
        </w:tc>
        <w:tc>
          <w:tcPr>
            <w:tcW w:w="1559" w:type="dxa"/>
          </w:tcPr>
          <w:p w14:paraId="7D05CBF0" w14:textId="77777777" w:rsidR="009D0006" w:rsidRPr="00CC74AD" w:rsidRDefault="009D0006" w:rsidP="00246D84">
            <w:pPr>
              <w:pStyle w:val="Tabletext"/>
            </w:pPr>
            <w:r w:rsidRPr="00CC74AD">
              <w:t>70.9</w:t>
            </w:r>
          </w:p>
        </w:tc>
      </w:tr>
      <w:tr w:rsidR="009D0006" w:rsidRPr="00CC74AD" w14:paraId="026F77F5"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4E418B2" w14:textId="77777777" w:rsidR="009D0006" w:rsidRPr="00CC74AD" w:rsidRDefault="009D0006" w:rsidP="00246D84">
            <w:pPr>
              <w:pStyle w:val="Tabletext"/>
              <w:rPr>
                <w:lang w:val="en-US"/>
              </w:rPr>
            </w:pPr>
            <w:r w:rsidRPr="00CC74AD">
              <w:rPr>
                <w:lang w:val="en-US"/>
              </w:rPr>
              <w:t>Ever</w:t>
            </w:r>
          </w:p>
        </w:tc>
        <w:tc>
          <w:tcPr>
            <w:tcW w:w="1559" w:type="dxa"/>
          </w:tcPr>
          <w:p w14:paraId="5D9435BC" w14:textId="77777777" w:rsidR="009D0006" w:rsidRPr="00CC74AD" w:rsidRDefault="009D0006" w:rsidP="00246D84">
            <w:pPr>
              <w:pStyle w:val="Tabletext"/>
            </w:pPr>
            <w:r w:rsidRPr="00CC74AD">
              <w:t>639</w:t>
            </w:r>
          </w:p>
        </w:tc>
        <w:tc>
          <w:tcPr>
            <w:tcW w:w="1559" w:type="dxa"/>
          </w:tcPr>
          <w:p w14:paraId="19DE5BAB" w14:textId="77777777" w:rsidR="009D0006" w:rsidRPr="00CC74AD" w:rsidRDefault="009D0006" w:rsidP="00246D84">
            <w:pPr>
              <w:pStyle w:val="Tabletext"/>
            </w:pPr>
            <w:r w:rsidRPr="00CC74AD">
              <w:t>89.2</w:t>
            </w:r>
          </w:p>
        </w:tc>
      </w:tr>
    </w:tbl>
    <w:p w14:paraId="09599466" w14:textId="77777777" w:rsidR="009D0006" w:rsidRDefault="009D0006" w:rsidP="00246D84">
      <w:pPr>
        <w:pStyle w:val="Tableheading"/>
        <w:rPr>
          <w:lang w:val="en-GB"/>
        </w:rPr>
      </w:pPr>
      <w:r>
        <w:rPr>
          <w:lang w:val="en-GB"/>
        </w:rPr>
        <w:t>Table 67.7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1260303C" w14:textId="77777777" w:rsidTr="00246D84">
        <w:trPr>
          <w:cnfStyle w:val="100000000000" w:firstRow="1" w:lastRow="0" w:firstColumn="0" w:lastColumn="0" w:oddVBand="0" w:evenVBand="0" w:oddHBand="0" w:evenHBand="0" w:firstRowFirstColumn="0" w:firstRowLastColumn="0" w:lastRowFirstColumn="0" w:lastRowLastColumn="0"/>
          <w:trHeight w:val="498"/>
        </w:trPr>
        <w:tc>
          <w:tcPr>
            <w:tcW w:w="6746" w:type="dxa"/>
            <w:noWrap/>
          </w:tcPr>
          <w:p w14:paraId="4C9ECED8" w14:textId="77777777" w:rsidR="009D0006" w:rsidRPr="002D1E90" w:rsidRDefault="009D0006" w:rsidP="00246D84">
            <w:pPr>
              <w:pStyle w:val="Tableheader"/>
              <w:rPr>
                <w:lang w:val="en-US"/>
              </w:rPr>
            </w:pPr>
            <w:r w:rsidRPr="00CC74AD">
              <w:t>Suicidal ideation </w:t>
            </w:r>
          </w:p>
        </w:tc>
        <w:tc>
          <w:tcPr>
            <w:tcW w:w="1559" w:type="dxa"/>
          </w:tcPr>
          <w:p w14:paraId="03721160" w14:textId="77777777" w:rsidR="009D0006" w:rsidRPr="00C10C14" w:rsidRDefault="009D0006" w:rsidP="00246D84">
            <w:pPr>
              <w:pStyle w:val="Tableheader"/>
            </w:pPr>
            <w:r w:rsidRPr="00C10C14">
              <w:t>n</w:t>
            </w:r>
          </w:p>
        </w:tc>
        <w:tc>
          <w:tcPr>
            <w:tcW w:w="1559" w:type="dxa"/>
          </w:tcPr>
          <w:p w14:paraId="4A113D0E" w14:textId="77777777" w:rsidR="009D0006" w:rsidRPr="00C10C14" w:rsidRDefault="009D0006" w:rsidP="00246D84">
            <w:pPr>
              <w:pStyle w:val="Tableheader"/>
            </w:pPr>
            <w:r w:rsidRPr="00C10C14">
              <w:t>%</w:t>
            </w:r>
          </w:p>
        </w:tc>
      </w:tr>
      <w:tr w:rsidR="009D0006" w:rsidRPr="00CC74AD" w14:paraId="7C6B7341" w14:textId="77777777" w:rsidTr="00246D84">
        <w:trPr>
          <w:cnfStyle w:val="000000100000" w:firstRow="0" w:lastRow="0" w:firstColumn="0" w:lastColumn="0" w:oddVBand="0" w:evenVBand="0" w:oddHBand="1" w:evenHBand="0" w:firstRowFirstColumn="0" w:firstRowLastColumn="0" w:lastRowFirstColumn="0" w:lastRowLastColumn="0"/>
          <w:trHeight w:val="498"/>
        </w:trPr>
        <w:tc>
          <w:tcPr>
            <w:tcW w:w="6746" w:type="dxa"/>
            <w:noWrap/>
          </w:tcPr>
          <w:p w14:paraId="0F2721BA" w14:textId="77777777" w:rsidR="009D0006" w:rsidRPr="00CC74AD" w:rsidRDefault="009D0006" w:rsidP="00246D84">
            <w:pPr>
              <w:pStyle w:val="Tabletext"/>
              <w:rPr>
                <w:lang w:val="en-US"/>
              </w:rPr>
            </w:pPr>
            <w:r w:rsidRPr="00CC74AD">
              <w:rPr>
                <w:lang w:val="en-US"/>
              </w:rPr>
              <w:t>Past 12 months</w:t>
            </w:r>
          </w:p>
        </w:tc>
        <w:tc>
          <w:tcPr>
            <w:tcW w:w="1559" w:type="dxa"/>
          </w:tcPr>
          <w:p w14:paraId="6B458B53" w14:textId="77777777" w:rsidR="009D0006" w:rsidRPr="00CC74AD" w:rsidRDefault="009D0006" w:rsidP="00246D84">
            <w:pPr>
              <w:pStyle w:val="Tabletext"/>
            </w:pPr>
            <w:r w:rsidRPr="00CC74AD">
              <w:t>755</w:t>
            </w:r>
          </w:p>
        </w:tc>
        <w:tc>
          <w:tcPr>
            <w:tcW w:w="1559" w:type="dxa"/>
          </w:tcPr>
          <w:p w14:paraId="65FED62D" w14:textId="77777777" w:rsidR="009D0006" w:rsidRPr="00CC74AD" w:rsidRDefault="009D0006" w:rsidP="00246D84">
            <w:pPr>
              <w:pStyle w:val="Tabletext"/>
            </w:pPr>
            <w:r w:rsidRPr="00CC74AD">
              <w:t>71.6</w:t>
            </w:r>
          </w:p>
        </w:tc>
      </w:tr>
      <w:tr w:rsidR="009D0006" w:rsidRPr="00CC74AD" w14:paraId="29F63AD7" w14:textId="77777777" w:rsidTr="00246D84">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1318EEE" w14:textId="77777777" w:rsidR="009D0006" w:rsidRPr="00CC74AD" w:rsidRDefault="009D0006" w:rsidP="00246D84">
            <w:pPr>
              <w:pStyle w:val="Tabletext"/>
              <w:rPr>
                <w:lang w:val="en-US"/>
              </w:rPr>
            </w:pPr>
            <w:r w:rsidRPr="00CC74AD">
              <w:rPr>
                <w:lang w:val="en-US"/>
              </w:rPr>
              <w:t>Ever</w:t>
            </w:r>
          </w:p>
        </w:tc>
        <w:tc>
          <w:tcPr>
            <w:tcW w:w="1559" w:type="dxa"/>
          </w:tcPr>
          <w:p w14:paraId="2545264A" w14:textId="77777777" w:rsidR="009D0006" w:rsidRPr="00CC74AD" w:rsidRDefault="009D0006" w:rsidP="00246D84">
            <w:pPr>
              <w:pStyle w:val="Tabletext"/>
            </w:pPr>
            <w:r w:rsidRPr="00CC74AD">
              <w:t>957</w:t>
            </w:r>
          </w:p>
        </w:tc>
        <w:tc>
          <w:tcPr>
            <w:tcW w:w="1559" w:type="dxa"/>
          </w:tcPr>
          <w:p w14:paraId="68DAB8F3" w14:textId="77777777" w:rsidR="009D0006" w:rsidRPr="00CC74AD" w:rsidRDefault="009D0006" w:rsidP="00246D84">
            <w:pPr>
              <w:pStyle w:val="Tabletext"/>
            </w:pPr>
            <w:r w:rsidRPr="00CC74AD">
              <w:t>90.7</w:t>
            </w:r>
          </w:p>
        </w:tc>
      </w:tr>
    </w:tbl>
    <w:p w14:paraId="663C078B" w14:textId="77777777" w:rsidR="009D0006" w:rsidRPr="00246D84" w:rsidRDefault="009D0006" w:rsidP="00246D84">
      <w:pPr>
        <w:pStyle w:val="TableTextNotebelow"/>
        <w:rPr>
          <w:i/>
          <w:lang w:val="en-GB" w:eastAsia="ja-JP"/>
        </w:rPr>
      </w:pPr>
      <w:r w:rsidRPr="00246D84">
        <w:rPr>
          <w:rFonts w:cs="Arial"/>
          <w:i/>
          <w:lang w:val="en-GB"/>
        </w:rPr>
        <w:t xml:space="preserve">* </w:t>
      </w:r>
      <w:r w:rsidRPr="00246D84">
        <w:rPr>
          <w:i/>
          <w:lang w:val="en-GB"/>
        </w:rPr>
        <w:t xml:space="preserve">In order </w:t>
      </w:r>
      <w:r w:rsidRPr="00246D84">
        <w:rPr>
          <w:i/>
          <w:lang w:val="en-GB"/>
        </w:rPr>
        <w:lastRenderedPageBreak/>
        <w:t xml:space="preserve">to be more comparable with general population data, ‘any disability’ does not include participants who only reported ‘mental illness’ and no other disability or long-term health condition. </w:t>
      </w:r>
    </w:p>
    <w:p w14:paraId="4AE5AB52" w14:textId="77777777" w:rsidR="009D0006" w:rsidRDefault="009D0006" w:rsidP="00184CF2">
      <w:pPr>
        <w:spacing w:before="360"/>
      </w:pPr>
      <w:r>
        <w:t xml:space="preserve">As displayed in Tables 67.1-67.7, young people with disability in </w:t>
      </w:r>
      <w:r>
        <w:rPr>
          <w:i/>
          <w:iCs/>
        </w:rPr>
        <w:t xml:space="preserve">Writing Themselves In 4 </w:t>
      </w:r>
      <w:r>
        <w:t>had a greater proportion who experienced suicidal ideation in the past 12 months or ever in their lifetime than those without disability. Among participants with disability, 69.9% (n = 998) reported suicidal ideation in the past 12 months and 88.3% (n = 1265) reported ever experiencing suicidal ideation. This compared to those without disability, for whom 47.9% (n = 1550) reported suicidal ideation in the past 12 months and 69.4% (n = 2244) ever in their lifetime.</w:t>
      </w:r>
    </w:p>
    <w:p w14:paraId="67EA427A" w14:textId="77777777" w:rsidR="009D0006" w:rsidRDefault="009D0006" w:rsidP="009D0006">
      <w:r>
        <w:t xml:space="preserve">Among participants with disability in </w:t>
      </w:r>
      <w:r>
        <w:rPr>
          <w:i/>
          <w:iCs/>
        </w:rPr>
        <w:t>Writing Themselves In 4</w:t>
      </w:r>
      <w:r>
        <w:t xml:space="preserve">, proportions of those reporting suicidal ideation in the past 12 months or ever in their lifetime were similar across disability groupings. </w:t>
      </w:r>
      <w:r w:rsidRPr="00AF4A20">
        <w:t xml:space="preserve">Approximately three-quarters of participants with </w:t>
      </w:r>
      <w:r>
        <w:t>autism/neurodiversity</w:t>
      </w:r>
      <w:r w:rsidRPr="00AF4A20">
        <w:t xml:space="preserve"> and intellectual</w:t>
      </w:r>
      <w:r>
        <w:t xml:space="preserve"> disability had experienced suicidal ideation in the past 12 months (75.7%; n = 162), followed by participants with intellectual disability (72.5%; n = 95), participants with a mental health condition (71.6%; n = 755), participants with physical or sensory disability (70.9%; n = 508) and participants with autism/neurodiversity (68.5% n = 443). </w:t>
      </w:r>
    </w:p>
    <w:p w14:paraId="21052C6C" w14:textId="77777777" w:rsidR="009D0006" w:rsidRPr="00C47CBF" w:rsidRDefault="009D0006" w:rsidP="009D0006">
      <w:r>
        <w:t>Proportions of participants who had ever experienced suicidal ideation in their lifetime were also similar across disability groupings. More than 90% of participants with autism/neurodiversity and intellectual disability had ever experienced suicidal ideation in their lifetime (91.6%; n = 196), followed by participants with intellectual disability (90.8%; n = 119), participants with a mental health condition (90.7%; n = 957), participants with physical or sensory disability (89.2%; n = 639) and participants with autism/neurodiversity (88.1%; n = 570).</w:t>
      </w:r>
    </w:p>
    <w:p w14:paraId="51E8B057" w14:textId="4A522C8E" w:rsidR="009D0006" w:rsidRDefault="009D0006" w:rsidP="004E2605">
      <w:pPr>
        <w:pStyle w:val="Heading3Numbered"/>
        <w:spacing w:before="240"/>
      </w:pPr>
      <w:bookmarkStart w:id="674" w:name="_Toc115968595"/>
      <w:r w:rsidRPr="009761D5">
        <w:t>Suicidal ideation in the past 12 months and ever by disability – adults aged 18+ years</w:t>
      </w:r>
      <w:bookmarkEnd w:id="674"/>
    </w:p>
    <w:p w14:paraId="66C1CC66" w14:textId="2A1668F1" w:rsidR="009D0006" w:rsidRDefault="009D0006" w:rsidP="00246D84">
      <w:pPr>
        <w:pStyle w:val="Tableheading"/>
      </w:pPr>
      <w:bookmarkStart w:id="675" w:name="_Toc117062786"/>
      <w:bookmarkStart w:id="676" w:name="_Toc119651471"/>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68</w:t>
      </w:r>
      <w:r w:rsidRPr="00985828">
        <w:rPr>
          <w:bCs/>
          <w:sz w:val="18"/>
          <w:szCs w:val="18"/>
        </w:rPr>
        <w:fldChar w:fldCharType="end"/>
      </w:r>
      <w:r>
        <w:t xml:space="preserve">.1-68.4: </w:t>
      </w:r>
      <w:r w:rsidRPr="009761D5">
        <w:t>Suicidal ideation in the past 12 months and ever</w:t>
      </w:r>
      <w:r>
        <w:t xml:space="preserve"> among adults aged 18+ years, </w:t>
      </w:r>
      <w:r w:rsidRPr="003D4AB3">
        <w:t>grouped by Disability Flag category</w:t>
      </w:r>
      <w:r>
        <w:t xml:space="preserve"> </w:t>
      </w:r>
      <w:r w:rsidRPr="009761D5">
        <w:t xml:space="preserve">(n = </w:t>
      </w:r>
      <w:r>
        <w:t>6499</w:t>
      </w:r>
      <w:r w:rsidRPr="009761D5">
        <w:t>)</w:t>
      </w:r>
      <w:bookmarkEnd w:id="675"/>
      <w:bookmarkEnd w:id="676"/>
    </w:p>
    <w:p w14:paraId="33CB5A3E" w14:textId="77777777" w:rsidR="009D0006" w:rsidRDefault="009D0006" w:rsidP="00246D84">
      <w:pPr>
        <w:pStyle w:val="Tableheading"/>
      </w:pPr>
      <w:r>
        <w:t>Table 68.1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A03DC56" w14:textId="77777777" w:rsidTr="00246D84">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B51D9A9" w14:textId="77777777" w:rsidR="009D0006" w:rsidRPr="00246D84" w:rsidRDefault="009D0006" w:rsidP="00246D84">
            <w:pPr>
              <w:pStyle w:val="Tableheader"/>
            </w:pPr>
            <w:r w:rsidRPr="00246D84">
              <w:t>Suicidal ideation </w:t>
            </w:r>
          </w:p>
        </w:tc>
        <w:tc>
          <w:tcPr>
            <w:tcW w:w="1559" w:type="dxa"/>
            <w:noWrap/>
            <w:hideMark/>
          </w:tcPr>
          <w:p w14:paraId="2E17F9C5" w14:textId="77777777" w:rsidR="009D0006" w:rsidRPr="00246D84" w:rsidRDefault="009D0006" w:rsidP="00246D84">
            <w:pPr>
              <w:pStyle w:val="Tableheader"/>
            </w:pPr>
            <w:r w:rsidRPr="00246D84">
              <w:t>n</w:t>
            </w:r>
          </w:p>
        </w:tc>
        <w:tc>
          <w:tcPr>
            <w:tcW w:w="1559" w:type="dxa"/>
            <w:noWrap/>
            <w:hideMark/>
          </w:tcPr>
          <w:p w14:paraId="68D5B815" w14:textId="77777777" w:rsidR="009D0006" w:rsidRPr="00246D84" w:rsidRDefault="009D0006" w:rsidP="00246D84">
            <w:pPr>
              <w:pStyle w:val="Tableheader"/>
            </w:pPr>
            <w:r w:rsidRPr="00246D84">
              <w:t>%</w:t>
            </w:r>
          </w:p>
        </w:tc>
      </w:tr>
      <w:tr w:rsidR="009D0006" w:rsidRPr="003F4D73" w14:paraId="52FF2EA7" w14:textId="77777777" w:rsidTr="00246D84">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3128BFDC" w14:textId="77777777" w:rsidR="009D0006" w:rsidRPr="00246D84" w:rsidRDefault="009D0006" w:rsidP="00246D84">
            <w:pPr>
              <w:pStyle w:val="Tabletext"/>
            </w:pPr>
            <w:r w:rsidRPr="00246D84">
              <w:t>Past 12 months</w:t>
            </w:r>
          </w:p>
        </w:tc>
        <w:tc>
          <w:tcPr>
            <w:tcW w:w="1559" w:type="dxa"/>
            <w:noWrap/>
          </w:tcPr>
          <w:p w14:paraId="035534FD" w14:textId="77777777" w:rsidR="009D0006" w:rsidRPr="00246D84" w:rsidRDefault="009D0006" w:rsidP="00246D84">
            <w:pPr>
              <w:pStyle w:val="Tabletext"/>
            </w:pPr>
            <w:r w:rsidRPr="00246D84">
              <w:t>228</w:t>
            </w:r>
          </w:p>
        </w:tc>
        <w:tc>
          <w:tcPr>
            <w:tcW w:w="1559" w:type="dxa"/>
            <w:noWrap/>
          </w:tcPr>
          <w:p w14:paraId="76DE8E1F" w14:textId="77777777" w:rsidR="009D0006" w:rsidRPr="00246D84" w:rsidRDefault="009D0006" w:rsidP="00246D84">
            <w:pPr>
              <w:pStyle w:val="Tabletext"/>
            </w:pPr>
            <w:r w:rsidRPr="00246D84">
              <w:t>53.1</w:t>
            </w:r>
          </w:p>
        </w:tc>
      </w:tr>
      <w:tr w:rsidR="009D0006" w:rsidRPr="003F4D73" w14:paraId="70615E47" w14:textId="77777777" w:rsidTr="00246D84">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22ADA319" w14:textId="77777777" w:rsidR="009D0006" w:rsidRPr="00246D84" w:rsidRDefault="009D0006" w:rsidP="00246D84">
            <w:pPr>
              <w:pStyle w:val="Tabletext"/>
            </w:pPr>
            <w:r w:rsidRPr="00246D84">
              <w:t>Ever</w:t>
            </w:r>
          </w:p>
        </w:tc>
        <w:tc>
          <w:tcPr>
            <w:tcW w:w="1559" w:type="dxa"/>
            <w:noWrap/>
          </w:tcPr>
          <w:p w14:paraId="7A56B52B" w14:textId="77777777" w:rsidR="009D0006" w:rsidRPr="00246D84" w:rsidRDefault="009D0006" w:rsidP="00246D84">
            <w:pPr>
              <w:pStyle w:val="Tabletext"/>
            </w:pPr>
            <w:r w:rsidRPr="00246D84">
              <w:t>365</w:t>
            </w:r>
          </w:p>
        </w:tc>
        <w:tc>
          <w:tcPr>
            <w:tcW w:w="1559" w:type="dxa"/>
            <w:noWrap/>
          </w:tcPr>
          <w:p w14:paraId="6B713093" w14:textId="77777777" w:rsidR="009D0006" w:rsidRPr="00246D84" w:rsidRDefault="009D0006" w:rsidP="00246D84">
            <w:pPr>
              <w:pStyle w:val="Tabletext"/>
            </w:pPr>
            <w:r w:rsidRPr="00246D84">
              <w:t>85.1</w:t>
            </w:r>
          </w:p>
        </w:tc>
      </w:tr>
    </w:tbl>
    <w:p w14:paraId="626AB2C4" w14:textId="77777777" w:rsidR="009D0006" w:rsidRDefault="009D0006" w:rsidP="00246D84">
      <w:pPr>
        <w:pStyle w:val="Tableheading"/>
      </w:pPr>
      <w:r>
        <w:t xml:space="preserve">Table 68.2 </w:t>
      </w:r>
      <w:r>
        <w:lastRenderedPageBreak/>
        <w:t>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4B054B3" w14:textId="77777777" w:rsidTr="00246D84">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3258F57A" w14:textId="77777777" w:rsidR="009D0006" w:rsidRPr="00246D84" w:rsidRDefault="009D0006" w:rsidP="00246D84">
            <w:pPr>
              <w:pStyle w:val="Tableheader"/>
            </w:pPr>
            <w:r w:rsidRPr="00246D84">
              <w:t>Suicidal ideation </w:t>
            </w:r>
          </w:p>
        </w:tc>
        <w:tc>
          <w:tcPr>
            <w:tcW w:w="1559" w:type="dxa"/>
            <w:hideMark/>
          </w:tcPr>
          <w:p w14:paraId="19CE0EDB" w14:textId="77777777" w:rsidR="009D0006" w:rsidRPr="00246D84" w:rsidRDefault="009D0006" w:rsidP="00246D84">
            <w:pPr>
              <w:pStyle w:val="Tableheader"/>
            </w:pPr>
            <w:r w:rsidRPr="00246D84">
              <w:t>n</w:t>
            </w:r>
          </w:p>
        </w:tc>
        <w:tc>
          <w:tcPr>
            <w:tcW w:w="1559" w:type="dxa"/>
            <w:hideMark/>
          </w:tcPr>
          <w:p w14:paraId="111CB09E" w14:textId="77777777" w:rsidR="009D0006" w:rsidRPr="00246D84" w:rsidRDefault="009D0006" w:rsidP="00246D84">
            <w:pPr>
              <w:pStyle w:val="Tableheader"/>
            </w:pPr>
            <w:r w:rsidRPr="00246D84">
              <w:t>%</w:t>
            </w:r>
          </w:p>
        </w:tc>
      </w:tr>
      <w:tr w:rsidR="009D0006" w:rsidRPr="003F4D73" w14:paraId="52DB5D77" w14:textId="77777777" w:rsidTr="00246D84">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4BAE0C73" w14:textId="77777777" w:rsidR="009D0006" w:rsidRPr="00F103F7" w:rsidRDefault="009D0006" w:rsidP="00246D84">
            <w:pPr>
              <w:pStyle w:val="Tabletext"/>
              <w:rPr>
                <w:color w:val="0D0D0D"/>
              </w:rPr>
            </w:pPr>
            <w:r>
              <w:rPr>
                <w:lang w:val="en-US"/>
              </w:rPr>
              <w:t>Past 12 months</w:t>
            </w:r>
          </w:p>
        </w:tc>
        <w:tc>
          <w:tcPr>
            <w:tcW w:w="1559" w:type="dxa"/>
          </w:tcPr>
          <w:p w14:paraId="6F20852C" w14:textId="77777777" w:rsidR="009D0006" w:rsidRPr="003F4D73" w:rsidRDefault="009D0006" w:rsidP="00246D84">
            <w:pPr>
              <w:pStyle w:val="Tabletext"/>
              <w:rPr>
                <w:color w:val="0D0D0D"/>
              </w:rPr>
            </w:pPr>
            <w:r>
              <w:t>795</w:t>
            </w:r>
          </w:p>
        </w:tc>
        <w:tc>
          <w:tcPr>
            <w:tcW w:w="1559" w:type="dxa"/>
          </w:tcPr>
          <w:p w14:paraId="4DA1CA51" w14:textId="77777777" w:rsidR="009D0006" w:rsidRPr="003F4D73" w:rsidRDefault="009D0006" w:rsidP="00246D84">
            <w:pPr>
              <w:pStyle w:val="Tabletext"/>
              <w:rPr>
                <w:color w:val="0D0D0D"/>
              </w:rPr>
            </w:pPr>
            <w:r>
              <w:t>57.2</w:t>
            </w:r>
          </w:p>
        </w:tc>
      </w:tr>
      <w:tr w:rsidR="009D0006" w:rsidRPr="003F4D73" w14:paraId="542D405B" w14:textId="77777777" w:rsidTr="00246D84">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449D887B" w14:textId="77777777" w:rsidR="009D0006" w:rsidRPr="00F103F7" w:rsidRDefault="009D0006" w:rsidP="00246D84">
            <w:pPr>
              <w:pStyle w:val="Tabletext"/>
              <w:rPr>
                <w:color w:val="0D0D0D"/>
              </w:rPr>
            </w:pPr>
            <w:r>
              <w:rPr>
                <w:lang w:val="en-US"/>
              </w:rPr>
              <w:t>Ever</w:t>
            </w:r>
          </w:p>
        </w:tc>
        <w:tc>
          <w:tcPr>
            <w:tcW w:w="1559" w:type="dxa"/>
          </w:tcPr>
          <w:p w14:paraId="6A899FE3" w14:textId="77777777" w:rsidR="009D0006" w:rsidRPr="003F4D73" w:rsidRDefault="009D0006" w:rsidP="00246D84">
            <w:pPr>
              <w:pStyle w:val="Tabletext"/>
              <w:rPr>
                <w:color w:val="0D0D0D"/>
              </w:rPr>
            </w:pPr>
            <w:r>
              <w:t>1217</w:t>
            </w:r>
          </w:p>
        </w:tc>
        <w:tc>
          <w:tcPr>
            <w:tcW w:w="1559" w:type="dxa"/>
          </w:tcPr>
          <w:p w14:paraId="3CC7B310" w14:textId="77777777" w:rsidR="009D0006" w:rsidRPr="003F4D73" w:rsidRDefault="009D0006" w:rsidP="00246D84">
            <w:pPr>
              <w:pStyle w:val="Tabletext"/>
              <w:rPr>
                <w:color w:val="0D0D0D"/>
              </w:rPr>
            </w:pPr>
            <w:r>
              <w:t>87.6</w:t>
            </w:r>
          </w:p>
        </w:tc>
      </w:tr>
    </w:tbl>
    <w:p w14:paraId="670AD133" w14:textId="77777777" w:rsidR="009D0006" w:rsidRPr="00246D84" w:rsidRDefault="009D0006" w:rsidP="00246D84">
      <w:pPr>
        <w:pStyle w:val="Tableheading"/>
      </w:pPr>
      <w:r w:rsidRPr="00246D84">
        <w:t xml:space="preserve">Table 68.3 </w:t>
      </w:r>
      <w:r w:rsidRPr="00246D84">
        <w:rPr>
          <w:rStyle w:val="TableheaderChar"/>
          <w:rFonts w:cstheme="majorBidi"/>
          <w:b/>
          <w:sz w:val="24"/>
        </w:rPr>
        <w:t>Severe</w:t>
      </w:r>
      <w:r w:rsidRPr="00246D84">
        <w:t xml:space="preserv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61D0D78" w14:textId="77777777" w:rsidTr="00246D84">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2508922E" w14:textId="77777777" w:rsidR="009D0006" w:rsidRPr="00246D84" w:rsidRDefault="009D0006" w:rsidP="00246D84">
            <w:pPr>
              <w:pStyle w:val="Tableheader"/>
            </w:pPr>
            <w:r w:rsidRPr="00246D84">
              <w:t>Suicidal ideation </w:t>
            </w:r>
          </w:p>
        </w:tc>
        <w:tc>
          <w:tcPr>
            <w:tcW w:w="1559" w:type="dxa"/>
            <w:noWrap/>
            <w:hideMark/>
          </w:tcPr>
          <w:p w14:paraId="54DCC3D4" w14:textId="77777777" w:rsidR="009D0006" w:rsidRPr="00246D84" w:rsidRDefault="009D0006" w:rsidP="00246D84">
            <w:pPr>
              <w:pStyle w:val="Tableheader"/>
            </w:pPr>
            <w:r w:rsidRPr="00246D84">
              <w:t>n</w:t>
            </w:r>
          </w:p>
        </w:tc>
        <w:tc>
          <w:tcPr>
            <w:tcW w:w="1559" w:type="dxa"/>
            <w:noWrap/>
            <w:hideMark/>
          </w:tcPr>
          <w:p w14:paraId="3451830B" w14:textId="77777777" w:rsidR="009D0006" w:rsidRPr="00246D84" w:rsidRDefault="009D0006" w:rsidP="00246D84">
            <w:pPr>
              <w:pStyle w:val="Tableheader"/>
            </w:pPr>
            <w:r w:rsidRPr="00246D84">
              <w:t>%</w:t>
            </w:r>
          </w:p>
        </w:tc>
      </w:tr>
      <w:tr w:rsidR="009D0006" w:rsidRPr="003F4D73" w14:paraId="1B7AE449" w14:textId="77777777" w:rsidTr="00246D84">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139A9195" w14:textId="77777777" w:rsidR="009D0006" w:rsidRPr="00F103F7" w:rsidRDefault="009D0006" w:rsidP="00246D84">
            <w:pPr>
              <w:pStyle w:val="Tabletext"/>
              <w:rPr>
                <w:color w:val="0D0D0D"/>
              </w:rPr>
            </w:pPr>
            <w:r>
              <w:rPr>
                <w:lang w:val="en-US"/>
              </w:rPr>
              <w:t>Past 12 months</w:t>
            </w:r>
          </w:p>
        </w:tc>
        <w:tc>
          <w:tcPr>
            <w:tcW w:w="1559" w:type="dxa"/>
            <w:noWrap/>
          </w:tcPr>
          <w:p w14:paraId="2BCFC491" w14:textId="77777777" w:rsidR="009D0006" w:rsidRPr="003F4D73" w:rsidRDefault="009D0006" w:rsidP="00246D84">
            <w:pPr>
              <w:pStyle w:val="Tabletext"/>
              <w:rPr>
                <w:color w:val="0D0D0D"/>
              </w:rPr>
            </w:pPr>
            <w:r>
              <w:t>544</w:t>
            </w:r>
          </w:p>
        </w:tc>
        <w:tc>
          <w:tcPr>
            <w:tcW w:w="1559" w:type="dxa"/>
            <w:noWrap/>
          </w:tcPr>
          <w:p w14:paraId="5CB4B46F" w14:textId="77777777" w:rsidR="009D0006" w:rsidRPr="003F4D73" w:rsidRDefault="009D0006" w:rsidP="00246D84">
            <w:pPr>
              <w:pStyle w:val="Tabletext"/>
              <w:rPr>
                <w:color w:val="0D0D0D"/>
              </w:rPr>
            </w:pPr>
            <w:r>
              <w:t>68.0</w:t>
            </w:r>
          </w:p>
        </w:tc>
      </w:tr>
      <w:tr w:rsidR="009D0006" w:rsidRPr="003F4D73" w14:paraId="76A47C47" w14:textId="77777777" w:rsidTr="00246D84">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549495D1" w14:textId="77777777" w:rsidR="009D0006" w:rsidRPr="00F103F7" w:rsidRDefault="009D0006" w:rsidP="00246D84">
            <w:pPr>
              <w:pStyle w:val="Tabletext"/>
              <w:rPr>
                <w:color w:val="0D0D0D"/>
              </w:rPr>
            </w:pPr>
            <w:r>
              <w:rPr>
                <w:lang w:val="en-US"/>
              </w:rPr>
              <w:t>Ever</w:t>
            </w:r>
          </w:p>
        </w:tc>
        <w:tc>
          <w:tcPr>
            <w:tcW w:w="1559" w:type="dxa"/>
            <w:noWrap/>
          </w:tcPr>
          <w:p w14:paraId="63444FD6" w14:textId="77777777" w:rsidR="009D0006" w:rsidRPr="003F4D73" w:rsidRDefault="009D0006" w:rsidP="00246D84">
            <w:pPr>
              <w:pStyle w:val="Tabletext"/>
              <w:rPr>
                <w:color w:val="0D0D0D"/>
              </w:rPr>
            </w:pPr>
            <w:r>
              <w:t>727</w:t>
            </w:r>
          </w:p>
        </w:tc>
        <w:tc>
          <w:tcPr>
            <w:tcW w:w="1559" w:type="dxa"/>
            <w:noWrap/>
          </w:tcPr>
          <w:p w14:paraId="4EB7A792" w14:textId="77777777" w:rsidR="009D0006" w:rsidRPr="003F4D73" w:rsidRDefault="009D0006" w:rsidP="00246D84">
            <w:pPr>
              <w:pStyle w:val="Tabletext"/>
              <w:rPr>
                <w:color w:val="0D0D0D"/>
              </w:rPr>
            </w:pPr>
            <w:r>
              <w:t>90.9</w:t>
            </w:r>
          </w:p>
        </w:tc>
      </w:tr>
    </w:tbl>
    <w:p w14:paraId="1F40B3BE" w14:textId="77777777" w:rsidR="009D0006" w:rsidRDefault="009D0006" w:rsidP="00246D84">
      <w:pPr>
        <w:pStyle w:val="Tableheading"/>
      </w:pPr>
      <w:r>
        <w:t>Table 68.4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109F79B" w14:textId="77777777" w:rsidTr="00246D84">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103C54EC" w14:textId="77777777" w:rsidR="009D0006" w:rsidRPr="00246D84" w:rsidRDefault="009D0006" w:rsidP="00246D84">
            <w:pPr>
              <w:pStyle w:val="Tableheader"/>
            </w:pPr>
            <w:r w:rsidRPr="00246D84">
              <w:t>Suicidal ideation </w:t>
            </w:r>
          </w:p>
        </w:tc>
        <w:tc>
          <w:tcPr>
            <w:tcW w:w="1559" w:type="dxa"/>
            <w:hideMark/>
          </w:tcPr>
          <w:p w14:paraId="75928D7D" w14:textId="77777777" w:rsidR="009D0006" w:rsidRPr="00246D84" w:rsidRDefault="009D0006" w:rsidP="00246D84">
            <w:pPr>
              <w:pStyle w:val="Tableheader"/>
            </w:pPr>
            <w:r w:rsidRPr="00246D84">
              <w:t>n</w:t>
            </w:r>
          </w:p>
        </w:tc>
        <w:tc>
          <w:tcPr>
            <w:tcW w:w="1559" w:type="dxa"/>
            <w:hideMark/>
          </w:tcPr>
          <w:p w14:paraId="124AF79D" w14:textId="77777777" w:rsidR="009D0006" w:rsidRPr="00246D84" w:rsidRDefault="009D0006" w:rsidP="00246D84">
            <w:pPr>
              <w:pStyle w:val="Tableheader"/>
            </w:pPr>
            <w:r w:rsidRPr="00246D84">
              <w:t>%</w:t>
            </w:r>
          </w:p>
        </w:tc>
      </w:tr>
      <w:tr w:rsidR="009D0006" w:rsidRPr="003F4D73" w14:paraId="4EB501FA" w14:textId="77777777" w:rsidTr="00246D84">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566CF0A4" w14:textId="77777777" w:rsidR="009D0006" w:rsidRPr="00F103F7" w:rsidRDefault="009D0006" w:rsidP="00246D84">
            <w:pPr>
              <w:pStyle w:val="Tabletext"/>
              <w:rPr>
                <w:color w:val="0D0D0D"/>
              </w:rPr>
            </w:pPr>
            <w:r>
              <w:rPr>
                <w:lang w:val="en-US"/>
              </w:rPr>
              <w:t>Past 12 months</w:t>
            </w:r>
          </w:p>
        </w:tc>
        <w:tc>
          <w:tcPr>
            <w:tcW w:w="1559" w:type="dxa"/>
          </w:tcPr>
          <w:p w14:paraId="2C589CAB" w14:textId="77777777" w:rsidR="009D0006" w:rsidRPr="003F4D73" w:rsidRDefault="009D0006" w:rsidP="00246D84">
            <w:pPr>
              <w:pStyle w:val="Tabletext"/>
              <w:rPr>
                <w:color w:val="0D0D0D"/>
              </w:rPr>
            </w:pPr>
            <w:r>
              <w:t>1125</w:t>
            </w:r>
          </w:p>
        </w:tc>
        <w:tc>
          <w:tcPr>
            <w:tcW w:w="1559" w:type="dxa"/>
          </w:tcPr>
          <w:p w14:paraId="5E7F24D6" w14:textId="77777777" w:rsidR="009D0006" w:rsidRPr="003F4D73" w:rsidRDefault="009D0006" w:rsidP="00246D84">
            <w:pPr>
              <w:pStyle w:val="Tabletext"/>
              <w:rPr>
                <w:color w:val="0D0D0D"/>
              </w:rPr>
            </w:pPr>
            <w:r>
              <w:t>29.0</w:t>
            </w:r>
          </w:p>
        </w:tc>
      </w:tr>
      <w:tr w:rsidR="009D0006" w:rsidRPr="003F4D73" w14:paraId="3E28D627" w14:textId="77777777" w:rsidTr="00246D84">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1119C4AA" w14:textId="77777777" w:rsidR="009D0006" w:rsidRPr="00F103F7" w:rsidRDefault="009D0006" w:rsidP="00246D84">
            <w:pPr>
              <w:pStyle w:val="Tabletext"/>
              <w:rPr>
                <w:color w:val="0D0D0D"/>
              </w:rPr>
            </w:pPr>
            <w:r>
              <w:rPr>
                <w:lang w:val="en-US"/>
              </w:rPr>
              <w:t>Ever</w:t>
            </w:r>
          </w:p>
        </w:tc>
        <w:tc>
          <w:tcPr>
            <w:tcW w:w="1559" w:type="dxa"/>
          </w:tcPr>
          <w:p w14:paraId="249A765E" w14:textId="77777777" w:rsidR="009D0006" w:rsidRPr="003F4D73" w:rsidRDefault="009D0006" w:rsidP="00246D84">
            <w:pPr>
              <w:pStyle w:val="Tabletext"/>
              <w:rPr>
                <w:color w:val="0D0D0D"/>
              </w:rPr>
            </w:pPr>
            <w:r>
              <w:t>2526</w:t>
            </w:r>
          </w:p>
        </w:tc>
        <w:tc>
          <w:tcPr>
            <w:tcW w:w="1559" w:type="dxa"/>
          </w:tcPr>
          <w:p w14:paraId="54BBA7FF" w14:textId="77777777" w:rsidR="009D0006" w:rsidRPr="003F4D73" w:rsidRDefault="009D0006" w:rsidP="00246D84">
            <w:pPr>
              <w:pStyle w:val="Tabletext"/>
              <w:rPr>
                <w:color w:val="0D0D0D"/>
              </w:rPr>
            </w:pPr>
            <w:r>
              <w:t>65.1</w:t>
            </w:r>
          </w:p>
        </w:tc>
      </w:tr>
    </w:tbl>
    <w:p w14:paraId="3FAC5AF4" w14:textId="77777777" w:rsidR="009D0006" w:rsidRPr="00C47CBF" w:rsidRDefault="009D0006" w:rsidP="00184CF2">
      <w:pPr>
        <w:spacing w:before="360"/>
      </w:pPr>
      <w:r w:rsidRPr="00AF4A20">
        <w:t xml:space="preserve">As </w:t>
      </w:r>
      <w:r w:rsidRPr="00C47CBF">
        <w:t>shown in Table</w:t>
      </w:r>
      <w:r>
        <w:t>s</w:t>
      </w:r>
      <w:r w:rsidRPr="00C47CBF">
        <w:t xml:space="preserve"> </w:t>
      </w:r>
      <w:r>
        <w:t>68.1-68.4</w:t>
      </w:r>
      <w:r w:rsidRPr="00C47CBF">
        <w:t xml:space="preserve">, </w:t>
      </w:r>
      <w:r>
        <w:t>adults</w:t>
      </w:r>
      <w:r w:rsidRPr="00C47CBF">
        <w:t xml:space="preserve"> with disability</w:t>
      </w:r>
      <w:r>
        <w:t xml:space="preserve"> </w:t>
      </w:r>
      <w:r w:rsidRPr="00C47CBF">
        <w:t xml:space="preserve">in </w:t>
      </w:r>
      <w:r w:rsidRPr="00C47CBF">
        <w:rPr>
          <w:i/>
          <w:iCs/>
        </w:rPr>
        <w:t>Private Lives 3</w:t>
      </w:r>
      <w:r w:rsidRPr="00C47CBF">
        <w:t xml:space="preserve"> reported substantially higher rates of suicidal ideation in the past 12 months and ever in their lifetime</w:t>
      </w:r>
      <w:r>
        <w:t xml:space="preserve"> than </w:t>
      </w:r>
      <w:r w:rsidRPr="00C47CBF">
        <w:t xml:space="preserve">participants </w:t>
      </w:r>
      <w:r>
        <w:t xml:space="preserve">without </w:t>
      </w:r>
      <w:r w:rsidRPr="00C47CBF">
        <w:t xml:space="preserve">disability. Among participants who did not report disability, under one-third had experienced suicidal ideation in the past 12 months (29.0%; n = 1125) compared to more than two-thirds of participants </w:t>
      </w:r>
      <w:r>
        <w:t xml:space="preserve">categorised </w:t>
      </w:r>
      <w:r w:rsidRPr="00C47CBF">
        <w:t>with sever</w:t>
      </w:r>
      <w:r>
        <w:t>e</w:t>
      </w:r>
      <w:r w:rsidRPr="00C47CBF">
        <w:t xml:space="preserve"> disability (68.0%; n = 544)</w:t>
      </w:r>
      <w:r>
        <w:t xml:space="preserve"> and</w:t>
      </w:r>
      <w:r w:rsidRPr="008F4666">
        <w:t xml:space="preserve"> more than half of </w:t>
      </w:r>
      <w:r w:rsidRPr="00C47CBF">
        <w:t xml:space="preserve">participants </w:t>
      </w:r>
      <w:r>
        <w:t xml:space="preserve">categorised </w:t>
      </w:r>
      <w:r w:rsidRPr="00C47CBF">
        <w:t xml:space="preserve">with moderate disability (57.2%; n = 795) </w:t>
      </w:r>
      <w:r>
        <w:t>or</w:t>
      </w:r>
      <w:r w:rsidRPr="00C47CBF">
        <w:t xml:space="preserve"> mild disability (53.1%; n = 228).</w:t>
      </w:r>
    </w:p>
    <w:p w14:paraId="522A12BD" w14:textId="0DC8B1E4" w:rsidR="00D74274" w:rsidRDefault="009D0006" w:rsidP="009D0006">
      <w:r w:rsidRPr="00C47CBF">
        <w:t xml:space="preserve">Almost two-thirds of participants </w:t>
      </w:r>
      <w:r>
        <w:t>without</w:t>
      </w:r>
      <w:r w:rsidRPr="00C47CBF">
        <w:t xml:space="preserve"> disability had ever experienced suicidal ideation in their lifetime (65.1%; n = 2526</w:t>
      </w:r>
      <w:r>
        <w:t>)</w:t>
      </w:r>
      <w:r w:rsidRPr="00C47CBF">
        <w:t xml:space="preserve"> compared to more than 90% of participants </w:t>
      </w:r>
      <w:r>
        <w:t xml:space="preserve">categorised </w:t>
      </w:r>
      <w:r w:rsidRPr="00C47CBF">
        <w:t>with severe disability (90.9%; n = 727)</w:t>
      </w:r>
      <w:r>
        <w:t xml:space="preserve"> and </w:t>
      </w:r>
      <w:r w:rsidRPr="00C47CBF">
        <w:t xml:space="preserve">more than 80% of participants </w:t>
      </w:r>
      <w:r>
        <w:t xml:space="preserve">categorised </w:t>
      </w:r>
      <w:r w:rsidRPr="00C47CBF">
        <w:t>with moderate disability (87.6%; n = 1217)</w:t>
      </w:r>
      <w:r>
        <w:t xml:space="preserve"> or</w:t>
      </w:r>
      <w:r w:rsidRPr="00C47CBF">
        <w:t xml:space="preserve"> mild disability (85.1%; n = 365).</w:t>
      </w:r>
    </w:p>
    <w:p w14:paraId="675D350B" w14:textId="77777777" w:rsidR="00D74274" w:rsidRDefault="00D74274">
      <w:pPr>
        <w:spacing w:before="0"/>
      </w:pPr>
      <w:r>
        <w:br w:type="page"/>
      </w:r>
    </w:p>
    <w:p w14:paraId="331DBD2B" w14:textId="4D842F8F" w:rsidR="009D0006" w:rsidRPr="009761D5" w:rsidRDefault="009D0006" w:rsidP="006346CA">
      <w:pPr>
        <w:pStyle w:val="Heading3Numbered"/>
      </w:pPr>
      <w:bookmarkStart w:id="677" w:name="_Toc115968596"/>
      <w:r w:rsidRPr="009761D5">
        <w:t>Suicide att</w:t>
      </w:r>
      <w:r w:rsidRPr="009761D5">
        <w:lastRenderedPageBreak/>
        <w:t>empts in the past 12 months and ever by disability – young people aged 14-21 years</w:t>
      </w:r>
      <w:bookmarkEnd w:id="677"/>
    </w:p>
    <w:p w14:paraId="5981F165" w14:textId="120AE627" w:rsidR="004E2605" w:rsidRPr="00D74274" w:rsidRDefault="009D0006" w:rsidP="00D74274">
      <w:pPr>
        <w:pStyle w:val="Tableheading"/>
      </w:pPr>
      <w:bookmarkStart w:id="678" w:name="_Toc117062787"/>
      <w:bookmarkStart w:id="679" w:name="_Toc119651472"/>
      <w:r w:rsidRPr="00FA6F3B">
        <w:rPr>
          <w:bCs/>
        </w:rPr>
        <w:t xml:space="preserve">Table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69</w:t>
      </w:r>
      <w:r w:rsidRPr="00985828">
        <w:rPr>
          <w:bCs/>
          <w:sz w:val="18"/>
          <w:szCs w:val="18"/>
        </w:rPr>
        <w:fldChar w:fldCharType="end"/>
      </w:r>
      <w:r>
        <w:t xml:space="preserve">.1-69.7: </w:t>
      </w:r>
      <w:r w:rsidRPr="009761D5">
        <w:t>Suicid</w:t>
      </w:r>
      <w:r>
        <w:t>e</w:t>
      </w:r>
      <w:r w:rsidRPr="009761D5">
        <w:t xml:space="preserve"> </w:t>
      </w:r>
      <w:r>
        <w:t>attempt</w:t>
      </w:r>
      <w:r w:rsidRPr="009761D5">
        <w:t xml:space="preserve"> in the past 12 months and ever </w:t>
      </w:r>
      <w:r>
        <w:t xml:space="preserve">among young people aged 14-21 years, grouped </w:t>
      </w:r>
      <w:r w:rsidRPr="009761D5">
        <w:t xml:space="preserve">by disability </w:t>
      </w:r>
      <w:r>
        <w:t>(n = 5630)</w:t>
      </w:r>
      <w:bookmarkEnd w:id="678"/>
      <w:bookmarkEnd w:id="679"/>
    </w:p>
    <w:p w14:paraId="67E027A4" w14:textId="283377A6" w:rsidR="009D0006" w:rsidRDefault="009D0006" w:rsidP="00AC5F0A">
      <w:pPr>
        <w:pStyle w:val="Tableheading"/>
      </w:pPr>
      <w:r>
        <w:t>Table 69.1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68B8A87D"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1D5DAE26" w14:textId="77777777" w:rsidR="009D0006" w:rsidRPr="002D1E90" w:rsidRDefault="009D0006" w:rsidP="00AC5F0A">
            <w:pPr>
              <w:pStyle w:val="Tableheader"/>
            </w:pPr>
            <w:r w:rsidRPr="00CC74AD">
              <w:t>Suicide attempt</w:t>
            </w:r>
          </w:p>
        </w:tc>
        <w:tc>
          <w:tcPr>
            <w:tcW w:w="1559" w:type="dxa"/>
            <w:noWrap/>
          </w:tcPr>
          <w:p w14:paraId="2DEEAD0A" w14:textId="77777777" w:rsidR="009D0006" w:rsidRPr="00A55113" w:rsidRDefault="009D0006" w:rsidP="00AC5F0A">
            <w:pPr>
              <w:pStyle w:val="Tableheader"/>
            </w:pPr>
            <w:r w:rsidRPr="00A55113">
              <w:t>n</w:t>
            </w:r>
          </w:p>
        </w:tc>
        <w:tc>
          <w:tcPr>
            <w:tcW w:w="1559" w:type="dxa"/>
            <w:noWrap/>
          </w:tcPr>
          <w:p w14:paraId="38712C2E" w14:textId="77777777" w:rsidR="009D0006" w:rsidRPr="00A55113" w:rsidRDefault="009D0006" w:rsidP="00AC5F0A">
            <w:pPr>
              <w:pStyle w:val="Tableheader"/>
            </w:pPr>
            <w:r w:rsidRPr="00A55113">
              <w:t>%</w:t>
            </w:r>
          </w:p>
        </w:tc>
      </w:tr>
      <w:tr w:rsidR="009D0006" w:rsidRPr="00281B62" w14:paraId="04E896E3"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F24C411" w14:textId="77777777" w:rsidR="009D0006" w:rsidRPr="00CC74AD" w:rsidRDefault="009D0006" w:rsidP="00AC5F0A">
            <w:pPr>
              <w:pStyle w:val="Tabletext"/>
            </w:pPr>
            <w:r w:rsidRPr="00CC74AD">
              <w:rPr>
                <w:lang w:val="en-US"/>
              </w:rPr>
              <w:t>Past 12 months</w:t>
            </w:r>
          </w:p>
        </w:tc>
        <w:tc>
          <w:tcPr>
            <w:tcW w:w="1559" w:type="dxa"/>
            <w:noWrap/>
          </w:tcPr>
          <w:p w14:paraId="10826EEF" w14:textId="77777777" w:rsidR="009D0006" w:rsidRPr="00281B62" w:rsidRDefault="009D0006" w:rsidP="00AC5F0A">
            <w:pPr>
              <w:pStyle w:val="Tabletext"/>
            </w:pPr>
            <w:r w:rsidRPr="00281B62">
              <w:t>214</w:t>
            </w:r>
          </w:p>
        </w:tc>
        <w:tc>
          <w:tcPr>
            <w:tcW w:w="1559" w:type="dxa"/>
            <w:noWrap/>
          </w:tcPr>
          <w:p w14:paraId="76E6877C" w14:textId="77777777" w:rsidR="009D0006" w:rsidRPr="00281B62" w:rsidRDefault="009D0006" w:rsidP="00AC5F0A">
            <w:pPr>
              <w:pStyle w:val="Tabletext"/>
            </w:pPr>
            <w:r w:rsidRPr="00281B62">
              <w:t>15.0</w:t>
            </w:r>
          </w:p>
        </w:tc>
      </w:tr>
      <w:tr w:rsidR="009D0006" w:rsidRPr="00281B62" w14:paraId="2CC85A3B"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69F1393C" w14:textId="77777777" w:rsidR="009D0006" w:rsidRPr="00CC74AD" w:rsidRDefault="009D0006" w:rsidP="00AC5F0A">
            <w:pPr>
              <w:pStyle w:val="Tabletext"/>
            </w:pPr>
            <w:r w:rsidRPr="00CC74AD">
              <w:rPr>
                <w:lang w:val="en-US"/>
              </w:rPr>
              <w:t>Ever</w:t>
            </w:r>
          </w:p>
        </w:tc>
        <w:tc>
          <w:tcPr>
            <w:tcW w:w="1559" w:type="dxa"/>
            <w:noWrap/>
          </w:tcPr>
          <w:p w14:paraId="662DAA88" w14:textId="77777777" w:rsidR="009D0006" w:rsidRPr="00281B62" w:rsidRDefault="009D0006" w:rsidP="00AC5F0A">
            <w:pPr>
              <w:pStyle w:val="Tabletext"/>
            </w:pPr>
            <w:r w:rsidRPr="00281B62">
              <w:t>567</w:t>
            </w:r>
          </w:p>
        </w:tc>
        <w:tc>
          <w:tcPr>
            <w:tcW w:w="1559" w:type="dxa"/>
            <w:noWrap/>
          </w:tcPr>
          <w:p w14:paraId="00F4074A" w14:textId="77777777" w:rsidR="009D0006" w:rsidRPr="00281B62" w:rsidRDefault="009D0006" w:rsidP="00AC5F0A">
            <w:pPr>
              <w:pStyle w:val="Tabletext"/>
            </w:pPr>
            <w:r w:rsidRPr="00281B62">
              <w:t>39.8</w:t>
            </w:r>
          </w:p>
        </w:tc>
      </w:tr>
    </w:tbl>
    <w:p w14:paraId="1D3A53B1" w14:textId="77777777" w:rsidR="009D0006" w:rsidRDefault="009D0006" w:rsidP="00AC5F0A">
      <w:pPr>
        <w:pStyle w:val="Tableheading"/>
        <w:rPr>
          <w:lang w:val="en-GB"/>
        </w:rPr>
      </w:pPr>
      <w:r>
        <w:rPr>
          <w:lang w:val="en-GB"/>
        </w:rPr>
        <w:t>Table 69.2 No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6E450F27"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61A96C80" w14:textId="77777777" w:rsidR="009D0006" w:rsidRPr="002D1E90" w:rsidRDefault="009D0006" w:rsidP="00AC5F0A">
            <w:pPr>
              <w:pStyle w:val="Tableheader"/>
            </w:pPr>
            <w:r w:rsidRPr="00CC74AD">
              <w:t>Suicide attempt</w:t>
            </w:r>
          </w:p>
        </w:tc>
        <w:tc>
          <w:tcPr>
            <w:tcW w:w="1559" w:type="dxa"/>
          </w:tcPr>
          <w:p w14:paraId="3BB45FBA" w14:textId="77777777" w:rsidR="009D0006" w:rsidRPr="00A55113" w:rsidRDefault="009D0006" w:rsidP="00AC5F0A">
            <w:pPr>
              <w:pStyle w:val="Tableheader"/>
            </w:pPr>
            <w:r w:rsidRPr="00A55113">
              <w:t>n</w:t>
            </w:r>
          </w:p>
        </w:tc>
        <w:tc>
          <w:tcPr>
            <w:tcW w:w="1559" w:type="dxa"/>
          </w:tcPr>
          <w:p w14:paraId="11C9300D" w14:textId="77777777" w:rsidR="009D0006" w:rsidRPr="00A55113" w:rsidRDefault="009D0006" w:rsidP="00AC5F0A">
            <w:pPr>
              <w:pStyle w:val="Tableheader"/>
            </w:pPr>
            <w:r w:rsidRPr="00A55113">
              <w:t>%</w:t>
            </w:r>
          </w:p>
        </w:tc>
      </w:tr>
      <w:tr w:rsidR="009D0006" w:rsidRPr="00281B62" w14:paraId="2B7ADECD"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A63405B" w14:textId="77777777" w:rsidR="009D0006" w:rsidRPr="00CC74AD" w:rsidRDefault="009D0006" w:rsidP="00AC5F0A">
            <w:pPr>
              <w:pStyle w:val="Tabletext"/>
            </w:pPr>
            <w:r w:rsidRPr="00CC74AD">
              <w:rPr>
                <w:lang w:val="en-US"/>
              </w:rPr>
              <w:t>Past 12 months</w:t>
            </w:r>
          </w:p>
        </w:tc>
        <w:tc>
          <w:tcPr>
            <w:tcW w:w="1559" w:type="dxa"/>
          </w:tcPr>
          <w:p w14:paraId="7CA8C031" w14:textId="77777777" w:rsidR="009D0006" w:rsidRPr="00281B62" w:rsidRDefault="009D0006" w:rsidP="00AC5F0A">
            <w:pPr>
              <w:pStyle w:val="Tabletext"/>
            </w:pPr>
            <w:r w:rsidRPr="00281B62">
              <w:t>191</w:t>
            </w:r>
          </w:p>
        </w:tc>
        <w:tc>
          <w:tcPr>
            <w:tcW w:w="1559" w:type="dxa"/>
          </w:tcPr>
          <w:p w14:paraId="70E20F89" w14:textId="77777777" w:rsidR="009D0006" w:rsidRPr="00281B62" w:rsidRDefault="009D0006" w:rsidP="00AC5F0A">
            <w:pPr>
              <w:pStyle w:val="Tabletext"/>
            </w:pPr>
            <w:r w:rsidRPr="00281B62">
              <w:t>6.0</w:t>
            </w:r>
          </w:p>
        </w:tc>
      </w:tr>
      <w:tr w:rsidR="009D0006" w:rsidRPr="00281B62" w14:paraId="15656072"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3C224D5" w14:textId="77777777" w:rsidR="009D0006" w:rsidRPr="00CC74AD" w:rsidRDefault="009D0006" w:rsidP="00AC5F0A">
            <w:pPr>
              <w:pStyle w:val="Tabletext"/>
            </w:pPr>
            <w:r w:rsidRPr="00CC74AD">
              <w:rPr>
                <w:lang w:val="en-US"/>
              </w:rPr>
              <w:t>Ever</w:t>
            </w:r>
          </w:p>
        </w:tc>
        <w:tc>
          <w:tcPr>
            <w:tcW w:w="1559" w:type="dxa"/>
          </w:tcPr>
          <w:p w14:paraId="6A0BC85B" w14:textId="77777777" w:rsidR="009D0006" w:rsidRPr="00281B62" w:rsidRDefault="009D0006" w:rsidP="00AC5F0A">
            <w:pPr>
              <w:pStyle w:val="Tabletext"/>
            </w:pPr>
            <w:r w:rsidRPr="00281B62">
              <w:t>498</w:t>
            </w:r>
          </w:p>
        </w:tc>
        <w:tc>
          <w:tcPr>
            <w:tcW w:w="1559" w:type="dxa"/>
          </w:tcPr>
          <w:p w14:paraId="6112481D" w14:textId="77777777" w:rsidR="009D0006" w:rsidRPr="00281B62" w:rsidRDefault="009D0006" w:rsidP="00AC5F0A">
            <w:pPr>
              <w:pStyle w:val="Tabletext"/>
            </w:pPr>
            <w:r w:rsidRPr="00281B62">
              <w:t>15.7</w:t>
            </w:r>
          </w:p>
        </w:tc>
      </w:tr>
    </w:tbl>
    <w:p w14:paraId="6D31BC12" w14:textId="77777777" w:rsidR="009D0006" w:rsidRDefault="009D0006" w:rsidP="00AC5F0A">
      <w:pPr>
        <w:pStyle w:val="Tableheading"/>
        <w:rPr>
          <w:lang w:val="en-GB"/>
        </w:rPr>
      </w:pPr>
      <w:r>
        <w:rPr>
          <w:lang w:val="en-GB"/>
        </w:rPr>
        <w:t>Table 69.3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2CB71F3C" w14:textId="77777777" w:rsidTr="00AC5F0A">
        <w:trPr>
          <w:cnfStyle w:val="100000000000" w:firstRow="1" w:lastRow="0" w:firstColumn="0" w:lastColumn="0" w:oddVBand="0" w:evenVBand="0" w:oddHBand="0" w:evenHBand="0" w:firstRowFirstColumn="0" w:firstRowLastColumn="0" w:lastRowFirstColumn="0" w:lastRowLastColumn="0"/>
          <w:trHeight w:val="360"/>
        </w:trPr>
        <w:tc>
          <w:tcPr>
            <w:tcW w:w="6746" w:type="dxa"/>
            <w:noWrap/>
          </w:tcPr>
          <w:p w14:paraId="2808E365" w14:textId="77777777" w:rsidR="009D0006" w:rsidRPr="002D1E90" w:rsidRDefault="009D0006" w:rsidP="00AC5F0A">
            <w:pPr>
              <w:pStyle w:val="Tableheader"/>
              <w:rPr>
                <w:lang w:val="en-US"/>
              </w:rPr>
            </w:pPr>
            <w:r w:rsidRPr="00CC74AD">
              <w:t>Suicide attempt</w:t>
            </w:r>
          </w:p>
        </w:tc>
        <w:tc>
          <w:tcPr>
            <w:tcW w:w="1559" w:type="dxa"/>
          </w:tcPr>
          <w:p w14:paraId="7808600C" w14:textId="77777777" w:rsidR="009D0006" w:rsidRPr="00A55113" w:rsidRDefault="009D0006" w:rsidP="00AC5F0A">
            <w:pPr>
              <w:pStyle w:val="Tableheader"/>
              <w:rPr>
                <w:lang w:val="en-US"/>
              </w:rPr>
            </w:pPr>
            <w:r w:rsidRPr="00A55113">
              <w:t>n</w:t>
            </w:r>
          </w:p>
        </w:tc>
        <w:tc>
          <w:tcPr>
            <w:tcW w:w="1559" w:type="dxa"/>
          </w:tcPr>
          <w:p w14:paraId="74599BB3" w14:textId="77777777" w:rsidR="009D0006" w:rsidRPr="00A55113" w:rsidRDefault="009D0006" w:rsidP="00AC5F0A">
            <w:pPr>
              <w:pStyle w:val="Tableheader"/>
            </w:pPr>
            <w:r w:rsidRPr="00A55113">
              <w:t>%</w:t>
            </w:r>
          </w:p>
        </w:tc>
      </w:tr>
      <w:tr w:rsidR="009D0006" w:rsidRPr="00CC74AD" w14:paraId="37A7A74F" w14:textId="77777777" w:rsidTr="00AC5F0A">
        <w:trPr>
          <w:cnfStyle w:val="000000100000" w:firstRow="0" w:lastRow="0" w:firstColumn="0" w:lastColumn="0" w:oddVBand="0" w:evenVBand="0" w:oddHBand="1" w:evenHBand="0" w:firstRowFirstColumn="0" w:firstRowLastColumn="0" w:lastRowFirstColumn="0" w:lastRowLastColumn="0"/>
          <w:trHeight w:val="360"/>
        </w:trPr>
        <w:tc>
          <w:tcPr>
            <w:tcW w:w="6746" w:type="dxa"/>
            <w:noWrap/>
          </w:tcPr>
          <w:p w14:paraId="0836085B" w14:textId="77777777" w:rsidR="009D0006" w:rsidRPr="00CC74AD" w:rsidRDefault="009D0006" w:rsidP="00AC5F0A">
            <w:pPr>
              <w:pStyle w:val="Tabletext"/>
              <w:rPr>
                <w:lang w:val="en-US"/>
              </w:rPr>
            </w:pPr>
            <w:r w:rsidRPr="00CC74AD">
              <w:rPr>
                <w:lang w:val="en-US"/>
              </w:rPr>
              <w:t>Past 12 months</w:t>
            </w:r>
          </w:p>
        </w:tc>
        <w:tc>
          <w:tcPr>
            <w:tcW w:w="1559" w:type="dxa"/>
          </w:tcPr>
          <w:p w14:paraId="1BEB5072" w14:textId="77777777" w:rsidR="009D0006" w:rsidRPr="00FE357A" w:rsidRDefault="009D0006" w:rsidP="00AC5F0A">
            <w:pPr>
              <w:pStyle w:val="Tabletext"/>
              <w:rPr>
                <w:highlight w:val="yellow"/>
              </w:rPr>
            </w:pPr>
            <w:r w:rsidRPr="00FE357A">
              <w:t>81</w:t>
            </w:r>
          </w:p>
        </w:tc>
        <w:tc>
          <w:tcPr>
            <w:tcW w:w="1559" w:type="dxa"/>
          </w:tcPr>
          <w:p w14:paraId="2D79E089" w14:textId="77777777" w:rsidR="009D0006" w:rsidRPr="00FE357A" w:rsidRDefault="009D0006" w:rsidP="00AC5F0A">
            <w:pPr>
              <w:pStyle w:val="Tabletext"/>
              <w:rPr>
                <w:highlight w:val="yellow"/>
              </w:rPr>
            </w:pPr>
            <w:r w:rsidRPr="00FE357A">
              <w:t>12.6</w:t>
            </w:r>
          </w:p>
        </w:tc>
      </w:tr>
      <w:tr w:rsidR="009D0006" w:rsidRPr="00CC74AD" w14:paraId="1A27D88B" w14:textId="77777777" w:rsidTr="00AC5F0A">
        <w:trPr>
          <w:cnfStyle w:val="000000010000" w:firstRow="0" w:lastRow="0" w:firstColumn="0" w:lastColumn="0" w:oddVBand="0" w:evenVBand="0" w:oddHBand="0" w:evenHBand="1" w:firstRowFirstColumn="0" w:firstRowLastColumn="0" w:lastRowFirstColumn="0" w:lastRowLastColumn="0"/>
          <w:trHeight w:val="360"/>
        </w:trPr>
        <w:tc>
          <w:tcPr>
            <w:tcW w:w="6746" w:type="dxa"/>
            <w:noWrap/>
          </w:tcPr>
          <w:p w14:paraId="35CA5CBD" w14:textId="77777777" w:rsidR="009D0006" w:rsidRPr="00CC74AD" w:rsidRDefault="009D0006" w:rsidP="00AC5F0A">
            <w:pPr>
              <w:pStyle w:val="Tabletext"/>
              <w:rPr>
                <w:lang w:val="en-US"/>
              </w:rPr>
            </w:pPr>
            <w:r w:rsidRPr="00CC74AD">
              <w:rPr>
                <w:lang w:val="en-US"/>
              </w:rPr>
              <w:t>Ever</w:t>
            </w:r>
          </w:p>
        </w:tc>
        <w:tc>
          <w:tcPr>
            <w:tcW w:w="1559" w:type="dxa"/>
          </w:tcPr>
          <w:p w14:paraId="2F548CBD" w14:textId="77777777" w:rsidR="009D0006" w:rsidRPr="00FE357A" w:rsidRDefault="009D0006" w:rsidP="00AC5F0A">
            <w:pPr>
              <w:pStyle w:val="Tabletext"/>
              <w:rPr>
                <w:highlight w:val="yellow"/>
              </w:rPr>
            </w:pPr>
            <w:r w:rsidRPr="00FE357A">
              <w:t>229</w:t>
            </w:r>
          </w:p>
        </w:tc>
        <w:tc>
          <w:tcPr>
            <w:tcW w:w="1559" w:type="dxa"/>
          </w:tcPr>
          <w:p w14:paraId="59A7EC7A" w14:textId="77777777" w:rsidR="009D0006" w:rsidRPr="00FE357A" w:rsidRDefault="009D0006" w:rsidP="00AC5F0A">
            <w:pPr>
              <w:pStyle w:val="Tabletext"/>
              <w:rPr>
                <w:highlight w:val="yellow"/>
              </w:rPr>
            </w:pPr>
            <w:r w:rsidRPr="00FE357A">
              <w:t>35.6</w:t>
            </w:r>
          </w:p>
        </w:tc>
      </w:tr>
    </w:tbl>
    <w:p w14:paraId="05AB0645" w14:textId="77777777" w:rsidR="009D0006" w:rsidRDefault="009D0006" w:rsidP="00AC5F0A">
      <w:pPr>
        <w:pStyle w:val="Tableheading"/>
        <w:rPr>
          <w:lang w:val="en-GB"/>
        </w:rPr>
      </w:pPr>
      <w:r>
        <w:rPr>
          <w:lang w:val="en-GB"/>
        </w:rPr>
        <w:t>Table 69.4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0E5322FB" w14:textId="77777777" w:rsidTr="00AC5F0A">
        <w:trPr>
          <w:cnfStyle w:val="100000000000" w:firstRow="1" w:lastRow="0" w:firstColumn="0" w:lastColumn="0" w:oddVBand="0" w:evenVBand="0" w:oddHBand="0" w:evenHBand="0" w:firstRowFirstColumn="0" w:firstRowLastColumn="0" w:lastRowFirstColumn="0" w:lastRowLastColumn="0"/>
          <w:trHeight w:val="360"/>
        </w:trPr>
        <w:tc>
          <w:tcPr>
            <w:tcW w:w="6746" w:type="dxa"/>
            <w:noWrap/>
          </w:tcPr>
          <w:p w14:paraId="0D1C3A45" w14:textId="77777777" w:rsidR="009D0006" w:rsidRPr="002D1E90" w:rsidRDefault="009D0006" w:rsidP="00AC5F0A">
            <w:pPr>
              <w:pStyle w:val="Tableheader"/>
              <w:rPr>
                <w:lang w:val="en-US"/>
              </w:rPr>
            </w:pPr>
            <w:r w:rsidRPr="00CC74AD">
              <w:t>Suicide attempt</w:t>
            </w:r>
          </w:p>
        </w:tc>
        <w:tc>
          <w:tcPr>
            <w:tcW w:w="1559" w:type="dxa"/>
          </w:tcPr>
          <w:p w14:paraId="0EF41B32" w14:textId="77777777" w:rsidR="009D0006" w:rsidRPr="00A55113" w:rsidRDefault="009D0006" w:rsidP="00AC5F0A">
            <w:pPr>
              <w:pStyle w:val="Tableheader"/>
              <w:rPr>
                <w:lang w:val="en-US"/>
              </w:rPr>
            </w:pPr>
            <w:r w:rsidRPr="00A55113">
              <w:t>n</w:t>
            </w:r>
          </w:p>
        </w:tc>
        <w:tc>
          <w:tcPr>
            <w:tcW w:w="1559" w:type="dxa"/>
          </w:tcPr>
          <w:p w14:paraId="45C4147F" w14:textId="77777777" w:rsidR="009D0006" w:rsidRPr="00A55113" w:rsidRDefault="009D0006" w:rsidP="00AC5F0A">
            <w:pPr>
              <w:pStyle w:val="Tableheader"/>
            </w:pPr>
            <w:r w:rsidRPr="00A55113">
              <w:t>%</w:t>
            </w:r>
          </w:p>
        </w:tc>
      </w:tr>
      <w:tr w:rsidR="009D0006" w:rsidRPr="00CC74AD" w14:paraId="699C3F0A" w14:textId="77777777" w:rsidTr="00AC5F0A">
        <w:trPr>
          <w:cnfStyle w:val="000000100000" w:firstRow="0" w:lastRow="0" w:firstColumn="0" w:lastColumn="0" w:oddVBand="0" w:evenVBand="0" w:oddHBand="1" w:evenHBand="0" w:firstRowFirstColumn="0" w:firstRowLastColumn="0" w:lastRowFirstColumn="0" w:lastRowLastColumn="0"/>
          <w:trHeight w:val="360"/>
        </w:trPr>
        <w:tc>
          <w:tcPr>
            <w:tcW w:w="6746" w:type="dxa"/>
            <w:noWrap/>
          </w:tcPr>
          <w:p w14:paraId="2671BEAB" w14:textId="77777777" w:rsidR="009D0006" w:rsidRPr="00CC74AD" w:rsidRDefault="009D0006" w:rsidP="00AC5F0A">
            <w:pPr>
              <w:pStyle w:val="Tabletext"/>
              <w:rPr>
                <w:lang w:val="en-US"/>
              </w:rPr>
            </w:pPr>
            <w:r w:rsidRPr="00CC74AD">
              <w:rPr>
                <w:lang w:val="en-US"/>
              </w:rPr>
              <w:t>Past 12 months</w:t>
            </w:r>
          </w:p>
        </w:tc>
        <w:tc>
          <w:tcPr>
            <w:tcW w:w="1559" w:type="dxa"/>
          </w:tcPr>
          <w:p w14:paraId="74AC6489" w14:textId="77777777" w:rsidR="009D0006" w:rsidRPr="00FE357A" w:rsidRDefault="009D0006" w:rsidP="00AC5F0A">
            <w:pPr>
              <w:pStyle w:val="Tabletext"/>
              <w:rPr>
                <w:highlight w:val="yellow"/>
              </w:rPr>
            </w:pPr>
            <w:r w:rsidRPr="00FE357A">
              <w:t>50</w:t>
            </w:r>
          </w:p>
        </w:tc>
        <w:tc>
          <w:tcPr>
            <w:tcW w:w="1559" w:type="dxa"/>
          </w:tcPr>
          <w:p w14:paraId="1499C160" w14:textId="77777777" w:rsidR="009D0006" w:rsidRPr="00FE357A" w:rsidRDefault="009D0006" w:rsidP="00AC5F0A">
            <w:pPr>
              <w:pStyle w:val="Tabletext"/>
              <w:rPr>
                <w:highlight w:val="yellow"/>
              </w:rPr>
            </w:pPr>
            <w:r w:rsidRPr="00FE357A">
              <w:t>23.5</w:t>
            </w:r>
          </w:p>
        </w:tc>
      </w:tr>
      <w:tr w:rsidR="009D0006" w:rsidRPr="00CC74AD" w14:paraId="43C6AEBD" w14:textId="77777777" w:rsidTr="00AC5F0A">
        <w:trPr>
          <w:cnfStyle w:val="000000010000" w:firstRow="0" w:lastRow="0" w:firstColumn="0" w:lastColumn="0" w:oddVBand="0" w:evenVBand="0" w:oddHBand="0" w:evenHBand="1" w:firstRowFirstColumn="0" w:firstRowLastColumn="0" w:lastRowFirstColumn="0" w:lastRowLastColumn="0"/>
          <w:trHeight w:val="360"/>
        </w:trPr>
        <w:tc>
          <w:tcPr>
            <w:tcW w:w="6746" w:type="dxa"/>
            <w:noWrap/>
          </w:tcPr>
          <w:p w14:paraId="2A2B4132" w14:textId="77777777" w:rsidR="009D0006" w:rsidRPr="00CC74AD" w:rsidRDefault="009D0006" w:rsidP="00AC5F0A">
            <w:pPr>
              <w:pStyle w:val="Tabletext"/>
              <w:rPr>
                <w:lang w:val="en-US"/>
              </w:rPr>
            </w:pPr>
            <w:r w:rsidRPr="00CC74AD">
              <w:rPr>
                <w:lang w:val="en-US"/>
              </w:rPr>
              <w:t>Ever</w:t>
            </w:r>
          </w:p>
        </w:tc>
        <w:tc>
          <w:tcPr>
            <w:tcW w:w="1559" w:type="dxa"/>
          </w:tcPr>
          <w:p w14:paraId="5870D77B" w14:textId="77777777" w:rsidR="009D0006" w:rsidRPr="00FE357A" w:rsidRDefault="009D0006" w:rsidP="00AC5F0A">
            <w:pPr>
              <w:pStyle w:val="Tabletext"/>
              <w:rPr>
                <w:highlight w:val="yellow"/>
              </w:rPr>
            </w:pPr>
            <w:r w:rsidRPr="00FE357A">
              <w:t>111</w:t>
            </w:r>
          </w:p>
        </w:tc>
        <w:tc>
          <w:tcPr>
            <w:tcW w:w="1559" w:type="dxa"/>
          </w:tcPr>
          <w:p w14:paraId="7C076BFC" w14:textId="77777777" w:rsidR="009D0006" w:rsidRPr="00FE357A" w:rsidRDefault="009D0006" w:rsidP="00AC5F0A">
            <w:pPr>
              <w:pStyle w:val="Tabletext"/>
              <w:rPr>
                <w:highlight w:val="yellow"/>
              </w:rPr>
            </w:pPr>
            <w:r w:rsidRPr="00FE357A">
              <w:t>52.1</w:t>
            </w:r>
          </w:p>
        </w:tc>
      </w:tr>
    </w:tbl>
    <w:p w14:paraId="382A5CCE" w14:textId="77777777" w:rsidR="009D0006" w:rsidRDefault="009D0006" w:rsidP="00AC5F0A">
      <w:pPr>
        <w:pStyle w:val="Tableheading"/>
        <w:rPr>
          <w:lang w:val="en-GB"/>
        </w:rPr>
      </w:pPr>
      <w:r>
        <w:rPr>
          <w:lang w:val="en-GB"/>
        </w:rPr>
        <w:t>Table 69.5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20D04928" w14:textId="77777777" w:rsidTr="00AC5F0A">
        <w:trPr>
          <w:cnfStyle w:val="100000000000" w:firstRow="1" w:lastRow="0" w:firstColumn="0" w:lastColumn="0" w:oddVBand="0" w:evenVBand="0" w:oddHBand="0" w:evenHBand="0" w:firstRowFirstColumn="0" w:firstRowLastColumn="0" w:lastRowFirstColumn="0" w:lastRowLastColumn="0"/>
          <w:trHeight w:val="360"/>
        </w:trPr>
        <w:tc>
          <w:tcPr>
            <w:tcW w:w="6746" w:type="dxa"/>
            <w:noWrap/>
          </w:tcPr>
          <w:p w14:paraId="4C372400" w14:textId="77777777" w:rsidR="009D0006" w:rsidRPr="002D1E90" w:rsidRDefault="009D0006" w:rsidP="00AC5F0A">
            <w:pPr>
              <w:pStyle w:val="Tableheader"/>
              <w:rPr>
                <w:lang w:val="en-US"/>
              </w:rPr>
            </w:pPr>
            <w:r w:rsidRPr="00CC74AD">
              <w:t>Suicide attempt</w:t>
            </w:r>
          </w:p>
        </w:tc>
        <w:tc>
          <w:tcPr>
            <w:tcW w:w="1559" w:type="dxa"/>
          </w:tcPr>
          <w:p w14:paraId="7A6CF3AE" w14:textId="77777777" w:rsidR="009D0006" w:rsidRPr="00A55113" w:rsidRDefault="009D0006" w:rsidP="00AC5F0A">
            <w:pPr>
              <w:pStyle w:val="Tableheader"/>
            </w:pPr>
            <w:r w:rsidRPr="00A55113">
              <w:t>n</w:t>
            </w:r>
          </w:p>
        </w:tc>
        <w:tc>
          <w:tcPr>
            <w:tcW w:w="1559" w:type="dxa"/>
          </w:tcPr>
          <w:p w14:paraId="40CD58B1" w14:textId="77777777" w:rsidR="009D0006" w:rsidRPr="00A55113" w:rsidRDefault="009D0006" w:rsidP="00AC5F0A">
            <w:pPr>
              <w:pStyle w:val="Tableheader"/>
            </w:pPr>
            <w:r w:rsidRPr="00A55113">
              <w:t>%</w:t>
            </w:r>
          </w:p>
        </w:tc>
      </w:tr>
      <w:tr w:rsidR="009D0006" w:rsidRPr="00CC74AD" w14:paraId="06BD5E2A" w14:textId="77777777" w:rsidTr="00AC5F0A">
        <w:trPr>
          <w:cnfStyle w:val="000000100000" w:firstRow="0" w:lastRow="0" w:firstColumn="0" w:lastColumn="0" w:oddVBand="0" w:evenVBand="0" w:oddHBand="1" w:evenHBand="0" w:firstRowFirstColumn="0" w:firstRowLastColumn="0" w:lastRowFirstColumn="0" w:lastRowLastColumn="0"/>
          <w:trHeight w:val="360"/>
        </w:trPr>
        <w:tc>
          <w:tcPr>
            <w:tcW w:w="6746" w:type="dxa"/>
            <w:noWrap/>
          </w:tcPr>
          <w:p w14:paraId="7193489D" w14:textId="77777777" w:rsidR="009D0006" w:rsidRPr="00CC74AD" w:rsidRDefault="009D0006" w:rsidP="00AC5F0A">
            <w:pPr>
              <w:pStyle w:val="Tabletext"/>
              <w:rPr>
                <w:lang w:val="en-US"/>
              </w:rPr>
            </w:pPr>
            <w:r w:rsidRPr="00CC74AD">
              <w:rPr>
                <w:lang w:val="en-US"/>
              </w:rPr>
              <w:t>Past 12 months</w:t>
            </w:r>
          </w:p>
        </w:tc>
        <w:tc>
          <w:tcPr>
            <w:tcW w:w="1559" w:type="dxa"/>
          </w:tcPr>
          <w:p w14:paraId="3A559B02" w14:textId="77777777" w:rsidR="009D0006" w:rsidRPr="00FE357A" w:rsidRDefault="009D0006" w:rsidP="00AC5F0A">
            <w:pPr>
              <w:pStyle w:val="Tabletext"/>
              <w:rPr>
                <w:highlight w:val="yellow"/>
              </w:rPr>
            </w:pPr>
            <w:r w:rsidRPr="00FE357A">
              <w:t>22</w:t>
            </w:r>
          </w:p>
        </w:tc>
        <w:tc>
          <w:tcPr>
            <w:tcW w:w="1559" w:type="dxa"/>
          </w:tcPr>
          <w:p w14:paraId="01286BD4" w14:textId="77777777" w:rsidR="009D0006" w:rsidRPr="00FE357A" w:rsidRDefault="009D0006" w:rsidP="00AC5F0A">
            <w:pPr>
              <w:pStyle w:val="Tabletext"/>
              <w:rPr>
                <w:highlight w:val="yellow"/>
              </w:rPr>
            </w:pPr>
            <w:r w:rsidRPr="00FE357A">
              <w:t>16.9</w:t>
            </w:r>
          </w:p>
        </w:tc>
      </w:tr>
      <w:tr w:rsidR="009D0006" w:rsidRPr="00CC74AD" w14:paraId="3AFFCCBC" w14:textId="77777777" w:rsidTr="00AC5F0A">
        <w:trPr>
          <w:cnfStyle w:val="000000010000" w:firstRow="0" w:lastRow="0" w:firstColumn="0" w:lastColumn="0" w:oddVBand="0" w:evenVBand="0" w:oddHBand="0" w:evenHBand="1" w:firstRowFirstColumn="0" w:firstRowLastColumn="0" w:lastRowFirstColumn="0" w:lastRowLastColumn="0"/>
          <w:trHeight w:val="360"/>
        </w:trPr>
        <w:tc>
          <w:tcPr>
            <w:tcW w:w="6746" w:type="dxa"/>
            <w:noWrap/>
          </w:tcPr>
          <w:p w14:paraId="29D222F0" w14:textId="77777777" w:rsidR="009D0006" w:rsidRPr="00CC74AD" w:rsidRDefault="009D0006" w:rsidP="00AC5F0A">
            <w:pPr>
              <w:pStyle w:val="Tabletext"/>
              <w:rPr>
                <w:lang w:val="en-US"/>
              </w:rPr>
            </w:pPr>
            <w:r w:rsidRPr="00CC74AD">
              <w:rPr>
                <w:lang w:val="en-US"/>
              </w:rPr>
              <w:t>Ever</w:t>
            </w:r>
          </w:p>
        </w:tc>
        <w:tc>
          <w:tcPr>
            <w:tcW w:w="1559" w:type="dxa"/>
          </w:tcPr>
          <w:p w14:paraId="7D932092" w14:textId="77777777" w:rsidR="009D0006" w:rsidRPr="00FE357A" w:rsidRDefault="009D0006" w:rsidP="00AC5F0A">
            <w:pPr>
              <w:pStyle w:val="Tabletext"/>
              <w:rPr>
                <w:highlight w:val="yellow"/>
              </w:rPr>
            </w:pPr>
            <w:r w:rsidRPr="00FE357A">
              <w:t>63</w:t>
            </w:r>
          </w:p>
        </w:tc>
        <w:tc>
          <w:tcPr>
            <w:tcW w:w="1559" w:type="dxa"/>
          </w:tcPr>
          <w:p w14:paraId="10557F42" w14:textId="77777777" w:rsidR="009D0006" w:rsidRPr="00FE357A" w:rsidRDefault="009D0006" w:rsidP="00AC5F0A">
            <w:pPr>
              <w:pStyle w:val="Tabletext"/>
              <w:rPr>
                <w:highlight w:val="yellow"/>
              </w:rPr>
            </w:pPr>
            <w:r w:rsidRPr="00FE357A">
              <w:t>48.5</w:t>
            </w:r>
          </w:p>
        </w:tc>
      </w:tr>
    </w:tbl>
    <w:p w14:paraId="025E2643" w14:textId="77777777" w:rsidR="009D0006" w:rsidRDefault="009D0006" w:rsidP="00184CF2">
      <w:pPr>
        <w:pStyle w:val="Tableheading"/>
        <w:rPr>
          <w:lang w:val="en-GB"/>
        </w:rPr>
      </w:pPr>
      <w:r>
        <w:rPr>
          <w:lang w:val="en-GB"/>
        </w:rPr>
        <w:t>Table 69.6 Physical or sensory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7CCDDFBB" w14:textId="77777777" w:rsidTr="00AC5F0A">
        <w:trPr>
          <w:cnfStyle w:val="100000000000" w:firstRow="1" w:lastRow="0" w:firstColumn="0" w:lastColumn="0" w:oddVBand="0" w:evenVBand="0" w:oddHBand="0" w:evenHBand="0" w:firstRowFirstColumn="0" w:firstRowLastColumn="0" w:lastRowFirstColumn="0" w:lastRowLastColumn="0"/>
          <w:trHeight w:val="360"/>
        </w:trPr>
        <w:tc>
          <w:tcPr>
            <w:tcW w:w="6746" w:type="dxa"/>
            <w:noWrap/>
          </w:tcPr>
          <w:p w14:paraId="70EE8345" w14:textId="77777777" w:rsidR="009D0006" w:rsidRPr="002D1E90" w:rsidRDefault="009D0006" w:rsidP="00AC5F0A">
            <w:pPr>
              <w:pStyle w:val="Tableheader"/>
              <w:rPr>
                <w:lang w:val="en-US"/>
              </w:rPr>
            </w:pPr>
            <w:r w:rsidRPr="00CC74AD">
              <w:t>Suicide attempt</w:t>
            </w:r>
          </w:p>
        </w:tc>
        <w:tc>
          <w:tcPr>
            <w:tcW w:w="1559" w:type="dxa"/>
          </w:tcPr>
          <w:p w14:paraId="092EF159" w14:textId="77777777" w:rsidR="009D0006" w:rsidRPr="00A55113" w:rsidRDefault="009D0006" w:rsidP="00AC5F0A">
            <w:pPr>
              <w:pStyle w:val="Tableheader"/>
            </w:pPr>
            <w:r w:rsidRPr="00A55113">
              <w:t>n</w:t>
            </w:r>
          </w:p>
        </w:tc>
        <w:tc>
          <w:tcPr>
            <w:tcW w:w="1559" w:type="dxa"/>
          </w:tcPr>
          <w:p w14:paraId="68ED9083" w14:textId="77777777" w:rsidR="009D0006" w:rsidRPr="00A55113" w:rsidRDefault="009D0006" w:rsidP="00AC5F0A">
            <w:pPr>
              <w:pStyle w:val="Tableheader"/>
            </w:pPr>
            <w:r w:rsidRPr="00A55113">
              <w:t>%</w:t>
            </w:r>
          </w:p>
        </w:tc>
      </w:tr>
      <w:tr w:rsidR="009D0006" w:rsidRPr="00CC74AD" w14:paraId="387B17EE" w14:textId="77777777" w:rsidTr="00AC5F0A">
        <w:trPr>
          <w:cnfStyle w:val="000000100000" w:firstRow="0" w:lastRow="0" w:firstColumn="0" w:lastColumn="0" w:oddVBand="0" w:evenVBand="0" w:oddHBand="1" w:evenHBand="0" w:firstRowFirstColumn="0" w:firstRowLastColumn="0" w:lastRowFirstColumn="0" w:lastRowLastColumn="0"/>
          <w:trHeight w:val="360"/>
        </w:trPr>
        <w:tc>
          <w:tcPr>
            <w:tcW w:w="6746" w:type="dxa"/>
            <w:noWrap/>
          </w:tcPr>
          <w:p w14:paraId="010D0997" w14:textId="77777777" w:rsidR="009D0006" w:rsidRPr="00CC74AD" w:rsidRDefault="009D0006" w:rsidP="00AC5F0A">
            <w:pPr>
              <w:pStyle w:val="Tabletext"/>
              <w:rPr>
                <w:lang w:val="en-US"/>
              </w:rPr>
            </w:pPr>
            <w:r w:rsidRPr="00CC74AD">
              <w:rPr>
                <w:lang w:val="en-US"/>
              </w:rPr>
              <w:t>Past 12 months</w:t>
            </w:r>
          </w:p>
        </w:tc>
        <w:tc>
          <w:tcPr>
            <w:tcW w:w="1559" w:type="dxa"/>
          </w:tcPr>
          <w:p w14:paraId="6C3594AF" w14:textId="77777777" w:rsidR="009D0006" w:rsidRPr="00FE357A" w:rsidRDefault="009D0006" w:rsidP="00AC5F0A">
            <w:pPr>
              <w:pStyle w:val="Tabletext"/>
              <w:rPr>
                <w:highlight w:val="yellow"/>
              </w:rPr>
            </w:pPr>
            <w:r w:rsidRPr="00FE357A">
              <w:t>113</w:t>
            </w:r>
          </w:p>
        </w:tc>
        <w:tc>
          <w:tcPr>
            <w:tcW w:w="1559" w:type="dxa"/>
          </w:tcPr>
          <w:p w14:paraId="5E95EB92" w14:textId="77777777" w:rsidR="009D0006" w:rsidRPr="00FE357A" w:rsidRDefault="009D0006" w:rsidP="00AC5F0A">
            <w:pPr>
              <w:pStyle w:val="Tabletext"/>
              <w:rPr>
                <w:highlight w:val="yellow"/>
              </w:rPr>
            </w:pPr>
            <w:r w:rsidRPr="00FE357A">
              <w:t>15.9</w:t>
            </w:r>
          </w:p>
        </w:tc>
      </w:tr>
      <w:tr w:rsidR="009D0006" w:rsidRPr="00CC74AD" w14:paraId="5C8816CB" w14:textId="77777777" w:rsidTr="00AC5F0A">
        <w:trPr>
          <w:cnfStyle w:val="000000010000" w:firstRow="0" w:lastRow="0" w:firstColumn="0" w:lastColumn="0" w:oddVBand="0" w:evenVBand="0" w:oddHBand="0" w:evenHBand="1" w:firstRowFirstColumn="0" w:firstRowLastColumn="0" w:lastRowFirstColumn="0" w:lastRowLastColumn="0"/>
          <w:trHeight w:val="360"/>
        </w:trPr>
        <w:tc>
          <w:tcPr>
            <w:tcW w:w="6746" w:type="dxa"/>
            <w:noWrap/>
          </w:tcPr>
          <w:p w14:paraId="6551E1C5" w14:textId="77777777" w:rsidR="009D0006" w:rsidRPr="00CC74AD" w:rsidRDefault="009D0006" w:rsidP="00AC5F0A">
            <w:pPr>
              <w:pStyle w:val="Tabletext"/>
              <w:rPr>
                <w:lang w:val="en-US"/>
              </w:rPr>
            </w:pPr>
            <w:r w:rsidRPr="00CC74AD">
              <w:rPr>
                <w:lang w:val="en-US"/>
              </w:rPr>
              <w:t>Ever</w:t>
            </w:r>
          </w:p>
        </w:tc>
        <w:tc>
          <w:tcPr>
            <w:tcW w:w="1559" w:type="dxa"/>
          </w:tcPr>
          <w:p w14:paraId="114F3A61" w14:textId="77777777" w:rsidR="009D0006" w:rsidRPr="00FE357A" w:rsidRDefault="009D0006" w:rsidP="00AC5F0A">
            <w:pPr>
              <w:pStyle w:val="Tabletext"/>
              <w:rPr>
                <w:highlight w:val="yellow"/>
              </w:rPr>
            </w:pPr>
            <w:r w:rsidRPr="00FE357A">
              <w:t>307</w:t>
            </w:r>
          </w:p>
        </w:tc>
        <w:tc>
          <w:tcPr>
            <w:tcW w:w="1559" w:type="dxa"/>
          </w:tcPr>
          <w:p w14:paraId="277F5FB9" w14:textId="77777777" w:rsidR="009D0006" w:rsidRPr="00FE357A" w:rsidRDefault="009D0006" w:rsidP="00AC5F0A">
            <w:pPr>
              <w:pStyle w:val="Tabletext"/>
              <w:rPr>
                <w:highlight w:val="yellow"/>
              </w:rPr>
            </w:pPr>
            <w:r w:rsidRPr="00FE357A">
              <w:t>43.1</w:t>
            </w:r>
          </w:p>
        </w:tc>
      </w:tr>
    </w:tbl>
    <w:p w14:paraId="6BDF5ABC" w14:textId="77777777" w:rsidR="009D0006" w:rsidRDefault="009D0006" w:rsidP="00AC5F0A">
      <w:pPr>
        <w:pStyle w:val="Tableheading"/>
        <w:rPr>
          <w:lang w:val="en-GB"/>
        </w:rPr>
      </w:pPr>
      <w:r>
        <w:rPr>
          <w:lang w:val="en-GB"/>
        </w:rPr>
        <w:t xml:space="preserve">Table 69.7 </w:t>
      </w:r>
      <w:r>
        <w:rPr>
          <w:lang w:val="en-GB"/>
        </w:rPr>
        <w:lastRenderedPageBreak/>
        <w:t>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41F914F1" w14:textId="77777777" w:rsidTr="00AC5F0A">
        <w:trPr>
          <w:cnfStyle w:val="100000000000" w:firstRow="1" w:lastRow="0" w:firstColumn="0" w:lastColumn="0" w:oddVBand="0" w:evenVBand="0" w:oddHBand="0" w:evenHBand="0" w:firstRowFirstColumn="0" w:firstRowLastColumn="0" w:lastRowFirstColumn="0" w:lastRowLastColumn="0"/>
          <w:trHeight w:val="360"/>
        </w:trPr>
        <w:tc>
          <w:tcPr>
            <w:tcW w:w="6746" w:type="dxa"/>
            <w:noWrap/>
          </w:tcPr>
          <w:p w14:paraId="72A8DB33" w14:textId="77777777" w:rsidR="009D0006" w:rsidRPr="002D1E90" w:rsidRDefault="009D0006" w:rsidP="00AC5F0A">
            <w:pPr>
              <w:pStyle w:val="Tableheader"/>
              <w:rPr>
                <w:lang w:val="en-US"/>
              </w:rPr>
            </w:pPr>
            <w:r w:rsidRPr="00CC74AD">
              <w:t>Suicide attempt</w:t>
            </w:r>
          </w:p>
        </w:tc>
        <w:tc>
          <w:tcPr>
            <w:tcW w:w="1559" w:type="dxa"/>
          </w:tcPr>
          <w:p w14:paraId="52EE2BF0" w14:textId="77777777" w:rsidR="009D0006" w:rsidRPr="00A55113" w:rsidRDefault="009D0006" w:rsidP="00AC5F0A">
            <w:pPr>
              <w:pStyle w:val="Tableheader"/>
            </w:pPr>
            <w:r w:rsidRPr="00A55113">
              <w:t>n</w:t>
            </w:r>
          </w:p>
        </w:tc>
        <w:tc>
          <w:tcPr>
            <w:tcW w:w="1559" w:type="dxa"/>
          </w:tcPr>
          <w:p w14:paraId="16186C22" w14:textId="77777777" w:rsidR="009D0006" w:rsidRPr="00A55113" w:rsidRDefault="009D0006" w:rsidP="00AC5F0A">
            <w:pPr>
              <w:pStyle w:val="Tableheader"/>
            </w:pPr>
            <w:r w:rsidRPr="00A55113">
              <w:t>%</w:t>
            </w:r>
          </w:p>
        </w:tc>
      </w:tr>
      <w:tr w:rsidR="009D0006" w:rsidRPr="00CC74AD" w14:paraId="7B3D3859" w14:textId="77777777" w:rsidTr="00AC5F0A">
        <w:trPr>
          <w:cnfStyle w:val="000000100000" w:firstRow="0" w:lastRow="0" w:firstColumn="0" w:lastColumn="0" w:oddVBand="0" w:evenVBand="0" w:oddHBand="1" w:evenHBand="0" w:firstRowFirstColumn="0" w:firstRowLastColumn="0" w:lastRowFirstColumn="0" w:lastRowLastColumn="0"/>
          <w:trHeight w:val="360"/>
        </w:trPr>
        <w:tc>
          <w:tcPr>
            <w:tcW w:w="6746" w:type="dxa"/>
            <w:noWrap/>
          </w:tcPr>
          <w:p w14:paraId="0BA52B0F" w14:textId="77777777" w:rsidR="009D0006" w:rsidRPr="00CC74AD" w:rsidRDefault="009D0006" w:rsidP="00AC5F0A">
            <w:pPr>
              <w:pStyle w:val="Tabletext"/>
              <w:rPr>
                <w:lang w:val="en-US"/>
              </w:rPr>
            </w:pPr>
            <w:r w:rsidRPr="00CC74AD">
              <w:rPr>
                <w:lang w:val="en-US"/>
              </w:rPr>
              <w:t>Past 12 months</w:t>
            </w:r>
          </w:p>
        </w:tc>
        <w:tc>
          <w:tcPr>
            <w:tcW w:w="1559" w:type="dxa"/>
          </w:tcPr>
          <w:p w14:paraId="5A719931" w14:textId="77777777" w:rsidR="009D0006" w:rsidRPr="00FE357A" w:rsidRDefault="009D0006" w:rsidP="00AC5F0A">
            <w:pPr>
              <w:pStyle w:val="Tabletext"/>
              <w:rPr>
                <w:highlight w:val="yellow"/>
              </w:rPr>
            </w:pPr>
            <w:r w:rsidRPr="00FE357A">
              <w:t>173</w:t>
            </w:r>
          </w:p>
        </w:tc>
        <w:tc>
          <w:tcPr>
            <w:tcW w:w="1559" w:type="dxa"/>
          </w:tcPr>
          <w:p w14:paraId="530ED639" w14:textId="77777777" w:rsidR="009D0006" w:rsidRPr="00FE357A" w:rsidRDefault="009D0006" w:rsidP="00AC5F0A">
            <w:pPr>
              <w:pStyle w:val="Tabletext"/>
              <w:rPr>
                <w:highlight w:val="yellow"/>
              </w:rPr>
            </w:pPr>
            <w:r w:rsidRPr="00FE357A">
              <w:t>16.6</w:t>
            </w:r>
          </w:p>
        </w:tc>
      </w:tr>
      <w:tr w:rsidR="009D0006" w:rsidRPr="00CC74AD" w14:paraId="04C1F123" w14:textId="77777777" w:rsidTr="00AC5F0A">
        <w:trPr>
          <w:cnfStyle w:val="000000010000" w:firstRow="0" w:lastRow="0" w:firstColumn="0" w:lastColumn="0" w:oddVBand="0" w:evenVBand="0" w:oddHBand="0" w:evenHBand="1" w:firstRowFirstColumn="0" w:firstRowLastColumn="0" w:lastRowFirstColumn="0" w:lastRowLastColumn="0"/>
          <w:trHeight w:val="360"/>
        </w:trPr>
        <w:tc>
          <w:tcPr>
            <w:tcW w:w="6746" w:type="dxa"/>
            <w:noWrap/>
          </w:tcPr>
          <w:p w14:paraId="76A7A0E5" w14:textId="77777777" w:rsidR="009D0006" w:rsidRPr="00CC74AD" w:rsidRDefault="009D0006" w:rsidP="00AC5F0A">
            <w:pPr>
              <w:pStyle w:val="Tabletext"/>
              <w:rPr>
                <w:lang w:val="en-US"/>
              </w:rPr>
            </w:pPr>
            <w:r w:rsidRPr="00CC74AD">
              <w:rPr>
                <w:lang w:val="en-US"/>
              </w:rPr>
              <w:t>Ever</w:t>
            </w:r>
          </w:p>
        </w:tc>
        <w:tc>
          <w:tcPr>
            <w:tcW w:w="1559" w:type="dxa"/>
          </w:tcPr>
          <w:p w14:paraId="17D4670E" w14:textId="77777777" w:rsidR="009D0006" w:rsidRPr="00FE357A" w:rsidRDefault="009D0006" w:rsidP="00AC5F0A">
            <w:pPr>
              <w:pStyle w:val="Tabletext"/>
              <w:rPr>
                <w:highlight w:val="yellow"/>
              </w:rPr>
            </w:pPr>
            <w:r w:rsidRPr="00FE357A">
              <w:t>404</w:t>
            </w:r>
          </w:p>
        </w:tc>
        <w:tc>
          <w:tcPr>
            <w:tcW w:w="1559" w:type="dxa"/>
          </w:tcPr>
          <w:p w14:paraId="4A825349" w14:textId="77777777" w:rsidR="009D0006" w:rsidRPr="00FE357A" w:rsidRDefault="009D0006" w:rsidP="00AC5F0A">
            <w:pPr>
              <w:pStyle w:val="Tabletext"/>
              <w:rPr>
                <w:highlight w:val="yellow"/>
              </w:rPr>
            </w:pPr>
            <w:r w:rsidRPr="00FE357A">
              <w:t>38.8</w:t>
            </w:r>
          </w:p>
        </w:tc>
      </w:tr>
    </w:tbl>
    <w:p w14:paraId="1F4C887C" w14:textId="77777777" w:rsidR="009D0006" w:rsidRPr="00AC5F0A" w:rsidRDefault="009D0006" w:rsidP="00AC5F0A">
      <w:pPr>
        <w:pStyle w:val="TableTextNotebelow"/>
        <w:rPr>
          <w:i/>
          <w:lang w:val="en-GB" w:eastAsia="ja-JP"/>
        </w:rPr>
      </w:pPr>
      <w:r w:rsidRPr="00AC5F0A">
        <w:rPr>
          <w:rFonts w:cs="Arial"/>
          <w:i/>
          <w:lang w:val="en-GB"/>
        </w:rPr>
        <w:t xml:space="preserve">* </w:t>
      </w:r>
      <w:r w:rsidRPr="00AC5F0A">
        <w:rPr>
          <w:i/>
          <w:lang w:val="en-GB"/>
        </w:rPr>
        <w:t xml:space="preserve">In order to be more comparable with general population data, ‘any disability’ does not include participants who only reported ‘mental illness’ and no other disability or long-term health condition. </w:t>
      </w:r>
    </w:p>
    <w:p w14:paraId="2775E1CA" w14:textId="77777777" w:rsidR="009D0006" w:rsidRPr="008F4666" w:rsidRDefault="009D0006" w:rsidP="00184CF2">
      <w:pPr>
        <w:spacing w:before="360"/>
      </w:pPr>
      <w:r w:rsidRPr="00AF4A20">
        <w:t>As displayed in Table</w:t>
      </w:r>
      <w:r>
        <w:t>s 69.1-69.7</w:t>
      </w:r>
      <w:r w:rsidRPr="00AF4A20">
        <w:t xml:space="preserve">, a higher proportion of participants with disability in </w:t>
      </w:r>
      <w:r w:rsidRPr="00AC1368">
        <w:rPr>
          <w:i/>
          <w:iCs/>
        </w:rPr>
        <w:t xml:space="preserve">Writing Themselves In 4 </w:t>
      </w:r>
      <w:r w:rsidRPr="00AF4A20">
        <w:t>had attempted suicide in the past 12 months</w:t>
      </w:r>
      <w:r>
        <w:t xml:space="preserve"> or ever in their lifetime than those without disability. Among participants with disability, </w:t>
      </w:r>
      <w:r w:rsidRPr="00AF4A20">
        <w:t>15</w:t>
      </w:r>
      <w:r>
        <w:t>.0</w:t>
      </w:r>
      <w:r w:rsidRPr="00AF4A20">
        <w:t>%</w:t>
      </w:r>
      <w:r>
        <w:t xml:space="preserve"> (</w:t>
      </w:r>
      <w:r w:rsidRPr="00AF4A20">
        <w:t xml:space="preserve">n = 214) </w:t>
      </w:r>
      <w:r>
        <w:t>reported a suicide attempt in the past 12 months and</w:t>
      </w:r>
      <w:r w:rsidRPr="008F4666">
        <w:t xml:space="preserve"> 39.8%</w:t>
      </w:r>
      <w:r>
        <w:t xml:space="preserve"> (</w:t>
      </w:r>
      <w:r w:rsidRPr="008F4666">
        <w:t xml:space="preserve">n = 567) </w:t>
      </w:r>
      <w:r>
        <w:t xml:space="preserve">reported ever attempting suicide </w:t>
      </w:r>
      <w:r w:rsidRPr="008F4666">
        <w:t>in their lifetime</w:t>
      </w:r>
      <w:r>
        <w:t xml:space="preserve">. This </w:t>
      </w:r>
      <w:r w:rsidRPr="008F4666">
        <w:t xml:space="preserve">compared to </w:t>
      </w:r>
      <w:r>
        <w:t xml:space="preserve">those without disability, for whom </w:t>
      </w:r>
      <w:r w:rsidRPr="008F4666">
        <w:t>6.0%</w:t>
      </w:r>
      <w:r>
        <w:t xml:space="preserve"> (</w:t>
      </w:r>
      <w:r w:rsidRPr="008F4666">
        <w:t xml:space="preserve">n = 191) </w:t>
      </w:r>
      <w:r>
        <w:t>had attempted suicide in the past 12 months and</w:t>
      </w:r>
      <w:r w:rsidRPr="008F4666">
        <w:t xml:space="preserve"> 15.7%</w:t>
      </w:r>
      <w:r>
        <w:t xml:space="preserve"> (</w:t>
      </w:r>
      <w:r w:rsidRPr="008F4666">
        <w:t>n = 498)</w:t>
      </w:r>
      <w:r>
        <w:t xml:space="preserve"> reported ever attempting suicide </w:t>
      </w:r>
      <w:r w:rsidRPr="008F4666">
        <w:t>in their lifetime</w:t>
      </w:r>
      <w:r>
        <w:t xml:space="preserve">. </w:t>
      </w:r>
    </w:p>
    <w:p w14:paraId="7063D8B3" w14:textId="77777777" w:rsidR="009D0006" w:rsidRPr="008F4666" w:rsidRDefault="009D0006" w:rsidP="009D0006">
      <w:r w:rsidRPr="008F4666">
        <w:t xml:space="preserve">Among </w:t>
      </w:r>
      <w:r>
        <w:t>those</w:t>
      </w:r>
      <w:r w:rsidRPr="008F4666">
        <w:t xml:space="preserve"> with disability in </w:t>
      </w:r>
      <w:r w:rsidRPr="00AB29A5">
        <w:rPr>
          <w:i/>
          <w:iCs/>
        </w:rPr>
        <w:t>Writing Themselves In 4</w:t>
      </w:r>
      <w:r w:rsidRPr="00AF4A20">
        <w:t xml:space="preserve">, </w:t>
      </w:r>
      <w:r>
        <w:t>participants</w:t>
      </w:r>
      <w:r w:rsidRPr="00AF4A20">
        <w:t xml:space="preserve"> </w:t>
      </w:r>
      <w:r>
        <w:t>who reported</w:t>
      </w:r>
      <w:r w:rsidRPr="00AF4A20">
        <w:t xml:space="preserve"> </w:t>
      </w:r>
      <w:r>
        <w:t>autism/neurodiversity</w:t>
      </w:r>
      <w:r w:rsidRPr="00AF4A20">
        <w:t xml:space="preserve"> </w:t>
      </w:r>
      <w:r>
        <w:t>with</w:t>
      </w:r>
      <w:r w:rsidRPr="00AF4A20">
        <w:t xml:space="preserve"> intellectual disability</w:t>
      </w:r>
      <w:r w:rsidRPr="008F4666">
        <w:t xml:space="preserve"> had the highest proportion who </w:t>
      </w:r>
      <w:r>
        <w:t>reported having</w:t>
      </w:r>
      <w:r w:rsidRPr="008F4666">
        <w:t xml:space="preserve"> attempted suicide in the past 12 months, with </w:t>
      </w:r>
      <w:r>
        <w:t>almost one-</w:t>
      </w:r>
      <w:r w:rsidRPr="008F4666">
        <w:t>quarter of these participants attempting suicide (</w:t>
      </w:r>
      <w:r>
        <w:t>23.5</w:t>
      </w:r>
      <w:r w:rsidRPr="008F4666">
        <w:t xml:space="preserve">%; n = </w:t>
      </w:r>
      <w:r>
        <w:t>50</w:t>
      </w:r>
      <w:r w:rsidRPr="008F4666">
        <w:t>)</w:t>
      </w:r>
      <w:r>
        <w:t xml:space="preserve">. This was </w:t>
      </w:r>
      <w:r w:rsidRPr="008F4666">
        <w:t>followed by participants with intellectual disability (</w:t>
      </w:r>
      <w:r>
        <w:t>16.9</w:t>
      </w:r>
      <w:r w:rsidRPr="008F4666">
        <w:t xml:space="preserve">%; n = </w:t>
      </w:r>
      <w:r>
        <w:t>22</w:t>
      </w:r>
      <w:r w:rsidRPr="008F4666">
        <w:t>), participants with physical or sensory disability (</w:t>
      </w:r>
      <w:r>
        <w:t>15.9</w:t>
      </w:r>
      <w:r w:rsidRPr="008F4666">
        <w:t xml:space="preserve">%; n = </w:t>
      </w:r>
      <w:r>
        <w:t>113</w:t>
      </w:r>
      <w:r w:rsidRPr="008F4666">
        <w:t xml:space="preserve">), participants with </w:t>
      </w:r>
      <w:r>
        <w:t>autism/neurodiversity</w:t>
      </w:r>
      <w:r w:rsidRPr="008F4666">
        <w:t xml:space="preserve"> (</w:t>
      </w:r>
      <w:r>
        <w:t>12.6</w:t>
      </w:r>
      <w:r w:rsidRPr="008F4666">
        <w:t xml:space="preserve">%; n = </w:t>
      </w:r>
      <w:r>
        <w:t>81</w:t>
      </w:r>
      <w:r w:rsidRPr="008F4666">
        <w:t>) and participants with a mental health condition (16.6%; n = 173).</w:t>
      </w:r>
      <w:r>
        <w:t xml:space="preserve"> </w:t>
      </w:r>
      <w:r w:rsidRPr="00EE1635">
        <w:t xml:space="preserve">It is further worth noting </w:t>
      </w:r>
      <w:r w:rsidRPr="000C5D54">
        <w:t xml:space="preserve">that 20.1% (n = 72) of the overall group of participants with intellectual disability, with or without </w:t>
      </w:r>
      <w:r>
        <w:t>autism/neurodiversity</w:t>
      </w:r>
      <w:r w:rsidRPr="000C5D54">
        <w:t>, reported having attempted suicide in the past 12 months.</w:t>
      </w:r>
    </w:p>
    <w:p w14:paraId="417D2E75" w14:textId="77777777" w:rsidR="009D0006" w:rsidRPr="00C47CBF" w:rsidRDefault="009D0006" w:rsidP="009D0006">
      <w:r>
        <w:t>Over</w:t>
      </w:r>
      <w:r w:rsidRPr="008F4666">
        <w:t xml:space="preserve"> </w:t>
      </w:r>
      <w:r>
        <w:t>half</w:t>
      </w:r>
      <w:r w:rsidRPr="008F4666">
        <w:t xml:space="preserve"> of participants </w:t>
      </w:r>
      <w:r>
        <w:t>who reported</w:t>
      </w:r>
      <w:r w:rsidRPr="008F4666">
        <w:t xml:space="preserve"> </w:t>
      </w:r>
      <w:r>
        <w:t>autism/neurodiversity</w:t>
      </w:r>
      <w:r w:rsidRPr="008F4666">
        <w:t xml:space="preserve"> </w:t>
      </w:r>
      <w:r>
        <w:t>with</w:t>
      </w:r>
      <w:r w:rsidRPr="008F4666">
        <w:t xml:space="preserve"> intellectual disability had ever attempted suicide in their lifetime (</w:t>
      </w:r>
      <w:r>
        <w:t>52.1</w:t>
      </w:r>
      <w:r w:rsidRPr="008F4666">
        <w:t xml:space="preserve">%; n = </w:t>
      </w:r>
      <w:r>
        <w:t>111) followed by</w:t>
      </w:r>
      <w:r w:rsidRPr="008F4666">
        <w:t xml:space="preserve"> participants with intellectual disability (</w:t>
      </w:r>
      <w:r>
        <w:t>48.5</w:t>
      </w:r>
      <w:r w:rsidRPr="008F4666">
        <w:t xml:space="preserve">%; n = </w:t>
      </w:r>
      <w:r>
        <w:t>63</w:t>
      </w:r>
      <w:r w:rsidRPr="008F4666">
        <w:t>)</w:t>
      </w:r>
      <w:r>
        <w:t xml:space="preserve">. This was followed by </w:t>
      </w:r>
      <w:r w:rsidRPr="008F4666">
        <w:t>participants with physical or sensory disability (</w:t>
      </w:r>
      <w:r>
        <w:t>43.1</w:t>
      </w:r>
      <w:r w:rsidRPr="008F4666">
        <w:t xml:space="preserve">%; n = </w:t>
      </w:r>
      <w:r>
        <w:t>307</w:t>
      </w:r>
      <w:r w:rsidRPr="008F4666">
        <w:t>), participants with a mental health condition (38.8%; n = 404)</w:t>
      </w:r>
      <w:r>
        <w:t xml:space="preserve"> and participants with autism/neurodiversity</w:t>
      </w:r>
      <w:r w:rsidRPr="008F4666">
        <w:t xml:space="preserve"> (</w:t>
      </w:r>
      <w:r>
        <w:t>35.6</w:t>
      </w:r>
      <w:r w:rsidRPr="008F4666">
        <w:t xml:space="preserve">%; n = </w:t>
      </w:r>
      <w:r>
        <w:t>229</w:t>
      </w:r>
      <w:r w:rsidRPr="008F4666">
        <w:t>)</w:t>
      </w:r>
      <w:r>
        <w:t xml:space="preserve">. </w:t>
      </w:r>
      <w:r w:rsidRPr="000C5D54">
        <w:t xml:space="preserve">It is further worth noting that more than half (50.7%; n = 174) of the overall group of participants with intellectual disability, with or without </w:t>
      </w:r>
      <w:r>
        <w:t>autism/neurodiversity</w:t>
      </w:r>
      <w:r w:rsidRPr="000C5D54">
        <w:t>, reported ever having attempted suicide.</w:t>
      </w:r>
    </w:p>
    <w:p w14:paraId="7A6C19D7" w14:textId="632150F9" w:rsidR="009D0006" w:rsidRPr="00707216" w:rsidRDefault="009D0006" w:rsidP="006346CA">
      <w:pPr>
        <w:pStyle w:val="Heading3Numbered"/>
      </w:pPr>
      <w:bookmarkStart w:id="680" w:name="_Toc115968597"/>
      <w:r w:rsidRPr="009761D5">
        <w:t>Suicide att</w:t>
      </w:r>
      <w:r w:rsidRPr="009761D5">
        <w:lastRenderedPageBreak/>
        <w:t xml:space="preserve">empts in the past 12 months and ever by disability – </w:t>
      </w:r>
      <w:r>
        <w:t>adults</w:t>
      </w:r>
      <w:r w:rsidRPr="009761D5">
        <w:t xml:space="preserve"> aged </w:t>
      </w:r>
      <w:r>
        <w:t>18+</w:t>
      </w:r>
      <w:r w:rsidRPr="009761D5">
        <w:t xml:space="preserve"> years</w:t>
      </w:r>
      <w:bookmarkEnd w:id="680"/>
    </w:p>
    <w:p w14:paraId="2028370E" w14:textId="2BB1DF1F" w:rsidR="009D0006" w:rsidRDefault="009D0006" w:rsidP="00AC5F0A">
      <w:pPr>
        <w:pStyle w:val="Tableheading"/>
      </w:pPr>
      <w:bookmarkStart w:id="681" w:name="_Toc117062788"/>
      <w:bookmarkStart w:id="682" w:name="_Toc119651473"/>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70</w:t>
      </w:r>
      <w:r w:rsidRPr="00985828">
        <w:rPr>
          <w:bCs/>
          <w:sz w:val="18"/>
          <w:szCs w:val="18"/>
        </w:rPr>
        <w:fldChar w:fldCharType="end"/>
      </w:r>
      <w:r>
        <w:t xml:space="preserve">.1-70.4: </w:t>
      </w:r>
      <w:r w:rsidRPr="009761D5">
        <w:t>Suicid</w:t>
      </w:r>
      <w:r>
        <w:t xml:space="preserve">e attempt </w:t>
      </w:r>
      <w:r w:rsidRPr="009761D5">
        <w:t xml:space="preserve">in the past 12 months and ever </w:t>
      </w:r>
      <w:r>
        <w:t>among adults aged 18+ years,</w:t>
      </w:r>
      <w:r w:rsidRPr="009761D5">
        <w:t xml:space="preserve"> </w:t>
      </w:r>
      <w:r>
        <w:t>grouped</w:t>
      </w:r>
      <w:r w:rsidRPr="003D4AB3">
        <w:t xml:space="preserve"> by Disability Flag category</w:t>
      </w:r>
      <w:r>
        <w:t xml:space="preserve"> – </w:t>
      </w:r>
      <w:r w:rsidRPr="009761D5">
        <w:t xml:space="preserve">(n = </w:t>
      </w:r>
      <w:r>
        <w:t>5043</w:t>
      </w:r>
      <w:r w:rsidRPr="009761D5">
        <w:t>)</w:t>
      </w:r>
      <w:bookmarkEnd w:id="681"/>
      <w:bookmarkEnd w:id="682"/>
    </w:p>
    <w:p w14:paraId="41D4E7EE" w14:textId="77777777" w:rsidR="009D0006" w:rsidRDefault="009D0006" w:rsidP="00AC5F0A">
      <w:pPr>
        <w:pStyle w:val="Tableheading"/>
      </w:pPr>
      <w:r>
        <w:t>Table 70.1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4C19AAA"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FD2791E" w14:textId="77777777" w:rsidR="009D0006" w:rsidRPr="00AC5F0A" w:rsidRDefault="009D0006" w:rsidP="00AC5F0A">
            <w:pPr>
              <w:pStyle w:val="Tableheader"/>
            </w:pPr>
            <w:r w:rsidRPr="00AC5F0A">
              <w:t>Suicide attempt</w:t>
            </w:r>
          </w:p>
        </w:tc>
        <w:tc>
          <w:tcPr>
            <w:tcW w:w="1559" w:type="dxa"/>
            <w:noWrap/>
            <w:hideMark/>
          </w:tcPr>
          <w:p w14:paraId="687D3DB3" w14:textId="77777777" w:rsidR="009D0006" w:rsidRPr="00AC5F0A" w:rsidRDefault="009D0006" w:rsidP="00AC5F0A">
            <w:pPr>
              <w:pStyle w:val="Tableheader"/>
            </w:pPr>
            <w:r w:rsidRPr="00AC5F0A">
              <w:t>n</w:t>
            </w:r>
          </w:p>
        </w:tc>
        <w:tc>
          <w:tcPr>
            <w:tcW w:w="1559" w:type="dxa"/>
            <w:noWrap/>
            <w:hideMark/>
          </w:tcPr>
          <w:p w14:paraId="27B4F902" w14:textId="77777777" w:rsidR="009D0006" w:rsidRPr="00AC5F0A" w:rsidRDefault="009D0006" w:rsidP="00AC5F0A">
            <w:pPr>
              <w:pStyle w:val="Tableheader"/>
            </w:pPr>
            <w:r w:rsidRPr="00AC5F0A">
              <w:t>%</w:t>
            </w:r>
          </w:p>
        </w:tc>
      </w:tr>
      <w:tr w:rsidR="009D0006" w:rsidRPr="003F4D73" w14:paraId="4B146E85"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2575CE6" w14:textId="77777777" w:rsidR="009D0006" w:rsidRPr="00F103F7" w:rsidRDefault="009D0006" w:rsidP="00AC5F0A">
            <w:pPr>
              <w:pStyle w:val="Tabletext"/>
              <w:rPr>
                <w:color w:val="0D0D0D"/>
              </w:rPr>
            </w:pPr>
            <w:r>
              <w:rPr>
                <w:lang w:val="en-US"/>
              </w:rPr>
              <w:t>Past 12 months</w:t>
            </w:r>
          </w:p>
        </w:tc>
        <w:tc>
          <w:tcPr>
            <w:tcW w:w="1559" w:type="dxa"/>
            <w:noWrap/>
          </w:tcPr>
          <w:p w14:paraId="1C93C809" w14:textId="77777777" w:rsidR="009D0006" w:rsidRPr="003F4D73" w:rsidRDefault="009D0006" w:rsidP="00AC5F0A">
            <w:pPr>
              <w:pStyle w:val="Tabletext"/>
              <w:rPr>
                <w:color w:val="0D0D0D"/>
              </w:rPr>
            </w:pPr>
            <w:r>
              <w:t>17</w:t>
            </w:r>
          </w:p>
        </w:tc>
        <w:tc>
          <w:tcPr>
            <w:tcW w:w="1559" w:type="dxa"/>
            <w:noWrap/>
          </w:tcPr>
          <w:p w14:paraId="6C6DCB12" w14:textId="77777777" w:rsidR="009D0006" w:rsidRPr="003F4D73" w:rsidRDefault="009D0006" w:rsidP="00AC5F0A">
            <w:pPr>
              <w:pStyle w:val="Tabletext"/>
              <w:rPr>
                <w:color w:val="0D0D0D"/>
              </w:rPr>
            </w:pPr>
            <w:r>
              <w:t>5.0</w:t>
            </w:r>
          </w:p>
        </w:tc>
      </w:tr>
      <w:tr w:rsidR="009D0006" w:rsidRPr="003F4D73" w14:paraId="6F847005"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9E0BD41" w14:textId="77777777" w:rsidR="009D0006" w:rsidRPr="00F103F7" w:rsidRDefault="009D0006" w:rsidP="00AC5F0A">
            <w:pPr>
              <w:pStyle w:val="Tabletext"/>
              <w:rPr>
                <w:color w:val="0D0D0D"/>
              </w:rPr>
            </w:pPr>
            <w:r>
              <w:rPr>
                <w:lang w:val="en-US"/>
              </w:rPr>
              <w:t>Ever</w:t>
            </w:r>
          </w:p>
        </w:tc>
        <w:tc>
          <w:tcPr>
            <w:tcW w:w="1559" w:type="dxa"/>
            <w:noWrap/>
          </w:tcPr>
          <w:p w14:paraId="6DC957C1" w14:textId="77777777" w:rsidR="009D0006" w:rsidRPr="003F4D73" w:rsidRDefault="009D0006" w:rsidP="00AC5F0A">
            <w:pPr>
              <w:pStyle w:val="Tabletext"/>
              <w:rPr>
                <w:color w:val="0D0D0D"/>
              </w:rPr>
            </w:pPr>
            <w:r>
              <w:t>121</w:t>
            </w:r>
          </w:p>
        </w:tc>
        <w:tc>
          <w:tcPr>
            <w:tcW w:w="1559" w:type="dxa"/>
            <w:noWrap/>
          </w:tcPr>
          <w:p w14:paraId="60386B97" w14:textId="77777777" w:rsidR="009D0006" w:rsidRPr="003F4D73" w:rsidRDefault="009D0006" w:rsidP="00AC5F0A">
            <w:pPr>
              <w:pStyle w:val="Tabletext"/>
              <w:rPr>
                <w:color w:val="0D0D0D"/>
              </w:rPr>
            </w:pPr>
            <w:r>
              <w:t>35.8</w:t>
            </w:r>
          </w:p>
        </w:tc>
      </w:tr>
    </w:tbl>
    <w:p w14:paraId="46CA6CCC" w14:textId="77777777" w:rsidR="009D0006" w:rsidRDefault="009D0006" w:rsidP="00AC5F0A">
      <w:pPr>
        <w:pStyle w:val="Tableheading"/>
      </w:pPr>
      <w:r>
        <w:t>Table 70.2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CC798EA"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EBCA70C" w14:textId="77777777" w:rsidR="009D0006" w:rsidRPr="00AC5F0A" w:rsidRDefault="009D0006" w:rsidP="00AC5F0A">
            <w:pPr>
              <w:pStyle w:val="Tableheader"/>
            </w:pPr>
            <w:r w:rsidRPr="00AC5F0A">
              <w:t>Suicide attempt</w:t>
            </w:r>
          </w:p>
        </w:tc>
        <w:tc>
          <w:tcPr>
            <w:tcW w:w="1559" w:type="dxa"/>
            <w:hideMark/>
          </w:tcPr>
          <w:p w14:paraId="06616881" w14:textId="77777777" w:rsidR="009D0006" w:rsidRPr="00AC5F0A" w:rsidRDefault="009D0006" w:rsidP="00AC5F0A">
            <w:pPr>
              <w:pStyle w:val="Tableheader"/>
            </w:pPr>
            <w:r w:rsidRPr="00AC5F0A">
              <w:t>n</w:t>
            </w:r>
          </w:p>
        </w:tc>
        <w:tc>
          <w:tcPr>
            <w:tcW w:w="1559" w:type="dxa"/>
            <w:hideMark/>
          </w:tcPr>
          <w:p w14:paraId="61F2DAFA" w14:textId="77777777" w:rsidR="009D0006" w:rsidRPr="00AC5F0A" w:rsidRDefault="009D0006" w:rsidP="00AC5F0A">
            <w:pPr>
              <w:pStyle w:val="Tableheader"/>
            </w:pPr>
            <w:r w:rsidRPr="00AC5F0A">
              <w:t>%</w:t>
            </w:r>
          </w:p>
        </w:tc>
      </w:tr>
      <w:tr w:rsidR="009D0006" w:rsidRPr="003F4D73" w14:paraId="3701D643"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04218A8" w14:textId="77777777" w:rsidR="009D0006" w:rsidRPr="00F103F7" w:rsidRDefault="009D0006" w:rsidP="00AC5F0A">
            <w:pPr>
              <w:pStyle w:val="Tabletext"/>
              <w:rPr>
                <w:color w:val="0D0D0D"/>
              </w:rPr>
            </w:pPr>
            <w:r>
              <w:rPr>
                <w:lang w:val="en-US"/>
              </w:rPr>
              <w:t>Past 12 months</w:t>
            </w:r>
          </w:p>
        </w:tc>
        <w:tc>
          <w:tcPr>
            <w:tcW w:w="1559" w:type="dxa"/>
          </w:tcPr>
          <w:p w14:paraId="12B8C218" w14:textId="77777777" w:rsidR="009D0006" w:rsidRPr="003F4D73" w:rsidRDefault="009D0006" w:rsidP="00AC5F0A">
            <w:pPr>
              <w:pStyle w:val="Tabletext"/>
              <w:rPr>
                <w:color w:val="0D0D0D"/>
              </w:rPr>
            </w:pPr>
            <w:r>
              <w:t>81</w:t>
            </w:r>
          </w:p>
        </w:tc>
        <w:tc>
          <w:tcPr>
            <w:tcW w:w="1559" w:type="dxa"/>
          </w:tcPr>
          <w:p w14:paraId="54FADD1F" w14:textId="77777777" w:rsidR="009D0006" w:rsidRPr="003F4D73" w:rsidRDefault="009D0006" w:rsidP="00AC5F0A">
            <w:pPr>
              <w:pStyle w:val="Tabletext"/>
              <w:rPr>
                <w:color w:val="0D0D0D"/>
              </w:rPr>
            </w:pPr>
            <w:r>
              <w:t>7.0</w:t>
            </w:r>
          </w:p>
        </w:tc>
      </w:tr>
      <w:tr w:rsidR="009D0006" w:rsidRPr="003F4D73" w14:paraId="254A22AB"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C85A6AC" w14:textId="77777777" w:rsidR="009D0006" w:rsidRPr="00F103F7" w:rsidRDefault="009D0006" w:rsidP="00AC5F0A">
            <w:pPr>
              <w:pStyle w:val="Tabletext"/>
              <w:rPr>
                <w:color w:val="0D0D0D"/>
              </w:rPr>
            </w:pPr>
            <w:r>
              <w:rPr>
                <w:lang w:val="en-US"/>
              </w:rPr>
              <w:t>Ever</w:t>
            </w:r>
          </w:p>
        </w:tc>
        <w:tc>
          <w:tcPr>
            <w:tcW w:w="1559" w:type="dxa"/>
          </w:tcPr>
          <w:p w14:paraId="0E5808A0" w14:textId="77777777" w:rsidR="009D0006" w:rsidRPr="003F4D73" w:rsidRDefault="009D0006" w:rsidP="00AC5F0A">
            <w:pPr>
              <w:pStyle w:val="Tabletext"/>
              <w:rPr>
                <w:color w:val="0D0D0D"/>
              </w:rPr>
            </w:pPr>
            <w:r>
              <w:t>482</w:t>
            </w:r>
          </w:p>
        </w:tc>
        <w:tc>
          <w:tcPr>
            <w:tcW w:w="1559" w:type="dxa"/>
          </w:tcPr>
          <w:p w14:paraId="624FAA6E" w14:textId="77777777" w:rsidR="009D0006" w:rsidRPr="003F4D73" w:rsidRDefault="009D0006" w:rsidP="00AC5F0A">
            <w:pPr>
              <w:pStyle w:val="Tabletext"/>
              <w:rPr>
                <w:color w:val="0D0D0D"/>
              </w:rPr>
            </w:pPr>
            <w:r>
              <w:t>41.6</w:t>
            </w:r>
          </w:p>
        </w:tc>
      </w:tr>
    </w:tbl>
    <w:p w14:paraId="2820B265" w14:textId="77777777" w:rsidR="009D0006" w:rsidRDefault="009D0006" w:rsidP="00AC5F0A">
      <w:pPr>
        <w:pStyle w:val="Tableheading"/>
      </w:pPr>
      <w:r>
        <w:t>Table 70.3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8B06F3A"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9688FFB" w14:textId="77777777" w:rsidR="009D0006" w:rsidRPr="00AC5F0A" w:rsidRDefault="009D0006" w:rsidP="00AC5F0A">
            <w:pPr>
              <w:pStyle w:val="Tableheader"/>
            </w:pPr>
            <w:r w:rsidRPr="00AC5F0A">
              <w:t>Suicide attempt</w:t>
            </w:r>
          </w:p>
        </w:tc>
        <w:tc>
          <w:tcPr>
            <w:tcW w:w="1559" w:type="dxa"/>
            <w:noWrap/>
            <w:hideMark/>
          </w:tcPr>
          <w:p w14:paraId="0B684802" w14:textId="77777777" w:rsidR="009D0006" w:rsidRPr="00AC5F0A" w:rsidRDefault="009D0006" w:rsidP="00AC5F0A">
            <w:pPr>
              <w:pStyle w:val="Tableheader"/>
            </w:pPr>
            <w:r w:rsidRPr="00AC5F0A">
              <w:t>n</w:t>
            </w:r>
          </w:p>
        </w:tc>
        <w:tc>
          <w:tcPr>
            <w:tcW w:w="1559" w:type="dxa"/>
            <w:noWrap/>
            <w:hideMark/>
          </w:tcPr>
          <w:p w14:paraId="3A9F3491" w14:textId="77777777" w:rsidR="009D0006" w:rsidRPr="00AC5F0A" w:rsidRDefault="009D0006" w:rsidP="00AC5F0A">
            <w:pPr>
              <w:pStyle w:val="Tableheader"/>
            </w:pPr>
            <w:r w:rsidRPr="00AC5F0A">
              <w:t>%</w:t>
            </w:r>
          </w:p>
        </w:tc>
      </w:tr>
      <w:tr w:rsidR="009D0006" w:rsidRPr="003F4D73" w14:paraId="357E5C94"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3A7C1A9" w14:textId="77777777" w:rsidR="009D0006" w:rsidRPr="00F103F7" w:rsidRDefault="009D0006" w:rsidP="00AC5F0A">
            <w:pPr>
              <w:pStyle w:val="Tabletext"/>
              <w:rPr>
                <w:color w:val="0D0D0D"/>
              </w:rPr>
            </w:pPr>
            <w:r>
              <w:rPr>
                <w:lang w:val="en-US"/>
              </w:rPr>
              <w:t>Past 12 months</w:t>
            </w:r>
          </w:p>
        </w:tc>
        <w:tc>
          <w:tcPr>
            <w:tcW w:w="1559" w:type="dxa"/>
            <w:noWrap/>
          </w:tcPr>
          <w:p w14:paraId="05BD5613" w14:textId="77777777" w:rsidR="009D0006" w:rsidRPr="003F4D73" w:rsidRDefault="009D0006" w:rsidP="00AC5F0A">
            <w:pPr>
              <w:pStyle w:val="Tabletext"/>
              <w:rPr>
                <w:color w:val="0D0D0D"/>
              </w:rPr>
            </w:pPr>
            <w:r>
              <w:t>86</w:t>
            </w:r>
          </w:p>
        </w:tc>
        <w:tc>
          <w:tcPr>
            <w:tcW w:w="1559" w:type="dxa"/>
            <w:noWrap/>
          </w:tcPr>
          <w:p w14:paraId="4B9BDD1C" w14:textId="77777777" w:rsidR="009D0006" w:rsidRPr="003F4D73" w:rsidRDefault="009D0006" w:rsidP="00AC5F0A">
            <w:pPr>
              <w:pStyle w:val="Tabletext"/>
              <w:rPr>
                <w:color w:val="0D0D0D"/>
              </w:rPr>
            </w:pPr>
            <w:r>
              <w:t>12.4</w:t>
            </w:r>
          </w:p>
        </w:tc>
      </w:tr>
      <w:tr w:rsidR="009D0006" w:rsidRPr="003F4D73" w14:paraId="2800E36B"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BB278B3" w14:textId="77777777" w:rsidR="009D0006" w:rsidRPr="00F103F7" w:rsidRDefault="009D0006" w:rsidP="00AC5F0A">
            <w:pPr>
              <w:pStyle w:val="Tabletext"/>
              <w:rPr>
                <w:color w:val="0D0D0D"/>
              </w:rPr>
            </w:pPr>
            <w:r>
              <w:rPr>
                <w:lang w:val="en-US"/>
              </w:rPr>
              <w:t>Ever</w:t>
            </w:r>
          </w:p>
        </w:tc>
        <w:tc>
          <w:tcPr>
            <w:tcW w:w="1559" w:type="dxa"/>
            <w:noWrap/>
          </w:tcPr>
          <w:p w14:paraId="18CD4A30" w14:textId="77777777" w:rsidR="009D0006" w:rsidRPr="003F4D73" w:rsidRDefault="009D0006" w:rsidP="00AC5F0A">
            <w:pPr>
              <w:pStyle w:val="Tabletext"/>
              <w:rPr>
                <w:color w:val="0D0D0D"/>
              </w:rPr>
            </w:pPr>
            <w:r>
              <w:t>347</w:t>
            </w:r>
          </w:p>
        </w:tc>
        <w:tc>
          <w:tcPr>
            <w:tcW w:w="1559" w:type="dxa"/>
            <w:noWrap/>
          </w:tcPr>
          <w:p w14:paraId="16A3E124" w14:textId="77777777" w:rsidR="009D0006" w:rsidRPr="003F4D73" w:rsidRDefault="009D0006" w:rsidP="00AC5F0A">
            <w:pPr>
              <w:pStyle w:val="Tabletext"/>
              <w:rPr>
                <w:color w:val="0D0D0D"/>
              </w:rPr>
            </w:pPr>
            <w:r>
              <w:t>50.1</w:t>
            </w:r>
          </w:p>
        </w:tc>
      </w:tr>
    </w:tbl>
    <w:p w14:paraId="45214255" w14:textId="77777777" w:rsidR="009D0006" w:rsidRDefault="009D0006" w:rsidP="00AC5F0A">
      <w:pPr>
        <w:pStyle w:val="Tableheader"/>
      </w:pPr>
      <w:r>
        <w:t>Table 70.4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9604B29"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7FA9524" w14:textId="77777777" w:rsidR="009D0006" w:rsidRPr="00AC5F0A" w:rsidRDefault="009D0006" w:rsidP="00AC5F0A">
            <w:pPr>
              <w:pStyle w:val="Tableheader"/>
            </w:pPr>
            <w:r w:rsidRPr="00AC5F0A">
              <w:t>Suicide attempt</w:t>
            </w:r>
          </w:p>
        </w:tc>
        <w:tc>
          <w:tcPr>
            <w:tcW w:w="1559" w:type="dxa"/>
            <w:hideMark/>
          </w:tcPr>
          <w:p w14:paraId="53384CE2" w14:textId="77777777" w:rsidR="009D0006" w:rsidRPr="00AC5F0A" w:rsidRDefault="009D0006" w:rsidP="00AC5F0A">
            <w:pPr>
              <w:pStyle w:val="Tableheader"/>
            </w:pPr>
            <w:r w:rsidRPr="00AC5F0A">
              <w:t>n</w:t>
            </w:r>
          </w:p>
        </w:tc>
        <w:tc>
          <w:tcPr>
            <w:tcW w:w="1559" w:type="dxa"/>
            <w:hideMark/>
          </w:tcPr>
          <w:p w14:paraId="31EA6CE5" w14:textId="77777777" w:rsidR="009D0006" w:rsidRPr="00AC5F0A" w:rsidRDefault="009D0006" w:rsidP="00AC5F0A">
            <w:pPr>
              <w:pStyle w:val="Tableheader"/>
            </w:pPr>
            <w:r w:rsidRPr="00AC5F0A">
              <w:t>%</w:t>
            </w:r>
          </w:p>
        </w:tc>
      </w:tr>
      <w:tr w:rsidR="009D0006" w:rsidRPr="003F4D73" w14:paraId="14C3AEF7"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E301FB0" w14:textId="77777777" w:rsidR="009D0006" w:rsidRPr="00F103F7" w:rsidRDefault="009D0006" w:rsidP="00AC5F0A">
            <w:pPr>
              <w:pStyle w:val="Tabletext"/>
              <w:rPr>
                <w:color w:val="0D0D0D"/>
              </w:rPr>
            </w:pPr>
            <w:r>
              <w:rPr>
                <w:lang w:val="en-US"/>
              </w:rPr>
              <w:t>Past 12 months</w:t>
            </w:r>
          </w:p>
        </w:tc>
        <w:tc>
          <w:tcPr>
            <w:tcW w:w="1559" w:type="dxa"/>
          </w:tcPr>
          <w:p w14:paraId="273C7AD5" w14:textId="77777777" w:rsidR="009D0006" w:rsidRPr="003F4D73" w:rsidRDefault="009D0006" w:rsidP="00AC5F0A">
            <w:pPr>
              <w:pStyle w:val="Tabletext"/>
              <w:rPr>
                <w:color w:val="0D0D0D"/>
              </w:rPr>
            </w:pPr>
            <w:r>
              <w:t>73</w:t>
            </w:r>
          </w:p>
        </w:tc>
        <w:tc>
          <w:tcPr>
            <w:tcW w:w="1559" w:type="dxa"/>
          </w:tcPr>
          <w:p w14:paraId="5640F354" w14:textId="77777777" w:rsidR="009D0006" w:rsidRPr="003F4D73" w:rsidRDefault="009D0006" w:rsidP="00AC5F0A">
            <w:pPr>
              <w:pStyle w:val="Tabletext"/>
              <w:rPr>
                <w:color w:val="0D0D0D"/>
              </w:rPr>
            </w:pPr>
            <w:r>
              <w:t>2.6</w:t>
            </w:r>
          </w:p>
        </w:tc>
      </w:tr>
      <w:tr w:rsidR="009D0006" w:rsidRPr="003F4D73" w14:paraId="0D6463AB" w14:textId="77777777" w:rsidTr="00AC5F0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21BFE37" w14:textId="77777777" w:rsidR="009D0006" w:rsidRPr="00F103F7" w:rsidRDefault="009D0006" w:rsidP="00AC5F0A">
            <w:pPr>
              <w:pStyle w:val="Tabletext"/>
              <w:rPr>
                <w:color w:val="0D0D0D"/>
              </w:rPr>
            </w:pPr>
            <w:r>
              <w:rPr>
                <w:lang w:val="en-US"/>
              </w:rPr>
              <w:t>Ever</w:t>
            </w:r>
          </w:p>
        </w:tc>
        <w:tc>
          <w:tcPr>
            <w:tcW w:w="1559" w:type="dxa"/>
          </w:tcPr>
          <w:p w14:paraId="76F45E91" w14:textId="77777777" w:rsidR="009D0006" w:rsidRPr="003F4D73" w:rsidRDefault="009D0006" w:rsidP="00AC5F0A">
            <w:pPr>
              <w:pStyle w:val="Tabletext"/>
              <w:rPr>
                <w:color w:val="0D0D0D"/>
              </w:rPr>
            </w:pPr>
            <w:r>
              <w:t>593</w:t>
            </w:r>
          </w:p>
        </w:tc>
        <w:tc>
          <w:tcPr>
            <w:tcW w:w="1559" w:type="dxa"/>
          </w:tcPr>
          <w:p w14:paraId="17DCD1AC" w14:textId="77777777" w:rsidR="009D0006" w:rsidRPr="003F4D73" w:rsidRDefault="009D0006" w:rsidP="00AC5F0A">
            <w:pPr>
              <w:pStyle w:val="Tabletext"/>
              <w:rPr>
                <w:color w:val="0D0D0D"/>
              </w:rPr>
            </w:pPr>
            <w:r>
              <w:t>20.8</w:t>
            </w:r>
          </w:p>
        </w:tc>
      </w:tr>
    </w:tbl>
    <w:p w14:paraId="5F5042BA" w14:textId="77777777" w:rsidR="009D0006" w:rsidRDefault="009D0006" w:rsidP="00184CF2">
      <w:pPr>
        <w:spacing w:before="360"/>
      </w:pPr>
      <w:r w:rsidRPr="006F47D9">
        <w:t>As shown in Table</w:t>
      </w:r>
      <w:r>
        <w:t>s</w:t>
      </w:r>
      <w:r w:rsidRPr="006F47D9">
        <w:t xml:space="preserve"> </w:t>
      </w:r>
      <w:r>
        <w:t>70.1-70.4</w:t>
      </w:r>
      <w:r w:rsidRPr="006F47D9">
        <w:t xml:space="preserve">, participants with disability in </w:t>
      </w:r>
      <w:r w:rsidRPr="006F47D9">
        <w:rPr>
          <w:i/>
          <w:iCs/>
        </w:rPr>
        <w:t>Private Lives 3</w:t>
      </w:r>
      <w:r w:rsidRPr="006F47D9">
        <w:t xml:space="preserve"> reported higher rates of </w:t>
      </w:r>
      <w:r>
        <w:t>attempted suicide</w:t>
      </w:r>
      <w:r w:rsidRPr="006F47D9">
        <w:t xml:space="preserve"> in the past 12 months and ever in their lifetime</w:t>
      </w:r>
      <w:r>
        <w:t xml:space="preserve"> than</w:t>
      </w:r>
      <w:r w:rsidRPr="006F47D9">
        <w:t xml:space="preserve"> participants </w:t>
      </w:r>
      <w:r>
        <w:t>without</w:t>
      </w:r>
      <w:r w:rsidRPr="006F47D9">
        <w:t xml:space="preserve"> disability. Among participants </w:t>
      </w:r>
      <w:r>
        <w:t>without</w:t>
      </w:r>
      <w:r w:rsidRPr="006F47D9">
        <w:t xml:space="preserve"> disability, </w:t>
      </w:r>
      <w:r>
        <w:t>less than 3%</w:t>
      </w:r>
      <w:r w:rsidRPr="006F47D9">
        <w:t xml:space="preserve"> had </w:t>
      </w:r>
      <w:r>
        <w:t>attempted suicide</w:t>
      </w:r>
      <w:r w:rsidRPr="006F47D9">
        <w:t xml:space="preserve"> in the past 12 months </w:t>
      </w:r>
      <w:r>
        <w:t>(2.6%; n = 73)</w:t>
      </w:r>
      <w:r w:rsidRPr="006F47D9">
        <w:t xml:space="preserve"> compared to</w:t>
      </w:r>
      <w:r>
        <w:t xml:space="preserve"> more than 1 in 10 participants categorised with severe disability (12.4%; n = 86) and just under 1 in 10 participants categorised with moderate disability (7.0%; n = 81) or mild disability (5.0%; n = 17). </w:t>
      </w:r>
    </w:p>
    <w:p w14:paraId="251CCED6" w14:textId="77777777" w:rsidR="009D0006" w:rsidRDefault="009D0006" w:rsidP="009D0006">
      <w:r>
        <w:t xml:space="preserve">Approximately one-fifth of </w:t>
      </w:r>
      <w:r w:rsidRPr="006F47D9">
        <w:t xml:space="preserve">participants </w:t>
      </w:r>
      <w:r>
        <w:t>without</w:t>
      </w:r>
      <w:r w:rsidRPr="006F47D9">
        <w:t xml:space="preserve"> disability had ever </w:t>
      </w:r>
      <w:r>
        <w:t>attempted suicide</w:t>
      </w:r>
      <w:r w:rsidRPr="006F47D9">
        <w:t xml:space="preserve"> in their lifetime </w:t>
      </w:r>
      <w:r>
        <w:t xml:space="preserve">(20.8%; n = 593) </w:t>
      </w:r>
      <w:r w:rsidRPr="006F47D9">
        <w:t>compared to</w:t>
      </w:r>
      <w:r>
        <w:t xml:space="preserve"> half of participants categorised with severe disability (50.1%; n = 347), two-fifths of participants categorised with moderate disability (41.6%; n =</w:t>
      </w:r>
      <w:r>
        <w:lastRenderedPageBreak/>
        <w:t xml:space="preserve"> 482) and more than one-third of participants categorised with mild disability (35.8%; n = 121).</w:t>
      </w:r>
    </w:p>
    <w:p w14:paraId="3AD4534C" w14:textId="102C3A00" w:rsidR="009D0006" w:rsidRPr="00697EC4" w:rsidRDefault="009D0006" w:rsidP="006346CA">
      <w:pPr>
        <w:pStyle w:val="Heading3Numbered"/>
      </w:pPr>
      <w:bookmarkStart w:id="683" w:name="_Toc115968598"/>
      <w:r w:rsidRPr="00697EC4">
        <w:t xml:space="preserve">Suicidal ideation </w:t>
      </w:r>
      <w:r>
        <w:t>according to</w:t>
      </w:r>
      <w:r w:rsidRPr="00697EC4">
        <w:t xml:space="preserve"> experiences of harassment and assault </w:t>
      </w:r>
      <w:r>
        <w:t>among</w:t>
      </w:r>
      <w:r w:rsidRPr="00697EC4">
        <w:t xml:space="preserve"> young people aged 14-21 years</w:t>
      </w:r>
      <w:bookmarkEnd w:id="683"/>
    </w:p>
    <w:p w14:paraId="7E8C6EDC" w14:textId="7D103C98" w:rsidR="009D0006" w:rsidRDefault="009D0006" w:rsidP="00AC5F0A">
      <w:pPr>
        <w:pStyle w:val="Tableheading"/>
      </w:pPr>
      <w:bookmarkStart w:id="684" w:name="_Toc117062789"/>
      <w:bookmarkStart w:id="685" w:name="_Toc119651474"/>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71</w:t>
      </w:r>
      <w:r w:rsidRPr="00985828">
        <w:rPr>
          <w:bCs/>
          <w:sz w:val="18"/>
          <w:szCs w:val="18"/>
        </w:rPr>
        <w:fldChar w:fldCharType="end"/>
      </w:r>
      <w:r>
        <w:t>.1-71.6: Suicidal ideation</w:t>
      </w:r>
      <w:r w:rsidRPr="00CA5F45">
        <w:t xml:space="preserve"> </w:t>
      </w:r>
      <w:r>
        <w:t>in the past 12 months according to</w:t>
      </w:r>
      <w:r w:rsidRPr="00CA5F45">
        <w:t xml:space="preserve"> </w:t>
      </w:r>
      <w:r>
        <w:t xml:space="preserve">experiences of </w:t>
      </w:r>
      <w:r w:rsidRPr="00A525C0">
        <w:t>harassment or assault among young people with disability aged 14-21 years</w:t>
      </w:r>
      <w:bookmarkEnd w:id="684"/>
      <w:bookmarkEnd w:id="685"/>
      <w:r w:rsidDel="009B0D8F">
        <w:t xml:space="preserve"> </w:t>
      </w:r>
    </w:p>
    <w:p w14:paraId="6C85EF78" w14:textId="77777777" w:rsidR="009D0006" w:rsidRDefault="009D0006" w:rsidP="00AC5F0A">
      <w:pPr>
        <w:pStyle w:val="Tableheading"/>
      </w:pPr>
      <w:r>
        <w:t>Table 71.1 No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95C758F"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940D10B" w14:textId="77777777" w:rsidR="009D0006" w:rsidRPr="003F4D73" w:rsidRDefault="009D0006" w:rsidP="00AC5F0A">
            <w:pPr>
              <w:pStyle w:val="Tableheader"/>
            </w:pPr>
          </w:p>
        </w:tc>
        <w:tc>
          <w:tcPr>
            <w:tcW w:w="1559" w:type="dxa"/>
            <w:noWrap/>
            <w:hideMark/>
          </w:tcPr>
          <w:p w14:paraId="76A075F9" w14:textId="77777777" w:rsidR="009D0006" w:rsidRPr="003F4D73" w:rsidRDefault="009D0006" w:rsidP="00AC5F0A">
            <w:pPr>
              <w:pStyle w:val="Tableheader"/>
            </w:pPr>
            <w:r>
              <w:t>n</w:t>
            </w:r>
          </w:p>
        </w:tc>
        <w:tc>
          <w:tcPr>
            <w:tcW w:w="1559" w:type="dxa"/>
            <w:noWrap/>
            <w:hideMark/>
          </w:tcPr>
          <w:p w14:paraId="04DACFA4" w14:textId="77777777" w:rsidR="009D0006" w:rsidRPr="003F4D73" w:rsidRDefault="009D0006" w:rsidP="00AC5F0A">
            <w:pPr>
              <w:pStyle w:val="Tableheader"/>
            </w:pPr>
            <w:r w:rsidRPr="003F4D73">
              <w:t>%</w:t>
            </w:r>
          </w:p>
        </w:tc>
      </w:tr>
      <w:tr w:rsidR="009D0006" w:rsidRPr="003F4D73" w14:paraId="54FD1BFD"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B16C484" w14:textId="77777777" w:rsidR="009D0006" w:rsidRPr="003F4D73" w:rsidRDefault="009D0006" w:rsidP="00AC5F0A">
            <w:pPr>
              <w:pStyle w:val="Tabletext"/>
              <w:rPr>
                <w:color w:val="0D0D0D"/>
              </w:rPr>
            </w:pPr>
            <w:r>
              <w:rPr>
                <w:lang w:val="en-US"/>
              </w:rPr>
              <w:t>Suicidal ideation in past 12 months</w:t>
            </w:r>
          </w:p>
        </w:tc>
        <w:tc>
          <w:tcPr>
            <w:tcW w:w="1559" w:type="dxa"/>
            <w:noWrap/>
          </w:tcPr>
          <w:p w14:paraId="437DE66D" w14:textId="77777777" w:rsidR="009D0006" w:rsidRPr="003F4D73" w:rsidRDefault="009D0006" w:rsidP="00AC5F0A">
            <w:pPr>
              <w:pStyle w:val="Tabletext"/>
              <w:rPr>
                <w:color w:val="0D0D0D"/>
              </w:rPr>
            </w:pPr>
            <w:r>
              <w:t>794</w:t>
            </w:r>
          </w:p>
        </w:tc>
        <w:tc>
          <w:tcPr>
            <w:tcW w:w="1559" w:type="dxa"/>
            <w:noWrap/>
          </w:tcPr>
          <w:p w14:paraId="4FFDC1B5" w14:textId="77777777" w:rsidR="009D0006" w:rsidRPr="003F4D73" w:rsidRDefault="009D0006" w:rsidP="00AC5F0A">
            <w:pPr>
              <w:pStyle w:val="Tabletext"/>
              <w:rPr>
                <w:color w:val="0D0D0D"/>
              </w:rPr>
            </w:pPr>
            <w:r>
              <w:t>63.9</w:t>
            </w:r>
          </w:p>
        </w:tc>
      </w:tr>
    </w:tbl>
    <w:p w14:paraId="0D278D95" w14:textId="77777777" w:rsidR="009D0006" w:rsidRDefault="009D0006" w:rsidP="00AC5F0A">
      <w:pPr>
        <w:pStyle w:val="Tableheading"/>
      </w:pPr>
      <w:r>
        <w:t>Table 71.2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85450FD"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16F4A58" w14:textId="77777777" w:rsidR="009D0006" w:rsidRPr="003F4D73" w:rsidRDefault="009D0006" w:rsidP="00AC5F0A">
            <w:pPr>
              <w:pStyle w:val="Tableheader"/>
            </w:pPr>
          </w:p>
        </w:tc>
        <w:tc>
          <w:tcPr>
            <w:tcW w:w="1559" w:type="dxa"/>
            <w:hideMark/>
          </w:tcPr>
          <w:p w14:paraId="6583FB2B" w14:textId="77777777" w:rsidR="009D0006" w:rsidRPr="003F4D73" w:rsidRDefault="009D0006" w:rsidP="00AC5F0A">
            <w:pPr>
              <w:pStyle w:val="Tableheader"/>
            </w:pPr>
            <w:r>
              <w:t>n</w:t>
            </w:r>
          </w:p>
        </w:tc>
        <w:tc>
          <w:tcPr>
            <w:tcW w:w="1559" w:type="dxa"/>
            <w:hideMark/>
          </w:tcPr>
          <w:p w14:paraId="13477B5D" w14:textId="77777777" w:rsidR="009D0006" w:rsidRPr="003F4D73" w:rsidRDefault="009D0006" w:rsidP="00AC5F0A">
            <w:pPr>
              <w:pStyle w:val="Tableheader"/>
            </w:pPr>
            <w:r w:rsidRPr="003F4D73">
              <w:t>%</w:t>
            </w:r>
          </w:p>
        </w:tc>
      </w:tr>
      <w:tr w:rsidR="009D0006" w:rsidRPr="003F4D73" w14:paraId="4B761F20"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5B3C837" w14:textId="77777777" w:rsidR="009D0006" w:rsidRPr="003F4D73" w:rsidRDefault="009D0006" w:rsidP="00AC5F0A">
            <w:pPr>
              <w:pStyle w:val="Tabletext"/>
              <w:rPr>
                <w:color w:val="0D0D0D"/>
              </w:rPr>
            </w:pPr>
            <w:r>
              <w:rPr>
                <w:lang w:val="en-US"/>
              </w:rPr>
              <w:t>Suicidal ideation in past 12 months</w:t>
            </w:r>
          </w:p>
        </w:tc>
        <w:tc>
          <w:tcPr>
            <w:tcW w:w="1559" w:type="dxa"/>
          </w:tcPr>
          <w:p w14:paraId="2D149257" w14:textId="77777777" w:rsidR="009D0006" w:rsidRPr="003F4D73" w:rsidRDefault="009D0006" w:rsidP="00AC5F0A">
            <w:pPr>
              <w:pStyle w:val="Tabletext"/>
              <w:rPr>
                <w:color w:val="0D0D0D"/>
              </w:rPr>
            </w:pPr>
            <w:r>
              <w:t>900</w:t>
            </w:r>
          </w:p>
        </w:tc>
        <w:tc>
          <w:tcPr>
            <w:tcW w:w="1559" w:type="dxa"/>
          </w:tcPr>
          <w:p w14:paraId="093EDB77" w14:textId="77777777" w:rsidR="009D0006" w:rsidRPr="003F4D73" w:rsidRDefault="009D0006" w:rsidP="00AC5F0A">
            <w:pPr>
              <w:pStyle w:val="Tabletext"/>
              <w:rPr>
                <w:color w:val="0D0D0D"/>
              </w:rPr>
            </w:pPr>
            <w:r>
              <w:t>77.3</w:t>
            </w:r>
          </w:p>
        </w:tc>
      </w:tr>
    </w:tbl>
    <w:p w14:paraId="0D94DFA0" w14:textId="77777777" w:rsidR="009D0006" w:rsidRPr="00C47CBF" w:rsidRDefault="009D0006" w:rsidP="00AC5F0A">
      <w:pPr>
        <w:pStyle w:val="Tableheading"/>
      </w:pPr>
      <w:r>
        <w:t>Table 71.3 No 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4AAB350"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353BE2A" w14:textId="77777777" w:rsidR="009D0006" w:rsidRPr="00AC5F0A" w:rsidRDefault="009D0006" w:rsidP="00AC5F0A">
            <w:pPr>
              <w:pStyle w:val="Tableheader"/>
            </w:pPr>
          </w:p>
        </w:tc>
        <w:tc>
          <w:tcPr>
            <w:tcW w:w="1559" w:type="dxa"/>
            <w:noWrap/>
            <w:hideMark/>
          </w:tcPr>
          <w:p w14:paraId="5EB31E35" w14:textId="77777777" w:rsidR="009D0006" w:rsidRPr="00AC5F0A" w:rsidRDefault="009D0006" w:rsidP="00AC5F0A">
            <w:pPr>
              <w:pStyle w:val="Tableheader"/>
            </w:pPr>
            <w:r w:rsidRPr="00AC5F0A">
              <w:t>n</w:t>
            </w:r>
          </w:p>
        </w:tc>
        <w:tc>
          <w:tcPr>
            <w:tcW w:w="1559" w:type="dxa"/>
            <w:noWrap/>
            <w:hideMark/>
          </w:tcPr>
          <w:p w14:paraId="189AC600" w14:textId="77777777" w:rsidR="009D0006" w:rsidRPr="00AC5F0A" w:rsidRDefault="009D0006" w:rsidP="00AC5F0A">
            <w:pPr>
              <w:pStyle w:val="Tableheader"/>
            </w:pPr>
            <w:r w:rsidRPr="00AC5F0A">
              <w:t>%</w:t>
            </w:r>
          </w:p>
        </w:tc>
      </w:tr>
      <w:tr w:rsidR="009D0006" w:rsidRPr="003F4D73" w14:paraId="1C62731F"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3ADB837" w14:textId="77777777" w:rsidR="009D0006" w:rsidRPr="003F4D73" w:rsidRDefault="009D0006" w:rsidP="00AC5F0A">
            <w:pPr>
              <w:pStyle w:val="Tabletext"/>
              <w:rPr>
                <w:color w:val="0D0D0D"/>
              </w:rPr>
            </w:pPr>
            <w:r>
              <w:rPr>
                <w:lang w:val="en-US"/>
              </w:rPr>
              <w:t>Suicidal ideation in past 12 months</w:t>
            </w:r>
          </w:p>
        </w:tc>
        <w:tc>
          <w:tcPr>
            <w:tcW w:w="1559" w:type="dxa"/>
            <w:noWrap/>
          </w:tcPr>
          <w:p w14:paraId="5A80D9A4" w14:textId="77777777" w:rsidR="009D0006" w:rsidRPr="003F4D73" w:rsidRDefault="009D0006" w:rsidP="00AC5F0A">
            <w:pPr>
              <w:pStyle w:val="Tabletext"/>
              <w:rPr>
                <w:color w:val="0D0D0D"/>
              </w:rPr>
            </w:pPr>
            <w:r>
              <w:t>1289</w:t>
            </w:r>
          </w:p>
        </w:tc>
        <w:tc>
          <w:tcPr>
            <w:tcW w:w="1559" w:type="dxa"/>
            <w:noWrap/>
          </w:tcPr>
          <w:p w14:paraId="1C2A433E" w14:textId="77777777" w:rsidR="009D0006" w:rsidRPr="003F4D73" w:rsidRDefault="009D0006" w:rsidP="00AC5F0A">
            <w:pPr>
              <w:pStyle w:val="Tabletext"/>
              <w:rPr>
                <w:color w:val="0D0D0D"/>
              </w:rPr>
            </w:pPr>
            <w:r>
              <w:t>68.7</w:t>
            </w:r>
          </w:p>
        </w:tc>
      </w:tr>
    </w:tbl>
    <w:p w14:paraId="07E73EB0" w14:textId="77777777" w:rsidR="009D0006" w:rsidRDefault="009D0006" w:rsidP="00AC5F0A">
      <w:pPr>
        <w:pStyle w:val="Tableheading"/>
      </w:pPr>
      <w:r>
        <w:t>Table 71.4 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165B678"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D5C91EC" w14:textId="77777777" w:rsidR="009D0006" w:rsidRPr="003F4D73" w:rsidRDefault="009D0006" w:rsidP="00AC5F0A">
            <w:pPr>
              <w:pStyle w:val="Tableheader"/>
            </w:pPr>
          </w:p>
        </w:tc>
        <w:tc>
          <w:tcPr>
            <w:tcW w:w="1559" w:type="dxa"/>
            <w:hideMark/>
          </w:tcPr>
          <w:p w14:paraId="7356D61C" w14:textId="77777777" w:rsidR="009D0006" w:rsidRPr="003F4D73" w:rsidRDefault="009D0006" w:rsidP="00AC5F0A">
            <w:pPr>
              <w:pStyle w:val="Tableheader"/>
            </w:pPr>
            <w:r>
              <w:t>n</w:t>
            </w:r>
          </w:p>
        </w:tc>
        <w:tc>
          <w:tcPr>
            <w:tcW w:w="1559" w:type="dxa"/>
            <w:hideMark/>
          </w:tcPr>
          <w:p w14:paraId="6560E608" w14:textId="77777777" w:rsidR="009D0006" w:rsidRPr="003F4D73" w:rsidRDefault="009D0006" w:rsidP="00AC5F0A">
            <w:pPr>
              <w:pStyle w:val="Tableheader"/>
            </w:pPr>
            <w:r w:rsidRPr="003F4D73">
              <w:t>%</w:t>
            </w:r>
          </w:p>
        </w:tc>
      </w:tr>
      <w:tr w:rsidR="009D0006" w:rsidRPr="003F4D73" w14:paraId="2961C429"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615F335" w14:textId="77777777" w:rsidR="009D0006" w:rsidRPr="003F4D73" w:rsidRDefault="009D0006" w:rsidP="00AC5F0A">
            <w:pPr>
              <w:pStyle w:val="Tabletext"/>
              <w:rPr>
                <w:color w:val="0D0D0D"/>
              </w:rPr>
            </w:pPr>
            <w:r>
              <w:rPr>
                <w:lang w:val="en-US"/>
              </w:rPr>
              <w:t>Suicidal ideation in past 12 months</w:t>
            </w:r>
          </w:p>
        </w:tc>
        <w:tc>
          <w:tcPr>
            <w:tcW w:w="1559" w:type="dxa"/>
          </w:tcPr>
          <w:p w14:paraId="53201B62" w14:textId="77777777" w:rsidR="009D0006" w:rsidRPr="003F4D73" w:rsidRDefault="009D0006" w:rsidP="00AC5F0A">
            <w:pPr>
              <w:pStyle w:val="Tabletext"/>
              <w:rPr>
                <w:color w:val="0D0D0D"/>
              </w:rPr>
            </w:pPr>
            <w:r>
              <w:t>222</w:t>
            </w:r>
          </w:p>
        </w:tc>
        <w:tc>
          <w:tcPr>
            <w:tcW w:w="1559" w:type="dxa"/>
          </w:tcPr>
          <w:p w14:paraId="11C7645B" w14:textId="77777777" w:rsidR="009D0006" w:rsidRPr="003F4D73" w:rsidRDefault="009D0006" w:rsidP="00AC5F0A">
            <w:pPr>
              <w:pStyle w:val="Tabletext"/>
              <w:rPr>
                <w:color w:val="0D0D0D"/>
              </w:rPr>
            </w:pPr>
            <w:r>
              <w:t>83.8</w:t>
            </w:r>
          </w:p>
        </w:tc>
      </w:tr>
    </w:tbl>
    <w:p w14:paraId="26AF2F37" w14:textId="77777777" w:rsidR="009D0006" w:rsidRDefault="009D0006" w:rsidP="00AC5F0A">
      <w:pPr>
        <w:pStyle w:val="Tableheader"/>
      </w:pPr>
      <w:r>
        <w:t>Table 71.5 No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0BED3D7"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9B30E0C" w14:textId="77777777" w:rsidR="009D0006" w:rsidRPr="003F4D73" w:rsidRDefault="009D0006" w:rsidP="00AC5F0A">
            <w:pPr>
              <w:pStyle w:val="Tableheader"/>
            </w:pPr>
          </w:p>
        </w:tc>
        <w:tc>
          <w:tcPr>
            <w:tcW w:w="1559" w:type="dxa"/>
            <w:noWrap/>
            <w:hideMark/>
          </w:tcPr>
          <w:p w14:paraId="552EBD9F" w14:textId="77777777" w:rsidR="009D0006" w:rsidRPr="003F4D73" w:rsidRDefault="009D0006" w:rsidP="00AC5F0A">
            <w:pPr>
              <w:pStyle w:val="Tableheader"/>
            </w:pPr>
            <w:r>
              <w:t>n</w:t>
            </w:r>
          </w:p>
        </w:tc>
        <w:tc>
          <w:tcPr>
            <w:tcW w:w="1559" w:type="dxa"/>
            <w:noWrap/>
            <w:hideMark/>
          </w:tcPr>
          <w:p w14:paraId="7D2D5FBD" w14:textId="77777777" w:rsidR="009D0006" w:rsidRPr="003F4D73" w:rsidRDefault="009D0006" w:rsidP="00AC5F0A">
            <w:pPr>
              <w:pStyle w:val="Tableheader"/>
            </w:pPr>
            <w:r w:rsidRPr="003F4D73">
              <w:t>%</w:t>
            </w:r>
          </w:p>
        </w:tc>
      </w:tr>
      <w:tr w:rsidR="009D0006" w:rsidRPr="003F4D73" w14:paraId="03561C2A"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3D1B473" w14:textId="77777777" w:rsidR="009D0006" w:rsidRPr="003F4D73" w:rsidRDefault="009D0006" w:rsidP="00AC5F0A">
            <w:pPr>
              <w:pStyle w:val="Tabletext"/>
              <w:rPr>
                <w:color w:val="0D0D0D"/>
              </w:rPr>
            </w:pPr>
            <w:r>
              <w:rPr>
                <w:lang w:val="en-US"/>
              </w:rPr>
              <w:t>Suicidal ideation in past 12 months</w:t>
            </w:r>
          </w:p>
        </w:tc>
        <w:tc>
          <w:tcPr>
            <w:tcW w:w="1559" w:type="dxa"/>
            <w:noWrap/>
          </w:tcPr>
          <w:p w14:paraId="5F047558" w14:textId="77777777" w:rsidR="009D0006" w:rsidRPr="003F4D73" w:rsidRDefault="009D0006" w:rsidP="00AC5F0A">
            <w:pPr>
              <w:pStyle w:val="Tabletext"/>
              <w:rPr>
                <w:color w:val="0D0D0D"/>
              </w:rPr>
            </w:pPr>
            <w:r>
              <w:t>1063</w:t>
            </w:r>
          </w:p>
        </w:tc>
        <w:tc>
          <w:tcPr>
            <w:tcW w:w="1559" w:type="dxa"/>
            <w:noWrap/>
          </w:tcPr>
          <w:p w14:paraId="49169B71" w14:textId="77777777" w:rsidR="009D0006" w:rsidRPr="003F4D73" w:rsidRDefault="009D0006" w:rsidP="00AC5F0A">
            <w:pPr>
              <w:pStyle w:val="Tabletext"/>
              <w:rPr>
                <w:color w:val="0D0D0D"/>
              </w:rPr>
            </w:pPr>
            <w:r>
              <w:t>68.4</w:t>
            </w:r>
          </w:p>
        </w:tc>
      </w:tr>
    </w:tbl>
    <w:p w14:paraId="19833022" w14:textId="77777777" w:rsidR="009D0006" w:rsidRDefault="009D0006" w:rsidP="00AC5F0A">
      <w:pPr>
        <w:pStyle w:val="Tableheading"/>
      </w:pPr>
      <w:r>
        <w:t>Table 71.6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D5868BF"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8DA36A8" w14:textId="77777777" w:rsidR="009D0006" w:rsidRPr="003F4D73" w:rsidRDefault="009D0006" w:rsidP="00AC5F0A">
            <w:pPr>
              <w:pStyle w:val="Tableheader"/>
            </w:pPr>
          </w:p>
        </w:tc>
        <w:tc>
          <w:tcPr>
            <w:tcW w:w="1559" w:type="dxa"/>
            <w:hideMark/>
          </w:tcPr>
          <w:p w14:paraId="466FAE9C" w14:textId="77777777" w:rsidR="009D0006" w:rsidRPr="003F4D73" w:rsidRDefault="009D0006" w:rsidP="00AC5F0A">
            <w:pPr>
              <w:pStyle w:val="Tableheader"/>
            </w:pPr>
            <w:r>
              <w:t>n</w:t>
            </w:r>
          </w:p>
        </w:tc>
        <w:tc>
          <w:tcPr>
            <w:tcW w:w="1559" w:type="dxa"/>
            <w:hideMark/>
          </w:tcPr>
          <w:p w14:paraId="458A7FDF" w14:textId="77777777" w:rsidR="009D0006" w:rsidRPr="003F4D73" w:rsidRDefault="009D0006" w:rsidP="00AC5F0A">
            <w:pPr>
              <w:pStyle w:val="Tableheader"/>
            </w:pPr>
            <w:r w:rsidRPr="003F4D73">
              <w:t>%</w:t>
            </w:r>
          </w:p>
        </w:tc>
      </w:tr>
      <w:tr w:rsidR="009D0006" w:rsidRPr="003F4D73" w14:paraId="7BA399C0"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3B76650" w14:textId="77777777" w:rsidR="009D0006" w:rsidRPr="003F4D73" w:rsidRDefault="009D0006" w:rsidP="00AC5F0A">
            <w:pPr>
              <w:pStyle w:val="Tabletext"/>
              <w:rPr>
                <w:color w:val="0D0D0D"/>
              </w:rPr>
            </w:pPr>
            <w:r>
              <w:rPr>
                <w:lang w:val="en-US"/>
              </w:rPr>
              <w:t>Suicidal ideation in past 12 months</w:t>
            </w:r>
          </w:p>
        </w:tc>
        <w:tc>
          <w:tcPr>
            <w:tcW w:w="1559" w:type="dxa"/>
          </w:tcPr>
          <w:p w14:paraId="5DDCFFE0" w14:textId="77777777" w:rsidR="009D0006" w:rsidRPr="003F4D73" w:rsidRDefault="009D0006" w:rsidP="00AC5F0A">
            <w:pPr>
              <w:pStyle w:val="Tabletext"/>
              <w:rPr>
                <w:color w:val="0D0D0D"/>
              </w:rPr>
            </w:pPr>
            <w:r>
              <w:t>504</w:t>
            </w:r>
          </w:p>
        </w:tc>
        <w:tc>
          <w:tcPr>
            <w:tcW w:w="1559" w:type="dxa"/>
          </w:tcPr>
          <w:p w14:paraId="0251151D" w14:textId="77777777" w:rsidR="009D0006" w:rsidRPr="003F4D73" w:rsidRDefault="009D0006" w:rsidP="00AC5F0A">
            <w:pPr>
              <w:pStyle w:val="Tabletext"/>
              <w:rPr>
                <w:color w:val="0D0D0D"/>
              </w:rPr>
            </w:pPr>
            <w:r>
              <w:t>76.5</w:t>
            </w:r>
          </w:p>
        </w:tc>
      </w:tr>
    </w:tbl>
    <w:p w14:paraId="2F9F6455" w14:textId="77777777" w:rsidR="009D0006" w:rsidRPr="00697EC4" w:rsidRDefault="009D0006" w:rsidP="00184CF2">
      <w:pPr>
        <w:spacing w:before="360"/>
      </w:pPr>
      <w:r w:rsidRPr="00697EC4">
        <w:t xml:space="preserve">As </w:t>
      </w:r>
      <w:r>
        <w:t xml:space="preserve">shown in Tables 71.1-71.6, a higher proportion of young people with disability in </w:t>
      </w:r>
      <w:r>
        <w:rPr>
          <w:i/>
          <w:iCs/>
        </w:rPr>
        <w:t>Writing Themselves In 4</w:t>
      </w:r>
      <w:r>
        <w:t xml:space="preserve"> who had experienced verbal, physical or sexual harassment or assault in the past 12 months reported experiencing suicidal ideation in the past 12 months comp</w:t>
      </w:r>
      <w:r>
        <w:lastRenderedPageBreak/>
        <w:t>ared to those who had not experienced these forms of harassment in the past 12 months. Specifically, a greater proportion of participants who had experienced verbal harassment had experienced suicidal ideation in the past 12 months (77.3%; n = 900) compared to participants who had not experienced verbal harassment (63.9%; n = 794). Participants who had experienced physical harassment had a higher proportion who had reported suicidal ideation in the past 12 months (83.3%; n = 222) compared to those who had not (68.7%; n = 1289). Likewise, participants who had experienced sexual assault had a greater proportion who reported suicidal ideation in the past 12 months (76.5%; n = 504) compared to those who had not (58.4%; n = 1063).</w:t>
      </w:r>
    </w:p>
    <w:p w14:paraId="10D8E8D9" w14:textId="0BB9C7CD" w:rsidR="009D0006" w:rsidRPr="00F120CF" w:rsidRDefault="009D0006" w:rsidP="006346CA">
      <w:pPr>
        <w:pStyle w:val="Heading3Numbered"/>
      </w:pPr>
      <w:bookmarkStart w:id="686" w:name="_Toc115968599"/>
      <w:r>
        <w:t>Suicidal ideation</w:t>
      </w:r>
      <w:r w:rsidRPr="009761D5">
        <w:t xml:space="preserve"> </w:t>
      </w:r>
      <w:r>
        <w:t>according to</w:t>
      </w:r>
      <w:r w:rsidRPr="009761D5">
        <w:t xml:space="preserve"> experiences of harassment and assault</w:t>
      </w:r>
      <w:r>
        <w:t xml:space="preserve"> among</w:t>
      </w:r>
      <w:r w:rsidRPr="009761D5">
        <w:t xml:space="preserve"> </w:t>
      </w:r>
      <w:r>
        <w:t>adults</w:t>
      </w:r>
      <w:r w:rsidRPr="009761D5">
        <w:t xml:space="preserve"> aged </w:t>
      </w:r>
      <w:r>
        <w:t>18+</w:t>
      </w:r>
      <w:r w:rsidRPr="009761D5">
        <w:t xml:space="preserve"> years</w:t>
      </w:r>
      <w:bookmarkEnd w:id="686"/>
    </w:p>
    <w:p w14:paraId="6C6989BF" w14:textId="1C29CBDA" w:rsidR="009D0006" w:rsidRDefault="009D0006" w:rsidP="00AC5F0A">
      <w:pPr>
        <w:pStyle w:val="Tableheading"/>
      </w:pPr>
      <w:bookmarkStart w:id="687" w:name="_Toc117062790"/>
      <w:bookmarkStart w:id="688" w:name="_Toc119651475"/>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72</w:t>
      </w:r>
      <w:r w:rsidRPr="00985828">
        <w:rPr>
          <w:bCs/>
          <w:sz w:val="18"/>
          <w:szCs w:val="18"/>
        </w:rPr>
        <w:fldChar w:fldCharType="end"/>
      </w:r>
      <w:r>
        <w:t>.1-72.6: Suicidal ideation</w:t>
      </w:r>
      <w:r w:rsidRPr="00CA5F45">
        <w:t xml:space="preserve"> </w:t>
      </w:r>
      <w:r>
        <w:t>in the past 12 months according to</w:t>
      </w:r>
      <w:r w:rsidRPr="00CA5F45">
        <w:t xml:space="preserve"> </w:t>
      </w:r>
      <w:r>
        <w:t>experiences of harassment or abuse among adults with disability aged 18+ years</w:t>
      </w:r>
      <w:bookmarkEnd w:id="687"/>
      <w:bookmarkEnd w:id="688"/>
    </w:p>
    <w:p w14:paraId="27D65814" w14:textId="77777777" w:rsidR="009D0006" w:rsidRDefault="009D0006" w:rsidP="00AC5F0A">
      <w:pPr>
        <w:pStyle w:val="Tableheading"/>
      </w:pPr>
      <w:r>
        <w:t>Table 72.1 No 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C48B06E"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4FDBC1F" w14:textId="77777777" w:rsidR="009D0006" w:rsidRPr="003F4D73" w:rsidRDefault="009D0006" w:rsidP="00AC5F0A">
            <w:pPr>
              <w:pStyle w:val="Tableheader"/>
            </w:pPr>
          </w:p>
        </w:tc>
        <w:tc>
          <w:tcPr>
            <w:tcW w:w="1559" w:type="dxa"/>
            <w:noWrap/>
            <w:hideMark/>
          </w:tcPr>
          <w:p w14:paraId="7526EEB0" w14:textId="77777777" w:rsidR="009D0006" w:rsidRPr="003F4D73" w:rsidRDefault="009D0006" w:rsidP="00AC5F0A">
            <w:pPr>
              <w:pStyle w:val="Tableheader"/>
            </w:pPr>
            <w:r>
              <w:t>n</w:t>
            </w:r>
          </w:p>
        </w:tc>
        <w:tc>
          <w:tcPr>
            <w:tcW w:w="1559" w:type="dxa"/>
            <w:noWrap/>
            <w:hideMark/>
          </w:tcPr>
          <w:p w14:paraId="719FD8AF" w14:textId="77777777" w:rsidR="009D0006" w:rsidRPr="003F4D73" w:rsidRDefault="009D0006" w:rsidP="00AC5F0A">
            <w:pPr>
              <w:pStyle w:val="Tableheader"/>
            </w:pPr>
            <w:r w:rsidRPr="003F4D73">
              <w:t>%</w:t>
            </w:r>
          </w:p>
        </w:tc>
      </w:tr>
      <w:tr w:rsidR="009D0006" w:rsidRPr="003F4D73" w14:paraId="4791AECC"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BA5335F" w14:textId="77777777" w:rsidR="009D0006" w:rsidRPr="003F4D73" w:rsidRDefault="009D0006" w:rsidP="00AC5F0A">
            <w:pPr>
              <w:pStyle w:val="Tabletext"/>
              <w:rPr>
                <w:color w:val="0D0D0D"/>
              </w:rPr>
            </w:pPr>
            <w:r>
              <w:rPr>
                <w:lang w:val="en-US"/>
              </w:rPr>
              <w:t>Suicidal ideation in past 12 months</w:t>
            </w:r>
          </w:p>
        </w:tc>
        <w:tc>
          <w:tcPr>
            <w:tcW w:w="1559" w:type="dxa"/>
            <w:noWrap/>
          </w:tcPr>
          <w:p w14:paraId="7BB07AF5" w14:textId="77777777" w:rsidR="009D0006" w:rsidRPr="003F4D73" w:rsidRDefault="009D0006" w:rsidP="00AC5F0A">
            <w:pPr>
              <w:pStyle w:val="Tabletext"/>
              <w:rPr>
                <w:color w:val="0D0D0D"/>
              </w:rPr>
            </w:pPr>
            <w:r>
              <w:t>600</w:t>
            </w:r>
          </w:p>
        </w:tc>
        <w:tc>
          <w:tcPr>
            <w:tcW w:w="1559" w:type="dxa"/>
            <w:noWrap/>
          </w:tcPr>
          <w:p w14:paraId="3C69F2BA" w14:textId="77777777" w:rsidR="009D0006" w:rsidRPr="003F4D73" w:rsidRDefault="009D0006" w:rsidP="00AC5F0A">
            <w:pPr>
              <w:pStyle w:val="Tabletext"/>
              <w:rPr>
                <w:color w:val="0D0D0D"/>
              </w:rPr>
            </w:pPr>
            <w:r>
              <w:t>51.9</w:t>
            </w:r>
          </w:p>
        </w:tc>
      </w:tr>
    </w:tbl>
    <w:p w14:paraId="3AEBB129" w14:textId="77777777" w:rsidR="009D0006" w:rsidRDefault="009D0006" w:rsidP="00AC5F0A">
      <w:pPr>
        <w:pStyle w:val="Tableheader"/>
      </w:pPr>
      <w:r>
        <w:t>Table 72.2 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A4712FE"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EF83EB1" w14:textId="77777777" w:rsidR="009D0006" w:rsidRPr="003F4D73" w:rsidRDefault="009D0006" w:rsidP="00AC5F0A">
            <w:pPr>
              <w:pStyle w:val="Tableheader"/>
            </w:pPr>
          </w:p>
        </w:tc>
        <w:tc>
          <w:tcPr>
            <w:tcW w:w="1559" w:type="dxa"/>
            <w:hideMark/>
          </w:tcPr>
          <w:p w14:paraId="148A1379" w14:textId="77777777" w:rsidR="009D0006" w:rsidRPr="003F4D73" w:rsidRDefault="009D0006" w:rsidP="00AC5F0A">
            <w:pPr>
              <w:pStyle w:val="Tableheader"/>
            </w:pPr>
            <w:r>
              <w:t>n</w:t>
            </w:r>
          </w:p>
        </w:tc>
        <w:tc>
          <w:tcPr>
            <w:tcW w:w="1559" w:type="dxa"/>
            <w:hideMark/>
          </w:tcPr>
          <w:p w14:paraId="1019D683" w14:textId="77777777" w:rsidR="009D0006" w:rsidRPr="003F4D73" w:rsidRDefault="009D0006" w:rsidP="00AC5F0A">
            <w:pPr>
              <w:pStyle w:val="Tableheader"/>
            </w:pPr>
            <w:r w:rsidRPr="003F4D73">
              <w:t>%</w:t>
            </w:r>
          </w:p>
        </w:tc>
      </w:tr>
      <w:tr w:rsidR="009D0006" w:rsidRPr="003F4D73" w14:paraId="5905DF35"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3B064FB" w14:textId="77777777" w:rsidR="009D0006" w:rsidRPr="003F4D73" w:rsidRDefault="009D0006" w:rsidP="00AC5F0A">
            <w:pPr>
              <w:pStyle w:val="Tabletext"/>
              <w:rPr>
                <w:color w:val="0D0D0D"/>
              </w:rPr>
            </w:pPr>
            <w:r>
              <w:rPr>
                <w:lang w:val="en-US"/>
              </w:rPr>
              <w:t>Suicidal ideation in past 12 months</w:t>
            </w:r>
          </w:p>
        </w:tc>
        <w:tc>
          <w:tcPr>
            <w:tcW w:w="1559" w:type="dxa"/>
          </w:tcPr>
          <w:p w14:paraId="411EA855" w14:textId="77777777" w:rsidR="009D0006" w:rsidRPr="003F4D73" w:rsidRDefault="009D0006" w:rsidP="00AC5F0A">
            <w:pPr>
              <w:pStyle w:val="Tabletext"/>
              <w:rPr>
                <w:color w:val="0D0D0D"/>
              </w:rPr>
            </w:pPr>
            <w:r>
              <w:t>813</w:t>
            </w:r>
          </w:p>
        </w:tc>
        <w:tc>
          <w:tcPr>
            <w:tcW w:w="1559" w:type="dxa"/>
          </w:tcPr>
          <w:p w14:paraId="502C92BB" w14:textId="77777777" w:rsidR="009D0006" w:rsidRPr="003F4D73" w:rsidRDefault="009D0006" w:rsidP="00AC5F0A">
            <w:pPr>
              <w:pStyle w:val="Tabletext"/>
              <w:rPr>
                <w:color w:val="0D0D0D"/>
              </w:rPr>
            </w:pPr>
            <w:r>
              <w:t>69.5</w:t>
            </w:r>
          </w:p>
        </w:tc>
      </w:tr>
    </w:tbl>
    <w:p w14:paraId="5150D4D6" w14:textId="77777777" w:rsidR="009D0006" w:rsidRDefault="009D0006" w:rsidP="00AC5F0A">
      <w:pPr>
        <w:pStyle w:val="Tableheading"/>
      </w:pPr>
      <w:r>
        <w:t>Table 72.3 No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9C3EF80"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501F4C1" w14:textId="77777777" w:rsidR="009D0006" w:rsidRPr="003F4D73" w:rsidRDefault="009D0006" w:rsidP="00AC5F0A">
            <w:pPr>
              <w:pStyle w:val="Tableheader"/>
            </w:pPr>
          </w:p>
        </w:tc>
        <w:tc>
          <w:tcPr>
            <w:tcW w:w="1559" w:type="dxa"/>
            <w:noWrap/>
            <w:hideMark/>
          </w:tcPr>
          <w:p w14:paraId="57174FE0" w14:textId="77777777" w:rsidR="009D0006" w:rsidRPr="003F4D73" w:rsidRDefault="009D0006" w:rsidP="00AC5F0A">
            <w:pPr>
              <w:pStyle w:val="Tableheader"/>
            </w:pPr>
            <w:r>
              <w:t>n</w:t>
            </w:r>
          </w:p>
        </w:tc>
        <w:tc>
          <w:tcPr>
            <w:tcW w:w="1559" w:type="dxa"/>
            <w:noWrap/>
            <w:hideMark/>
          </w:tcPr>
          <w:p w14:paraId="34603452" w14:textId="77777777" w:rsidR="009D0006" w:rsidRPr="003F4D73" w:rsidRDefault="009D0006" w:rsidP="00AC5F0A">
            <w:pPr>
              <w:pStyle w:val="Tableheader"/>
            </w:pPr>
            <w:r w:rsidRPr="003F4D73">
              <w:t>%</w:t>
            </w:r>
          </w:p>
        </w:tc>
      </w:tr>
      <w:tr w:rsidR="009D0006" w:rsidRPr="003F4D73" w14:paraId="5EC16B52"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CC7E6CE" w14:textId="77777777" w:rsidR="009D0006" w:rsidRPr="003F4D73" w:rsidRDefault="009D0006" w:rsidP="00AC5F0A">
            <w:pPr>
              <w:pStyle w:val="Tabletext"/>
              <w:rPr>
                <w:color w:val="0D0D0D"/>
              </w:rPr>
            </w:pPr>
            <w:r>
              <w:rPr>
                <w:lang w:val="en-US"/>
              </w:rPr>
              <w:t>Suicidal ideation in past 12 months</w:t>
            </w:r>
          </w:p>
        </w:tc>
        <w:tc>
          <w:tcPr>
            <w:tcW w:w="1559" w:type="dxa"/>
            <w:noWrap/>
          </w:tcPr>
          <w:p w14:paraId="3BEE367E" w14:textId="77777777" w:rsidR="009D0006" w:rsidRPr="003F4D73" w:rsidRDefault="009D0006" w:rsidP="00AC5F0A">
            <w:pPr>
              <w:pStyle w:val="Tabletext"/>
              <w:rPr>
                <w:color w:val="0D0D0D"/>
              </w:rPr>
            </w:pPr>
            <w:r>
              <w:t>736</w:t>
            </w:r>
          </w:p>
        </w:tc>
        <w:tc>
          <w:tcPr>
            <w:tcW w:w="1559" w:type="dxa"/>
            <w:noWrap/>
          </w:tcPr>
          <w:p w14:paraId="3CAD4874" w14:textId="77777777" w:rsidR="009D0006" w:rsidRPr="003F4D73" w:rsidRDefault="009D0006" w:rsidP="00AC5F0A">
            <w:pPr>
              <w:pStyle w:val="Tabletext"/>
              <w:rPr>
                <w:color w:val="0D0D0D"/>
              </w:rPr>
            </w:pPr>
            <w:r>
              <w:t>55.4</w:t>
            </w:r>
          </w:p>
        </w:tc>
      </w:tr>
    </w:tbl>
    <w:p w14:paraId="3D3F192F" w14:textId="77777777" w:rsidR="009D0006" w:rsidRDefault="009D0006" w:rsidP="00AC5F0A">
      <w:pPr>
        <w:pStyle w:val="Tableheading"/>
      </w:pPr>
      <w:r>
        <w:t>Table 72.4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2917536" w14:textId="77777777" w:rsidTr="00AC5F0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8B5E53C" w14:textId="77777777" w:rsidR="009D0006" w:rsidRPr="003F4D73" w:rsidRDefault="009D0006" w:rsidP="00AC5F0A">
            <w:pPr>
              <w:pStyle w:val="Tableheader"/>
            </w:pPr>
          </w:p>
        </w:tc>
        <w:tc>
          <w:tcPr>
            <w:tcW w:w="1559" w:type="dxa"/>
            <w:hideMark/>
          </w:tcPr>
          <w:p w14:paraId="3527FB60" w14:textId="77777777" w:rsidR="009D0006" w:rsidRPr="003F4D73" w:rsidRDefault="009D0006" w:rsidP="00AC5F0A">
            <w:pPr>
              <w:pStyle w:val="Tableheader"/>
            </w:pPr>
            <w:r>
              <w:t>n</w:t>
            </w:r>
          </w:p>
        </w:tc>
        <w:tc>
          <w:tcPr>
            <w:tcW w:w="1559" w:type="dxa"/>
            <w:hideMark/>
          </w:tcPr>
          <w:p w14:paraId="59E35DC7" w14:textId="77777777" w:rsidR="009D0006" w:rsidRPr="003F4D73" w:rsidRDefault="009D0006" w:rsidP="00AC5F0A">
            <w:pPr>
              <w:pStyle w:val="Tableheader"/>
            </w:pPr>
            <w:r w:rsidRPr="003F4D73">
              <w:t>%</w:t>
            </w:r>
          </w:p>
        </w:tc>
      </w:tr>
      <w:tr w:rsidR="009D0006" w:rsidRPr="003F4D73" w14:paraId="2E88ED1F" w14:textId="77777777" w:rsidTr="00AC5F0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14A4AE5" w14:textId="77777777" w:rsidR="009D0006" w:rsidRPr="003F4D73" w:rsidRDefault="009D0006" w:rsidP="00AC5F0A">
            <w:pPr>
              <w:pStyle w:val="Tabletext"/>
              <w:rPr>
                <w:color w:val="0D0D0D"/>
              </w:rPr>
            </w:pPr>
            <w:r>
              <w:rPr>
                <w:lang w:val="en-US"/>
              </w:rPr>
              <w:t>Suicidal ideation in past 12 months</w:t>
            </w:r>
          </w:p>
        </w:tc>
        <w:tc>
          <w:tcPr>
            <w:tcW w:w="1559" w:type="dxa"/>
          </w:tcPr>
          <w:p w14:paraId="3A280876" w14:textId="77777777" w:rsidR="009D0006" w:rsidRPr="003F4D73" w:rsidRDefault="009D0006" w:rsidP="00AC5F0A">
            <w:pPr>
              <w:pStyle w:val="Tabletext"/>
              <w:rPr>
                <w:color w:val="0D0D0D"/>
              </w:rPr>
            </w:pPr>
            <w:r>
              <w:t>670</w:t>
            </w:r>
          </w:p>
        </w:tc>
        <w:tc>
          <w:tcPr>
            <w:tcW w:w="1559" w:type="dxa"/>
          </w:tcPr>
          <w:p w14:paraId="2CD97C79" w14:textId="77777777" w:rsidR="009D0006" w:rsidRPr="003F4D73" w:rsidRDefault="009D0006" w:rsidP="00AC5F0A">
            <w:pPr>
              <w:pStyle w:val="Tabletext"/>
              <w:rPr>
                <w:color w:val="0D0D0D"/>
              </w:rPr>
            </w:pPr>
            <w:r>
              <w:t>68.4</w:t>
            </w:r>
          </w:p>
        </w:tc>
      </w:tr>
    </w:tbl>
    <w:p w14:paraId="55FD9CD2" w14:textId="77777777" w:rsidR="009D0006" w:rsidRDefault="009D0006" w:rsidP="002E002A">
      <w:pPr>
        <w:pStyle w:val="Tableheading"/>
      </w:pPr>
      <w:r>
        <w:t>Table 72.5 No 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E64F22B" w14:textId="77777777" w:rsidTr="002E002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D7606F7" w14:textId="77777777" w:rsidR="009D0006" w:rsidRPr="003F4D73" w:rsidRDefault="009D0006" w:rsidP="002E002A">
            <w:pPr>
              <w:pStyle w:val="Tableheader"/>
            </w:pPr>
          </w:p>
        </w:tc>
        <w:tc>
          <w:tcPr>
            <w:tcW w:w="1559" w:type="dxa"/>
            <w:noWrap/>
            <w:hideMark/>
          </w:tcPr>
          <w:p w14:paraId="33F63A67" w14:textId="77777777" w:rsidR="009D0006" w:rsidRPr="003F4D73" w:rsidRDefault="009D0006" w:rsidP="002E002A">
            <w:pPr>
              <w:pStyle w:val="Tableheader"/>
            </w:pPr>
            <w:r>
              <w:t>n</w:t>
            </w:r>
          </w:p>
        </w:tc>
        <w:tc>
          <w:tcPr>
            <w:tcW w:w="1559" w:type="dxa"/>
            <w:noWrap/>
            <w:hideMark/>
          </w:tcPr>
          <w:p w14:paraId="082B40E3" w14:textId="77777777" w:rsidR="009D0006" w:rsidRPr="003F4D73" w:rsidRDefault="009D0006" w:rsidP="002E002A">
            <w:pPr>
              <w:pStyle w:val="Tableheader"/>
            </w:pPr>
            <w:r w:rsidRPr="003F4D73">
              <w:t>%</w:t>
            </w:r>
          </w:p>
        </w:tc>
      </w:tr>
      <w:tr w:rsidR="009D0006" w:rsidRPr="003F4D73" w14:paraId="6F0A6AEE" w14:textId="77777777" w:rsidTr="002E002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1AB542F" w14:textId="77777777" w:rsidR="009D0006" w:rsidRPr="003F4D73" w:rsidRDefault="009D0006" w:rsidP="002E002A">
            <w:pPr>
              <w:pStyle w:val="Tabletext"/>
              <w:rPr>
                <w:color w:val="0D0D0D"/>
              </w:rPr>
            </w:pPr>
            <w:r>
              <w:rPr>
                <w:lang w:val="en-US"/>
              </w:rPr>
              <w:t>Suicidal ideation in past 12 months</w:t>
            </w:r>
          </w:p>
        </w:tc>
        <w:tc>
          <w:tcPr>
            <w:tcW w:w="1559" w:type="dxa"/>
            <w:noWrap/>
          </w:tcPr>
          <w:p w14:paraId="24C94C98" w14:textId="77777777" w:rsidR="009D0006" w:rsidRPr="003F4D73" w:rsidRDefault="009D0006" w:rsidP="002E002A">
            <w:pPr>
              <w:pStyle w:val="Tabletext"/>
              <w:rPr>
                <w:color w:val="0D0D0D"/>
              </w:rPr>
            </w:pPr>
            <w:r>
              <w:t>896</w:t>
            </w:r>
          </w:p>
        </w:tc>
        <w:tc>
          <w:tcPr>
            <w:tcW w:w="1559" w:type="dxa"/>
            <w:noWrap/>
          </w:tcPr>
          <w:p w14:paraId="598C1B91" w14:textId="77777777" w:rsidR="009D0006" w:rsidRPr="003F4D73" w:rsidRDefault="009D0006" w:rsidP="002E002A">
            <w:pPr>
              <w:pStyle w:val="Tabletext"/>
              <w:rPr>
                <w:color w:val="0D0D0D"/>
              </w:rPr>
            </w:pPr>
            <w:r>
              <w:t>56.2</w:t>
            </w:r>
          </w:p>
        </w:tc>
      </w:tr>
    </w:tbl>
    <w:p w14:paraId="7DB523D1" w14:textId="77777777" w:rsidR="009D0006" w:rsidRDefault="009D0006" w:rsidP="002E002A">
      <w:pPr>
        <w:pStyle w:val="Tableheading"/>
      </w:pPr>
      <w:r>
        <w:t xml:space="preserve">Table 72.6 </w:t>
      </w:r>
      <w:r>
        <w:lastRenderedPageBreak/>
        <w:t>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63E5A009" w14:textId="77777777" w:rsidTr="002E002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92C16C4" w14:textId="77777777" w:rsidR="009D0006" w:rsidRPr="003F4D73" w:rsidRDefault="009D0006" w:rsidP="002E002A">
            <w:pPr>
              <w:pStyle w:val="Tableheader"/>
            </w:pPr>
          </w:p>
        </w:tc>
        <w:tc>
          <w:tcPr>
            <w:tcW w:w="1559" w:type="dxa"/>
            <w:hideMark/>
          </w:tcPr>
          <w:p w14:paraId="1B723133" w14:textId="77777777" w:rsidR="009D0006" w:rsidRPr="003F4D73" w:rsidRDefault="009D0006" w:rsidP="002E002A">
            <w:pPr>
              <w:pStyle w:val="Tableheader"/>
            </w:pPr>
            <w:r>
              <w:t>n</w:t>
            </w:r>
          </w:p>
        </w:tc>
        <w:tc>
          <w:tcPr>
            <w:tcW w:w="1559" w:type="dxa"/>
            <w:hideMark/>
          </w:tcPr>
          <w:p w14:paraId="06D63CC2" w14:textId="77777777" w:rsidR="009D0006" w:rsidRPr="003F4D73" w:rsidRDefault="009D0006" w:rsidP="002E002A">
            <w:pPr>
              <w:pStyle w:val="Tableheader"/>
            </w:pPr>
            <w:r w:rsidRPr="003F4D73">
              <w:t>%</w:t>
            </w:r>
          </w:p>
        </w:tc>
      </w:tr>
      <w:tr w:rsidR="009D0006" w:rsidRPr="003F4D73" w14:paraId="031AAC26" w14:textId="77777777" w:rsidTr="002E002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B3976FF" w14:textId="77777777" w:rsidR="009D0006" w:rsidRPr="003F4D73" w:rsidRDefault="009D0006" w:rsidP="002E002A">
            <w:pPr>
              <w:pStyle w:val="Tabletext"/>
              <w:rPr>
                <w:color w:val="0D0D0D"/>
              </w:rPr>
            </w:pPr>
            <w:r>
              <w:rPr>
                <w:lang w:val="en-US"/>
              </w:rPr>
              <w:t>Suicidal ideation in past 12 months</w:t>
            </w:r>
          </w:p>
        </w:tc>
        <w:tc>
          <w:tcPr>
            <w:tcW w:w="1559" w:type="dxa"/>
          </w:tcPr>
          <w:p w14:paraId="66970CE5" w14:textId="77777777" w:rsidR="009D0006" w:rsidRPr="003F4D73" w:rsidRDefault="009D0006" w:rsidP="002E002A">
            <w:pPr>
              <w:pStyle w:val="Tabletext"/>
              <w:rPr>
                <w:color w:val="0D0D0D"/>
              </w:rPr>
            </w:pPr>
            <w:r>
              <w:t>496</w:t>
            </w:r>
          </w:p>
        </w:tc>
        <w:tc>
          <w:tcPr>
            <w:tcW w:w="1559" w:type="dxa"/>
          </w:tcPr>
          <w:p w14:paraId="4BD69B8F" w14:textId="77777777" w:rsidR="009D0006" w:rsidRPr="003F4D73" w:rsidRDefault="009D0006" w:rsidP="002E002A">
            <w:pPr>
              <w:pStyle w:val="Tabletext"/>
              <w:rPr>
                <w:color w:val="0D0D0D"/>
              </w:rPr>
            </w:pPr>
            <w:r>
              <w:t>70.2</w:t>
            </w:r>
          </w:p>
        </w:tc>
      </w:tr>
    </w:tbl>
    <w:p w14:paraId="1E21F652" w14:textId="77777777" w:rsidR="009D0006" w:rsidRPr="00697EC4" w:rsidRDefault="009D0006" w:rsidP="00184CF2">
      <w:pPr>
        <w:spacing w:before="360"/>
      </w:pPr>
      <w:r>
        <w:t>A</w:t>
      </w:r>
      <w:r w:rsidRPr="00697EC4">
        <w:t xml:space="preserve"> greater proportion of </w:t>
      </w:r>
      <w:r>
        <w:t>adults</w:t>
      </w:r>
      <w:r w:rsidRPr="00697EC4">
        <w:t xml:space="preserve"> with disability in </w:t>
      </w:r>
      <w:r w:rsidRPr="00C47CBF">
        <w:rPr>
          <w:i/>
          <w:iCs/>
        </w:rPr>
        <w:t>Private Lives 3</w:t>
      </w:r>
      <w:r w:rsidRPr="00697EC4">
        <w:t xml:space="preserve"> who had experienced harassment or </w:t>
      </w:r>
      <w:r>
        <w:t>abuse</w:t>
      </w:r>
      <w:r w:rsidRPr="00697EC4">
        <w:t xml:space="preserve"> in the past 12 months reported experiencing suicidal ideation in the past 12 months</w:t>
      </w:r>
      <w:r>
        <w:t xml:space="preserve"> than</w:t>
      </w:r>
      <w:r w:rsidRPr="00697EC4">
        <w:t xml:space="preserve"> those who had not experienced harassment or assault in the past 12 months. </w:t>
      </w:r>
      <w:r>
        <w:t>Specifically, p</w:t>
      </w:r>
      <w:r w:rsidRPr="00697EC4">
        <w:t xml:space="preserve">articipants who experienced social exclusion in the past 12 months </w:t>
      </w:r>
      <w:r>
        <w:t>had</w:t>
      </w:r>
      <w:r w:rsidRPr="00697EC4">
        <w:t xml:space="preserve"> </w:t>
      </w:r>
      <w:r>
        <w:t xml:space="preserve">a </w:t>
      </w:r>
      <w:r w:rsidRPr="00697EC4">
        <w:t xml:space="preserve">higher proportion </w:t>
      </w:r>
      <w:r>
        <w:t xml:space="preserve">who reported </w:t>
      </w:r>
      <w:r w:rsidRPr="00697EC4">
        <w:t xml:space="preserve">suicidal ideation in the past 12 months (69.5%; n = 813) compared to participants who had not experienced </w:t>
      </w:r>
      <w:r>
        <w:t>social exclusion</w:t>
      </w:r>
      <w:r w:rsidRPr="00697EC4">
        <w:t xml:space="preserve"> (51.9%; n = 600). Participants who experienced verbal abuse including hateful or obscene phone calls had a higher proportion who reported suicidal ideation (68.4%; n = 670) compared to those who had not (55.4%; n = 736)</w:t>
      </w:r>
      <w:r>
        <w:t>. Likewise, p</w:t>
      </w:r>
      <w:r w:rsidRPr="00697EC4">
        <w:t>articipants who experienced harassment such as being spat at and offensive gestures had a higher proportion who reported suicidal ideation (70.2%; n = 496) compared to those who had not (56.2%; n = 896).</w:t>
      </w:r>
    </w:p>
    <w:p w14:paraId="17F35E57" w14:textId="7132C6FB" w:rsidR="009D0006" w:rsidRPr="00F120CF" w:rsidRDefault="009D0006" w:rsidP="006346CA">
      <w:pPr>
        <w:pStyle w:val="Heading3Numbered"/>
      </w:pPr>
      <w:bookmarkStart w:id="689" w:name="_Toc115968600"/>
      <w:r>
        <w:t>Suicide attempts according</w:t>
      </w:r>
      <w:r w:rsidRPr="009761D5">
        <w:t xml:space="preserve"> </w:t>
      </w:r>
      <w:r>
        <w:t xml:space="preserve">to </w:t>
      </w:r>
      <w:r w:rsidRPr="009761D5">
        <w:t xml:space="preserve">experiences of harassment </w:t>
      </w:r>
      <w:r>
        <w:t>or</w:t>
      </w:r>
      <w:r w:rsidRPr="009761D5">
        <w:t xml:space="preserve"> assault </w:t>
      </w:r>
      <w:r>
        <w:t>among</w:t>
      </w:r>
      <w:r w:rsidRPr="009761D5">
        <w:t xml:space="preserve"> young people aged 14-21 years</w:t>
      </w:r>
      <w:bookmarkEnd w:id="689"/>
    </w:p>
    <w:p w14:paraId="6E76EC12" w14:textId="1876CADA" w:rsidR="009D0006" w:rsidRDefault="009D0006" w:rsidP="002E002A">
      <w:pPr>
        <w:pStyle w:val="Tableheading"/>
      </w:pPr>
      <w:bookmarkStart w:id="690" w:name="_Toc117062791"/>
      <w:bookmarkStart w:id="691" w:name="_Toc119651476"/>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73</w:t>
      </w:r>
      <w:r w:rsidRPr="00985828">
        <w:rPr>
          <w:bCs/>
          <w:sz w:val="18"/>
          <w:szCs w:val="18"/>
        </w:rPr>
        <w:fldChar w:fldCharType="end"/>
      </w:r>
      <w:r>
        <w:t>.1-73.6: Suicide attempts in the past 12 months according to</w:t>
      </w:r>
      <w:r w:rsidRPr="00CA5F45">
        <w:t xml:space="preserve"> </w:t>
      </w:r>
      <w:r>
        <w:t>experiences of harassment or assault among young people with disability aged 14-21 years</w:t>
      </w:r>
      <w:bookmarkEnd w:id="690"/>
      <w:bookmarkEnd w:id="691"/>
    </w:p>
    <w:p w14:paraId="634B5EC8" w14:textId="77777777" w:rsidR="009D0006" w:rsidRDefault="009D0006" w:rsidP="002E002A">
      <w:pPr>
        <w:pStyle w:val="Tableheading"/>
      </w:pPr>
      <w:r>
        <w:t>Table 73.1 No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3FD98A1" w14:textId="77777777" w:rsidTr="002E002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D7FFC64" w14:textId="77777777" w:rsidR="009D0006" w:rsidRPr="003F4D73" w:rsidRDefault="009D0006" w:rsidP="002E002A">
            <w:pPr>
              <w:pStyle w:val="Tableheader"/>
            </w:pPr>
          </w:p>
        </w:tc>
        <w:tc>
          <w:tcPr>
            <w:tcW w:w="1559" w:type="dxa"/>
            <w:noWrap/>
            <w:hideMark/>
          </w:tcPr>
          <w:p w14:paraId="12026B16" w14:textId="77777777" w:rsidR="009D0006" w:rsidRPr="003F4D73" w:rsidRDefault="009D0006" w:rsidP="002E002A">
            <w:pPr>
              <w:pStyle w:val="Tableheader"/>
            </w:pPr>
            <w:r>
              <w:t>n</w:t>
            </w:r>
          </w:p>
        </w:tc>
        <w:tc>
          <w:tcPr>
            <w:tcW w:w="1559" w:type="dxa"/>
            <w:noWrap/>
            <w:hideMark/>
          </w:tcPr>
          <w:p w14:paraId="01D2EDE8" w14:textId="77777777" w:rsidR="009D0006" w:rsidRPr="003F4D73" w:rsidRDefault="009D0006" w:rsidP="002E002A">
            <w:pPr>
              <w:pStyle w:val="Tableheader"/>
            </w:pPr>
            <w:r w:rsidRPr="003F4D73">
              <w:t>%</w:t>
            </w:r>
          </w:p>
        </w:tc>
      </w:tr>
      <w:tr w:rsidR="009D0006" w:rsidRPr="003F4D73" w14:paraId="173EF444" w14:textId="77777777" w:rsidTr="002E002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2D50693" w14:textId="77777777" w:rsidR="009D0006" w:rsidRPr="003F4D73" w:rsidRDefault="009D0006" w:rsidP="002E002A">
            <w:pPr>
              <w:pStyle w:val="Tabletext"/>
              <w:rPr>
                <w:color w:val="0D0D0D"/>
              </w:rPr>
            </w:pPr>
            <w:r>
              <w:rPr>
                <w:lang w:val="en-US"/>
              </w:rPr>
              <w:t>Suicide attempt in past 12 months</w:t>
            </w:r>
          </w:p>
        </w:tc>
        <w:tc>
          <w:tcPr>
            <w:tcW w:w="1559" w:type="dxa"/>
            <w:noWrap/>
          </w:tcPr>
          <w:p w14:paraId="4169F4B8" w14:textId="77777777" w:rsidR="009D0006" w:rsidRPr="003F4D73" w:rsidRDefault="009D0006" w:rsidP="002E002A">
            <w:pPr>
              <w:pStyle w:val="Tabletext"/>
              <w:rPr>
                <w:color w:val="0D0D0D"/>
              </w:rPr>
            </w:pPr>
            <w:r>
              <w:t>124</w:t>
            </w:r>
          </w:p>
        </w:tc>
        <w:tc>
          <w:tcPr>
            <w:tcW w:w="1559" w:type="dxa"/>
            <w:noWrap/>
          </w:tcPr>
          <w:p w14:paraId="18DDFCFB" w14:textId="77777777" w:rsidR="009D0006" w:rsidRPr="003F4D73" w:rsidRDefault="009D0006" w:rsidP="002E002A">
            <w:pPr>
              <w:pStyle w:val="Tabletext"/>
              <w:rPr>
                <w:color w:val="0D0D0D"/>
              </w:rPr>
            </w:pPr>
            <w:r>
              <w:t>10.1</w:t>
            </w:r>
          </w:p>
        </w:tc>
      </w:tr>
    </w:tbl>
    <w:p w14:paraId="652D8854" w14:textId="77777777" w:rsidR="009D0006" w:rsidRDefault="009D0006" w:rsidP="002E002A">
      <w:pPr>
        <w:pStyle w:val="Tableheading"/>
      </w:pPr>
      <w:r>
        <w:t>Table 73.2 Verbal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064CACFF" w14:textId="77777777" w:rsidTr="002E002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ED3DE20" w14:textId="77777777" w:rsidR="009D0006" w:rsidRPr="003F4D73" w:rsidRDefault="009D0006" w:rsidP="002E002A">
            <w:pPr>
              <w:pStyle w:val="Tableheader"/>
            </w:pPr>
          </w:p>
        </w:tc>
        <w:tc>
          <w:tcPr>
            <w:tcW w:w="1559" w:type="dxa"/>
            <w:hideMark/>
          </w:tcPr>
          <w:p w14:paraId="40FD42C6" w14:textId="77777777" w:rsidR="009D0006" w:rsidRPr="003F4D73" w:rsidRDefault="009D0006" w:rsidP="002E002A">
            <w:pPr>
              <w:pStyle w:val="Tableheader"/>
            </w:pPr>
            <w:r>
              <w:t>n</w:t>
            </w:r>
          </w:p>
        </w:tc>
        <w:tc>
          <w:tcPr>
            <w:tcW w:w="1559" w:type="dxa"/>
            <w:hideMark/>
          </w:tcPr>
          <w:p w14:paraId="4EF774E7" w14:textId="77777777" w:rsidR="009D0006" w:rsidRPr="003F4D73" w:rsidRDefault="009D0006" w:rsidP="002E002A">
            <w:pPr>
              <w:pStyle w:val="Tableheader"/>
            </w:pPr>
            <w:r w:rsidRPr="003F4D73">
              <w:t>%</w:t>
            </w:r>
          </w:p>
        </w:tc>
      </w:tr>
      <w:tr w:rsidR="009D0006" w:rsidRPr="003F4D73" w14:paraId="154C04F4" w14:textId="77777777" w:rsidTr="002E002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6955567" w14:textId="77777777" w:rsidR="009D0006" w:rsidRPr="003F4D73" w:rsidRDefault="009D0006" w:rsidP="002E002A">
            <w:pPr>
              <w:pStyle w:val="Tabletext"/>
              <w:rPr>
                <w:color w:val="0D0D0D"/>
              </w:rPr>
            </w:pPr>
            <w:r>
              <w:rPr>
                <w:lang w:val="en-US"/>
              </w:rPr>
              <w:t>Suicide attempt in past 12 months</w:t>
            </w:r>
          </w:p>
        </w:tc>
        <w:tc>
          <w:tcPr>
            <w:tcW w:w="1559" w:type="dxa"/>
          </w:tcPr>
          <w:p w14:paraId="69FA350B" w14:textId="77777777" w:rsidR="009D0006" w:rsidRPr="003F4D73" w:rsidRDefault="009D0006" w:rsidP="002E002A">
            <w:pPr>
              <w:pStyle w:val="Tabletext"/>
              <w:rPr>
                <w:color w:val="0D0D0D"/>
              </w:rPr>
            </w:pPr>
            <w:r>
              <w:t>256</w:t>
            </w:r>
          </w:p>
        </w:tc>
        <w:tc>
          <w:tcPr>
            <w:tcW w:w="1559" w:type="dxa"/>
          </w:tcPr>
          <w:p w14:paraId="3ED1E507" w14:textId="77777777" w:rsidR="009D0006" w:rsidRPr="003F4D73" w:rsidRDefault="009D0006" w:rsidP="002E002A">
            <w:pPr>
              <w:pStyle w:val="Tabletext"/>
              <w:rPr>
                <w:color w:val="0D0D0D"/>
              </w:rPr>
            </w:pPr>
            <w:r>
              <w:t>22.1</w:t>
            </w:r>
          </w:p>
        </w:tc>
      </w:tr>
    </w:tbl>
    <w:p w14:paraId="2066BC17" w14:textId="77777777" w:rsidR="009D0006" w:rsidRDefault="009D0006" w:rsidP="002E002A">
      <w:pPr>
        <w:pStyle w:val="Tableheading"/>
      </w:pPr>
      <w:r>
        <w:t>Table 73.3 No 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A5147C0" w14:textId="77777777" w:rsidTr="002E002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04A81B8" w14:textId="77777777" w:rsidR="009D0006" w:rsidRPr="003F4D73" w:rsidRDefault="009D0006" w:rsidP="002E002A">
            <w:pPr>
              <w:pStyle w:val="Tableheader"/>
            </w:pPr>
          </w:p>
        </w:tc>
        <w:tc>
          <w:tcPr>
            <w:tcW w:w="1559" w:type="dxa"/>
            <w:noWrap/>
            <w:hideMark/>
          </w:tcPr>
          <w:p w14:paraId="655F2EA2" w14:textId="77777777" w:rsidR="009D0006" w:rsidRPr="003F4D73" w:rsidRDefault="009D0006" w:rsidP="002E002A">
            <w:pPr>
              <w:pStyle w:val="Tableheader"/>
            </w:pPr>
            <w:r>
              <w:t>n</w:t>
            </w:r>
          </w:p>
        </w:tc>
        <w:tc>
          <w:tcPr>
            <w:tcW w:w="1559" w:type="dxa"/>
            <w:noWrap/>
            <w:hideMark/>
          </w:tcPr>
          <w:p w14:paraId="0F8CDEF0" w14:textId="77777777" w:rsidR="009D0006" w:rsidRPr="003F4D73" w:rsidRDefault="009D0006" w:rsidP="002E002A">
            <w:pPr>
              <w:pStyle w:val="Tableheader"/>
            </w:pPr>
            <w:r w:rsidRPr="003F4D73">
              <w:t>%</w:t>
            </w:r>
          </w:p>
        </w:tc>
      </w:tr>
      <w:tr w:rsidR="009D0006" w:rsidRPr="003F4D73" w14:paraId="29A77294" w14:textId="77777777" w:rsidTr="002E002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B3A4AD3" w14:textId="77777777" w:rsidR="009D0006" w:rsidRPr="003F4D73" w:rsidRDefault="009D0006" w:rsidP="002E002A">
            <w:pPr>
              <w:pStyle w:val="Tabletext"/>
              <w:rPr>
                <w:color w:val="0D0D0D"/>
              </w:rPr>
            </w:pPr>
            <w:r>
              <w:rPr>
                <w:lang w:val="en-US"/>
              </w:rPr>
              <w:t>Suicide attempt in past 12 months</w:t>
            </w:r>
          </w:p>
        </w:tc>
        <w:tc>
          <w:tcPr>
            <w:tcW w:w="1559" w:type="dxa"/>
            <w:noWrap/>
          </w:tcPr>
          <w:p w14:paraId="56552B5C" w14:textId="77777777" w:rsidR="009D0006" w:rsidRPr="003F4D73" w:rsidRDefault="009D0006" w:rsidP="002E002A">
            <w:pPr>
              <w:pStyle w:val="Tabletext"/>
              <w:rPr>
                <w:color w:val="0D0D0D"/>
              </w:rPr>
            </w:pPr>
            <w:r>
              <w:t>235</w:t>
            </w:r>
          </w:p>
        </w:tc>
        <w:tc>
          <w:tcPr>
            <w:tcW w:w="1559" w:type="dxa"/>
            <w:noWrap/>
          </w:tcPr>
          <w:p w14:paraId="1C6D56CB" w14:textId="77777777" w:rsidR="009D0006" w:rsidRPr="003F4D73" w:rsidRDefault="009D0006" w:rsidP="002E002A">
            <w:pPr>
              <w:pStyle w:val="Tabletext"/>
              <w:rPr>
                <w:color w:val="0D0D0D"/>
              </w:rPr>
            </w:pPr>
            <w:r>
              <w:t>12.6</w:t>
            </w:r>
          </w:p>
        </w:tc>
      </w:tr>
    </w:tbl>
    <w:p w14:paraId="17E36086" w14:textId="77777777" w:rsidR="009D0006" w:rsidRDefault="009D0006" w:rsidP="00B81BBA">
      <w:pPr>
        <w:pStyle w:val="Tableheading"/>
      </w:pPr>
      <w:r>
        <w:t xml:space="preserve">Table 73.4 </w:t>
      </w:r>
      <w:r>
        <w:lastRenderedPageBreak/>
        <w:t>Physical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5599B1C"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8FAB678" w14:textId="77777777" w:rsidR="009D0006" w:rsidRPr="003F4D73" w:rsidRDefault="009D0006" w:rsidP="00B81BBA">
            <w:pPr>
              <w:pStyle w:val="Tableheader"/>
            </w:pPr>
          </w:p>
        </w:tc>
        <w:tc>
          <w:tcPr>
            <w:tcW w:w="1559" w:type="dxa"/>
            <w:hideMark/>
          </w:tcPr>
          <w:p w14:paraId="1536DF81" w14:textId="77777777" w:rsidR="009D0006" w:rsidRPr="003F4D73" w:rsidRDefault="009D0006" w:rsidP="00B81BBA">
            <w:pPr>
              <w:pStyle w:val="Tableheader"/>
            </w:pPr>
            <w:r>
              <w:t>n</w:t>
            </w:r>
          </w:p>
        </w:tc>
        <w:tc>
          <w:tcPr>
            <w:tcW w:w="1559" w:type="dxa"/>
            <w:hideMark/>
          </w:tcPr>
          <w:p w14:paraId="75291D65" w14:textId="77777777" w:rsidR="009D0006" w:rsidRPr="003F4D73" w:rsidRDefault="009D0006" w:rsidP="00B81BBA">
            <w:pPr>
              <w:pStyle w:val="Tableheader"/>
            </w:pPr>
            <w:r w:rsidRPr="003F4D73">
              <w:t>%</w:t>
            </w:r>
          </w:p>
        </w:tc>
      </w:tr>
      <w:tr w:rsidR="009D0006" w:rsidRPr="003F4D73" w14:paraId="7062A533"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9A05EE9" w14:textId="77777777" w:rsidR="009D0006" w:rsidRPr="003F4D73" w:rsidRDefault="009D0006" w:rsidP="00B81BBA">
            <w:pPr>
              <w:pStyle w:val="Tabletext"/>
              <w:rPr>
                <w:color w:val="0D0D0D"/>
              </w:rPr>
            </w:pPr>
            <w:r>
              <w:rPr>
                <w:lang w:val="en-US"/>
              </w:rPr>
              <w:t>Suicide attempt in past 12 months</w:t>
            </w:r>
          </w:p>
        </w:tc>
        <w:tc>
          <w:tcPr>
            <w:tcW w:w="1559" w:type="dxa"/>
          </w:tcPr>
          <w:p w14:paraId="3865CD0A" w14:textId="77777777" w:rsidR="009D0006" w:rsidRPr="003F4D73" w:rsidRDefault="009D0006" w:rsidP="00B81BBA">
            <w:pPr>
              <w:pStyle w:val="Tabletext"/>
              <w:rPr>
                <w:color w:val="0D0D0D"/>
              </w:rPr>
            </w:pPr>
            <w:r>
              <w:t>92</w:t>
            </w:r>
          </w:p>
        </w:tc>
        <w:tc>
          <w:tcPr>
            <w:tcW w:w="1559" w:type="dxa"/>
          </w:tcPr>
          <w:p w14:paraId="3477BB8B" w14:textId="77777777" w:rsidR="009D0006" w:rsidRPr="003F4D73" w:rsidRDefault="009D0006" w:rsidP="00B81BBA">
            <w:pPr>
              <w:pStyle w:val="Tabletext"/>
              <w:rPr>
                <w:color w:val="0D0D0D"/>
              </w:rPr>
            </w:pPr>
            <w:r>
              <w:t>34.8</w:t>
            </w:r>
          </w:p>
        </w:tc>
      </w:tr>
    </w:tbl>
    <w:p w14:paraId="13689056" w14:textId="77777777" w:rsidR="009D0006" w:rsidRDefault="009D0006" w:rsidP="00B81BBA">
      <w:pPr>
        <w:pStyle w:val="Tableheading"/>
      </w:pPr>
      <w:r>
        <w:t>Table 73.5 No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4FE48700"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D7601FE" w14:textId="77777777" w:rsidR="009D0006" w:rsidRPr="003F4D73" w:rsidRDefault="009D0006" w:rsidP="00B81BBA">
            <w:pPr>
              <w:pStyle w:val="Tableheader"/>
            </w:pPr>
          </w:p>
        </w:tc>
        <w:tc>
          <w:tcPr>
            <w:tcW w:w="1559" w:type="dxa"/>
            <w:noWrap/>
            <w:hideMark/>
          </w:tcPr>
          <w:p w14:paraId="23374371" w14:textId="77777777" w:rsidR="009D0006" w:rsidRPr="003F4D73" w:rsidRDefault="009D0006" w:rsidP="00B81BBA">
            <w:pPr>
              <w:pStyle w:val="Tableheader"/>
            </w:pPr>
            <w:r>
              <w:t>n</w:t>
            </w:r>
          </w:p>
        </w:tc>
        <w:tc>
          <w:tcPr>
            <w:tcW w:w="1559" w:type="dxa"/>
            <w:noWrap/>
            <w:hideMark/>
          </w:tcPr>
          <w:p w14:paraId="1A231B8C" w14:textId="77777777" w:rsidR="009D0006" w:rsidRPr="003F4D73" w:rsidRDefault="009D0006" w:rsidP="00B81BBA">
            <w:pPr>
              <w:pStyle w:val="Tableheader"/>
            </w:pPr>
            <w:r w:rsidRPr="003F4D73">
              <w:t>%</w:t>
            </w:r>
          </w:p>
        </w:tc>
      </w:tr>
      <w:tr w:rsidR="009D0006" w:rsidRPr="003F4D73" w14:paraId="0518C283"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D1BED3C" w14:textId="77777777" w:rsidR="009D0006" w:rsidRPr="003F4D73" w:rsidRDefault="009D0006" w:rsidP="00B81BBA">
            <w:pPr>
              <w:pStyle w:val="Tabletext"/>
              <w:rPr>
                <w:color w:val="0D0D0D"/>
              </w:rPr>
            </w:pPr>
            <w:r>
              <w:rPr>
                <w:lang w:val="en-US"/>
              </w:rPr>
              <w:t>Suicide attempt in past 12 months</w:t>
            </w:r>
          </w:p>
        </w:tc>
        <w:tc>
          <w:tcPr>
            <w:tcW w:w="1559" w:type="dxa"/>
            <w:noWrap/>
          </w:tcPr>
          <w:p w14:paraId="0368CF4C" w14:textId="77777777" w:rsidR="009D0006" w:rsidRPr="003F4D73" w:rsidRDefault="009D0006" w:rsidP="00B81BBA">
            <w:pPr>
              <w:pStyle w:val="Tabletext"/>
              <w:rPr>
                <w:color w:val="0D0D0D"/>
              </w:rPr>
            </w:pPr>
            <w:r>
              <w:t>183</w:t>
            </w:r>
          </w:p>
        </w:tc>
        <w:tc>
          <w:tcPr>
            <w:tcW w:w="1559" w:type="dxa"/>
            <w:noWrap/>
          </w:tcPr>
          <w:p w14:paraId="66E5486F" w14:textId="77777777" w:rsidR="009D0006" w:rsidRPr="003F4D73" w:rsidRDefault="009D0006" w:rsidP="00B81BBA">
            <w:pPr>
              <w:pStyle w:val="Tabletext"/>
              <w:rPr>
                <w:color w:val="0D0D0D"/>
              </w:rPr>
            </w:pPr>
            <w:r>
              <w:t>11.8</w:t>
            </w:r>
          </w:p>
        </w:tc>
      </w:tr>
    </w:tbl>
    <w:p w14:paraId="21EADC8E" w14:textId="77777777" w:rsidR="009D0006" w:rsidRDefault="009D0006" w:rsidP="00B81BBA">
      <w:pPr>
        <w:pStyle w:val="Tableheading"/>
      </w:pPr>
      <w:r>
        <w:t>Table 73.6 Sexual harassment or assault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60EA0FE"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A1BF992" w14:textId="77777777" w:rsidR="009D0006" w:rsidRPr="003F4D73" w:rsidRDefault="009D0006" w:rsidP="00B81BBA">
            <w:pPr>
              <w:pStyle w:val="Tableheader"/>
            </w:pPr>
          </w:p>
        </w:tc>
        <w:tc>
          <w:tcPr>
            <w:tcW w:w="1559" w:type="dxa"/>
            <w:hideMark/>
          </w:tcPr>
          <w:p w14:paraId="2E42228B" w14:textId="77777777" w:rsidR="009D0006" w:rsidRPr="003F4D73" w:rsidRDefault="009D0006" w:rsidP="00B81BBA">
            <w:pPr>
              <w:pStyle w:val="Tableheader"/>
            </w:pPr>
            <w:r>
              <w:t>n</w:t>
            </w:r>
          </w:p>
        </w:tc>
        <w:tc>
          <w:tcPr>
            <w:tcW w:w="1559" w:type="dxa"/>
            <w:hideMark/>
          </w:tcPr>
          <w:p w14:paraId="3A33F36E" w14:textId="77777777" w:rsidR="009D0006" w:rsidRPr="003F4D73" w:rsidRDefault="009D0006" w:rsidP="00B81BBA">
            <w:pPr>
              <w:pStyle w:val="Tableheader"/>
            </w:pPr>
            <w:r w:rsidRPr="003F4D73">
              <w:t>%</w:t>
            </w:r>
          </w:p>
        </w:tc>
      </w:tr>
      <w:tr w:rsidR="009D0006" w:rsidRPr="003F4D73" w14:paraId="6B34BDA7"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A432EE7" w14:textId="77777777" w:rsidR="009D0006" w:rsidRPr="003F4D73" w:rsidRDefault="009D0006" w:rsidP="00B81BBA">
            <w:pPr>
              <w:pStyle w:val="Tabletext"/>
              <w:rPr>
                <w:color w:val="0D0D0D"/>
              </w:rPr>
            </w:pPr>
            <w:r>
              <w:rPr>
                <w:lang w:val="en-US"/>
              </w:rPr>
              <w:t>Suicide attempt in past 12 months</w:t>
            </w:r>
          </w:p>
        </w:tc>
        <w:tc>
          <w:tcPr>
            <w:tcW w:w="1559" w:type="dxa"/>
          </w:tcPr>
          <w:p w14:paraId="6E6B2CDB" w14:textId="77777777" w:rsidR="009D0006" w:rsidRPr="003F4D73" w:rsidRDefault="009D0006" w:rsidP="00B81BBA">
            <w:pPr>
              <w:pStyle w:val="Tabletext"/>
              <w:rPr>
                <w:color w:val="0D0D0D"/>
              </w:rPr>
            </w:pPr>
            <w:r>
              <w:t>162</w:t>
            </w:r>
          </w:p>
        </w:tc>
        <w:tc>
          <w:tcPr>
            <w:tcW w:w="1559" w:type="dxa"/>
          </w:tcPr>
          <w:p w14:paraId="20A4BEB4" w14:textId="77777777" w:rsidR="009D0006" w:rsidRPr="003F4D73" w:rsidRDefault="009D0006" w:rsidP="00B81BBA">
            <w:pPr>
              <w:pStyle w:val="Tabletext"/>
              <w:rPr>
                <w:color w:val="0D0D0D"/>
              </w:rPr>
            </w:pPr>
            <w:r>
              <w:t>24.7</w:t>
            </w:r>
          </w:p>
        </w:tc>
      </w:tr>
    </w:tbl>
    <w:p w14:paraId="3B807396" w14:textId="77777777" w:rsidR="009D0006" w:rsidRPr="00697EC4" w:rsidRDefault="009D0006" w:rsidP="00184CF2">
      <w:pPr>
        <w:spacing w:before="360"/>
      </w:pPr>
      <w:r w:rsidRPr="006F47D9">
        <w:t xml:space="preserve">As </w:t>
      </w:r>
      <w:r>
        <w:t xml:space="preserve">shown in Tables 73.1-73.6, a higher proportion of young people with disability in </w:t>
      </w:r>
      <w:r>
        <w:rPr>
          <w:i/>
          <w:iCs/>
        </w:rPr>
        <w:t>Writing Themselves In 4</w:t>
      </w:r>
      <w:r>
        <w:t xml:space="preserve"> who had experienced verbal, physical or sexual harassment or assault in the past 12 months had attempted suicide in the same time period compared to participants who had not experienced these forms of harassment. Specifically, a greater proportion of participants who had experienced verbal harassment had attempted suicide in the past 12 months (22.1%; n = 256) compared to participants who had not experienced verbal harassment (10.1%; n = 124). A higher proportion of participants who had experienced physical harassment had attempted suicide in the past 12 months (34.8%; n = 92) compared to those who had not (12.6%; n = 235). Likewise, a higher proportion of participants who had experienced sexual assault had attempted suicide (24.7%; n = 162) compared to those who had not (11.8%; n = 183).</w:t>
      </w:r>
    </w:p>
    <w:p w14:paraId="49DF06E0" w14:textId="44087E46" w:rsidR="009D0006" w:rsidRPr="00F120CF" w:rsidRDefault="009D0006" w:rsidP="006346CA">
      <w:pPr>
        <w:pStyle w:val="Heading3Numbered"/>
      </w:pPr>
      <w:bookmarkStart w:id="692" w:name="_Toc115968601"/>
      <w:r>
        <w:t>Suicide attempts according to</w:t>
      </w:r>
      <w:r w:rsidRPr="009761D5">
        <w:t xml:space="preserve"> experiences of harassment </w:t>
      </w:r>
      <w:r>
        <w:t>or</w:t>
      </w:r>
      <w:r w:rsidRPr="009761D5">
        <w:t xml:space="preserve"> </w:t>
      </w:r>
      <w:r>
        <w:t>abuse</w:t>
      </w:r>
      <w:r w:rsidRPr="009761D5">
        <w:t xml:space="preserve"> </w:t>
      </w:r>
      <w:r>
        <w:t>among</w:t>
      </w:r>
      <w:r w:rsidRPr="009761D5">
        <w:t xml:space="preserve"> </w:t>
      </w:r>
      <w:r>
        <w:t>adults</w:t>
      </w:r>
      <w:r w:rsidRPr="009761D5">
        <w:t xml:space="preserve"> aged </w:t>
      </w:r>
      <w:r>
        <w:t>18+</w:t>
      </w:r>
      <w:r w:rsidRPr="009761D5">
        <w:t xml:space="preserve"> years</w:t>
      </w:r>
      <w:bookmarkEnd w:id="692"/>
    </w:p>
    <w:p w14:paraId="0C17A0DC" w14:textId="799FE02E" w:rsidR="009D0006" w:rsidRDefault="009D0006" w:rsidP="00B81BBA">
      <w:pPr>
        <w:pStyle w:val="Tableheading"/>
      </w:pPr>
      <w:bookmarkStart w:id="693" w:name="_Toc117062792"/>
      <w:bookmarkStart w:id="694" w:name="_Toc119651477"/>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74</w:t>
      </w:r>
      <w:r w:rsidRPr="00985828">
        <w:rPr>
          <w:bCs/>
          <w:sz w:val="18"/>
          <w:szCs w:val="18"/>
        </w:rPr>
        <w:fldChar w:fldCharType="end"/>
      </w:r>
      <w:r>
        <w:t>.1-74.6: Suicide attempts in the past 12 months according to</w:t>
      </w:r>
      <w:r w:rsidRPr="00CA5F45">
        <w:t xml:space="preserve"> </w:t>
      </w:r>
      <w:r>
        <w:t>experiences of harassment or abuse among adults with disability aged 18+ years</w:t>
      </w:r>
      <w:bookmarkEnd w:id="693"/>
      <w:bookmarkEnd w:id="694"/>
    </w:p>
    <w:p w14:paraId="0182D777" w14:textId="77777777" w:rsidR="009D0006" w:rsidRDefault="009D0006" w:rsidP="00B81BBA">
      <w:pPr>
        <w:pStyle w:val="Tableheading"/>
      </w:pPr>
      <w:r>
        <w:t>Table 74.1 No 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58931587"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390A4E8" w14:textId="77777777" w:rsidR="009D0006" w:rsidRPr="003F4D73" w:rsidRDefault="009D0006" w:rsidP="00B81BBA">
            <w:pPr>
              <w:pStyle w:val="Tableheader"/>
            </w:pPr>
          </w:p>
        </w:tc>
        <w:tc>
          <w:tcPr>
            <w:tcW w:w="1559" w:type="dxa"/>
            <w:noWrap/>
            <w:hideMark/>
          </w:tcPr>
          <w:p w14:paraId="2F13265C" w14:textId="77777777" w:rsidR="009D0006" w:rsidRPr="003F4D73" w:rsidRDefault="009D0006" w:rsidP="00B81BBA">
            <w:pPr>
              <w:pStyle w:val="Tableheader"/>
            </w:pPr>
            <w:r>
              <w:t>n</w:t>
            </w:r>
          </w:p>
        </w:tc>
        <w:tc>
          <w:tcPr>
            <w:tcW w:w="1559" w:type="dxa"/>
            <w:noWrap/>
            <w:hideMark/>
          </w:tcPr>
          <w:p w14:paraId="0CB360BE" w14:textId="77777777" w:rsidR="009D0006" w:rsidRPr="003F4D73" w:rsidRDefault="009D0006" w:rsidP="00B81BBA">
            <w:pPr>
              <w:pStyle w:val="Tableheader"/>
            </w:pPr>
            <w:r w:rsidRPr="003F4D73">
              <w:t>%</w:t>
            </w:r>
          </w:p>
        </w:tc>
      </w:tr>
      <w:tr w:rsidR="009D0006" w:rsidRPr="003F4D73" w14:paraId="4041981C"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DADBC97" w14:textId="77777777" w:rsidR="009D0006" w:rsidRPr="003F4D73" w:rsidRDefault="009D0006" w:rsidP="00B81BBA">
            <w:pPr>
              <w:pStyle w:val="Tabletext"/>
              <w:rPr>
                <w:color w:val="0D0D0D"/>
              </w:rPr>
            </w:pPr>
            <w:r>
              <w:rPr>
                <w:lang w:val="en-US"/>
              </w:rPr>
              <w:t>Suicide attempt in past 12 months</w:t>
            </w:r>
          </w:p>
        </w:tc>
        <w:tc>
          <w:tcPr>
            <w:tcW w:w="1559" w:type="dxa"/>
            <w:noWrap/>
          </w:tcPr>
          <w:p w14:paraId="2D28B53D" w14:textId="77777777" w:rsidR="009D0006" w:rsidRPr="003F4D73" w:rsidRDefault="009D0006" w:rsidP="00B81BBA">
            <w:pPr>
              <w:pStyle w:val="Tabletext"/>
              <w:rPr>
                <w:color w:val="0D0D0D"/>
              </w:rPr>
            </w:pPr>
            <w:r>
              <w:t>43</w:t>
            </w:r>
          </w:p>
        </w:tc>
        <w:tc>
          <w:tcPr>
            <w:tcW w:w="1559" w:type="dxa"/>
            <w:noWrap/>
          </w:tcPr>
          <w:p w14:paraId="0DBDAA79" w14:textId="77777777" w:rsidR="009D0006" w:rsidRPr="003F4D73" w:rsidRDefault="009D0006" w:rsidP="00B81BBA">
            <w:pPr>
              <w:pStyle w:val="Tabletext"/>
              <w:rPr>
                <w:color w:val="0D0D0D"/>
              </w:rPr>
            </w:pPr>
            <w:r>
              <w:t>4.4</w:t>
            </w:r>
          </w:p>
        </w:tc>
      </w:tr>
    </w:tbl>
    <w:p w14:paraId="2F752DD5" w14:textId="77777777" w:rsidR="009D0006" w:rsidRDefault="009D0006" w:rsidP="00B81BBA">
      <w:pPr>
        <w:pStyle w:val="Tableheading"/>
      </w:pPr>
      <w:r>
        <w:t xml:space="preserve">Table 74.2 </w:t>
      </w:r>
      <w:r>
        <w:lastRenderedPageBreak/>
        <w:t>Social exclusion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D5504ED"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D6C1F0B" w14:textId="77777777" w:rsidR="009D0006" w:rsidRPr="003F4D73" w:rsidRDefault="009D0006" w:rsidP="00B81BBA">
            <w:pPr>
              <w:pStyle w:val="Tableheader"/>
            </w:pPr>
          </w:p>
        </w:tc>
        <w:tc>
          <w:tcPr>
            <w:tcW w:w="1559" w:type="dxa"/>
            <w:hideMark/>
          </w:tcPr>
          <w:p w14:paraId="77EFBA97" w14:textId="77777777" w:rsidR="009D0006" w:rsidRPr="003F4D73" w:rsidRDefault="009D0006" w:rsidP="00B81BBA">
            <w:pPr>
              <w:pStyle w:val="Tableheader"/>
            </w:pPr>
            <w:r>
              <w:t>n</w:t>
            </w:r>
          </w:p>
        </w:tc>
        <w:tc>
          <w:tcPr>
            <w:tcW w:w="1559" w:type="dxa"/>
            <w:hideMark/>
          </w:tcPr>
          <w:p w14:paraId="42D62BA4" w14:textId="77777777" w:rsidR="009D0006" w:rsidRPr="003F4D73" w:rsidRDefault="009D0006" w:rsidP="00B81BBA">
            <w:pPr>
              <w:pStyle w:val="Tableheader"/>
            </w:pPr>
            <w:r w:rsidRPr="003F4D73">
              <w:t>%</w:t>
            </w:r>
          </w:p>
        </w:tc>
      </w:tr>
      <w:tr w:rsidR="009D0006" w:rsidRPr="003F4D73" w14:paraId="0ECE5E28"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1AAC37A" w14:textId="77777777" w:rsidR="009D0006" w:rsidRPr="003F4D73" w:rsidRDefault="009D0006" w:rsidP="00B81BBA">
            <w:pPr>
              <w:pStyle w:val="Tabletext"/>
              <w:rPr>
                <w:color w:val="0D0D0D"/>
              </w:rPr>
            </w:pPr>
            <w:r>
              <w:rPr>
                <w:lang w:val="en-US"/>
              </w:rPr>
              <w:t>Suicide attempt in past 12 months</w:t>
            </w:r>
          </w:p>
        </w:tc>
        <w:tc>
          <w:tcPr>
            <w:tcW w:w="1559" w:type="dxa"/>
          </w:tcPr>
          <w:p w14:paraId="7F19EED1" w14:textId="77777777" w:rsidR="009D0006" w:rsidRPr="003F4D73" w:rsidRDefault="009D0006" w:rsidP="00B81BBA">
            <w:pPr>
              <w:pStyle w:val="Tabletext"/>
              <w:rPr>
                <w:color w:val="0D0D0D"/>
              </w:rPr>
            </w:pPr>
            <w:r>
              <w:t>124</w:t>
            </w:r>
          </w:p>
        </w:tc>
        <w:tc>
          <w:tcPr>
            <w:tcW w:w="1559" w:type="dxa"/>
          </w:tcPr>
          <w:p w14:paraId="20EBBD6A" w14:textId="77777777" w:rsidR="009D0006" w:rsidRPr="003F4D73" w:rsidRDefault="009D0006" w:rsidP="00B81BBA">
            <w:pPr>
              <w:pStyle w:val="Tabletext"/>
              <w:rPr>
                <w:color w:val="0D0D0D"/>
              </w:rPr>
            </w:pPr>
            <w:r>
              <w:t>12.5</w:t>
            </w:r>
          </w:p>
        </w:tc>
      </w:tr>
    </w:tbl>
    <w:p w14:paraId="1DFEE56C" w14:textId="77777777" w:rsidR="009D0006" w:rsidRPr="00C47CBF" w:rsidRDefault="009D0006" w:rsidP="00B81BBA">
      <w:pPr>
        <w:pStyle w:val="Tableheading"/>
      </w:pPr>
      <w:r>
        <w:t>Table 74.3 No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A020D61"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6B41F3F" w14:textId="77777777" w:rsidR="009D0006" w:rsidRPr="003F4D73" w:rsidRDefault="009D0006" w:rsidP="00B81BBA">
            <w:pPr>
              <w:pStyle w:val="Tableheader"/>
            </w:pPr>
          </w:p>
        </w:tc>
        <w:tc>
          <w:tcPr>
            <w:tcW w:w="1559" w:type="dxa"/>
            <w:noWrap/>
            <w:hideMark/>
          </w:tcPr>
          <w:p w14:paraId="571FAADF" w14:textId="77777777" w:rsidR="009D0006" w:rsidRPr="003F4D73" w:rsidRDefault="009D0006" w:rsidP="00B81BBA">
            <w:pPr>
              <w:pStyle w:val="Tableheader"/>
            </w:pPr>
            <w:r>
              <w:t>n</w:t>
            </w:r>
          </w:p>
        </w:tc>
        <w:tc>
          <w:tcPr>
            <w:tcW w:w="1559" w:type="dxa"/>
            <w:noWrap/>
            <w:hideMark/>
          </w:tcPr>
          <w:p w14:paraId="74EB17EE" w14:textId="77777777" w:rsidR="009D0006" w:rsidRPr="003F4D73" w:rsidRDefault="009D0006" w:rsidP="00B81BBA">
            <w:pPr>
              <w:pStyle w:val="Tableheader"/>
            </w:pPr>
            <w:r w:rsidRPr="003F4D73">
              <w:t>%</w:t>
            </w:r>
          </w:p>
        </w:tc>
      </w:tr>
      <w:tr w:rsidR="009D0006" w:rsidRPr="003F4D73" w14:paraId="261805CB"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BC82F42" w14:textId="77777777" w:rsidR="009D0006" w:rsidRPr="003F4D73" w:rsidRDefault="009D0006" w:rsidP="00B81BBA">
            <w:pPr>
              <w:pStyle w:val="Tabletext"/>
              <w:rPr>
                <w:color w:val="0D0D0D"/>
              </w:rPr>
            </w:pPr>
            <w:r>
              <w:rPr>
                <w:lang w:val="en-US"/>
              </w:rPr>
              <w:t>Suicide attempt in past 12 months</w:t>
            </w:r>
          </w:p>
        </w:tc>
        <w:tc>
          <w:tcPr>
            <w:tcW w:w="1559" w:type="dxa"/>
            <w:noWrap/>
          </w:tcPr>
          <w:p w14:paraId="09C9DBE9" w14:textId="77777777" w:rsidR="009D0006" w:rsidRPr="003F4D73" w:rsidRDefault="009D0006" w:rsidP="00B81BBA">
            <w:pPr>
              <w:pStyle w:val="Tabletext"/>
              <w:rPr>
                <w:color w:val="0D0D0D"/>
              </w:rPr>
            </w:pPr>
            <w:r>
              <w:t>60</w:t>
            </w:r>
          </w:p>
        </w:tc>
        <w:tc>
          <w:tcPr>
            <w:tcW w:w="1559" w:type="dxa"/>
            <w:noWrap/>
          </w:tcPr>
          <w:p w14:paraId="20062076" w14:textId="77777777" w:rsidR="009D0006" w:rsidRPr="003F4D73" w:rsidRDefault="009D0006" w:rsidP="00B81BBA">
            <w:pPr>
              <w:pStyle w:val="Tabletext"/>
              <w:rPr>
                <w:color w:val="0D0D0D"/>
              </w:rPr>
            </w:pPr>
            <w:r>
              <w:t>5.3</w:t>
            </w:r>
          </w:p>
        </w:tc>
      </w:tr>
    </w:tbl>
    <w:p w14:paraId="02A2F5B2" w14:textId="77777777" w:rsidR="009D0006" w:rsidRDefault="009D0006" w:rsidP="00B81BBA">
      <w:pPr>
        <w:pStyle w:val="Tableheading"/>
      </w:pPr>
      <w:r>
        <w:t>Table 74.4 Verbal abuse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38F13E78"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0B862F0" w14:textId="77777777" w:rsidR="009D0006" w:rsidRPr="003F4D73" w:rsidRDefault="009D0006" w:rsidP="00B81BBA">
            <w:pPr>
              <w:pStyle w:val="Tableheader"/>
            </w:pPr>
          </w:p>
        </w:tc>
        <w:tc>
          <w:tcPr>
            <w:tcW w:w="1559" w:type="dxa"/>
            <w:hideMark/>
          </w:tcPr>
          <w:p w14:paraId="7CB870A5" w14:textId="77777777" w:rsidR="009D0006" w:rsidRPr="003F4D73" w:rsidRDefault="009D0006" w:rsidP="00B81BBA">
            <w:pPr>
              <w:pStyle w:val="Tableheader"/>
            </w:pPr>
            <w:r>
              <w:t>n</w:t>
            </w:r>
          </w:p>
        </w:tc>
        <w:tc>
          <w:tcPr>
            <w:tcW w:w="1559" w:type="dxa"/>
            <w:hideMark/>
          </w:tcPr>
          <w:p w14:paraId="4AC66A85" w14:textId="77777777" w:rsidR="009D0006" w:rsidRPr="003F4D73" w:rsidRDefault="009D0006" w:rsidP="00B81BBA">
            <w:pPr>
              <w:pStyle w:val="Tableheader"/>
            </w:pPr>
            <w:r w:rsidRPr="003F4D73">
              <w:t>%</w:t>
            </w:r>
          </w:p>
        </w:tc>
      </w:tr>
      <w:tr w:rsidR="009D0006" w:rsidRPr="003F4D73" w14:paraId="4124B3CA"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9F64661" w14:textId="77777777" w:rsidR="009D0006" w:rsidRPr="003F4D73" w:rsidRDefault="009D0006" w:rsidP="00B81BBA">
            <w:pPr>
              <w:pStyle w:val="Tabletext"/>
              <w:rPr>
                <w:color w:val="0D0D0D"/>
              </w:rPr>
            </w:pPr>
            <w:r>
              <w:rPr>
                <w:lang w:val="en-US"/>
              </w:rPr>
              <w:t>Suicide attempt in past 12 months</w:t>
            </w:r>
          </w:p>
        </w:tc>
        <w:tc>
          <w:tcPr>
            <w:tcW w:w="1559" w:type="dxa"/>
          </w:tcPr>
          <w:p w14:paraId="17F6C757" w14:textId="77777777" w:rsidR="009D0006" w:rsidRPr="003F4D73" w:rsidRDefault="009D0006" w:rsidP="00B81BBA">
            <w:pPr>
              <w:pStyle w:val="Tabletext"/>
              <w:rPr>
                <w:color w:val="0D0D0D"/>
              </w:rPr>
            </w:pPr>
            <w:r>
              <w:t>103</w:t>
            </w:r>
          </w:p>
        </w:tc>
        <w:tc>
          <w:tcPr>
            <w:tcW w:w="1559" w:type="dxa"/>
          </w:tcPr>
          <w:p w14:paraId="714A0EBF" w14:textId="77777777" w:rsidR="009D0006" w:rsidRPr="003F4D73" w:rsidRDefault="009D0006" w:rsidP="00B81BBA">
            <w:pPr>
              <w:pStyle w:val="Tabletext"/>
              <w:rPr>
                <w:color w:val="0D0D0D"/>
              </w:rPr>
            </w:pPr>
            <w:r>
              <w:t>12.7</w:t>
            </w:r>
          </w:p>
        </w:tc>
      </w:tr>
    </w:tbl>
    <w:p w14:paraId="381236B5" w14:textId="77777777" w:rsidR="009D0006" w:rsidRDefault="009D0006" w:rsidP="00B81BBA">
      <w:pPr>
        <w:pStyle w:val="Tableheading"/>
      </w:pPr>
      <w:r>
        <w:t>Table 74.5 No 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225F876A"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DC98DEE" w14:textId="77777777" w:rsidR="009D0006" w:rsidRPr="003F4D73" w:rsidRDefault="009D0006" w:rsidP="00B81BBA">
            <w:pPr>
              <w:pStyle w:val="Tableheader"/>
            </w:pPr>
          </w:p>
        </w:tc>
        <w:tc>
          <w:tcPr>
            <w:tcW w:w="1559" w:type="dxa"/>
            <w:noWrap/>
            <w:hideMark/>
          </w:tcPr>
          <w:p w14:paraId="2856A493" w14:textId="77777777" w:rsidR="009D0006" w:rsidRPr="003F4D73" w:rsidRDefault="009D0006" w:rsidP="00B81BBA">
            <w:pPr>
              <w:pStyle w:val="Tableheader"/>
            </w:pPr>
            <w:r>
              <w:t>n</w:t>
            </w:r>
          </w:p>
        </w:tc>
        <w:tc>
          <w:tcPr>
            <w:tcW w:w="1559" w:type="dxa"/>
            <w:noWrap/>
            <w:hideMark/>
          </w:tcPr>
          <w:p w14:paraId="1EF46F53" w14:textId="77777777" w:rsidR="009D0006" w:rsidRPr="003F4D73" w:rsidRDefault="009D0006" w:rsidP="00B81BBA">
            <w:pPr>
              <w:pStyle w:val="Tableheader"/>
            </w:pPr>
            <w:r w:rsidRPr="003F4D73">
              <w:t>%</w:t>
            </w:r>
          </w:p>
        </w:tc>
      </w:tr>
      <w:tr w:rsidR="009D0006" w:rsidRPr="003F4D73" w14:paraId="225B61CC"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5DAB331" w14:textId="77777777" w:rsidR="009D0006" w:rsidRPr="003F4D73" w:rsidRDefault="009D0006" w:rsidP="00B81BBA">
            <w:pPr>
              <w:pStyle w:val="Tabletext"/>
              <w:rPr>
                <w:color w:val="0D0D0D"/>
              </w:rPr>
            </w:pPr>
            <w:r>
              <w:rPr>
                <w:lang w:val="en-US"/>
              </w:rPr>
              <w:t>Suicide attempt in past 12 months</w:t>
            </w:r>
          </w:p>
        </w:tc>
        <w:tc>
          <w:tcPr>
            <w:tcW w:w="1559" w:type="dxa"/>
            <w:noWrap/>
          </w:tcPr>
          <w:p w14:paraId="721935CA" w14:textId="77777777" w:rsidR="009D0006" w:rsidRPr="003F4D73" w:rsidRDefault="009D0006" w:rsidP="00B81BBA">
            <w:pPr>
              <w:pStyle w:val="Tabletext"/>
              <w:rPr>
                <w:color w:val="0D0D0D"/>
              </w:rPr>
            </w:pPr>
            <w:r>
              <w:t>86</w:t>
            </w:r>
          </w:p>
        </w:tc>
        <w:tc>
          <w:tcPr>
            <w:tcW w:w="1559" w:type="dxa"/>
            <w:noWrap/>
          </w:tcPr>
          <w:p w14:paraId="4C31822A" w14:textId="77777777" w:rsidR="009D0006" w:rsidRPr="003F4D73" w:rsidRDefault="009D0006" w:rsidP="00B81BBA">
            <w:pPr>
              <w:pStyle w:val="Tabletext"/>
              <w:rPr>
                <w:color w:val="0D0D0D"/>
              </w:rPr>
            </w:pPr>
            <w:r>
              <w:t>6.4</w:t>
            </w:r>
          </w:p>
        </w:tc>
      </w:tr>
    </w:tbl>
    <w:p w14:paraId="26C38F1A" w14:textId="77777777" w:rsidR="009D0006" w:rsidRDefault="009D0006" w:rsidP="00B81BBA">
      <w:pPr>
        <w:pStyle w:val="Tableheading"/>
      </w:pPr>
      <w:r>
        <w:t>Table 74.6 Harassment past 12 months</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028C3C7"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7559091" w14:textId="77777777" w:rsidR="009D0006" w:rsidRPr="003F4D73" w:rsidRDefault="009D0006" w:rsidP="00B81BBA">
            <w:pPr>
              <w:pStyle w:val="Tableheader"/>
            </w:pPr>
          </w:p>
        </w:tc>
        <w:tc>
          <w:tcPr>
            <w:tcW w:w="1559" w:type="dxa"/>
            <w:hideMark/>
          </w:tcPr>
          <w:p w14:paraId="6897E663" w14:textId="77777777" w:rsidR="009D0006" w:rsidRPr="003F4D73" w:rsidRDefault="009D0006" w:rsidP="00B81BBA">
            <w:pPr>
              <w:pStyle w:val="Tableheader"/>
            </w:pPr>
            <w:r>
              <w:t>n</w:t>
            </w:r>
          </w:p>
        </w:tc>
        <w:tc>
          <w:tcPr>
            <w:tcW w:w="1559" w:type="dxa"/>
            <w:hideMark/>
          </w:tcPr>
          <w:p w14:paraId="266E4A65" w14:textId="77777777" w:rsidR="009D0006" w:rsidRPr="003F4D73" w:rsidRDefault="009D0006" w:rsidP="00B81BBA">
            <w:pPr>
              <w:pStyle w:val="Tableheader"/>
            </w:pPr>
            <w:r w:rsidRPr="003F4D73">
              <w:t>%</w:t>
            </w:r>
          </w:p>
        </w:tc>
      </w:tr>
      <w:tr w:rsidR="009D0006" w:rsidRPr="003F4D73" w14:paraId="2834C6E4"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6EBA73F" w14:textId="77777777" w:rsidR="009D0006" w:rsidRPr="003F4D73" w:rsidRDefault="009D0006" w:rsidP="00B81BBA">
            <w:pPr>
              <w:pStyle w:val="Tabletext"/>
              <w:rPr>
                <w:color w:val="0D0D0D"/>
              </w:rPr>
            </w:pPr>
            <w:r>
              <w:rPr>
                <w:lang w:val="en-US"/>
              </w:rPr>
              <w:t>Suicide attempt in past 12 months</w:t>
            </w:r>
          </w:p>
        </w:tc>
        <w:tc>
          <w:tcPr>
            <w:tcW w:w="1559" w:type="dxa"/>
          </w:tcPr>
          <w:p w14:paraId="797C02C3" w14:textId="77777777" w:rsidR="009D0006" w:rsidRPr="003F4D73" w:rsidRDefault="009D0006" w:rsidP="00B81BBA">
            <w:pPr>
              <w:pStyle w:val="Tabletext"/>
              <w:rPr>
                <w:color w:val="0D0D0D"/>
              </w:rPr>
            </w:pPr>
            <w:r>
              <w:t>78</w:t>
            </w:r>
          </w:p>
        </w:tc>
        <w:tc>
          <w:tcPr>
            <w:tcW w:w="1559" w:type="dxa"/>
          </w:tcPr>
          <w:p w14:paraId="2582DBBE" w14:textId="77777777" w:rsidR="009D0006" w:rsidRPr="003F4D73" w:rsidRDefault="009D0006" w:rsidP="00B81BBA">
            <w:pPr>
              <w:pStyle w:val="Tabletext"/>
              <w:rPr>
                <w:color w:val="0D0D0D"/>
              </w:rPr>
            </w:pPr>
            <w:r>
              <w:t>12.9</w:t>
            </w:r>
          </w:p>
        </w:tc>
      </w:tr>
    </w:tbl>
    <w:p w14:paraId="33F823C1" w14:textId="77777777" w:rsidR="009D0006" w:rsidRPr="00B81BBA" w:rsidRDefault="009D0006" w:rsidP="00184CF2">
      <w:pPr>
        <w:spacing w:before="360"/>
      </w:pPr>
      <w:r w:rsidRPr="00342F51">
        <w:t>As displayed in Table</w:t>
      </w:r>
      <w:r>
        <w:t>s</w:t>
      </w:r>
      <w:r w:rsidRPr="00342F51">
        <w:t xml:space="preserve"> 74</w:t>
      </w:r>
      <w:r>
        <w:t>.1-74.6</w:t>
      </w:r>
      <w:r w:rsidRPr="00342F51">
        <w:t xml:space="preserve">, a greater proportion of participants with disability in Private Lives 3 who had experienced harassment or abuse in the past 12 months reported attempting suicide in the past 12 months compared to those who had not experienced harassment or assault in the past 12 months. Specifically, a greater proportion of participants who had experienced social exclusion had attempted suicide in the past 12 months (12.5%; n = 124) compared to participants who had not experienced social exclusion (4.4%; n = 43). A higher proportion of participants who had experienced verbal abuse including hateful or obscene phone calls had attempted suicide (12.7%; n = 103) compared to those who had not (5.3%; n = 60). Similarly, a higher proportion of participants who had experienced harassment such as being spat at and offensive gestures had attempted suicide (12.9%; n = 78) compared to those who had not (6.4%; n = </w:t>
      </w:r>
      <w:r w:rsidRPr="00B81BBA">
        <w:t>86).</w:t>
      </w:r>
      <w:bookmarkStart w:id="695" w:name="_Toc58252116"/>
    </w:p>
    <w:p w14:paraId="518083EB" w14:textId="14E11D46" w:rsidR="009D0006" w:rsidRPr="009761D5" w:rsidRDefault="009D0006" w:rsidP="006346CA">
      <w:pPr>
        <w:pStyle w:val="Heading2Numbered"/>
      </w:pPr>
      <w:bookmarkStart w:id="696" w:name="_Toc115968602"/>
      <w:bookmarkStart w:id="697" w:name="_Toc119662446"/>
      <w:r w:rsidRPr="009761D5">
        <w:t>Support for</w:t>
      </w:r>
      <w:r w:rsidRPr="009761D5">
        <w:lastRenderedPageBreak/>
        <w:t xml:space="preserve"> those in distress</w:t>
      </w:r>
      <w:bookmarkEnd w:id="695"/>
      <w:r w:rsidRPr="009761D5">
        <w:t xml:space="preserve"> – young people aged 14-21 years</w:t>
      </w:r>
      <w:bookmarkEnd w:id="696"/>
      <w:bookmarkEnd w:id="697"/>
    </w:p>
    <w:p w14:paraId="4A51C249" w14:textId="77777777" w:rsidR="009D0006" w:rsidRPr="00CF653D" w:rsidRDefault="009D0006" w:rsidP="009D0006">
      <w:r>
        <w:t xml:space="preserve">Young people in </w:t>
      </w:r>
      <w:r w:rsidRPr="00C47CBF">
        <w:rPr>
          <w:i/>
          <w:iCs/>
        </w:rPr>
        <w:t>Writing Themselves In 4</w:t>
      </w:r>
      <w:r w:rsidRPr="00AF4A20">
        <w:t xml:space="preserve"> who answered that they had ever experienced </w:t>
      </w:r>
      <w:r w:rsidRPr="00CF653D">
        <w:t>suicidal ideation, planning, attempt</w:t>
      </w:r>
      <w:r>
        <w:t>s</w:t>
      </w:r>
      <w:r w:rsidRPr="00CF653D">
        <w:t xml:space="preserve"> or self-harm in their lifetime were asked if they had ever accessed an </w:t>
      </w:r>
      <w:r w:rsidRPr="00C47CBF">
        <w:t>in-person professional counselling or support service, a professional telephone support service or a professional text or webchat support service</w:t>
      </w:r>
      <w:r w:rsidRPr="00CF653D">
        <w:t xml:space="preserve"> in relation to suicide or self-harm. Table </w:t>
      </w:r>
      <w:r>
        <w:t>75</w:t>
      </w:r>
      <w:r w:rsidRPr="00CF653D">
        <w:t xml:space="preserve"> displays the results for participants with disability.</w:t>
      </w:r>
    </w:p>
    <w:p w14:paraId="3D974449" w14:textId="012F9061" w:rsidR="009D0006" w:rsidRPr="009761D5" w:rsidRDefault="009D0006" w:rsidP="00B81BBA">
      <w:pPr>
        <w:pStyle w:val="Tableheading"/>
      </w:pPr>
      <w:bookmarkStart w:id="698" w:name="_Toc117062793"/>
      <w:bookmarkStart w:id="699" w:name="_Toc119651478"/>
      <w:r w:rsidRPr="002F6E12">
        <w:t xml:space="preserve">Table </w:t>
      </w:r>
      <w:r>
        <w:rPr>
          <w:noProof/>
        </w:rPr>
        <w:fldChar w:fldCharType="begin"/>
      </w:r>
      <w:r>
        <w:rPr>
          <w:noProof/>
        </w:rPr>
        <w:instrText xml:space="preserve"> SEQ Table \* ARABIC </w:instrText>
      </w:r>
      <w:r>
        <w:rPr>
          <w:noProof/>
        </w:rPr>
        <w:fldChar w:fldCharType="separate"/>
      </w:r>
      <w:r>
        <w:rPr>
          <w:noProof/>
        </w:rPr>
        <w:t>75</w:t>
      </w:r>
      <w:r>
        <w:rPr>
          <w:noProof/>
        </w:rPr>
        <w:fldChar w:fldCharType="end"/>
      </w:r>
      <w:r w:rsidRPr="002F6E12">
        <w:t>: Ever accessed professional suicide or self-harm support services among</w:t>
      </w:r>
      <w:r>
        <w:t xml:space="preserve"> young people with disability</w:t>
      </w:r>
      <w:r w:rsidRPr="009761D5">
        <w:t xml:space="preserve"> </w:t>
      </w:r>
      <w:r>
        <w:t>who reported ever experiencing suicidal ideation, planning, attempts or self-harm (n = 2307)</w:t>
      </w:r>
      <w:bookmarkEnd w:id="698"/>
      <w:bookmarkEnd w:id="699"/>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4728A5" w14:paraId="18334A71"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F236F38" w14:textId="77777777" w:rsidR="009D0006" w:rsidRPr="004728A5" w:rsidRDefault="009D0006" w:rsidP="00B81BBA">
            <w:pPr>
              <w:pStyle w:val="Tableheader"/>
              <w:rPr>
                <w:lang w:val="fr-FR"/>
              </w:rPr>
            </w:pPr>
            <w:r w:rsidRPr="004728A5">
              <w:rPr>
                <w:lang w:val="fr-FR"/>
              </w:rPr>
              <w:t>Suicide support service</w:t>
            </w:r>
          </w:p>
        </w:tc>
        <w:tc>
          <w:tcPr>
            <w:tcW w:w="1559" w:type="dxa"/>
            <w:noWrap/>
            <w:hideMark/>
          </w:tcPr>
          <w:p w14:paraId="3D6EBB38" w14:textId="77777777" w:rsidR="009D0006" w:rsidRPr="004728A5" w:rsidRDefault="009D0006" w:rsidP="00B81BBA">
            <w:pPr>
              <w:pStyle w:val="Tableheader"/>
              <w:rPr>
                <w:lang w:val="en-US"/>
              </w:rPr>
            </w:pPr>
            <w:r w:rsidRPr="004728A5">
              <w:rPr>
                <w:lang w:val="en-US"/>
              </w:rPr>
              <w:t>n</w:t>
            </w:r>
          </w:p>
        </w:tc>
        <w:tc>
          <w:tcPr>
            <w:tcW w:w="1559" w:type="dxa"/>
            <w:noWrap/>
            <w:hideMark/>
          </w:tcPr>
          <w:p w14:paraId="5C112131" w14:textId="77777777" w:rsidR="009D0006" w:rsidRPr="004728A5" w:rsidRDefault="009D0006" w:rsidP="00B81BBA">
            <w:pPr>
              <w:pStyle w:val="Tableheader"/>
              <w:rPr>
                <w:lang w:val="en-US"/>
              </w:rPr>
            </w:pPr>
            <w:r w:rsidRPr="004728A5">
              <w:rPr>
                <w:lang w:val="en-US"/>
              </w:rPr>
              <w:t>%</w:t>
            </w:r>
          </w:p>
        </w:tc>
      </w:tr>
      <w:tr w:rsidR="009D0006" w:rsidRPr="004728A5" w14:paraId="1B79937E"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2BB8B46" w14:textId="77777777" w:rsidR="009D0006" w:rsidRPr="004728A5" w:rsidRDefault="009D0006" w:rsidP="00B81BBA">
            <w:pPr>
              <w:pStyle w:val="Tabletext"/>
              <w:rPr>
                <w:lang w:val="en-US"/>
              </w:rPr>
            </w:pPr>
            <w:r w:rsidRPr="004728A5">
              <w:rPr>
                <w:lang w:val="en-US"/>
              </w:rPr>
              <w:t>In-person professional counselling or support service</w:t>
            </w:r>
          </w:p>
        </w:tc>
        <w:tc>
          <w:tcPr>
            <w:tcW w:w="1559" w:type="dxa"/>
            <w:noWrap/>
          </w:tcPr>
          <w:p w14:paraId="6FDAB513" w14:textId="77777777" w:rsidR="009D0006" w:rsidRPr="004728A5" w:rsidRDefault="009D0006" w:rsidP="00B81BBA">
            <w:pPr>
              <w:pStyle w:val="Tabletext"/>
              <w:rPr>
                <w:lang w:val="en-US"/>
              </w:rPr>
            </w:pPr>
            <w:r>
              <w:rPr>
                <w:lang w:val="en-US"/>
              </w:rPr>
              <w:t>1472</w:t>
            </w:r>
          </w:p>
        </w:tc>
        <w:tc>
          <w:tcPr>
            <w:tcW w:w="1559" w:type="dxa"/>
            <w:noWrap/>
          </w:tcPr>
          <w:p w14:paraId="34618008" w14:textId="77777777" w:rsidR="009D0006" w:rsidRPr="004728A5" w:rsidRDefault="009D0006" w:rsidP="00B81BBA">
            <w:pPr>
              <w:pStyle w:val="Tabletext"/>
              <w:rPr>
                <w:lang w:val="en-US"/>
              </w:rPr>
            </w:pPr>
            <w:r>
              <w:rPr>
                <w:lang w:val="en-US"/>
              </w:rPr>
              <w:t>63.8</w:t>
            </w:r>
          </w:p>
        </w:tc>
      </w:tr>
      <w:tr w:rsidR="009D0006" w:rsidRPr="004728A5" w14:paraId="2A1CC6D8" w14:textId="77777777" w:rsidTr="00B81BB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21C016C" w14:textId="77777777" w:rsidR="009D0006" w:rsidRPr="004728A5" w:rsidRDefault="009D0006" w:rsidP="00B81BBA">
            <w:pPr>
              <w:pStyle w:val="Tabletext"/>
              <w:rPr>
                <w:lang w:val="en-US"/>
              </w:rPr>
            </w:pPr>
            <w:r w:rsidRPr="004728A5">
              <w:rPr>
                <w:lang w:val="en-US"/>
              </w:rPr>
              <w:t>Professional text or webchat support service</w:t>
            </w:r>
          </w:p>
        </w:tc>
        <w:tc>
          <w:tcPr>
            <w:tcW w:w="1559" w:type="dxa"/>
            <w:noWrap/>
          </w:tcPr>
          <w:p w14:paraId="276F4C00" w14:textId="77777777" w:rsidR="009D0006" w:rsidRPr="004728A5" w:rsidRDefault="009D0006" w:rsidP="00B81BBA">
            <w:pPr>
              <w:pStyle w:val="Tabletext"/>
              <w:rPr>
                <w:lang w:val="en-US"/>
              </w:rPr>
            </w:pPr>
            <w:r>
              <w:rPr>
                <w:lang w:val="en-US"/>
              </w:rPr>
              <w:t>429</w:t>
            </w:r>
          </w:p>
        </w:tc>
        <w:tc>
          <w:tcPr>
            <w:tcW w:w="1559" w:type="dxa"/>
            <w:noWrap/>
          </w:tcPr>
          <w:p w14:paraId="73C36594" w14:textId="77777777" w:rsidR="009D0006" w:rsidRPr="004728A5" w:rsidRDefault="009D0006" w:rsidP="00B81BBA">
            <w:pPr>
              <w:pStyle w:val="Tabletext"/>
              <w:rPr>
                <w:lang w:val="en-US"/>
              </w:rPr>
            </w:pPr>
            <w:r>
              <w:rPr>
                <w:lang w:val="en-US"/>
              </w:rPr>
              <w:t>18.6</w:t>
            </w:r>
          </w:p>
        </w:tc>
      </w:tr>
      <w:tr w:rsidR="009D0006" w:rsidRPr="004728A5" w14:paraId="67998A8D"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D050B7C" w14:textId="77777777" w:rsidR="009D0006" w:rsidRPr="004728A5" w:rsidRDefault="009D0006" w:rsidP="00B81BBA">
            <w:pPr>
              <w:pStyle w:val="Tabletext"/>
              <w:rPr>
                <w:lang w:val="en-US"/>
              </w:rPr>
            </w:pPr>
            <w:r w:rsidRPr="004728A5">
              <w:rPr>
                <w:lang w:val="en-US"/>
              </w:rPr>
              <w:t>Professional telephone support service</w:t>
            </w:r>
          </w:p>
        </w:tc>
        <w:tc>
          <w:tcPr>
            <w:tcW w:w="1559" w:type="dxa"/>
            <w:noWrap/>
          </w:tcPr>
          <w:p w14:paraId="359664AC" w14:textId="77777777" w:rsidR="009D0006" w:rsidRPr="004728A5" w:rsidRDefault="009D0006" w:rsidP="00B81BBA">
            <w:pPr>
              <w:pStyle w:val="Tabletext"/>
              <w:rPr>
                <w:lang w:val="en-US"/>
              </w:rPr>
            </w:pPr>
            <w:r>
              <w:rPr>
                <w:lang w:val="en-US"/>
              </w:rPr>
              <w:t>342</w:t>
            </w:r>
          </w:p>
        </w:tc>
        <w:tc>
          <w:tcPr>
            <w:tcW w:w="1559" w:type="dxa"/>
            <w:noWrap/>
          </w:tcPr>
          <w:p w14:paraId="65A0DF0B" w14:textId="77777777" w:rsidR="009D0006" w:rsidRPr="004728A5" w:rsidRDefault="009D0006" w:rsidP="00B81BBA">
            <w:pPr>
              <w:pStyle w:val="Tabletext"/>
              <w:rPr>
                <w:lang w:val="en-US"/>
              </w:rPr>
            </w:pPr>
            <w:r>
              <w:rPr>
                <w:lang w:val="en-US"/>
              </w:rPr>
              <w:t>14.8</w:t>
            </w:r>
          </w:p>
        </w:tc>
      </w:tr>
      <w:tr w:rsidR="009D0006" w:rsidRPr="004728A5" w14:paraId="78C2E06A" w14:textId="77777777" w:rsidTr="00B81BB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8653019" w14:textId="77777777" w:rsidR="009D0006" w:rsidRPr="007D1596" w:rsidRDefault="009D0006" w:rsidP="00B81BBA">
            <w:pPr>
              <w:pStyle w:val="Tabletext"/>
              <w:rPr>
                <w:b/>
                <w:bCs/>
                <w:lang w:val="en-US"/>
              </w:rPr>
            </w:pPr>
            <w:r w:rsidRPr="007D1596">
              <w:rPr>
                <w:b/>
                <w:bCs/>
                <w:lang w:val="en-US"/>
              </w:rPr>
              <w:t xml:space="preserve">Ever </w:t>
            </w:r>
            <w:r>
              <w:rPr>
                <w:b/>
                <w:bCs/>
                <w:lang w:val="en-US"/>
              </w:rPr>
              <w:t xml:space="preserve">accessed </w:t>
            </w:r>
            <w:r w:rsidRPr="007D1596">
              <w:rPr>
                <w:b/>
                <w:bCs/>
                <w:lang w:val="en-US"/>
              </w:rPr>
              <w:t>any of the above support services</w:t>
            </w:r>
          </w:p>
        </w:tc>
        <w:tc>
          <w:tcPr>
            <w:tcW w:w="1559" w:type="dxa"/>
            <w:noWrap/>
          </w:tcPr>
          <w:p w14:paraId="2CF2DFA3" w14:textId="77777777" w:rsidR="009D0006" w:rsidRPr="004728A5" w:rsidRDefault="009D0006" w:rsidP="00B81BBA">
            <w:pPr>
              <w:pStyle w:val="Tabletext"/>
              <w:rPr>
                <w:lang w:val="en-US"/>
              </w:rPr>
            </w:pPr>
            <w:r>
              <w:rPr>
                <w:lang w:val="en-US"/>
              </w:rPr>
              <w:t>1581</w:t>
            </w:r>
          </w:p>
        </w:tc>
        <w:tc>
          <w:tcPr>
            <w:tcW w:w="1559" w:type="dxa"/>
            <w:noWrap/>
          </w:tcPr>
          <w:p w14:paraId="7C7A3EA9" w14:textId="77777777" w:rsidR="009D0006" w:rsidRPr="004728A5" w:rsidRDefault="009D0006" w:rsidP="00B81BBA">
            <w:pPr>
              <w:pStyle w:val="Tabletext"/>
              <w:rPr>
                <w:lang w:val="en-US"/>
              </w:rPr>
            </w:pPr>
            <w:r>
              <w:rPr>
                <w:lang w:val="en-US"/>
              </w:rPr>
              <w:t>68.5</w:t>
            </w:r>
          </w:p>
        </w:tc>
      </w:tr>
    </w:tbl>
    <w:p w14:paraId="0AABBEDF" w14:textId="77777777" w:rsidR="009D0006" w:rsidRDefault="009D0006" w:rsidP="00184CF2">
      <w:pPr>
        <w:spacing w:before="360"/>
        <w:rPr>
          <w:lang w:val="en-GB"/>
        </w:rPr>
      </w:pPr>
      <w:r>
        <w:rPr>
          <w:lang w:val="en-GB"/>
        </w:rPr>
        <w:t>As displayed in Table 75, a</w:t>
      </w:r>
      <w:r w:rsidRPr="0092752A">
        <w:rPr>
          <w:lang w:val="en-GB"/>
        </w:rPr>
        <w:t xml:space="preserve">mong </w:t>
      </w:r>
      <w:r>
        <w:rPr>
          <w:lang w:val="en-GB"/>
        </w:rPr>
        <w:t xml:space="preserve">participants with disability in </w:t>
      </w:r>
      <w:r w:rsidRPr="000C5D54">
        <w:rPr>
          <w:i/>
          <w:iCs/>
          <w:lang w:val="en-GB"/>
        </w:rPr>
        <w:t>Writing Themselves In 4</w:t>
      </w:r>
      <w:r>
        <w:rPr>
          <w:lang w:val="en-GB"/>
        </w:rPr>
        <w:t xml:space="preserve"> </w:t>
      </w:r>
      <w:r w:rsidRPr="0092752A">
        <w:rPr>
          <w:lang w:val="en-GB"/>
        </w:rPr>
        <w:t>who reported any suicidal ideation, planning, attempts or self-harm in their lifetime</w:t>
      </w:r>
      <w:r>
        <w:rPr>
          <w:lang w:val="en-GB"/>
        </w:rPr>
        <w:t>, just over two-thirds had ever accessed professional in-person, online or telephone support services (68.5%; n = 1581). A little under two-thirds had accessed in-person professional counselling or support services (63.8%; n = 1472), under one-fifth had accessed professional text or webchat support services (18.6%; n = 429) and less than 15% had accessed professional telephone support services (14.8%; n = 342).</w:t>
      </w:r>
      <w:r w:rsidRPr="00965890">
        <w:rPr>
          <w:lang w:val="en-GB"/>
        </w:rPr>
        <w:t xml:space="preserve"> </w:t>
      </w:r>
    </w:p>
    <w:p w14:paraId="79C639B0" w14:textId="77777777" w:rsidR="009D0006" w:rsidRPr="00B81BBA" w:rsidRDefault="009D0006" w:rsidP="009D0006">
      <w:r>
        <w:rPr>
          <w:lang w:val="en-GB"/>
        </w:rPr>
        <w:t xml:space="preserve">It is of further note that among the </w:t>
      </w:r>
      <w:r w:rsidRPr="00624287">
        <w:rPr>
          <w:lang w:val="en-GB"/>
        </w:rPr>
        <w:t>1983 participants with disability</w:t>
      </w:r>
      <w:r>
        <w:rPr>
          <w:lang w:val="en-GB"/>
        </w:rPr>
        <w:t xml:space="preserve"> in </w:t>
      </w:r>
      <w:r>
        <w:rPr>
          <w:i/>
          <w:iCs/>
          <w:lang w:val="en-GB"/>
        </w:rPr>
        <w:t>Writing Themselves In 4</w:t>
      </w:r>
      <w:r w:rsidRPr="00624287">
        <w:rPr>
          <w:lang w:val="en-GB"/>
        </w:rPr>
        <w:t xml:space="preserve"> who reported any suicidal ideation, planning, attempts or self-harm in the past 12 months</w:t>
      </w:r>
      <w:r>
        <w:rPr>
          <w:lang w:val="en-GB"/>
        </w:rPr>
        <w:t xml:space="preserve">, only half (50.9%; n = 1009) had accessed a professional suicide or self-harm support service in this time </w:t>
      </w:r>
      <w:r w:rsidRPr="00B81BBA">
        <w:t>frame.</w:t>
      </w:r>
      <w:bookmarkStart w:id="700" w:name="_Toc58252117"/>
    </w:p>
    <w:p w14:paraId="44A01C7C" w14:textId="1B2CB1BE" w:rsidR="009D0006" w:rsidRPr="009761D5" w:rsidRDefault="009D0006" w:rsidP="006346CA">
      <w:pPr>
        <w:pStyle w:val="Heading2Numbered"/>
      </w:pPr>
      <w:bookmarkStart w:id="701" w:name="_Toc115968603"/>
      <w:bookmarkStart w:id="702" w:name="_Toc119662447"/>
      <w:r w:rsidRPr="009761D5">
        <w:t>Most recent</w:t>
      </w:r>
      <w:r w:rsidRPr="009761D5">
        <w:lastRenderedPageBreak/>
        <w:t xml:space="preserve"> experience accessing professional support services regarding suicide or self-harm</w:t>
      </w:r>
      <w:bookmarkEnd w:id="700"/>
      <w:r w:rsidRPr="009761D5">
        <w:t xml:space="preserve"> – young people aged 14-21 years</w:t>
      </w:r>
      <w:bookmarkEnd w:id="701"/>
      <w:bookmarkEnd w:id="702"/>
    </w:p>
    <w:p w14:paraId="4D718B27" w14:textId="1CAB790D" w:rsidR="009D0006" w:rsidRPr="009761D5" w:rsidRDefault="009D0006" w:rsidP="006346CA">
      <w:pPr>
        <w:pStyle w:val="Heading3Numbered"/>
      </w:pPr>
      <w:bookmarkStart w:id="703" w:name="_Toc58252118"/>
      <w:bookmarkStart w:id="704" w:name="_Toc115968604"/>
      <w:r w:rsidRPr="009761D5">
        <w:t xml:space="preserve">Professional suicide or self-harm support </w:t>
      </w:r>
      <w:r>
        <w:t xml:space="preserve">service </w:t>
      </w:r>
      <w:r w:rsidRPr="009761D5">
        <w:t>accessed</w:t>
      </w:r>
      <w:bookmarkEnd w:id="703"/>
      <w:r w:rsidRPr="009761D5">
        <w:t xml:space="preserve"> – young people aged 14-21 years</w:t>
      </w:r>
      <w:bookmarkEnd w:id="704"/>
    </w:p>
    <w:p w14:paraId="17F4234C" w14:textId="77777777" w:rsidR="009D0006" w:rsidRDefault="009D0006" w:rsidP="009D0006">
      <w:r>
        <w:t xml:space="preserve">Young people in </w:t>
      </w:r>
      <w:r w:rsidRPr="00C47CBF">
        <w:rPr>
          <w:i/>
          <w:iCs/>
        </w:rPr>
        <w:t>Writing Themselves In 4</w:t>
      </w:r>
      <w:r w:rsidRPr="00CF653D">
        <w:t xml:space="preserve"> who reported ever accessing professional support services in relation to suicide or self-harm were asked which service they accessed the </w:t>
      </w:r>
      <w:r w:rsidRPr="00C47CBF">
        <w:t>most recent time</w:t>
      </w:r>
      <w:r w:rsidRPr="00CF653D">
        <w:t xml:space="preserve">. Table </w:t>
      </w:r>
      <w:r>
        <w:t>76</w:t>
      </w:r>
      <w:r w:rsidRPr="00CF653D">
        <w:t xml:space="preserve"> displays these results for participants with disability.</w:t>
      </w:r>
    </w:p>
    <w:p w14:paraId="32E5CF74" w14:textId="432B2F10" w:rsidR="009D0006" w:rsidRPr="009761D5" w:rsidRDefault="009D0006" w:rsidP="00B81BBA">
      <w:pPr>
        <w:pStyle w:val="Tableheading"/>
      </w:pPr>
      <w:bookmarkStart w:id="705" w:name="_Toc117062794"/>
      <w:bookmarkStart w:id="706" w:name="_Toc119651479"/>
      <w:r w:rsidRPr="002F6E12">
        <w:t xml:space="preserve">Table </w:t>
      </w:r>
      <w:r>
        <w:rPr>
          <w:noProof/>
        </w:rPr>
        <w:fldChar w:fldCharType="begin"/>
      </w:r>
      <w:r>
        <w:rPr>
          <w:noProof/>
        </w:rPr>
        <w:instrText xml:space="preserve"> SEQ Table \* ARABIC </w:instrText>
      </w:r>
      <w:r>
        <w:rPr>
          <w:noProof/>
        </w:rPr>
        <w:fldChar w:fldCharType="separate"/>
      </w:r>
      <w:r>
        <w:rPr>
          <w:noProof/>
        </w:rPr>
        <w:t>76</w:t>
      </w:r>
      <w:r>
        <w:rPr>
          <w:noProof/>
        </w:rPr>
        <w:fldChar w:fldCharType="end"/>
      </w:r>
      <w:r w:rsidRPr="002F6E12">
        <w:t>: Professional suicide or self-harm support service most recently</w:t>
      </w:r>
      <w:r>
        <w:t xml:space="preserve"> accessed (n = 1579)</w:t>
      </w:r>
      <w:bookmarkEnd w:id="705"/>
      <w:bookmarkEnd w:id="706"/>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001FAE" w14:paraId="7CB2152D"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5546B89" w14:textId="77777777" w:rsidR="009D0006" w:rsidRPr="00001FAE" w:rsidRDefault="009D0006" w:rsidP="00B81BBA">
            <w:pPr>
              <w:pStyle w:val="Tableheader"/>
              <w:rPr>
                <w:lang w:val="en-US"/>
              </w:rPr>
            </w:pPr>
            <w:r w:rsidRPr="00001FAE">
              <w:rPr>
                <w:lang w:val="en-US"/>
              </w:rPr>
              <w:t>Professional support service accessed most recent time</w:t>
            </w:r>
          </w:p>
        </w:tc>
        <w:tc>
          <w:tcPr>
            <w:tcW w:w="1559" w:type="dxa"/>
            <w:noWrap/>
            <w:hideMark/>
          </w:tcPr>
          <w:p w14:paraId="02AE2ACF" w14:textId="77777777" w:rsidR="009D0006" w:rsidRPr="00001FAE" w:rsidRDefault="009D0006" w:rsidP="00B81BBA">
            <w:pPr>
              <w:pStyle w:val="Tableheader"/>
              <w:rPr>
                <w:lang w:val="en-US"/>
              </w:rPr>
            </w:pPr>
            <w:r w:rsidRPr="00001FAE">
              <w:t>n</w:t>
            </w:r>
          </w:p>
        </w:tc>
        <w:tc>
          <w:tcPr>
            <w:tcW w:w="1559" w:type="dxa"/>
            <w:noWrap/>
            <w:hideMark/>
          </w:tcPr>
          <w:p w14:paraId="6EACF7FA" w14:textId="77777777" w:rsidR="009D0006" w:rsidRPr="00001FAE" w:rsidRDefault="009D0006" w:rsidP="00B81BBA">
            <w:pPr>
              <w:pStyle w:val="Tableheader"/>
              <w:rPr>
                <w:lang w:val="en-US"/>
              </w:rPr>
            </w:pPr>
            <w:r w:rsidRPr="00001FAE">
              <w:rPr>
                <w:lang w:val="en-US"/>
              </w:rPr>
              <w:t>%</w:t>
            </w:r>
          </w:p>
        </w:tc>
      </w:tr>
      <w:tr w:rsidR="009D0006" w:rsidRPr="00001FAE" w14:paraId="61E292E0"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6E34AB8" w14:textId="77777777" w:rsidR="009D0006" w:rsidRPr="00001FAE" w:rsidRDefault="009D0006" w:rsidP="00B81BBA">
            <w:pPr>
              <w:pStyle w:val="Tabletext"/>
              <w:rPr>
                <w:lang w:val="en-US"/>
              </w:rPr>
            </w:pPr>
            <w:r w:rsidRPr="00001FAE">
              <w:rPr>
                <w:lang w:val="en-US"/>
              </w:rPr>
              <w:t>In-person professional counselling or support service</w:t>
            </w:r>
          </w:p>
        </w:tc>
        <w:tc>
          <w:tcPr>
            <w:tcW w:w="1559" w:type="dxa"/>
            <w:noWrap/>
          </w:tcPr>
          <w:p w14:paraId="68B659EB" w14:textId="77777777" w:rsidR="009D0006" w:rsidRPr="00001FAE" w:rsidRDefault="009D0006" w:rsidP="00B81BBA">
            <w:pPr>
              <w:pStyle w:val="Tabletext"/>
              <w:rPr>
                <w:lang w:val="en-US"/>
              </w:rPr>
            </w:pPr>
            <w:r>
              <w:rPr>
                <w:lang w:val="en-US"/>
              </w:rPr>
              <w:t>1355</w:t>
            </w:r>
          </w:p>
        </w:tc>
        <w:tc>
          <w:tcPr>
            <w:tcW w:w="1559" w:type="dxa"/>
            <w:noWrap/>
          </w:tcPr>
          <w:p w14:paraId="36A48DD9" w14:textId="77777777" w:rsidR="009D0006" w:rsidRPr="00001FAE" w:rsidRDefault="009D0006" w:rsidP="00B81BBA">
            <w:pPr>
              <w:pStyle w:val="Tabletext"/>
              <w:rPr>
                <w:lang w:val="en-US"/>
              </w:rPr>
            </w:pPr>
            <w:r>
              <w:rPr>
                <w:lang w:val="en-US"/>
              </w:rPr>
              <w:t>85.8</w:t>
            </w:r>
          </w:p>
        </w:tc>
      </w:tr>
      <w:tr w:rsidR="009D0006" w:rsidRPr="00001FAE" w14:paraId="78A27E80" w14:textId="77777777" w:rsidTr="00B81BB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C297B6F" w14:textId="77777777" w:rsidR="009D0006" w:rsidRPr="00001FAE" w:rsidRDefault="009D0006" w:rsidP="00B81BBA">
            <w:pPr>
              <w:pStyle w:val="Tabletext"/>
              <w:rPr>
                <w:lang w:val="en-US"/>
              </w:rPr>
            </w:pPr>
            <w:r w:rsidRPr="00001FAE">
              <w:rPr>
                <w:lang w:val="en-US"/>
              </w:rPr>
              <w:t>Professional text or webchat support service</w:t>
            </w:r>
          </w:p>
        </w:tc>
        <w:tc>
          <w:tcPr>
            <w:tcW w:w="1559" w:type="dxa"/>
            <w:noWrap/>
          </w:tcPr>
          <w:p w14:paraId="6E7125EA" w14:textId="77777777" w:rsidR="009D0006" w:rsidRPr="00001FAE" w:rsidRDefault="009D0006" w:rsidP="00B81BBA">
            <w:pPr>
              <w:pStyle w:val="Tabletext"/>
              <w:rPr>
                <w:lang w:val="en-US"/>
              </w:rPr>
            </w:pPr>
            <w:r>
              <w:rPr>
                <w:lang w:val="en-US"/>
              </w:rPr>
              <w:t>73</w:t>
            </w:r>
          </w:p>
        </w:tc>
        <w:tc>
          <w:tcPr>
            <w:tcW w:w="1559" w:type="dxa"/>
            <w:noWrap/>
          </w:tcPr>
          <w:p w14:paraId="05C884FD" w14:textId="77777777" w:rsidR="009D0006" w:rsidRPr="00001FAE" w:rsidRDefault="009D0006" w:rsidP="00B81BBA">
            <w:pPr>
              <w:pStyle w:val="Tabletext"/>
              <w:rPr>
                <w:lang w:val="en-US"/>
              </w:rPr>
            </w:pPr>
            <w:r>
              <w:rPr>
                <w:lang w:val="en-US"/>
              </w:rPr>
              <w:t>4.6</w:t>
            </w:r>
          </w:p>
        </w:tc>
      </w:tr>
      <w:tr w:rsidR="009D0006" w:rsidRPr="00001FAE" w14:paraId="01A4A878"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CDBF53B" w14:textId="77777777" w:rsidR="009D0006" w:rsidRPr="00001FAE" w:rsidRDefault="009D0006" w:rsidP="00B81BBA">
            <w:pPr>
              <w:pStyle w:val="Tabletext"/>
              <w:rPr>
                <w:lang w:val="en-US"/>
              </w:rPr>
            </w:pPr>
            <w:r w:rsidRPr="00001FAE">
              <w:rPr>
                <w:lang w:val="en-US"/>
              </w:rPr>
              <w:t>Professional telephone support service</w:t>
            </w:r>
          </w:p>
        </w:tc>
        <w:tc>
          <w:tcPr>
            <w:tcW w:w="1559" w:type="dxa"/>
            <w:noWrap/>
          </w:tcPr>
          <w:p w14:paraId="6D5B8E4E" w14:textId="77777777" w:rsidR="009D0006" w:rsidRPr="00001FAE" w:rsidRDefault="009D0006" w:rsidP="00B81BBA">
            <w:pPr>
              <w:pStyle w:val="Tabletext"/>
              <w:rPr>
                <w:lang w:val="en-US"/>
              </w:rPr>
            </w:pPr>
            <w:r>
              <w:rPr>
                <w:lang w:val="en-US"/>
              </w:rPr>
              <w:t>131</w:t>
            </w:r>
          </w:p>
        </w:tc>
        <w:tc>
          <w:tcPr>
            <w:tcW w:w="1559" w:type="dxa"/>
            <w:noWrap/>
          </w:tcPr>
          <w:p w14:paraId="6C6F372D" w14:textId="77777777" w:rsidR="009D0006" w:rsidRPr="00001FAE" w:rsidRDefault="009D0006" w:rsidP="00B81BBA">
            <w:pPr>
              <w:pStyle w:val="Tabletext"/>
              <w:rPr>
                <w:lang w:val="en-US"/>
              </w:rPr>
            </w:pPr>
            <w:r>
              <w:rPr>
                <w:lang w:val="en-US"/>
              </w:rPr>
              <w:t>9.6</w:t>
            </w:r>
          </w:p>
        </w:tc>
      </w:tr>
    </w:tbl>
    <w:p w14:paraId="37A6E662" w14:textId="77777777" w:rsidR="009D0006" w:rsidRDefault="009D0006" w:rsidP="00184CF2">
      <w:pPr>
        <w:spacing w:before="360"/>
      </w:pPr>
      <w:bookmarkStart w:id="707" w:name="_Toc58252120"/>
      <w:r>
        <w:t xml:space="preserve">As shown in Table 76, among participants with disability in </w:t>
      </w:r>
      <w:r>
        <w:rPr>
          <w:i/>
          <w:iCs/>
        </w:rPr>
        <w:t>Writing Themselves In 4</w:t>
      </w:r>
      <w:r>
        <w:t xml:space="preserve"> who had ever accessed professional suicide or self-harm support services, the most recently accessed service for most participants was an in-person professional counselling or support service (85.8%; n = 1355), followed by a professional text or webchat support service (4.6%; n = 73) and a professional telephone support service (9.6%; n = 131).</w:t>
      </w:r>
    </w:p>
    <w:p w14:paraId="18E10A85" w14:textId="794FB5F2" w:rsidR="009D0006" w:rsidRPr="009761D5" w:rsidRDefault="009D0006" w:rsidP="006346CA">
      <w:pPr>
        <w:pStyle w:val="Heading3Numbered"/>
      </w:pPr>
      <w:bookmarkStart w:id="708" w:name="_Toc115968605"/>
      <w:r w:rsidRPr="009761D5">
        <w:t xml:space="preserve">Professional suicide or self-harm support </w:t>
      </w:r>
      <w:r>
        <w:t xml:space="preserve">service </w:t>
      </w:r>
      <w:r w:rsidRPr="009761D5">
        <w:t>outcomes</w:t>
      </w:r>
      <w:bookmarkEnd w:id="707"/>
      <w:r w:rsidRPr="009761D5">
        <w:t xml:space="preserve"> – young people aged 14-21 years</w:t>
      </w:r>
      <w:bookmarkEnd w:id="708"/>
    </w:p>
    <w:p w14:paraId="0C5D4213" w14:textId="77777777" w:rsidR="009D0006" w:rsidRDefault="009D0006" w:rsidP="009D0006">
      <w:pPr>
        <w:rPr>
          <w:rFonts w:ascii="Roboto Medium" w:hAnsi="Roboto Medium"/>
          <w:sz w:val="23"/>
        </w:rPr>
      </w:pPr>
      <w:r>
        <w:t xml:space="preserve">Young people in </w:t>
      </w:r>
      <w:r w:rsidRPr="00E41D1A">
        <w:rPr>
          <w:i/>
          <w:iCs/>
        </w:rPr>
        <w:t>Writing Themselves In 4</w:t>
      </w:r>
      <w:r>
        <w:t xml:space="preserve"> </w:t>
      </w:r>
      <w:r w:rsidRPr="00CF653D">
        <w:t xml:space="preserve">were asked if the professional services they </w:t>
      </w:r>
      <w:r>
        <w:t xml:space="preserve">most recently </w:t>
      </w:r>
      <w:r w:rsidRPr="00CF653D">
        <w:t xml:space="preserve">accessed regarding suicide or self-harm helped to improve the situation. Responses were on a </w:t>
      </w:r>
      <w:r>
        <w:t>5</w:t>
      </w:r>
      <w:r w:rsidRPr="00CF653D">
        <w:t>-point scale ranging from ‘</w:t>
      </w:r>
      <w:r>
        <w:t>n</w:t>
      </w:r>
      <w:r w:rsidRPr="00CF653D">
        <w:t>o, made it much worse’ to ‘</w:t>
      </w:r>
      <w:r>
        <w:t>y</w:t>
      </w:r>
      <w:r w:rsidRPr="00CF653D">
        <w:t>es, made it much better’</w:t>
      </w:r>
      <w:r>
        <w:t>.</w:t>
      </w:r>
      <w:r w:rsidRPr="00CF653D">
        <w:t xml:space="preserve"> Table </w:t>
      </w:r>
      <w:r>
        <w:t>77</w:t>
      </w:r>
      <w:r w:rsidRPr="00CF653D">
        <w:t xml:space="preserve"> displays the responses for participants with disability who responded ‘yes, made it better’ or ‘yes, made it much better’</w:t>
      </w:r>
      <w:r>
        <w:t>.</w:t>
      </w:r>
    </w:p>
    <w:p w14:paraId="70BC7764" w14:textId="5D86FA39" w:rsidR="009D0006" w:rsidRPr="00F40F19" w:rsidRDefault="009D0006" w:rsidP="00B81BBA">
      <w:pPr>
        <w:pStyle w:val="Tableheading"/>
      </w:pPr>
      <w:bookmarkStart w:id="709" w:name="_Toc117062795"/>
      <w:bookmarkStart w:id="710" w:name="_Toc119651480"/>
      <w:r w:rsidRPr="002F6E12">
        <w:t xml:space="preserve">Table </w:t>
      </w:r>
      <w:r>
        <w:rPr>
          <w:noProof/>
        </w:rPr>
        <w:fldChar w:fldCharType="begin"/>
      </w:r>
      <w:r>
        <w:rPr>
          <w:noProof/>
        </w:rPr>
        <w:instrText xml:space="preserve"> SEQ</w:instrText>
      </w:r>
      <w:r>
        <w:rPr>
          <w:noProof/>
        </w:rPr>
        <w:lastRenderedPageBreak/>
        <w:instrText xml:space="preserve"> Table \* ARABIC </w:instrText>
      </w:r>
      <w:r>
        <w:rPr>
          <w:noProof/>
        </w:rPr>
        <w:fldChar w:fldCharType="separate"/>
      </w:r>
      <w:r>
        <w:rPr>
          <w:noProof/>
        </w:rPr>
        <w:t>77</w:t>
      </w:r>
      <w:r>
        <w:rPr>
          <w:noProof/>
        </w:rPr>
        <w:fldChar w:fldCharType="end"/>
      </w:r>
      <w:r w:rsidRPr="002F6E12">
        <w:t>: Professional suicide or self-harm support service and whether the situation</w:t>
      </w:r>
      <w:r w:rsidRPr="00F40F19">
        <w:t xml:space="preserve"> </w:t>
      </w:r>
      <w:r>
        <w:t xml:space="preserve">was made </w:t>
      </w:r>
      <w:r w:rsidRPr="00F40F19">
        <w:t>better</w:t>
      </w:r>
      <w:r>
        <w:t xml:space="preserve"> or </w:t>
      </w:r>
      <w:r w:rsidRPr="00F40F19">
        <w:t>much better</w:t>
      </w:r>
      <w:r>
        <w:t xml:space="preserve"> (n = 1579)</w:t>
      </w:r>
      <w:bookmarkEnd w:id="709"/>
      <w:bookmarkEnd w:id="710"/>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BC" w14:paraId="47D39CDF" w14:textId="77777777" w:rsidTr="00B81BBA">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093D22C7" w14:textId="77777777" w:rsidR="009D0006" w:rsidRPr="00E257E0" w:rsidRDefault="009D0006" w:rsidP="00B81BBA">
            <w:pPr>
              <w:pStyle w:val="Tableheader"/>
              <w:rPr>
                <w:lang w:val="en-US"/>
              </w:rPr>
            </w:pPr>
            <w:r w:rsidRPr="00E257E0">
              <w:rPr>
                <w:lang w:val="en-US"/>
              </w:rPr>
              <w:t>Professional support service most recently accessed</w:t>
            </w:r>
          </w:p>
        </w:tc>
        <w:tc>
          <w:tcPr>
            <w:tcW w:w="1559" w:type="dxa"/>
            <w:noWrap/>
            <w:hideMark/>
          </w:tcPr>
          <w:p w14:paraId="096BF20E" w14:textId="77777777" w:rsidR="009D0006" w:rsidRPr="00E257E0" w:rsidRDefault="009D0006" w:rsidP="00B81BBA">
            <w:pPr>
              <w:pStyle w:val="Tableheader"/>
              <w:rPr>
                <w:bCs/>
                <w:lang w:val="en-US"/>
              </w:rPr>
            </w:pPr>
            <w:r w:rsidRPr="00E257E0">
              <w:rPr>
                <w:bCs/>
              </w:rPr>
              <w:t>n</w:t>
            </w:r>
          </w:p>
        </w:tc>
        <w:tc>
          <w:tcPr>
            <w:tcW w:w="1559" w:type="dxa"/>
            <w:noWrap/>
            <w:hideMark/>
          </w:tcPr>
          <w:p w14:paraId="0D31BAB0" w14:textId="77777777" w:rsidR="009D0006" w:rsidRPr="00E257E0" w:rsidRDefault="009D0006" w:rsidP="00B81BBA">
            <w:pPr>
              <w:pStyle w:val="Tableheader"/>
              <w:rPr>
                <w:bCs/>
                <w:lang w:val="en-US"/>
              </w:rPr>
            </w:pPr>
            <w:r w:rsidRPr="00E257E0">
              <w:rPr>
                <w:bCs/>
                <w:lang w:val="en-US"/>
              </w:rPr>
              <w:t>%</w:t>
            </w:r>
          </w:p>
        </w:tc>
      </w:tr>
      <w:tr w:rsidR="009D0006" w:rsidRPr="00BC34BC" w14:paraId="4A4C182C"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C35F3ED" w14:textId="77777777" w:rsidR="009D0006" w:rsidRPr="00BC34BC" w:rsidRDefault="009D0006" w:rsidP="00B81BBA">
            <w:pPr>
              <w:pStyle w:val="Tabletext"/>
              <w:rPr>
                <w:lang w:val="en-US"/>
              </w:rPr>
            </w:pPr>
            <w:r w:rsidRPr="00BC34BC">
              <w:rPr>
                <w:lang w:val="en-US"/>
              </w:rPr>
              <w:t xml:space="preserve">LGBTIQA+ specific service (n = </w:t>
            </w:r>
            <w:r>
              <w:rPr>
                <w:lang w:val="en-US"/>
              </w:rPr>
              <w:t>54</w:t>
            </w:r>
            <w:r w:rsidRPr="00BC34BC">
              <w:rPr>
                <w:lang w:val="en-US"/>
              </w:rPr>
              <w:t>)</w:t>
            </w:r>
          </w:p>
        </w:tc>
        <w:tc>
          <w:tcPr>
            <w:tcW w:w="1559" w:type="dxa"/>
            <w:noWrap/>
          </w:tcPr>
          <w:p w14:paraId="5CDB8790" w14:textId="77777777" w:rsidR="009D0006" w:rsidRPr="00BC34BC" w:rsidRDefault="009D0006" w:rsidP="00B81BBA">
            <w:pPr>
              <w:pStyle w:val="Tabletext"/>
              <w:rPr>
                <w:lang w:val="en-US"/>
              </w:rPr>
            </w:pPr>
            <w:r>
              <w:rPr>
                <w:lang w:val="en-US"/>
              </w:rPr>
              <w:t>33</w:t>
            </w:r>
          </w:p>
        </w:tc>
        <w:tc>
          <w:tcPr>
            <w:tcW w:w="1559" w:type="dxa"/>
            <w:noWrap/>
          </w:tcPr>
          <w:p w14:paraId="6CEC8F8D" w14:textId="77777777" w:rsidR="009D0006" w:rsidRPr="00BC34BC" w:rsidRDefault="009D0006" w:rsidP="00B81BBA">
            <w:pPr>
              <w:pStyle w:val="Tabletext"/>
              <w:rPr>
                <w:lang w:val="en-US"/>
              </w:rPr>
            </w:pPr>
            <w:r>
              <w:rPr>
                <w:lang w:val="en-US"/>
              </w:rPr>
              <w:t>61.1</w:t>
            </w:r>
          </w:p>
        </w:tc>
      </w:tr>
      <w:tr w:rsidR="009D0006" w:rsidRPr="00BC34BC" w14:paraId="2F7F3757" w14:textId="77777777" w:rsidTr="00B81BB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44824E0" w14:textId="77777777" w:rsidR="009D0006" w:rsidRPr="00BC34BC" w:rsidRDefault="009D0006" w:rsidP="00B81BBA">
            <w:pPr>
              <w:pStyle w:val="Tabletext"/>
              <w:rPr>
                <w:lang w:val="en-US"/>
              </w:rPr>
            </w:pPr>
            <w:r w:rsidRPr="00BC34BC">
              <w:rPr>
                <w:lang w:val="en-US"/>
              </w:rPr>
              <w:t xml:space="preserve">In-person professional counselling or support service (n = </w:t>
            </w:r>
            <w:r>
              <w:rPr>
                <w:lang w:val="en-US"/>
              </w:rPr>
              <w:t>1355</w:t>
            </w:r>
            <w:r w:rsidRPr="00BC34BC">
              <w:rPr>
                <w:lang w:val="en-US"/>
              </w:rPr>
              <w:t>)</w:t>
            </w:r>
          </w:p>
        </w:tc>
        <w:tc>
          <w:tcPr>
            <w:tcW w:w="1559" w:type="dxa"/>
            <w:noWrap/>
          </w:tcPr>
          <w:p w14:paraId="3EBB9DDC" w14:textId="77777777" w:rsidR="009D0006" w:rsidRPr="00BC34BC" w:rsidRDefault="009D0006" w:rsidP="00B81BBA">
            <w:pPr>
              <w:pStyle w:val="Tabletext"/>
              <w:rPr>
                <w:lang w:val="en-US"/>
              </w:rPr>
            </w:pPr>
            <w:r>
              <w:t>812</w:t>
            </w:r>
          </w:p>
        </w:tc>
        <w:tc>
          <w:tcPr>
            <w:tcW w:w="1559" w:type="dxa"/>
            <w:noWrap/>
          </w:tcPr>
          <w:p w14:paraId="3EA3DDC2" w14:textId="77777777" w:rsidR="009D0006" w:rsidRPr="00BC34BC" w:rsidRDefault="009D0006" w:rsidP="00B81BBA">
            <w:pPr>
              <w:pStyle w:val="Tabletext"/>
              <w:rPr>
                <w:lang w:val="en-US"/>
              </w:rPr>
            </w:pPr>
            <w:r w:rsidRPr="00BC34BC">
              <w:t>59.9</w:t>
            </w:r>
          </w:p>
        </w:tc>
      </w:tr>
      <w:tr w:rsidR="009D0006" w:rsidRPr="00BC34BC" w14:paraId="333923CA" w14:textId="77777777" w:rsidTr="00B81BBA">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E7AD29B" w14:textId="77777777" w:rsidR="009D0006" w:rsidRPr="00BC34BC" w:rsidRDefault="009D0006" w:rsidP="00B81BBA">
            <w:pPr>
              <w:pStyle w:val="Tabletext"/>
              <w:rPr>
                <w:lang w:val="en-US"/>
              </w:rPr>
            </w:pPr>
            <w:r w:rsidRPr="00BC34BC">
              <w:rPr>
                <w:lang w:val="en-US"/>
              </w:rPr>
              <w:t xml:space="preserve">Professional telephone support service (n = </w:t>
            </w:r>
            <w:r>
              <w:rPr>
                <w:lang w:val="en-US"/>
              </w:rPr>
              <w:t>73</w:t>
            </w:r>
            <w:r w:rsidRPr="00BC34BC">
              <w:rPr>
                <w:lang w:val="en-US"/>
              </w:rPr>
              <w:t>)</w:t>
            </w:r>
          </w:p>
        </w:tc>
        <w:tc>
          <w:tcPr>
            <w:tcW w:w="1559" w:type="dxa"/>
            <w:noWrap/>
          </w:tcPr>
          <w:p w14:paraId="08EE6186" w14:textId="77777777" w:rsidR="009D0006" w:rsidRPr="00BC34BC" w:rsidRDefault="009D0006" w:rsidP="00B81BBA">
            <w:pPr>
              <w:pStyle w:val="Tabletext"/>
              <w:rPr>
                <w:lang w:val="en-US"/>
              </w:rPr>
            </w:pPr>
            <w:r w:rsidRPr="00BC34BC">
              <w:t>36</w:t>
            </w:r>
          </w:p>
        </w:tc>
        <w:tc>
          <w:tcPr>
            <w:tcW w:w="1559" w:type="dxa"/>
            <w:noWrap/>
          </w:tcPr>
          <w:p w14:paraId="3C2003A8" w14:textId="77777777" w:rsidR="009D0006" w:rsidRPr="00BC34BC" w:rsidRDefault="009D0006" w:rsidP="00B81BBA">
            <w:pPr>
              <w:pStyle w:val="Tabletext"/>
              <w:rPr>
                <w:lang w:val="en-US"/>
              </w:rPr>
            </w:pPr>
            <w:r w:rsidRPr="00BC34BC">
              <w:t>49.3</w:t>
            </w:r>
          </w:p>
        </w:tc>
      </w:tr>
      <w:tr w:rsidR="009D0006" w:rsidRPr="00BC34BC" w14:paraId="0BFCE0E9" w14:textId="77777777" w:rsidTr="00B81BBA">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21EDB78" w14:textId="77777777" w:rsidR="009D0006" w:rsidRPr="00BC34BC" w:rsidRDefault="009D0006" w:rsidP="00B81BBA">
            <w:pPr>
              <w:pStyle w:val="Tabletext"/>
              <w:rPr>
                <w:lang w:val="en-US"/>
              </w:rPr>
            </w:pPr>
            <w:r w:rsidRPr="00BC34BC">
              <w:rPr>
                <w:lang w:val="en-US"/>
              </w:rPr>
              <w:t xml:space="preserve">Professional text or webchat support service (n = </w:t>
            </w:r>
            <w:r>
              <w:rPr>
                <w:lang w:val="en-US"/>
              </w:rPr>
              <w:t>131</w:t>
            </w:r>
            <w:r w:rsidRPr="00BC34BC">
              <w:rPr>
                <w:lang w:val="en-US"/>
              </w:rPr>
              <w:t>)</w:t>
            </w:r>
          </w:p>
        </w:tc>
        <w:tc>
          <w:tcPr>
            <w:tcW w:w="1559" w:type="dxa"/>
            <w:noWrap/>
          </w:tcPr>
          <w:p w14:paraId="64D65153" w14:textId="77777777" w:rsidR="009D0006" w:rsidRPr="00BC34BC" w:rsidRDefault="009D0006" w:rsidP="00B81BBA">
            <w:pPr>
              <w:pStyle w:val="Tabletext"/>
              <w:rPr>
                <w:lang w:val="en-US"/>
              </w:rPr>
            </w:pPr>
            <w:r w:rsidRPr="00BC34BC">
              <w:t>51</w:t>
            </w:r>
          </w:p>
        </w:tc>
        <w:tc>
          <w:tcPr>
            <w:tcW w:w="1559" w:type="dxa"/>
            <w:noWrap/>
          </w:tcPr>
          <w:p w14:paraId="0CFAC8FA" w14:textId="77777777" w:rsidR="009D0006" w:rsidRPr="00BC34BC" w:rsidRDefault="009D0006" w:rsidP="00B81BBA">
            <w:pPr>
              <w:pStyle w:val="Tabletext"/>
              <w:rPr>
                <w:lang w:val="en-US"/>
              </w:rPr>
            </w:pPr>
            <w:r w:rsidRPr="00BC34BC">
              <w:t>33.8</w:t>
            </w:r>
          </w:p>
        </w:tc>
      </w:tr>
    </w:tbl>
    <w:p w14:paraId="48EE6F3A" w14:textId="77777777" w:rsidR="009D0006" w:rsidRPr="00C47CBF" w:rsidRDefault="009D0006" w:rsidP="00184CF2">
      <w:pPr>
        <w:spacing w:before="360"/>
      </w:pPr>
      <w:r>
        <w:t xml:space="preserve">As displayed in Table 77, many young people with disability in </w:t>
      </w:r>
      <w:r>
        <w:rPr>
          <w:i/>
          <w:iCs/>
        </w:rPr>
        <w:t>Writing Themselves In 4</w:t>
      </w:r>
      <w:r>
        <w:t xml:space="preserve"> who had accessed a professional support service did not feel that this service had made their situation better. Among those who had accessed an in-person professional counselling or support service, approximately three-fifths felt that this service had made their situation better (59.9</w:t>
      </w:r>
      <w:r>
        <w:rPr>
          <w:lang w:val="en-GB"/>
        </w:rPr>
        <w:t>%; n = 812). Less than half of participants who had accessed a professional telephone support service felt that this had made their situation better (49.3%; n = 36) and approximately one-third who had accessed a professional text or webchat support service felt that this had made their situation better (33.8%; n = 51).</w:t>
      </w:r>
    </w:p>
    <w:p w14:paraId="7E2DCE9F" w14:textId="77777777" w:rsidR="009D0006" w:rsidRPr="009761D5" w:rsidRDefault="009D0006" w:rsidP="009D0006">
      <w:bookmarkStart w:id="711" w:name="_Toc58252121"/>
      <w:r w:rsidRPr="009761D5">
        <w:t xml:space="preserve">Participants </w:t>
      </w:r>
      <w:r>
        <w:t xml:space="preserve">with disability who had most recently accessed </w:t>
      </w:r>
      <w:r w:rsidRPr="009761D5">
        <w:t xml:space="preserve">professional services regarding suicide or self-harm </w:t>
      </w:r>
      <w:r>
        <w:t>were also asked if it was an LGBTIQA+ service. Of the 54 p</w:t>
      </w:r>
      <w:r w:rsidRPr="009761D5">
        <w:t xml:space="preserve">articipants </w:t>
      </w:r>
      <w:r>
        <w:t xml:space="preserve">who had accessed an LGBTIQA+ </w:t>
      </w:r>
      <w:r w:rsidRPr="009761D5">
        <w:t>professional service regarding suicide or self-harm the most recent time</w:t>
      </w:r>
      <w:r>
        <w:t>, approximately three-fifths (61.1%; n = 33) said that the situation was made better.</w:t>
      </w:r>
    </w:p>
    <w:p w14:paraId="3E5C9FB3" w14:textId="0203F709" w:rsidR="009D0006" w:rsidRPr="009761D5" w:rsidRDefault="009D0006" w:rsidP="006346CA">
      <w:pPr>
        <w:pStyle w:val="Heading2Numbered"/>
      </w:pPr>
      <w:bookmarkStart w:id="712" w:name="_Toc115968606"/>
      <w:bookmarkStart w:id="713" w:name="_Toc119662448"/>
      <w:r w:rsidRPr="009761D5">
        <w:t>Preferences for accessing professional suicide or self-harm support services</w:t>
      </w:r>
      <w:bookmarkEnd w:id="711"/>
      <w:r w:rsidRPr="009761D5">
        <w:t xml:space="preserve"> – young people aged 14-21 years</w:t>
      </w:r>
      <w:bookmarkEnd w:id="712"/>
      <w:bookmarkEnd w:id="713"/>
    </w:p>
    <w:p w14:paraId="02676C46" w14:textId="78FA9078" w:rsidR="00D74274" w:rsidRDefault="009D0006" w:rsidP="009D0006">
      <w:r>
        <w:t xml:space="preserve">Young people in </w:t>
      </w:r>
      <w:r w:rsidRPr="00E41D1A">
        <w:rPr>
          <w:i/>
          <w:iCs/>
        </w:rPr>
        <w:t>Writing Themselves In 4</w:t>
      </w:r>
      <w:r>
        <w:t xml:space="preserve"> </w:t>
      </w:r>
      <w:r w:rsidRPr="00CF653D">
        <w:t xml:space="preserve">were asked if they were to ever need professional help for suicide or self-harm in the future, how they would prefer to receive it. Responses by participants with disability are shown in </w:t>
      </w:r>
      <w:r>
        <w:t>T</w:t>
      </w:r>
      <w:r w:rsidRPr="00CF653D">
        <w:t xml:space="preserve">able </w:t>
      </w:r>
      <w:r>
        <w:t>78</w:t>
      </w:r>
      <w:r w:rsidRPr="00CF653D">
        <w:t>.</w:t>
      </w:r>
    </w:p>
    <w:p w14:paraId="3F855217" w14:textId="77777777" w:rsidR="00D74274" w:rsidRDefault="00D74274">
      <w:pPr>
        <w:spacing w:before="0"/>
      </w:pPr>
      <w:r>
        <w:br w:type="page"/>
      </w:r>
    </w:p>
    <w:p w14:paraId="54B16F87" w14:textId="3832A612" w:rsidR="009D0006" w:rsidRPr="00AF3031" w:rsidRDefault="009D0006" w:rsidP="00B81BBA">
      <w:pPr>
        <w:pStyle w:val="Tableheading"/>
      </w:pPr>
      <w:bookmarkStart w:id="714" w:name="_Toc45633917"/>
      <w:bookmarkStart w:id="715" w:name="_Toc117062796"/>
      <w:bookmarkStart w:id="716" w:name="_Toc119651481"/>
      <w:r w:rsidRPr="00AF3031">
        <w:t xml:space="preserve">Table </w:t>
      </w:r>
      <w:r>
        <w:rPr>
          <w:noProof/>
        </w:rPr>
        <w:fldChar w:fldCharType="begin"/>
      </w:r>
      <w:r>
        <w:rPr>
          <w:noProof/>
        </w:rPr>
        <w:instrText xml:space="preserve"> SEQ</w:instrText>
      </w:r>
      <w:r>
        <w:rPr>
          <w:noProof/>
        </w:rPr>
        <w:lastRenderedPageBreak/>
        <w:instrText xml:space="preserve"> Table \* ARABIC </w:instrText>
      </w:r>
      <w:r>
        <w:rPr>
          <w:noProof/>
        </w:rPr>
        <w:fldChar w:fldCharType="separate"/>
      </w:r>
      <w:r>
        <w:rPr>
          <w:noProof/>
        </w:rPr>
        <w:t>78</w:t>
      </w:r>
      <w:r>
        <w:rPr>
          <w:noProof/>
        </w:rPr>
        <w:fldChar w:fldCharType="end"/>
      </w:r>
      <w:r>
        <w:t xml:space="preserve">: </w:t>
      </w:r>
      <w:r w:rsidRPr="00AF3031">
        <w:t xml:space="preserve">Participant preferences for future access to professional suicide </w:t>
      </w:r>
      <w:r>
        <w:t xml:space="preserve">or self-harm </w:t>
      </w:r>
      <w:r w:rsidRPr="00AF3031">
        <w:t>support services</w:t>
      </w:r>
      <w:bookmarkEnd w:id="714"/>
      <w:r>
        <w:t xml:space="preserve"> (n = 2497)</w:t>
      </w:r>
      <w:bookmarkEnd w:id="715"/>
      <w:bookmarkEnd w:id="716"/>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3031" w14:paraId="1F6DFE74"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hideMark/>
          </w:tcPr>
          <w:p w14:paraId="36106D6E" w14:textId="77777777" w:rsidR="009D0006" w:rsidRPr="00AF3031" w:rsidRDefault="009D0006" w:rsidP="00E71DF8">
            <w:pPr>
              <w:pStyle w:val="Tableheader"/>
              <w:rPr>
                <w:lang w:val="en-US"/>
              </w:rPr>
            </w:pPr>
            <w:r w:rsidRPr="00AF3031">
              <w:rPr>
                <w:lang w:val="en-US"/>
              </w:rPr>
              <w:t>Suicide support access method preference</w:t>
            </w:r>
          </w:p>
        </w:tc>
        <w:tc>
          <w:tcPr>
            <w:tcW w:w="1559" w:type="dxa"/>
            <w:noWrap/>
            <w:hideMark/>
          </w:tcPr>
          <w:p w14:paraId="2F42E835" w14:textId="77777777" w:rsidR="009D0006" w:rsidRPr="00AF3031" w:rsidRDefault="009D0006" w:rsidP="00E71DF8">
            <w:pPr>
              <w:pStyle w:val="Tableheader"/>
              <w:rPr>
                <w:lang w:val="en-US"/>
              </w:rPr>
            </w:pPr>
            <w:r w:rsidRPr="00AF3031">
              <w:rPr>
                <w:lang w:val="en-US"/>
              </w:rPr>
              <w:t>n</w:t>
            </w:r>
          </w:p>
        </w:tc>
        <w:tc>
          <w:tcPr>
            <w:tcW w:w="1559" w:type="dxa"/>
            <w:noWrap/>
            <w:hideMark/>
          </w:tcPr>
          <w:p w14:paraId="34D30B87" w14:textId="77777777" w:rsidR="009D0006" w:rsidRPr="00AF3031" w:rsidRDefault="009D0006" w:rsidP="00E71DF8">
            <w:pPr>
              <w:pStyle w:val="Tableheader"/>
              <w:rPr>
                <w:lang w:val="en-US"/>
              </w:rPr>
            </w:pPr>
            <w:r w:rsidRPr="00AF3031">
              <w:rPr>
                <w:lang w:val="en-US"/>
              </w:rPr>
              <w:t>%</w:t>
            </w:r>
          </w:p>
        </w:tc>
      </w:tr>
      <w:tr w:rsidR="009D0006" w:rsidRPr="00AF3031" w14:paraId="48C1DCAC" w14:textId="77777777" w:rsidTr="00E71D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9C77BC2" w14:textId="77777777" w:rsidR="009D0006" w:rsidRPr="00AF3031" w:rsidRDefault="009D0006" w:rsidP="00E71DF8">
            <w:pPr>
              <w:pStyle w:val="Tabletext"/>
              <w:rPr>
                <w:lang w:val="en-US"/>
              </w:rPr>
            </w:pPr>
            <w:r w:rsidRPr="00AF3031">
              <w:rPr>
                <w:lang w:val="en-US"/>
              </w:rPr>
              <w:t>In-person</w:t>
            </w:r>
          </w:p>
        </w:tc>
        <w:tc>
          <w:tcPr>
            <w:tcW w:w="1559" w:type="dxa"/>
            <w:noWrap/>
          </w:tcPr>
          <w:p w14:paraId="54E3B697" w14:textId="77777777" w:rsidR="009D0006" w:rsidRPr="00AF3031" w:rsidRDefault="009D0006" w:rsidP="00E71DF8">
            <w:pPr>
              <w:pStyle w:val="Tabletext"/>
              <w:rPr>
                <w:lang w:val="en-US"/>
              </w:rPr>
            </w:pPr>
            <w:r>
              <w:t>1851</w:t>
            </w:r>
          </w:p>
        </w:tc>
        <w:tc>
          <w:tcPr>
            <w:tcW w:w="1559" w:type="dxa"/>
            <w:noWrap/>
          </w:tcPr>
          <w:p w14:paraId="3EE09506" w14:textId="77777777" w:rsidR="009D0006" w:rsidRPr="00AF3031" w:rsidRDefault="009D0006" w:rsidP="00E71DF8">
            <w:pPr>
              <w:pStyle w:val="Tabletext"/>
              <w:rPr>
                <w:lang w:val="en-US"/>
              </w:rPr>
            </w:pPr>
            <w:r>
              <w:t>74.1</w:t>
            </w:r>
          </w:p>
        </w:tc>
      </w:tr>
      <w:tr w:rsidR="009D0006" w:rsidRPr="00AF3031" w14:paraId="22D53B61" w14:textId="77777777" w:rsidTr="00E71D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03B95FD" w14:textId="77777777" w:rsidR="009D0006" w:rsidRPr="00AF3031" w:rsidRDefault="009D0006" w:rsidP="00E71DF8">
            <w:pPr>
              <w:pStyle w:val="Tabletext"/>
              <w:rPr>
                <w:lang w:val="en-US"/>
              </w:rPr>
            </w:pPr>
            <w:r w:rsidRPr="00AF3031">
              <w:rPr>
                <w:lang w:val="en-US"/>
              </w:rPr>
              <w:t>By text or webchat</w:t>
            </w:r>
          </w:p>
        </w:tc>
        <w:tc>
          <w:tcPr>
            <w:tcW w:w="1559" w:type="dxa"/>
            <w:noWrap/>
          </w:tcPr>
          <w:p w14:paraId="18F5ED25" w14:textId="77777777" w:rsidR="009D0006" w:rsidRPr="00AF3031" w:rsidRDefault="009D0006" w:rsidP="00E71DF8">
            <w:pPr>
              <w:pStyle w:val="Tabletext"/>
              <w:rPr>
                <w:lang w:val="en-US"/>
              </w:rPr>
            </w:pPr>
            <w:r>
              <w:t>397</w:t>
            </w:r>
          </w:p>
        </w:tc>
        <w:tc>
          <w:tcPr>
            <w:tcW w:w="1559" w:type="dxa"/>
            <w:noWrap/>
          </w:tcPr>
          <w:p w14:paraId="2D975CF0" w14:textId="77777777" w:rsidR="009D0006" w:rsidRPr="00AF3031" w:rsidRDefault="009D0006" w:rsidP="00E71DF8">
            <w:pPr>
              <w:pStyle w:val="Tabletext"/>
              <w:rPr>
                <w:lang w:val="en-US"/>
              </w:rPr>
            </w:pPr>
            <w:r>
              <w:t>15.9</w:t>
            </w:r>
          </w:p>
        </w:tc>
      </w:tr>
      <w:tr w:rsidR="009D0006" w:rsidRPr="00AF3031" w14:paraId="1686704C" w14:textId="77777777" w:rsidTr="00E71D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953CA0F" w14:textId="77777777" w:rsidR="009D0006" w:rsidRPr="00AF3031" w:rsidRDefault="009D0006" w:rsidP="00E71DF8">
            <w:pPr>
              <w:pStyle w:val="Tabletext"/>
              <w:rPr>
                <w:lang w:val="en-US"/>
              </w:rPr>
            </w:pPr>
            <w:r w:rsidRPr="00AF3031">
              <w:rPr>
                <w:lang w:val="en-US"/>
              </w:rPr>
              <w:t>By telephone</w:t>
            </w:r>
          </w:p>
        </w:tc>
        <w:tc>
          <w:tcPr>
            <w:tcW w:w="1559" w:type="dxa"/>
            <w:noWrap/>
          </w:tcPr>
          <w:p w14:paraId="4E7B88C6" w14:textId="77777777" w:rsidR="009D0006" w:rsidRPr="00AF3031" w:rsidRDefault="009D0006" w:rsidP="00E71DF8">
            <w:pPr>
              <w:pStyle w:val="Tabletext"/>
              <w:rPr>
                <w:lang w:val="en-US"/>
              </w:rPr>
            </w:pPr>
            <w:r>
              <w:t>38</w:t>
            </w:r>
          </w:p>
        </w:tc>
        <w:tc>
          <w:tcPr>
            <w:tcW w:w="1559" w:type="dxa"/>
            <w:noWrap/>
          </w:tcPr>
          <w:p w14:paraId="743B0046" w14:textId="77777777" w:rsidR="009D0006" w:rsidRPr="00AF3031" w:rsidRDefault="009D0006" w:rsidP="00E71DF8">
            <w:pPr>
              <w:pStyle w:val="Tabletext"/>
              <w:rPr>
                <w:lang w:val="en-US"/>
              </w:rPr>
            </w:pPr>
            <w:r>
              <w:t>1.5</w:t>
            </w:r>
          </w:p>
        </w:tc>
      </w:tr>
      <w:tr w:rsidR="009D0006" w:rsidRPr="00AF3031" w14:paraId="3D639E7A" w14:textId="77777777" w:rsidTr="00E71D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E8ED89E" w14:textId="77777777" w:rsidR="009D0006" w:rsidRPr="00AF3031" w:rsidRDefault="009D0006" w:rsidP="00E71DF8">
            <w:pPr>
              <w:pStyle w:val="Tabletext"/>
              <w:rPr>
                <w:lang w:val="en-US"/>
              </w:rPr>
            </w:pPr>
            <w:r w:rsidRPr="00AF3031">
              <w:rPr>
                <w:lang w:val="en-US"/>
              </w:rPr>
              <w:t>Other</w:t>
            </w:r>
          </w:p>
        </w:tc>
        <w:tc>
          <w:tcPr>
            <w:tcW w:w="1559" w:type="dxa"/>
            <w:noWrap/>
          </w:tcPr>
          <w:p w14:paraId="09190A68" w14:textId="77777777" w:rsidR="009D0006" w:rsidRPr="00AF3031" w:rsidRDefault="009D0006" w:rsidP="00E71DF8">
            <w:pPr>
              <w:pStyle w:val="Tabletext"/>
              <w:rPr>
                <w:lang w:val="en-US"/>
              </w:rPr>
            </w:pPr>
            <w:r>
              <w:t>15</w:t>
            </w:r>
          </w:p>
        </w:tc>
        <w:tc>
          <w:tcPr>
            <w:tcW w:w="1559" w:type="dxa"/>
            <w:noWrap/>
          </w:tcPr>
          <w:p w14:paraId="20B0E591" w14:textId="77777777" w:rsidR="009D0006" w:rsidRPr="00AF3031" w:rsidRDefault="009D0006" w:rsidP="00E71DF8">
            <w:pPr>
              <w:pStyle w:val="Tabletext"/>
              <w:rPr>
                <w:lang w:val="en-US"/>
              </w:rPr>
            </w:pPr>
            <w:r>
              <w:t>0.6</w:t>
            </w:r>
          </w:p>
        </w:tc>
      </w:tr>
      <w:tr w:rsidR="009D0006" w:rsidRPr="00AF3031" w14:paraId="386A5C38" w14:textId="77777777" w:rsidTr="00E71D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1C38E01" w14:textId="77777777" w:rsidR="009D0006" w:rsidRPr="00AF3031" w:rsidRDefault="009D0006" w:rsidP="00E71DF8">
            <w:pPr>
              <w:pStyle w:val="Tabletext"/>
              <w:rPr>
                <w:lang w:val="en-US"/>
              </w:rPr>
            </w:pPr>
            <w:r w:rsidRPr="00AF3031">
              <w:rPr>
                <w:lang w:val="en-US"/>
              </w:rPr>
              <w:t>Don't know</w:t>
            </w:r>
          </w:p>
        </w:tc>
        <w:tc>
          <w:tcPr>
            <w:tcW w:w="1559" w:type="dxa"/>
            <w:noWrap/>
          </w:tcPr>
          <w:p w14:paraId="362B947B" w14:textId="77777777" w:rsidR="009D0006" w:rsidRPr="00AF3031" w:rsidRDefault="009D0006" w:rsidP="00E71DF8">
            <w:pPr>
              <w:pStyle w:val="Tabletext"/>
              <w:rPr>
                <w:lang w:val="en-US"/>
              </w:rPr>
            </w:pPr>
            <w:r>
              <w:t>196</w:t>
            </w:r>
          </w:p>
        </w:tc>
        <w:tc>
          <w:tcPr>
            <w:tcW w:w="1559" w:type="dxa"/>
            <w:noWrap/>
          </w:tcPr>
          <w:p w14:paraId="40EBFD8A" w14:textId="77777777" w:rsidR="009D0006" w:rsidRPr="00AF3031" w:rsidRDefault="009D0006" w:rsidP="00E71DF8">
            <w:pPr>
              <w:pStyle w:val="Tabletext"/>
              <w:rPr>
                <w:lang w:val="en-US"/>
              </w:rPr>
            </w:pPr>
            <w:r>
              <w:t>7.8</w:t>
            </w:r>
          </w:p>
        </w:tc>
      </w:tr>
    </w:tbl>
    <w:p w14:paraId="0B6581AB" w14:textId="77777777" w:rsidR="009D0006" w:rsidRPr="00C47CBF" w:rsidRDefault="009D0006" w:rsidP="00184CF2">
      <w:pPr>
        <w:spacing w:before="360"/>
      </w:pPr>
      <w:r>
        <w:t xml:space="preserve">As shown in Table 78, among participants with disability in </w:t>
      </w:r>
      <w:r>
        <w:rPr>
          <w:i/>
          <w:iCs/>
        </w:rPr>
        <w:t>Writing Themselves In 4</w:t>
      </w:r>
      <w:r>
        <w:t>, almost three-quarters expressed a preference for receiving potential future professional suicide or self-harm support services in-person (74.1</w:t>
      </w:r>
      <w:r>
        <w:rPr>
          <w:lang w:val="en-GB"/>
        </w:rPr>
        <w:t>%; n = 1851). Less than one-fifth held a preference for suicide support services that were accessed by text or webchat (15.9%; n = 397). Few participants expressed a preference for a telephone support service (1.5%; n = 38) or a professional support service provided through other means (0.6%; n = 15). Less than 1 in 10 participants were unsure of their preference for service provision (7.8%; n = 196).</w:t>
      </w:r>
    </w:p>
    <w:p w14:paraId="502C304C" w14:textId="1D3C1CC8" w:rsidR="009D0006" w:rsidRPr="009761D5" w:rsidRDefault="009D0006" w:rsidP="006346CA">
      <w:pPr>
        <w:pStyle w:val="Heading2Numbered"/>
      </w:pPr>
      <w:bookmarkStart w:id="717" w:name="_Toc58252122"/>
      <w:bookmarkStart w:id="718" w:name="_Toc115968607"/>
      <w:bookmarkStart w:id="719" w:name="_Toc119662449"/>
      <w:r w:rsidRPr="009761D5">
        <w:t>Summary</w:t>
      </w:r>
      <w:bookmarkEnd w:id="717"/>
      <w:r>
        <w:t xml:space="preserve"> and relation to existing literature</w:t>
      </w:r>
      <w:bookmarkEnd w:id="718"/>
      <w:bookmarkEnd w:id="719"/>
      <w:r>
        <w:t xml:space="preserve"> </w:t>
      </w:r>
    </w:p>
    <w:p w14:paraId="4A45AFC5" w14:textId="77777777" w:rsidR="009D0006" w:rsidRDefault="009D0006" w:rsidP="009D0006">
      <w:r>
        <w:t xml:space="preserve">Overall, young people with disability in </w:t>
      </w:r>
      <w:r>
        <w:rPr>
          <w:i/>
          <w:iCs/>
        </w:rPr>
        <w:t xml:space="preserve">Writing Themselves In 4 </w:t>
      </w:r>
      <w:r>
        <w:t xml:space="preserve">and adults with disability in </w:t>
      </w:r>
      <w:r>
        <w:rPr>
          <w:i/>
          <w:iCs/>
        </w:rPr>
        <w:t>Private Lives 3</w:t>
      </w:r>
      <w:r>
        <w:t xml:space="preserve"> reported higher levels of psychological distress in the past 4 weeks, as well as higher levels of suicidal ideation and suicide attempts in the past 12 months and in their lifetimes, than their peers without disability, and substantially higher than the general Australian population. For example, nine-tenths of </w:t>
      </w:r>
      <w:r w:rsidRPr="00C47CBF">
        <w:t>participants</w:t>
      </w:r>
      <w:r>
        <w:t xml:space="preserve"> </w:t>
      </w:r>
      <w:r w:rsidRPr="00E41D1A">
        <w:t xml:space="preserve">with disability </w:t>
      </w:r>
      <w:r>
        <w:t xml:space="preserve">aged 14-21years </w:t>
      </w:r>
      <w:r w:rsidRPr="00C47CBF">
        <w:t xml:space="preserve">in </w:t>
      </w:r>
      <w:r w:rsidRPr="00C47CBF">
        <w:rPr>
          <w:i/>
          <w:iCs/>
        </w:rPr>
        <w:t>Writing Themselves In 4</w:t>
      </w:r>
      <w:r w:rsidRPr="00C47CBF">
        <w:t xml:space="preserve"> had experienced high or very high levels of psychological distress</w:t>
      </w:r>
      <w:r>
        <w:t xml:space="preserve"> </w:t>
      </w:r>
      <w:r w:rsidRPr="00C47CBF">
        <w:t xml:space="preserve">compared to </w:t>
      </w:r>
      <w:r>
        <w:t xml:space="preserve">seven-tenths of </w:t>
      </w:r>
      <w:r w:rsidRPr="00C47CBF">
        <w:t>participants without disability</w:t>
      </w:r>
      <w:r>
        <w:t>. Similarly, 15% of those with disability had attempted suicide in the past 12 months compared to 6% among those without disability.</w:t>
      </w:r>
    </w:p>
    <w:p w14:paraId="6E750270" w14:textId="77777777" w:rsidR="009D0006" w:rsidRDefault="009D0006" w:rsidP="009D0006">
      <w:r>
        <w:t xml:space="preserve">Young people with disability aged 14-21 years in </w:t>
      </w:r>
      <w:r>
        <w:rPr>
          <w:i/>
          <w:iCs/>
        </w:rPr>
        <w:t xml:space="preserve">Writing Themselves In 4 </w:t>
      </w:r>
      <w:r>
        <w:t xml:space="preserve">and adults aged 18+ years in </w:t>
      </w:r>
      <w:r>
        <w:rPr>
          <w:i/>
          <w:iCs/>
        </w:rPr>
        <w:t>Private Lives 3</w:t>
      </w:r>
      <w:r>
        <w:t xml:space="preserve"> who had experienced harassment, abuse, assault or exclusion </w:t>
      </w:r>
      <w:r w:rsidRPr="00D8707E">
        <w:t>in the past 12 months</w:t>
      </w:r>
      <w:r>
        <w:t xml:space="preserve"> based on their sexual orientation or gender identity</w:t>
      </w:r>
      <w:r w:rsidRPr="00D8707E">
        <w:t xml:space="preserve"> reported</w:t>
      </w:r>
      <w:r>
        <w:t xml:space="preserve"> higher levels of</w:t>
      </w:r>
      <w:r w:rsidRPr="00D8707E">
        <w:t xml:space="preserve"> psychological distress, </w:t>
      </w:r>
      <w:r>
        <w:t xml:space="preserve">suicidal ideation and suicide attempts </w:t>
      </w:r>
      <w:r w:rsidRPr="00D8707E">
        <w:t xml:space="preserve">compared to participants who </w:t>
      </w:r>
      <w:r>
        <w:t>did not report experiencing</w:t>
      </w:r>
      <w:r w:rsidRPr="00D8707E">
        <w:t xml:space="preserve"> these forms or harassment in the past 12</w:t>
      </w:r>
      <w:r w:rsidRPr="00D8707E">
        <w:lastRenderedPageBreak/>
        <w:t xml:space="preserve"> months. </w:t>
      </w:r>
      <w:r>
        <w:t xml:space="preserve">For example, one-fifth of young people with disability aged 14-21 years in </w:t>
      </w:r>
      <w:r>
        <w:rPr>
          <w:i/>
          <w:iCs/>
        </w:rPr>
        <w:t xml:space="preserve">Writing Themselves In 4 </w:t>
      </w:r>
      <w:r>
        <w:t xml:space="preserve">who had experienced verbal harassment had attempted suicide in the past 12 months compared to one-tenth of participants who had not experienced any harassment. Similarly, one-third of those who had experienced physical harassment had attempted suicide in the past 12 months compared to one-tenth of those who had not. Among adults with disability aged 18+ years in </w:t>
      </w:r>
      <w:r>
        <w:rPr>
          <w:i/>
          <w:iCs/>
        </w:rPr>
        <w:t>Private Lives 3</w:t>
      </w:r>
      <w:r>
        <w:t>, 13% of participants who had experienced social exclusion in the past 12 months had attempted suicide compared to 4.4% who had not.</w:t>
      </w:r>
    </w:p>
    <w:p w14:paraId="19EB75C8" w14:textId="77777777" w:rsidR="009D0006" w:rsidRDefault="009D0006" w:rsidP="009D0006">
      <w:r>
        <w:rPr>
          <w:lang w:val="en-GB"/>
        </w:rPr>
        <w:t>Suicide support services were not accessed by many participants with disability who had experienced suicidal ideation or had attempted suicide. Among young people</w:t>
      </w:r>
      <w:r w:rsidRPr="00624287">
        <w:rPr>
          <w:lang w:val="en-GB"/>
        </w:rPr>
        <w:t xml:space="preserve"> with disability</w:t>
      </w:r>
      <w:r>
        <w:rPr>
          <w:lang w:val="en-GB"/>
        </w:rPr>
        <w:t xml:space="preserve"> in </w:t>
      </w:r>
      <w:r>
        <w:rPr>
          <w:i/>
          <w:iCs/>
          <w:lang w:val="en-GB"/>
        </w:rPr>
        <w:t>Writing Themselves In 4</w:t>
      </w:r>
      <w:r w:rsidRPr="00624287">
        <w:rPr>
          <w:lang w:val="en-GB"/>
        </w:rPr>
        <w:t xml:space="preserve"> who reported any suicidal ideation, planning, attempts or self-harm in the past 12 months</w:t>
      </w:r>
      <w:r>
        <w:rPr>
          <w:lang w:val="en-GB"/>
        </w:rPr>
        <w:t xml:space="preserve">, only half had accessed a professional suicide or self-harm support service in this time frame. </w:t>
      </w:r>
      <w:r>
        <w:t>Among participants who had accessed an in-person professional counselling or support service, approximately three-fifths felt that this service had made their situation better</w:t>
      </w:r>
      <w:r>
        <w:rPr>
          <w:lang w:val="en-GB"/>
        </w:rPr>
        <w:t xml:space="preserve">. Less than half of participants who had accessed a professional telephone support service felt that this had made their situation better, and approximately one-third who had accessed a professional text or webchat support service felt that this had made their situation better. Three-fifths of </w:t>
      </w:r>
      <w:r>
        <w:t>young people with disability</w:t>
      </w:r>
      <w:r w:rsidRPr="009761D5">
        <w:t xml:space="preserve"> </w:t>
      </w:r>
      <w:r>
        <w:t xml:space="preserve">who had accessed an LGBTIQA+ </w:t>
      </w:r>
      <w:r w:rsidRPr="009761D5">
        <w:t>professional service regarding suicide or self-harm the most recent time</w:t>
      </w:r>
      <w:r>
        <w:t xml:space="preserve"> reported that the situation was made better. </w:t>
      </w:r>
    </w:p>
    <w:p w14:paraId="79122D21" w14:textId="77777777" w:rsidR="009D0006" w:rsidRDefault="009D0006" w:rsidP="009D0006">
      <w:pPr>
        <w:rPr>
          <w:lang w:val="en-GB"/>
        </w:rPr>
      </w:pPr>
      <w:r>
        <w:t xml:space="preserve">Among young people with disability in </w:t>
      </w:r>
      <w:r>
        <w:rPr>
          <w:i/>
          <w:iCs/>
        </w:rPr>
        <w:t>Writing Themselves In 4</w:t>
      </w:r>
      <w:r>
        <w:t xml:space="preserve">, almost three-quarters expressed a preference for receiving potential future professional suicide support services in-person. </w:t>
      </w:r>
      <w:r>
        <w:rPr>
          <w:lang w:val="en-GB"/>
        </w:rPr>
        <w:t>Less than one-fifth held a preference for suicide support services that were accessed by text or webchat, and few participants expressed a preference for a telephone support service.</w:t>
      </w:r>
    </w:p>
    <w:p w14:paraId="495A4306" w14:textId="77777777" w:rsidR="009D0006" w:rsidRDefault="009D0006" w:rsidP="009D0006">
      <w:r>
        <w:t xml:space="preserve">The findings of this analysis align with other research conducted among this population. Mixed method research from both Australia and the United States has identified that </w:t>
      </w:r>
      <w:r w:rsidRPr="005D1B0D">
        <w:t xml:space="preserve">LGBT </w:t>
      </w:r>
      <w:r>
        <w:t>people</w:t>
      </w:r>
      <w:r w:rsidRPr="005D1B0D">
        <w:t xml:space="preserve"> with disabilit</w:t>
      </w:r>
      <w:r>
        <w:t>y</w:t>
      </w:r>
      <w:r w:rsidRPr="005D1B0D">
        <w:t xml:space="preserve"> have been found to be more likely to experience mental health conditions, psychological distress and suicidality compared to both LGBT people without disabilit</w:t>
      </w:r>
      <w:r>
        <w:t>y</w:t>
      </w:r>
      <w:r w:rsidRPr="005D1B0D">
        <w:t xml:space="preserve"> and heterosexual-identifying people</w:t>
      </w:r>
      <w:r>
        <w:t>.</w:t>
      </w:r>
      <w:r w:rsidRPr="005D1B0D">
        <w:fldChar w:fldCharType="begin"/>
      </w:r>
      <w:r>
        <w:instrText xml:space="preserve"> ADDIN ZOTERO_ITEM CSL_CITATION {"citationID":"lhJJtb5Y","properties":{"formattedCitation":"(44,51,67)","plainCitation":"(44,51,67)","noteIndex":0},"citationItems":[{"id":"hc6yy1rM/nsPCm5Qt","uris":["http://zotero.org/users/4948307/items/7I2M7HCM"],"itemData":{"id":4744,"type":"article-journal","abstract":"Research about students with disabilities and students identifying as LGBQ (lesbian, gay, bisexual, or questioning) reveals that both populations report more suicidality and peer victimization and less school connectedness than do their peers. No study has previously examined the intersection of these identities with regard to peer victimization, school connectedness, and suicidality. Using a sample of 11,364 high school students, we examined the relationships among these identities, peer victimization, and school connectedness with suicidal ideation. Compared with their peers without either identity, students identifying with one of these identities reported higher levels of suicidal ideation. School connectedness and peer victimization each moderated the association between identity and suicidal ideation. In addition, students who were victimized more than their peers and who identified both with a disability and as LGBQ (n = 250) reported the highest levels of suicidal ideation. School-based victimization and suicide prevention programs should consider students’ multiple identities. © The Author(s) 2017.","archive":"Scopus","container-title":"Exceptional Children","DOI":"10.1177/0014402917736261","ISSN":"00144029","issue":"2","language":"English","page":"141-158","title":"Suicidality and intersectionality among students identifying as nonheterosexual and with a disability","volume":"84","author":[{"family":"King","given":"M. T."},{"family":"Merrin","given":"G. J."},{"family":"Espelage","given":"D. L."},{"family":"Grant","given":"N. J."},{"family":"Bub","given":"K. L."}],"issued":{"date-parts":[["2018"]]}}},{"id":"hc6yy1rM/4KP81inl","uris":["http://zotero.org/users/4948307/items/IB9U2PC3"],"itemData":{"id":140,"type":"report","language":"en","note":"OCLC: 976431115","source":"Open WorldCat","title":"The everyday experiences of lesbian, gay, bisexual, transgender and intersex (LGBTI) people living with disability","title-short":"LGBTI+ History Month","author":[{"family":"Leonard","given":"William"},{"family":"Mann","given":"Rosemary"}],"issued":{"date-parts":[["2018"]]}}},{"id":"hc6yy1rM/pQ5KUzAp","uris":["http://zotero.org/users/4948307/items/GUKXW3IF"],"itemData":{"id":4920,"type":"chapter","abstract":"This chapter explores the mental health experiences and needs of sexual and gender minority individuals with disabilities. The authors review the evidence-based research on mental health, highlighting the role of stigma, discrimination, and barriers to care. Autistic sexual and gender minority individuals are used to illustrate the unique experiences of subgroups. Much of the research on this topic is exploratory or descriptive in nature, focused on the experiences of and prevalence rates of individuals from sexual and gender minorities. The chapter concludes with a discussion of future directions for research, and the importance of centering the voices of sexual and gender minority individuals with disabilities in research and practice whenever possible. © Oxford University Press 2020.","archive":"Scopus","container-title":"The Oxford Handbook of Sexual and Gender Minority Mental Health","ISBN":"9780190067991","language":"English","note":"DOI: 10.1093/oxfordhb/9780190067991.013.36","page":"407-417","publisher":"Oxford University Press","title":"Mental health for sexual and gender minority individuals with physical or cognitive disabilities","URL":"https://www.scopus.com/inward/record.uri?eid=2-s2.0-85111311602&amp;doi=10.1093%2foxfordhb%2f9780190067991.013.36&amp;partnerID=40&amp;md5=ce30d5e52ef87fdbede26dd5791f0c6c","author":[{"family":"Maroney","given":"M. R."},{"family":"McGinley","given":"M."}],"issued":{"date-parts":[["2020"]]}}}],"schema":"https://github.com/citation-style-language/schema/raw/master/csl-citation.json"} </w:instrText>
      </w:r>
      <w:r w:rsidRPr="005D1B0D">
        <w:fldChar w:fldCharType="separate"/>
      </w:r>
      <w:r>
        <w:rPr>
          <w:lang w:val="en-GB"/>
        </w:rPr>
        <w:t>(44,51,67)</w:t>
      </w:r>
      <w:r w:rsidRPr="005D1B0D">
        <w:fldChar w:fldCharType="end"/>
      </w:r>
      <w:r w:rsidRPr="005D1B0D">
        <w:t xml:space="preserve"> Poorer mental health among LGB</w:t>
      </w:r>
      <w:r>
        <w:t xml:space="preserve"> </w:t>
      </w:r>
      <w:r w:rsidRPr="005D1B0D">
        <w:t xml:space="preserve">people </w:t>
      </w:r>
      <w:r>
        <w:t xml:space="preserve">is largely </w:t>
      </w:r>
      <w:r w:rsidRPr="005D1B0D">
        <w:t>due to stigma, prejudice and discrimination and hostile and stressful social environments</w:t>
      </w:r>
      <w:r>
        <w:t>.</w:t>
      </w:r>
      <w:r w:rsidRPr="005D1B0D">
        <w:fldChar w:fldCharType="begin"/>
      </w:r>
      <w:r>
        <w:instrText xml:space="preserve"> ADDIN ZOTERO_ITEM CSL_CITATION {"citationID":"l8a8xxpm","properties":{"formattedCitation":"(68,69)","plainCitation":"(68,69)","noteIndex":0},"citationItems":[{"id":"hc6yy1rM/tNmMTIvR","uris":["http://zotero.org/users/4948307/items/WTKCDFZC"],"itemData":{"id":652,"type":"article-journal","abstract":"Sexual minorities are at increased risk for multiple mental health burdens compared with heterosexuals. The field has identified 2 distinct determinants of this risk, including group-specific minority stressors and general psychological processes that are common across sexual orientations. The goal of the present article is to develop a theoretical framework that integrates the important insights from these literatures. The framework postulates that (a) sexual minorities confront increased stress exposure resulting from stigma; (b) this stigma-related stress creates elevations in general emotion dysregulation, social/interpersonal problems, and cognitive processes conferring risk for psychopathology; and (c) these processes in turn mediate the relationship between stigma-related stress and psychopathology. It is argued that this framework can, theoretically, illuminate how stigma adversely affects mental health and, practically, inform clinical interventions. Evidence for the predictive validity of this framework is reviewed, with particular attention paid to illustrative examples from research on depression, anxiety, and alcohol-use disorders.","archive":"PubMed","archive_location":"19702379","container-title":"Psychological bulletin","DOI":"10.1037/a0016441","ISSN":"0033-2909","issue":"5","journalAbbreviation":"Psychol Bull","language":"eng","page":"707-730","title":"How does sexual minority stigma \"get under the skin\"? A psychological mediation framework","volume":"135","author":[{"family":"Hatzenbuehler","given":"Mark L"}],"issued":{"date-parts":[["2009",9]]}}},{"id":"hc6yy1rM/DGqg9uPB","uris":["http://zotero.org/users/4948307/items/FQBBDVCQ"],"itemData":{"id":654,"type":"article-journal","abstract":"In this article the author reviews research evidence on the prevalence of mental disorders in lesbians, gay men, and bisexuals (LGBs) and shows, using meta-analyses, that LGBs have a higher prevalence of mental disorders than heterosexuals. The author offers a conceptual framework for understanding this excess in prevalence of disorder in terms of minority stress--explaining that stigma, prejudice, and discrimination create a hostile and stressful social environment that causes mental health problems. The model describes stress processes, including the experience of prejudice events, expectations of rejection, hiding and concealing, internalized homophobia, and ameliorative coping processes. This conceptual framework is the basis for the review of research evidence, suggestions for future research directions, and exploration of public policy implications.","archive":"PubMed","archive_location":"12956539","container-title":"Psychological bulletin","DOI":"10.1037/0033-2909.129.5.674","ISSN":"0033-2909","issue":"5","journalAbbreviation":"Psychol Bull","language":"eng","page":"674-697","title":"Prejudice, social stress, and mental health in lesbian, gay, and bisexual populations: conceptual issues and research evidence","volume":"129","author":[{"family":"Meyer","given":"Ilan H"}],"issued":{"date-parts":[["2003",9]]}}}],"schema":"https://github.com/citation-style-language/schema/raw/master/csl-citation.json"} </w:instrText>
      </w:r>
      <w:r w:rsidRPr="005D1B0D">
        <w:fldChar w:fldCharType="separate"/>
      </w:r>
      <w:r>
        <w:rPr>
          <w:lang w:val="en-GB"/>
        </w:rPr>
        <w:t>(68,69)</w:t>
      </w:r>
      <w:r w:rsidRPr="005D1B0D">
        <w:fldChar w:fldCharType="end"/>
      </w:r>
      <w:r w:rsidRPr="005D1B0D">
        <w:t xml:space="preserve"> These findings are particularly prevalent among LGBTQ</w:t>
      </w:r>
      <w:r>
        <w:t>A+</w:t>
      </w:r>
      <w:r w:rsidRPr="005D1B0D">
        <w:t xml:space="preserve"> you</w:t>
      </w:r>
      <w:r w:rsidRPr="005D1B0D">
        <w:lastRenderedPageBreak/>
        <w:t xml:space="preserve">th with disability. For example, </w:t>
      </w:r>
      <w:r>
        <w:t>lesbian, gay, bisexual and trans and gender diverse</w:t>
      </w:r>
      <w:r w:rsidRPr="005D1B0D">
        <w:t xml:space="preserve"> students with disabilit</w:t>
      </w:r>
      <w:r>
        <w:t>y</w:t>
      </w:r>
      <w:r w:rsidRPr="005D1B0D">
        <w:t xml:space="preserve"> who reported experiences of victimisation had the highest rates of suicidal ideation compared to their heterosexual peers without disability in the U</w:t>
      </w:r>
      <w:r>
        <w:t>.</w:t>
      </w:r>
      <w:r w:rsidRPr="005D1B0D">
        <w:t>S</w:t>
      </w:r>
      <w:r>
        <w:t>.</w:t>
      </w:r>
      <w:r w:rsidRPr="005D1B0D">
        <w:fldChar w:fldCharType="begin"/>
      </w:r>
      <w:r>
        <w:instrText xml:space="preserve"> ADDIN ZOTERO_ITEM CSL_CITATION {"citationID":"yYQTJEGs","properties":{"formattedCitation":"(44)","plainCitation":"(44)","noteIndex":0},"citationItems":[{"id":"hc6yy1rM/nsPCm5Qt","uris":["http://zotero.org/users/4948307/items/7I2M7HCM"],"itemData":{"id":4744,"type":"article-journal","abstract":"Research about students with disabilities and students identifying as LGBQ (lesbian, gay, bisexual, or questioning) reveals that both populations report more suicidality and peer victimization and less school connectedness than do their peers. No study has previously examined the intersection of these identities with regard to peer victimization, school connectedness, and suicidality. Using a sample of 11,364 high school students, we examined the relationships among these identities, peer victimization, and school connectedness with suicidal ideation. Compared with their peers without either identity, students identifying with one of these identities reported higher levels of suicidal ideation. School connectedness and peer victimization each moderated the association between identity and suicidal ideation. In addition, students who were victimized more than their peers and who identified both with a disability and as LGBQ (n = 250) reported the highest levels of suicidal ideation. School-based victimization and suicide prevention programs should consider students’ multiple identities. © The Author(s) 2017.","archive":"Scopus","container-title":"Exceptional Children","DOI":"10.1177/0014402917736261","ISSN":"00144029","issue":"2","language":"English","page":"141-158","title":"Suicidality and intersectionality among students identifying as nonheterosexual and with a disability","volume":"84","author":[{"family":"King","given":"M. T."},{"family":"Merrin","given":"G. J."},{"family":"Espelage","given":"D. L."},{"family":"Grant","given":"N. J."},{"family":"Bub","given":"K. L."}],"issued":{"date-parts":[["2018"]]}}}],"schema":"https://github.com/citation-style-language/schema/raw/master/csl-citation.json"} </w:instrText>
      </w:r>
      <w:r w:rsidRPr="005D1B0D">
        <w:fldChar w:fldCharType="separate"/>
      </w:r>
      <w:r>
        <w:rPr>
          <w:lang w:val="en-GB"/>
        </w:rPr>
        <w:t>(44)</w:t>
      </w:r>
      <w:r w:rsidRPr="005D1B0D">
        <w:fldChar w:fldCharType="end"/>
      </w:r>
      <w:r w:rsidRPr="005D1B0D">
        <w:t xml:space="preserve"> Specifically, they were 2.8 times more likely to report suicidal ideation compared to their heterosexual counterparts without disability. This compares to 2.2 times more likely for </w:t>
      </w:r>
      <w:r>
        <w:t>lesbian, gay, bisexual and trans and gender diverse</w:t>
      </w:r>
      <w:r w:rsidRPr="005D1B0D">
        <w:t xml:space="preserve"> youth without disability and 2.0 times more likely for heterosexual youth with disability. </w:t>
      </w:r>
    </w:p>
    <w:p w14:paraId="26CA16B9" w14:textId="77777777" w:rsidR="009D0006" w:rsidRPr="001B3036" w:rsidRDefault="009D0006" w:rsidP="009D0006">
      <w:r>
        <w:rPr>
          <w:lang w:val="en-US"/>
        </w:rPr>
        <w:t>It is important to note that</w:t>
      </w:r>
      <w:r w:rsidRPr="009761D5">
        <w:rPr>
          <w:lang w:val="en-US"/>
        </w:rPr>
        <w:t xml:space="preserve"> many LGBTQA+ people</w:t>
      </w:r>
      <w:r>
        <w:rPr>
          <w:lang w:val="en-US"/>
        </w:rPr>
        <w:t xml:space="preserve"> with disability</w:t>
      </w:r>
      <w:r w:rsidRPr="009761D5">
        <w:rPr>
          <w:lang w:val="en-US"/>
        </w:rPr>
        <w:t xml:space="preserve"> live </w:t>
      </w:r>
      <w:r>
        <w:rPr>
          <w:lang w:val="en-US"/>
        </w:rPr>
        <w:t>happy and confident lives. However,</w:t>
      </w:r>
      <w:r w:rsidRPr="009761D5">
        <w:rPr>
          <w:lang w:val="en-US"/>
        </w:rPr>
        <w:t xml:space="preserve"> many </w:t>
      </w:r>
      <w:r>
        <w:rPr>
          <w:lang w:val="en-US"/>
        </w:rPr>
        <w:t>may</w:t>
      </w:r>
      <w:r w:rsidRPr="009761D5">
        <w:rPr>
          <w:lang w:val="en-US"/>
        </w:rPr>
        <w:t xml:space="preserve"> struggle with mental health at some point in their </w:t>
      </w:r>
      <w:r>
        <w:rPr>
          <w:lang w:val="en-US"/>
        </w:rPr>
        <w:t>lives</w:t>
      </w:r>
      <w:r w:rsidRPr="009761D5">
        <w:rPr>
          <w:lang w:val="en-US"/>
        </w:rPr>
        <w:t xml:space="preserve"> and </w:t>
      </w:r>
      <w:r>
        <w:t>may also</w:t>
      </w:r>
      <w:r w:rsidRPr="005D1B0D">
        <w:t xml:space="preserve"> experience barriers to care, including experiences of bias or negative attitudes from service providers, and larger systemic issues. Experiences of discrimination were identified as the main reason</w:t>
      </w:r>
      <w:r>
        <w:t xml:space="preserve"> that</w:t>
      </w:r>
      <w:r w:rsidRPr="005D1B0D">
        <w:t xml:space="preserve"> </w:t>
      </w:r>
      <w:r>
        <w:t>lesbian, gay and bisexual</w:t>
      </w:r>
      <w:r w:rsidRPr="005D1B0D">
        <w:t xml:space="preserve"> people with disability reported difficulty accessing services in a U</w:t>
      </w:r>
      <w:r>
        <w:t>.</w:t>
      </w:r>
      <w:r w:rsidRPr="005D1B0D">
        <w:t>S</w:t>
      </w:r>
      <w:r>
        <w:t>.</w:t>
      </w:r>
      <w:r w:rsidRPr="005D1B0D">
        <w:t xml:space="preserve"> study</w:t>
      </w:r>
      <w:r>
        <w:t>.</w:t>
      </w:r>
      <w:r w:rsidRPr="005D1B0D">
        <w:fldChar w:fldCharType="begin"/>
      </w:r>
      <w:r>
        <w:instrText xml:space="preserve"> ADDIN ZOTERO_ITEM CSL_CITATION {"citationID":"92uYLmF2","properties":{"formattedCitation":"(70)","plainCitation":"(70)","noteIndex":0},"citationItems":[{"id":"hc6yy1rM/qEZq8e1V","uris":["http://zotero.org/users/4948307/items/K6VJT3W9"],"itemData":{"id":6989,"type":"article-journal","container-title":"Re-thinking identity: The challenge of diversity","page":"49-67","title":"It’s not just about ramps and Braille: Disability and sexual orientation.","author":[{"family":"Brothers","given":"M"}],"issued":{"date-parts":[["2003"]]}}}],"schema":"https://github.com/citation-style-language/schema/raw/master/csl-citation.json"} </w:instrText>
      </w:r>
      <w:r w:rsidRPr="005D1B0D">
        <w:fldChar w:fldCharType="separate"/>
      </w:r>
      <w:r>
        <w:rPr>
          <w:lang w:val="en-GB"/>
        </w:rPr>
        <w:t>(70)</w:t>
      </w:r>
      <w:r w:rsidRPr="005D1B0D">
        <w:fldChar w:fldCharType="end"/>
      </w:r>
      <w:r w:rsidRPr="005D1B0D">
        <w:t xml:space="preserve"> Similarly, studies have found that health providers may be knowledgeable regarding either their sexual orientation or their disability, but not the intersection of these two experiences</w:t>
      </w:r>
      <w:r>
        <w:t>.</w:t>
      </w:r>
      <w:r w:rsidRPr="005D1B0D">
        <w:fldChar w:fldCharType="begin"/>
      </w:r>
      <w:r>
        <w:instrText xml:space="preserve"> ADDIN ZOTERO_ITEM CSL_CITATION {"citationID":"oisJMhew","properties":{"formattedCitation":"(10,71)","plainCitation":"(10,71)","noteIndex":0},"citationItems":[{"id":"hc6yy1rM/rfn9mBtH","uris":["http://zotero.org/users/4948307/items/VEEPINF4"],"itemData":{"id":6988,"type":"article-journal","abstract":"The authors interviewed 25 lesbians with physical disabilities about their perspectives on their partner-related experiences. Using phenomenological inquiry, they identified two themes: one, how the disability affected the partnership and, two, treatment as a lesbian couple by rehabilitation professionals. The themes and subthemes are described in detail, and implications for rehabilitation counselors are presented.","container-title":"Rehabilitation Counseling Bulletin","DOI":"10.1177/0034355208320933","ISSN":"0034-3552","issue":"3","journalAbbreviation":"Rehabilitation Counseling Bulletin","note":"publisher: SAGE Publications","page":"167-178","title":"Partner-Related Rehabilitation Experiences of Lesbians with Physical Disabilities: A Qualitative Study","volume":"52","author":[{"family":"Hunt","given":"Brandon"},{"family":"Milsom","given":"Amy"},{"family":"Matthews","given":"Connie R."}],"issued":{"date-parts":[["2009",4,1]]}}},{"id":6164,"uris":["http://zotero.org/users/7230459/items/NF96KK45"],"itemData":{"id":6164,"type":"article-journal","abstract":"Healthcare and disability support services are increasing their efforts towards inclusion and recognising the needs of different groups. This research project was conducted by academic and peer researchers (LGBTIQA+ people with disability) in Victoria, Australia using four focus groups with LGBTIQA+ people with disability. We report on two overarching themes relating to participants’ experiences of accessing health services as LGBTIQA+ people with disability: difficulties in managing multiple identities and the impacts of community services and supports. Participants described having to repeatedly ‘come out’ in a range of ways and contexts as complex and layered processes in which it was difficult to present their full range of needs and experiences to services. We also found that the role of community in promoting a sense of belonging and resilience increased capacity to manage health service use and advocacy. Services and communities aiming to be inclusive to all have the opportunity to recognise and respond to the issues faced by LGBTIQA+ people with disability as a way to pay attention to how overt and subtle practices of discrimination continue to operate despite repeated attempts at or claims of being ‘inclusive.’ Our research suggests actual inclusive, accessible services can be achieved in part through policy and practice that actively responds to the specific needs of LGBTIQA+ people with disability, in addition to LGBTIQA+ education for disability services and disability and accessibility education for LGBTIQA+ focused services. As we do in this article, we argue that this work must be done by prioritising authentic participation of LGBTIQA+ people with disability in the services and research that is about them.","container-title":"International Journal of Environmental Research and Public Health","DOI":"10.3390/ijerph17218080","ISSN":"1660-4601","issue":"21","language":"en","note":"number: 21\npublisher: Multidisciplinary Digital Publishing Institute","page":"8080","source":"www.mdpi.com","title":"Experiences of LGBTIQA+ People with Disability in Healthcare and Community Services: Towards Embracing Multiple Identities","title-short":"Experiences of LGBTIQA+ People with Disability in Healthcare and Community Services","volume":"17","author":[{"family":"O'Shea","given":"Amie"},{"family":"Latham","given":"J. R."},{"family":"McNair","given":"Ruth"},{"family":"Despott","given":"Nathan"},{"family":"Rose","given":"Mellem"},{"family":"Mountford","given":"Ruby"},{"family":"Frawley","given":"Patsie"}],"issued":{"date-parts":[["2020",1]]},"citation-key":"osheaExperiencesLGBTIQAPeople2020a"}}],"schema":"https://github.com/citation-style-language/schema/raw/master/csl-citation.json"} </w:instrText>
      </w:r>
      <w:r w:rsidRPr="005D1B0D">
        <w:fldChar w:fldCharType="separate"/>
      </w:r>
      <w:r>
        <w:rPr>
          <w:lang w:val="en-GB"/>
        </w:rPr>
        <w:t>(10,71)</w:t>
      </w:r>
      <w:r w:rsidRPr="005D1B0D">
        <w:fldChar w:fldCharType="end"/>
      </w:r>
      <w:r w:rsidRPr="005D1B0D">
        <w:t xml:space="preserve"> Importantly, studies have shown that </w:t>
      </w:r>
      <w:r>
        <w:t>lesbian, gay and bisexual</w:t>
      </w:r>
      <w:r w:rsidRPr="005D1B0D">
        <w:t xml:space="preserve"> people with disabilit</w:t>
      </w:r>
      <w:r>
        <w:t>y</w:t>
      </w:r>
      <w:r w:rsidRPr="005D1B0D">
        <w:t xml:space="preserve"> reported structural barriers accessing </w:t>
      </w:r>
      <w:r>
        <w:t>lesbian, gay and bisexual</w:t>
      </w:r>
      <w:r w:rsidRPr="005D1B0D">
        <w:t xml:space="preserve"> communit</w:t>
      </w:r>
      <w:r>
        <w:t>ies</w:t>
      </w:r>
      <w:r w:rsidRPr="005D1B0D">
        <w:fldChar w:fldCharType="begin"/>
      </w:r>
      <w:r>
        <w:instrText xml:space="preserve"> ADDIN ZOTERO_ITEM CSL_CITATION {"citationID":"DtYMD2na","properties":{"formattedCitation":"(72)","plainCitation":"(72)","noteIndex":0},"citationItems":[{"id":"hc6yy1rM/74JvZBpU","uris":["http://zotero.org/users/4948307/items/NE7U3ZDX"],"itemData":{"id":6987,"type":"article-journal","title":"SWIMMING UPSTREAM: MAKING PLACES WELCOMING A REPORT ON THE NEEDS OF GAY, LESBIAN AND BISEXUAL PEOPLE IN 'HARD TO REACH' GROUPS","author":[{"family":"Mann","given":"Rosemary"},{"family":"Horsley","given":"Philomena"},{"family":"Saunders","given":"Mark"},{"family":"Briggs","given":"Viki"},{"family":"Mitchell","given":"Anne"}],"issued":{"date-parts":[["2006",10]]}}}],"schema":"https://github.com/citation-style-language/schema/raw/master/csl-citation.json"} </w:instrText>
      </w:r>
      <w:r w:rsidRPr="005D1B0D">
        <w:fldChar w:fldCharType="separate"/>
      </w:r>
      <w:r>
        <w:rPr>
          <w:lang w:val="en-GB"/>
        </w:rPr>
        <w:t>(72)</w:t>
      </w:r>
      <w:r w:rsidRPr="005D1B0D">
        <w:fldChar w:fldCharType="end"/>
      </w:r>
      <w:r w:rsidRPr="005D1B0D">
        <w:t xml:space="preserve"> while </w:t>
      </w:r>
      <w:r>
        <w:t>lesbian, gay, bisexual and trans and gender diverse</w:t>
      </w:r>
      <w:r w:rsidRPr="005D1B0D">
        <w:t xml:space="preserve"> youth with disabilit</w:t>
      </w:r>
      <w:r>
        <w:t>y</w:t>
      </w:r>
      <w:r w:rsidRPr="005D1B0D">
        <w:t xml:space="preserve"> under the care of social service providers, special education programs or supported living facilities reported being prohibited or restricted from expressing</w:t>
      </w:r>
      <w:r>
        <w:t xml:space="preserve"> or </w:t>
      </w:r>
      <w:r w:rsidRPr="005D1B0D">
        <w:t>discussing their LGBT identities</w:t>
      </w:r>
      <w:r>
        <w:t>.</w:t>
      </w:r>
      <w:r w:rsidRPr="005D1B0D">
        <w:fldChar w:fldCharType="begin"/>
      </w:r>
      <w:r>
        <w:instrText xml:space="preserve"> ADDIN ZOTERO_ITEM CSL_CITATION {"citationID":"YRxeIIHO","properties":{"formattedCitation":"(73)","plainCitation":"(73)","noteIndex":0},"citationItems":[{"id":"hc6yy1rM/ZiaMkjW2","uris":["http://zotero.org/users/4948307/items/R7G5K9CM"],"itemData":{"id":4151,"type":"article-journal","archive":"Cinahl","archive_location":"105000423. Language: English. Entry Date: 20110401. Revision Date: 20200708. Publication Type: Journal Article","container-title":"Journal of LGBT Youth","DOI":"10.1080/19361653.2011.519181","ISSN":"1936-1653","issue":"1","page":"1-52","source":"EBSCOhost","title":"Lesbian, gay, bisexual, and transgender youth with disabilities: a meta-synthesis","volume":"8","author":[{"family":"Duke","given":"Thomas Scott"}],"issued":{"date-parts":[["2011"]]}}}],"schema":"https://github.com/citation-style-language/schema/raw/master/csl-citation.json"} </w:instrText>
      </w:r>
      <w:r w:rsidRPr="005D1B0D">
        <w:fldChar w:fldCharType="separate"/>
      </w:r>
      <w:r>
        <w:rPr>
          <w:lang w:val="en-GB"/>
        </w:rPr>
        <w:t>(73)</w:t>
      </w:r>
      <w:r w:rsidRPr="005D1B0D">
        <w:fldChar w:fldCharType="end"/>
      </w:r>
      <w:r w:rsidRPr="005D1B0D">
        <w:t xml:space="preserve"> Moreover, health providers and staff have reported lacking confidence in discussing prejudice towards LGB clients with intellectual disabilit</w:t>
      </w:r>
      <w:r>
        <w:t>y.</w:t>
      </w:r>
      <w:r w:rsidRPr="005D1B0D">
        <w:fldChar w:fldCharType="begin"/>
      </w:r>
      <w:r>
        <w:instrText xml:space="preserve"> ADDIN ZOTERO_ITEM CSL_CITATION {"citationID":"1vAt0Uqd","properties":{"formattedCitation":"(74)","plainCitation":"(74)","noteIndex":0},"citationItems":[{"id":"hc6yy1rM/0wdxjz1P","uris":["http://zotero.org/users/4948307/items/WZ42HSXX"],"itemData":{"id":3965,"type":"article-journal","abstract":"Background: In the UK and elsewhere, there is a growing policy and legislative imperative to ensure that people with intellectual disabilities are supported to develop relationships, including sexual ones. However, gay, lesbian and bisexual people with intellectual disabilities may have additional needs or face particular barriers in this area of their lives. They may require particular kinds of support from the staff who work with them. But how able, or willing, are staff in services to address these issues? Method: As part of empirical, qualitative research, the authors carried out interviews with 71 staff in 20 intellectual disability services across the UK about their views and experiences of working with people with intellectual disabilities who were, or may have been, gay, lesbian or bisexual. Results: The majority of staff interviewed said that they did not feel confident working in this area. A number of barriers to doing the work were identified including a lack of policy and training as well as the prejudice of staff and parents/carers. Conclusions: The reticence of staff to engage with these issues needs addressing especially in the light of the emerging human rights of people with intellectual disabilities to develop sexual and intimate relationships. (PsycINFO Database Record (c) 2016 APA, all rights reserved)","archive":"PsycInfo","archive_location":"2007-04895-008","container-title":"Journal of Applied Research in Intellectual Disabilities","DOI":"10.1111/j.1468-3148.2006.00312.x","ISSN":"1360-2322 1468-3148","issue":"2","language":"English","page":"116-126","source":"Ovid Technologies","title":"Still off-limits? Staff views on supporting gay, lesbian and bisexual people with intellectual disabilities to develop sexual and intimate relationships?","volume":"20","author":[{"family":"Abbott","given":"David"},{"family":"Howarth","given":"Joyce"}],"issued":{"date-parts":[["2007",3]]}}}],"schema":"https://github.com/citation-style-language/schema/raw/master/csl-citation.json"} </w:instrText>
      </w:r>
      <w:r w:rsidRPr="005D1B0D">
        <w:fldChar w:fldCharType="separate"/>
      </w:r>
      <w:r>
        <w:rPr>
          <w:lang w:val="en-GB"/>
        </w:rPr>
        <w:t>(74)</w:t>
      </w:r>
      <w:r w:rsidRPr="005D1B0D">
        <w:fldChar w:fldCharType="end"/>
      </w:r>
    </w:p>
    <w:p w14:paraId="0A20A93E" w14:textId="77777777" w:rsidR="009D0006" w:rsidRDefault="009D0006" w:rsidP="00C544D8">
      <w:pPr>
        <w:rPr>
          <w:lang w:bidi="en-US"/>
        </w:rPr>
      </w:pPr>
      <w:bookmarkStart w:id="720" w:name="_Toc58252148"/>
      <w:r>
        <w:br w:type="page"/>
      </w:r>
    </w:p>
    <w:p w14:paraId="220955E4" w14:textId="2628F74E" w:rsidR="009D0006" w:rsidRPr="003C3C9C" w:rsidRDefault="009D0006" w:rsidP="006346CA">
      <w:pPr>
        <w:pStyle w:val="Heading1Numbered"/>
      </w:pPr>
      <w:bookmarkStart w:id="721" w:name="_Toc115968608"/>
      <w:bookmarkStart w:id="722" w:name="_Toc119662450"/>
      <w:r>
        <w:t>Community c</w:t>
      </w:r>
      <w:r>
        <w:lastRenderedPageBreak/>
        <w:t>onnection</w:t>
      </w:r>
      <w:bookmarkEnd w:id="720"/>
      <w:bookmarkEnd w:id="721"/>
      <w:bookmarkEnd w:id="722"/>
    </w:p>
    <w:p w14:paraId="5B30BF4D" w14:textId="77777777" w:rsidR="009D0006" w:rsidRDefault="009D0006" w:rsidP="009D0006">
      <w:pPr>
        <w:rPr>
          <w:lang w:bidi="en-US"/>
        </w:rPr>
      </w:pPr>
      <w:r w:rsidRPr="6F35EF85">
        <w:rPr>
          <w:lang w:bidi="en-US"/>
        </w:rPr>
        <w:t xml:space="preserve">Community connection </w:t>
      </w:r>
      <w:r>
        <w:rPr>
          <w:lang w:bidi="en-US"/>
        </w:rPr>
        <w:t>can lead to</w:t>
      </w:r>
      <w:r w:rsidRPr="6F35EF85">
        <w:rPr>
          <w:lang w:bidi="en-US"/>
        </w:rPr>
        <w:t xml:space="preserve"> social support and companionship, </w:t>
      </w:r>
      <w:r>
        <w:rPr>
          <w:lang w:bidi="en-US"/>
        </w:rPr>
        <w:t>which in turn may aid</w:t>
      </w:r>
      <w:r w:rsidRPr="6F35EF85">
        <w:rPr>
          <w:lang w:bidi="en-US"/>
        </w:rPr>
        <w:t xml:space="preserve"> people </w:t>
      </w:r>
      <w:r>
        <w:rPr>
          <w:lang w:bidi="en-US"/>
        </w:rPr>
        <w:t>in dealing with</w:t>
      </w:r>
      <w:r w:rsidRPr="6F35EF85">
        <w:rPr>
          <w:lang w:bidi="en-US"/>
        </w:rPr>
        <w:t xml:space="preserve"> stress</w:t>
      </w:r>
      <w:r w:rsidRPr="6F35EF85">
        <w:rPr>
          <w:lang w:bidi="en-US"/>
        </w:rPr>
        <w:fldChar w:fldCharType="begin"/>
      </w:r>
      <w:r>
        <w:rPr>
          <w:lang w:bidi="en-US"/>
        </w:rPr>
        <w:instrText xml:space="preserve"> ADDIN ZOTERO_ITEM CSL_CITATION {"citationID":"s8XgLfE8","properties":{"formattedCitation":"(75\\uc0\\u8211{}77)","plainCitation":"(75–77)","noteIndex":0},"citationItems":[{"id":"hc6yy1rM/65WiHdbl","uris":["http://zotero.org/users/4948307/items/Y87LIV5Q"],"itemData":{"id":103,"type":"article-journal","abstract":"The broad research consensus suggesting substantial vulnerabilities among lesbian, gay, bisexual and transgender (LGBT) communities may fail to recognize the protective factors available to these populations. The sparse literature on mental health promotion highlights the importance of understanding strengths-based community approaches that promote LGBT wellbeing. Informed by the Ottawa Charter for Health Promotion, underpinned by Honneth's Theory of Recognition, this paper outlines the findings of a qualitative Irish study on LGBT social connectedness through a diverse range of sporting, creative and social interests. Ten in-depth interviews were conducted with 11 people (including one couple) who self-identified as lesbian (5), gay (4), bisexual (1) and transgender (1) aged between 22 and 56 years. A university Research Ethics Committee granted approval. The data were transcribed and coded using thematic analysis, enhanced through a memo-writing approach to reflexivity. The theme of 'connecting' emphasized the shared nature of activities, with like-minded others through groups established by, and for, LGBT communities. Messages from the study reinforce the central role of LGBT communities in the promotion of mental health and social wellbeing, with important policy and practice implications. This requires the contextualization of the contribution of LGBT communities within understandings of social justice, identity and recognition.","container-title":"International Journal of Environmental Research and Public Health","DOI":"10.3390/ijerph16193636","ISSN":"1660-4601","issue":"19","journalAbbreviation":"Int J Environ Res Public Health","language":"eng","note":"PMID: 31569733\nPMCID: PMC6801602","source":"PubMed","title":"The Power of Recognition: A Qualitative Study of Social Connectedness and Wellbeing through LGBT Sporting, Creative and Social Groups in Ireland","title-short":"The Power of Recognition","volume":"16","author":[{"family":"Ceatha","given":"Nerilee"},{"family":"Mayock","given":"Paula"},{"family":"Campbell","given":"Jim"},{"family":"Noone","given":"Chris"},{"family":"Browne","given":"Kath"}],"issued":{"date-parts":[["2019"]],"season":"27"}}},{"id":"hc6yy1rM/uEatRIZq","uris":["http://zotero.org/users/4948307/items/YZA45ED5"],"itemData":{"id":104,"type":"article-journal","container-title":"Children &amp; Schools","DOI":"10.1093/cs/cdv001","journalAbbreviation":"Children &amp; Schools","title":"Examining the Role of Peer Relationships in the Lives of Gay and Bisexual Adolescents","volume":"37","author":[{"family":"Roe","given":"Stuart"}],"issued":{"date-parts":[["2015",3,20]]}}},{"id":"hc6yy1rM/SIEuStHS","uris":["http://zotero.org/users/4948307/items/PLP73ZP7"],"itemData":{"id":115,"type":"article-journal","abstract":"Background\nDespite consistent evidence that bisexual people have poorer mental health than heterosexual people, gay men or lesbians, the reasons for this remain largely unknown. The ‘Who I Am’ study aims to address this current knowledge gap.\nDiscussion\nWhile there has been an increased focus on lesbian and gay health in recent years, general practitioners may be less familiar with the specific health needs of bisexual people. This is the largest study of bisexual Australians to date and provides detailed information about the relationships between bisexual life experiences and poor mental health.","container-title":"Australian Journal for General Practitioners","journalAbbreviation":"Australian Journal for General Practitioners","note":"publisher: The Royal Australian College of General Practitioners (RACGP)","page":"138-144","title":"Bisexual mental health","volume":"48","author":[{"family":"Taylor","given":"J."},{"family":"Power","given":"J."},{"family":"Smith","given":"E."},{"family":"Rathbone","given":"M."}],"issued":{"date-parts":[["2019",2,28]]}}}],"schema":"https://github.com/citation-style-language/schema/raw/master/csl-citation.json"} </w:instrText>
      </w:r>
      <w:r w:rsidRPr="6F35EF85">
        <w:rPr>
          <w:lang w:bidi="en-US"/>
        </w:rPr>
        <w:fldChar w:fldCharType="separate"/>
      </w:r>
      <w:r w:rsidRPr="000D3E75">
        <w:rPr>
          <w:lang w:val="en-GB"/>
        </w:rPr>
        <w:t>(75–77)</w:t>
      </w:r>
      <w:r w:rsidRPr="6F35EF85">
        <w:rPr>
          <w:lang w:bidi="en-US"/>
        </w:rPr>
        <w:fldChar w:fldCharType="end"/>
      </w:r>
      <w:r>
        <w:rPr>
          <w:lang w:bidi="en-US"/>
        </w:rPr>
        <w:t xml:space="preserve"> and </w:t>
      </w:r>
      <w:r w:rsidRPr="6F35EF85">
        <w:rPr>
          <w:lang w:bidi="en-US"/>
        </w:rPr>
        <w:t>is associated with resilience and wellbeing among LGBQ adults</w:t>
      </w:r>
      <w:r>
        <w:rPr>
          <w:lang w:bidi="en-US"/>
        </w:rPr>
        <w:t>.</w:t>
      </w:r>
      <w:r w:rsidRPr="6F35EF85">
        <w:rPr>
          <w:lang w:bidi="en-US"/>
        </w:rPr>
        <w:fldChar w:fldCharType="begin"/>
      </w:r>
      <w:r>
        <w:rPr>
          <w:lang w:bidi="en-US"/>
        </w:rPr>
        <w:instrText xml:space="preserve"> ADDIN ZOTERO_ITEM CSL_CITATION {"citationID":"TwumscbX","properties":{"formattedCitation":"(78)","plainCitation":"(78)","noteIndex":0},"citationItems":[{"id":"hc6yy1rM/3hSFGZZ1","uris":["http://zotero.org/users/4948307/items/Q7Z9Q8KI"],"itemData":{"id":99,"type":"article-journal","abstract":"Abstract Drawing on resilience theories, this study examined the individual and community factors of Israeli lesbians, gays, bisexuals, queers, and questioning (LGBQs) that contribute to positive mental health and the degree to which individual and community protective factors mitigate the adverse effect of risk factors for poor mental health. Differences in resilience factors between LGBQ youth and adults were explored. Data were collected on 890 LGBQ youth and adults. Findings emphasize the role of community-level resilience factors in the lives of LGBQs, and that these support systems differ slightly between the two age groups. Among youth, family support was both a strong predictor for well-being and a protective factor for mental distress. Although family support was found as a resilience factor among adults as well, other community-level factors (friends? support, LGBT connectedness and having steady partner) were found as protective factors for poorer mental health. These findings suggest for efforts on fostering familial support for LGBQ youth and a multi-level system that offers support at the familial, peer, relationship and community levels for both LGBQ youth and adults.","container-title":"American Journal of Community Psychology","DOI":"10.1007/s10464-014-9693-8","ISSN":"0091-0562","issue":"1-2","journalAbbreviation":"American Journal of Community Psychology","note":"publisher: John Wiley &amp; Sons, Ltd","page":"215-227","title":"Individual and Community Resilience Factors Among Lesbian, Gay, Bisexual, Queer and Questioning Youth and Adults in Israel","volume":"55","author":[{"family":"Shilo","given":"Guy"},{"family":"Antebi","given":"Nadav"},{"family":"Mor","given":"Zohar"}],"issued":{"date-parts":[["2015",3,1]]}}}],"schema":"https://github.com/citation-style-language/schema/raw/master/csl-citation.json"} </w:instrText>
      </w:r>
      <w:r w:rsidRPr="6F35EF85">
        <w:rPr>
          <w:lang w:bidi="en-US"/>
        </w:rPr>
        <w:fldChar w:fldCharType="separate"/>
      </w:r>
      <w:r>
        <w:rPr>
          <w:lang w:val="en-GB"/>
        </w:rPr>
        <w:t>(78)</w:t>
      </w:r>
      <w:r w:rsidRPr="6F35EF85">
        <w:rPr>
          <w:lang w:bidi="en-US"/>
        </w:rPr>
        <w:fldChar w:fldCharType="end"/>
      </w:r>
    </w:p>
    <w:p w14:paraId="7827E501" w14:textId="77777777" w:rsidR="009D0006" w:rsidRDefault="009D0006" w:rsidP="009D0006">
      <w:pPr>
        <w:rPr>
          <w:lang w:bidi="en-US"/>
        </w:rPr>
      </w:pPr>
      <w:r>
        <w:rPr>
          <w:lang w:bidi="en-US"/>
        </w:rPr>
        <w:t>LGBTQA+ people with disability have been found to face dual marginalisation</w:t>
      </w:r>
      <w:r w:rsidRPr="004726A4">
        <w:rPr>
          <w:lang w:bidi="en-US"/>
        </w:rPr>
        <w:fldChar w:fldCharType="begin"/>
      </w:r>
      <w:r>
        <w:rPr>
          <w:lang w:bidi="en-US"/>
        </w:rPr>
        <w:instrText xml:space="preserve"> ADDIN ZOTERO_ITEM CSL_CITATION {"citationID":"9BWTLRW0","properties":{"formattedCitation":"(22)","plainCitation":"(22)","noteIndex":0},"citationItems":[{"id":"hc6yy1rM/N4GYtR03","uris":["http://zotero.org/users/4948307/items/XSR73PQ6"],"itemData":{"id":6991,"type":"article-journal","abstract":"This narrative review of the research literature presents a summary about the key issues facing people with intellectual disability (ID) who identify as lesbian, gay, bisexual, transgender, intersex or questioning (LGBTIQ). The aim of this review was to consolidate research of the topic; to identify whether any pilot studies reporting social/sexual/educational interventions had been published; and to offer some perspective on the type of future research required to better inform policy, practice and theory that may lead to better outcomes for people with ID who identify as LGBTIQ. Almost all of the research literature on the topic is either exploratory or descriptive which serves to outline the range of issues faced by people with ID who identify as LGBTIQ. Urgently needed as the next step, however, is a concerted effort to conduct a range of innovative educational and social interventions with collection of targeted and appropriate outcomes data.","container-title":"Journal of Intellectual Disabilities","DOI":"10.1177/1744629516682681","ISSN":"1744-6295","issue":"2","journalAbbreviation":"J Intellect Disabil","note":"publisher: SAGE Publications Ltd","page":"171-196","title":"A narrative review of the literature about people with intellectual disability who identify as lesbian, gay, bisexual, transgender, intersex or questioning","volume":"22","author":[{"family":"Wilson","given":"Nathan J"},{"family":"Macdonald","given":"Jemima"},{"family":"Hayman","given":"Brenda"},{"family":"Bright","given":"Alexandra M"},{"family":"Frawley","given":"Patsie"},{"family":"Gallego","given":"Gisselle"}],"issued":{"date-parts":[["2018",6,1]]}}}],"schema":"https://github.com/citation-style-language/schema/raw/master/csl-citation.json"} </w:instrText>
      </w:r>
      <w:r w:rsidRPr="004726A4">
        <w:rPr>
          <w:lang w:bidi="en-US"/>
        </w:rPr>
        <w:fldChar w:fldCharType="separate"/>
      </w:r>
      <w:r>
        <w:rPr>
          <w:lang w:val="en-GB"/>
        </w:rPr>
        <w:t>(22)</w:t>
      </w:r>
      <w:r w:rsidRPr="004726A4">
        <w:rPr>
          <w:lang w:bidi="en-US"/>
        </w:rPr>
        <w:fldChar w:fldCharType="end"/>
      </w:r>
      <w:r>
        <w:rPr>
          <w:lang w:bidi="en-US"/>
        </w:rPr>
        <w:t>, resulting in feelings of loneliness, exclusion and limited support and understanding from both LGBTQA+ and disability communities respectively.</w:t>
      </w:r>
      <w:r>
        <w:rPr>
          <w:lang w:bidi="en-US"/>
        </w:rPr>
        <w:fldChar w:fldCharType="begin"/>
      </w:r>
      <w:r>
        <w:rPr>
          <w:lang w:bidi="en-US"/>
        </w:rPr>
        <w:instrText xml:space="preserve"> ADDIN ZOTERO_ITEM CSL_CITATION {"citationID":"138invSP","properties":{"formattedCitation":"(79,80)","plainCitation":"(79,80)","noteIndex":0},"citationItems":[{"id":"hc6yy1rM/UPxzYLmE","uris":["http://zotero.org/users/4948307/items/LKD7XC8A"],"itemData":{"id":4197,"type":"article-journal","archive":"Cinahl","archive_location":"103751780. Language: English. Entry Date: 20150204. Revision Date: 20200708. Publication Type: Journal Article","container-title":"Sexuality &amp; Disability","DOI":"10.1007/s11195-014-9389-x","ISSN":"0146-1044","issue":"1","page":"19-46","source":"EBSCOhost","title":"Women with Disabilities Discuss Sexuality in San Francisco Focus Groups","volume":"33","author":[{"family":"Vaughn","given":"Mya"},{"family":"Silver","given":"Kurt"},{"family":"Murphy","given":"Sophia"},{"family":"Ashbaugh","given":"Renee"},{"family":"Hoffman","given":"Amanda"}],"issued":{"date-parts":[["2015"]]}}},{"id":"hc6yy1rM/Thz7mfyB","uris":["http://zotero.org/users/4948307/items/RCCHKSHV"],"itemData":{"id":3665,"type":"article-journal","abstract":"Background Empirical research on homosexuality among people with an intellectual disability (ID) is limited and, to date, very little is known regarding the personal experiences of gay and lesbian people with an ID. This study set out to answer the question: What are the lived experiences of a specific cohort of homosexual people with an intellectual disability living in the Netherlands? Method To answer this question, a qualitative study was performed in which 21 people with a mild ID were interviewed via semi-structured interviews. In this study, 19 participants were men and two were women (average age = 40.5 years). Results Participants reported positive and negative experiences, and talked about their gay or lesbian identity. Almost half of the participants ( n = 10) reported that they had experienced sexual abuse including partner violence ( n = 6). Additionally, they indicated that there was a lack of support for homosexual people with an ID. Conclusion Specific problems impact the lives of homosexual people with ID, namely the high prevalence of negative sexual experiences, the lack of support, training and sex education, and their search for a suitable partner.","archive":"Cinahl","archive_location":"104310736. Language: English. Entry Date: 20130206. Revision Date: 20200708. Publication Type: Journal Article","container-title":"Journal of Intellectual Disability Research","DOI":"10.1111/j.1365-2788.2011.01532.x","ISSN":"0964-2633","issue":"3","page":"257-267","source":"EBSCOhost","title":"Homosexuality among people with a mild intellectual disability: an explorative study on the lived experiences of homosexual people in the Netherlands with a mild intellectual disability","volume":"57","author":[{"family":"Stoffelen","given":"J."},{"family":"Kok","given":"G."},{"family":"Hospers","given":"H."},{"family":"Curfs","given":"L. M. G."}],"issued":{"date-parts":[["2013"]]}}}],"schema":"https://github.com/citation-style-language/schema/raw/master/csl-citation.json"} </w:instrText>
      </w:r>
      <w:r>
        <w:rPr>
          <w:lang w:bidi="en-US"/>
        </w:rPr>
        <w:fldChar w:fldCharType="separate"/>
      </w:r>
      <w:r>
        <w:rPr>
          <w:lang w:val="en-GB"/>
        </w:rPr>
        <w:t>(79,80)</w:t>
      </w:r>
      <w:r>
        <w:rPr>
          <w:lang w:bidi="en-US"/>
        </w:rPr>
        <w:fldChar w:fldCharType="end"/>
      </w:r>
      <w:r>
        <w:rPr>
          <w:lang w:bidi="en-US"/>
        </w:rPr>
        <w:t xml:space="preserve"> </w:t>
      </w:r>
    </w:p>
    <w:p w14:paraId="2D89571E" w14:textId="77777777" w:rsidR="009D0006" w:rsidRPr="00EF3A02" w:rsidRDefault="009D0006" w:rsidP="009D0006">
      <w:pPr>
        <w:rPr>
          <w:lang w:bidi="en-US"/>
        </w:rPr>
      </w:pPr>
      <w:r>
        <w:rPr>
          <w:lang w:bidi="en-US"/>
        </w:rPr>
        <w:t>This chapter examines community engagement, feelings of community belonging and service and venue accessibility among LGBTQA+ young people and adults with disability.</w:t>
      </w:r>
    </w:p>
    <w:p w14:paraId="08DFE834" w14:textId="0CA42C3A" w:rsidR="009D0006" w:rsidRPr="003C3C9C" w:rsidRDefault="009D0006" w:rsidP="006346CA">
      <w:pPr>
        <w:pStyle w:val="Heading2Numbered"/>
      </w:pPr>
      <w:bookmarkStart w:id="723" w:name="_Toc48749236"/>
      <w:bookmarkStart w:id="724" w:name="_Toc49781964"/>
      <w:bookmarkStart w:id="725" w:name="_Toc58252149"/>
      <w:bookmarkStart w:id="726" w:name="_Toc115968609"/>
      <w:bookmarkStart w:id="727" w:name="_Toc119662451"/>
      <w:r>
        <w:t>Engagement with LGBTIQA+ support groups or organisations</w:t>
      </w:r>
      <w:bookmarkEnd w:id="723"/>
      <w:bookmarkEnd w:id="724"/>
      <w:bookmarkEnd w:id="725"/>
      <w:r>
        <w:t xml:space="preserve"> – young people aged 14-21 years</w:t>
      </w:r>
      <w:bookmarkEnd w:id="726"/>
      <w:bookmarkEnd w:id="727"/>
    </w:p>
    <w:p w14:paraId="10DBBF40" w14:textId="77777777" w:rsidR="009D0006" w:rsidRDefault="009D0006" w:rsidP="009D0006">
      <w:r>
        <w:t xml:space="preserve">Participants from </w:t>
      </w:r>
      <w:r w:rsidRPr="00BB7920">
        <w:rPr>
          <w:i/>
          <w:iCs/>
        </w:rPr>
        <w:t>Writing Themselves In 4</w:t>
      </w:r>
      <w:r>
        <w:t xml:space="preserve"> were asked how often they had attended an LGBTIQA+ youth event. The results for participants with disability are shown in Table 79.</w:t>
      </w:r>
    </w:p>
    <w:p w14:paraId="5944C21B" w14:textId="03DAE26F" w:rsidR="009D0006" w:rsidRDefault="009D0006" w:rsidP="00E71DF8">
      <w:pPr>
        <w:pStyle w:val="Tableheading"/>
      </w:pPr>
      <w:bookmarkStart w:id="728" w:name="_Toc117062797"/>
      <w:bookmarkStart w:id="729" w:name="_Toc119651482"/>
      <w:r w:rsidRPr="00FA6F3B">
        <w:rPr>
          <w:bCs/>
        </w:rPr>
        <w:t xml:space="preserve">Table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79</w:t>
      </w:r>
      <w:r w:rsidRPr="00985828">
        <w:rPr>
          <w:bCs/>
          <w:sz w:val="18"/>
          <w:szCs w:val="18"/>
        </w:rPr>
        <w:fldChar w:fldCharType="end"/>
      </w:r>
      <w:r w:rsidRPr="00BB7920">
        <w:t>:</w:t>
      </w:r>
      <w:r>
        <w:rPr>
          <w:bCs/>
        </w:rPr>
        <w:t xml:space="preserve"> </w:t>
      </w:r>
      <w:r>
        <w:t>Proportion of participants attending an LGBTIQA+ event in the past 12 months among young people aged 14-21 years with disability (n = 2441)</w:t>
      </w:r>
      <w:bookmarkEnd w:id="728"/>
      <w:bookmarkEnd w:id="729"/>
    </w:p>
    <w:tbl>
      <w:tblPr>
        <w:tblStyle w:val="RCTable"/>
        <w:tblW w:w="9864" w:type="dxa"/>
        <w:tblInd w:w="-23" w:type="dxa"/>
        <w:tblLook w:val="04A0" w:firstRow="1" w:lastRow="0" w:firstColumn="1" w:lastColumn="0" w:noHBand="0" w:noVBand="1"/>
      </w:tblPr>
      <w:tblGrid>
        <w:gridCol w:w="6746"/>
        <w:gridCol w:w="1559"/>
        <w:gridCol w:w="1559"/>
      </w:tblGrid>
      <w:tr w:rsidR="009D0006" w:rsidRPr="00047EDF" w14:paraId="3270CDEB" w14:textId="77777777" w:rsidTr="00E71DF8">
        <w:trPr>
          <w:cnfStyle w:val="100000000000" w:firstRow="1" w:lastRow="0" w:firstColumn="0" w:lastColumn="0" w:oddVBand="0" w:evenVBand="0" w:oddHBand="0" w:evenHBand="0" w:firstRowFirstColumn="0" w:firstRowLastColumn="0" w:lastRowFirstColumn="0" w:lastRowLastColumn="0"/>
          <w:trHeight w:val="345"/>
        </w:trPr>
        <w:tc>
          <w:tcPr>
            <w:tcW w:w="6746" w:type="dxa"/>
            <w:noWrap/>
            <w:hideMark/>
          </w:tcPr>
          <w:p w14:paraId="3DD76711" w14:textId="77777777" w:rsidR="009D0006" w:rsidRPr="00047EDF" w:rsidRDefault="009D0006" w:rsidP="00E71DF8">
            <w:pPr>
              <w:pStyle w:val="Tableheader"/>
              <w:rPr>
                <w:lang w:val="en-US"/>
              </w:rPr>
            </w:pPr>
            <w:r w:rsidRPr="0032156B">
              <w:rPr>
                <w:lang w:val="en-US"/>
              </w:rPr>
              <w:t>LGBTIQA+ youth event</w:t>
            </w:r>
            <w:r>
              <w:rPr>
                <w:lang w:val="en-US"/>
              </w:rPr>
              <w:t xml:space="preserve"> attendance </w:t>
            </w:r>
          </w:p>
        </w:tc>
        <w:tc>
          <w:tcPr>
            <w:tcW w:w="1559" w:type="dxa"/>
            <w:noWrap/>
            <w:hideMark/>
          </w:tcPr>
          <w:p w14:paraId="0B99C82D" w14:textId="77777777" w:rsidR="009D0006" w:rsidRPr="00047EDF" w:rsidRDefault="009D0006" w:rsidP="00E71DF8">
            <w:pPr>
              <w:pStyle w:val="Tableheader"/>
              <w:rPr>
                <w:lang w:val="en-US"/>
              </w:rPr>
            </w:pPr>
            <w:r w:rsidRPr="00047EDF">
              <w:rPr>
                <w:lang w:val="en-US"/>
              </w:rPr>
              <w:t>n</w:t>
            </w:r>
          </w:p>
        </w:tc>
        <w:tc>
          <w:tcPr>
            <w:tcW w:w="1559" w:type="dxa"/>
            <w:noWrap/>
            <w:hideMark/>
          </w:tcPr>
          <w:p w14:paraId="25A12763" w14:textId="77777777" w:rsidR="009D0006" w:rsidRPr="00047EDF" w:rsidRDefault="009D0006" w:rsidP="00E71DF8">
            <w:pPr>
              <w:pStyle w:val="Tableheader"/>
              <w:rPr>
                <w:lang w:val="en-US"/>
              </w:rPr>
            </w:pPr>
            <w:r w:rsidRPr="00047EDF">
              <w:rPr>
                <w:lang w:val="en-US"/>
              </w:rPr>
              <w:t>%</w:t>
            </w:r>
          </w:p>
        </w:tc>
      </w:tr>
      <w:tr w:rsidR="009D0006" w:rsidRPr="00047EDF" w14:paraId="532F1F69" w14:textId="77777777" w:rsidTr="00E71DF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2C9878C1" w14:textId="77777777" w:rsidR="009D0006" w:rsidRPr="00047EDF" w:rsidRDefault="009D0006" w:rsidP="00E71DF8">
            <w:pPr>
              <w:pStyle w:val="Tabletext"/>
              <w:rPr>
                <w:b/>
                <w:bCs/>
                <w:lang w:val="en-US"/>
              </w:rPr>
            </w:pPr>
            <w:r>
              <w:t>Never</w:t>
            </w:r>
          </w:p>
        </w:tc>
        <w:tc>
          <w:tcPr>
            <w:tcW w:w="1559" w:type="dxa"/>
            <w:noWrap/>
            <w:hideMark/>
          </w:tcPr>
          <w:p w14:paraId="705D496B" w14:textId="77777777" w:rsidR="009D0006" w:rsidRPr="00047EDF" w:rsidRDefault="009D0006" w:rsidP="00E71DF8">
            <w:pPr>
              <w:pStyle w:val="Tabletext"/>
              <w:rPr>
                <w:b/>
                <w:bCs/>
                <w:lang w:val="en-US"/>
              </w:rPr>
            </w:pPr>
            <w:r>
              <w:t>1996</w:t>
            </w:r>
          </w:p>
        </w:tc>
        <w:tc>
          <w:tcPr>
            <w:tcW w:w="1559" w:type="dxa"/>
            <w:noWrap/>
            <w:hideMark/>
          </w:tcPr>
          <w:p w14:paraId="45D68EBF" w14:textId="77777777" w:rsidR="009D0006" w:rsidRPr="00047EDF" w:rsidRDefault="009D0006" w:rsidP="00E71DF8">
            <w:pPr>
              <w:pStyle w:val="Tabletext"/>
              <w:rPr>
                <w:lang w:val="en-US"/>
              </w:rPr>
            </w:pPr>
            <w:r>
              <w:t>81.8</w:t>
            </w:r>
          </w:p>
        </w:tc>
      </w:tr>
      <w:tr w:rsidR="009D0006" w:rsidRPr="00047EDF" w14:paraId="04D5CAC2" w14:textId="77777777" w:rsidTr="00E71DF8">
        <w:trPr>
          <w:cnfStyle w:val="000000010000" w:firstRow="0" w:lastRow="0" w:firstColumn="0" w:lastColumn="0" w:oddVBand="0" w:evenVBand="0" w:oddHBand="0" w:evenHBand="1" w:firstRowFirstColumn="0" w:firstRowLastColumn="0" w:lastRowFirstColumn="0" w:lastRowLastColumn="0"/>
          <w:trHeight w:val="345"/>
        </w:trPr>
        <w:tc>
          <w:tcPr>
            <w:tcW w:w="6746" w:type="dxa"/>
            <w:noWrap/>
            <w:hideMark/>
          </w:tcPr>
          <w:p w14:paraId="51D4D9CF" w14:textId="77777777" w:rsidR="009D0006" w:rsidRPr="00047EDF" w:rsidRDefault="009D0006" w:rsidP="00E71DF8">
            <w:pPr>
              <w:pStyle w:val="Tabletext"/>
              <w:rPr>
                <w:lang w:val="en-US"/>
              </w:rPr>
            </w:pPr>
            <w:r>
              <w:t>Once</w:t>
            </w:r>
          </w:p>
        </w:tc>
        <w:tc>
          <w:tcPr>
            <w:tcW w:w="1559" w:type="dxa"/>
            <w:noWrap/>
          </w:tcPr>
          <w:p w14:paraId="6DB4ABCB" w14:textId="77777777" w:rsidR="009D0006" w:rsidRPr="00047EDF" w:rsidRDefault="009D0006" w:rsidP="00E71DF8">
            <w:pPr>
              <w:pStyle w:val="Tabletext"/>
              <w:rPr>
                <w:lang w:val="en-US"/>
              </w:rPr>
            </w:pPr>
            <w:r>
              <w:t>363</w:t>
            </w:r>
          </w:p>
        </w:tc>
        <w:tc>
          <w:tcPr>
            <w:tcW w:w="1559" w:type="dxa"/>
            <w:noWrap/>
          </w:tcPr>
          <w:p w14:paraId="472F8388" w14:textId="77777777" w:rsidR="009D0006" w:rsidRPr="00047EDF" w:rsidRDefault="009D0006" w:rsidP="00E71DF8">
            <w:pPr>
              <w:pStyle w:val="Tabletext"/>
              <w:rPr>
                <w:lang w:val="en-US"/>
              </w:rPr>
            </w:pPr>
            <w:r>
              <w:t>14.9</w:t>
            </w:r>
          </w:p>
        </w:tc>
      </w:tr>
      <w:tr w:rsidR="009D0006" w:rsidRPr="00047EDF" w14:paraId="53082C3C" w14:textId="77777777" w:rsidTr="00E71DF8">
        <w:trPr>
          <w:cnfStyle w:val="000000100000" w:firstRow="0" w:lastRow="0" w:firstColumn="0" w:lastColumn="0" w:oddVBand="0" w:evenVBand="0" w:oddHBand="1" w:evenHBand="0" w:firstRowFirstColumn="0" w:firstRowLastColumn="0" w:lastRowFirstColumn="0" w:lastRowLastColumn="0"/>
          <w:trHeight w:val="345"/>
        </w:trPr>
        <w:tc>
          <w:tcPr>
            <w:tcW w:w="6746" w:type="dxa"/>
            <w:noWrap/>
            <w:hideMark/>
          </w:tcPr>
          <w:p w14:paraId="18D0197E" w14:textId="77777777" w:rsidR="009D0006" w:rsidRPr="00047EDF" w:rsidRDefault="009D0006" w:rsidP="00E71DF8">
            <w:pPr>
              <w:pStyle w:val="Tabletext"/>
              <w:rPr>
                <w:lang w:val="en-US"/>
              </w:rPr>
            </w:pPr>
            <w:r>
              <w:t>Monthly</w:t>
            </w:r>
          </w:p>
        </w:tc>
        <w:tc>
          <w:tcPr>
            <w:tcW w:w="1559" w:type="dxa"/>
            <w:noWrap/>
          </w:tcPr>
          <w:p w14:paraId="026EC647" w14:textId="77777777" w:rsidR="009D0006" w:rsidRPr="00047EDF" w:rsidRDefault="009D0006" w:rsidP="00E71DF8">
            <w:pPr>
              <w:pStyle w:val="Tabletext"/>
              <w:rPr>
                <w:lang w:val="en-US"/>
              </w:rPr>
            </w:pPr>
            <w:r>
              <w:t>77</w:t>
            </w:r>
          </w:p>
        </w:tc>
        <w:tc>
          <w:tcPr>
            <w:tcW w:w="1559" w:type="dxa"/>
            <w:noWrap/>
          </w:tcPr>
          <w:p w14:paraId="6EB93A8D" w14:textId="77777777" w:rsidR="009D0006" w:rsidRPr="00047EDF" w:rsidRDefault="009D0006" w:rsidP="00E71DF8">
            <w:pPr>
              <w:pStyle w:val="Tabletext"/>
              <w:rPr>
                <w:lang w:val="en-US"/>
              </w:rPr>
            </w:pPr>
            <w:r>
              <w:t>3.2</w:t>
            </w:r>
          </w:p>
        </w:tc>
      </w:tr>
      <w:tr w:rsidR="009D0006" w:rsidRPr="00047EDF" w14:paraId="0B0A9084" w14:textId="77777777" w:rsidTr="00E71DF8">
        <w:trPr>
          <w:cnfStyle w:val="000000010000" w:firstRow="0" w:lastRow="0" w:firstColumn="0" w:lastColumn="0" w:oddVBand="0" w:evenVBand="0" w:oddHBand="0" w:evenHBand="1" w:firstRowFirstColumn="0" w:firstRowLastColumn="0" w:lastRowFirstColumn="0" w:lastRowLastColumn="0"/>
          <w:trHeight w:val="345"/>
        </w:trPr>
        <w:tc>
          <w:tcPr>
            <w:tcW w:w="6746" w:type="dxa"/>
            <w:noWrap/>
          </w:tcPr>
          <w:p w14:paraId="7B95D1AF" w14:textId="77777777" w:rsidR="009D0006" w:rsidRPr="00047EDF" w:rsidRDefault="009D0006" w:rsidP="00E71DF8">
            <w:pPr>
              <w:pStyle w:val="Tabletext"/>
              <w:rPr>
                <w:b/>
                <w:bCs/>
                <w:lang w:val="en-US"/>
              </w:rPr>
            </w:pPr>
            <w:r>
              <w:t>Weekly</w:t>
            </w:r>
          </w:p>
        </w:tc>
        <w:tc>
          <w:tcPr>
            <w:tcW w:w="1559" w:type="dxa"/>
            <w:noWrap/>
          </w:tcPr>
          <w:p w14:paraId="3D9A2940" w14:textId="77777777" w:rsidR="009D0006" w:rsidRPr="00047EDF" w:rsidRDefault="009D0006" w:rsidP="00E71DF8">
            <w:pPr>
              <w:pStyle w:val="Tabletext"/>
              <w:rPr>
                <w:b/>
                <w:bCs/>
                <w:lang w:val="en-US"/>
              </w:rPr>
            </w:pPr>
            <w:r>
              <w:t>5</w:t>
            </w:r>
          </w:p>
        </w:tc>
        <w:tc>
          <w:tcPr>
            <w:tcW w:w="1559" w:type="dxa"/>
            <w:noWrap/>
          </w:tcPr>
          <w:p w14:paraId="5E2D4DB2" w14:textId="77777777" w:rsidR="009D0006" w:rsidRPr="00047EDF" w:rsidRDefault="009D0006" w:rsidP="00E71DF8">
            <w:pPr>
              <w:pStyle w:val="Tabletext"/>
              <w:rPr>
                <w:lang w:val="en-US"/>
              </w:rPr>
            </w:pPr>
            <w:r>
              <w:t>0.2</w:t>
            </w:r>
          </w:p>
        </w:tc>
      </w:tr>
    </w:tbl>
    <w:p w14:paraId="2FE3CB57" w14:textId="77777777" w:rsidR="009D0006" w:rsidRDefault="009D0006" w:rsidP="00184CF2">
      <w:pPr>
        <w:spacing w:before="360"/>
        <w:rPr>
          <w:lang w:bidi="en-US"/>
        </w:rPr>
      </w:pPr>
      <w:r>
        <w:rPr>
          <w:lang w:bidi="en-US"/>
        </w:rPr>
        <w:t>As shown in Table 79, a</w:t>
      </w:r>
      <w:r w:rsidRPr="6F35EF85">
        <w:rPr>
          <w:lang w:bidi="en-US"/>
        </w:rPr>
        <w:t xml:space="preserve">mong participants with disability in </w:t>
      </w:r>
      <w:r w:rsidRPr="6F35EF85">
        <w:rPr>
          <w:i/>
          <w:iCs/>
          <w:lang w:bidi="en-US"/>
        </w:rPr>
        <w:t>Writing Themselves In 4</w:t>
      </w:r>
      <w:r w:rsidRPr="6F35EF85">
        <w:rPr>
          <w:lang w:bidi="en-US"/>
        </w:rPr>
        <w:t>, most had not attended a</w:t>
      </w:r>
      <w:r>
        <w:rPr>
          <w:lang w:bidi="en-US"/>
        </w:rPr>
        <w:t>n</w:t>
      </w:r>
      <w:r w:rsidRPr="6F35EF85">
        <w:rPr>
          <w:lang w:bidi="en-US"/>
        </w:rPr>
        <w:t xml:space="preserve"> LGBTIQA+ event in the past 12 months (81.8%; n = 1996). A little over </w:t>
      </w:r>
      <w:r>
        <w:rPr>
          <w:lang w:bidi="en-US"/>
        </w:rPr>
        <w:t>1 in 10</w:t>
      </w:r>
      <w:r w:rsidRPr="6F35EF85">
        <w:rPr>
          <w:lang w:bidi="en-US"/>
        </w:rPr>
        <w:t xml:space="preserve"> had attended </w:t>
      </w:r>
      <w:r>
        <w:rPr>
          <w:lang w:bidi="en-US"/>
        </w:rPr>
        <w:t>an</w:t>
      </w:r>
      <w:r w:rsidRPr="6F35EF85">
        <w:rPr>
          <w:lang w:bidi="en-US"/>
        </w:rPr>
        <w:t xml:space="preserve"> LGBTIQA+ event</w:t>
      </w:r>
      <w:r>
        <w:rPr>
          <w:lang w:bidi="en-US"/>
        </w:rPr>
        <w:t xml:space="preserve"> once</w:t>
      </w:r>
      <w:r w:rsidRPr="6F35EF85">
        <w:rPr>
          <w:lang w:bidi="en-US"/>
        </w:rPr>
        <w:t xml:space="preserve"> in the past 12 months (14.9%; n = 363)</w:t>
      </w:r>
      <w:r>
        <w:rPr>
          <w:lang w:bidi="en-US"/>
        </w:rPr>
        <w:t xml:space="preserve">. Only small proportions </w:t>
      </w:r>
      <w:r w:rsidRPr="6F35EF85">
        <w:rPr>
          <w:lang w:bidi="en-US"/>
        </w:rPr>
        <w:t>had attended LGBTIQA+ events monthly (3.2%; n = 77) or weekly (0.2%; n = 5).</w:t>
      </w:r>
    </w:p>
    <w:p w14:paraId="50FC9F26" w14:textId="11416C17" w:rsidR="009D0006" w:rsidRPr="003C3C9C" w:rsidRDefault="009D0006" w:rsidP="006346CA">
      <w:pPr>
        <w:pStyle w:val="Heading2Numbered"/>
      </w:pPr>
      <w:bookmarkStart w:id="730" w:name="_Toc115968610"/>
      <w:bookmarkStart w:id="731" w:name="_Toc119662452"/>
      <w:bookmarkStart w:id="732" w:name="_Toc58252153"/>
      <w:r>
        <w:t>Community b</w:t>
      </w:r>
      <w:r>
        <w:lastRenderedPageBreak/>
        <w:t>elonging – adults aged 18+ years</w:t>
      </w:r>
      <w:bookmarkEnd w:id="730"/>
      <w:bookmarkEnd w:id="731"/>
    </w:p>
    <w:p w14:paraId="067246C8" w14:textId="77777777" w:rsidR="009D0006" w:rsidRPr="0032156B" w:rsidRDefault="009D0006" w:rsidP="009D0006">
      <w:r w:rsidRPr="6F35EF85">
        <w:rPr>
          <w:lang w:val="en-US"/>
        </w:rPr>
        <w:t xml:space="preserve">Participants </w:t>
      </w:r>
      <w:r>
        <w:rPr>
          <w:lang w:val="en-US"/>
        </w:rPr>
        <w:t xml:space="preserve">from </w:t>
      </w:r>
      <w:r w:rsidRPr="00BB7920">
        <w:rPr>
          <w:i/>
          <w:iCs/>
          <w:lang w:val="en-US"/>
        </w:rPr>
        <w:t>Private Lives 3</w:t>
      </w:r>
      <w:r>
        <w:rPr>
          <w:lang w:val="en-US"/>
        </w:rPr>
        <w:t xml:space="preserve"> </w:t>
      </w:r>
      <w:r w:rsidRPr="6F35EF85">
        <w:rPr>
          <w:lang w:val="en-US"/>
        </w:rPr>
        <w:t xml:space="preserve">were presented with the following statement, </w:t>
      </w:r>
      <w:r w:rsidRPr="001A64A6">
        <w:rPr>
          <w:lang w:val="en-US"/>
        </w:rPr>
        <w:t>‘The following questions are about LGBTIQ communities. By LGBTIQ communities, we do not mean any particular neighbourhood or social group, but in general, groups of gay men, bisexual men and women, lesbians, transgender and intersex individuals’</w:t>
      </w:r>
      <w:r>
        <w:rPr>
          <w:lang w:val="en-US"/>
        </w:rPr>
        <w:t>.</w:t>
      </w:r>
      <w:r w:rsidRPr="001A64A6">
        <w:t xml:space="preserve"> </w:t>
      </w:r>
      <w:r>
        <w:t>Participants were then asked the extent to which ‘you feel you're a part of the Australian LGBTIQ community’. Response options were provided on a 5-point scale ranging from ‘strongly disagree’ to strongly agree’. Table 80 displays these results.</w:t>
      </w:r>
    </w:p>
    <w:p w14:paraId="69120F31" w14:textId="77777777" w:rsidR="009D0006" w:rsidRDefault="009D0006" w:rsidP="00E71DF8">
      <w:pPr>
        <w:pStyle w:val="Tableheading"/>
      </w:pPr>
      <w:bookmarkStart w:id="733" w:name="_Toc117062798"/>
      <w:bookmarkStart w:id="734" w:name="_Toc119651483"/>
      <w:r w:rsidRPr="00FA6F3B">
        <w:rPr>
          <w:bCs/>
        </w:rPr>
        <w:t>Table</w:t>
      </w:r>
      <w:r>
        <w:rPr>
          <w:bCs/>
        </w:rPr>
        <w:t>s</w:t>
      </w:r>
      <w:r w:rsidRPr="00FA6F3B">
        <w:rPr>
          <w:bCs/>
        </w:rPr>
        <w:t xml:space="preserve"> </w:t>
      </w:r>
      <w:r w:rsidRPr="00985828">
        <w:rPr>
          <w:bCs/>
          <w:sz w:val="18"/>
          <w:szCs w:val="18"/>
        </w:rPr>
        <w:fldChar w:fldCharType="begin"/>
      </w:r>
      <w:r w:rsidRPr="00FA6F3B">
        <w:rPr>
          <w:bCs/>
        </w:rPr>
        <w:instrText xml:space="preserve"> SEQ Table \* ARABIC </w:instrText>
      </w:r>
      <w:r w:rsidRPr="00985828">
        <w:rPr>
          <w:bCs/>
          <w:sz w:val="18"/>
          <w:szCs w:val="18"/>
        </w:rPr>
        <w:fldChar w:fldCharType="separate"/>
      </w:r>
      <w:r>
        <w:rPr>
          <w:bCs/>
          <w:noProof/>
        </w:rPr>
        <w:t>80</w:t>
      </w:r>
      <w:r w:rsidRPr="00985828">
        <w:rPr>
          <w:bCs/>
          <w:sz w:val="18"/>
          <w:szCs w:val="18"/>
        </w:rPr>
        <w:fldChar w:fldCharType="end"/>
      </w:r>
      <w:r>
        <w:t>.1-80.4:</w:t>
      </w:r>
      <w:r w:rsidRPr="00E36B88">
        <w:t xml:space="preserve"> You feel you’re part of Australia’s LGBTIQ community</w:t>
      </w:r>
      <w:r>
        <w:t xml:space="preserve"> among adults aged 18+ years</w:t>
      </w:r>
      <w:r w:rsidRPr="00E36B88">
        <w:t>, grouped by Disability</w:t>
      </w:r>
      <w:r>
        <w:t xml:space="preserve"> Flag category (n = 6,524)</w:t>
      </w:r>
      <w:bookmarkEnd w:id="733"/>
      <w:bookmarkEnd w:id="734"/>
      <w:r>
        <w:t xml:space="preserve"> </w:t>
      </w:r>
    </w:p>
    <w:p w14:paraId="74DDAEE7" w14:textId="77777777" w:rsidR="009D0006" w:rsidRPr="003C3C9C" w:rsidRDefault="009D0006" w:rsidP="00E71DF8">
      <w:pPr>
        <w:pStyle w:val="Tableheading"/>
      </w:pPr>
      <w:r>
        <w:t>Table 80.1 Mild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7623FE6" w14:textId="77777777" w:rsidTr="00E71DF8">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bookmarkEnd w:id="732"/>
          <w:p w14:paraId="778BC787" w14:textId="77777777" w:rsidR="009D0006" w:rsidRPr="00554A7F" w:rsidRDefault="009D0006" w:rsidP="00554A7F">
            <w:pPr>
              <w:pStyle w:val="Tableheader"/>
            </w:pPr>
            <w:r w:rsidRPr="00554A7F">
              <w:t>Feel part of LGBTIQ community</w:t>
            </w:r>
          </w:p>
        </w:tc>
        <w:tc>
          <w:tcPr>
            <w:tcW w:w="1559" w:type="dxa"/>
            <w:noWrap/>
            <w:hideMark/>
          </w:tcPr>
          <w:p w14:paraId="487290BC" w14:textId="77777777" w:rsidR="009D0006" w:rsidRPr="00554A7F" w:rsidRDefault="009D0006" w:rsidP="00554A7F">
            <w:pPr>
              <w:pStyle w:val="Tableheader"/>
            </w:pPr>
            <w:r w:rsidRPr="00554A7F">
              <w:t>n</w:t>
            </w:r>
          </w:p>
        </w:tc>
        <w:tc>
          <w:tcPr>
            <w:tcW w:w="1559" w:type="dxa"/>
            <w:noWrap/>
            <w:hideMark/>
          </w:tcPr>
          <w:p w14:paraId="6E275E86" w14:textId="77777777" w:rsidR="009D0006" w:rsidRPr="00554A7F" w:rsidRDefault="009D0006" w:rsidP="00554A7F">
            <w:pPr>
              <w:pStyle w:val="Tableheader"/>
            </w:pPr>
            <w:r w:rsidRPr="00554A7F">
              <w:t>%</w:t>
            </w:r>
          </w:p>
        </w:tc>
      </w:tr>
      <w:tr w:rsidR="009D0006" w:rsidRPr="003F4D73" w14:paraId="4B6EB739" w14:textId="77777777" w:rsidTr="00E71DF8">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F3A5943" w14:textId="77777777" w:rsidR="009D0006" w:rsidRPr="00935087" w:rsidRDefault="009D0006" w:rsidP="00554A7F">
            <w:pPr>
              <w:pStyle w:val="Tabletext"/>
              <w:rPr>
                <w:color w:val="0D0D0D"/>
              </w:rPr>
            </w:pPr>
            <w:r w:rsidRPr="00BB7920">
              <w:rPr>
                <w:lang w:val="en-US"/>
              </w:rPr>
              <w:t>Do not agree</w:t>
            </w:r>
          </w:p>
        </w:tc>
        <w:tc>
          <w:tcPr>
            <w:tcW w:w="1559" w:type="dxa"/>
            <w:noWrap/>
          </w:tcPr>
          <w:p w14:paraId="4C7F18CF" w14:textId="77777777" w:rsidR="009D0006" w:rsidRPr="003F4D73" w:rsidRDefault="009D0006" w:rsidP="00554A7F">
            <w:pPr>
              <w:pStyle w:val="Tabletext"/>
              <w:rPr>
                <w:color w:val="0D0D0D"/>
              </w:rPr>
            </w:pPr>
            <w:r>
              <w:rPr>
                <w:color w:val="000000"/>
              </w:rPr>
              <w:t>184 </w:t>
            </w:r>
          </w:p>
        </w:tc>
        <w:tc>
          <w:tcPr>
            <w:tcW w:w="1559" w:type="dxa"/>
            <w:noWrap/>
          </w:tcPr>
          <w:p w14:paraId="42E7A340" w14:textId="77777777" w:rsidR="009D0006" w:rsidRPr="003F4D73" w:rsidRDefault="009D0006" w:rsidP="00554A7F">
            <w:pPr>
              <w:pStyle w:val="Tabletext"/>
              <w:rPr>
                <w:color w:val="0D0D0D"/>
              </w:rPr>
            </w:pPr>
            <w:r>
              <w:rPr>
                <w:color w:val="000000"/>
              </w:rPr>
              <w:t>42.5 </w:t>
            </w:r>
          </w:p>
        </w:tc>
      </w:tr>
      <w:tr w:rsidR="009D0006" w:rsidRPr="003F4D73" w14:paraId="2C999AE2" w14:textId="77777777" w:rsidTr="00E71DF8">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177F1E7" w14:textId="77777777" w:rsidR="009D0006" w:rsidRPr="00935087" w:rsidRDefault="009D0006" w:rsidP="00554A7F">
            <w:pPr>
              <w:pStyle w:val="Tabletext"/>
              <w:rPr>
                <w:color w:val="0D0D0D"/>
              </w:rPr>
            </w:pPr>
            <w:r w:rsidRPr="00BB7920">
              <w:rPr>
                <w:lang w:val="en-US"/>
              </w:rPr>
              <w:t>Agree</w:t>
            </w:r>
            <w:r>
              <w:rPr>
                <w:lang w:val="en-US"/>
              </w:rPr>
              <w:t xml:space="preserve"> or strongly agree</w:t>
            </w:r>
          </w:p>
        </w:tc>
        <w:tc>
          <w:tcPr>
            <w:tcW w:w="1559" w:type="dxa"/>
            <w:noWrap/>
          </w:tcPr>
          <w:p w14:paraId="21880FD9" w14:textId="77777777" w:rsidR="009D0006" w:rsidRPr="003F4D73" w:rsidRDefault="009D0006" w:rsidP="00554A7F">
            <w:pPr>
              <w:pStyle w:val="Tabletext"/>
              <w:rPr>
                <w:color w:val="0D0D0D"/>
              </w:rPr>
            </w:pPr>
            <w:r>
              <w:rPr>
                <w:color w:val="000000"/>
              </w:rPr>
              <w:t>249 </w:t>
            </w:r>
          </w:p>
        </w:tc>
        <w:tc>
          <w:tcPr>
            <w:tcW w:w="1559" w:type="dxa"/>
            <w:noWrap/>
          </w:tcPr>
          <w:p w14:paraId="7BD4C514" w14:textId="77777777" w:rsidR="009D0006" w:rsidRPr="003F4D73" w:rsidRDefault="009D0006" w:rsidP="00554A7F">
            <w:pPr>
              <w:pStyle w:val="Tabletext"/>
              <w:rPr>
                <w:color w:val="0D0D0D"/>
              </w:rPr>
            </w:pPr>
            <w:r>
              <w:rPr>
                <w:color w:val="000000"/>
              </w:rPr>
              <w:t>57.5 </w:t>
            </w:r>
          </w:p>
        </w:tc>
      </w:tr>
    </w:tbl>
    <w:p w14:paraId="1BD7AB71" w14:textId="77777777" w:rsidR="009D0006" w:rsidRDefault="009D0006" w:rsidP="00554A7F">
      <w:pPr>
        <w:pStyle w:val="Tableheading"/>
      </w:pPr>
      <w:r>
        <w:t>Table 80.2 Moderate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73F6D6D4" w14:textId="77777777" w:rsidTr="00554A7F">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3BD8D1A3" w14:textId="77777777" w:rsidR="009D0006" w:rsidRPr="003F4D73" w:rsidRDefault="009D0006" w:rsidP="00554A7F">
            <w:pPr>
              <w:pStyle w:val="Tableheader"/>
              <w:rPr>
                <w:color w:val="0D0D0D"/>
              </w:rPr>
            </w:pPr>
            <w:r w:rsidRPr="00BB7920">
              <w:t>Feel part of LGBTIQ community</w:t>
            </w:r>
          </w:p>
        </w:tc>
        <w:tc>
          <w:tcPr>
            <w:tcW w:w="1559" w:type="dxa"/>
            <w:hideMark/>
          </w:tcPr>
          <w:p w14:paraId="07EF2DEA" w14:textId="77777777" w:rsidR="009D0006" w:rsidRPr="003F4D73" w:rsidRDefault="009D0006" w:rsidP="00554A7F">
            <w:pPr>
              <w:pStyle w:val="Tableheader"/>
              <w:rPr>
                <w:color w:val="0D0D0D"/>
              </w:rPr>
            </w:pPr>
            <w:r>
              <w:rPr>
                <w:color w:val="0D0D0D"/>
              </w:rPr>
              <w:t>n</w:t>
            </w:r>
          </w:p>
        </w:tc>
        <w:tc>
          <w:tcPr>
            <w:tcW w:w="1559" w:type="dxa"/>
            <w:hideMark/>
          </w:tcPr>
          <w:p w14:paraId="7DC1195C" w14:textId="77777777" w:rsidR="009D0006" w:rsidRPr="003F4D73" w:rsidRDefault="009D0006" w:rsidP="00554A7F">
            <w:pPr>
              <w:pStyle w:val="Tableheader"/>
              <w:rPr>
                <w:color w:val="0D0D0D"/>
              </w:rPr>
            </w:pPr>
            <w:r w:rsidRPr="003F4D73">
              <w:rPr>
                <w:color w:val="0D0D0D"/>
              </w:rPr>
              <w:t>%</w:t>
            </w:r>
          </w:p>
        </w:tc>
      </w:tr>
      <w:tr w:rsidR="009D0006" w:rsidRPr="003F4D73" w14:paraId="04ADAB0B" w14:textId="77777777" w:rsidTr="00554A7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F9C7F52" w14:textId="77777777" w:rsidR="009D0006" w:rsidRPr="00935087" w:rsidRDefault="009D0006" w:rsidP="00554A7F">
            <w:pPr>
              <w:pStyle w:val="Tabletext"/>
              <w:rPr>
                <w:color w:val="0D0D0D"/>
              </w:rPr>
            </w:pPr>
            <w:r w:rsidRPr="00BB7920">
              <w:rPr>
                <w:lang w:val="en-US"/>
              </w:rPr>
              <w:t>Do not agree</w:t>
            </w:r>
          </w:p>
        </w:tc>
        <w:tc>
          <w:tcPr>
            <w:tcW w:w="1559" w:type="dxa"/>
          </w:tcPr>
          <w:p w14:paraId="11CD53D2" w14:textId="77777777" w:rsidR="009D0006" w:rsidRPr="003F4D73" w:rsidRDefault="009D0006" w:rsidP="00554A7F">
            <w:pPr>
              <w:pStyle w:val="Tabletext"/>
              <w:rPr>
                <w:color w:val="0D0D0D"/>
              </w:rPr>
            </w:pPr>
            <w:r>
              <w:rPr>
                <w:color w:val="000000"/>
              </w:rPr>
              <w:t>642 </w:t>
            </w:r>
          </w:p>
        </w:tc>
        <w:tc>
          <w:tcPr>
            <w:tcW w:w="1559" w:type="dxa"/>
          </w:tcPr>
          <w:p w14:paraId="0D154967" w14:textId="77777777" w:rsidR="009D0006" w:rsidRPr="003F4D73" w:rsidRDefault="009D0006" w:rsidP="00554A7F">
            <w:pPr>
              <w:pStyle w:val="Tabletext"/>
              <w:rPr>
                <w:color w:val="0D0D0D"/>
              </w:rPr>
            </w:pPr>
            <w:r>
              <w:rPr>
                <w:color w:val="000000"/>
              </w:rPr>
              <w:t>46.1 </w:t>
            </w:r>
          </w:p>
        </w:tc>
      </w:tr>
      <w:tr w:rsidR="009D0006" w:rsidRPr="003F4D73" w14:paraId="4E2AD927" w14:textId="77777777" w:rsidTr="00554A7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587886F" w14:textId="77777777" w:rsidR="009D0006" w:rsidRPr="00935087" w:rsidRDefault="009D0006" w:rsidP="00554A7F">
            <w:pPr>
              <w:pStyle w:val="Tabletext"/>
              <w:rPr>
                <w:color w:val="0D0D0D"/>
              </w:rPr>
            </w:pPr>
            <w:r w:rsidRPr="00BB7920">
              <w:rPr>
                <w:lang w:val="en-US"/>
              </w:rPr>
              <w:t>Agree</w:t>
            </w:r>
            <w:r>
              <w:rPr>
                <w:lang w:val="en-US"/>
              </w:rPr>
              <w:t xml:space="preserve"> or strongly agree</w:t>
            </w:r>
          </w:p>
        </w:tc>
        <w:tc>
          <w:tcPr>
            <w:tcW w:w="1559" w:type="dxa"/>
          </w:tcPr>
          <w:p w14:paraId="0B89D016" w14:textId="77777777" w:rsidR="009D0006" w:rsidRPr="003F4D73" w:rsidRDefault="009D0006" w:rsidP="00554A7F">
            <w:pPr>
              <w:pStyle w:val="Tabletext"/>
              <w:rPr>
                <w:color w:val="0D0D0D"/>
              </w:rPr>
            </w:pPr>
            <w:r>
              <w:rPr>
                <w:color w:val="000000"/>
              </w:rPr>
              <w:t>750 </w:t>
            </w:r>
          </w:p>
        </w:tc>
        <w:tc>
          <w:tcPr>
            <w:tcW w:w="1559" w:type="dxa"/>
          </w:tcPr>
          <w:p w14:paraId="41009397" w14:textId="77777777" w:rsidR="009D0006" w:rsidRPr="003F4D73" w:rsidRDefault="009D0006" w:rsidP="00554A7F">
            <w:pPr>
              <w:pStyle w:val="Tabletext"/>
              <w:rPr>
                <w:color w:val="0D0D0D"/>
              </w:rPr>
            </w:pPr>
            <w:r>
              <w:rPr>
                <w:color w:val="000000"/>
              </w:rPr>
              <w:t>53.9 </w:t>
            </w:r>
          </w:p>
        </w:tc>
      </w:tr>
    </w:tbl>
    <w:p w14:paraId="5CD98A14" w14:textId="77777777" w:rsidR="009D0006" w:rsidRDefault="009D0006" w:rsidP="00554A7F">
      <w:pPr>
        <w:pStyle w:val="Tableheading"/>
      </w:pPr>
      <w:r>
        <w:t>Table 80.3 Severe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43FD376" w14:textId="77777777" w:rsidTr="00554A7F">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20930419" w14:textId="77777777" w:rsidR="009D0006" w:rsidRPr="003F4D73" w:rsidRDefault="009D0006" w:rsidP="00554A7F">
            <w:pPr>
              <w:pStyle w:val="Tableheader"/>
              <w:rPr>
                <w:color w:val="0D0D0D"/>
              </w:rPr>
            </w:pPr>
            <w:r w:rsidRPr="00BB7920">
              <w:t>Feel part of LGBTIQ community</w:t>
            </w:r>
          </w:p>
        </w:tc>
        <w:tc>
          <w:tcPr>
            <w:tcW w:w="1559" w:type="dxa"/>
            <w:noWrap/>
            <w:hideMark/>
          </w:tcPr>
          <w:p w14:paraId="4310FCF6" w14:textId="77777777" w:rsidR="009D0006" w:rsidRPr="003F4D73" w:rsidRDefault="009D0006" w:rsidP="00554A7F">
            <w:pPr>
              <w:pStyle w:val="Tableheader"/>
              <w:rPr>
                <w:color w:val="0D0D0D"/>
              </w:rPr>
            </w:pPr>
            <w:r>
              <w:rPr>
                <w:color w:val="0D0D0D"/>
              </w:rPr>
              <w:t>n</w:t>
            </w:r>
          </w:p>
        </w:tc>
        <w:tc>
          <w:tcPr>
            <w:tcW w:w="1559" w:type="dxa"/>
            <w:noWrap/>
            <w:hideMark/>
          </w:tcPr>
          <w:p w14:paraId="7DC546F3" w14:textId="77777777" w:rsidR="009D0006" w:rsidRPr="003F4D73" w:rsidRDefault="009D0006" w:rsidP="00554A7F">
            <w:pPr>
              <w:pStyle w:val="Tableheader"/>
              <w:rPr>
                <w:color w:val="0D0D0D"/>
              </w:rPr>
            </w:pPr>
            <w:r w:rsidRPr="003F4D73">
              <w:rPr>
                <w:color w:val="0D0D0D"/>
              </w:rPr>
              <w:t>%</w:t>
            </w:r>
          </w:p>
        </w:tc>
      </w:tr>
      <w:tr w:rsidR="009D0006" w:rsidRPr="003F4D73" w14:paraId="715AEA35" w14:textId="77777777" w:rsidTr="00554A7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FA02105" w14:textId="77777777" w:rsidR="009D0006" w:rsidRPr="00935087" w:rsidRDefault="009D0006" w:rsidP="00554A7F">
            <w:pPr>
              <w:pStyle w:val="Tabletext"/>
              <w:rPr>
                <w:color w:val="0D0D0D"/>
              </w:rPr>
            </w:pPr>
            <w:r w:rsidRPr="00BB7920">
              <w:rPr>
                <w:lang w:val="en-US"/>
              </w:rPr>
              <w:t>Do not agree</w:t>
            </w:r>
          </w:p>
        </w:tc>
        <w:tc>
          <w:tcPr>
            <w:tcW w:w="1559" w:type="dxa"/>
            <w:noWrap/>
          </w:tcPr>
          <w:p w14:paraId="6D1F9DC5" w14:textId="77777777" w:rsidR="009D0006" w:rsidRPr="003F4D73" w:rsidRDefault="009D0006" w:rsidP="00554A7F">
            <w:pPr>
              <w:pStyle w:val="Tabletext"/>
              <w:rPr>
                <w:color w:val="0D0D0D"/>
              </w:rPr>
            </w:pPr>
            <w:r>
              <w:rPr>
                <w:color w:val="000000"/>
              </w:rPr>
              <w:t>364 </w:t>
            </w:r>
          </w:p>
        </w:tc>
        <w:tc>
          <w:tcPr>
            <w:tcW w:w="1559" w:type="dxa"/>
            <w:noWrap/>
          </w:tcPr>
          <w:p w14:paraId="70F49090" w14:textId="77777777" w:rsidR="009D0006" w:rsidRPr="003F4D73" w:rsidRDefault="009D0006" w:rsidP="00554A7F">
            <w:pPr>
              <w:pStyle w:val="Tabletext"/>
              <w:rPr>
                <w:color w:val="0D0D0D"/>
              </w:rPr>
            </w:pPr>
            <w:r>
              <w:rPr>
                <w:color w:val="000000"/>
              </w:rPr>
              <w:t>45.5 </w:t>
            </w:r>
          </w:p>
        </w:tc>
      </w:tr>
      <w:tr w:rsidR="009D0006" w:rsidRPr="003F4D73" w14:paraId="594CA499" w14:textId="77777777" w:rsidTr="00554A7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7D7E3DF" w14:textId="77777777" w:rsidR="009D0006" w:rsidRPr="00935087" w:rsidRDefault="009D0006" w:rsidP="00554A7F">
            <w:pPr>
              <w:pStyle w:val="Tabletext"/>
              <w:rPr>
                <w:color w:val="0D0D0D"/>
              </w:rPr>
            </w:pPr>
            <w:r w:rsidRPr="00BB7920">
              <w:rPr>
                <w:lang w:val="en-US"/>
              </w:rPr>
              <w:t>Agree</w:t>
            </w:r>
            <w:r>
              <w:rPr>
                <w:lang w:val="en-US"/>
              </w:rPr>
              <w:t xml:space="preserve"> or strongly agree</w:t>
            </w:r>
          </w:p>
        </w:tc>
        <w:tc>
          <w:tcPr>
            <w:tcW w:w="1559" w:type="dxa"/>
            <w:noWrap/>
          </w:tcPr>
          <w:p w14:paraId="404DBC27" w14:textId="77777777" w:rsidR="009D0006" w:rsidRPr="003F4D73" w:rsidRDefault="009D0006" w:rsidP="00554A7F">
            <w:pPr>
              <w:pStyle w:val="Tabletext"/>
              <w:rPr>
                <w:color w:val="0D0D0D"/>
              </w:rPr>
            </w:pPr>
            <w:r>
              <w:rPr>
                <w:color w:val="000000"/>
              </w:rPr>
              <w:t>436 </w:t>
            </w:r>
          </w:p>
        </w:tc>
        <w:tc>
          <w:tcPr>
            <w:tcW w:w="1559" w:type="dxa"/>
            <w:noWrap/>
          </w:tcPr>
          <w:p w14:paraId="0137EB5B" w14:textId="77777777" w:rsidR="009D0006" w:rsidRPr="003F4D73" w:rsidRDefault="009D0006" w:rsidP="00554A7F">
            <w:pPr>
              <w:pStyle w:val="Tabletext"/>
              <w:rPr>
                <w:color w:val="0D0D0D"/>
              </w:rPr>
            </w:pPr>
            <w:r>
              <w:rPr>
                <w:color w:val="000000"/>
              </w:rPr>
              <w:t>54.5 </w:t>
            </w:r>
          </w:p>
        </w:tc>
      </w:tr>
    </w:tbl>
    <w:p w14:paraId="6C5377AB" w14:textId="77777777" w:rsidR="009D0006" w:rsidRDefault="009D0006" w:rsidP="00554A7F">
      <w:pPr>
        <w:pStyle w:val="Tableheading"/>
      </w:pPr>
      <w:r>
        <w:t>Table 80.4 No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3F4D73" w14:paraId="19237F02" w14:textId="77777777" w:rsidTr="00554A7F">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5922CA9D" w14:textId="77777777" w:rsidR="009D0006" w:rsidRPr="003F4D73" w:rsidRDefault="009D0006" w:rsidP="00554A7F">
            <w:pPr>
              <w:pStyle w:val="Tableheader"/>
              <w:rPr>
                <w:color w:val="0D0D0D"/>
              </w:rPr>
            </w:pPr>
            <w:r w:rsidRPr="00BB7920">
              <w:t>Feel part of LGBTIQ community</w:t>
            </w:r>
          </w:p>
        </w:tc>
        <w:tc>
          <w:tcPr>
            <w:tcW w:w="1559" w:type="dxa"/>
            <w:hideMark/>
          </w:tcPr>
          <w:p w14:paraId="26C3CDAA" w14:textId="77777777" w:rsidR="009D0006" w:rsidRPr="003F4D73" w:rsidRDefault="009D0006" w:rsidP="00554A7F">
            <w:pPr>
              <w:pStyle w:val="Tableheader"/>
              <w:rPr>
                <w:color w:val="0D0D0D"/>
              </w:rPr>
            </w:pPr>
            <w:r>
              <w:rPr>
                <w:color w:val="0D0D0D"/>
              </w:rPr>
              <w:t>n</w:t>
            </w:r>
          </w:p>
        </w:tc>
        <w:tc>
          <w:tcPr>
            <w:tcW w:w="1559" w:type="dxa"/>
            <w:hideMark/>
          </w:tcPr>
          <w:p w14:paraId="40B5CA6D" w14:textId="77777777" w:rsidR="009D0006" w:rsidRPr="003F4D73" w:rsidRDefault="009D0006" w:rsidP="00554A7F">
            <w:pPr>
              <w:pStyle w:val="Tableheader"/>
              <w:rPr>
                <w:color w:val="0D0D0D"/>
              </w:rPr>
            </w:pPr>
            <w:r w:rsidRPr="003F4D73">
              <w:rPr>
                <w:color w:val="0D0D0D"/>
              </w:rPr>
              <w:t>%</w:t>
            </w:r>
          </w:p>
        </w:tc>
      </w:tr>
      <w:tr w:rsidR="009D0006" w:rsidRPr="003F4D73" w14:paraId="7D533D5D" w14:textId="77777777" w:rsidTr="00554A7F">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1CC272D" w14:textId="77777777" w:rsidR="009D0006" w:rsidRPr="00935087" w:rsidRDefault="009D0006" w:rsidP="00554A7F">
            <w:pPr>
              <w:pStyle w:val="Tabletext"/>
              <w:rPr>
                <w:color w:val="0D0D0D"/>
              </w:rPr>
            </w:pPr>
            <w:r w:rsidRPr="00BB7920">
              <w:rPr>
                <w:lang w:val="en-US"/>
              </w:rPr>
              <w:t>Do not agree</w:t>
            </w:r>
          </w:p>
        </w:tc>
        <w:tc>
          <w:tcPr>
            <w:tcW w:w="1559" w:type="dxa"/>
          </w:tcPr>
          <w:p w14:paraId="1007ACB6" w14:textId="77777777" w:rsidR="009D0006" w:rsidRPr="003F4D73" w:rsidRDefault="009D0006" w:rsidP="00554A7F">
            <w:pPr>
              <w:pStyle w:val="Tabletext"/>
              <w:rPr>
                <w:color w:val="0D0D0D"/>
              </w:rPr>
            </w:pPr>
            <w:r>
              <w:rPr>
                <w:color w:val="000000"/>
              </w:rPr>
              <w:t>1651 </w:t>
            </w:r>
          </w:p>
        </w:tc>
        <w:tc>
          <w:tcPr>
            <w:tcW w:w="1559" w:type="dxa"/>
          </w:tcPr>
          <w:p w14:paraId="117980EA" w14:textId="77777777" w:rsidR="009D0006" w:rsidRPr="003F4D73" w:rsidRDefault="009D0006" w:rsidP="00554A7F">
            <w:pPr>
              <w:pStyle w:val="Tabletext"/>
              <w:rPr>
                <w:color w:val="0D0D0D"/>
              </w:rPr>
            </w:pPr>
            <w:r>
              <w:rPr>
                <w:color w:val="000000"/>
              </w:rPr>
              <w:t>42.3 </w:t>
            </w:r>
          </w:p>
        </w:tc>
      </w:tr>
      <w:tr w:rsidR="009D0006" w:rsidRPr="003F4D73" w14:paraId="57F679A3" w14:textId="77777777" w:rsidTr="00554A7F">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D660700" w14:textId="77777777" w:rsidR="009D0006" w:rsidRPr="00935087" w:rsidRDefault="009D0006" w:rsidP="00554A7F">
            <w:pPr>
              <w:pStyle w:val="Tabletext"/>
              <w:rPr>
                <w:color w:val="0D0D0D"/>
              </w:rPr>
            </w:pPr>
            <w:r w:rsidRPr="00BB7920">
              <w:rPr>
                <w:lang w:val="en-US"/>
              </w:rPr>
              <w:t>Agree</w:t>
            </w:r>
            <w:r>
              <w:rPr>
                <w:lang w:val="en-US"/>
              </w:rPr>
              <w:t xml:space="preserve"> or strongly agree</w:t>
            </w:r>
          </w:p>
        </w:tc>
        <w:tc>
          <w:tcPr>
            <w:tcW w:w="1559" w:type="dxa"/>
          </w:tcPr>
          <w:p w14:paraId="4E2792B2" w14:textId="77777777" w:rsidR="009D0006" w:rsidRPr="003F4D73" w:rsidRDefault="009D0006" w:rsidP="00554A7F">
            <w:pPr>
              <w:pStyle w:val="Tabletext"/>
              <w:rPr>
                <w:color w:val="0D0D0D"/>
              </w:rPr>
            </w:pPr>
            <w:r>
              <w:rPr>
                <w:color w:val="000000"/>
              </w:rPr>
              <w:t>2248 </w:t>
            </w:r>
          </w:p>
        </w:tc>
        <w:tc>
          <w:tcPr>
            <w:tcW w:w="1559" w:type="dxa"/>
          </w:tcPr>
          <w:p w14:paraId="5F338EB4" w14:textId="77777777" w:rsidR="009D0006" w:rsidRPr="003F4D73" w:rsidRDefault="009D0006" w:rsidP="00554A7F">
            <w:pPr>
              <w:pStyle w:val="Tabletext"/>
              <w:rPr>
                <w:color w:val="0D0D0D"/>
              </w:rPr>
            </w:pPr>
            <w:r>
              <w:rPr>
                <w:color w:val="000000"/>
              </w:rPr>
              <w:t>57.7 </w:t>
            </w:r>
          </w:p>
        </w:tc>
      </w:tr>
    </w:tbl>
    <w:p w14:paraId="523F5141" w14:textId="77777777" w:rsidR="009D0006" w:rsidRPr="0059690F" w:rsidRDefault="009D0006" w:rsidP="00184CF2">
      <w:pPr>
        <w:spacing w:before="360"/>
      </w:pPr>
      <w:r>
        <w:t xml:space="preserve">As displayed in Tables 80.1-80.4, similar proportions of participants in </w:t>
      </w:r>
      <w:r>
        <w:rPr>
          <w:i/>
          <w:iCs/>
        </w:rPr>
        <w:t xml:space="preserve">Private Lives 3 </w:t>
      </w:r>
      <w:r>
        <w:t xml:space="preserve">across the different disability groups felt that they were a part of Australia’s LGBTIQ community. </w:t>
      </w:r>
      <w:r>
        <w:lastRenderedPageBreak/>
        <w:t>Participants without disability had the highest proportion who felt that they were a part of Australia’s LGBTIQ community (57.7%; n = 2248), followed closely by participants categorised with mild disability (57.5%; n = 249), participants categorised with moderate disability (53.9%; n = 750) and participants categorised with severe disability (54.5%; n = 436).</w:t>
      </w:r>
    </w:p>
    <w:p w14:paraId="3257F123" w14:textId="15DC589E" w:rsidR="009D0006" w:rsidRPr="003C3C9C" w:rsidRDefault="009D0006" w:rsidP="006346CA">
      <w:pPr>
        <w:pStyle w:val="Heading2Numbered"/>
      </w:pPr>
      <w:bookmarkStart w:id="735" w:name="_Toc58252185"/>
      <w:bookmarkStart w:id="736" w:name="_Toc115968611"/>
      <w:bookmarkStart w:id="737" w:name="_Toc119662453"/>
      <w:r>
        <w:t>Service accessibility</w:t>
      </w:r>
      <w:bookmarkEnd w:id="735"/>
      <w:r>
        <w:t xml:space="preserve"> – young people aged 14-21 years</w:t>
      </w:r>
      <w:bookmarkEnd w:id="736"/>
      <w:bookmarkEnd w:id="737"/>
    </w:p>
    <w:p w14:paraId="72CAA0D5" w14:textId="77777777" w:rsidR="009D0006" w:rsidRPr="003C3C9C" w:rsidRDefault="009D0006" w:rsidP="009D0006">
      <w:pPr>
        <w:rPr>
          <w:lang w:val="en-GB"/>
        </w:rPr>
      </w:pPr>
      <w:r w:rsidRPr="6F35EF85">
        <w:rPr>
          <w:lang w:val="en-GB"/>
        </w:rPr>
        <w:t xml:space="preserve">Participants reporting a disability or long-term health condition were asked specific questions, which were developed </w:t>
      </w:r>
      <w:r>
        <w:rPr>
          <w:lang w:val="en-GB"/>
        </w:rPr>
        <w:t>in consultation with a</w:t>
      </w:r>
      <w:r w:rsidRPr="6F35EF85">
        <w:rPr>
          <w:lang w:val="en-GB"/>
        </w:rPr>
        <w:t xml:space="preserve"> disability advisory </w:t>
      </w:r>
      <w:r>
        <w:rPr>
          <w:lang w:val="en-GB"/>
        </w:rPr>
        <w:t>group</w:t>
      </w:r>
      <w:r w:rsidRPr="6F35EF85">
        <w:rPr>
          <w:lang w:val="en-GB"/>
        </w:rPr>
        <w:t>, in order to best inform service provision and models of best practice. Participants reporting a disability or long-term health condition were asked, ‘</w:t>
      </w:r>
      <w:r w:rsidRPr="6F35EF85">
        <w:rPr>
          <w:lang w:val="en-US"/>
        </w:rPr>
        <w:t xml:space="preserve">Thinking about your disability/neurodiversity or long-term health condition, please answer the following questions on a scale from </w:t>
      </w:r>
      <w:r>
        <w:rPr>
          <w:lang w:val="en-US"/>
        </w:rPr>
        <w:t>‘</w:t>
      </w:r>
      <w:r w:rsidRPr="6F35EF85">
        <w:rPr>
          <w:lang w:val="en-US"/>
        </w:rPr>
        <w:t>very easy</w:t>
      </w:r>
      <w:r>
        <w:rPr>
          <w:lang w:val="en-US"/>
        </w:rPr>
        <w:t>’</w:t>
      </w:r>
      <w:r w:rsidRPr="6F35EF85">
        <w:rPr>
          <w:lang w:val="en-US"/>
        </w:rPr>
        <w:t xml:space="preserve"> to </w:t>
      </w:r>
      <w:r>
        <w:rPr>
          <w:lang w:val="en-US"/>
        </w:rPr>
        <w:t>‘</w:t>
      </w:r>
      <w:r w:rsidRPr="6F35EF85">
        <w:rPr>
          <w:lang w:val="en-US"/>
        </w:rPr>
        <w:t>very hard</w:t>
      </w:r>
      <w:r>
        <w:rPr>
          <w:lang w:val="en-US"/>
        </w:rPr>
        <w:t>’.</w:t>
      </w:r>
      <w:r w:rsidRPr="6F35EF85">
        <w:rPr>
          <w:lang w:val="en-US"/>
        </w:rPr>
        <w:t xml:space="preserve"> </w:t>
      </w:r>
      <w:r w:rsidRPr="6F35EF85">
        <w:rPr>
          <w:lang w:val="en-GB"/>
        </w:rPr>
        <w:t>Participants could respond ‘not applicable’ to any questions that were not relevant to them (e.g.</w:t>
      </w:r>
      <w:r>
        <w:rPr>
          <w:lang w:val="en-GB"/>
        </w:rPr>
        <w:t>,</w:t>
      </w:r>
      <w:r w:rsidRPr="6F35EF85">
        <w:rPr>
          <w:lang w:val="en-GB"/>
        </w:rPr>
        <w:t xml:space="preserve"> questions regarding work settings for participants not engaged in employment)</w:t>
      </w:r>
      <w:r>
        <w:rPr>
          <w:lang w:val="en-GB"/>
        </w:rPr>
        <w:t>.</w:t>
      </w:r>
      <w:r w:rsidRPr="6F35EF85">
        <w:rPr>
          <w:lang w:val="en-GB"/>
        </w:rPr>
        <w:t xml:space="preserve"> Questions were on a </w:t>
      </w:r>
      <w:r>
        <w:rPr>
          <w:lang w:val="en-GB"/>
        </w:rPr>
        <w:t>5</w:t>
      </w:r>
      <w:r w:rsidRPr="6F35EF85">
        <w:rPr>
          <w:lang w:val="en-GB"/>
        </w:rPr>
        <w:t>-point scale ranging from ‘very easy’ to ‘very hard’</w:t>
      </w:r>
      <w:r>
        <w:rPr>
          <w:lang w:val="en-GB"/>
        </w:rPr>
        <w:t>.</w:t>
      </w:r>
      <w:r w:rsidRPr="6F35EF85">
        <w:rPr>
          <w:lang w:val="en-GB"/>
        </w:rPr>
        <w:t xml:space="preserve"> </w:t>
      </w:r>
      <w:r>
        <w:rPr>
          <w:lang w:val="en-GB"/>
        </w:rPr>
        <w:t>P</w:t>
      </w:r>
      <w:r w:rsidRPr="6F35EF85">
        <w:rPr>
          <w:lang w:val="en-GB"/>
        </w:rPr>
        <w:t>articipants were asked the following questions</w:t>
      </w:r>
      <w:r>
        <w:rPr>
          <w:lang w:val="en-GB"/>
        </w:rPr>
        <w:t>, and n</w:t>
      </w:r>
      <w:r>
        <w:rPr>
          <w:lang w:val="en-US"/>
        </w:rPr>
        <w:t>umbers in brackets below reflect the sample of participants who provided a response to these questions</w:t>
      </w:r>
      <w:r>
        <w:rPr>
          <w:lang w:val="en-GB"/>
        </w:rPr>
        <w:t>.</w:t>
      </w:r>
    </w:p>
    <w:p w14:paraId="6288F267" w14:textId="77777777" w:rsidR="009D0006" w:rsidRPr="003C3C9C" w:rsidRDefault="009D0006" w:rsidP="00554A7F">
      <w:pPr>
        <w:pStyle w:val="Bulletlist"/>
      </w:pPr>
      <w:r>
        <w:t>Does your educational institution make it easy or hard for you to learn? (n = 2,347)</w:t>
      </w:r>
    </w:p>
    <w:p w14:paraId="3AC85054" w14:textId="77777777" w:rsidR="009D0006" w:rsidRPr="003C3C9C" w:rsidRDefault="009D0006" w:rsidP="00554A7F">
      <w:pPr>
        <w:pStyle w:val="Bulletlist"/>
      </w:pPr>
      <w:r w:rsidRPr="6F35EF85">
        <w:t xml:space="preserve">Does your workplace make it easy or hard for you to work efficiently? </w:t>
      </w:r>
      <w:r>
        <w:t>(n = 1,635)</w:t>
      </w:r>
    </w:p>
    <w:p w14:paraId="31BE8A79" w14:textId="77777777" w:rsidR="009D0006" w:rsidRPr="003C3C9C" w:rsidRDefault="009D0006" w:rsidP="00554A7F">
      <w:pPr>
        <w:pStyle w:val="Bulletlist"/>
      </w:pPr>
      <w:r w:rsidRPr="6F35EF85">
        <w:t xml:space="preserve">Do LGBTIQA+ social or community venues in your area make it easy for you to use them? </w:t>
      </w:r>
      <w:r>
        <w:t>(n = 1,785)</w:t>
      </w:r>
    </w:p>
    <w:p w14:paraId="75D30345" w14:textId="77777777" w:rsidR="009D0006" w:rsidRPr="003C3C9C" w:rsidRDefault="009D0006" w:rsidP="00554A7F">
      <w:pPr>
        <w:pStyle w:val="Bulletlist"/>
      </w:pPr>
      <w:r w:rsidRPr="6F35EF85">
        <w:t xml:space="preserve">Do LGBTIQA+ services or support groups in your area make it easy or hard for you to use them? </w:t>
      </w:r>
      <w:r>
        <w:t>(n = 1,779)</w:t>
      </w:r>
    </w:p>
    <w:p w14:paraId="6F6C20C0" w14:textId="77777777" w:rsidR="009D0006" w:rsidRDefault="009D0006" w:rsidP="009D0006">
      <w:pPr>
        <w:rPr>
          <w:lang w:val="en-GB"/>
        </w:rPr>
      </w:pPr>
      <w:r w:rsidRPr="6F35EF85">
        <w:rPr>
          <w:lang w:val="en-GB"/>
        </w:rPr>
        <w:t>Table</w:t>
      </w:r>
      <w:r>
        <w:rPr>
          <w:lang w:val="en-GB"/>
        </w:rPr>
        <w:t>s</w:t>
      </w:r>
      <w:r w:rsidRPr="6F35EF85">
        <w:rPr>
          <w:lang w:val="en-GB"/>
        </w:rPr>
        <w:t xml:space="preserve"> </w:t>
      </w:r>
      <w:r>
        <w:rPr>
          <w:lang w:val="en-GB"/>
        </w:rPr>
        <w:t>81.1-81.6</w:t>
      </w:r>
      <w:r w:rsidRPr="6F35EF85">
        <w:rPr>
          <w:lang w:val="en-GB"/>
        </w:rPr>
        <w:t xml:space="preserve"> display the proportion of participants who selected </w:t>
      </w:r>
      <w:r>
        <w:rPr>
          <w:lang w:val="en-GB"/>
        </w:rPr>
        <w:t xml:space="preserve">either </w:t>
      </w:r>
      <w:r w:rsidRPr="6F35EF85">
        <w:rPr>
          <w:lang w:val="en-GB"/>
        </w:rPr>
        <w:t>‘easy’ or ‘very easy’ for each question.</w:t>
      </w:r>
    </w:p>
    <w:p w14:paraId="223148CF" w14:textId="77777777" w:rsidR="009D0006" w:rsidRPr="004E2605" w:rsidRDefault="009D0006" w:rsidP="00554A7F">
      <w:pPr>
        <w:pStyle w:val="Tableheading"/>
        <w:rPr>
          <w:w w:val="101"/>
        </w:rPr>
      </w:pPr>
      <w:bookmarkStart w:id="738" w:name="_Toc79095849"/>
      <w:bookmarkStart w:id="739" w:name="_Toc79097368"/>
      <w:bookmarkStart w:id="740" w:name="_Toc79098741"/>
      <w:bookmarkStart w:id="741" w:name="_Toc79506936"/>
      <w:bookmarkStart w:id="742" w:name="_Toc79507136"/>
      <w:bookmarkStart w:id="743" w:name="_Toc79508360"/>
      <w:r w:rsidRPr="004E2605">
        <w:rPr>
          <w:w w:val="101"/>
        </w:rPr>
        <w:t>Tables 81.1</w:t>
      </w:r>
      <w:r w:rsidRPr="004E2605">
        <w:rPr>
          <w:w w:val="101"/>
        </w:rPr>
        <w:lastRenderedPageBreak/>
        <w:t xml:space="preserve">-81.6: </w:t>
      </w:r>
      <w:r w:rsidRPr="004E2605">
        <w:rPr>
          <w:w w:val="101"/>
          <w:lang w:val="en-US"/>
        </w:rPr>
        <w:t xml:space="preserve">Accessibility of </w:t>
      </w:r>
      <w:r w:rsidRPr="004E2605">
        <w:rPr>
          <w:w w:val="101"/>
        </w:rPr>
        <w:t xml:space="preserve">educational settings, workplaces, LGBTIQA+ venues or LGBTIQA+ services among young people with disability aged 14-21 years </w:t>
      </w:r>
      <w:bookmarkEnd w:id="738"/>
      <w:bookmarkEnd w:id="739"/>
      <w:bookmarkEnd w:id="740"/>
      <w:bookmarkEnd w:id="741"/>
      <w:bookmarkEnd w:id="742"/>
      <w:bookmarkEnd w:id="743"/>
    </w:p>
    <w:p w14:paraId="57C2E5C5" w14:textId="77777777" w:rsidR="009D0006" w:rsidRDefault="009D0006" w:rsidP="00554A7F">
      <w:pPr>
        <w:pStyle w:val="Tableheading"/>
      </w:pPr>
      <w:r>
        <w:t>Table 81.1 Any disability*</w:t>
      </w:r>
    </w:p>
    <w:tbl>
      <w:tblPr>
        <w:tblStyle w:val="RCTable"/>
        <w:tblW w:w="9864" w:type="dxa"/>
        <w:tblLayout w:type="fixed"/>
        <w:tblLook w:val="04A0" w:firstRow="1" w:lastRow="0" w:firstColumn="1" w:lastColumn="0" w:noHBand="0" w:noVBand="1"/>
      </w:tblPr>
      <w:tblGrid>
        <w:gridCol w:w="6746"/>
        <w:gridCol w:w="1559"/>
        <w:gridCol w:w="1559"/>
      </w:tblGrid>
      <w:tr w:rsidR="009D0006" w:rsidRPr="007E3D86" w14:paraId="15AF6BE7" w14:textId="77777777" w:rsidTr="004E2605">
        <w:trPr>
          <w:cnfStyle w:val="100000000000" w:firstRow="1" w:lastRow="0" w:firstColumn="0" w:lastColumn="0" w:oddVBand="0" w:evenVBand="0" w:oddHBand="0" w:evenHBand="0" w:firstRowFirstColumn="0" w:firstRowLastColumn="0" w:lastRowFirstColumn="0" w:lastRowLastColumn="0"/>
          <w:trHeight w:val="346"/>
          <w:tblHeader/>
        </w:trPr>
        <w:tc>
          <w:tcPr>
            <w:tcW w:w="6746" w:type="dxa"/>
            <w:noWrap/>
          </w:tcPr>
          <w:p w14:paraId="6AF595B9" w14:textId="77777777" w:rsidR="009D0006" w:rsidRPr="007E3D86" w:rsidRDefault="009D0006" w:rsidP="003859FB">
            <w:pPr>
              <w:pStyle w:val="Tableheader"/>
            </w:pPr>
            <w:r>
              <w:t>Accessibility of settings</w:t>
            </w:r>
          </w:p>
        </w:tc>
        <w:tc>
          <w:tcPr>
            <w:tcW w:w="1559" w:type="dxa"/>
            <w:noWrap/>
          </w:tcPr>
          <w:p w14:paraId="6A7DCE45" w14:textId="77777777" w:rsidR="009D0006" w:rsidRPr="00A438A1" w:rsidRDefault="009D0006" w:rsidP="003859FB">
            <w:pPr>
              <w:pStyle w:val="Tableheader"/>
            </w:pPr>
            <w:r w:rsidRPr="00A438A1">
              <w:t>n</w:t>
            </w:r>
          </w:p>
        </w:tc>
        <w:tc>
          <w:tcPr>
            <w:tcW w:w="1559" w:type="dxa"/>
            <w:noWrap/>
          </w:tcPr>
          <w:p w14:paraId="775F14D7" w14:textId="77777777" w:rsidR="009D0006" w:rsidRPr="00A438A1" w:rsidRDefault="009D0006" w:rsidP="003859FB">
            <w:pPr>
              <w:pStyle w:val="Tableheader"/>
            </w:pPr>
            <w:r w:rsidRPr="00A438A1">
              <w:t>%</w:t>
            </w:r>
          </w:p>
        </w:tc>
      </w:tr>
      <w:tr w:rsidR="009D0006" w:rsidRPr="008D09B0" w14:paraId="5D645662" w14:textId="77777777" w:rsidTr="003859FB">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5CB30B3" w14:textId="77777777" w:rsidR="009D0006" w:rsidRPr="008D09B0" w:rsidRDefault="009D0006" w:rsidP="003859FB">
            <w:pPr>
              <w:pStyle w:val="Tabletext"/>
            </w:pPr>
            <w:r w:rsidRPr="008D09B0">
              <w:t>Educational institution makes it easy or very easy for you to learn</w:t>
            </w:r>
          </w:p>
        </w:tc>
        <w:tc>
          <w:tcPr>
            <w:tcW w:w="1559" w:type="dxa"/>
            <w:noWrap/>
          </w:tcPr>
          <w:p w14:paraId="5F17E3D8" w14:textId="77777777" w:rsidR="009D0006" w:rsidRPr="008D09B0" w:rsidRDefault="009D0006" w:rsidP="003859FB">
            <w:pPr>
              <w:pStyle w:val="Tabletext"/>
            </w:pPr>
            <w:r w:rsidRPr="008D09B0">
              <w:t>395</w:t>
            </w:r>
          </w:p>
        </w:tc>
        <w:tc>
          <w:tcPr>
            <w:tcW w:w="1559" w:type="dxa"/>
            <w:noWrap/>
          </w:tcPr>
          <w:p w14:paraId="328CC4BD" w14:textId="77777777" w:rsidR="009D0006" w:rsidRPr="008D09B0" w:rsidRDefault="009D0006" w:rsidP="003859FB">
            <w:pPr>
              <w:pStyle w:val="Tabletext"/>
            </w:pPr>
            <w:r w:rsidRPr="008D09B0">
              <w:t>29.2</w:t>
            </w:r>
          </w:p>
        </w:tc>
      </w:tr>
      <w:tr w:rsidR="009D0006" w:rsidRPr="008D09B0" w14:paraId="134EC421" w14:textId="77777777" w:rsidTr="003859FB">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6D52D1A1" w14:textId="77777777" w:rsidR="009D0006" w:rsidRPr="008D09B0" w:rsidRDefault="009D0006" w:rsidP="003859FB">
            <w:pPr>
              <w:pStyle w:val="Tabletext"/>
            </w:pPr>
            <w:r w:rsidRPr="008D09B0">
              <w:t>Workplace makes it easy or very easy for you to work efficiently</w:t>
            </w:r>
          </w:p>
        </w:tc>
        <w:tc>
          <w:tcPr>
            <w:tcW w:w="1559" w:type="dxa"/>
            <w:noWrap/>
          </w:tcPr>
          <w:p w14:paraId="1D40FA23" w14:textId="77777777" w:rsidR="009D0006" w:rsidRPr="008D09B0" w:rsidRDefault="009D0006" w:rsidP="003859FB">
            <w:pPr>
              <w:pStyle w:val="Tabletext"/>
            </w:pPr>
            <w:r w:rsidRPr="008D09B0">
              <w:t>334</w:t>
            </w:r>
          </w:p>
        </w:tc>
        <w:tc>
          <w:tcPr>
            <w:tcW w:w="1559" w:type="dxa"/>
            <w:noWrap/>
          </w:tcPr>
          <w:p w14:paraId="60C8D2E0" w14:textId="77777777" w:rsidR="009D0006" w:rsidRPr="008D09B0" w:rsidRDefault="009D0006" w:rsidP="003859FB">
            <w:pPr>
              <w:pStyle w:val="Tabletext"/>
            </w:pPr>
            <w:r w:rsidRPr="008D09B0">
              <w:t>35.8</w:t>
            </w:r>
          </w:p>
        </w:tc>
      </w:tr>
      <w:tr w:rsidR="009D0006" w:rsidRPr="008D09B0" w14:paraId="1FE6CC08" w14:textId="77777777" w:rsidTr="003859FB">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FC6D6EA" w14:textId="77777777" w:rsidR="009D0006" w:rsidRPr="008D09B0" w:rsidRDefault="009D0006" w:rsidP="003859FB">
            <w:pPr>
              <w:pStyle w:val="Tabletext"/>
            </w:pPr>
            <w:r w:rsidRPr="008D09B0">
              <w:t>LGBTIQA+ social or community venues in your area make it easy or very easy for you to use them</w:t>
            </w:r>
          </w:p>
        </w:tc>
        <w:tc>
          <w:tcPr>
            <w:tcW w:w="1559" w:type="dxa"/>
            <w:noWrap/>
          </w:tcPr>
          <w:p w14:paraId="1A2FC04D" w14:textId="77777777" w:rsidR="009D0006" w:rsidRPr="008D09B0" w:rsidRDefault="009D0006" w:rsidP="003859FB">
            <w:pPr>
              <w:pStyle w:val="Tabletext"/>
            </w:pPr>
            <w:r w:rsidRPr="008D09B0">
              <w:t>461</w:t>
            </w:r>
          </w:p>
        </w:tc>
        <w:tc>
          <w:tcPr>
            <w:tcW w:w="1559" w:type="dxa"/>
            <w:noWrap/>
          </w:tcPr>
          <w:p w14:paraId="34F11607" w14:textId="77777777" w:rsidR="009D0006" w:rsidRPr="008D09B0" w:rsidRDefault="009D0006" w:rsidP="003859FB">
            <w:pPr>
              <w:pStyle w:val="Tabletext"/>
            </w:pPr>
            <w:r w:rsidRPr="008D09B0">
              <w:t>44.2</w:t>
            </w:r>
          </w:p>
        </w:tc>
      </w:tr>
      <w:tr w:rsidR="009D0006" w:rsidRPr="008D09B0" w14:paraId="14C6C5C9" w14:textId="77777777" w:rsidTr="003859FB">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42E1F4D" w14:textId="77777777" w:rsidR="009D0006" w:rsidRPr="008D09B0" w:rsidRDefault="009D0006" w:rsidP="003859FB">
            <w:pPr>
              <w:pStyle w:val="Tabletext"/>
            </w:pPr>
            <w:r w:rsidRPr="008D09B0">
              <w:t xml:space="preserve">LGBTIQA+ services or support groups in your area make it easy or very easy for you to use them </w:t>
            </w:r>
          </w:p>
        </w:tc>
        <w:tc>
          <w:tcPr>
            <w:tcW w:w="1559" w:type="dxa"/>
            <w:noWrap/>
          </w:tcPr>
          <w:p w14:paraId="2873C95B" w14:textId="77777777" w:rsidR="009D0006" w:rsidRPr="008D09B0" w:rsidRDefault="009D0006" w:rsidP="003859FB">
            <w:pPr>
              <w:pStyle w:val="Tabletext"/>
            </w:pPr>
            <w:r w:rsidRPr="008D09B0">
              <w:t>486</w:t>
            </w:r>
          </w:p>
        </w:tc>
        <w:tc>
          <w:tcPr>
            <w:tcW w:w="1559" w:type="dxa"/>
            <w:noWrap/>
          </w:tcPr>
          <w:p w14:paraId="7D006F9D" w14:textId="77777777" w:rsidR="009D0006" w:rsidRPr="008D09B0" w:rsidRDefault="009D0006" w:rsidP="003859FB">
            <w:pPr>
              <w:pStyle w:val="Tabletext"/>
            </w:pPr>
            <w:r w:rsidRPr="008D09B0">
              <w:t>47.6</w:t>
            </w:r>
          </w:p>
        </w:tc>
      </w:tr>
    </w:tbl>
    <w:p w14:paraId="2D017338" w14:textId="77777777" w:rsidR="009D0006" w:rsidRPr="00340E71" w:rsidRDefault="009D0006" w:rsidP="003859FB">
      <w:pPr>
        <w:pStyle w:val="Tableheading"/>
        <w:rPr>
          <w:lang w:val="en-GB"/>
        </w:rPr>
      </w:pPr>
      <w:r>
        <w:rPr>
          <w:lang w:val="en-GB"/>
        </w:rPr>
        <w:t>Table 81.2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398AFFB6" w14:textId="77777777" w:rsidTr="003859F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BADFA2B" w14:textId="77777777" w:rsidR="009D0006" w:rsidRPr="00B40B33" w:rsidRDefault="009D0006" w:rsidP="003859FB">
            <w:pPr>
              <w:pStyle w:val="Tableheader"/>
              <w:rPr>
                <w:lang w:val="en-US"/>
              </w:rPr>
            </w:pPr>
            <w:r w:rsidRPr="00B40B33">
              <w:t>Accessibility of settings</w:t>
            </w:r>
          </w:p>
        </w:tc>
        <w:tc>
          <w:tcPr>
            <w:tcW w:w="1559" w:type="dxa"/>
          </w:tcPr>
          <w:p w14:paraId="4C6320C2" w14:textId="77777777" w:rsidR="009D0006" w:rsidRPr="00B40B33" w:rsidRDefault="009D0006" w:rsidP="003859FB">
            <w:pPr>
              <w:pStyle w:val="Tableheader"/>
              <w:rPr>
                <w:lang w:val="en-US"/>
              </w:rPr>
            </w:pPr>
            <w:r w:rsidRPr="00B40B33">
              <w:t>n</w:t>
            </w:r>
          </w:p>
        </w:tc>
        <w:tc>
          <w:tcPr>
            <w:tcW w:w="1559" w:type="dxa"/>
          </w:tcPr>
          <w:p w14:paraId="11EC83DA" w14:textId="77777777" w:rsidR="009D0006" w:rsidRPr="00B40B33" w:rsidRDefault="009D0006" w:rsidP="003859FB">
            <w:pPr>
              <w:pStyle w:val="Tableheader"/>
            </w:pPr>
            <w:r w:rsidRPr="00B40B33">
              <w:t>%</w:t>
            </w:r>
          </w:p>
        </w:tc>
      </w:tr>
      <w:tr w:rsidR="009D0006" w:rsidRPr="008D09B0" w14:paraId="274FCFB8"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480C7D4" w14:textId="77777777" w:rsidR="009D0006" w:rsidRPr="008D09B0" w:rsidRDefault="009D0006" w:rsidP="003859FB">
            <w:pPr>
              <w:pStyle w:val="Tabletext"/>
              <w:rPr>
                <w:lang w:val="en-US"/>
              </w:rPr>
            </w:pPr>
            <w:r w:rsidRPr="008D09B0">
              <w:t>Educational institution makes it easy/very easy for you to learn</w:t>
            </w:r>
          </w:p>
        </w:tc>
        <w:tc>
          <w:tcPr>
            <w:tcW w:w="1559" w:type="dxa"/>
          </w:tcPr>
          <w:p w14:paraId="7B7EDA44" w14:textId="77777777" w:rsidR="009D0006" w:rsidRPr="008D09B0" w:rsidRDefault="009D0006" w:rsidP="003859FB">
            <w:pPr>
              <w:pStyle w:val="Tabletext"/>
            </w:pPr>
            <w:r w:rsidRPr="008D09B0">
              <w:t>181</w:t>
            </w:r>
          </w:p>
        </w:tc>
        <w:tc>
          <w:tcPr>
            <w:tcW w:w="1559" w:type="dxa"/>
          </w:tcPr>
          <w:p w14:paraId="4C886321" w14:textId="77777777" w:rsidR="009D0006" w:rsidRPr="008D09B0" w:rsidRDefault="009D0006" w:rsidP="003859FB">
            <w:pPr>
              <w:pStyle w:val="Tabletext"/>
            </w:pPr>
            <w:r w:rsidRPr="008D09B0">
              <w:t>29.4</w:t>
            </w:r>
          </w:p>
        </w:tc>
      </w:tr>
      <w:tr w:rsidR="009D0006" w:rsidRPr="008D09B0" w14:paraId="68665D3E"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3BE07A72" w14:textId="77777777" w:rsidR="009D0006" w:rsidRPr="008D09B0" w:rsidRDefault="009D0006" w:rsidP="003859FB">
            <w:pPr>
              <w:pStyle w:val="Tabletext"/>
              <w:rPr>
                <w:lang w:val="en-US"/>
              </w:rPr>
            </w:pPr>
            <w:r w:rsidRPr="008D09B0">
              <w:t>Workplace makes it easy/very easy for you to work efficiently</w:t>
            </w:r>
          </w:p>
        </w:tc>
        <w:tc>
          <w:tcPr>
            <w:tcW w:w="1559" w:type="dxa"/>
          </w:tcPr>
          <w:p w14:paraId="2DC62E86" w14:textId="77777777" w:rsidR="009D0006" w:rsidRPr="008D09B0" w:rsidRDefault="009D0006" w:rsidP="003859FB">
            <w:pPr>
              <w:pStyle w:val="Tabletext"/>
            </w:pPr>
            <w:r w:rsidRPr="008D09B0">
              <w:t>151</w:t>
            </w:r>
          </w:p>
        </w:tc>
        <w:tc>
          <w:tcPr>
            <w:tcW w:w="1559" w:type="dxa"/>
          </w:tcPr>
          <w:p w14:paraId="26F38C9E" w14:textId="77777777" w:rsidR="009D0006" w:rsidRPr="008D09B0" w:rsidRDefault="009D0006" w:rsidP="003859FB">
            <w:pPr>
              <w:pStyle w:val="Tabletext"/>
            </w:pPr>
            <w:r w:rsidRPr="008D09B0">
              <w:t>36.5</w:t>
            </w:r>
          </w:p>
        </w:tc>
      </w:tr>
      <w:tr w:rsidR="009D0006" w:rsidRPr="008D09B0" w14:paraId="39B590FB"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A13F72E" w14:textId="77777777" w:rsidR="009D0006" w:rsidRPr="008D09B0" w:rsidRDefault="009D0006" w:rsidP="003859FB">
            <w:pPr>
              <w:pStyle w:val="Tabletext"/>
              <w:rPr>
                <w:lang w:val="en-US"/>
              </w:rPr>
            </w:pPr>
            <w:r w:rsidRPr="008D09B0">
              <w:t>LGBTIQA+ social or community venues in your area make it easy/very easy for you to use them</w:t>
            </w:r>
          </w:p>
        </w:tc>
        <w:tc>
          <w:tcPr>
            <w:tcW w:w="1559" w:type="dxa"/>
          </w:tcPr>
          <w:p w14:paraId="2AFE6984" w14:textId="77777777" w:rsidR="009D0006" w:rsidRPr="008D09B0" w:rsidRDefault="009D0006" w:rsidP="003859FB">
            <w:pPr>
              <w:pStyle w:val="Tabletext"/>
            </w:pPr>
            <w:r w:rsidRPr="008D09B0">
              <w:t>215</w:t>
            </w:r>
          </w:p>
        </w:tc>
        <w:tc>
          <w:tcPr>
            <w:tcW w:w="1559" w:type="dxa"/>
          </w:tcPr>
          <w:p w14:paraId="7D22C391" w14:textId="77777777" w:rsidR="009D0006" w:rsidRPr="008D09B0" w:rsidRDefault="009D0006" w:rsidP="003859FB">
            <w:pPr>
              <w:pStyle w:val="Tabletext"/>
            </w:pPr>
            <w:r w:rsidRPr="008D09B0">
              <w:t>44.9</w:t>
            </w:r>
          </w:p>
        </w:tc>
      </w:tr>
      <w:tr w:rsidR="009D0006" w:rsidRPr="008D09B0" w14:paraId="43A4262A"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0587B80A" w14:textId="77777777" w:rsidR="009D0006" w:rsidRPr="008D09B0" w:rsidRDefault="009D0006" w:rsidP="003859FB">
            <w:pPr>
              <w:pStyle w:val="Tabletext"/>
              <w:rPr>
                <w:lang w:val="en-US"/>
              </w:rPr>
            </w:pPr>
            <w:r w:rsidRPr="008D09B0">
              <w:t>LGBTIQA+ services or support groups in your area make it easy/very easy for you to use them</w:t>
            </w:r>
          </w:p>
        </w:tc>
        <w:tc>
          <w:tcPr>
            <w:tcW w:w="1559" w:type="dxa"/>
          </w:tcPr>
          <w:p w14:paraId="42AC1CB8" w14:textId="77777777" w:rsidR="009D0006" w:rsidRPr="008D09B0" w:rsidRDefault="009D0006" w:rsidP="003859FB">
            <w:pPr>
              <w:pStyle w:val="Tabletext"/>
            </w:pPr>
            <w:r w:rsidRPr="008D09B0">
              <w:t>243</w:t>
            </w:r>
          </w:p>
        </w:tc>
        <w:tc>
          <w:tcPr>
            <w:tcW w:w="1559" w:type="dxa"/>
          </w:tcPr>
          <w:p w14:paraId="5FD68473" w14:textId="77777777" w:rsidR="009D0006" w:rsidRPr="008D09B0" w:rsidRDefault="009D0006" w:rsidP="003859FB">
            <w:pPr>
              <w:pStyle w:val="Tabletext"/>
            </w:pPr>
            <w:r w:rsidRPr="008D09B0">
              <w:t>51.3</w:t>
            </w:r>
          </w:p>
        </w:tc>
      </w:tr>
    </w:tbl>
    <w:p w14:paraId="0B58F2CD" w14:textId="77777777" w:rsidR="009D0006" w:rsidRDefault="009D0006" w:rsidP="003859FB">
      <w:pPr>
        <w:pStyle w:val="Tableheading"/>
        <w:rPr>
          <w:lang w:val="en-GB"/>
        </w:rPr>
      </w:pPr>
      <w:r>
        <w:rPr>
          <w:lang w:val="en-GB"/>
        </w:rPr>
        <w:t>Table 81.3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5AE15780" w14:textId="77777777" w:rsidTr="003859F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6E675845" w14:textId="77777777" w:rsidR="009D0006" w:rsidRPr="00283324" w:rsidRDefault="009D0006" w:rsidP="003859FB">
            <w:pPr>
              <w:pStyle w:val="Tableheader"/>
              <w:rPr>
                <w:lang w:val="en-US"/>
              </w:rPr>
            </w:pPr>
            <w:r w:rsidRPr="008D09B0">
              <w:t>Accessibility of settings</w:t>
            </w:r>
          </w:p>
        </w:tc>
        <w:tc>
          <w:tcPr>
            <w:tcW w:w="1559" w:type="dxa"/>
          </w:tcPr>
          <w:p w14:paraId="0DB238F2" w14:textId="77777777" w:rsidR="009D0006" w:rsidRPr="00A438A1" w:rsidRDefault="009D0006" w:rsidP="003859FB">
            <w:pPr>
              <w:pStyle w:val="Tableheader"/>
              <w:rPr>
                <w:lang w:val="en-US"/>
              </w:rPr>
            </w:pPr>
            <w:r w:rsidRPr="00A438A1">
              <w:t>n</w:t>
            </w:r>
          </w:p>
        </w:tc>
        <w:tc>
          <w:tcPr>
            <w:tcW w:w="1559" w:type="dxa"/>
          </w:tcPr>
          <w:p w14:paraId="093F425B" w14:textId="77777777" w:rsidR="009D0006" w:rsidRPr="00A438A1" w:rsidRDefault="009D0006" w:rsidP="003859FB">
            <w:pPr>
              <w:pStyle w:val="Tableheader"/>
            </w:pPr>
            <w:r w:rsidRPr="00A438A1">
              <w:t>%</w:t>
            </w:r>
          </w:p>
        </w:tc>
      </w:tr>
      <w:tr w:rsidR="009D0006" w:rsidRPr="008D09B0" w14:paraId="0FBC6ADE"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11E6BD6B" w14:textId="77777777" w:rsidR="009D0006" w:rsidRPr="008D09B0" w:rsidRDefault="009D0006" w:rsidP="003859FB">
            <w:pPr>
              <w:pStyle w:val="Tabletext"/>
              <w:rPr>
                <w:lang w:val="en-US"/>
              </w:rPr>
            </w:pPr>
            <w:r w:rsidRPr="008D09B0">
              <w:t>Educational institution makes it easy/very easy for you to learn</w:t>
            </w:r>
          </w:p>
        </w:tc>
        <w:tc>
          <w:tcPr>
            <w:tcW w:w="1559" w:type="dxa"/>
          </w:tcPr>
          <w:p w14:paraId="5BFD6545" w14:textId="77777777" w:rsidR="009D0006" w:rsidRPr="008D09B0" w:rsidRDefault="009D0006" w:rsidP="003859FB">
            <w:pPr>
              <w:pStyle w:val="Tabletext"/>
            </w:pPr>
            <w:r w:rsidRPr="008D09B0">
              <w:t>45</w:t>
            </w:r>
          </w:p>
        </w:tc>
        <w:tc>
          <w:tcPr>
            <w:tcW w:w="1559" w:type="dxa"/>
          </w:tcPr>
          <w:p w14:paraId="2322F923" w14:textId="77777777" w:rsidR="009D0006" w:rsidRPr="008D09B0" w:rsidRDefault="009D0006" w:rsidP="003859FB">
            <w:pPr>
              <w:pStyle w:val="Tabletext"/>
            </w:pPr>
            <w:r w:rsidRPr="008D09B0">
              <w:t>22.3</w:t>
            </w:r>
          </w:p>
        </w:tc>
      </w:tr>
      <w:tr w:rsidR="009D0006" w:rsidRPr="008D09B0" w14:paraId="22127DC9"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A5C6E23" w14:textId="77777777" w:rsidR="009D0006" w:rsidRPr="008D09B0" w:rsidRDefault="009D0006" w:rsidP="003859FB">
            <w:pPr>
              <w:pStyle w:val="Tabletext"/>
              <w:rPr>
                <w:lang w:val="en-US"/>
              </w:rPr>
            </w:pPr>
            <w:r w:rsidRPr="008D09B0">
              <w:t>Workplace makes it easy/very easy for you to work efficiently</w:t>
            </w:r>
          </w:p>
        </w:tc>
        <w:tc>
          <w:tcPr>
            <w:tcW w:w="1559" w:type="dxa"/>
          </w:tcPr>
          <w:p w14:paraId="56FA03FD" w14:textId="77777777" w:rsidR="009D0006" w:rsidRPr="008D09B0" w:rsidRDefault="009D0006" w:rsidP="003859FB">
            <w:pPr>
              <w:pStyle w:val="Tabletext"/>
            </w:pPr>
            <w:r w:rsidRPr="008D09B0">
              <w:t>37</w:t>
            </w:r>
          </w:p>
        </w:tc>
        <w:tc>
          <w:tcPr>
            <w:tcW w:w="1559" w:type="dxa"/>
          </w:tcPr>
          <w:p w14:paraId="5077E17E" w14:textId="77777777" w:rsidR="009D0006" w:rsidRPr="008D09B0" w:rsidRDefault="009D0006" w:rsidP="003859FB">
            <w:pPr>
              <w:pStyle w:val="Tabletext"/>
            </w:pPr>
            <w:r w:rsidRPr="008D09B0">
              <w:t>29.4</w:t>
            </w:r>
          </w:p>
        </w:tc>
      </w:tr>
      <w:tr w:rsidR="009D0006" w:rsidRPr="008D09B0" w14:paraId="4369FE56"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A7047C9" w14:textId="77777777" w:rsidR="009D0006" w:rsidRPr="008D09B0" w:rsidRDefault="009D0006" w:rsidP="003859FB">
            <w:pPr>
              <w:pStyle w:val="Tabletext"/>
              <w:rPr>
                <w:lang w:val="en-US"/>
              </w:rPr>
            </w:pPr>
            <w:r w:rsidRPr="008D09B0">
              <w:t>LGBTIQA+ social or community venues in your area make it easy/very easy for you to use them</w:t>
            </w:r>
          </w:p>
        </w:tc>
        <w:tc>
          <w:tcPr>
            <w:tcW w:w="1559" w:type="dxa"/>
          </w:tcPr>
          <w:p w14:paraId="007EB39A" w14:textId="77777777" w:rsidR="009D0006" w:rsidRPr="008D09B0" w:rsidRDefault="009D0006" w:rsidP="003859FB">
            <w:pPr>
              <w:pStyle w:val="Tabletext"/>
            </w:pPr>
            <w:r w:rsidRPr="008D09B0">
              <w:t>62</w:t>
            </w:r>
          </w:p>
        </w:tc>
        <w:tc>
          <w:tcPr>
            <w:tcW w:w="1559" w:type="dxa"/>
          </w:tcPr>
          <w:p w14:paraId="17BCDCA9" w14:textId="77777777" w:rsidR="009D0006" w:rsidRPr="008D09B0" w:rsidRDefault="009D0006" w:rsidP="003859FB">
            <w:pPr>
              <w:pStyle w:val="Tabletext"/>
            </w:pPr>
            <w:r w:rsidRPr="008D09B0">
              <w:t>41.1</w:t>
            </w:r>
          </w:p>
        </w:tc>
      </w:tr>
      <w:tr w:rsidR="009D0006" w:rsidRPr="008D09B0" w14:paraId="6571535B"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44EFE66" w14:textId="77777777" w:rsidR="009D0006" w:rsidRPr="008D09B0" w:rsidRDefault="009D0006" w:rsidP="003859FB">
            <w:pPr>
              <w:pStyle w:val="Tabletext"/>
              <w:rPr>
                <w:lang w:val="en-US"/>
              </w:rPr>
            </w:pPr>
            <w:r w:rsidRPr="008D09B0">
              <w:t>LGBTIQA+ services or support groups in your area make it easy/very easy for you to use them</w:t>
            </w:r>
          </w:p>
        </w:tc>
        <w:tc>
          <w:tcPr>
            <w:tcW w:w="1559" w:type="dxa"/>
          </w:tcPr>
          <w:p w14:paraId="7582666B" w14:textId="77777777" w:rsidR="009D0006" w:rsidRPr="008D09B0" w:rsidRDefault="009D0006" w:rsidP="003859FB">
            <w:pPr>
              <w:pStyle w:val="Tabletext"/>
            </w:pPr>
            <w:r w:rsidRPr="008D09B0">
              <w:t>61</w:t>
            </w:r>
          </w:p>
        </w:tc>
        <w:tc>
          <w:tcPr>
            <w:tcW w:w="1559" w:type="dxa"/>
          </w:tcPr>
          <w:p w14:paraId="26A00F22" w14:textId="77777777" w:rsidR="009D0006" w:rsidRPr="008D09B0" w:rsidRDefault="009D0006" w:rsidP="003859FB">
            <w:pPr>
              <w:pStyle w:val="Tabletext"/>
            </w:pPr>
            <w:r w:rsidRPr="008D09B0">
              <w:t>42.1</w:t>
            </w:r>
          </w:p>
        </w:tc>
      </w:tr>
    </w:tbl>
    <w:p w14:paraId="4797B941" w14:textId="77777777" w:rsidR="009D0006" w:rsidRDefault="009D0006" w:rsidP="003859FB">
      <w:pPr>
        <w:pStyle w:val="Tableheading"/>
        <w:rPr>
          <w:lang w:val="en-GB"/>
        </w:rPr>
      </w:pPr>
      <w:r>
        <w:rPr>
          <w:lang w:val="en-GB"/>
        </w:rPr>
        <w:t>Table 81.4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76E26BA2" w14:textId="77777777" w:rsidTr="003859F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22AABB5F" w14:textId="77777777" w:rsidR="009D0006" w:rsidRPr="00283324" w:rsidRDefault="009D0006" w:rsidP="003859FB">
            <w:pPr>
              <w:pStyle w:val="Tableheader"/>
              <w:rPr>
                <w:lang w:val="en-US"/>
              </w:rPr>
            </w:pPr>
            <w:r w:rsidRPr="008D09B0">
              <w:t>Accessibility of settings</w:t>
            </w:r>
          </w:p>
        </w:tc>
        <w:tc>
          <w:tcPr>
            <w:tcW w:w="1559" w:type="dxa"/>
          </w:tcPr>
          <w:p w14:paraId="0AE2ED4D" w14:textId="77777777" w:rsidR="009D0006" w:rsidRPr="00A438A1" w:rsidRDefault="009D0006" w:rsidP="003859FB">
            <w:pPr>
              <w:pStyle w:val="Tableheader"/>
            </w:pPr>
            <w:r w:rsidRPr="00A438A1">
              <w:t>n</w:t>
            </w:r>
          </w:p>
        </w:tc>
        <w:tc>
          <w:tcPr>
            <w:tcW w:w="1559" w:type="dxa"/>
          </w:tcPr>
          <w:p w14:paraId="3EB668E2" w14:textId="77777777" w:rsidR="009D0006" w:rsidRPr="00A438A1" w:rsidRDefault="009D0006" w:rsidP="003859FB">
            <w:pPr>
              <w:pStyle w:val="Tableheader"/>
            </w:pPr>
            <w:r w:rsidRPr="00A438A1">
              <w:t>%</w:t>
            </w:r>
          </w:p>
        </w:tc>
      </w:tr>
      <w:tr w:rsidR="009D0006" w:rsidRPr="008D09B0" w14:paraId="495B2658"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67481545" w14:textId="77777777" w:rsidR="009D0006" w:rsidRPr="008D09B0" w:rsidRDefault="009D0006" w:rsidP="003859FB">
            <w:pPr>
              <w:pStyle w:val="Tabletext"/>
              <w:rPr>
                <w:lang w:val="en-US"/>
              </w:rPr>
            </w:pPr>
            <w:r w:rsidRPr="008D09B0">
              <w:t>Educational institution makes it easy/very easy for you to learn</w:t>
            </w:r>
          </w:p>
        </w:tc>
        <w:tc>
          <w:tcPr>
            <w:tcW w:w="1559" w:type="dxa"/>
          </w:tcPr>
          <w:p w14:paraId="5364D5CD" w14:textId="77777777" w:rsidR="009D0006" w:rsidRPr="008D09B0" w:rsidRDefault="009D0006" w:rsidP="003859FB">
            <w:pPr>
              <w:pStyle w:val="Tabletext"/>
            </w:pPr>
            <w:r w:rsidRPr="008D09B0">
              <w:t>33</w:t>
            </w:r>
          </w:p>
        </w:tc>
        <w:tc>
          <w:tcPr>
            <w:tcW w:w="1559" w:type="dxa"/>
          </w:tcPr>
          <w:p w14:paraId="5E6AFC3A" w14:textId="77777777" w:rsidR="009D0006" w:rsidRPr="008D09B0" w:rsidRDefault="009D0006" w:rsidP="003859FB">
            <w:pPr>
              <w:pStyle w:val="Tabletext"/>
            </w:pPr>
            <w:r w:rsidRPr="008D09B0">
              <w:t>26.8</w:t>
            </w:r>
          </w:p>
        </w:tc>
      </w:tr>
      <w:tr w:rsidR="009D0006" w:rsidRPr="008D09B0" w14:paraId="28F70FEF"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8DADFAD" w14:textId="77777777" w:rsidR="009D0006" w:rsidRPr="008D09B0" w:rsidRDefault="009D0006" w:rsidP="003859FB">
            <w:pPr>
              <w:pStyle w:val="Tabletext"/>
              <w:rPr>
                <w:lang w:val="en-US"/>
              </w:rPr>
            </w:pPr>
            <w:r w:rsidRPr="008D09B0">
              <w:t>Workplace makes it easy/very easy for you to work efficiently</w:t>
            </w:r>
          </w:p>
        </w:tc>
        <w:tc>
          <w:tcPr>
            <w:tcW w:w="1559" w:type="dxa"/>
          </w:tcPr>
          <w:p w14:paraId="0FC3C44C" w14:textId="77777777" w:rsidR="009D0006" w:rsidRPr="008D09B0" w:rsidRDefault="009D0006" w:rsidP="003859FB">
            <w:pPr>
              <w:pStyle w:val="Tabletext"/>
            </w:pPr>
            <w:r w:rsidRPr="008D09B0">
              <w:t>27</w:t>
            </w:r>
          </w:p>
        </w:tc>
        <w:tc>
          <w:tcPr>
            <w:tcW w:w="1559" w:type="dxa"/>
          </w:tcPr>
          <w:p w14:paraId="644E3FEB" w14:textId="77777777" w:rsidR="009D0006" w:rsidRPr="008D09B0" w:rsidRDefault="009D0006" w:rsidP="003859FB">
            <w:pPr>
              <w:pStyle w:val="Tabletext"/>
            </w:pPr>
            <w:r w:rsidRPr="008D09B0">
              <w:t>31.0</w:t>
            </w:r>
          </w:p>
        </w:tc>
      </w:tr>
      <w:tr w:rsidR="009D0006" w:rsidRPr="008D09B0" w14:paraId="346AAF77"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92B1D71" w14:textId="77777777" w:rsidR="009D0006" w:rsidRPr="008D09B0" w:rsidRDefault="009D0006" w:rsidP="003859FB">
            <w:pPr>
              <w:pStyle w:val="Tabletext"/>
              <w:rPr>
                <w:lang w:val="en-US"/>
              </w:rPr>
            </w:pPr>
            <w:r w:rsidRPr="008D09B0">
              <w:t>LGBTIQA+ social or community venues in your area make it easy/very easy for you to use them</w:t>
            </w:r>
          </w:p>
        </w:tc>
        <w:tc>
          <w:tcPr>
            <w:tcW w:w="1559" w:type="dxa"/>
          </w:tcPr>
          <w:p w14:paraId="761534D1" w14:textId="77777777" w:rsidR="009D0006" w:rsidRPr="008D09B0" w:rsidRDefault="009D0006" w:rsidP="003859FB">
            <w:pPr>
              <w:pStyle w:val="Tabletext"/>
            </w:pPr>
            <w:r w:rsidRPr="008D09B0">
              <w:t>35</w:t>
            </w:r>
          </w:p>
        </w:tc>
        <w:tc>
          <w:tcPr>
            <w:tcW w:w="1559" w:type="dxa"/>
          </w:tcPr>
          <w:p w14:paraId="26981BAE" w14:textId="77777777" w:rsidR="009D0006" w:rsidRPr="008D09B0" w:rsidRDefault="009D0006" w:rsidP="003859FB">
            <w:pPr>
              <w:pStyle w:val="Tabletext"/>
            </w:pPr>
            <w:r w:rsidRPr="008D09B0">
              <w:t>38.0</w:t>
            </w:r>
          </w:p>
        </w:tc>
      </w:tr>
      <w:tr w:rsidR="009D0006" w:rsidRPr="008D09B0" w14:paraId="43B69A44"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BDA261E" w14:textId="77777777" w:rsidR="009D0006" w:rsidRPr="008D09B0" w:rsidRDefault="009D0006" w:rsidP="003859FB">
            <w:pPr>
              <w:pStyle w:val="Tabletext"/>
              <w:rPr>
                <w:lang w:val="en-US"/>
              </w:rPr>
            </w:pPr>
            <w:r w:rsidRPr="008D09B0">
              <w:t>LGBTIQA+ se</w:t>
            </w:r>
            <w:r w:rsidRPr="008D09B0">
              <w:lastRenderedPageBreak/>
              <w:t>rvices or support groups in your area make it easy/very easy for you to use them</w:t>
            </w:r>
          </w:p>
        </w:tc>
        <w:tc>
          <w:tcPr>
            <w:tcW w:w="1559" w:type="dxa"/>
          </w:tcPr>
          <w:p w14:paraId="7AF54E72" w14:textId="77777777" w:rsidR="009D0006" w:rsidRPr="008D09B0" w:rsidRDefault="009D0006" w:rsidP="003859FB">
            <w:pPr>
              <w:pStyle w:val="Tabletext"/>
            </w:pPr>
            <w:r w:rsidRPr="008D09B0">
              <w:t>36</w:t>
            </w:r>
          </w:p>
        </w:tc>
        <w:tc>
          <w:tcPr>
            <w:tcW w:w="1559" w:type="dxa"/>
          </w:tcPr>
          <w:p w14:paraId="2FCF6DDE" w14:textId="77777777" w:rsidR="009D0006" w:rsidRPr="008D09B0" w:rsidRDefault="009D0006" w:rsidP="003859FB">
            <w:pPr>
              <w:pStyle w:val="Tabletext"/>
            </w:pPr>
            <w:r w:rsidRPr="008D09B0">
              <w:t>38.3</w:t>
            </w:r>
          </w:p>
        </w:tc>
      </w:tr>
    </w:tbl>
    <w:p w14:paraId="60C54474" w14:textId="77777777" w:rsidR="004E2605" w:rsidRDefault="004E2605">
      <w:pPr>
        <w:spacing w:before="0"/>
        <w:rPr>
          <w:rFonts w:eastAsiaTheme="majorEastAsia" w:cstheme="majorBidi"/>
          <w:b/>
          <w:color w:val="000000" w:themeColor="text1"/>
          <w:lang w:val="en-GB"/>
        </w:rPr>
      </w:pPr>
      <w:r>
        <w:rPr>
          <w:lang w:val="en-GB"/>
        </w:rPr>
        <w:br w:type="page"/>
      </w:r>
    </w:p>
    <w:p w14:paraId="3DBF95A9" w14:textId="41D3432F" w:rsidR="009D0006" w:rsidRDefault="009D0006" w:rsidP="003859FB">
      <w:pPr>
        <w:pStyle w:val="Tableheading"/>
        <w:rPr>
          <w:lang w:val="en-GB"/>
        </w:rPr>
      </w:pPr>
      <w:r>
        <w:rPr>
          <w:lang w:val="en-GB"/>
        </w:rPr>
        <w:t xml:space="preserve">Table 81.5 </w:t>
      </w:r>
      <w:r>
        <w:rPr>
          <w:lang w:val="en-GB"/>
        </w:rPr>
        <w:lastRenderedPageBreak/>
        <w:t>Physical or sensory</w:t>
      </w:r>
    </w:p>
    <w:tbl>
      <w:tblPr>
        <w:tblStyle w:val="RCTable"/>
        <w:tblW w:w="10064" w:type="dxa"/>
        <w:tblInd w:w="-23" w:type="dxa"/>
        <w:tblLayout w:type="fixed"/>
        <w:tblLook w:val="04A0" w:firstRow="1" w:lastRow="0" w:firstColumn="1" w:lastColumn="0" w:noHBand="0" w:noVBand="1"/>
      </w:tblPr>
      <w:tblGrid>
        <w:gridCol w:w="6746"/>
        <w:gridCol w:w="1759"/>
        <w:gridCol w:w="1559"/>
      </w:tblGrid>
      <w:tr w:rsidR="009D0006" w:rsidRPr="00C50253" w14:paraId="2C17A716" w14:textId="77777777" w:rsidTr="00C90BA5">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79DD49F6" w14:textId="77777777" w:rsidR="009D0006" w:rsidRPr="00283324" w:rsidRDefault="009D0006" w:rsidP="003859FB">
            <w:pPr>
              <w:pStyle w:val="Tableheader"/>
              <w:rPr>
                <w:lang w:val="en-US"/>
              </w:rPr>
            </w:pPr>
            <w:r w:rsidRPr="008D09B0">
              <w:t>Accessibility of settings</w:t>
            </w:r>
          </w:p>
        </w:tc>
        <w:tc>
          <w:tcPr>
            <w:tcW w:w="1759" w:type="dxa"/>
          </w:tcPr>
          <w:p w14:paraId="396B4CD7" w14:textId="77777777" w:rsidR="009D0006" w:rsidRPr="00A438A1" w:rsidRDefault="009D0006" w:rsidP="003859FB">
            <w:pPr>
              <w:pStyle w:val="Tableheader"/>
            </w:pPr>
            <w:r w:rsidRPr="00A438A1">
              <w:t>n</w:t>
            </w:r>
          </w:p>
        </w:tc>
        <w:tc>
          <w:tcPr>
            <w:tcW w:w="1559" w:type="dxa"/>
          </w:tcPr>
          <w:p w14:paraId="646FB24A" w14:textId="77777777" w:rsidR="009D0006" w:rsidRPr="00A438A1" w:rsidRDefault="009D0006" w:rsidP="003859FB">
            <w:pPr>
              <w:pStyle w:val="Tableheader"/>
            </w:pPr>
            <w:r w:rsidRPr="00A438A1">
              <w:t>%</w:t>
            </w:r>
          </w:p>
        </w:tc>
      </w:tr>
      <w:tr w:rsidR="009D0006" w:rsidRPr="008D09B0" w14:paraId="7024DE9E" w14:textId="77777777" w:rsidTr="00C90BA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271C78B" w14:textId="77777777" w:rsidR="009D0006" w:rsidRPr="008D09B0" w:rsidRDefault="009D0006" w:rsidP="003859FB">
            <w:pPr>
              <w:pStyle w:val="Tabletext"/>
              <w:rPr>
                <w:lang w:val="en-US"/>
              </w:rPr>
            </w:pPr>
            <w:r w:rsidRPr="008D09B0">
              <w:t>Educational institution makes it easy/very easy for you to learn</w:t>
            </w:r>
          </w:p>
        </w:tc>
        <w:tc>
          <w:tcPr>
            <w:tcW w:w="1759" w:type="dxa"/>
          </w:tcPr>
          <w:p w14:paraId="0200DD17" w14:textId="77777777" w:rsidR="009D0006" w:rsidRPr="008D09B0" w:rsidRDefault="009D0006" w:rsidP="003859FB">
            <w:pPr>
              <w:pStyle w:val="Tabletext"/>
            </w:pPr>
            <w:r w:rsidRPr="008D09B0">
              <w:t>207</w:t>
            </w:r>
          </w:p>
        </w:tc>
        <w:tc>
          <w:tcPr>
            <w:tcW w:w="1559" w:type="dxa"/>
          </w:tcPr>
          <w:p w14:paraId="762E7AAB" w14:textId="77777777" w:rsidR="009D0006" w:rsidRPr="008D09B0" w:rsidRDefault="009D0006" w:rsidP="003859FB">
            <w:pPr>
              <w:pStyle w:val="Tabletext"/>
            </w:pPr>
            <w:r w:rsidRPr="008D09B0">
              <w:t>30.7</w:t>
            </w:r>
          </w:p>
        </w:tc>
      </w:tr>
      <w:tr w:rsidR="009D0006" w:rsidRPr="008D09B0" w14:paraId="5EB72FC1" w14:textId="77777777" w:rsidTr="00C90BA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517D44EA" w14:textId="77777777" w:rsidR="009D0006" w:rsidRPr="008D09B0" w:rsidRDefault="009D0006" w:rsidP="003859FB">
            <w:pPr>
              <w:pStyle w:val="Tabletext"/>
              <w:rPr>
                <w:lang w:val="en-US"/>
              </w:rPr>
            </w:pPr>
            <w:r w:rsidRPr="008D09B0">
              <w:t>Workplace makes it easy/very easy for you to work efficiently</w:t>
            </w:r>
          </w:p>
        </w:tc>
        <w:tc>
          <w:tcPr>
            <w:tcW w:w="1759" w:type="dxa"/>
          </w:tcPr>
          <w:p w14:paraId="4DC9A60A" w14:textId="77777777" w:rsidR="009D0006" w:rsidRPr="008D09B0" w:rsidRDefault="009D0006" w:rsidP="003859FB">
            <w:pPr>
              <w:pStyle w:val="Tabletext"/>
            </w:pPr>
            <w:r w:rsidRPr="008D09B0">
              <w:t>153</w:t>
            </w:r>
          </w:p>
        </w:tc>
        <w:tc>
          <w:tcPr>
            <w:tcW w:w="1559" w:type="dxa"/>
          </w:tcPr>
          <w:p w14:paraId="4BF3B017" w14:textId="77777777" w:rsidR="009D0006" w:rsidRPr="008D09B0" w:rsidRDefault="009D0006" w:rsidP="003859FB">
            <w:pPr>
              <w:pStyle w:val="Tabletext"/>
            </w:pPr>
            <w:r w:rsidRPr="008D09B0">
              <w:t>34.2</w:t>
            </w:r>
          </w:p>
        </w:tc>
      </w:tr>
      <w:tr w:rsidR="009D0006" w:rsidRPr="008D09B0" w14:paraId="3018EA44" w14:textId="77777777" w:rsidTr="00C90BA5">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34AFF14E" w14:textId="77777777" w:rsidR="009D0006" w:rsidRPr="008D09B0" w:rsidRDefault="009D0006" w:rsidP="003859FB">
            <w:pPr>
              <w:pStyle w:val="Tabletext"/>
              <w:rPr>
                <w:lang w:val="en-US"/>
              </w:rPr>
            </w:pPr>
            <w:r w:rsidRPr="008D09B0">
              <w:t>LGBTIQA+ social or community venues in your area make it easy/very easy for you to use them</w:t>
            </w:r>
          </w:p>
        </w:tc>
        <w:tc>
          <w:tcPr>
            <w:tcW w:w="1759" w:type="dxa"/>
          </w:tcPr>
          <w:p w14:paraId="5CC91048" w14:textId="77777777" w:rsidR="009D0006" w:rsidRPr="008D09B0" w:rsidRDefault="009D0006" w:rsidP="003859FB">
            <w:pPr>
              <w:pStyle w:val="Tabletext"/>
            </w:pPr>
            <w:r w:rsidRPr="008D09B0">
              <w:t>238</w:t>
            </w:r>
          </w:p>
        </w:tc>
        <w:tc>
          <w:tcPr>
            <w:tcW w:w="1559" w:type="dxa"/>
          </w:tcPr>
          <w:p w14:paraId="288276EB" w14:textId="77777777" w:rsidR="009D0006" w:rsidRPr="008D09B0" w:rsidRDefault="009D0006" w:rsidP="003859FB">
            <w:pPr>
              <w:pStyle w:val="Tabletext"/>
            </w:pPr>
            <w:r w:rsidRPr="008D09B0">
              <w:t>44.6</w:t>
            </w:r>
          </w:p>
        </w:tc>
      </w:tr>
      <w:tr w:rsidR="009D0006" w:rsidRPr="008D09B0" w14:paraId="4936CD6E" w14:textId="77777777" w:rsidTr="00C90BA5">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6E004D3" w14:textId="77777777" w:rsidR="009D0006" w:rsidRPr="008D09B0" w:rsidRDefault="009D0006" w:rsidP="003859FB">
            <w:pPr>
              <w:pStyle w:val="Tabletext"/>
              <w:rPr>
                <w:lang w:val="en-US"/>
              </w:rPr>
            </w:pPr>
            <w:r w:rsidRPr="008D09B0">
              <w:t>LGBTIQA+ services or support groups in your area make it easy/very easy for you to use them</w:t>
            </w:r>
          </w:p>
        </w:tc>
        <w:tc>
          <w:tcPr>
            <w:tcW w:w="1759" w:type="dxa"/>
          </w:tcPr>
          <w:p w14:paraId="1B25EF7E" w14:textId="77777777" w:rsidR="009D0006" w:rsidRPr="008D09B0" w:rsidRDefault="009D0006" w:rsidP="003859FB">
            <w:pPr>
              <w:pStyle w:val="Tabletext"/>
            </w:pPr>
            <w:r w:rsidRPr="008D09B0">
              <w:t>250</w:t>
            </w:r>
          </w:p>
        </w:tc>
        <w:tc>
          <w:tcPr>
            <w:tcW w:w="1559" w:type="dxa"/>
          </w:tcPr>
          <w:p w14:paraId="19616A46" w14:textId="77777777" w:rsidR="009D0006" w:rsidRPr="008D09B0" w:rsidRDefault="009D0006" w:rsidP="003859FB">
            <w:pPr>
              <w:pStyle w:val="Tabletext"/>
            </w:pPr>
            <w:r w:rsidRPr="008D09B0">
              <w:t>48.9</w:t>
            </w:r>
          </w:p>
        </w:tc>
      </w:tr>
    </w:tbl>
    <w:p w14:paraId="5673D22C" w14:textId="77777777" w:rsidR="009D0006" w:rsidRDefault="009D0006" w:rsidP="003859FB">
      <w:pPr>
        <w:pStyle w:val="Tableheading"/>
        <w:rPr>
          <w:lang w:val="en-GB"/>
        </w:rPr>
      </w:pPr>
      <w:r>
        <w:rPr>
          <w:lang w:val="en-GB"/>
        </w:rPr>
        <w:t>Table 81.6 Mental health condition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50253" w14:paraId="6F7A7AAA" w14:textId="77777777" w:rsidTr="003859FB">
        <w:trPr>
          <w:cnfStyle w:val="100000000000" w:firstRow="1" w:lastRow="0" w:firstColumn="0" w:lastColumn="0" w:oddVBand="0" w:evenVBand="0" w:oddHBand="0" w:evenHBand="0" w:firstRowFirstColumn="0" w:firstRowLastColumn="0" w:lastRowFirstColumn="0" w:lastRowLastColumn="0"/>
          <w:trHeight w:val="340"/>
        </w:trPr>
        <w:tc>
          <w:tcPr>
            <w:tcW w:w="6746" w:type="dxa"/>
            <w:noWrap/>
          </w:tcPr>
          <w:p w14:paraId="3452BA53" w14:textId="77777777" w:rsidR="009D0006" w:rsidRPr="00283324" w:rsidRDefault="009D0006" w:rsidP="003859FB">
            <w:pPr>
              <w:pStyle w:val="Tableheader"/>
              <w:rPr>
                <w:lang w:val="en-US"/>
              </w:rPr>
            </w:pPr>
            <w:r w:rsidRPr="008D09B0">
              <w:t>Accessibility of settings</w:t>
            </w:r>
          </w:p>
        </w:tc>
        <w:tc>
          <w:tcPr>
            <w:tcW w:w="1559" w:type="dxa"/>
          </w:tcPr>
          <w:p w14:paraId="64C2E1E9" w14:textId="77777777" w:rsidR="009D0006" w:rsidRPr="00A438A1" w:rsidRDefault="009D0006" w:rsidP="003859FB">
            <w:pPr>
              <w:pStyle w:val="Tableheader"/>
            </w:pPr>
            <w:r w:rsidRPr="00A438A1">
              <w:t>n</w:t>
            </w:r>
          </w:p>
        </w:tc>
        <w:tc>
          <w:tcPr>
            <w:tcW w:w="1559" w:type="dxa"/>
          </w:tcPr>
          <w:p w14:paraId="236186BB" w14:textId="77777777" w:rsidR="009D0006" w:rsidRPr="00A438A1" w:rsidRDefault="009D0006" w:rsidP="003859FB">
            <w:pPr>
              <w:pStyle w:val="Tableheader"/>
            </w:pPr>
            <w:r w:rsidRPr="00A438A1">
              <w:t>%</w:t>
            </w:r>
          </w:p>
        </w:tc>
      </w:tr>
      <w:tr w:rsidR="009D0006" w:rsidRPr="008D09B0" w14:paraId="723C9A24"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48C0B794" w14:textId="77777777" w:rsidR="009D0006" w:rsidRPr="008D09B0" w:rsidRDefault="009D0006" w:rsidP="003859FB">
            <w:pPr>
              <w:pStyle w:val="Tabletext"/>
              <w:rPr>
                <w:lang w:val="en-US"/>
              </w:rPr>
            </w:pPr>
            <w:r w:rsidRPr="008D09B0">
              <w:t>Educational institution makes it easy/very easy for you to learn</w:t>
            </w:r>
          </w:p>
        </w:tc>
        <w:tc>
          <w:tcPr>
            <w:tcW w:w="1559" w:type="dxa"/>
          </w:tcPr>
          <w:p w14:paraId="244F914B" w14:textId="77777777" w:rsidR="009D0006" w:rsidRPr="008D09B0" w:rsidRDefault="009D0006" w:rsidP="003859FB">
            <w:pPr>
              <w:pStyle w:val="Tabletext"/>
            </w:pPr>
            <w:r w:rsidRPr="008D09B0">
              <w:t>295</w:t>
            </w:r>
          </w:p>
        </w:tc>
        <w:tc>
          <w:tcPr>
            <w:tcW w:w="1559" w:type="dxa"/>
          </w:tcPr>
          <w:p w14:paraId="1B85ACA3" w14:textId="77777777" w:rsidR="009D0006" w:rsidRPr="008D09B0" w:rsidRDefault="009D0006" w:rsidP="003859FB">
            <w:pPr>
              <w:pStyle w:val="Tabletext"/>
            </w:pPr>
            <w:r w:rsidRPr="008D09B0">
              <w:t>29.7</w:t>
            </w:r>
          </w:p>
        </w:tc>
      </w:tr>
      <w:tr w:rsidR="009D0006" w:rsidRPr="008D09B0" w14:paraId="6C1ED7CE"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19F2485F" w14:textId="77777777" w:rsidR="009D0006" w:rsidRPr="008D09B0" w:rsidRDefault="009D0006" w:rsidP="003859FB">
            <w:pPr>
              <w:pStyle w:val="Tabletext"/>
              <w:rPr>
                <w:lang w:val="en-US"/>
              </w:rPr>
            </w:pPr>
            <w:r w:rsidRPr="008D09B0">
              <w:t>Workplace makes it easy/very easy for you to work efficiently</w:t>
            </w:r>
          </w:p>
        </w:tc>
        <w:tc>
          <w:tcPr>
            <w:tcW w:w="1559" w:type="dxa"/>
          </w:tcPr>
          <w:p w14:paraId="7ECF308F" w14:textId="77777777" w:rsidR="009D0006" w:rsidRPr="008D09B0" w:rsidRDefault="009D0006" w:rsidP="003859FB">
            <w:pPr>
              <w:pStyle w:val="Tabletext"/>
            </w:pPr>
            <w:r w:rsidRPr="008D09B0">
              <w:t>291</w:t>
            </w:r>
          </w:p>
        </w:tc>
        <w:tc>
          <w:tcPr>
            <w:tcW w:w="1559" w:type="dxa"/>
          </w:tcPr>
          <w:p w14:paraId="6D86EC29" w14:textId="77777777" w:rsidR="009D0006" w:rsidRPr="008D09B0" w:rsidRDefault="009D0006" w:rsidP="003859FB">
            <w:pPr>
              <w:pStyle w:val="Tabletext"/>
            </w:pPr>
            <w:r w:rsidRPr="008D09B0">
              <w:t>41.4</w:t>
            </w:r>
          </w:p>
        </w:tc>
      </w:tr>
      <w:tr w:rsidR="009D0006" w:rsidRPr="008D09B0" w14:paraId="15686B52" w14:textId="77777777" w:rsidTr="003859FB">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649DDDD" w14:textId="77777777" w:rsidR="009D0006" w:rsidRPr="008D09B0" w:rsidRDefault="009D0006" w:rsidP="003859FB">
            <w:pPr>
              <w:pStyle w:val="Tabletext"/>
              <w:rPr>
                <w:lang w:val="en-US"/>
              </w:rPr>
            </w:pPr>
            <w:r w:rsidRPr="008D09B0">
              <w:t>LGBTIQA+ social or community venues in your area make it easy/very easy for you to use them</w:t>
            </w:r>
          </w:p>
        </w:tc>
        <w:tc>
          <w:tcPr>
            <w:tcW w:w="1559" w:type="dxa"/>
          </w:tcPr>
          <w:p w14:paraId="0AD15402" w14:textId="77777777" w:rsidR="009D0006" w:rsidRPr="008D09B0" w:rsidRDefault="009D0006" w:rsidP="003859FB">
            <w:pPr>
              <w:pStyle w:val="Tabletext"/>
            </w:pPr>
            <w:r w:rsidRPr="008D09B0">
              <w:t>279</w:t>
            </w:r>
          </w:p>
        </w:tc>
        <w:tc>
          <w:tcPr>
            <w:tcW w:w="1559" w:type="dxa"/>
          </w:tcPr>
          <w:p w14:paraId="1B9099C9" w14:textId="77777777" w:rsidR="009D0006" w:rsidRPr="008D09B0" w:rsidRDefault="009D0006" w:rsidP="003859FB">
            <w:pPr>
              <w:pStyle w:val="Tabletext"/>
            </w:pPr>
            <w:r w:rsidRPr="008D09B0">
              <w:t>37.6</w:t>
            </w:r>
          </w:p>
        </w:tc>
      </w:tr>
      <w:tr w:rsidR="009D0006" w:rsidRPr="008D09B0" w14:paraId="059FCE34" w14:textId="77777777" w:rsidTr="003859FB">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61E9DE36" w14:textId="77777777" w:rsidR="009D0006" w:rsidRPr="008D09B0" w:rsidRDefault="009D0006" w:rsidP="003859FB">
            <w:pPr>
              <w:pStyle w:val="Tabletext"/>
              <w:rPr>
                <w:lang w:val="en-US"/>
              </w:rPr>
            </w:pPr>
            <w:r w:rsidRPr="008D09B0">
              <w:t>LGBTIQA+ services or support groups in your area make it easy/very easy for you to use them</w:t>
            </w:r>
          </w:p>
        </w:tc>
        <w:tc>
          <w:tcPr>
            <w:tcW w:w="1559" w:type="dxa"/>
          </w:tcPr>
          <w:p w14:paraId="63FEAB03" w14:textId="77777777" w:rsidR="009D0006" w:rsidRPr="008D09B0" w:rsidRDefault="009D0006" w:rsidP="003859FB">
            <w:pPr>
              <w:pStyle w:val="Tabletext"/>
            </w:pPr>
            <w:r w:rsidRPr="008D09B0">
              <w:t>288</w:t>
            </w:r>
          </w:p>
        </w:tc>
        <w:tc>
          <w:tcPr>
            <w:tcW w:w="1559" w:type="dxa"/>
          </w:tcPr>
          <w:p w14:paraId="3BF3736C" w14:textId="77777777" w:rsidR="009D0006" w:rsidRPr="008D09B0" w:rsidRDefault="009D0006" w:rsidP="003859FB">
            <w:pPr>
              <w:pStyle w:val="Tabletext"/>
            </w:pPr>
            <w:r w:rsidRPr="008D09B0">
              <w:t>38.0</w:t>
            </w:r>
          </w:p>
        </w:tc>
      </w:tr>
    </w:tbl>
    <w:p w14:paraId="5EB65DCE" w14:textId="77777777" w:rsidR="009D0006" w:rsidRPr="003859FB" w:rsidRDefault="009D0006" w:rsidP="003859FB">
      <w:pPr>
        <w:pStyle w:val="TableTextNotebelow"/>
        <w:rPr>
          <w:i/>
          <w:lang w:val="en-GB" w:eastAsia="ja-JP"/>
        </w:rPr>
      </w:pPr>
      <w:r w:rsidRPr="003859FB">
        <w:rPr>
          <w:rFonts w:cs="Arial"/>
          <w:i/>
          <w:lang w:val="en-GB"/>
        </w:rPr>
        <w:t xml:space="preserve">* </w:t>
      </w:r>
      <w:r w:rsidRPr="003859FB">
        <w:rPr>
          <w:i/>
          <w:lang w:val="en-GB"/>
        </w:rPr>
        <w:t xml:space="preserve">In order to be more comparable with general population data, ‘any disability’ does not include participants who only reported ‘mental illness’ and no other disability or long-term health condition. </w:t>
      </w:r>
    </w:p>
    <w:p w14:paraId="5E104EE7" w14:textId="77777777" w:rsidR="009D0006" w:rsidRDefault="009D0006" w:rsidP="00184CF2">
      <w:pPr>
        <w:spacing w:before="360"/>
        <w:rPr>
          <w:lang w:val="en-GB"/>
        </w:rPr>
      </w:pPr>
      <w:r>
        <w:rPr>
          <w:lang w:val="en-GB"/>
        </w:rPr>
        <w:t>As displayed in Tables 81.1-81.6, a</w:t>
      </w:r>
      <w:r w:rsidRPr="001D29FD">
        <w:rPr>
          <w:lang w:val="en-GB"/>
        </w:rPr>
        <w:t>mong</w:t>
      </w:r>
      <w:r w:rsidRPr="0059690F">
        <w:rPr>
          <w:lang w:val="en-GB"/>
        </w:rPr>
        <w:t xml:space="preserve"> </w:t>
      </w:r>
      <w:r>
        <w:rPr>
          <w:lang w:val="en-GB"/>
        </w:rPr>
        <w:t>young people</w:t>
      </w:r>
      <w:r w:rsidRPr="0059690F">
        <w:rPr>
          <w:lang w:val="en-GB"/>
        </w:rPr>
        <w:t xml:space="preserve"> </w:t>
      </w:r>
      <w:r>
        <w:rPr>
          <w:lang w:val="en-GB"/>
        </w:rPr>
        <w:t xml:space="preserve">aged 14-21 years </w:t>
      </w:r>
      <w:r w:rsidRPr="0059690F">
        <w:rPr>
          <w:lang w:val="en-GB"/>
        </w:rPr>
        <w:t xml:space="preserve">with disability in </w:t>
      </w:r>
      <w:r w:rsidRPr="0059690F">
        <w:rPr>
          <w:i/>
          <w:iCs/>
          <w:lang w:val="en-GB"/>
        </w:rPr>
        <w:t>Writing Themselves In 4</w:t>
      </w:r>
      <w:r w:rsidRPr="0059690F">
        <w:rPr>
          <w:lang w:val="en-GB"/>
        </w:rPr>
        <w:t xml:space="preserve">, under one-third felt that their educational institution makes it easy or very easy for them to learn (29.2%; n = 395). More than one-third of participants with disability felt that their workplace makes it easy or very easy for them to work efficiently (35.8%; n = 334). Less than half felt that local LGBTIQA+ social or community venues (44.2%; n = 461) and local LGBTIQA+ services or support groups (47.6%; n = 486) made it easy </w:t>
      </w:r>
      <w:r>
        <w:rPr>
          <w:lang w:val="en-GB"/>
        </w:rPr>
        <w:t xml:space="preserve">for them </w:t>
      </w:r>
      <w:r w:rsidRPr="0059690F">
        <w:rPr>
          <w:lang w:val="en-GB"/>
        </w:rPr>
        <w:t>to use.</w:t>
      </w:r>
    </w:p>
    <w:p w14:paraId="32AFCAFC" w14:textId="77777777" w:rsidR="009D0006" w:rsidRDefault="009D0006" w:rsidP="009D0006">
      <w:r>
        <w:rPr>
          <w:lang w:val="en-GB"/>
        </w:rPr>
        <w:t>Participants with a physical or sensory disabi</w:t>
      </w:r>
      <w:r>
        <w:rPr>
          <w:color w:val="000000" w:themeColor="text1"/>
          <w:lang w:val="en-GB"/>
        </w:rPr>
        <w:t xml:space="preserve">lity had the highest proportion who felt that their </w:t>
      </w:r>
      <w:r w:rsidRPr="006F47D9">
        <w:rPr>
          <w:color w:val="000000" w:themeColor="text1"/>
          <w:lang w:val="en-GB"/>
        </w:rPr>
        <w:t>educational institution makes it easy or very easy for them to learn</w:t>
      </w:r>
      <w:r>
        <w:rPr>
          <w:color w:val="000000" w:themeColor="text1"/>
          <w:lang w:val="en-GB"/>
        </w:rPr>
        <w:t xml:space="preserve"> </w:t>
      </w:r>
      <w:r>
        <w:t>(30.7%; n = 207). This was followed by participants with a mental health condition (29.7%; n = 295), participants with autism/neurodiversity (29.4%; n = 181), participants with intellectual disability (26.8%; n = 33) and participants with autism/neurodiversity and intellectual disability (22.3%; n = 45).</w:t>
      </w:r>
    </w:p>
    <w:p w14:paraId="1D0B01F0" w14:textId="77777777" w:rsidR="009D0006" w:rsidRDefault="009D0006" w:rsidP="009D0006">
      <w:r>
        <w:t xml:space="preserve">Just over two-fifths of participants with a mental health condition felt that </w:t>
      </w:r>
      <w:r w:rsidRPr="006F47D9">
        <w:rPr>
          <w:color w:val="000000" w:themeColor="text1"/>
          <w:lang w:val="en-GB"/>
        </w:rPr>
        <w:t xml:space="preserve">their workplace makes it easy or very easy for them to work efficiently </w:t>
      </w:r>
      <w:r>
        <w:t>(41.4%; n = 291). This was followed by</w:t>
      </w:r>
      <w:r>
        <w:lastRenderedPageBreak/>
        <w:t xml:space="preserve"> participants with autism/neurodiversity (36.5%; n = 151), participants with physical or sensory disability (34.2%; n = 153), participants with intellectual disability (31.0%; n = 27) and participants with autism/neurodiversity and intellectual disability (29.4%; n = 37).</w:t>
      </w:r>
    </w:p>
    <w:p w14:paraId="4A56063D" w14:textId="77777777" w:rsidR="009D0006" w:rsidRDefault="009D0006" w:rsidP="009D0006">
      <w:r>
        <w:t xml:space="preserve">Participants with autism/neurodiversity had the highest proportion who felt that </w:t>
      </w:r>
      <w:r w:rsidRPr="006F47D9">
        <w:rPr>
          <w:color w:val="000000" w:themeColor="text1"/>
          <w:lang w:val="en-GB"/>
        </w:rPr>
        <w:t>local LGBTIQA+ social or community venues</w:t>
      </w:r>
      <w:r w:rsidRPr="00B42889">
        <w:rPr>
          <w:color w:val="000000" w:themeColor="text1"/>
          <w:lang w:val="en-GB"/>
        </w:rPr>
        <w:t xml:space="preserve"> </w:t>
      </w:r>
      <w:r w:rsidRPr="006F47D9">
        <w:rPr>
          <w:color w:val="000000" w:themeColor="text1"/>
          <w:lang w:val="en-GB"/>
        </w:rPr>
        <w:t xml:space="preserve">made it easy for </w:t>
      </w:r>
      <w:r>
        <w:rPr>
          <w:color w:val="000000" w:themeColor="text1"/>
          <w:lang w:val="en-GB"/>
        </w:rPr>
        <w:t>them to</w:t>
      </w:r>
      <w:r w:rsidRPr="006F47D9">
        <w:rPr>
          <w:color w:val="000000" w:themeColor="text1"/>
          <w:lang w:val="en-GB"/>
        </w:rPr>
        <w:t xml:space="preserve"> use </w:t>
      </w:r>
      <w:r>
        <w:t>(44.9%; n = 215). This was followed by participants with physical or sensory disability (44.6%; n = 238), participants with autism/neurodiversity and intellectual disability (41.1%; n = 62), participants with intellectual disability (38.0%; n = 35) and participants with a mental health condition (37.6%; n = 279).</w:t>
      </w:r>
    </w:p>
    <w:p w14:paraId="613A38E3" w14:textId="77777777" w:rsidR="009D0006" w:rsidRDefault="009D0006" w:rsidP="009D0006">
      <w:r>
        <w:t xml:space="preserve">A little over half of participants with autism/neurodiversity felt that </w:t>
      </w:r>
      <w:r w:rsidRPr="006F47D9">
        <w:rPr>
          <w:color w:val="000000" w:themeColor="text1"/>
          <w:lang w:val="en-GB"/>
        </w:rPr>
        <w:t>local LGBTIQA+ services or support groups</w:t>
      </w:r>
      <w:r w:rsidRPr="00B42889">
        <w:rPr>
          <w:color w:val="000000" w:themeColor="text1"/>
          <w:lang w:val="en-GB"/>
        </w:rPr>
        <w:t xml:space="preserve"> </w:t>
      </w:r>
      <w:r w:rsidRPr="006F47D9">
        <w:rPr>
          <w:color w:val="000000" w:themeColor="text1"/>
          <w:lang w:val="en-GB"/>
        </w:rPr>
        <w:t xml:space="preserve">made it easy for easy for </w:t>
      </w:r>
      <w:r>
        <w:rPr>
          <w:color w:val="000000" w:themeColor="text1"/>
          <w:lang w:val="en-GB"/>
        </w:rPr>
        <w:t>them to</w:t>
      </w:r>
      <w:r w:rsidRPr="006F47D9">
        <w:rPr>
          <w:color w:val="000000" w:themeColor="text1"/>
          <w:lang w:val="en-GB"/>
        </w:rPr>
        <w:t xml:space="preserve"> use </w:t>
      </w:r>
      <w:r>
        <w:rPr>
          <w:color w:val="000000" w:themeColor="text1"/>
          <w:lang w:val="en-GB"/>
        </w:rPr>
        <w:t>(</w:t>
      </w:r>
      <w:r>
        <w:t>51.3%; n = 243). This was followed by participants with physical or sensory disability (48.9%; n = 250), participants with autism/neurodiversity and intellectual disability (42.1%; n = 61), participants with intellectual disability (38.3%; n = 36) and participants with a mental health condition (38.0%; n = 288).</w:t>
      </w:r>
    </w:p>
    <w:p w14:paraId="43361A62" w14:textId="414069F5" w:rsidR="009D0006" w:rsidRPr="003C3C9C" w:rsidRDefault="009D0006" w:rsidP="006346CA">
      <w:pPr>
        <w:pStyle w:val="Heading2Numbered"/>
      </w:pPr>
      <w:bookmarkStart w:id="744" w:name="_Toc58252186"/>
      <w:bookmarkStart w:id="745" w:name="_Toc115968612"/>
      <w:bookmarkStart w:id="746" w:name="_Toc119662454"/>
      <w:r>
        <w:t>Perceptions of community inclusion</w:t>
      </w:r>
      <w:bookmarkEnd w:id="744"/>
      <w:r>
        <w:t xml:space="preserve"> – young people aged 14-21 years</w:t>
      </w:r>
      <w:bookmarkEnd w:id="745"/>
      <w:bookmarkEnd w:id="746"/>
    </w:p>
    <w:p w14:paraId="0D9EFEAA" w14:textId="77777777" w:rsidR="009D0006" w:rsidRPr="003C3C9C" w:rsidRDefault="009D0006" w:rsidP="009D0006">
      <w:pPr>
        <w:rPr>
          <w:lang w:val="en-US"/>
        </w:rPr>
      </w:pPr>
      <w:r w:rsidRPr="6F35EF85">
        <w:rPr>
          <w:lang w:val="en-GB"/>
        </w:rPr>
        <w:t>Participants reporting a disability or long-term health condition were asked, ‘</w:t>
      </w:r>
      <w:r w:rsidRPr="6F35EF85">
        <w:rPr>
          <w:lang w:val="en-US"/>
        </w:rPr>
        <w:t>How strongly do you agree with the following statements?’</w:t>
      </w:r>
      <w:r>
        <w:rPr>
          <w:lang w:val="en-US"/>
        </w:rPr>
        <w:t xml:space="preserve"> Numbers in brackets below reflect the sample of participants who provided a response to these statements. </w:t>
      </w:r>
    </w:p>
    <w:p w14:paraId="279C8A2A" w14:textId="77777777" w:rsidR="009D0006" w:rsidRPr="003C3C9C" w:rsidRDefault="009D0006" w:rsidP="003859FB">
      <w:pPr>
        <w:pStyle w:val="Bulletlist"/>
      </w:pPr>
      <w:r>
        <w:t>I feel like I am included within the LGBTIQA+ community (n = 2,453)</w:t>
      </w:r>
    </w:p>
    <w:p w14:paraId="3B6D2EE5" w14:textId="77777777" w:rsidR="009D0006" w:rsidRPr="003C3C9C" w:rsidRDefault="009D0006" w:rsidP="003859FB">
      <w:pPr>
        <w:pStyle w:val="Bulletlist"/>
      </w:pPr>
      <w:r w:rsidRPr="6F35EF85">
        <w:t xml:space="preserve">I feel like the voices of LGBTIQ+ people with disabilities are heard and understood </w:t>
      </w:r>
      <w:r>
        <w:t>(n = 2,411)</w:t>
      </w:r>
    </w:p>
    <w:p w14:paraId="66ACE586" w14:textId="77777777" w:rsidR="009D0006" w:rsidRPr="003C3C9C" w:rsidRDefault="009D0006" w:rsidP="003859FB">
      <w:pPr>
        <w:pStyle w:val="Bulletlist"/>
      </w:pPr>
      <w:r w:rsidRPr="6F35EF85">
        <w:t xml:space="preserve">I feel like my LGBTIQA+ identity is supported by my peers with disabilities </w:t>
      </w:r>
      <w:r>
        <w:t>(n = 2,158)</w:t>
      </w:r>
    </w:p>
    <w:p w14:paraId="11EE39D2" w14:textId="77777777" w:rsidR="009D0006" w:rsidRPr="003C3C9C" w:rsidRDefault="009D0006" w:rsidP="003859FB">
      <w:pPr>
        <w:pStyle w:val="Bulletlist"/>
      </w:pPr>
      <w:r w:rsidRPr="6F35EF85">
        <w:t>I feel like my LGBTIQA+ identity is supported by</w:t>
      </w:r>
      <w:r>
        <w:t xml:space="preserve"> the NDIS or disability support providers (n = 1,665)</w:t>
      </w:r>
    </w:p>
    <w:p w14:paraId="7B2CF597" w14:textId="77777777" w:rsidR="009D0006" w:rsidRDefault="009D0006" w:rsidP="009D0006">
      <w:pPr>
        <w:rPr>
          <w:lang w:val="en-GB"/>
        </w:rPr>
      </w:pPr>
      <w:r w:rsidRPr="6F35EF85">
        <w:rPr>
          <w:lang w:val="en-GB"/>
        </w:rPr>
        <w:t xml:space="preserve">Participants could respond ‘not applicable’ to any questions that were not relevant to them. Questions were on a </w:t>
      </w:r>
      <w:r>
        <w:rPr>
          <w:lang w:val="en-GB"/>
        </w:rPr>
        <w:t>5</w:t>
      </w:r>
      <w:r w:rsidRPr="6F35EF85">
        <w:rPr>
          <w:lang w:val="en-GB"/>
        </w:rPr>
        <w:t>-point scale ranging from ‘strongly disagree’ to ‘strongly agree</w:t>
      </w:r>
      <w:r>
        <w:rPr>
          <w:lang w:val="en-GB"/>
        </w:rPr>
        <w:t>’.</w:t>
      </w:r>
      <w:r w:rsidRPr="6F35EF85">
        <w:rPr>
          <w:lang w:val="en-GB"/>
        </w:rPr>
        <w:t xml:space="preserve"> Tab</w:t>
      </w:r>
      <w:r w:rsidRPr="6F35EF85">
        <w:rPr>
          <w:lang w:val="en-GB"/>
        </w:rPr>
        <w:lastRenderedPageBreak/>
        <w:t>le</w:t>
      </w:r>
      <w:r>
        <w:rPr>
          <w:lang w:val="en-GB"/>
        </w:rPr>
        <w:t>s</w:t>
      </w:r>
      <w:r w:rsidRPr="6F35EF85">
        <w:rPr>
          <w:lang w:val="en-GB"/>
        </w:rPr>
        <w:t xml:space="preserve"> </w:t>
      </w:r>
      <w:r>
        <w:rPr>
          <w:lang w:val="en-GB"/>
        </w:rPr>
        <w:t>82.1-82.6</w:t>
      </w:r>
      <w:r w:rsidRPr="6F35EF85">
        <w:rPr>
          <w:lang w:val="en-GB"/>
        </w:rPr>
        <w:t xml:space="preserve"> display the proportion of participants who responded ‘agree’ or ‘strongly agree</w:t>
      </w:r>
      <w:r>
        <w:rPr>
          <w:lang w:val="en-GB"/>
        </w:rPr>
        <w:t>’.</w:t>
      </w:r>
      <w:bookmarkStart w:id="747" w:name="_Toc79095850"/>
      <w:bookmarkStart w:id="748" w:name="_Toc79097370"/>
      <w:bookmarkStart w:id="749" w:name="_Toc79098743"/>
      <w:bookmarkStart w:id="750" w:name="_Toc79506938"/>
      <w:bookmarkStart w:id="751" w:name="_Toc79507138"/>
      <w:bookmarkStart w:id="752" w:name="_Toc79508362"/>
    </w:p>
    <w:p w14:paraId="06D6ACED" w14:textId="3C9DA728" w:rsidR="009D0006" w:rsidRDefault="009D0006" w:rsidP="004E2605">
      <w:pPr>
        <w:pStyle w:val="Tableheading"/>
        <w:spacing w:before="120"/>
        <w:rPr>
          <w:lang w:val="en-US"/>
        </w:rPr>
      </w:pPr>
      <w:bookmarkStart w:id="753" w:name="_Toc117062799"/>
      <w:bookmarkStart w:id="754" w:name="_Toc119651484"/>
      <w:r w:rsidRPr="00BB7920">
        <w:t>Table</w:t>
      </w:r>
      <w:r>
        <w:t>s</w:t>
      </w:r>
      <w:r w:rsidRPr="00BB7920">
        <w:t xml:space="preserve"> </w:t>
      </w:r>
      <w:r>
        <w:rPr>
          <w:noProof/>
        </w:rPr>
        <w:fldChar w:fldCharType="begin"/>
      </w:r>
      <w:r>
        <w:rPr>
          <w:noProof/>
        </w:rPr>
        <w:instrText xml:space="preserve"> SEQ Table \* ARABIC </w:instrText>
      </w:r>
      <w:r>
        <w:rPr>
          <w:noProof/>
        </w:rPr>
        <w:fldChar w:fldCharType="separate"/>
      </w:r>
      <w:r>
        <w:rPr>
          <w:noProof/>
        </w:rPr>
        <w:t>82</w:t>
      </w:r>
      <w:r>
        <w:rPr>
          <w:noProof/>
        </w:rPr>
        <w:fldChar w:fldCharType="end"/>
      </w:r>
      <w:r>
        <w:t xml:space="preserve">.1-82.6: </w:t>
      </w:r>
      <w:r w:rsidRPr="6F35EF85">
        <w:rPr>
          <w:lang w:val="en-US"/>
        </w:rPr>
        <w:t xml:space="preserve">Perception of inclusion within LGBTIQA+ communities among </w:t>
      </w:r>
      <w:r>
        <w:rPr>
          <w:lang w:val="en-US"/>
        </w:rPr>
        <w:t xml:space="preserve">young </w:t>
      </w:r>
      <w:r w:rsidRPr="6F35EF85">
        <w:rPr>
          <w:lang w:val="en-US"/>
        </w:rPr>
        <w:t xml:space="preserve">people </w:t>
      </w:r>
      <w:r>
        <w:rPr>
          <w:lang w:val="en-US"/>
        </w:rPr>
        <w:t>with disability aged 14-21 years</w:t>
      </w:r>
      <w:bookmarkEnd w:id="753"/>
      <w:bookmarkEnd w:id="754"/>
      <w:r>
        <w:rPr>
          <w:lang w:val="en-US"/>
        </w:rPr>
        <w:t xml:space="preserve"> </w:t>
      </w:r>
      <w:bookmarkEnd w:id="747"/>
      <w:bookmarkEnd w:id="748"/>
      <w:bookmarkEnd w:id="749"/>
      <w:bookmarkEnd w:id="750"/>
      <w:bookmarkEnd w:id="751"/>
      <w:bookmarkEnd w:id="752"/>
    </w:p>
    <w:p w14:paraId="74B4B85E" w14:textId="77777777" w:rsidR="009D0006" w:rsidRDefault="009D0006" w:rsidP="003859FB">
      <w:pPr>
        <w:pStyle w:val="Tableheading"/>
        <w:rPr>
          <w:lang w:val="en-US"/>
        </w:rPr>
      </w:pPr>
      <w:r>
        <w:rPr>
          <w:lang w:val="en-US"/>
        </w:rPr>
        <w:t>Table 82.1 Any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7E3D86" w14:paraId="24BDBA1C" w14:textId="77777777" w:rsidTr="00242D69">
        <w:trPr>
          <w:cnfStyle w:val="100000000000" w:firstRow="1" w:lastRow="0" w:firstColumn="0" w:lastColumn="0" w:oddVBand="0" w:evenVBand="0" w:oddHBand="0" w:evenHBand="0" w:firstRowFirstColumn="0" w:firstRowLastColumn="0" w:lastRowFirstColumn="0" w:lastRowLastColumn="0"/>
          <w:trHeight w:val="346"/>
        </w:trPr>
        <w:tc>
          <w:tcPr>
            <w:tcW w:w="6746" w:type="dxa"/>
            <w:noWrap/>
          </w:tcPr>
          <w:p w14:paraId="5411D7CC" w14:textId="77777777" w:rsidR="009D0006" w:rsidRPr="007E3D86" w:rsidRDefault="009D0006" w:rsidP="00242D69">
            <w:pPr>
              <w:pStyle w:val="Tableheader"/>
            </w:pPr>
            <w:r>
              <w:t>Inclusion within LGBTIQA+ communities</w:t>
            </w:r>
          </w:p>
        </w:tc>
        <w:tc>
          <w:tcPr>
            <w:tcW w:w="1559" w:type="dxa"/>
            <w:noWrap/>
          </w:tcPr>
          <w:p w14:paraId="4B908B72" w14:textId="77777777" w:rsidR="009D0006" w:rsidRPr="00A438A1" w:rsidRDefault="009D0006" w:rsidP="00242D69">
            <w:pPr>
              <w:pStyle w:val="Tableheader"/>
            </w:pPr>
            <w:r w:rsidRPr="00A438A1">
              <w:t>n</w:t>
            </w:r>
          </w:p>
        </w:tc>
        <w:tc>
          <w:tcPr>
            <w:tcW w:w="1559" w:type="dxa"/>
            <w:noWrap/>
          </w:tcPr>
          <w:p w14:paraId="03426232" w14:textId="77777777" w:rsidR="009D0006" w:rsidRPr="00A438A1" w:rsidRDefault="009D0006" w:rsidP="00242D69">
            <w:pPr>
              <w:pStyle w:val="Tableheader"/>
            </w:pPr>
            <w:r w:rsidRPr="00A438A1">
              <w:t>%</w:t>
            </w:r>
          </w:p>
        </w:tc>
      </w:tr>
      <w:tr w:rsidR="009D0006" w:rsidRPr="008D09B0" w14:paraId="5222ABAD" w14:textId="77777777" w:rsidTr="00242D69">
        <w:trPr>
          <w:cnfStyle w:val="000000100000" w:firstRow="0" w:lastRow="0" w:firstColumn="0" w:lastColumn="0" w:oddVBand="0" w:evenVBand="0" w:oddHBand="1" w:evenHBand="0" w:firstRowFirstColumn="0" w:firstRowLastColumn="0" w:lastRowFirstColumn="0" w:lastRowLastColumn="0"/>
          <w:trHeight w:val="250"/>
        </w:trPr>
        <w:tc>
          <w:tcPr>
            <w:tcW w:w="6746" w:type="dxa"/>
            <w:noWrap/>
          </w:tcPr>
          <w:p w14:paraId="1D998284" w14:textId="77777777" w:rsidR="009D0006" w:rsidRPr="008D09B0" w:rsidRDefault="009D0006" w:rsidP="00242D69">
            <w:pPr>
              <w:pStyle w:val="Tabletext"/>
            </w:pPr>
            <w:r w:rsidRPr="008D09B0">
              <w:t>I feel like I am included within the LGBTIQA+ community</w:t>
            </w:r>
          </w:p>
        </w:tc>
        <w:tc>
          <w:tcPr>
            <w:tcW w:w="1559" w:type="dxa"/>
            <w:noWrap/>
          </w:tcPr>
          <w:p w14:paraId="2530D13B" w14:textId="77777777" w:rsidR="009D0006" w:rsidRPr="008D09B0" w:rsidRDefault="009D0006" w:rsidP="00242D69">
            <w:pPr>
              <w:pStyle w:val="Tabletext"/>
            </w:pPr>
            <w:r w:rsidRPr="008D09B0">
              <w:t>808</w:t>
            </w:r>
          </w:p>
        </w:tc>
        <w:tc>
          <w:tcPr>
            <w:tcW w:w="1559" w:type="dxa"/>
            <w:noWrap/>
          </w:tcPr>
          <w:p w14:paraId="5CD77EA7" w14:textId="77777777" w:rsidR="009D0006" w:rsidRPr="008D09B0" w:rsidRDefault="009D0006" w:rsidP="00242D69">
            <w:pPr>
              <w:pStyle w:val="Tabletext"/>
            </w:pPr>
            <w:r w:rsidRPr="008D09B0">
              <w:t>57.3</w:t>
            </w:r>
          </w:p>
        </w:tc>
      </w:tr>
      <w:tr w:rsidR="009D0006" w:rsidRPr="008D09B0" w14:paraId="2A36994B" w14:textId="77777777" w:rsidTr="00242D69">
        <w:trPr>
          <w:cnfStyle w:val="000000010000" w:firstRow="0" w:lastRow="0" w:firstColumn="0" w:lastColumn="0" w:oddVBand="0" w:evenVBand="0" w:oddHBand="0" w:evenHBand="1" w:firstRowFirstColumn="0" w:firstRowLastColumn="0" w:lastRowFirstColumn="0" w:lastRowLastColumn="0"/>
          <w:trHeight w:val="250"/>
        </w:trPr>
        <w:tc>
          <w:tcPr>
            <w:tcW w:w="6746" w:type="dxa"/>
            <w:noWrap/>
          </w:tcPr>
          <w:p w14:paraId="1720F1FA" w14:textId="77777777" w:rsidR="009D0006" w:rsidRPr="008D09B0" w:rsidRDefault="009D0006" w:rsidP="00242D69">
            <w:pPr>
              <w:pStyle w:val="Tabletext"/>
            </w:pPr>
            <w:r w:rsidRPr="008D09B0">
              <w:t>I feel like the voices of LGBTIQA+ people with disabilities are heard and understood</w:t>
            </w:r>
          </w:p>
        </w:tc>
        <w:tc>
          <w:tcPr>
            <w:tcW w:w="1559" w:type="dxa"/>
            <w:noWrap/>
          </w:tcPr>
          <w:p w14:paraId="65EFCD66" w14:textId="77777777" w:rsidR="009D0006" w:rsidRPr="008D09B0" w:rsidRDefault="009D0006" w:rsidP="00242D69">
            <w:pPr>
              <w:pStyle w:val="Tabletext"/>
            </w:pPr>
            <w:r w:rsidRPr="008D09B0">
              <w:t>378</w:t>
            </w:r>
          </w:p>
        </w:tc>
        <w:tc>
          <w:tcPr>
            <w:tcW w:w="1559" w:type="dxa"/>
            <w:noWrap/>
          </w:tcPr>
          <w:p w14:paraId="3BA7AA21" w14:textId="77777777" w:rsidR="009D0006" w:rsidRPr="008D09B0" w:rsidRDefault="009D0006" w:rsidP="00242D69">
            <w:pPr>
              <w:pStyle w:val="Tabletext"/>
            </w:pPr>
            <w:r w:rsidRPr="008D09B0">
              <w:t>27.2</w:t>
            </w:r>
          </w:p>
        </w:tc>
      </w:tr>
      <w:tr w:rsidR="009D0006" w:rsidRPr="008D09B0" w14:paraId="048F1C3C" w14:textId="77777777" w:rsidTr="00242D69">
        <w:trPr>
          <w:cnfStyle w:val="000000100000" w:firstRow="0" w:lastRow="0" w:firstColumn="0" w:lastColumn="0" w:oddVBand="0" w:evenVBand="0" w:oddHBand="1" w:evenHBand="0" w:firstRowFirstColumn="0" w:firstRowLastColumn="0" w:lastRowFirstColumn="0" w:lastRowLastColumn="0"/>
          <w:trHeight w:val="250"/>
        </w:trPr>
        <w:tc>
          <w:tcPr>
            <w:tcW w:w="6746" w:type="dxa"/>
            <w:noWrap/>
          </w:tcPr>
          <w:p w14:paraId="0BA39BE7" w14:textId="77777777" w:rsidR="009D0006" w:rsidRPr="008D09B0" w:rsidRDefault="009D0006" w:rsidP="00242D69">
            <w:pPr>
              <w:pStyle w:val="Tabletext"/>
            </w:pPr>
            <w:r w:rsidRPr="008D09B0">
              <w:t>I feel like my LGBTIQA+ identity is supported by my peers with disabilities</w:t>
            </w:r>
          </w:p>
        </w:tc>
        <w:tc>
          <w:tcPr>
            <w:tcW w:w="1559" w:type="dxa"/>
            <w:noWrap/>
          </w:tcPr>
          <w:p w14:paraId="1EA0B59A" w14:textId="77777777" w:rsidR="009D0006" w:rsidRPr="008D09B0" w:rsidRDefault="009D0006" w:rsidP="00242D69">
            <w:pPr>
              <w:pStyle w:val="Tabletext"/>
            </w:pPr>
            <w:r w:rsidRPr="008D09B0">
              <w:t>692</w:t>
            </w:r>
          </w:p>
        </w:tc>
        <w:tc>
          <w:tcPr>
            <w:tcW w:w="1559" w:type="dxa"/>
            <w:noWrap/>
          </w:tcPr>
          <w:p w14:paraId="16638FC4" w14:textId="77777777" w:rsidR="009D0006" w:rsidRPr="008D09B0" w:rsidRDefault="009D0006" w:rsidP="00242D69">
            <w:pPr>
              <w:pStyle w:val="Tabletext"/>
            </w:pPr>
            <w:r w:rsidRPr="008D09B0">
              <w:t>55.3</w:t>
            </w:r>
          </w:p>
        </w:tc>
      </w:tr>
      <w:tr w:rsidR="009D0006" w:rsidRPr="008D09B0" w14:paraId="0C3E394A" w14:textId="77777777" w:rsidTr="00242D69">
        <w:trPr>
          <w:cnfStyle w:val="000000010000" w:firstRow="0" w:lastRow="0" w:firstColumn="0" w:lastColumn="0" w:oddVBand="0" w:evenVBand="0" w:oddHBand="0" w:evenHBand="1" w:firstRowFirstColumn="0" w:firstRowLastColumn="0" w:lastRowFirstColumn="0" w:lastRowLastColumn="0"/>
          <w:trHeight w:val="250"/>
        </w:trPr>
        <w:tc>
          <w:tcPr>
            <w:tcW w:w="6746" w:type="dxa"/>
            <w:noWrap/>
          </w:tcPr>
          <w:p w14:paraId="013AEEF6" w14:textId="77777777" w:rsidR="009D0006" w:rsidRPr="008D09B0" w:rsidRDefault="009D0006" w:rsidP="00242D69">
            <w:pPr>
              <w:pStyle w:val="Tabletext"/>
              <w:rPr>
                <w:highlight w:val="yellow"/>
              </w:rPr>
            </w:pPr>
            <w:r w:rsidRPr="008D09B0">
              <w:t>I feel like my LGBTIQA+ identity is supported by the NDIS or disability support providers</w:t>
            </w:r>
          </w:p>
        </w:tc>
        <w:tc>
          <w:tcPr>
            <w:tcW w:w="1559" w:type="dxa"/>
            <w:noWrap/>
          </w:tcPr>
          <w:p w14:paraId="4CEDF995" w14:textId="77777777" w:rsidR="009D0006" w:rsidRPr="008D09B0" w:rsidRDefault="009D0006" w:rsidP="00242D69">
            <w:pPr>
              <w:pStyle w:val="Tabletext"/>
            </w:pPr>
            <w:r w:rsidRPr="008D09B0">
              <w:t>211</w:t>
            </w:r>
          </w:p>
        </w:tc>
        <w:tc>
          <w:tcPr>
            <w:tcW w:w="1559" w:type="dxa"/>
            <w:noWrap/>
          </w:tcPr>
          <w:p w14:paraId="608C9508" w14:textId="77777777" w:rsidR="009D0006" w:rsidRPr="008D09B0" w:rsidRDefault="009D0006" w:rsidP="00242D69">
            <w:pPr>
              <w:pStyle w:val="Tabletext"/>
            </w:pPr>
            <w:r w:rsidRPr="008D09B0">
              <w:t>21.5</w:t>
            </w:r>
          </w:p>
        </w:tc>
      </w:tr>
    </w:tbl>
    <w:p w14:paraId="4A287624" w14:textId="77777777" w:rsidR="009D0006" w:rsidRPr="00340E71" w:rsidRDefault="009D0006" w:rsidP="00242D69">
      <w:pPr>
        <w:pStyle w:val="Tableheading"/>
        <w:rPr>
          <w:lang w:val="en-GB"/>
        </w:rPr>
      </w:pPr>
      <w:r>
        <w:rPr>
          <w:lang w:val="en-GB"/>
        </w:rPr>
        <w:t>Table 82.2 Autism, neuro-diverse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64873" w14:paraId="00DAD26D" w14:textId="77777777" w:rsidTr="00242D69">
        <w:trPr>
          <w:cnfStyle w:val="100000000000" w:firstRow="1" w:lastRow="0" w:firstColumn="0" w:lastColumn="0" w:oddVBand="0" w:evenVBand="0" w:oddHBand="0" w:evenHBand="0" w:firstRowFirstColumn="0" w:firstRowLastColumn="0" w:lastRowFirstColumn="0" w:lastRowLastColumn="0"/>
          <w:trHeight w:val="395"/>
        </w:trPr>
        <w:tc>
          <w:tcPr>
            <w:tcW w:w="6746" w:type="dxa"/>
            <w:noWrap/>
          </w:tcPr>
          <w:p w14:paraId="0D492E01" w14:textId="77777777" w:rsidR="009D0006" w:rsidRPr="00302CAA" w:rsidRDefault="009D0006" w:rsidP="00242D69">
            <w:pPr>
              <w:pStyle w:val="Tableheader"/>
              <w:rPr>
                <w:lang w:val="en-US"/>
              </w:rPr>
            </w:pPr>
            <w:r w:rsidRPr="00302CAA">
              <w:t>Inclusion within LGBTIQA+ communities</w:t>
            </w:r>
          </w:p>
        </w:tc>
        <w:tc>
          <w:tcPr>
            <w:tcW w:w="1559" w:type="dxa"/>
          </w:tcPr>
          <w:p w14:paraId="4B76978E" w14:textId="77777777" w:rsidR="009D0006" w:rsidRPr="005C50EF" w:rsidRDefault="009D0006" w:rsidP="00242D69">
            <w:pPr>
              <w:pStyle w:val="Tableheader"/>
              <w:rPr>
                <w:lang w:val="en-US"/>
              </w:rPr>
            </w:pPr>
            <w:r w:rsidRPr="005C50EF">
              <w:t>n</w:t>
            </w:r>
          </w:p>
        </w:tc>
        <w:tc>
          <w:tcPr>
            <w:tcW w:w="1559" w:type="dxa"/>
          </w:tcPr>
          <w:p w14:paraId="1FA10F76" w14:textId="77777777" w:rsidR="009D0006" w:rsidRPr="005C50EF" w:rsidRDefault="009D0006" w:rsidP="00242D69">
            <w:pPr>
              <w:pStyle w:val="Tableheader"/>
            </w:pPr>
            <w:r w:rsidRPr="005C50EF">
              <w:t>%</w:t>
            </w:r>
          </w:p>
        </w:tc>
      </w:tr>
      <w:tr w:rsidR="009D0006" w:rsidRPr="008D09B0" w14:paraId="7509E05C" w14:textId="77777777" w:rsidTr="00242D69">
        <w:trPr>
          <w:cnfStyle w:val="000000100000" w:firstRow="0" w:lastRow="0" w:firstColumn="0" w:lastColumn="0" w:oddVBand="0" w:evenVBand="0" w:oddHBand="1" w:evenHBand="0" w:firstRowFirstColumn="0" w:firstRowLastColumn="0" w:lastRowFirstColumn="0" w:lastRowLastColumn="0"/>
          <w:trHeight w:val="304"/>
        </w:trPr>
        <w:tc>
          <w:tcPr>
            <w:tcW w:w="6746" w:type="dxa"/>
            <w:noWrap/>
          </w:tcPr>
          <w:p w14:paraId="65C747AF" w14:textId="77777777" w:rsidR="009D0006" w:rsidRPr="008D09B0" w:rsidRDefault="009D0006" w:rsidP="00242D69">
            <w:pPr>
              <w:pStyle w:val="Tabletext"/>
              <w:rPr>
                <w:lang w:val="en-US"/>
              </w:rPr>
            </w:pPr>
            <w:r w:rsidRPr="008D09B0">
              <w:t>I feel like I am included within the LGBTIQA+ community</w:t>
            </w:r>
          </w:p>
        </w:tc>
        <w:tc>
          <w:tcPr>
            <w:tcW w:w="1559" w:type="dxa"/>
          </w:tcPr>
          <w:p w14:paraId="2915E53C" w14:textId="77777777" w:rsidR="009D0006" w:rsidRPr="008D09B0" w:rsidRDefault="009D0006" w:rsidP="00242D69">
            <w:pPr>
              <w:pStyle w:val="Tabletext"/>
            </w:pPr>
            <w:r w:rsidRPr="008D09B0">
              <w:t>389</w:t>
            </w:r>
          </w:p>
        </w:tc>
        <w:tc>
          <w:tcPr>
            <w:tcW w:w="1559" w:type="dxa"/>
          </w:tcPr>
          <w:p w14:paraId="4807F9E0" w14:textId="77777777" w:rsidR="009D0006" w:rsidRPr="008D09B0" w:rsidRDefault="009D0006" w:rsidP="00242D69">
            <w:pPr>
              <w:pStyle w:val="Tabletext"/>
            </w:pPr>
            <w:r w:rsidRPr="008D09B0">
              <w:t>60.5</w:t>
            </w:r>
          </w:p>
        </w:tc>
      </w:tr>
      <w:tr w:rsidR="009D0006" w:rsidRPr="008D09B0" w14:paraId="7E3C2B56" w14:textId="77777777" w:rsidTr="00242D69">
        <w:trPr>
          <w:cnfStyle w:val="000000010000" w:firstRow="0" w:lastRow="0" w:firstColumn="0" w:lastColumn="0" w:oddVBand="0" w:evenVBand="0" w:oddHBand="0" w:evenHBand="1" w:firstRowFirstColumn="0" w:firstRowLastColumn="0" w:lastRowFirstColumn="0" w:lastRowLastColumn="0"/>
          <w:trHeight w:val="625"/>
        </w:trPr>
        <w:tc>
          <w:tcPr>
            <w:tcW w:w="6746" w:type="dxa"/>
            <w:noWrap/>
          </w:tcPr>
          <w:p w14:paraId="16F12F66" w14:textId="77777777" w:rsidR="009D0006" w:rsidRPr="008D09B0" w:rsidRDefault="009D0006" w:rsidP="00242D69">
            <w:pPr>
              <w:pStyle w:val="Tabletext"/>
              <w:rPr>
                <w:lang w:val="en-US"/>
              </w:rPr>
            </w:pPr>
            <w:r w:rsidRPr="008D09B0">
              <w:t>I feel like the voices of LGBTIQ+ people with disabilities are heard and understood</w:t>
            </w:r>
          </w:p>
        </w:tc>
        <w:tc>
          <w:tcPr>
            <w:tcW w:w="1559" w:type="dxa"/>
          </w:tcPr>
          <w:p w14:paraId="3DB406D7" w14:textId="77777777" w:rsidR="009D0006" w:rsidRPr="008D09B0" w:rsidRDefault="009D0006" w:rsidP="00242D69">
            <w:pPr>
              <w:pStyle w:val="Tabletext"/>
            </w:pPr>
            <w:r w:rsidRPr="008D09B0">
              <w:t>164</w:t>
            </w:r>
          </w:p>
        </w:tc>
        <w:tc>
          <w:tcPr>
            <w:tcW w:w="1559" w:type="dxa"/>
          </w:tcPr>
          <w:p w14:paraId="3E773515" w14:textId="77777777" w:rsidR="009D0006" w:rsidRPr="008D09B0" w:rsidRDefault="009D0006" w:rsidP="00242D69">
            <w:pPr>
              <w:pStyle w:val="Tabletext"/>
            </w:pPr>
            <w:r w:rsidRPr="008D09B0">
              <w:t>26.0</w:t>
            </w:r>
          </w:p>
        </w:tc>
      </w:tr>
      <w:tr w:rsidR="009D0006" w:rsidRPr="008D09B0" w14:paraId="2B47FA9D" w14:textId="77777777" w:rsidTr="00242D69">
        <w:trPr>
          <w:cnfStyle w:val="000000100000" w:firstRow="0" w:lastRow="0" w:firstColumn="0" w:lastColumn="0" w:oddVBand="0" w:evenVBand="0" w:oddHBand="1" w:evenHBand="0" w:firstRowFirstColumn="0" w:firstRowLastColumn="0" w:lastRowFirstColumn="0" w:lastRowLastColumn="0"/>
          <w:trHeight w:val="625"/>
        </w:trPr>
        <w:tc>
          <w:tcPr>
            <w:tcW w:w="6746" w:type="dxa"/>
            <w:noWrap/>
          </w:tcPr>
          <w:p w14:paraId="655771BC" w14:textId="77777777" w:rsidR="009D0006" w:rsidRPr="008D09B0" w:rsidRDefault="009D0006" w:rsidP="00242D69">
            <w:pPr>
              <w:pStyle w:val="Tabletext"/>
              <w:rPr>
                <w:lang w:val="en-US"/>
              </w:rPr>
            </w:pPr>
            <w:r w:rsidRPr="008D09B0">
              <w:t>I feel like my LGBTIQA+ identity is supported by my peers with disabilities</w:t>
            </w:r>
          </w:p>
        </w:tc>
        <w:tc>
          <w:tcPr>
            <w:tcW w:w="1559" w:type="dxa"/>
          </w:tcPr>
          <w:p w14:paraId="66B31DEC" w14:textId="77777777" w:rsidR="009D0006" w:rsidRPr="008D09B0" w:rsidRDefault="009D0006" w:rsidP="00242D69">
            <w:pPr>
              <w:pStyle w:val="Tabletext"/>
            </w:pPr>
            <w:r w:rsidRPr="008D09B0">
              <w:t>339</w:t>
            </w:r>
          </w:p>
        </w:tc>
        <w:tc>
          <w:tcPr>
            <w:tcW w:w="1559" w:type="dxa"/>
          </w:tcPr>
          <w:p w14:paraId="008FE4C5" w14:textId="77777777" w:rsidR="009D0006" w:rsidRPr="008D09B0" w:rsidRDefault="009D0006" w:rsidP="00242D69">
            <w:pPr>
              <w:pStyle w:val="Tabletext"/>
            </w:pPr>
            <w:r w:rsidRPr="008D09B0">
              <w:t>59.3</w:t>
            </w:r>
          </w:p>
        </w:tc>
      </w:tr>
      <w:tr w:rsidR="009D0006" w:rsidRPr="008D09B0" w14:paraId="62EFEB28" w14:textId="77777777" w:rsidTr="00242D69">
        <w:trPr>
          <w:cnfStyle w:val="000000010000" w:firstRow="0" w:lastRow="0" w:firstColumn="0" w:lastColumn="0" w:oddVBand="0" w:evenVBand="0" w:oddHBand="0" w:evenHBand="1" w:firstRowFirstColumn="0" w:firstRowLastColumn="0" w:lastRowFirstColumn="0" w:lastRowLastColumn="0"/>
          <w:trHeight w:val="625"/>
        </w:trPr>
        <w:tc>
          <w:tcPr>
            <w:tcW w:w="6746" w:type="dxa"/>
            <w:noWrap/>
          </w:tcPr>
          <w:p w14:paraId="0366107D" w14:textId="77777777" w:rsidR="009D0006" w:rsidRPr="008D09B0" w:rsidRDefault="009D0006" w:rsidP="00242D69">
            <w:pPr>
              <w:pStyle w:val="Tabletext"/>
              <w:rPr>
                <w:lang w:val="en-US"/>
              </w:rPr>
            </w:pPr>
            <w:r w:rsidRPr="008D09B0">
              <w:t>I feel like my LGBTIQA+ identity is supported by the NDIS or disability support providers</w:t>
            </w:r>
          </w:p>
        </w:tc>
        <w:tc>
          <w:tcPr>
            <w:tcW w:w="1559" w:type="dxa"/>
          </w:tcPr>
          <w:p w14:paraId="7D9333E8" w14:textId="77777777" w:rsidR="009D0006" w:rsidRPr="008D09B0" w:rsidRDefault="009D0006" w:rsidP="00242D69">
            <w:pPr>
              <w:pStyle w:val="Tabletext"/>
            </w:pPr>
            <w:r w:rsidRPr="008D09B0">
              <w:t>90</w:t>
            </w:r>
          </w:p>
        </w:tc>
        <w:tc>
          <w:tcPr>
            <w:tcW w:w="1559" w:type="dxa"/>
          </w:tcPr>
          <w:p w14:paraId="133B3F16" w14:textId="77777777" w:rsidR="009D0006" w:rsidRPr="008D09B0" w:rsidRDefault="009D0006" w:rsidP="00242D69">
            <w:pPr>
              <w:pStyle w:val="Tabletext"/>
            </w:pPr>
            <w:r w:rsidRPr="008D09B0">
              <w:t>20.4</w:t>
            </w:r>
          </w:p>
        </w:tc>
      </w:tr>
    </w:tbl>
    <w:p w14:paraId="65CFF068" w14:textId="77777777" w:rsidR="009D0006" w:rsidRDefault="009D0006" w:rsidP="00242D69">
      <w:pPr>
        <w:pStyle w:val="Tableheading"/>
        <w:rPr>
          <w:lang w:val="en-GB"/>
        </w:rPr>
      </w:pPr>
      <w:r>
        <w:rPr>
          <w:lang w:val="en-GB"/>
        </w:rPr>
        <w:t>Table 82.3 Autism, neuro-diverse with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64873" w14:paraId="4B0397C0" w14:textId="77777777" w:rsidTr="00242D69">
        <w:trPr>
          <w:cnfStyle w:val="100000000000" w:firstRow="1" w:lastRow="0" w:firstColumn="0" w:lastColumn="0" w:oddVBand="0" w:evenVBand="0" w:oddHBand="0" w:evenHBand="0" w:firstRowFirstColumn="0" w:firstRowLastColumn="0" w:lastRowFirstColumn="0" w:lastRowLastColumn="0"/>
          <w:trHeight w:val="321"/>
        </w:trPr>
        <w:tc>
          <w:tcPr>
            <w:tcW w:w="6746" w:type="dxa"/>
            <w:noWrap/>
          </w:tcPr>
          <w:p w14:paraId="7546BF76" w14:textId="77777777" w:rsidR="009D0006" w:rsidRPr="00302CAA" w:rsidRDefault="009D0006" w:rsidP="00242D69">
            <w:pPr>
              <w:pStyle w:val="Tableheader"/>
              <w:rPr>
                <w:lang w:val="en-US"/>
              </w:rPr>
            </w:pPr>
            <w:r w:rsidRPr="00302CAA">
              <w:t>Inclusion within LGBTIQA+ communities</w:t>
            </w:r>
          </w:p>
        </w:tc>
        <w:tc>
          <w:tcPr>
            <w:tcW w:w="1559" w:type="dxa"/>
          </w:tcPr>
          <w:p w14:paraId="362C1179" w14:textId="77777777" w:rsidR="009D0006" w:rsidRPr="005C50EF" w:rsidRDefault="009D0006" w:rsidP="00242D69">
            <w:pPr>
              <w:pStyle w:val="Tableheader"/>
              <w:rPr>
                <w:lang w:val="en-US"/>
              </w:rPr>
            </w:pPr>
            <w:r w:rsidRPr="005C50EF">
              <w:t>n</w:t>
            </w:r>
          </w:p>
        </w:tc>
        <w:tc>
          <w:tcPr>
            <w:tcW w:w="1559" w:type="dxa"/>
          </w:tcPr>
          <w:p w14:paraId="53A70F52" w14:textId="77777777" w:rsidR="009D0006" w:rsidRPr="005C50EF" w:rsidRDefault="009D0006" w:rsidP="00242D69">
            <w:pPr>
              <w:pStyle w:val="Tableheader"/>
            </w:pPr>
            <w:r w:rsidRPr="005C50EF">
              <w:t>%</w:t>
            </w:r>
          </w:p>
        </w:tc>
      </w:tr>
      <w:tr w:rsidR="009D0006" w:rsidRPr="008D09B0" w14:paraId="6FE9ADAC" w14:textId="77777777" w:rsidTr="00242D69">
        <w:trPr>
          <w:cnfStyle w:val="000000100000" w:firstRow="0" w:lastRow="0" w:firstColumn="0" w:lastColumn="0" w:oddVBand="0" w:evenVBand="0" w:oddHBand="1" w:evenHBand="0" w:firstRowFirstColumn="0" w:firstRowLastColumn="0" w:lastRowFirstColumn="0" w:lastRowLastColumn="0"/>
          <w:trHeight w:val="321"/>
        </w:trPr>
        <w:tc>
          <w:tcPr>
            <w:tcW w:w="6746" w:type="dxa"/>
            <w:noWrap/>
          </w:tcPr>
          <w:p w14:paraId="63E18E38" w14:textId="77777777" w:rsidR="009D0006" w:rsidRPr="008D09B0" w:rsidRDefault="009D0006" w:rsidP="00242D69">
            <w:pPr>
              <w:pStyle w:val="Tabletext"/>
              <w:rPr>
                <w:lang w:val="en-US"/>
              </w:rPr>
            </w:pPr>
            <w:r w:rsidRPr="008D09B0">
              <w:t>I feel like I am included within the LGBTIQA+ community</w:t>
            </w:r>
          </w:p>
        </w:tc>
        <w:tc>
          <w:tcPr>
            <w:tcW w:w="1559" w:type="dxa"/>
          </w:tcPr>
          <w:p w14:paraId="5F19E2A4" w14:textId="77777777" w:rsidR="009D0006" w:rsidRPr="008D09B0" w:rsidRDefault="009D0006" w:rsidP="00242D69">
            <w:pPr>
              <w:pStyle w:val="Tabletext"/>
            </w:pPr>
            <w:r w:rsidRPr="008D09B0">
              <w:t>116</w:t>
            </w:r>
          </w:p>
        </w:tc>
        <w:tc>
          <w:tcPr>
            <w:tcW w:w="1559" w:type="dxa"/>
          </w:tcPr>
          <w:p w14:paraId="7F18A7C8" w14:textId="77777777" w:rsidR="009D0006" w:rsidRPr="008D09B0" w:rsidRDefault="009D0006" w:rsidP="00242D69">
            <w:pPr>
              <w:pStyle w:val="Tabletext"/>
            </w:pPr>
            <w:r w:rsidRPr="008D09B0">
              <w:t>56.3</w:t>
            </w:r>
          </w:p>
        </w:tc>
      </w:tr>
      <w:tr w:rsidR="009D0006" w:rsidRPr="008D09B0" w14:paraId="61B0B8D0" w14:textId="77777777" w:rsidTr="00242D69">
        <w:trPr>
          <w:cnfStyle w:val="000000010000" w:firstRow="0" w:lastRow="0" w:firstColumn="0" w:lastColumn="0" w:oddVBand="0" w:evenVBand="0" w:oddHBand="0" w:evenHBand="1" w:firstRowFirstColumn="0" w:firstRowLastColumn="0" w:lastRowFirstColumn="0" w:lastRowLastColumn="0"/>
          <w:trHeight w:val="321"/>
        </w:trPr>
        <w:tc>
          <w:tcPr>
            <w:tcW w:w="6746" w:type="dxa"/>
            <w:noWrap/>
          </w:tcPr>
          <w:p w14:paraId="72B88FCD" w14:textId="77777777" w:rsidR="009D0006" w:rsidRPr="008D09B0" w:rsidRDefault="009D0006" w:rsidP="00242D69">
            <w:pPr>
              <w:pStyle w:val="Tabletext"/>
              <w:rPr>
                <w:lang w:val="en-US"/>
              </w:rPr>
            </w:pPr>
            <w:r w:rsidRPr="008D09B0">
              <w:t>I feel like the voices of LGBTIQ+ people with disabilities are heard and understood</w:t>
            </w:r>
          </w:p>
        </w:tc>
        <w:tc>
          <w:tcPr>
            <w:tcW w:w="1559" w:type="dxa"/>
          </w:tcPr>
          <w:p w14:paraId="2D71901A" w14:textId="77777777" w:rsidR="009D0006" w:rsidRPr="008D09B0" w:rsidRDefault="009D0006" w:rsidP="00242D69">
            <w:pPr>
              <w:pStyle w:val="Tabletext"/>
            </w:pPr>
            <w:r w:rsidRPr="008D09B0">
              <w:t>47</w:t>
            </w:r>
          </w:p>
        </w:tc>
        <w:tc>
          <w:tcPr>
            <w:tcW w:w="1559" w:type="dxa"/>
          </w:tcPr>
          <w:p w14:paraId="78B20D2F" w14:textId="77777777" w:rsidR="009D0006" w:rsidRPr="008D09B0" w:rsidRDefault="009D0006" w:rsidP="00242D69">
            <w:pPr>
              <w:pStyle w:val="Tabletext"/>
            </w:pPr>
            <w:r w:rsidRPr="008D09B0">
              <w:t>23.0</w:t>
            </w:r>
          </w:p>
        </w:tc>
      </w:tr>
      <w:tr w:rsidR="009D0006" w:rsidRPr="008D09B0" w14:paraId="657506AF" w14:textId="77777777" w:rsidTr="00242D69">
        <w:trPr>
          <w:cnfStyle w:val="000000100000" w:firstRow="0" w:lastRow="0" w:firstColumn="0" w:lastColumn="0" w:oddVBand="0" w:evenVBand="0" w:oddHBand="1" w:evenHBand="0" w:firstRowFirstColumn="0" w:firstRowLastColumn="0" w:lastRowFirstColumn="0" w:lastRowLastColumn="0"/>
          <w:trHeight w:val="321"/>
        </w:trPr>
        <w:tc>
          <w:tcPr>
            <w:tcW w:w="6746" w:type="dxa"/>
            <w:noWrap/>
          </w:tcPr>
          <w:p w14:paraId="53AEDD67" w14:textId="77777777" w:rsidR="009D0006" w:rsidRPr="008D09B0" w:rsidRDefault="009D0006" w:rsidP="00242D69">
            <w:pPr>
              <w:pStyle w:val="Tabletext"/>
              <w:rPr>
                <w:lang w:val="en-US"/>
              </w:rPr>
            </w:pPr>
            <w:r w:rsidRPr="008D09B0">
              <w:t>I feel like my LGBTIQA+ identity is supported by my peers with disabilities</w:t>
            </w:r>
          </w:p>
        </w:tc>
        <w:tc>
          <w:tcPr>
            <w:tcW w:w="1559" w:type="dxa"/>
          </w:tcPr>
          <w:p w14:paraId="76708A16" w14:textId="77777777" w:rsidR="009D0006" w:rsidRPr="008D09B0" w:rsidRDefault="009D0006" w:rsidP="00242D69">
            <w:pPr>
              <w:pStyle w:val="Tabletext"/>
            </w:pPr>
            <w:r w:rsidRPr="008D09B0">
              <w:t>95</w:t>
            </w:r>
          </w:p>
        </w:tc>
        <w:tc>
          <w:tcPr>
            <w:tcW w:w="1559" w:type="dxa"/>
          </w:tcPr>
          <w:p w14:paraId="566E6DBE" w14:textId="77777777" w:rsidR="009D0006" w:rsidRPr="008D09B0" w:rsidRDefault="009D0006" w:rsidP="00242D69">
            <w:pPr>
              <w:pStyle w:val="Tabletext"/>
            </w:pPr>
            <w:r w:rsidRPr="008D09B0">
              <w:t>50.0</w:t>
            </w:r>
          </w:p>
        </w:tc>
      </w:tr>
      <w:tr w:rsidR="009D0006" w:rsidRPr="008D09B0" w14:paraId="66BBF739" w14:textId="77777777" w:rsidTr="00242D69">
        <w:trPr>
          <w:cnfStyle w:val="000000010000" w:firstRow="0" w:lastRow="0" w:firstColumn="0" w:lastColumn="0" w:oddVBand="0" w:evenVBand="0" w:oddHBand="0" w:evenHBand="1" w:firstRowFirstColumn="0" w:firstRowLastColumn="0" w:lastRowFirstColumn="0" w:lastRowLastColumn="0"/>
          <w:trHeight w:val="321"/>
        </w:trPr>
        <w:tc>
          <w:tcPr>
            <w:tcW w:w="6746" w:type="dxa"/>
            <w:noWrap/>
          </w:tcPr>
          <w:p w14:paraId="558E60A8" w14:textId="77777777" w:rsidR="009D0006" w:rsidRPr="008D09B0" w:rsidRDefault="009D0006" w:rsidP="00242D69">
            <w:pPr>
              <w:pStyle w:val="Tabletext"/>
              <w:rPr>
                <w:lang w:val="en-US"/>
              </w:rPr>
            </w:pPr>
            <w:r w:rsidRPr="008D09B0">
              <w:t>I feel like my LGBTIQA+ identity is supported by the NDIS or disability support providers</w:t>
            </w:r>
          </w:p>
        </w:tc>
        <w:tc>
          <w:tcPr>
            <w:tcW w:w="1559" w:type="dxa"/>
          </w:tcPr>
          <w:p w14:paraId="521EFB40" w14:textId="77777777" w:rsidR="009D0006" w:rsidRPr="008D09B0" w:rsidRDefault="009D0006" w:rsidP="00242D69">
            <w:pPr>
              <w:pStyle w:val="Tabletext"/>
            </w:pPr>
            <w:r w:rsidRPr="008D09B0">
              <w:t>30</w:t>
            </w:r>
          </w:p>
        </w:tc>
        <w:tc>
          <w:tcPr>
            <w:tcW w:w="1559" w:type="dxa"/>
          </w:tcPr>
          <w:p w14:paraId="0999A783" w14:textId="77777777" w:rsidR="009D0006" w:rsidRPr="008D09B0" w:rsidRDefault="009D0006" w:rsidP="00242D69">
            <w:pPr>
              <w:pStyle w:val="Tabletext"/>
            </w:pPr>
            <w:r w:rsidRPr="008D09B0">
              <w:t>19.9</w:t>
            </w:r>
          </w:p>
        </w:tc>
      </w:tr>
    </w:tbl>
    <w:p w14:paraId="58B7581F" w14:textId="77777777" w:rsidR="009D0006" w:rsidRDefault="009D0006" w:rsidP="00242D69">
      <w:pPr>
        <w:pStyle w:val="Tableheading"/>
        <w:rPr>
          <w:lang w:val="en-GB"/>
        </w:rPr>
      </w:pPr>
      <w:r>
        <w:rPr>
          <w:lang w:val="en-GB"/>
        </w:rPr>
        <w:t>Table 82.4 Intellectual disability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64873" w14:paraId="4D8147AE" w14:textId="77777777" w:rsidTr="004E2605">
        <w:trPr>
          <w:cnfStyle w:val="100000000000" w:firstRow="1" w:lastRow="0" w:firstColumn="0" w:lastColumn="0" w:oddVBand="0" w:evenVBand="0" w:oddHBand="0" w:evenHBand="0" w:firstRowFirstColumn="0" w:firstRowLastColumn="0" w:lastRowFirstColumn="0" w:lastRowLastColumn="0"/>
          <w:trHeight w:val="340"/>
          <w:tblHeader/>
        </w:trPr>
        <w:tc>
          <w:tcPr>
            <w:tcW w:w="6746" w:type="dxa"/>
            <w:noWrap/>
          </w:tcPr>
          <w:p w14:paraId="0CBC8C02" w14:textId="77777777" w:rsidR="009D0006" w:rsidRPr="009A13C3" w:rsidRDefault="009D0006" w:rsidP="00242D69">
            <w:pPr>
              <w:pStyle w:val="Tableheader"/>
              <w:rPr>
                <w:lang w:val="en-US"/>
              </w:rPr>
            </w:pPr>
            <w:r w:rsidRPr="009A13C3">
              <w:t>Inclusion within LGBTIQA+ communities</w:t>
            </w:r>
          </w:p>
        </w:tc>
        <w:tc>
          <w:tcPr>
            <w:tcW w:w="1559" w:type="dxa"/>
          </w:tcPr>
          <w:p w14:paraId="3853EE09" w14:textId="77777777" w:rsidR="009D0006" w:rsidRPr="005C50EF" w:rsidRDefault="009D0006" w:rsidP="00242D69">
            <w:pPr>
              <w:pStyle w:val="Tableheader"/>
            </w:pPr>
            <w:r w:rsidRPr="005C50EF">
              <w:t>n</w:t>
            </w:r>
          </w:p>
        </w:tc>
        <w:tc>
          <w:tcPr>
            <w:tcW w:w="1559" w:type="dxa"/>
          </w:tcPr>
          <w:p w14:paraId="06DFA9C9" w14:textId="77777777" w:rsidR="009D0006" w:rsidRPr="005C50EF" w:rsidRDefault="009D0006" w:rsidP="00242D69">
            <w:pPr>
              <w:pStyle w:val="Tableheader"/>
            </w:pPr>
            <w:r w:rsidRPr="005C50EF">
              <w:t>%</w:t>
            </w:r>
          </w:p>
        </w:tc>
      </w:tr>
      <w:tr w:rsidR="009D0006" w:rsidRPr="008D09B0" w14:paraId="133F4DF5" w14:textId="77777777" w:rsidTr="00242D69">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73A7B8DF" w14:textId="77777777" w:rsidR="009D0006" w:rsidRPr="008D09B0" w:rsidRDefault="009D0006" w:rsidP="00242D69">
            <w:pPr>
              <w:pStyle w:val="Tabletext"/>
              <w:rPr>
                <w:lang w:val="en-US"/>
              </w:rPr>
            </w:pPr>
            <w:r w:rsidRPr="008D09B0">
              <w:t>I feel like I am included within the LGBTIQA+ community</w:t>
            </w:r>
          </w:p>
        </w:tc>
        <w:tc>
          <w:tcPr>
            <w:tcW w:w="1559" w:type="dxa"/>
          </w:tcPr>
          <w:p w14:paraId="046C3AFA" w14:textId="77777777" w:rsidR="009D0006" w:rsidRPr="008D09B0" w:rsidRDefault="009D0006" w:rsidP="00242D69">
            <w:pPr>
              <w:pStyle w:val="Tabletext"/>
            </w:pPr>
            <w:r w:rsidRPr="008D09B0">
              <w:t>67</w:t>
            </w:r>
          </w:p>
        </w:tc>
        <w:tc>
          <w:tcPr>
            <w:tcW w:w="1559" w:type="dxa"/>
          </w:tcPr>
          <w:p w14:paraId="471F34F4" w14:textId="77777777" w:rsidR="009D0006" w:rsidRPr="008D09B0" w:rsidRDefault="009D0006" w:rsidP="00242D69">
            <w:pPr>
              <w:pStyle w:val="Tabletext"/>
            </w:pPr>
            <w:r w:rsidRPr="008D09B0">
              <w:t>52.8</w:t>
            </w:r>
          </w:p>
        </w:tc>
      </w:tr>
      <w:tr w:rsidR="009D0006" w:rsidRPr="008D09B0" w14:paraId="3616BA46" w14:textId="77777777" w:rsidTr="00242D69">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7E9E7742" w14:textId="77777777" w:rsidR="009D0006" w:rsidRPr="008D09B0" w:rsidRDefault="009D0006" w:rsidP="00242D69">
            <w:pPr>
              <w:pStyle w:val="Tabletext"/>
              <w:rPr>
                <w:lang w:val="en-US"/>
              </w:rPr>
            </w:pPr>
            <w:r w:rsidRPr="008D09B0">
              <w:t>I feel like</w:t>
            </w:r>
            <w:r w:rsidRPr="008D09B0">
              <w:lastRenderedPageBreak/>
              <w:t xml:space="preserve"> the voices of LGBTIQ+ people with disabilities are heard and understood</w:t>
            </w:r>
          </w:p>
        </w:tc>
        <w:tc>
          <w:tcPr>
            <w:tcW w:w="1559" w:type="dxa"/>
          </w:tcPr>
          <w:p w14:paraId="20521537" w14:textId="77777777" w:rsidR="009D0006" w:rsidRPr="008D09B0" w:rsidRDefault="009D0006" w:rsidP="00242D69">
            <w:pPr>
              <w:pStyle w:val="Tabletext"/>
            </w:pPr>
            <w:r w:rsidRPr="008D09B0">
              <w:t>43</w:t>
            </w:r>
          </w:p>
        </w:tc>
        <w:tc>
          <w:tcPr>
            <w:tcW w:w="1559" w:type="dxa"/>
          </w:tcPr>
          <w:p w14:paraId="0804AABD" w14:textId="77777777" w:rsidR="009D0006" w:rsidRPr="008D09B0" w:rsidRDefault="009D0006" w:rsidP="00242D69">
            <w:pPr>
              <w:pStyle w:val="Tabletext"/>
            </w:pPr>
            <w:r w:rsidRPr="008D09B0">
              <w:t>33.6</w:t>
            </w:r>
          </w:p>
        </w:tc>
      </w:tr>
      <w:tr w:rsidR="009D0006" w:rsidRPr="008D09B0" w14:paraId="07182516" w14:textId="77777777" w:rsidTr="00242D69">
        <w:trPr>
          <w:cnfStyle w:val="000000100000" w:firstRow="0" w:lastRow="0" w:firstColumn="0" w:lastColumn="0" w:oddVBand="0" w:evenVBand="0" w:oddHBand="1" w:evenHBand="0" w:firstRowFirstColumn="0" w:firstRowLastColumn="0" w:lastRowFirstColumn="0" w:lastRowLastColumn="0"/>
          <w:trHeight w:val="340"/>
        </w:trPr>
        <w:tc>
          <w:tcPr>
            <w:tcW w:w="6746" w:type="dxa"/>
            <w:noWrap/>
          </w:tcPr>
          <w:p w14:paraId="20F4F050" w14:textId="77777777" w:rsidR="009D0006" w:rsidRPr="008D09B0" w:rsidRDefault="009D0006" w:rsidP="00242D69">
            <w:pPr>
              <w:pStyle w:val="Tabletext"/>
              <w:rPr>
                <w:lang w:val="en-US"/>
              </w:rPr>
            </w:pPr>
            <w:r w:rsidRPr="008D09B0">
              <w:t>I feel like my LGBTIQA+ identity is supported by my peers with disabilities</w:t>
            </w:r>
          </w:p>
        </w:tc>
        <w:tc>
          <w:tcPr>
            <w:tcW w:w="1559" w:type="dxa"/>
          </w:tcPr>
          <w:p w14:paraId="6FB40194" w14:textId="77777777" w:rsidR="009D0006" w:rsidRPr="008D09B0" w:rsidRDefault="009D0006" w:rsidP="00242D69">
            <w:pPr>
              <w:pStyle w:val="Tabletext"/>
            </w:pPr>
            <w:r w:rsidRPr="008D09B0">
              <w:t>53</w:t>
            </w:r>
          </w:p>
        </w:tc>
        <w:tc>
          <w:tcPr>
            <w:tcW w:w="1559" w:type="dxa"/>
          </w:tcPr>
          <w:p w14:paraId="67AD86C5" w14:textId="77777777" w:rsidR="009D0006" w:rsidRPr="008D09B0" w:rsidRDefault="009D0006" w:rsidP="00242D69">
            <w:pPr>
              <w:pStyle w:val="Tabletext"/>
            </w:pPr>
            <w:r w:rsidRPr="008D09B0">
              <w:t>46.5</w:t>
            </w:r>
          </w:p>
        </w:tc>
      </w:tr>
      <w:tr w:rsidR="009D0006" w:rsidRPr="008D09B0" w14:paraId="67E5F134" w14:textId="77777777" w:rsidTr="00242D69">
        <w:trPr>
          <w:cnfStyle w:val="000000010000" w:firstRow="0" w:lastRow="0" w:firstColumn="0" w:lastColumn="0" w:oddVBand="0" w:evenVBand="0" w:oddHBand="0" w:evenHBand="1" w:firstRowFirstColumn="0" w:firstRowLastColumn="0" w:lastRowFirstColumn="0" w:lastRowLastColumn="0"/>
          <w:trHeight w:val="340"/>
        </w:trPr>
        <w:tc>
          <w:tcPr>
            <w:tcW w:w="6746" w:type="dxa"/>
            <w:noWrap/>
          </w:tcPr>
          <w:p w14:paraId="44537796" w14:textId="77777777" w:rsidR="009D0006" w:rsidRPr="008D09B0" w:rsidRDefault="009D0006" w:rsidP="00242D69">
            <w:pPr>
              <w:pStyle w:val="Tabletext"/>
              <w:rPr>
                <w:lang w:val="en-US"/>
              </w:rPr>
            </w:pPr>
            <w:r w:rsidRPr="008D09B0">
              <w:t>I feel like my LGBTIQA+ identity is supported by the NDIS or disability support providers</w:t>
            </w:r>
          </w:p>
        </w:tc>
        <w:tc>
          <w:tcPr>
            <w:tcW w:w="1559" w:type="dxa"/>
          </w:tcPr>
          <w:p w14:paraId="511F90FB" w14:textId="77777777" w:rsidR="009D0006" w:rsidRPr="008D09B0" w:rsidRDefault="009D0006" w:rsidP="00242D69">
            <w:pPr>
              <w:pStyle w:val="Tabletext"/>
            </w:pPr>
            <w:r w:rsidRPr="008D09B0">
              <w:t>24</w:t>
            </w:r>
          </w:p>
        </w:tc>
        <w:tc>
          <w:tcPr>
            <w:tcW w:w="1559" w:type="dxa"/>
          </w:tcPr>
          <w:p w14:paraId="4309BEB5" w14:textId="77777777" w:rsidR="009D0006" w:rsidRPr="008D09B0" w:rsidRDefault="009D0006" w:rsidP="00242D69">
            <w:pPr>
              <w:pStyle w:val="Tabletext"/>
            </w:pPr>
            <w:r w:rsidRPr="008D09B0">
              <w:t>25.3</w:t>
            </w:r>
          </w:p>
        </w:tc>
      </w:tr>
    </w:tbl>
    <w:p w14:paraId="7B6354B8" w14:textId="77777777" w:rsidR="009D0006" w:rsidRDefault="009D0006" w:rsidP="00242D69">
      <w:pPr>
        <w:pStyle w:val="Tableheading"/>
        <w:rPr>
          <w:lang w:val="en-GB"/>
        </w:rPr>
      </w:pPr>
      <w:r>
        <w:rPr>
          <w:lang w:val="en-GB"/>
        </w:rPr>
        <w:t>Table 82.5 Physical or sensory</w:t>
      </w:r>
    </w:p>
    <w:tbl>
      <w:tblPr>
        <w:tblStyle w:val="RCTable"/>
        <w:tblW w:w="20238" w:type="dxa"/>
        <w:tblInd w:w="-23" w:type="dxa"/>
        <w:tblLayout w:type="fixed"/>
        <w:tblLook w:val="04A0" w:firstRow="1" w:lastRow="0" w:firstColumn="1" w:lastColumn="0" w:noHBand="0" w:noVBand="1"/>
      </w:tblPr>
      <w:tblGrid>
        <w:gridCol w:w="6746"/>
        <w:gridCol w:w="1559"/>
        <w:gridCol w:w="1559"/>
        <w:gridCol w:w="3628"/>
        <w:gridCol w:w="6746"/>
      </w:tblGrid>
      <w:tr w:rsidR="009D0006" w:rsidRPr="00C64873" w14:paraId="67E17093" w14:textId="77777777" w:rsidTr="004D30E1">
        <w:trPr>
          <w:gridAfter w:val="2"/>
          <w:cnfStyle w:val="100000000000" w:firstRow="1" w:lastRow="0" w:firstColumn="0" w:lastColumn="0" w:oddVBand="0" w:evenVBand="0" w:oddHBand="0" w:evenHBand="0" w:firstRowFirstColumn="0" w:firstRowLastColumn="0" w:lastRowFirstColumn="0" w:lastRowLastColumn="0"/>
          <w:wAfter w:w="10374" w:type="dxa"/>
          <w:trHeight w:val="635"/>
        </w:trPr>
        <w:tc>
          <w:tcPr>
            <w:tcW w:w="6746" w:type="dxa"/>
            <w:noWrap/>
          </w:tcPr>
          <w:p w14:paraId="2CB60836" w14:textId="77777777" w:rsidR="009D0006" w:rsidRPr="009A13C3" w:rsidRDefault="009D0006" w:rsidP="00254922">
            <w:pPr>
              <w:pStyle w:val="Tableheader"/>
              <w:rPr>
                <w:lang w:val="en-US"/>
              </w:rPr>
            </w:pPr>
            <w:r w:rsidRPr="009A13C3">
              <w:t>Inclusion within LGBTIQA+ communities</w:t>
            </w:r>
          </w:p>
        </w:tc>
        <w:tc>
          <w:tcPr>
            <w:tcW w:w="1559" w:type="dxa"/>
          </w:tcPr>
          <w:p w14:paraId="5E65D2B6" w14:textId="77777777" w:rsidR="009D0006" w:rsidRPr="005C50EF" w:rsidRDefault="009D0006" w:rsidP="00254922">
            <w:pPr>
              <w:pStyle w:val="Tableheader"/>
            </w:pPr>
            <w:r w:rsidRPr="005C50EF">
              <w:t>n</w:t>
            </w:r>
          </w:p>
        </w:tc>
        <w:tc>
          <w:tcPr>
            <w:tcW w:w="1559" w:type="dxa"/>
          </w:tcPr>
          <w:p w14:paraId="03517AD2" w14:textId="77777777" w:rsidR="009D0006" w:rsidRPr="005C50EF" w:rsidRDefault="009D0006" w:rsidP="00254922">
            <w:pPr>
              <w:pStyle w:val="Tableheader"/>
            </w:pPr>
            <w:r w:rsidRPr="005C50EF">
              <w:t>%</w:t>
            </w:r>
          </w:p>
        </w:tc>
      </w:tr>
      <w:tr w:rsidR="009D0006" w:rsidRPr="008D09B0" w14:paraId="5362C334" w14:textId="77777777" w:rsidTr="004D30E1">
        <w:trPr>
          <w:gridAfter w:val="2"/>
          <w:cnfStyle w:val="000000100000" w:firstRow="0" w:lastRow="0" w:firstColumn="0" w:lastColumn="0" w:oddVBand="0" w:evenVBand="0" w:oddHBand="1" w:evenHBand="0" w:firstRowFirstColumn="0" w:firstRowLastColumn="0" w:lastRowFirstColumn="0" w:lastRowLastColumn="0"/>
          <w:wAfter w:w="10374" w:type="dxa"/>
          <w:trHeight w:val="635"/>
        </w:trPr>
        <w:tc>
          <w:tcPr>
            <w:tcW w:w="6746" w:type="dxa"/>
            <w:noWrap/>
          </w:tcPr>
          <w:p w14:paraId="4EA8B0A3" w14:textId="77777777" w:rsidR="009D0006" w:rsidRPr="008D09B0" w:rsidRDefault="009D0006" w:rsidP="00254922">
            <w:pPr>
              <w:pStyle w:val="Tabletext"/>
              <w:rPr>
                <w:lang w:val="en-US"/>
              </w:rPr>
            </w:pPr>
            <w:r w:rsidRPr="008D09B0">
              <w:t>I feel like I am included within the LGBTIQA+ community</w:t>
            </w:r>
          </w:p>
        </w:tc>
        <w:tc>
          <w:tcPr>
            <w:tcW w:w="1559" w:type="dxa"/>
          </w:tcPr>
          <w:p w14:paraId="388D4A03" w14:textId="77777777" w:rsidR="009D0006" w:rsidRPr="008D09B0" w:rsidRDefault="009D0006" w:rsidP="00254922">
            <w:pPr>
              <w:pStyle w:val="Tabletext"/>
            </w:pPr>
            <w:r w:rsidRPr="008D09B0">
              <w:t>402</w:t>
            </w:r>
          </w:p>
        </w:tc>
        <w:tc>
          <w:tcPr>
            <w:tcW w:w="1559" w:type="dxa"/>
          </w:tcPr>
          <w:p w14:paraId="1F5D250A" w14:textId="77777777" w:rsidR="009D0006" w:rsidRPr="008D09B0" w:rsidRDefault="009D0006" w:rsidP="00254922">
            <w:pPr>
              <w:pStyle w:val="Tabletext"/>
            </w:pPr>
            <w:r w:rsidRPr="008D09B0">
              <w:t>56.7</w:t>
            </w:r>
          </w:p>
        </w:tc>
      </w:tr>
      <w:tr w:rsidR="009D0006" w:rsidRPr="008D09B0" w14:paraId="5420AFB1" w14:textId="77777777" w:rsidTr="004D30E1">
        <w:trPr>
          <w:gridAfter w:val="2"/>
          <w:cnfStyle w:val="000000010000" w:firstRow="0" w:lastRow="0" w:firstColumn="0" w:lastColumn="0" w:oddVBand="0" w:evenVBand="0" w:oddHBand="0" w:evenHBand="1" w:firstRowFirstColumn="0" w:firstRowLastColumn="0" w:lastRowFirstColumn="0" w:lastRowLastColumn="0"/>
          <w:wAfter w:w="10374" w:type="dxa"/>
          <w:trHeight w:val="635"/>
        </w:trPr>
        <w:tc>
          <w:tcPr>
            <w:tcW w:w="6746" w:type="dxa"/>
            <w:noWrap/>
          </w:tcPr>
          <w:p w14:paraId="0EE7822D" w14:textId="77777777" w:rsidR="009D0006" w:rsidRPr="008D09B0" w:rsidRDefault="009D0006" w:rsidP="00254922">
            <w:pPr>
              <w:pStyle w:val="Tabletext"/>
              <w:rPr>
                <w:lang w:val="en-US"/>
              </w:rPr>
            </w:pPr>
            <w:r w:rsidRPr="008D09B0">
              <w:t>I feel like the voices of LGBTIQ+ people with disabilities are heard and understood</w:t>
            </w:r>
          </w:p>
        </w:tc>
        <w:tc>
          <w:tcPr>
            <w:tcW w:w="1559" w:type="dxa"/>
          </w:tcPr>
          <w:p w14:paraId="6279BB7B" w14:textId="77777777" w:rsidR="009D0006" w:rsidRPr="008D09B0" w:rsidRDefault="009D0006" w:rsidP="00254922">
            <w:pPr>
              <w:pStyle w:val="Tabletext"/>
            </w:pPr>
            <w:r w:rsidRPr="008D09B0">
              <w:t>181</w:t>
            </w:r>
          </w:p>
        </w:tc>
        <w:tc>
          <w:tcPr>
            <w:tcW w:w="1559" w:type="dxa"/>
          </w:tcPr>
          <w:p w14:paraId="731A544B" w14:textId="77777777" w:rsidR="009D0006" w:rsidRPr="008D09B0" w:rsidRDefault="009D0006" w:rsidP="00254922">
            <w:pPr>
              <w:pStyle w:val="Tabletext"/>
            </w:pPr>
            <w:r w:rsidRPr="008D09B0">
              <w:t>25.9</w:t>
            </w:r>
          </w:p>
        </w:tc>
      </w:tr>
      <w:tr w:rsidR="009D0006" w:rsidRPr="008D09B0" w14:paraId="1078C08B" w14:textId="77777777" w:rsidTr="004D30E1">
        <w:trPr>
          <w:gridAfter w:val="2"/>
          <w:cnfStyle w:val="000000100000" w:firstRow="0" w:lastRow="0" w:firstColumn="0" w:lastColumn="0" w:oddVBand="0" w:evenVBand="0" w:oddHBand="1" w:evenHBand="0" w:firstRowFirstColumn="0" w:firstRowLastColumn="0" w:lastRowFirstColumn="0" w:lastRowLastColumn="0"/>
          <w:wAfter w:w="10374" w:type="dxa"/>
          <w:trHeight w:val="635"/>
        </w:trPr>
        <w:tc>
          <w:tcPr>
            <w:tcW w:w="6746" w:type="dxa"/>
            <w:noWrap/>
          </w:tcPr>
          <w:p w14:paraId="0500E941" w14:textId="77777777" w:rsidR="009D0006" w:rsidRPr="008D09B0" w:rsidRDefault="009D0006" w:rsidP="00254922">
            <w:pPr>
              <w:pStyle w:val="Tabletext"/>
              <w:rPr>
                <w:lang w:val="en-US"/>
              </w:rPr>
            </w:pPr>
            <w:r w:rsidRPr="008D09B0">
              <w:t>I feel like my LGBTIQA+ identity is supported by my peers with disabilities</w:t>
            </w:r>
          </w:p>
        </w:tc>
        <w:tc>
          <w:tcPr>
            <w:tcW w:w="1559" w:type="dxa"/>
          </w:tcPr>
          <w:p w14:paraId="0F010ED3" w14:textId="77777777" w:rsidR="009D0006" w:rsidRPr="008D09B0" w:rsidRDefault="009D0006" w:rsidP="00254922">
            <w:pPr>
              <w:pStyle w:val="Tabletext"/>
            </w:pPr>
            <w:r w:rsidRPr="008D09B0">
              <w:t>346</w:t>
            </w:r>
          </w:p>
        </w:tc>
        <w:tc>
          <w:tcPr>
            <w:tcW w:w="1559" w:type="dxa"/>
          </w:tcPr>
          <w:p w14:paraId="36A26E93" w14:textId="77777777" w:rsidR="009D0006" w:rsidRPr="008D09B0" w:rsidRDefault="009D0006" w:rsidP="00254922">
            <w:pPr>
              <w:pStyle w:val="Tabletext"/>
            </w:pPr>
            <w:r w:rsidRPr="008D09B0">
              <w:t>56.0</w:t>
            </w:r>
          </w:p>
        </w:tc>
      </w:tr>
      <w:tr w:rsidR="009D0006" w:rsidRPr="008D09B0" w14:paraId="2FF71183" w14:textId="77777777" w:rsidTr="004D30E1">
        <w:trPr>
          <w:cnfStyle w:val="000000010000" w:firstRow="0" w:lastRow="0" w:firstColumn="0" w:lastColumn="0" w:oddVBand="0" w:evenVBand="0" w:oddHBand="0" w:evenHBand="1" w:firstRowFirstColumn="0" w:firstRowLastColumn="0" w:lastRowFirstColumn="0" w:lastRowLastColumn="0"/>
          <w:trHeight w:val="635"/>
        </w:trPr>
        <w:tc>
          <w:tcPr>
            <w:tcW w:w="6746" w:type="dxa"/>
            <w:noWrap/>
          </w:tcPr>
          <w:p w14:paraId="037F3E63" w14:textId="77777777" w:rsidR="009D0006" w:rsidRPr="008D09B0" w:rsidRDefault="009D0006" w:rsidP="00254922">
            <w:pPr>
              <w:pStyle w:val="Tabletext"/>
              <w:rPr>
                <w:lang w:val="en-US"/>
              </w:rPr>
            </w:pPr>
            <w:r w:rsidRPr="008D09B0">
              <w:t>I feel like my LGBTIQA+ identity is supported by the NDIS or disability support providers</w:t>
            </w:r>
          </w:p>
        </w:tc>
        <w:tc>
          <w:tcPr>
            <w:tcW w:w="6746" w:type="dxa"/>
            <w:gridSpan w:val="3"/>
          </w:tcPr>
          <w:p w14:paraId="4388FDAF" w14:textId="77777777" w:rsidR="009D0006" w:rsidRPr="008D09B0" w:rsidRDefault="009D0006" w:rsidP="00254922">
            <w:pPr>
              <w:pStyle w:val="Tabletext"/>
            </w:pPr>
            <w:r w:rsidRPr="008D09B0">
              <w:t>102</w:t>
            </w:r>
          </w:p>
        </w:tc>
        <w:tc>
          <w:tcPr>
            <w:tcW w:w="6746" w:type="dxa"/>
          </w:tcPr>
          <w:p w14:paraId="7978F25F" w14:textId="77777777" w:rsidR="009D0006" w:rsidRPr="008D09B0" w:rsidRDefault="009D0006" w:rsidP="00153892">
            <w:pPr>
              <w:pStyle w:val="Tabletext"/>
            </w:pPr>
            <w:r w:rsidRPr="008D09B0">
              <w:t>20.8</w:t>
            </w:r>
          </w:p>
        </w:tc>
      </w:tr>
    </w:tbl>
    <w:p w14:paraId="33B84BCB" w14:textId="77777777" w:rsidR="009D0006" w:rsidRPr="00302CAA" w:rsidRDefault="009D0006" w:rsidP="00254922">
      <w:pPr>
        <w:pStyle w:val="Tableheading"/>
      </w:pPr>
      <w:r>
        <w:rPr>
          <w:lang w:val="en-GB"/>
        </w:rPr>
        <w:t>Table 82.6 Mental health condition</w:t>
      </w:r>
    </w:p>
    <w:tbl>
      <w:tblPr>
        <w:tblStyle w:val="RCTable"/>
        <w:tblW w:w="9864" w:type="dxa"/>
        <w:tblLayout w:type="fixed"/>
        <w:tblLook w:val="04A0" w:firstRow="1" w:lastRow="0" w:firstColumn="1" w:lastColumn="0" w:noHBand="0" w:noVBand="1"/>
      </w:tblPr>
      <w:tblGrid>
        <w:gridCol w:w="6746"/>
        <w:gridCol w:w="1559"/>
        <w:gridCol w:w="1559"/>
      </w:tblGrid>
      <w:tr w:rsidR="009D0006" w:rsidRPr="00C64873" w14:paraId="3E54AA2E" w14:textId="77777777" w:rsidTr="00254922">
        <w:trPr>
          <w:cnfStyle w:val="100000000000" w:firstRow="1" w:lastRow="0" w:firstColumn="0" w:lastColumn="0" w:oddVBand="0" w:evenVBand="0" w:oddHBand="0" w:evenHBand="0" w:firstRowFirstColumn="0" w:firstRowLastColumn="0" w:lastRowFirstColumn="0" w:lastRowLastColumn="0"/>
          <w:trHeight w:val="331"/>
        </w:trPr>
        <w:tc>
          <w:tcPr>
            <w:tcW w:w="6746" w:type="dxa"/>
            <w:noWrap/>
          </w:tcPr>
          <w:p w14:paraId="404075AD" w14:textId="77777777" w:rsidR="009D0006" w:rsidRPr="009A13C3" w:rsidRDefault="009D0006" w:rsidP="00254922">
            <w:pPr>
              <w:pStyle w:val="Tableheader"/>
              <w:rPr>
                <w:lang w:val="en-US"/>
              </w:rPr>
            </w:pPr>
            <w:r w:rsidRPr="009A13C3">
              <w:t>Inclusion within LGBTIQA+ communities</w:t>
            </w:r>
          </w:p>
        </w:tc>
        <w:tc>
          <w:tcPr>
            <w:tcW w:w="1559" w:type="dxa"/>
          </w:tcPr>
          <w:p w14:paraId="03EF39E7" w14:textId="77777777" w:rsidR="009D0006" w:rsidRPr="005C50EF" w:rsidRDefault="009D0006" w:rsidP="00254922">
            <w:pPr>
              <w:pStyle w:val="Tableheader"/>
            </w:pPr>
            <w:r w:rsidRPr="005C50EF">
              <w:t>n</w:t>
            </w:r>
          </w:p>
        </w:tc>
        <w:tc>
          <w:tcPr>
            <w:tcW w:w="1559" w:type="dxa"/>
          </w:tcPr>
          <w:p w14:paraId="0B8D1469" w14:textId="77777777" w:rsidR="009D0006" w:rsidRPr="005C50EF" w:rsidRDefault="009D0006" w:rsidP="00254922">
            <w:pPr>
              <w:pStyle w:val="Tableheader"/>
            </w:pPr>
            <w:r w:rsidRPr="005C50EF">
              <w:t>%</w:t>
            </w:r>
          </w:p>
        </w:tc>
      </w:tr>
      <w:tr w:rsidR="009D0006" w:rsidRPr="008D09B0" w14:paraId="7FF5EC02" w14:textId="77777777" w:rsidTr="00254922">
        <w:trPr>
          <w:cnfStyle w:val="000000100000" w:firstRow="0" w:lastRow="0" w:firstColumn="0" w:lastColumn="0" w:oddVBand="0" w:evenVBand="0" w:oddHBand="1" w:evenHBand="0" w:firstRowFirstColumn="0" w:firstRowLastColumn="0" w:lastRowFirstColumn="0" w:lastRowLastColumn="0"/>
          <w:trHeight w:val="331"/>
        </w:trPr>
        <w:tc>
          <w:tcPr>
            <w:tcW w:w="6746" w:type="dxa"/>
            <w:noWrap/>
          </w:tcPr>
          <w:p w14:paraId="51117CBA" w14:textId="77777777" w:rsidR="009D0006" w:rsidRPr="008D09B0" w:rsidRDefault="009D0006" w:rsidP="00254922">
            <w:pPr>
              <w:pStyle w:val="Tabletext"/>
              <w:rPr>
                <w:lang w:val="en-US"/>
              </w:rPr>
            </w:pPr>
            <w:r w:rsidRPr="008D09B0">
              <w:t>I feel like I am included within the LGBTIQA+ community</w:t>
            </w:r>
          </w:p>
        </w:tc>
        <w:tc>
          <w:tcPr>
            <w:tcW w:w="1559" w:type="dxa"/>
          </w:tcPr>
          <w:p w14:paraId="26EAD97E" w14:textId="77777777" w:rsidR="009D0006" w:rsidRPr="008D09B0" w:rsidRDefault="009D0006" w:rsidP="00254922">
            <w:pPr>
              <w:pStyle w:val="Tabletext"/>
            </w:pPr>
            <w:r w:rsidRPr="008D09B0">
              <w:t>571</w:t>
            </w:r>
          </w:p>
        </w:tc>
        <w:tc>
          <w:tcPr>
            <w:tcW w:w="1559" w:type="dxa"/>
          </w:tcPr>
          <w:p w14:paraId="1AA67C29" w14:textId="77777777" w:rsidR="009D0006" w:rsidRPr="008D09B0" w:rsidRDefault="009D0006" w:rsidP="00254922">
            <w:pPr>
              <w:pStyle w:val="Tabletext"/>
            </w:pPr>
            <w:r w:rsidRPr="008D09B0">
              <w:t>54.7</w:t>
            </w:r>
          </w:p>
        </w:tc>
      </w:tr>
      <w:tr w:rsidR="009D0006" w:rsidRPr="008D09B0" w14:paraId="4E6BC8E5" w14:textId="77777777" w:rsidTr="00254922">
        <w:trPr>
          <w:cnfStyle w:val="000000010000" w:firstRow="0" w:lastRow="0" w:firstColumn="0" w:lastColumn="0" w:oddVBand="0" w:evenVBand="0" w:oddHBand="0" w:evenHBand="1" w:firstRowFirstColumn="0" w:firstRowLastColumn="0" w:lastRowFirstColumn="0" w:lastRowLastColumn="0"/>
          <w:trHeight w:val="331"/>
        </w:trPr>
        <w:tc>
          <w:tcPr>
            <w:tcW w:w="6746" w:type="dxa"/>
            <w:noWrap/>
          </w:tcPr>
          <w:p w14:paraId="186C14FF" w14:textId="77777777" w:rsidR="009D0006" w:rsidRPr="008D09B0" w:rsidRDefault="009D0006" w:rsidP="00254922">
            <w:pPr>
              <w:pStyle w:val="Tabletext"/>
              <w:rPr>
                <w:lang w:val="en-US"/>
              </w:rPr>
            </w:pPr>
            <w:r w:rsidRPr="008D09B0">
              <w:t>I feel like the voices of LGBTIQ+ people with disabilities are heard and understood</w:t>
            </w:r>
          </w:p>
        </w:tc>
        <w:tc>
          <w:tcPr>
            <w:tcW w:w="1559" w:type="dxa"/>
          </w:tcPr>
          <w:p w14:paraId="056E2F51" w14:textId="77777777" w:rsidR="009D0006" w:rsidRPr="008D09B0" w:rsidRDefault="009D0006" w:rsidP="00254922">
            <w:pPr>
              <w:pStyle w:val="Tabletext"/>
            </w:pPr>
            <w:r w:rsidRPr="008D09B0">
              <w:t>302</w:t>
            </w:r>
          </w:p>
        </w:tc>
        <w:tc>
          <w:tcPr>
            <w:tcW w:w="1559" w:type="dxa"/>
          </w:tcPr>
          <w:p w14:paraId="6F19DE23" w14:textId="77777777" w:rsidR="009D0006" w:rsidRPr="008D09B0" w:rsidRDefault="009D0006" w:rsidP="00254922">
            <w:pPr>
              <w:pStyle w:val="Tabletext"/>
            </w:pPr>
            <w:r w:rsidRPr="008D09B0">
              <w:t>29.6</w:t>
            </w:r>
          </w:p>
        </w:tc>
      </w:tr>
      <w:tr w:rsidR="009D0006" w:rsidRPr="008D09B0" w14:paraId="7EB66BC0" w14:textId="77777777" w:rsidTr="00254922">
        <w:trPr>
          <w:cnfStyle w:val="000000100000" w:firstRow="0" w:lastRow="0" w:firstColumn="0" w:lastColumn="0" w:oddVBand="0" w:evenVBand="0" w:oddHBand="1" w:evenHBand="0" w:firstRowFirstColumn="0" w:firstRowLastColumn="0" w:lastRowFirstColumn="0" w:lastRowLastColumn="0"/>
          <w:trHeight w:val="331"/>
        </w:trPr>
        <w:tc>
          <w:tcPr>
            <w:tcW w:w="6746" w:type="dxa"/>
            <w:noWrap/>
          </w:tcPr>
          <w:p w14:paraId="1806CD7D" w14:textId="77777777" w:rsidR="009D0006" w:rsidRPr="008D09B0" w:rsidRDefault="009D0006" w:rsidP="00254922">
            <w:pPr>
              <w:pStyle w:val="Tabletext"/>
              <w:rPr>
                <w:lang w:val="en-US"/>
              </w:rPr>
            </w:pPr>
            <w:r w:rsidRPr="008D09B0">
              <w:t>I feel like my LGBTIQA+ identity is supported by my peers with disabilities</w:t>
            </w:r>
          </w:p>
        </w:tc>
        <w:tc>
          <w:tcPr>
            <w:tcW w:w="1559" w:type="dxa"/>
          </w:tcPr>
          <w:p w14:paraId="5805F526" w14:textId="77777777" w:rsidR="009D0006" w:rsidRPr="008D09B0" w:rsidRDefault="009D0006" w:rsidP="00254922">
            <w:pPr>
              <w:pStyle w:val="Tabletext"/>
            </w:pPr>
            <w:r w:rsidRPr="008D09B0">
              <w:t>545</w:t>
            </w:r>
          </w:p>
        </w:tc>
        <w:tc>
          <w:tcPr>
            <w:tcW w:w="1559" w:type="dxa"/>
          </w:tcPr>
          <w:p w14:paraId="779A8A3E" w14:textId="77777777" w:rsidR="009D0006" w:rsidRPr="008D09B0" w:rsidRDefault="009D0006" w:rsidP="00254922">
            <w:pPr>
              <w:pStyle w:val="Tabletext"/>
            </w:pPr>
            <w:r w:rsidRPr="008D09B0">
              <w:t>60.1</w:t>
            </w:r>
          </w:p>
        </w:tc>
      </w:tr>
      <w:tr w:rsidR="009D0006" w:rsidRPr="008D09B0" w14:paraId="7BF6030C" w14:textId="77777777" w:rsidTr="00254922">
        <w:trPr>
          <w:cnfStyle w:val="000000010000" w:firstRow="0" w:lastRow="0" w:firstColumn="0" w:lastColumn="0" w:oddVBand="0" w:evenVBand="0" w:oddHBand="0" w:evenHBand="1" w:firstRowFirstColumn="0" w:firstRowLastColumn="0" w:lastRowFirstColumn="0" w:lastRowLastColumn="0"/>
          <w:trHeight w:val="331"/>
        </w:trPr>
        <w:tc>
          <w:tcPr>
            <w:tcW w:w="6746" w:type="dxa"/>
            <w:noWrap/>
          </w:tcPr>
          <w:p w14:paraId="37508F13" w14:textId="77777777" w:rsidR="009D0006" w:rsidRPr="008D09B0" w:rsidRDefault="009D0006" w:rsidP="00254922">
            <w:pPr>
              <w:pStyle w:val="Tabletext"/>
              <w:rPr>
                <w:lang w:val="en-US"/>
              </w:rPr>
            </w:pPr>
            <w:r w:rsidRPr="008D09B0">
              <w:t>I feel like my LGBTIQA+ identity is supported by the NDIS or disability support providers</w:t>
            </w:r>
          </w:p>
        </w:tc>
        <w:tc>
          <w:tcPr>
            <w:tcW w:w="1559" w:type="dxa"/>
          </w:tcPr>
          <w:p w14:paraId="288D9C27" w14:textId="77777777" w:rsidR="009D0006" w:rsidRPr="008D09B0" w:rsidRDefault="009D0006" w:rsidP="00254922">
            <w:pPr>
              <w:pStyle w:val="Tabletext"/>
            </w:pPr>
            <w:r w:rsidRPr="008D09B0">
              <w:t>172</w:t>
            </w:r>
          </w:p>
        </w:tc>
        <w:tc>
          <w:tcPr>
            <w:tcW w:w="1559" w:type="dxa"/>
          </w:tcPr>
          <w:p w14:paraId="5BAC4C3F" w14:textId="77777777" w:rsidR="009D0006" w:rsidRPr="008D09B0" w:rsidRDefault="009D0006" w:rsidP="00254922">
            <w:pPr>
              <w:pStyle w:val="Tabletext"/>
            </w:pPr>
            <w:r w:rsidRPr="008D09B0">
              <w:t>25.1</w:t>
            </w:r>
          </w:p>
        </w:tc>
      </w:tr>
    </w:tbl>
    <w:p w14:paraId="27DFCE5C" w14:textId="77777777" w:rsidR="009D0006" w:rsidRPr="00254922" w:rsidRDefault="009D0006" w:rsidP="00254922">
      <w:pPr>
        <w:pStyle w:val="TableTextNotebelow"/>
        <w:rPr>
          <w:i/>
          <w:lang w:val="en-GB" w:eastAsia="ja-JP"/>
        </w:rPr>
      </w:pPr>
      <w:r w:rsidRPr="00254922">
        <w:rPr>
          <w:rFonts w:cs="Arial"/>
          <w:i/>
          <w:lang w:val="en-GB"/>
        </w:rPr>
        <w:t xml:space="preserve">* </w:t>
      </w:r>
      <w:r w:rsidRPr="00254922">
        <w:rPr>
          <w:i/>
          <w:lang w:val="en-GB"/>
        </w:rPr>
        <w:t xml:space="preserve">In order to be more comparable with general population data, ‘any disability’ does not include participants who only reported ‘mental illness’ and no other disability or long-term health condition. </w:t>
      </w:r>
    </w:p>
    <w:p w14:paraId="203879E2" w14:textId="77777777" w:rsidR="009D0006" w:rsidRDefault="009D0006" w:rsidP="00184CF2">
      <w:pPr>
        <w:spacing w:before="360"/>
      </w:pPr>
      <w:r>
        <w:t>As shown in Tables 82.1-82.6, a</w:t>
      </w:r>
      <w:r w:rsidRPr="0059690F">
        <w:t xml:space="preserve">mong </w:t>
      </w:r>
      <w:r>
        <w:t>young people aged 14-21 years</w:t>
      </w:r>
      <w:r w:rsidRPr="0059690F">
        <w:t xml:space="preserve"> with disability in </w:t>
      </w:r>
      <w:r w:rsidRPr="0059690F">
        <w:rPr>
          <w:i/>
          <w:iCs/>
        </w:rPr>
        <w:t>Writing Themselves In 4</w:t>
      </w:r>
      <w:r w:rsidRPr="0059690F">
        <w:t>, over half felt that they were included within the LGBTIQA+ community (57.3%; n = 808). Less than on</w:t>
      </w:r>
      <w:r>
        <w:t>e</w:t>
      </w:r>
      <w:r w:rsidRPr="0059690F">
        <w:t xml:space="preserve">-third felt that the voices of LGBTIQA+ people with disabilities are heard or understood (17.2%; n = 378), a little over half felt that their LGBTIQA+ identity is supported by their peers with disabilities (55.3%; n = 692) and </w:t>
      </w:r>
      <w:r>
        <w:t xml:space="preserve">a </w:t>
      </w:r>
      <w:r w:rsidRPr="0059690F">
        <w:t>little more</w:t>
      </w:r>
      <w:r w:rsidRPr="0059690F">
        <w:lastRenderedPageBreak/>
        <w:t xml:space="preserve"> than one-fifth </w:t>
      </w:r>
      <w:r>
        <w:t>felt</w:t>
      </w:r>
      <w:r w:rsidRPr="0059690F">
        <w:t xml:space="preserve"> </w:t>
      </w:r>
      <w:r>
        <w:t>that</w:t>
      </w:r>
      <w:r w:rsidRPr="0059690F">
        <w:t xml:space="preserve"> </w:t>
      </w:r>
      <w:r>
        <w:t>their</w:t>
      </w:r>
      <w:r w:rsidRPr="0059690F">
        <w:t xml:space="preserve"> LGBTIQA+ identity is supported by the NDIS or disability support providers (21.5%; n = 211).</w:t>
      </w:r>
    </w:p>
    <w:p w14:paraId="31A88408" w14:textId="77777777" w:rsidR="009D0006" w:rsidRDefault="009D0006" w:rsidP="009D0006">
      <w:r>
        <w:t xml:space="preserve">Participants with autism/neurodiversity had the highest proportion who </w:t>
      </w:r>
      <w:r w:rsidRPr="006F47D9">
        <w:t>felt that they were included within the LGBTIQA+ community</w:t>
      </w:r>
      <w:r>
        <w:t xml:space="preserve"> (60.5%; n = 389). This was followed by participants with physical or sensory disability (56.7%; n = 402), participants with autism/neurodiversity and intellectual disability (56.3%; n = 116), participants with a mental health condition (54.7%; n = 571) and participants with intellectual disability (52.8%; n = 67).</w:t>
      </w:r>
    </w:p>
    <w:p w14:paraId="28DDF1D6" w14:textId="77777777" w:rsidR="009D0006" w:rsidRDefault="009D0006" w:rsidP="009D0006">
      <w:r>
        <w:t xml:space="preserve">Approximately one-third of participants with intellectual disability </w:t>
      </w:r>
      <w:r w:rsidRPr="006F47D9">
        <w:t>felt that the voices of LGBTIQA+ people with disabilities are heard or understood</w:t>
      </w:r>
      <w:r>
        <w:t xml:space="preserve"> (33.6%; n = 43). This was followed by participants with a mental health condition (29.6%; n = 302), participants with autism/neurodiversity (26.0%; n = 164), participants with physical or sensory disability (25.9%; n = 181) and participants with autism/neurodiversity and intellectual disability (23.0%; n = 47).</w:t>
      </w:r>
    </w:p>
    <w:p w14:paraId="65936ACB" w14:textId="77777777" w:rsidR="009D0006" w:rsidRDefault="009D0006" w:rsidP="009D0006">
      <w:r>
        <w:t xml:space="preserve">Participants with a mental health condition had the highest proportion who </w:t>
      </w:r>
      <w:r w:rsidRPr="006F47D9">
        <w:t>felt that their LGBTIQA+ identity is supported by their peers with disabilities</w:t>
      </w:r>
      <w:r>
        <w:t xml:space="preserve"> (60.1%; n = 545). This was followed by participants with autism/neurodiversity (59.3%; n = 339), participants with physical or sensory disability (56.0%; n = 346), participants with autism/neurodiversity and intellectual disability (50.0%; n = 95) and participants with intellectual disability (46.5%; n = 53).</w:t>
      </w:r>
    </w:p>
    <w:p w14:paraId="6374D598" w14:textId="4117297A" w:rsidR="00D74274" w:rsidRDefault="009D0006" w:rsidP="009D0006">
      <w:r>
        <w:t>Similar proportions of participants across the disability groupings felt that their</w:t>
      </w:r>
      <w:r w:rsidRPr="0059690F">
        <w:t xml:space="preserve"> LGBTIQA+ identity is supported by the NDIS or disability support providers</w:t>
      </w:r>
      <w:r>
        <w:t>.</w:t>
      </w:r>
      <w:r w:rsidRPr="0059690F">
        <w:t xml:space="preserve"> </w:t>
      </w:r>
      <w:r>
        <w:t xml:space="preserve">A little over one-fifth of those with an intellectual disability felt that their </w:t>
      </w:r>
      <w:r w:rsidRPr="0059690F">
        <w:t xml:space="preserve">LGBTIQA+ identity is supported by the NDIS or disability support providers </w:t>
      </w:r>
      <w:r>
        <w:t>(25.3%; n = 24), followed by participants with a mental health condition (25.1%; n = 172), participants with physical or sensory disability (20.8%; n = 102), participants with autism/neurodiversity (20.4%; n = 90) and participants with autism/neurodiversity and intellectual disability (19.9%; n = 30).</w:t>
      </w:r>
    </w:p>
    <w:p w14:paraId="309EF57A" w14:textId="77777777" w:rsidR="00D74274" w:rsidRDefault="00D74274">
      <w:pPr>
        <w:spacing w:before="0"/>
      </w:pPr>
      <w:r>
        <w:br w:type="page"/>
      </w:r>
    </w:p>
    <w:p w14:paraId="14331EFC" w14:textId="5F2DBD8F" w:rsidR="009D0006" w:rsidRPr="003C3C9C" w:rsidRDefault="009D0006" w:rsidP="006346CA">
      <w:pPr>
        <w:pStyle w:val="Heading2Numbered"/>
      </w:pPr>
      <w:bookmarkStart w:id="755" w:name="_Toc58252187"/>
      <w:bookmarkStart w:id="756" w:name="_Toc115968613"/>
      <w:bookmarkStart w:id="757" w:name="_Toc119662455"/>
      <w:r>
        <w:t>Summary</w:t>
      </w:r>
      <w:bookmarkEnd w:id="755"/>
      <w:r>
        <w:t xml:space="preserve"> and</w:t>
      </w:r>
      <w:r>
        <w:lastRenderedPageBreak/>
        <w:t xml:space="preserve"> relation to existing literature</w:t>
      </w:r>
      <w:bookmarkEnd w:id="756"/>
      <w:bookmarkEnd w:id="757"/>
    </w:p>
    <w:p w14:paraId="08385934" w14:textId="77777777" w:rsidR="009D0006" w:rsidRDefault="009D0006" w:rsidP="009D0006">
      <w:pPr>
        <w:rPr>
          <w:lang w:bidi="en-US"/>
        </w:rPr>
      </w:pPr>
      <w:r>
        <w:rPr>
          <w:lang w:bidi="en-US"/>
        </w:rPr>
        <w:t xml:space="preserve">A majority of adults aged 18+ years with disability reported that they felt part of LGBTIQ communities, although there were large proportions who did not feel this way. </w:t>
      </w:r>
      <w:r w:rsidRPr="6F35EF85">
        <w:rPr>
          <w:lang w:bidi="en-US"/>
        </w:rPr>
        <w:t xml:space="preserve">Among participants </w:t>
      </w:r>
      <w:r>
        <w:rPr>
          <w:lang w:bidi="en-US"/>
        </w:rPr>
        <w:t xml:space="preserve">aged 14-21 years </w:t>
      </w:r>
      <w:r w:rsidRPr="6F35EF85">
        <w:rPr>
          <w:lang w:bidi="en-US"/>
        </w:rPr>
        <w:t xml:space="preserve">with disability in </w:t>
      </w:r>
      <w:r w:rsidRPr="6F35EF85">
        <w:rPr>
          <w:i/>
          <w:iCs/>
          <w:lang w:bidi="en-US"/>
        </w:rPr>
        <w:t>Writing Themselves In 4</w:t>
      </w:r>
      <w:r w:rsidRPr="6F35EF85">
        <w:rPr>
          <w:lang w:bidi="en-US"/>
        </w:rPr>
        <w:t xml:space="preserve">, </w:t>
      </w:r>
      <w:r>
        <w:rPr>
          <w:lang w:bidi="en-US"/>
        </w:rPr>
        <w:t>one-fifth</w:t>
      </w:r>
      <w:r w:rsidRPr="6F35EF85">
        <w:rPr>
          <w:lang w:bidi="en-US"/>
        </w:rPr>
        <w:t xml:space="preserve"> had attended a</w:t>
      </w:r>
      <w:r>
        <w:rPr>
          <w:lang w:bidi="en-US"/>
        </w:rPr>
        <w:t>n</w:t>
      </w:r>
      <w:r w:rsidRPr="6F35EF85">
        <w:rPr>
          <w:lang w:bidi="en-US"/>
        </w:rPr>
        <w:t xml:space="preserve"> LGBTIQA+ event in the past 12 months</w:t>
      </w:r>
      <w:r>
        <w:rPr>
          <w:lang w:bidi="en-US"/>
        </w:rPr>
        <w:t>.</w:t>
      </w:r>
    </w:p>
    <w:p w14:paraId="74C2E772" w14:textId="77777777" w:rsidR="009D0006" w:rsidRDefault="009D0006" w:rsidP="009D0006">
      <w:pPr>
        <w:rPr>
          <w:lang w:val="en-GB"/>
        </w:rPr>
      </w:pPr>
      <w:r>
        <w:rPr>
          <w:lang w:val="en-GB"/>
        </w:rPr>
        <w:t>The majority of young people aged 14-21 years</w:t>
      </w:r>
      <w:r w:rsidRPr="0059690F">
        <w:rPr>
          <w:lang w:val="en-GB"/>
        </w:rPr>
        <w:t xml:space="preserve"> with disability in </w:t>
      </w:r>
      <w:r w:rsidRPr="0059690F">
        <w:rPr>
          <w:i/>
          <w:iCs/>
          <w:lang w:val="en-GB"/>
        </w:rPr>
        <w:t>Writing Themselves In 4</w:t>
      </w:r>
      <w:r>
        <w:rPr>
          <w:lang w:val="en-GB"/>
        </w:rPr>
        <w:t xml:space="preserve"> reported receiving limited support in education and workplaces. Only three-tenths</w:t>
      </w:r>
      <w:r w:rsidRPr="0059690F">
        <w:rPr>
          <w:lang w:val="en-GB"/>
        </w:rPr>
        <w:t xml:space="preserve"> felt that their educational institution makes it easy or very easy for them to learn</w:t>
      </w:r>
      <w:r>
        <w:rPr>
          <w:lang w:val="en-GB"/>
        </w:rPr>
        <w:t xml:space="preserve"> and slightly over one-third </w:t>
      </w:r>
      <w:r w:rsidRPr="0059690F">
        <w:rPr>
          <w:lang w:val="en-GB"/>
        </w:rPr>
        <w:t xml:space="preserve">felt that their workplace makes it easy or very easy for them to work efficiently. </w:t>
      </w:r>
    </w:p>
    <w:p w14:paraId="7435EC28" w14:textId="77777777" w:rsidR="009D0006" w:rsidRDefault="009D0006" w:rsidP="009D0006">
      <w:pPr>
        <w:rPr>
          <w:lang w:val="en-GB"/>
        </w:rPr>
      </w:pPr>
      <w:r>
        <w:rPr>
          <w:lang w:val="en-GB"/>
        </w:rPr>
        <w:t>Similarly, the majority of young people aged 14-21</w:t>
      </w:r>
      <w:r w:rsidRPr="0059690F">
        <w:rPr>
          <w:lang w:val="en-GB"/>
        </w:rPr>
        <w:t xml:space="preserve"> </w:t>
      </w:r>
      <w:r>
        <w:rPr>
          <w:lang w:val="en-GB"/>
        </w:rPr>
        <w:t xml:space="preserve">years </w:t>
      </w:r>
      <w:r w:rsidRPr="0059690F">
        <w:rPr>
          <w:lang w:val="en-GB"/>
        </w:rPr>
        <w:t xml:space="preserve">with disability in </w:t>
      </w:r>
      <w:r w:rsidRPr="0059690F">
        <w:rPr>
          <w:i/>
          <w:iCs/>
          <w:lang w:val="en-GB"/>
        </w:rPr>
        <w:t>Writing Themselves In 4</w:t>
      </w:r>
      <w:r>
        <w:rPr>
          <w:lang w:val="en-GB"/>
        </w:rPr>
        <w:t xml:space="preserve"> reported difficulties in accessing LGBTIQA+ social or community venues and services or support groups. L</w:t>
      </w:r>
      <w:r w:rsidRPr="0059690F">
        <w:rPr>
          <w:lang w:val="en-GB"/>
        </w:rPr>
        <w:t xml:space="preserve">ess than half felt that local LGBTIQA+ social or community venues and local LGBTIQA+ services or support groups made it easy for </w:t>
      </w:r>
      <w:r>
        <w:rPr>
          <w:lang w:val="en-GB"/>
        </w:rPr>
        <w:t>them</w:t>
      </w:r>
      <w:r w:rsidRPr="0059690F">
        <w:rPr>
          <w:lang w:val="en-GB"/>
        </w:rPr>
        <w:t xml:space="preserve"> to use </w:t>
      </w:r>
      <w:r>
        <w:rPr>
          <w:lang w:val="en-GB"/>
        </w:rPr>
        <w:t>these venues or services</w:t>
      </w:r>
      <w:r w:rsidRPr="0059690F">
        <w:rPr>
          <w:lang w:val="en-GB"/>
        </w:rPr>
        <w:t>.</w:t>
      </w:r>
    </w:p>
    <w:p w14:paraId="53B1C286" w14:textId="77777777" w:rsidR="009D0006" w:rsidRDefault="009D0006" w:rsidP="009D0006">
      <w:r>
        <w:t xml:space="preserve">Importantly, four-fifths of </w:t>
      </w:r>
      <w:r>
        <w:rPr>
          <w:color w:val="000000" w:themeColor="text1"/>
          <w:lang w:val="en-GB"/>
        </w:rPr>
        <w:t>young people aged 14-21 years</w:t>
      </w:r>
      <w:r w:rsidRPr="0059690F">
        <w:rPr>
          <w:color w:val="000000" w:themeColor="text1"/>
          <w:lang w:val="en-GB"/>
        </w:rPr>
        <w:t xml:space="preserve"> with disability in </w:t>
      </w:r>
      <w:r w:rsidRPr="0059690F">
        <w:rPr>
          <w:i/>
          <w:iCs/>
          <w:color w:val="000000" w:themeColor="text1"/>
          <w:lang w:val="en-GB"/>
        </w:rPr>
        <w:t>Writing Themselves In 4</w:t>
      </w:r>
      <w:r>
        <w:rPr>
          <w:color w:val="000000" w:themeColor="text1"/>
          <w:lang w:val="en-GB"/>
        </w:rPr>
        <w:t xml:space="preserve"> reported feeling </w:t>
      </w:r>
      <w:r w:rsidRPr="0059690F">
        <w:t xml:space="preserve">that the voices of LGBTIQA+ people with disabilities are </w:t>
      </w:r>
      <w:r>
        <w:t xml:space="preserve">not </w:t>
      </w:r>
      <w:r w:rsidRPr="0059690F">
        <w:t>heard or understood</w:t>
      </w:r>
      <w:r>
        <w:t>. A</w:t>
      </w:r>
      <w:r w:rsidRPr="0059690F">
        <w:t xml:space="preserve"> little over half felt that their LGBTIQA+ identity is supported by their peers with disabilities</w:t>
      </w:r>
      <w:r>
        <w:rPr>
          <w:color w:val="000000" w:themeColor="text1"/>
          <w:lang w:val="en-GB"/>
        </w:rPr>
        <w:t xml:space="preserve"> and only one-fifth </w:t>
      </w:r>
      <w:r>
        <w:t>felt</w:t>
      </w:r>
      <w:r w:rsidRPr="0059690F">
        <w:t xml:space="preserve"> </w:t>
      </w:r>
      <w:r>
        <w:t>that</w:t>
      </w:r>
      <w:r w:rsidRPr="0059690F">
        <w:t xml:space="preserve"> </w:t>
      </w:r>
      <w:r>
        <w:t>their</w:t>
      </w:r>
      <w:r w:rsidRPr="0059690F">
        <w:t xml:space="preserve"> LGBTIQA+ identity is supported by the NDIS or disability support providers</w:t>
      </w:r>
      <w:r>
        <w:t>.</w:t>
      </w:r>
    </w:p>
    <w:p w14:paraId="65808297" w14:textId="77777777" w:rsidR="009D0006" w:rsidRDefault="009D0006" w:rsidP="00254922">
      <w:r>
        <w:t>Research from the UK documents how LGBT people with disability frequently feel unwelcome in gay community spaces, an experience that is often amplified by negative stereotypes about people with intellectual disability</w:t>
      </w:r>
      <w:r>
        <w:fldChar w:fldCharType="begin"/>
      </w:r>
      <w:r>
        <w:instrText xml:space="preserve"> ADDIN ZOTERO_ITEM CSL_CITATION {"citationID":"dS2eB3jM","properties":{"formattedCitation":"(81,82)","plainCitation":"(81,82)","noteIndex":0},"citationItems":[{"id":3771,"uris":["http://zotero.org/groups/2463045/items/42YFJXTR"],"itemData":{"id":3771,"type":"article-journal","abstract":"Whilst the UK's National Health Service (NHS) offers a solid structure of service provision for people with learning disabilities, sexuality issues are often overlooked. This paper offers an examination of how it may be possible that gay men with learning disabilities (GMLD) experience a complex set of increased difficulties in forming a functioning identity. A clinical case example is presented which allows the implications of below average functioning and stereotyping by the majority group to be explored. To conclude, suggestions are made regarding how practitioners could offer the best psychological service to gay men with learning disabilities. It is hoped practitioners will be more proactive and creative in helping gay men with learning disabilities explore their sexuality. (PsycINFO Database Record (c) 2016 APA, all rights reserved)","archive":"PsycInfo","archive_location":"2007-10928-010","container-title":"Journal of Gay &amp; Lesbian Psychotherapy","DOI":"10.1300/J236v11n01_10","ISSN":"0891-7140 1540-7128","issue":"1-2","language":"English","page":"145-152","source":"Ovid Technologies","title":"Gay men with learning disabilities: UK service provision","volume":"11","author":[{"family":"Stauffer-Kruse","given":"Soren"}],"issued":{"date-parts":[["2007"]]},"citation-key":"stauffer-kruseGayMenLearning2007"}},{"id":3114,"uris":["http://zotero.org/groups/2463045/items/JQD7CICK"],"itemData":{"id":3114,"type":"article-journal","abstract":"Background: In the UK and elsewhere, there is a growing policy and legislative imperative to ensure that people with intellectual disabilities are supported to develop relationships, including sexual ones. However, gay, lesbian and bisexual people with intellectual disabilities may have additional needs or face particular barriers in this area of their lives. They may require particular kinds of support from the staff who work with them. But how able, or willing, are staff in services to address these issues? Method: As part of empirical, qualitative research, the authors carried out interviews with 71 staff in 20 intellectual disability services across the UK about their views and experiences of working with people with intellectual disabilities who were, or may have been, gay, lesbian or bisexual. Results: The majority of staff interviewed said that they did not feel confident working in this area. A number of barriers to doing the work were identified including a lack of policy and training as well as the prejudice of staff and parents/carers. Conclusions: The reticence of staff to engage with these issues needs addressing especially in the light of the emerging human rights of people with intellectual disabilities to develop sexual and intimate relationships. (PsycINFO Database Record (c) 2016 APA, all rights reserved)","archive":"PsycInfo","archive_location":"2007-04895-008","container-title":"Journal of Applied Research in Intellectual Disabilities","DOI":"10.1111/j.1468-3148.2006.00312.x","ISSN":"1360-2322 1468-3148","issue":"2","language":"English","page":"116-126","source":"Ovid Technologies","title":"Still off-limits? Staff views on supporting gay, lesbian and bisexual people with intellectual disabilities to develop sexual and intimate relationships?","volume":"20","author":[{"family":"Abbott","given":"David"},{"family":"Howarth","given":"Joyce"}],"issued":{"date-parts":[["2007",3]]},"citation-key":"abbottStillOfflimitsStaff2007"}}],"schema":"https://github.com/citation-style-language/schema/raw/master/csl-citation.json"} </w:instrText>
      </w:r>
      <w:r>
        <w:fldChar w:fldCharType="separate"/>
      </w:r>
      <w:r>
        <w:rPr>
          <w:noProof/>
        </w:rPr>
        <w:t>(81,82)</w:t>
      </w:r>
      <w:r>
        <w:fldChar w:fldCharType="end"/>
      </w:r>
      <w:r>
        <w:t xml:space="preserve">. </w:t>
      </w:r>
      <w:r w:rsidRPr="00F46338">
        <w:t>Other studies have shown that LGB people with disabilities reported structural barriers accessing the LGB community</w:t>
      </w:r>
      <w:r>
        <w:fldChar w:fldCharType="begin"/>
      </w:r>
      <w:r>
        <w:instrText xml:space="preserve"> ADDIN ZOTERO_ITEM CSL_CITATION {"citationID":"KrvbOrGe","properties":{"formattedCitation":"(83,84)","plainCitation":"(83,84)","noteIndex":0},"citationItems":[{"id":4111,"uris":["http://zotero.org/groups/2463045/items/UMP9BWBH"],"itemData":{"id":4111,"type":"article-journal","abstract":"For individuals experiencing intimate partner violence (IPV), formal services, including community agencies, health services, or the criminal justice system, are critical resources. Understanding the specific barriers that hinder or prevent survivors from seeking help from formal services could reveal important implications for the development of services for IPV as well as for members of other organizations who encounter survivors. The authors conducted a systematic review of the literature to identify barriers to help-seeking from formal services for survivors. Ten electronic databases were searched for key terms related to IPV, help seeking from formal services, and barriers to help seeking. Articles were included in the review if they were U.S.-based, contained samples that were adults who had experienced IPV, and discussed barriers to seeking help from formal services. An initial search yielded 1,155 articles and after screening, 29 articles were included in the review. Data were extracted to reveal the state of the literature regarding help-seeking barriers for survivors. Six barriers to help seeking were identified as follows: (1) lack of awareness, (2) access challenges, (3) consequences of disclosure, (4) lack of material resources, (5) personal barriers, and (6) system failures. These findings demonstrate the need for continued education surrounding available services for IPV as well as the continued development of resources that can mitigate personal barriers that survivors may face. Furthermore, these findings illuminate the necessity to increase the access of services, particularly for non-English speakers, immigrants and refugees, individuals with disabilities, men, and LGBTQIA identified individuals. © The Author(s) 2020.","archive":"Scopus","container-title":"Trauma, Violence, and Abuse","DOI":"10.1177/1524838020916254","ISSN":"15248380","language":"English","title":"A Systematic Review of Barriers to Formal Help Seeking for Adult Survivors of IPV in the United States, 2005–2019","URL":"https://www.scopus.com/inward/record.uri?eid=2-s2.0-85083063896&amp;doi=10.1177%2f1524838020916254&amp;partnerID=40&amp;md5=4579832504be9ac6da30c6dafe22a464","author":[{"family":"Robinson","given":"S. R."},{"family":"Ravi","given":"K."},{"family":"Voth Schrag","given":"R. J."}],"issued":{"date-parts":[["2020"]]},"citation-key":"robinsonSystematicReviewBarriers2020"}},{"id":3127,"uris":["http://zotero.org/groups/2463045/items/877BXQKW"],"itemData":{"id":3127,"type":"report","event-place":"Melbourne, Australia","publisher":"Gay and Lesbian Health Victoria and the Australian Research Centre in Sex, Health and Society, La Trobe University.","publisher-place":"Melbourne, Australia","title":"Swimming upstream: Making places welcoming – a report on the needs of gay, lesbian and bisexual people in “hard to reach” groups","author":[{"family":"Mann","given":"Rosemary"},{"family":"Horsley","given":"Philomena"},{"family":"Saunders","given":"Mark"},{"family":"Briggs","given":"Viki"},{"family":"Mitchell","given":"Anne"}],"issued":{"date-parts":[["2006"]]},"citation-key":"mannSwimmingUpstreamMaking2006"}}],"schema":"https://github.com/citation-style-language/schema/raw/master/csl-citation.json"} </w:instrText>
      </w:r>
      <w:r>
        <w:fldChar w:fldCharType="separate"/>
      </w:r>
      <w:r>
        <w:rPr>
          <w:noProof/>
        </w:rPr>
        <w:t>(83,84)</w:t>
      </w:r>
      <w:r>
        <w:fldChar w:fldCharType="end"/>
      </w:r>
      <w:r w:rsidRPr="00F46338">
        <w:t xml:space="preserve"> while LGBT youth with disabilities under the care of social service providers, special education programs, or supported living facilities reported being prohibited or restricted from expressing/discussing their LGBT identities </w:t>
      </w:r>
      <w:r w:rsidRPr="00F46338">
        <w:fldChar w:fldCharType="begin"/>
      </w:r>
      <w:r>
        <w:instrText xml:space="preserve"> ADDIN ZOTERO_ITEM CSL_CITATION {"citationID":"ewYPaDqp","properties":{"formattedCitation":"(73)","plainCitation":"(73)","noteIndex":0},"citationItems":[{"id":"hc6yy1rM/ZiaMkjW2","uris":["http://zotero.org/users/4948307/items/R7G5K9CM"],"itemData":{"id":3864,"type":"article-journal","archive":"Cinahl","archive_location":"105000423. Language: English. Entry Date: 20110401. Revision Date: 20200708. Publication Type: Journal Article","container-title":"Journal of LGBT Youth","DOI":"10.1080/19361653.2011.519181","ISSN":"1936-1653","issue":"1","page":"1-52","source":"EBSCOhost","title":"Lesbian, gay, bisexual, and transgender youth with disabilities: a meta-synthesis","volume":"8","author":[{"family":"Duke","given":"Thomas Scott"}],"issued":{"date-parts":[["2011"]]}}}],"schema":"https://github.com/citation-style-language/schema/raw/master/csl-citation.json"} </w:instrText>
      </w:r>
      <w:r w:rsidRPr="00F46338">
        <w:fldChar w:fldCharType="separate"/>
      </w:r>
      <w:r>
        <w:rPr>
          <w:noProof/>
        </w:rPr>
        <w:t>(73)</w:t>
      </w:r>
      <w:r w:rsidRPr="00F46338">
        <w:fldChar w:fldCharType="end"/>
      </w:r>
      <w:r w:rsidRPr="00F46338">
        <w:t>. In general, LGBT people with disabilities may frequently experience the delegitimization of their sexual or gender identities, being seen as incapable of determining their sexuality or gender identity for themselves</w:t>
      </w:r>
      <w:r>
        <w:fldChar w:fldCharType="begin"/>
      </w:r>
      <w:r>
        <w:instrText xml:space="preserve"> ADDIN ZOTERO_ITEM CSL_CITATION {"citationID":"HXUO7agt","properties":{"formattedCitation":"(85)","plainCitation":"(85)","noteIndex":0},"citationItems":[{"id":3129,"uris":["http://zotero.org/groups/2463045/items/MKIKLSSK"],"itemData":{"id":3129,"type":"article-journal","abstract":"Disabled people are historically de-sexualized and labelled as non-sexual, incapable or uninterested in sex/relationships. This perception does much to reinforce social inequalities and misconceptions about disabled sexuality and gender. For young people who are LGBT + the task of negotiating their identity and making sense of who they are is challenging. Not only is their sexuality and gender invalidated by wider society, they are also marginalized and largely unsupported during a period of intense identity negotiation. Presenting findings from a UK-based qualitative project, this article explores how in the light of such challenges, young disabled LGBT + people understand, negotiate and enact their identities. (PsycInfo Database Record (c) 2021 APA, all rights reserved)","archive_location":"2019-01819-001","container-title":"Journal of LGBT Youth","DOI":"10.1080/19361653.2018.1544532","issue":"2","journalAbbreviation":"Journal of LGBT Youth","page":"157-172","title":"Young disabled and LGBT+: Negotiating identity","volume":"16","author":[{"family":"Toft","given":"Alex"},{"family":"Franklin","given":"Anita"},{"family":"Langley","given":"Emma"}],"issued":{"date-parts":[["2019"]]},"citation-key":"toftYoungDisabledLGBT2019"}}],"schema":"https://github.com/citation-style-language/schema/raw/master/csl-citation.json"} </w:instrText>
      </w:r>
      <w:r>
        <w:fldChar w:fldCharType="separate"/>
      </w:r>
      <w:r>
        <w:rPr>
          <w:noProof/>
        </w:rPr>
        <w:t>(85)</w:t>
      </w:r>
      <w:r>
        <w:fldChar w:fldCharType="end"/>
      </w:r>
      <w:r w:rsidRPr="00F46338">
        <w:t xml:space="preserve"> .Moreover, health providers and staff have reported lacking confidence in discussing prejudice towards LGB clients with intellectual</w:t>
      </w:r>
      <w:r>
        <w:fldChar w:fldCharType="begin"/>
      </w:r>
      <w:r>
        <w:instrText xml:space="preserve"> ADDIN ZOTERO_ITEM CSL_CITATION {"citationID":"1FKEICKj","properties":{"formattedCitation":"(82,86)","plainCitation":"(82,86)","noteIndex":0},"citationItems":[{"id":6196,"uris":["http://zotero.org/users/7230459/items/WYZZPVQF"],"itemData":{"id":6196,"type":"article-journal","abstract":"BACKGROUND: Staff member's views and attitudes can have a significant impact on people with an intellectual disability. This study explores staff attitudes and experiences of people with an intellectual disability's expression of relationships and sexuality across service providers in Ireland.\nMETHODS: Staff (n = 86) from service providers (n = 5) completed the Attitudes to Sexuality Questionnaire-Individuals with an Intellectual Disability (ASQ-ID) and open-ended questions.\nRESULTS: Multidirectional significant differences were noted on staff attitudes to sexuality based on demographic factors, that is, age, education, as well as non-demographics, for example, attendance at training, and active practising of religion. Qualitatively, three themes emerged: \"Unsupported and Frustration\"; \"Taboo Subject Matter\" and \"Vulnerability and Access to Education\". Staff reported a lack of service supports, dominant conservative cultures and people with an intellectual disability's vulnerability.\nCONCLUSION: This study highlights the need for improved service practices and enhanced provisions for staff and the people with an intellectual disability that they support.","container-title":"Journal of applied research in intellectual disabilities: JARID","DOI":"10.1111/jar.12897","ISSN":"1468-3148","journalAbbreviation":"J Appl Res Intellect Disabil","language":"eng","note":"PMID: 34009719","source":"PubMed","title":"Staff member's views and attitudes to supporting people with an Intellectual Disability: A multi-method investigation of intimate relationships and sexuality","title-short":"Staff member's views and attitudes to supporting people with an Intellectual Disability","author":[{"family":"Deffew","given":"Andrew"},{"family":"Coughlan","given":"Barry"},{"family":"Burke","given":"Tom"},{"family":"Rogers","given":"Elaine"}],"issued":{"date-parts":[["2021",5,19]]},"citation-key":"deffewStaffMemberViews2021"}},{"id":3114,"uris":["http://zotero.org/groups/2463045/items/JQD7CICK"],"itemData":{"id":3114,"type":"article-journal","abstract":"Background: In the UK and elsewhere, there is a growing policy and legislative imperative to ensure that people with intellectual disabilities are supported to develop relationships, including sexual ones. However, gay, lesbian and bisexual people with intellectual disabilities may have additional needs or face particular barriers in this area of their lives. They may require particular kinds of support from the staff who work with them. But how able, or willing, are staff in services to address these issues? Method: As part of empirical, qualitative research, the authors carried out interviews with 71 staff in 20 intellectual disability services across the UK about their views and experiences of working with people with intellectual disabilities who were, or may have been, gay, lesbian or bisexual. Results: The majority of staff interviewed said that they did not feel confident working in this area. A number of barriers to doing the work were identified including a lack of policy and training as well as the prejudice of staff and parents/carers. Conclusions: The reticence of staff to engage with these issues needs addressing especially in the light of the emerging human rights of people with intellectual disabilities to develop sexual and intimate relationships. (PsycINFO Database Record (c) 2016 APA, all rights reserved)","archive":"PsycInfo","archive_location":"2007-04895-008","container-title":"Journal of Applied Research in Intellectual Disabilities","DOI":"10.1111/j.1468-3148.2006.00312.x","ISSN":"1360-2322 1468-3148","issue":"2","language":"English","page":"116-126","source":"Ovid Technologies","title":"Still off-limits? Staff views on supporting gay, lesbian and bisexual people with intellectual disabilities to develop sexual and intimate relationships?","volume":"20","author":[{"family":"Abbott","given":"David"},{"family":"Howarth","given":"Joyce"}],"issued":{"date-parts":[["2007",3]]},"citation-key":"abbottStillOfflimitsStaff2007"}}],"schema":"https://github.com/citation-style-language/schema/raw/master/csl-citation.json"} </w:instrText>
      </w:r>
      <w:r>
        <w:fldChar w:fldCharType="separate"/>
      </w:r>
      <w:r>
        <w:rPr>
          <w:noProof/>
        </w:rPr>
        <w:t>(82,86)</w:t>
      </w:r>
      <w:r>
        <w:fldChar w:fldCharType="end"/>
      </w:r>
      <w:r>
        <w:t xml:space="preserve"> </w:t>
      </w:r>
      <w:r w:rsidRPr="00F46338">
        <w:t>and cognitive disabilities</w:t>
      </w:r>
      <w:r>
        <w:fldChar w:fldCharType="begin"/>
      </w:r>
      <w:r>
        <w:instrText xml:space="preserve"> ADDIN ZOTERO_ITEM CSL_CITATION {"citationID":"DhkcENM2","properties":{"formattedCitation":"(87)","plainCitation":"(87)","noteIndex":0},"citationItems":[{"id":6199,"uris":["http://zotero.org/users/7230459/items/SZ3K522S"],"itemData":{"id":6199,"type":"article-journal","abstract":"INTRODUCTION: Although dementia risk factors are elevated in lesbian, gay, bisexual, and transgender (LGBT) older adults and are perpetuated by a lack of cultural competency, no known studies have quantified LGBT cultural competency among dementia care providers.\nMETHODS: Dementia care providers (N = 105) across the United States completed a survey consisting of the 7-point Likert LGBT-Development of Clinical Skills Scale.\nRESULTS: Dementia care providers reported very high affirming attitudes (M = 6.67, standard deviation [SD] = 0.71), moderate knowledge (M = 5.32, SD = 1.25), and moderate clinical preparedness (M = 4.93, SD = 1.23). Compared to previously published data, they reported significantly lower knowledge than medical students. There were no differences compared to psychiatry residents.\nDISCUSSION: The current state of dementia care providers' LGBT cultural competency has significant, yet modifiable, gaps. Better education, including more LGBT patient exposure, is necessary to improve the care being provided to members of the LGBT community impacted by dementia illness.","container-title":"Alzheimer's &amp; Dementia (New York, N. Y.)","DOI":"10.1002/trc2.12137","ISSN":"2352-8737","issue":"1","journalAbbreviation":"Alzheimers Dement (N Y)","language":"eng","note":"PMID: 33614899\nPMCID: PMC7882525","page":"e12137","source":"PubMed","title":"Assessing the LGBT cultural competency of dementia care providers","volume":"7","author":[{"family":"Nowaskie","given":"Dustin Z."},{"family":"Sewell","given":"Daniel D."}],"issued":{"date-parts":[["2021"]]},"citation-key":"nowaskieAssessingLGBTCultural2021"}}],"schema":"https://github.com/citation-style-language/schema/raw/master/csl-citation.json"} </w:instrText>
      </w:r>
      <w:r>
        <w:fldChar w:fldCharType="separate"/>
      </w:r>
      <w:r>
        <w:rPr>
          <w:noProof/>
        </w:rPr>
        <w:t>(87)</w:t>
      </w:r>
      <w:r>
        <w:fldChar w:fldCharType="end"/>
      </w:r>
      <w:r w:rsidRPr="00F46338">
        <w:t>.</w:t>
      </w:r>
    </w:p>
    <w:p w14:paraId="00B334C4" w14:textId="3D589B83" w:rsidR="00254922" w:rsidRDefault="00254922">
      <w:pPr>
        <w:spacing w:before="0"/>
        <w:rPr>
          <w:rFonts w:ascii="Roboto" w:hAnsi="Roboto" w:cstheme="minorHAnsi"/>
          <w:sz w:val="22"/>
        </w:rPr>
      </w:pPr>
      <w:r>
        <w:rPr>
          <w:rFonts w:ascii="Roboto" w:hAnsi="Roboto" w:cstheme="minorHAnsi"/>
          <w:sz w:val="22"/>
        </w:rPr>
        <w:br w:type="page"/>
      </w:r>
    </w:p>
    <w:p w14:paraId="75FBEAB0" w14:textId="78CE03D1" w:rsidR="009D0006" w:rsidRPr="00C5739E" w:rsidRDefault="009D0006" w:rsidP="006346CA">
      <w:pPr>
        <w:pStyle w:val="Heading1Numbered"/>
      </w:pPr>
      <w:bookmarkStart w:id="758" w:name="_Toc115968614"/>
      <w:bookmarkStart w:id="759" w:name="_Toc119662456"/>
      <w:r w:rsidRPr="00C5739E">
        <w:t>Intersectio</w:t>
      </w:r>
      <w:r w:rsidRPr="00C5739E">
        <w:lastRenderedPageBreak/>
        <w:t xml:space="preserve">ns: </w:t>
      </w:r>
      <w:r>
        <w:t>multicultural</w:t>
      </w:r>
      <w:r w:rsidRPr="00C5739E">
        <w:t xml:space="preserve"> background and disability</w:t>
      </w:r>
      <w:bookmarkEnd w:id="758"/>
      <w:bookmarkEnd w:id="759"/>
    </w:p>
    <w:p w14:paraId="5C675793" w14:textId="77777777" w:rsidR="009D0006" w:rsidRDefault="009D0006" w:rsidP="009D0006">
      <w:r>
        <w:t>Many people in Australia are from multicultural backgrounds</w:t>
      </w:r>
      <w:r w:rsidRPr="002E40A3">
        <w:t xml:space="preserve">, with </w:t>
      </w:r>
      <w:r>
        <w:t>one-quarter</w:t>
      </w:r>
      <w:r w:rsidRPr="002E40A3">
        <w:t xml:space="preserve"> born overseas and </w:t>
      </w:r>
      <w:r>
        <w:t>almost half</w:t>
      </w:r>
      <w:r w:rsidRPr="002E40A3">
        <w:t xml:space="preserve"> with one parent born overseas</w:t>
      </w:r>
      <w:r>
        <w:t>.</w:t>
      </w:r>
      <w:r w:rsidRPr="002E40A3">
        <w:fldChar w:fldCharType="begin"/>
      </w:r>
      <w:r>
        <w:instrText xml:space="preserve"> ADDIN ZOTERO_ITEM CSL_CITATION {"citationID":"Z6iolMo2","properties":{"formattedCitation":"(88)","plainCitation":"(88)","noteIndex":0},"citationItems":[{"id":"hc6yy1rM/36OKqd7L","uris":["http://zotero.org/users/4948307/items/WQ68EDGM"],"itemData":{"id":91,"type":"webpage","title":"Face the facts: Cultural Diversity","URL":"https://humanrights.gov.au/our-work/education/face-facts-cultural-diversity","author":[{"family":"Human Rights Watch","given":""}],"accessed":{"date-parts":[["2020",7,16]]},"issued":{"date-parts":[["2015"]]}}}],"schema":"https://github.com/citation-style-language/schema/raw/master/csl-citation.json"} </w:instrText>
      </w:r>
      <w:r w:rsidRPr="002E40A3">
        <w:fldChar w:fldCharType="separate"/>
      </w:r>
      <w:r>
        <w:rPr>
          <w:lang w:val="en-GB"/>
        </w:rPr>
        <w:t>(88)</w:t>
      </w:r>
      <w:r w:rsidRPr="002E40A3">
        <w:fldChar w:fldCharType="end"/>
      </w:r>
      <w:r w:rsidRPr="002E40A3">
        <w:t xml:space="preserve"> Some LGBTQ</w:t>
      </w:r>
      <w:r>
        <w:t>A+</w:t>
      </w:r>
      <w:r w:rsidRPr="002E40A3">
        <w:t xml:space="preserve"> people from multicultural backgrounds </w:t>
      </w:r>
      <w:r>
        <w:t>are more likely to report</w:t>
      </w:r>
      <w:r w:rsidRPr="002E40A3">
        <w:t xml:space="preserve"> heterosexism within their communities</w:t>
      </w:r>
      <w:r w:rsidRPr="002E40A3">
        <w:fldChar w:fldCharType="begin"/>
      </w:r>
      <w:r>
        <w:instrText xml:space="preserve"> ADDIN ZOTERO_ITEM CSL_CITATION {"citationID":"iHUwJ8Xl","properties":{"formattedCitation":"(89)","plainCitation":"(89)","noteIndex":0},"citationItems":[{"id":"hc6yy1rM/oYIzlw19","uris":["http://zotero.org/users/4948307/items/I5PFXPQZ"],"itemData":{"id":87,"type":"article-journal","container-title":"Australian Journal of Political Science","DOI":"10.1080/10361146.2018.1504877","ISSN":"1036-1146","issue":"4","journalAbbreviation":"Australian Journal of Political Science","note":"publisher: Routledge","page":"409-427","title":"Explaining voting in the 2017 Australian same-sex marriage plebiscite","volume":"53","author":[{"family":"McAllister","given":"Ian"},{"family":"Snagovsky","given":"Feodor"}],"issued":{"date-parts":[["2018",10,2]]}}}],"schema":"https://github.com/citation-style-language/schema/raw/master/csl-citation.json"} </w:instrText>
      </w:r>
      <w:r w:rsidRPr="002E40A3">
        <w:fldChar w:fldCharType="separate"/>
      </w:r>
      <w:r>
        <w:rPr>
          <w:lang w:val="en-GB"/>
        </w:rPr>
        <w:t>(89)</w:t>
      </w:r>
      <w:r w:rsidRPr="002E40A3">
        <w:fldChar w:fldCharType="end"/>
      </w:r>
      <w:r w:rsidRPr="002E40A3">
        <w:t xml:space="preserve"> </w:t>
      </w:r>
      <w:r>
        <w:t>and</w:t>
      </w:r>
      <w:r w:rsidRPr="002E40A3">
        <w:t xml:space="preserve"> </w:t>
      </w:r>
      <w:r>
        <w:t>may</w:t>
      </w:r>
      <w:r w:rsidRPr="002E40A3">
        <w:t xml:space="preserve"> experience </w:t>
      </w:r>
      <w:r>
        <w:t>exclusion from the LGBTQA+ community.</w:t>
      </w:r>
      <w:r w:rsidRPr="002E40A3">
        <w:fldChar w:fldCharType="begin"/>
      </w:r>
      <w:r>
        <w:instrText xml:space="preserve"> ADDIN ZOTERO_ITEM CSL_CITATION {"citationID":"S42WbWzU","properties":{"formattedCitation":"(90,91)","plainCitation":"(90,91)","noteIndex":0},"citationItems":[{"id":"hc6yy1rM/Nio0e3ts","uris":["http://zotero.org/users/4948307/items/VE47HSPK"],"itemData":{"id":85,"type":"article-journal","container-title":"Journal of Bisexuality","DOI":"10.1080/15299716.2018.1518182","ISSN":"1529-9716","issue":"3","journalAbbreviation":"Journal of Bisexuality","note":"publisher: Routledge","page":"318-352","title":"Discrimination at the Intersections: Experiences of Community and Belonging in Nonmonosexual Persons of Color","volume":"18","author":[{"family":"Lim","given":"G."},{"family":"Hewitt","given":"B."}],"issued":{"date-parts":[["2018",7,3]]}}},{"id":"hc6yy1rM/zbcinsuB","uris":["http://zotero.org/users/4948307/items/QDQFPCEZ"],"itemData":{"id":84,"type":"report","event-place":"Melbourne, Victoria","publisher":"Equality Branch of the Department of Premier and Cabinet, Melbourne, Victoria","publisher-place":"Melbourne, Victoria","title":"Supporting same-sex attracted and gender diverse young people of multicultural and multi-faith backgrounds","author":[{"family":"Pallotta-Chiarolli","given":"Maria"}],"issued":{"date-parts":[["2016"]]}}}],"schema":"https://github.com/citation-style-language/schema/raw/master/csl-citation.json"} </w:instrText>
      </w:r>
      <w:r w:rsidRPr="002E40A3">
        <w:fldChar w:fldCharType="separate"/>
      </w:r>
      <w:r>
        <w:rPr>
          <w:lang w:val="en-GB"/>
        </w:rPr>
        <w:t>(90,91)</w:t>
      </w:r>
      <w:r w:rsidRPr="002E40A3">
        <w:fldChar w:fldCharType="end"/>
      </w:r>
      <w:r w:rsidRPr="002E40A3">
        <w:t xml:space="preserve"> </w:t>
      </w:r>
      <w:r>
        <w:t xml:space="preserve">LGBTQA+ people with disability </w:t>
      </w:r>
      <w:r w:rsidRPr="002E40A3">
        <w:t xml:space="preserve">from multicultural backgrounds may also face multiple </w:t>
      </w:r>
      <w:r>
        <w:t>forms of discrimination and marginalisation.</w:t>
      </w:r>
      <w:r w:rsidRPr="002E40A3">
        <w:fldChar w:fldCharType="begin"/>
      </w:r>
      <w:r>
        <w:instrText xml:space="preserve"> ADDIN ZOTERO_ITEM CSL_CITATION {"citationID":"N14ZT1W3","properties":{"formattedCitation":"(92)","plainCitation":"(92)","noteIndex":0},"citationItems":[{"id":"hc6yy1rM/Apo6aZ63","uris":["http://zotero.org/users/4948307/items/M89UX565"],"itemData":{"id":69,"type":"article-journal","container-title":"InPsych","issue":"2","title":"Intersectionality in psychology: A rainbow perspective","volume":"42","author":[{"family":"Tang","given":"Judy"},{"family":"Sudarto","given":"Budi"},{"family":"Pallotta-Chiarolli","given":"Maria"}],"issued":{"date-parts":[["2020"]]}}}],"schema":"https://github.com/citation-style-language/schema/raw/master/csl-citation.json"} </w:instrText>
      </w:r>
      <w:r w:rsidRPr="002E40A3">
        <w:fldChar w:fldCharType="separate"/>
      </w:r>
      <w:r>
        <w:rPr>
          <w:lang w:val="en-GB"/>
        </w:rPr>
        <w:t>(92)</w:t>
      </w:r>
      <w:r w:rsidRPr="002E40A3">
        <w:fldChar w:fldCharType="end"/>
      </w:r>
      <w:r w:rsidRPr="002E40A3">
        <w:t xml:space="preserve"> </w:t>
      </w:r>
    </w:p>
    <w:p w14:paraId="03978E87" w14:textId="77777777" w:rsidR="009D0006" w:rsidRPr="002E40A3" w:rsidRDefault="009D0006" w:rsidP="009D0006">
      <w:r>
        <w:t>There is very limited data regarding LGBTQA+</w:t>
      </w:r>
      <w:r w:rsidRPr="002E40A3">
        <w:t xml:space="preserve"> people from multicultural backgrounds</w:t>
      </w:r>
      <w:r>
        <w:t xml:space="preserve"> with disability</w:t>
      </w:r>
      <w:r w:rsidRPr="002E40A3">
        <w:t xml:space="preserve"> in Australia, </w:t>
      </w:r>
      <w:r>
        <w:t xml:space="preserve">an issue exacerbated by </w:t>
      </w:r>
      <w:r w:rsidRPr="002E40A3">
        <w:t xml:space="preserve">challenges in authentically defining people in regard to their ancestry and </w:t>
      </w:r>
      <w:r>
        <w:t>multicultural background</w:t>
      </w:r>
      <w:r w:rsidRPr="002E40A3">
        <w:t xml:space="preserve">. The following chapter provides </w:t>
      </w:r>
      <w:r>
        <w:t>an</w:t>
      </w:r>
      <w:r w:rsidRPr="002E40A3">
        <w:t xml:space="preserve"> overview regarding the experiences of LGBTQA+ people with disability from diverse </w:t>
      </w:r>
      <w:r>
        <w:t>multicultural backgrounds</w:t>
      </w:r>
      <w:r w:rsidRPr="002E40A3">
        <w:t xml:space="preserve"> in </w:t>
      </w:r>
      <w:r w:rsidRPr="00460C07">
        <w:rPr>
          <w:i/>
          <w:iCs/>
        </w:rPr>
        <w:t>Writing Themselves In 4</w:t>
      </w:r>
      <w:r w:rsidRPr="002E40A3">
        <w:t xml:space="preserve"> and </w:t>
      </w:r>
      <w:r w:rsidRPr="00460C07">
        <w:rPr>
          <w:i/>
          <w:iCs/>
        </w:rPr>
        <w:t>Private Lives 3</w:t>
      </w:r>
      <w:r w:rsidRPr="002E40A3">
        <w:t>.</w:t>
      </w:r>
    </w:p>
    <w:p w14:paraId="684388A3" w14:textId="12756636" w:rsidR="009D0006" w:rsidRPr="00C431E8" w:rsidRDefault="009D0006" w:rsidP="006346CA">
      <w:pPr>
        <w:pStyle w:val="Heading2Numbered"/>
      </w:pPr>
      <w:bookmarkStart w:id="760" w:name="_Toc115968615"/>
      <w:bookmarkStart w:id="761" w:name="_Toc119662457"/>
      <w:r w:rsidRPr="00C431E8">
        <w:t>Measuring multicultural background among young people aged 14-21 years with disability</w:t>
      </w:r>
      <w:bookmarkEnd w:id="760"/>
      <w:bookmarkEnd w:id="761"/>
    </w:p>
    <w:p w14:paraId="01DDCCE1" w14:textId="77777777" w:rsidR="009D0006" w:rsidRPr="00C431E8" w:rsidRDefault="009D0006" w:rsidP="009D0006">
      <w:r>
        <w:t xml:space="preserve">In </w:t>
      </w:r>
      <w:r w:rsidRPr="00C120D7">
        <w:rPr>
          <w:i/>
          <w:iCs/>
        </w:rPr>
        <w:t>Writing Themselves In 4</w:t>
      </w:r>
      <w:r>
        <w:t>, r</w:t>
      </w:r>
      <w:r w:rsidRPr="00C431E8">
        <w:t xml:space="preserve">esponse options </w:t>
      </w:r>
      <w:r>
        <w:t xml:space="preserve">relating to multicultural background </w:t>
      </w:r>
      <w:r w:rsidRPr="00C431E8">
        <w:t xml:space="preserve">were </w:t>
      </w:r>
      <w:r>
        <w:t>derived from</w:t>
      </w:r>
      <w:r w:rsidRPr="00C431E8">
        <w:t xml:space="preserve"> previous Australian research</w:t>
      </w:r>
      <w:r>
        <w:t>.</w:t>
      </w:r>
      <w:r w:rsidRPr="00C431E8">
        <w:fldChar w:fldCharType="begin"/>
      </w:r>
      <w:r>
        <w:instrText xml:space="preserve"> ADDIN ZOTERO_ITEM CSL_CITATION {"citationID":"VCI47Ftc","properties":{"formattedCitation":"(93)","plainCitation":"(93)","noteIndex":0},"citationItems":[{"id":"hc6yy1rM/d1tUelew","uris":["http://zotero.org/users/4948307/items/9N3QQS8F"],"itemData":{"id":31,"type":"thesis","abstract":"An Exploration of Migrant Well-Being in Australia: Identifying a Range of Social Factors Linked to Flourishing and Psychological Distress, du Plooy, Daniel Rupert, 2019, Latrobe University. Copyright by the author unless stated otherwise.","language":"en","publisher":"Latrobe University","source":"oatd.org","title":"An Exploration of Migrant Well-Being in Australia: Identifying a Range of Social Factors Linked to Flourishing and Psychological Distress","title-short":"An Exploration of Migrant Well-Being in Australia","URL":"http://oatd.org/oatd/record?record=handle%5C%3A1959.9%5C%2F568948","author":[{"family":"Plooy","given":"Daniel","non-dropping-particle":"du"}],"accessed":{"date-parts":[["2020",10,27]]},"issued":{"date-parts":[["2019"]]}}}],"schema":"https://github.com/citation-style-language/schema/raw/master/csl-citation.json"} </w:instrText>
      </w:r>
      <w:r w:rsidRPr="00C431E8">
        <w:fldChar w:fldCharType="separate"/>
      </w:r>
      <w:r>
        <w:rPr>
          <w:lang w:val="en-GB"/>
        </w:rPr>
        <w:t>(93)</w:t>
      </w:r>
      <w:r w:rsidRPr="00C431E8">
        <w:fldChar w:fldCharType="end"/>
      </w:r>
      <w:r w:rsidRPr="00C431E8">
        <w:t xml:space="preserve"> The majority of participants identified as Anglo-Celtic or European, similar to national and general population data</w:t>
      </w:r>
      <w:r>
        <w:t>.</w:t>
      </w:r>
      <w:r w:rsidRPr="00C431E8">
        <w:fldChar w:fldCharType="begin"/>
      </w:r>
      <w:r>
        <w:instrText xml:space="preserve"> ADDIN ZOTERO_ITEM CSL_CITATION {"citationID":"sDXeYjT2","properties":{"formattedCitation":"(94)","plainCitation":"(94)","noteIndex":0},"citationItems":[{"id":"hc6yy1rM/5hi79NZx","uris":["http://zotero.org/users/4948307/items/QI9RMZUP"],"itemData":{"id":667,"type":"webpage","title":"2016 Census QuickStats: Australia","URL":"https://quickstats.censusdata.abs.gov.au/census_services/getproduct/census/2016/quickstat/036","author":[{"family":"Australian Bureau of Statistics","given":""}],"accessed":{"date-parts":[["2020",2,17]]},"issued":{"date-parts":[["2016"]]}}}],"schema":"https://github.com/citation-style-language/schema/raw/master/csl-citation.json"} </w:instrText>
      </w:r>
      <w:r w:rsidRPr="00C431E8">
        <w:fldChar w:fldCharType="separate"/>
      </w:r>
      <w:r>
        <w:rPr>
          <w:lang w:val="en-GB"/>
        </w:rPr>
        <w:t>(94)</w:t>
      </w:r>
      <w:r w:rsidRPr="00C431E8">
        <w:fldChar w:fldCharType="end"/>
      </w:r>
      <w:r w:rsidRPr="00C431E8">
        <w:t xml:space="preserve"> Due to </w:t>
      </w:r>
      <w:r>
        <w:t>insufficient numbers of participants with disability from non-Anglo-Celtic backgrounds, analyses distinguished between</w:t>
      </w:r>
      <w:r w:rsidRPr="00C431E8">
        <w:t xml:space="preserve"> those who </w:t>
      </w:r>
      <w:r>
        <w:t xml:space="preserve">were </w:t>
      </w:r>
      <w:r w:rsidRPr="00C431E8">
        <w:t>Anglo-Celtic</w:t>
      </w:r>
      <w:r>
        <w:t xml:space="preserve"> (n=1608)</w:t>
      </w:r>
      <w:r w:rsidRPr="00C431E8">
        <w:t xml:space="preserve"> </w:t>
      </w:r>
      <w:r>
        <w:t>and those</w:t>
      </w:r>
      <w:r w:rsidRPr="00C431E8">
        <w:t xml:space="preserve"> </w:t>
      </w:r>
      <w:r>
        <w:t xml:space="preserve">in </w:t>
      </w:r>
      <w:r w:rsidRPr="00C431E8">
        <w:t>a ‘multicultural’ category</w:t>
      </w:r>
      <w:r>
        <w:t xml:space="preserve"> (n=661). The multicultural category</w:t>
      </w:r>
      <w:r w:rsidRPr="00C431E8">
        <w:t xml:space="preserve"> captures all those who selected more than one ethnic</w:t>
      </w:r>
      <w:r>
        <w:t xml:space="preserve"> background</w:t>
      </w:r>
      <w:r w:rsidRPr="00C431E8">
        <w:t xml:space="preserve"> option or identified </w:t>
      </w:r>
      <w:r>
        <w:t>with a background that was</w:t>
      </w:r>
      <w:r w:rsidRPr="00C431E8">
        <w:t xml:space="preserve"> </w:t>
      </w:r>
      <w:r>
        <w:t>different from</w:t>
      </w:r>
      <w:r w:rsidRPr="00C431E8">
        <w:t xml:space="preserve"> Anglo-Celtic. In this respect, the ‘multicultural’ category is an overarching point of comparison to Anglo-Celtic participants in the sample. ‘Multicultural’ is a broad categorisation that was utilised to accommodate the complexity and wide diversity in cultural, religious and/or ethnic backgrounds. It is intended to provide macro-level quantitative analyses regarding the unique lived experiences faced by multicultural LGBTQA+ people in general. </w:t>
      </w:r>
    </w:p>
    <w:p w14:paraId="35098A49" w14:textId="77777777" w:rsidR="009D0006" w:rsidRDefault="009D0006" w:rsidP="009D0006">
      <w:r w:rsidRPr="00C431E8">
        <w:t xml:space="preserve">It also of note that </w:t>
      </w:r>
      <w:r>
        <w:t xml:space="preserve">both </w:t>
      </w:r>
      <w:r w:rsidRPr="00C431E8">
        <w:t xml:space="preserve">the </w:t>
      </w:r>
      <w:r w:rsidRPr="00C120D7">
        <w:rPr>
          <w:i/>
          <w:iCs/>
        </w:rPr>
        <w:t>Writing Themselves In 4</w:t>
      </w:r>
      <w:r w:rsidRPr="00C431E8">
        <w:t xml:space="preserve"> </w:t>
      </w:r>
      <w:r>
        <w:t xml:space="preserve">and </w:t>
      </w:r>
      <w:r w:rsidRPr="00C120D7">
        <w:rPr>
          <w:i/>
          <w:iCs/>
        </w:rPr>
        <w:t xml:space="preserve">Private Lives 3 </w:t>
      </w:r>
      <w:r w:rsidRPr="00C431E8">
        <w:t>survey</w:t>
      </w:r>
      <w:r>
        <w:t>s</w:t>
      </w:r>
      <w:r w:rsidRPr="00C431E8">
        <w:t xml:space="preserve"> </w:t>
      </w:r>
      <w:r>
        <w:t>were</w:t>
      </w:r>
      <w:r w:rsidRPr="00C431E8">
        <w:t xml:space="preserve"> only available in English and therefore provide limited representation of participants who have less c</w:t>
      </w:r>
      <w:r w:rsidRPr="00C431E8">
        <w:lastRenderedPageBreak/>
        <w:t xml:space="preserve">apacity in reading and responding to written English. Future iterations of this research would benefit greatly from translations and promotional materials in languages spoken commonly among culturally and linguistically diverse LGBTQA+ people in Australia with disability. </w:t>
      </w:r>
    </w:p>
    <w:p w14:paraId="62002848" w14:textId="3CDECDB4" w:rsidR="009D0006" w:rsidRPr="00622E72" w:rsidRDefault="009D0006" w:rsidP="006346CA">
      <w:pPr>
        <w:pStyle w:val="Heading2Numbered"/>
      </w:pPr>
      <w:bookmarkStart w:id="762" w:name="_Toc115968616"/>
      <w:bookmarkStart w:id="763" w:name="_Toc119662458"/>
      <w:r w:rsidRPr="00622E72">
        <w:t>Measuring multicultural background among adults aged 18+ years with disability</w:t>
      </w:r>
      <w:bookmarkEnd w:id="762"/>
      <w:bookmarkEnd w:id="763"/>
    </w:p>
    <w:p w14:paraId="3B164E2A" w14:textId="77777777" w:rsidR="009D0006" w:rsidRPr="00C5739E" w:rsidRDefault="009D0006" w:rsidP="009D0006">
      <w:r w:rsidRPr="00C5739E">
        <w:t xml:space="preserve">In </w:t>
      </w:r>
      <w:r>
        <w:rPr>
          <w:i/>
          <w:iCs/>
        </w:rPr>
        <w:t>Private Lives 3</w:t>
      </w:r>
      <w:r w:rsidRPr="00C5739E">
        <w:t>, participants were asked to describe their ethnic background with a text response</w:t>
      </w:r>
      <w:r>
        <w:t>, which was</w:t>
      </w:r>
      <w:r w:rsidRPr="00C5739E">
        <w:t xml:space="preserve"> subsequently </w:t>
      </w:r>
      <w:r>
        <w:t>coded</w:t>
      </w:r>
      <w:r w:rsidRPr="00C5739E">
        <w:t xml:space="preserve"> into two broad categories</w:t>
      </w:r>
      <w:r>
        <w:t xml:space="preserve"> based on these responses</w:t>
      </w:r>
      <w:r w:rsidRPr="00C5739E">
        <w:t>: 1) individuals from multicultural backgrounds; and 2) individuals of Anglo-Celtic heritage. Multicultural is a broad categorisation that</w:t>
      </w:r>
      <w:r w:rsidRPr="00C5739E" w:rsidDel="00213919">
        <w:t xml:space="preserve"> </w:t>
      </w:r>
      <w:r w:rsidRPr="00C5739E">
        <w:t>was utilised to accommodate the complexity and wide diversity in cultural, religious and/or ethnic backgrounds and is intended to provide macro-level quantitative analyses regarding the unique lived experiences faced by multicultural LGBTIQ people in general.</w:t>
      </w:r>
    </w:p>
    <w:p w14:paraId="61C16C56" w14:textId="77777777" w:rsidR="009D0006" w:rsidRPr="00C5739E" w:rsidRDefault="009D0006" w:rsidP="009D0006">
      <w:pPr>
        <w:rPr>
          <w:bCs/>
        </w:rPr>
      </w:pPr>
      <w:bookmarkStart w:id="764" w:name="_Toc79506941"/>
      <w:bookmarkStart w:id="765" w:name="_Toc79507141"/>
      <w:bookmarkStart w:id="766" w:name="_Toc79508365"/>
      <w:r>
        <w:t xml:space="preserve">As with </w:t>
      </w:r>
      <w:r w:rsidRPr="00C120D7">
        <w:rPr>
          <w:i/>
          <w:iCs/>
        </w:rPr>
        <w:t>Writing Themselves In 4</w:t>
      </w:r>
      <w:r>
        <w:t>, t</w:t>
      </w:r>
      <w:r w:rsidRPr="00C5739E">
        <w:t xml:space="preserve">hese analyses do not include </w:t>
      </w:r>
      <w:r>
        <w:t>First Nations participants</w:t>
      </w:r>
      <w:r w:rsidRPr="00C5739E">
        <w:t xml:space="preserve"> who participated in </w:t>
      </w:r>
      <w:r>
        <w:t xml:space="preserve">the </w:t>
      </w:r>
      <w:r w:rsidRPr="00C120D7">
        <w:rPr>
          <w:i/>
          <w:iCs/>
        </w:rPr>
        <w:t>Private Lives 3</w:t>
      </w:r>
      <w:r w:rsidRPr="00C5739E">
        <w:t xml:space="preserve"> survey (n = 174). </w:t>
      </w:r>
      <w:r w:rsidRPr="00C5739E">
        <w:rPr>
          <w:bCs/>
        </w:rPr>
        <w:t xml:space="preserve">Specific in-depth outputs are planned for the analysis and interpretation of </w:t>
      </w:r>
      <w:r>
        <w:rPr>
          <w:bCs/>
        </w:rPr>
        <w:t>First Nations</w:t>
      </w:r>
      <w:r w:rsidRPr="00C5739E">
        <w:rPr>
          <w:bCs/>
        </w:rPr>
        <w:t xml:space="preserve"> data, in close collaboration with Aboriginal and Torres Strait Islander organisations in order to meaningfully and appropriately document their unique experiences.</w:t>
      </w:r>
      <w:bookmarkEnd w:id="764"/>
      <w:bookmarkEnd w:id="765"/>
      <w:bookmarkEnd w:id="766"/>
    </w:p>
    <w:p w14:paraId="5465F93B" w14:textId="4A86530C" w:rsidR="009D0006" w:rsidRPr="00622E72" w:rsidRDefault="009D0006" w:rsidP="006346CA">
      <w:pPr>
        <w:pStyle w:val="Heading2Numbered"/>
      </w:pPr>
      <w:bookmarkStart w:id="767" w:name="_Toc115968617"/>
      <w:bookmarkStart w:id="768" w:name="_Toc119662459"/>
      <w:r w:rsidRPr="00622E72">
        <w:t>Community belonging</w:t>
      </w:r>
      <w:bookmarkEnd w:id="767"/>
      <w:bookmarkEnd w:id="768"/>
      <w:r w:rsidRPr="00622E72">
        <w:t xml:space="preserve"> </w:t>
      </w:r>
    </w:p>
    <w:p w14:paraId="67172C0A" w14:textId="1E2CD957" w:rsidR="009D0006" w:rsidRPr="00A77662" w:rsidRDefault="009D0006" w:rsidP="006346CA">
      <w:pPr>
        <w:pStyle w:val="Heading3Numbered"/>
      </w:pPr>
      <w:bookmarkStart w:id="769" w:name="_Toc115968618"/>
      <w:r w:rsidRPr="00A77662">
        <w:t>Fee</w:t>
      </w:r>
      <w:r>
        <w:t>ling</w:t>
      </w:r>
      <w:r w:rsidRPr="00A77662">
        <w:t xml:space="preserve"> part of Australia’s LGBTIQ community – adults aged 18+ years</w:t>
      </w:r>
      <w:bookmarkEnd w:id="769"/>
    </w:p>
    <w:p w14:paraId="7F017324" w14:textId="77777777" w:rsidR="009D0006" w:rsidRPr="00C5739E" w:rsidRDefault="009D0006" w:rsidP="009D0006">
      <w:r w:rsidRPr="00C5739E">
        <w:t xml:space="preserve">Participants </w:t>
      </w:r>
      <w:r>
        <w:t xml:space="preserve">from </w:t>
      </w:r>
      <w:r w:rsidRPr="00C120D7">
        <w:rPr>
          <w:i/>
          <w:iCs/>
        </w:rPr>
        <w:t>Private Lives 3</w:t>
      </w:r>
      <w:r>
        <w:t xml:space="preserve"> </w:t>
      </w:r>
      <w:r w:rsidRPr="00C5739E">
        <w:t>were asked the extent to which ‘you feel you're a part of the Australian LGBTIQ community’</w:t>
      </w:r>
      <w:r>
        <w:t>. R</w:t>
      </w:r>
      <w:r w:rsidRPr="00C5739E">
        <w:t xml:space="preserve">esponse options </w:t>
      </w:r>
      <w:r>
        <w:t xml:space="preserve">were </w:t>
      </w:r>
      <w:r w:rsidRPr="00C5739E">
        <w:t xml:space="preserve">provided on a </w:t>
      </w:r>
      <w:r>
        <w:t>5</w:t>
      </w:r>
      <w:r w:rsidRPr="00C5739E">
        <w:t>-point scale ranging from ‘strongly disagree’ to strongly agree’</w:t>
      </w:r>
      <w:r>
        <w:t>.</w:t>
      </w:r>
      <w:r w:rsidRPr="00C5739E">
        <w:t xml:space="preserve"> Table </w:t>
      </w:r>
      <w:r>
        <w:t>83</w:t>
      </w:r>
      <w:r w:rsidRPr="00C5739E">
        <w:t xml:space="preserve"> display</w:t>
      </w:r>
      <w:r>
        <w:t>s</w:t>
      </w:r>
      <w:r w:rsidRPr="00C5739E">
        <w:t xml:space="preserve"> these results </w:t>
      </w:r>
      <w:r w:rsidRPr="00C5739E">
        <w:rPr>
          <w:bCs/>
        </w:rPr>
        <w:t xml:space="preserve">according to </w:t>
      </w:r>
      <w:r w:rsidRPr="00C5739E">
        <w:t>whether participants were from multicultural backgrounds or an Anglo-Celtic background.</w:t>
      </w:r>
    </w:p>
    <w:p w14:paraId="75AB216A" w14:textId="03A19BE6" w:rsidR="009D0006" w:rsidRDefault="009D0006" w:rsidP="00254922">
      <w:pPr>
        <w:pStyle w:val="Tableheading"/>
      </w:pPr>
      <w:bookmarkStart w:id="770" w:name="_Toc117062800"/>
      <w:bookmarkStart w:id="771" w:name="_Toc119651485"/>
      <w:r w:rsidRPr="00C120D7">
        <w:rPr>
          <w:bCs/>
        </w:rPr>
        <w:t>Table</w:t>
      </w:r>
      <w:r>
        <w:rPr>
          <w:bCs/>
        </w:rPr>
        <w:t>s</w:t>
      </w:r>
      <w:r w:rsidRPr="00C120D7">
        <w:rPr>
          <w:bCs/>
        </w:rPr>
        <w:t xml:space="preserve"> </w:t>
      </w:r>
      <w:r w:rsidRPr="00C120D7">
        <w:rPr>
          <w:bCs/>
        </w:rPr>
        <w:fldChar w:fldCharType="begin"/>
      </w:r>
      <w:r w:rsidRPr="00C120D7">
        <w:rPr>
          <w:bCs/>
        </w:rPr>
        <w:instrText xml:space="preserve"> SE</w:instrText>
      </w:r>
      <w:r w:rsidRPr="00C120D7">
        <w:rPr>
          <w:bCs/>
        </w:rPr>
        <w:lastRenderedPageBreak/>
        <w:instrText xml:space="preserve">Q Table \* ARABIC </w:instrText>
      </w:r>
      <w:r w:rsidRPr="00C120D7">
        <w:rPr>
          <w:bCs/>
        </w:rPr>
        <w:fldChar w:fldCharType="separate"/>
      </w:r>
      <w:r>
        <w:rPr>
          <w:bCs/>
          <w:noProof/>
        </w:rPr>
        <w:t>83</w:t>
      </w:r>
      <w:r w:rsidRPr="00C120D7">
        <w:rPr>
          <w:bCs/>
        </w:rPr>
        <w:fldChar w:fldCharType="end"/>
      </w:r>
      <w:r>
        <w:rPr>
          <w:bCs/>
        </w:rPr>
        <w:t>.1-83.2</w:t>
      </w:r>
      <w:r>
        <w:t xml:space="preserve">: </w:t>
      </w:r>
      <w:r w:rsidRPr="00C5739E">
        <w:t xml:space="preserve">You feel you’re part of Australia’s LGBTIQ community </w:t>
      </w:r>
      <w:r>
        <w:t xml:space="preserve">among adults with disability aged 18+ years, grouped </w:t>
      </w:r>
      <w:r w:rsidRPr="00C5739E">
        <w:t xml:space="preserve">by </w:t>
      </w:r>
      <w:r>
        <w:t xml:space="preserve">cultural background </w:t>
      </w:r>
      <w:r w:rsidRPr="00C5739E">
        <w:t xml:space="preserve">(n = </w:t>
      </w:r>
      <w:r>
        <w:t>2269</w:t>
      </w:r>
      <w:r w:rsidRPr="00C5739E">
        <w:t>)</w:t>
      </w:r>
      <w:bookmarkEnd w:id="770"/>
      <w:bookmarkEnd w:id="771"/>
    </w:p>
    <w:p w14:paraId="412DCABB" w14:textId="77777777" w:rsidR="009D0006" w:rsidRPr="00C5739E" w:rsidRDefault="009D0006" w:rsidP="00650B64">
      <w:pPr>
        <w:pStyle w:val="Tableheading"/>
        <w:spacing w:before="120"/>
      </w:pPr>
      <w:r>
        <w:t>Table 83.1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5C50EF" w14:paraId="70EAED2A" w14:textId="77777777" w:rsidTr="00254922">
        <w:trPr>
          <w:cnfStyle w:val="100000000000" w:firstRow="1" w:lastRow="0" w:firstColumn="0" w:lastColumn="0" w:oddVBand="0" w:evenVBand="0" w:oddHBand="0" w:evenHBand="0" w:firstRowFirstColumn="0" w:firstRowLastColumn="0" w:lastRowFirstColumn="0" w:lastRowLastColumn="0"/>
          <w:trHeight w:val="305"/>
        </w:trPr>
        <w:tc>
          <w:tcPr>
            <w:tcW w:w="6746" w:type="dxa"/>
            <w:noWrap/>
            <w:hideMark/>
          </w:tcPr>
          <w:p w14:paraId="14C73F14" w14:textId="77777777" w:rsidR="009D0006" w:rsidRPr="00866901" w:rsidRDefault="009D0006" w:rsidP="00254922">
            <w:pPr>
              <w:pStyle w:val="Tableheader"/>
            </w:pPr>
            <w:r w:rsidRPr="00866901">
              <w:t>Feel part of LGBTIQ community</w:t>
            </w:r>
          </w:p>
        </w:tc>
        <w:tc>
          <w:tcPr>
            <w:tcW w:w="1559" w:type="dxa"/>
            <w:noWrap/>
            <w:hideMark/>
          </w:tcPr>
          <w:p w14:paraId="3ACB9F42" w14:textId="77777777" w:rsidR="009D0006" w:rsidRPr="005C50EF" w:rsidRDefault="009D0006" w:rsidP="00254922">
            <w:pPr>
              <w:pStyle w:val="Tableheader"/>
              <w:rPr>
                <w:bCs/>
              </w:rPr>
            </w:pPr>
            <w:r w:rsidRPr="005C50EF">
              <w:rPr>
                <w:bCs/>
              </w:rPr>
              <w:t>n</w:t>
            </w:r>
          </w:p>
        </w:tc>
        <w:tc>
          <w:tcPr>
            <w:tcW w:w="1559" w:type="dxa"/>
            <w:noWrap/>
            <w:hideMark/>
          </w:tcPr>
          <w:p w14:paraId="30A97B46" w14:textId="77777777" w:rsidR="009D0006" w:rsidRPr="005C50EF" w:rsidRDefault="009D0006" w:rsidP="00254922">
            <w:pPr>
              <w:pStyle w:val="Tableheader"/>
              <w:rPr>
                <w:bCs/>
              </w:rPr>
            </w:pPr>
            <w:r w:rsidRPr="005C50EF">
              <w:rPr>
                <w:bCs/>
              </w:rPr>
              <w:t>%</w:t>
            </w:r>
          </w:p>
        </w:tc>
      </w:tr>
      <w:tr w:rsidR="009D0006" w:rsidRPr="00163723" w14:paraId="04A9A52E" w14:textId="77777777" w:rsidTr="00254922">
        <w:trPr>
          <w:cnfStyle w:val="000000100000" w:firstRow="0" w:lastRow="0" w:firstColumn="0" w:lastColumn="0" w:oddVBand="0" w:evenVBand="0" w:oddHBand="1" w:evenHBand="0" w:firstRowFirstColumn="0" w:firstRowLastColumn="0" w:lastRowFirstColumn="0" w:lastRowLastColumn="0"/>
          <w:trHeight w:val="305"/>
        </w:trPr>
        <w:tc>
          <w:tcPr>
            <w:tcW w:w="6746" w:type="dxa"/>
            <w:noWrap/>
            <w:hideMark/>
          </w:tcPr>
          <w:p w14:paraId="7F99620F" w14:textId="77777777" w:rsidR="009D0006" w:rsidRPr="00163723" w:rsidRDefault="009D0006" w:rsidP="00254922">
            <w:pPr>
              <w:pStyle w:val="Tabletext"/>
            </w:pPr>
            <w:r w:rsidRPr="00163723">
              <w:t>Do not agree</w:t>
            </w:r>
          </w:p>
        </w:tc>
        <w:tc>
          <w:tcPr>
            <w:tcW w:w="1559" w:type="dxa"/>
            <w:noWrap/>
          </w:tcPr>
          <w:p w14:paraId="3A53D8C1" w14:textId="77777777" w:rsidR="009D0006" w:rsidRPr="00163723" w:rsidRDefault="009D0006" w:rsidP="00254922">
            <w:pPr>
              <w:pStyle w:val="Tabletext"/>
            </w:pPr>
            <w:r>
              <w:t>718</w:t>
            </w:r>
          </w:p>
        </w:tc>
        <w:tc>
          <w:tcPr>
            <w:tcW w:w="1559" w:type="dxa"/>
            <w:noWrap/>
          </w:tcPr>
          <w:p w14:paraId="3DAF2EF8" w14:textId="77777777" w:rsidR="009D0006" w:rsidRPr="00163723" w:rsidRDefault="009D0006" w:rsidP="00254922">
            <w:pPr>
              <w:pStyle w:val="Tabletext"/>
            </w:pPr>
            <w:r>
              <w:t>44.7</w:t>
            </w:r>
          </w:p>
        </w:tc>
      </w:tr>
      <w:tr w:rsidR="009D0006" w:rsidRPr="00163723" w14:paraId="2A0B3A9C" w14:textId="77777777" w:rsidTr="00254922">
        <w:trPr>
          <w:cnfStyle w:val="000000010000" w:firstRow="0" w:lastRow="0" w:firstColumn="0" w:lastColumn="0" w:oddVBand="0" w:evenVBand="0" w:oddHBand="0" w:evenHBand="1" w:firstRowFirstColumn="0" w:firstRowLastColumn="0" w:lastRowFirstColumn="0" w:lastRowLastColumn="0"/>
          <w:trHeight w:val="305"/>
        </w:trPr>
        <w:tc>
          <w:tcPr>
            <w:tcW w:w="6746" w:type="dxa"/>
            <w:noWrap/>
            <w:hideMark/>
          </w:tcPr>
          <w:p w14:paraId="7B329B51" w14:textId="77777777" w:rsidR="009D0006" w:rsidRPr="00163723" w:rsidRDefault="009D0006" w:rsidP="00254922">
            <w:pPr>
              <w:pStyle w:val="Tabletext"/>
            </w:pPr>
            <w:r w:rsidRPr="00163723">
              <w:t>Agree/strongly agree</w:t>
            </w:r>
          </w:p>
        </w:tc>
        <w:tc>
          <w:tcPr>
            <w:tcW w:w="1559" w:type="dxa"/>
            <w:noWrap/>
          </w:tcPr>
          <w:p w14:paraId="5F7D68D0" w14:textId="77777777" w:rsidR="009D0006" w:rsidRPr="00163723" w:rsidRDefault="009D0006" w:rsidP="00254922">
            <w:pPr>
              <w:pStyle w:val="Tabletext"/>
            </w:pPr>
            <w:r>
              <w:t>890</w:t>
            </w:r>
          </w:p>
        </w:tc>
        <w:tc>
          <w:tcPr>
            <w:tcW w:w="1559" w:type="dxa"/>
            <w:noWrap/>
          </w:tcPr>
          <w:p w14:paraId="692ACD1A" w14:textId="77777777" w:rsidR="009D0006" w:rsidRPr="00163723" w:rsidRDefault="009D0006" w:rsidP="00254922">
            <w:pPr>
              <w:pStyle w:val="Tabletext"/>
            </w:pPr>
            <w:r>
              <w:t>55.3</w:t>
            </w:r>
          </w:p>
        </w:tc>
      </w:tr>
    </w:tbl>
    <w:p w14:paraId="0BD43630" w14:textId="77777777" w:rsidR="009D0006" w:rsidRPr="00866901" w:rsidRDefault="009D0006" w:rsidP="004E2605">
      <w:pPr>
        <w:pStyle w:val="Tableheading"/>
        <w:spacing w:before="120"/>
      </w:pPr>
      <w:r>
        <w:t>Table 83.2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163723" w14:paraId="1614C6B0" w14:textId="77777777" w:rsidTr="00254922">
        <w:trPr>
          <w:cnfStyle w:val="100000000000" w:firstRow="1" w:lastRow="0" w:firstColumn="0" w:lastColumn="0" w:oddVBand="0" w:evenVBand="0" w:oddHBand="0" w:evenHBand="0" w:firstRowFirstColumn="0" w:firstRowLastColumn="0" w:lastRowFirstColumn="0" w:lastRowLastColumn="0"/>
          <w:trHeight w:val="348"/>
        </w:trPr>
        <w:tc>
          <w:tcPr>
            <w:tcW w:w="6746" w:type="dxa"/>
            <w:noWrap/>
            <w:hideMark/>
          </w:tcPr>
          <w:p w14:paraId="672F75CC" w14:textId="77777777" w:rsidR="009D0006" w:rsidRPr="00163723" w:rsidRDefault="009D0006" w:rsidP="00254922">
            <w:pPr>
              <w:pStyle w:val="Tableheader"/>
            </w:pPr>
            <w:r>
              <w:t>Feel part of LGBTIQ community</w:t>
            </w:r>
          </w:p>
        </w:tc>
        <w:tc>
          <w:tcPr>
            <w:tcW w:w="1559" w:type="dxa"/>
            <w:noWrap/>
            <w:hideMark/>
          </w:tcPr>
          <w:p w14:paraId="22C71350" w14:textId="77777777" w:rsidR="009D0006" w:rsidRPr="005C50EF" w:rsidRDefault="009D0006" w:rsidP="00254922">
            <w:pPr>
              <w:pStyle w:val="Tableheader"/>
              <w:rPr>
                <w:bCs/>
              </w:rPr>
            </w:pPr>
            <w:r w:rsidRPr="005C50EF">
              <w:rPr>
                <w:bCs/>
              </w:rPr>
              <w:t>n</w:t>
            </w:r>
          </w:p>
        </w:tc>
        <w:tc>
          <w:tcPr>
            <w:tcW w:w="1559" w:type="dxa"/>
            <w:noWrap/>
            <w:hideMark/>
          </w:tcPr>
          <w:p w14:paraId="4A3CB5BC" w14:textId="77777777" w:rsidR="009D0006" w:rsidRPr="005C50EF" w:rsidRDefault="009D0006" w:rsidP="00254922">
            <w:pPr>
              <w:pStyle w:val="Tableheader"/>
              <w:rPr>
                <w:bCs/>
              </w:rPr>
            </w:pPr>
            <w:r w:rsidRPr="005C50EF">
              <w:rPr>
                <w:bCs/>
              </w:rPr>
              <w:t>%</w:t>
            </w:r>
          </w:p>
        </w:tc>
      </w:tr>
      <w:tr w:rsidR="009D0006" w:rsidRPr="00163723" w14:paraId="1984EB10" w14:textId="77777777" w:rsidTr="00254922">
        <w:trPr>
          <w:cnfStyle w:val="000000100000" w:firstRow="0" w:lastRow="0" w:firstColumn="0" w:lastColumn="0" w:oddVBand="0" w:evenVBand="0" w:oddHBand="1" w:evenHBand="0" w:firstRowFirstColumn="0" w:firstRowLastColumn="0" w:lastRowFirstColumn="0" w:lastRowLastColumn="0"/>
          <w:trHeight w:val="348"/>
        </w:trPr>
        <w:tc>
          <w:tcPr>
            <w:tcW w:w="6746" w:type="dxa"/>
            <w:noWrap/>
            <w:hideMark/>
          </w:tcPr>
          <w:p w14:paraId="36171C2A" w14:textId="77777777" w:rsidR="009D0006" w:rsidRPr="00163723" w:rsidRDefault="009D0006" w:rsidP="00254922">
            <w:pPr>
              <w:pStyle w:val="Tabletext"/>
            </w:pPr>
            <w:r w:rsidRPr="00163723">
              <w:t>Do not agree</w:t>
            </w:r>
          </w:p>
        </w:tc>
        <w:tc>
          <w:tcPr>
            <w:tcW w:w="1559" w:type="dxa"/>
            <w:noWrap/>
          </w:tcPr>
          <w:p w14:paraId="2FA04303" w14:textId="77777777" w:rsidR="009D0006" w:rsidRPr="00163723" w:rsidRDefault="009D0006" w:rsidP="00254922">
            <w:pPr>
              <w:pStyle w:val="Tabletext"/>
            </w:pPr>
            <w:r>
              <w:t>290</w:t>
            </w:r>
          </w:p>
        </w:tc>
        <w:tc>
          <w:tcPr>
            <w:tcW w:w="1559" w:type="dxa"/>
            <w:noWrap/>
          </w:tcPr>
          <w:p w14:paraId="32379611" w14:textId="77777777" w:rsidR="009D0006" w:rsidRPr="00163723" w:rsidRDefault="009D0006" w:rsidP="00254922">
            <w:pPr>
              <w:pStyle w:val="Tabletext"/>
            </w:pPr>
            <w:r>
              <w:t>43.9</w:t>
            </w:r>
          </w:p>
        </w:tc>
      </w:tr>
      <w:tr w:rsidR="009D0006" w:rsidRPr="00163723" w14:paraId="3F1F26A6" w14:textId="77777777" w:rsidTr="00254922">
        <w:trPr>
          <w:cnfStyle w:val="000000010000" w:firstRow="0" w:lastRow="0" w:firstColumn="0" w:lastColumn="0" w:oddVBand="0" w:evenVBand="0" w:oddHBand="0" w:evenHBand="1" w:firstRowFirstColumn="0" w:firstRowLastColumn="0" w:lastRowFirstColumn="0" w:lastRowLastColumn="0"/>
          <w:trHeight w:val="348"/>
        </w:trPr>
        <w:tc>
          <w:tcPr>
            <w:tcW w:w="6746" w:type="dxa"/>
            <w:noWrap/>
            <w:hideMark/>
          </w:tcPr>
          <w:p w14:paraId="1B3A72F9" w14:textId="77777777" w:rsidR="009D0006" w:rsidRPr="00163723" w:rsidRDefault="009D0006" w:rsidP="00254922">
            <w:pPr>
              <w:pStyle w:val="Tabletext"/>
            </w:pPr>
            <w:r w:rsidRPr="00163723">
              <w:t>Agree/strongly agree</w:t>
            </w:r>
          </w:p>
        </w:tc>
        <w:tc>
          <w:tcPr>
            <w:tcW w:w="1559" w:type="dxa"/>
            <w:noWrap/>
          </w:tcPr>
          <w:p w14:paraId="2C5969BD" w14:textId="77777777" w:rsidR="009D0006" w:rsidRPr="00163723" w:rsidRDefault="009D0006" w:rsidP="00254922">
            <w:pPr>
              <w:pStyle w:val="Tabletext"/>
            </w:pPr>
            <w:r>
              <w:t>371</w:t>
            </w:r>
          </w:p>
        </w:tc>
        <w:tc>
          <w:tcPr>
            <w:tcW w:w="1559" w:type="dxa"/>
            <w:noWrap/>
          </w:tcPr>
          <w:p w14:paraId="7D3A42BC" w14:textId="77777777" w:rsidR="009D0006" w:rsidRPr="00163723" w:rsidRDefault="009D0006" w:rsidP="00254922">
            <w:pPr>
              <w:pStyle w:val="Tabletext"/>
            </w:pPr>
            <w:r>
              <w:t>56.1</w:t>
            </w:r>
          </w:p>
        </w:tc>
      </w:tr>
    </w:tbl>
    <w:p w14:paraId="7AC5FB06" w14:textId="77777777" w:rsidR="009D0006" w:rsidRPr="00837FAD" w:rsidRDefault="009D0006" w:rsidP="004E2605">
      <w:pPr>
        <w:spacing w:before="240"/>
      </w:pPr>
      <w:r w:rsidRPr="00837FAD">
        <w:t>As displayed in Table</w:t>
      </w:r>
      <w:r>
        <w:t>s</w:t>
      </w:r>
      <w:r w:rsidRPr="00837FAD">
        <w:t xml:space="preserve"> </w:t>
      </w:r>
      <w:r>
        <w:t>83.1-83.2</w:t>
      </w:r>
      <w:r w:rsidRPr="00837FAD">
        <w:t xml:space="preserve">, </w:t>
      </w:r>
      <w:r>
        <w:t xml:space="preserve">among participants with disability in </w:t>
      </w:r>
      <w:r>
        <w:rPr>
          <w:i/>
          <w:iCs/>
        </w:rPr>
        <w:t xml:space="preserve">Private Lives 3, </w:t>
      </w:r>
      <w:r>
        <w:t>a little over half felt that they were a part of Australia’s LGBTIQ community regardless of whether they were from an Anglo-Celtic background (56.1%; n = 371) or a multicultural background (55.3%; n = 890).</w:t>
      </w:r>
    </w:p>
    <w:p w14:paraId="183C0666" w14:textId="399A9A40" w:rsidR="009D0006" w:rsidRPr="00C7085D" w:rsidRDefault="009D0006" w:rsidP="004E2605">
      <w:pPr>
        <w:pStyle w:val="Heading3Numbered"/>
        <w:spacing w:before="240"/>
      </w:pPr>
      <w:bookmarkStart w:id="772" w:name="_Toc115968619"/>
      <w:r w:rsidRPr="00C7085D">
        <w:t>Attended an LGBTIQA+ youth event in the past 12 months – young people aged 14-21 years</w:t>
      </w:r>
      <w:bookmarkEnd w:id="772"/>
    </w:p>
    <w:p w14:paraId="51CE3C36" w14:textId="77777777" w:rsidR="009D0006" w:rsidRPr="00650B64" w:rsidRDefault="009D0006" w:rsidP="009D0006">
      <w:r w:rsidRPr="00650B64">
        <w:t xml:space="preserve">Participants from </w:t>
      </w:r>
      <w:r w:rsidRPr="00650B64">
        <w:rPr>
          <w:i/>
          <w:iCs/>
        </w:rPr>
        <w:t>Writing Themselves In 4</w:t>
      </w:r>
      <w:r w:rsidRPr="00650B64">
        <w:t xml:space="preserve"> were asked how often they had attended an </w:t>
      </w:r>
      <w:r w:rsidRPr="00650B64">
        <w:rPr>
          <w:lang w:val="en-US"/>
        </w:rPr>
        <w:t xml:space="preserve">LGBTIQA+ youth event </w:t>
      </w:r>
      <w:r w:rsidRPr="00650B64">
        <w:t xml:space="preserve">in the past 12 months. Response options were ‘never’, ‘annually’, ‘monthly’ and ‘weekly’. Table 84 displays the results for any attendance in the past 12 months. </w:t>
      </w:r>
    </w:p>
    <w:p w14:paraId="6FE8D68E" w14:textId="69E848C2" w:rsidR="009D0006" w:rsidRDefault="009D0006" w:rsidP="00650B64">
      <w:pPr>
        <w:pStyle w:val="Tableheading"/>
        <w:spacing w:before="120"/>
      </w:pPr>
      <w:bookmarkStart w:id="773" w:name="_Toc117062801"/>
      <w:bookmarkStart w:id="774" w:name="_Toc119651486"/>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84</w:t>
      </w:r>
      <w:r w:rsidRPr="00C120D7">
        <w:rPr>
          <w:bCs/>
        </w:rPr>
        <w:fldChar w:fldCharType="end"/>
      </w:r>
      <w:r>
        <w:rPr>
          <w:bCs/>
        </w:rPr>
        <w:t>.1-84.2</w:t>
      </w:r>
      <w:r w:rsidRPr="00C120D7">
        <w:rPr>
          <w:bCs/>
        </w:rPr>
        <w:t xml:space="preserve">: </w:t>
      </w:r>
      <w:r w:rsidRPr="00C5739E">
        <w:t>Attended a</w:t>
      </w:r>
      <w:r>
        <w:t>n</w:t>
      </w:r>
      <w:r w:rsidRPr="00C5739E">
        <w:t xml:space="preserve"> LGBTIQA+ youth event in the past 12 months </w:t>
      </w:r>
      <w:r>
        <w:t xml:space="preserve">among young people with disability aged 14-21 years, grouped </w:t>
      </w:r>
      <w:r w:rsidRPr="00C5739E">
        <w:t xml:space="preserve">by </w:t>
      </w:r>
      <w:r>
        <w:t>cultural background (n = 2295)</w:t>
      </w:r>
      <w:bookmarkEnd w:id="773"/>
      <w:bookmarkEnd w:id="774"/>
    </w:p>
    <w:p w14:paraId="527BF7DA" w14:textId="77777777" w:rsidR="009D0006" w:rsidRPr="00C5739E" w:rsidRDefault="009D0006" w:rsidP="00254922">
      <w:pPr>
        <w:pStyle w:val="Tableheading"/>
      </w:pPr>
      <w:r>
        <w:t>Table 84.1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5C50EF" w14:paraId="1E99242F" w14:textId="77777777" w:rsidTr="00254922">
        <w:trPr>
          <w:cnfStyle w:val="100000000000" w:firstRow="1" w:lastRow="0" w:firstColumn="0" w:lastColumn="0" w:oddVBand="0" w:evenVBand="0" w:oddHBand="0" w:evenHBand="0" w:firstRowFirstColumn="0" w:firstRowLastColumn="0" w:lastRowFirstColumn="0" w:lastRowLastColumn="0"/>
          <w:trHeight w:val="323"/>
        </w:trPr>
        <w:tc>
          <w:tcPr>
            <w:tcW w:w="6746" w:type="dxa"/>
            <w:noWrap/>
            <w:hideMark/>
          </w:tcPr>
          <w:p w14:paraId="78E0402E" w14:textId="77777777" w:rsidR="009D0006" w:rsidRPr="00163723" w:rsidRDefault="009D0006" w:rsidP="00254922">
            <w:pPr>
              <w:pStyle w:val="Tableheader"/>
            </w:pPr>
            <w:r>
              <w:t>Attended LGBTIQA+ event</w:t>
            </w:r>
          </w:p>
        </w:tc>
        <w:tc>
          <w:tcPr>
            <w:tcW w:w="1559" w:type="dxa"/>
            <w:noWrap/>
            <w:hideMark/>
          </w:tcPr>
          <w:p w14:paraId="4E0B2AAF" w14:textId="77777777" w:rsidR="009D0006" w:rsidRPr="005C50EF" w:rsidRDefault="009D0006" w:rsidP="00254922">
            <w:pPr>
              <w:pStyle w:val="Tableheader"/>
              <w:rPr>
                <w:bCs/>
              </w:rPr>
            </w:pPr>
            <w:r w:rsidRPr="005C50EF">
              <w:rPr>
                <w:bCs/>
              </w:rPr>
              <w:t>n</w:t>
            </w:r>
          </w:p>
        </w:tc>
        <w:tc>
          <w:tcPr>
            <w:tcW w:w="1559" w:type="dxa"/>
            <w:noWrap/>
            <w:hideMark/>
          </w:tcPr>
          <w:p w14:paraId="1D714CB9" w14:textId="77777777" w:rsidR="009D0006" w:rsidRPr="005C50EF" w:rsidRDefault="009D0006" w:rsidP="00254922">
            <w:pPr>
              <w:pStyle w:val="Tableheader"/>
              <w:rPr>
                <w:bCs/>
              </w:rPr>
            </w:pPr>
            <w:r w:rsidRPr="005C50EF">
              <w:rPr>
                <w:bCs/>
              </w:rPr>
              <w:t>%</w:t>
            </w:r>
          </w:p>
        </w:tc>
      </w:tr>
      <w:tr w:rsidR="009D0006" w:rsidRPr="00163723" w14:paraId="03B78EFF" w14:textId="77777777" w:rsidTr="00254922">
        <w:trPr>
          <w:cnfStyle w:val="000000100000" w:firstRow="0" w:lastRow="0" w:firstColumn="0" w:lastColumn="0" w:oddVBand="0" w:evenVBand="0" w:oddHBand="1" w:evenHBand="0" w:firstRowFirstColumn="0" w:firstRowLastColumn="0" w:lastRowFirstColumn="0" w:lastRowLastColumn="0"/>
          <w:trHeight w:val="323"/>
        </w:trPr>
        <w:tc>
          <w:tcPr>
            <w:tcW w:w="6746" w:type="dxa"/>
            <w:noWrap/>
            <w:hideMark/>
          </w:tcPr>
          <w:p w14:paraId="740DE3C8" w14:textId="77777777" w:rsidR="009D0006" w:rsidRPr="00163723" w:rsidRDefault="009D0006" w:rsidP="00254922">
            <w:pPr>
              <w:pStyle w:val="Tabletext"/>
            </w:pPr>
            <w:r>
              <w:t>No</w:t>
            </w:r>
          </w:p>
        </w:tc>
        <w:tc>
          <w:tcPr>
            <w:tcW w:w="1559" w:type="dxa"/>
            <w:noWrap/>
          </w:tcPr>
          <w:p w14:paraId="53E85F26" w14:textId="77777777" w:rsidR="009D0006" w:rsidRPr="00163723" w:rsidRDefault="009D0006" w:rsidP="00254922">
            <w:pPr>
              <w:pStyle w:val="Tabletext"/>
            </w:pPr>
            <w:r>
              <w:t>991</w:t>
            </w:r>
          </w:p>
        </w:tc>
        <w:tc>
          <w:tcPr>
            <w:tcW w:w="1559" w:type="dxa"/>
            <w:noWrap/>
          </w:tcPr>
          <w:p w14:paraId="14971970" w14:textId="77777777" w:rsidR="009D0006" w:rsidRPr="00163723" w:rsidRDefault="009D0006" w:rsidP="00254922">
            <w:pPr>
              <w:pStyle w:val="Tabletext"/>
            </w:pPr>
            <w:r>
              <w:t>82.5</w:t>
            </w:r>
          </w:p>
        </w:tc>
      </w:tr>
      <w:tr w:rsidR="009D0006" w:rsidRPr="00163723" w14:paraId="6EA15249" w14:textId="77777777" w:rsidTr="00254922">
        <w:trPr>
          <w:cnfStyle w:val="000000010000" w:firstRow="0" w:lastRow="0" w:firstColumn="0" w:lastColumn="0" w:oddVBand="0" w:evenVBand="0" w:oddHBand="0" w:evenHBand="1" w:firstRowFirstColumn="0" w:firstRowLastColumn="0" w:lastRowFirstColumn="0" w:lastRowLastColumn="0"/>
          <w:trHeight w:val="323"/>
        </w:trPr>
        <w:tc>
          <w:tcPr>
            <w:tcW w:w="6746" w:type="dxa"/>
            <w:noWrap/>
            <w:hideMark/>
          </w:tcPr>
          <w:p w14:paraId="33F56DAE" w14:textId="77777777" w:rsidR="009D0006" w:rsidRPr="00163723" w:rsidRDefault="009D0006" w:rsidP="00254922">
            <w:pPr>
              <w:pStyle w:val="Tabletext"/>
            </w:pPr>
            <w:r>
              <w:t>Yes</w:t>
            </w:r>
          </w:p>
        </w:tc>
        <w:tc>
          <w:tcPr>
            <w:tcW w:w="1559" w:type="dxa"/>
            <w:noWrap/>
          </w:tcPr>
          <w:p w14:paraId="697D8A05" w14:textId="77777777" w:rsidR="009D0006" w:rsidRPr="00163723" w:rsidRDefault="009D0006" w:rsidP="00254922">
            <w:pPr>
              <w:pStyle w:val="Tabletext"/>
            </w:pPr>
            <w:r>
              <w:t>210</w:t>
            </w:r>
          </w:p>
        </w:tc>
        <w:tc>
          <w:tcPr>
            <w:tcW w:w="1559" w:type="dxa"/>
            <w:noWrap/>
          </w:tcPr>
          <w:p w14:paraId="1024CB8B" w14:textId="77777777" w:rsidR="009D0006" w:rsidRPr="00163723" w:rsidRDefault="009D0006" w:rsidP="00254922">
            <w:pPr>
              <w:pStyle w:val="Tabletext"/>
            </w:pPr>
            <w:r>
              <w:t>17.5</w:t>
            </w:r>
          </w:p>
        </w:tc>
      </w:tr>
    </w:tbl>
    <w:p w14:paraId="3DDE9C9A" w14:textId="77777777" w:rsidR="009D0006" w:rsidRPr="00790042" w:rsidRDefault="009D0006" w:rsidP="00650B64">
      <w:pPr>
        <w:pStyle w:val="Tableheading"/>
        <w:spacing w:before="120"/>
      </w:pPr>
      <w:r>
        <w:t>Table 84.2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163723" w14:paraId="66A54C99" w14:textId="77777777" w:rsidTr="00254922">
        <w:trPr>
          <w:cnfStyle w:val="100000000000" w:firstRow="1" w:lastRow="0" w:firstColumn="0" w:lastColumn="0" w:oddVBand="0" w:evenVBand="0" w:oddHBand="0" w:evenHBand="0" w:firstRowFirstColumn="0" w:firstRowLastColumn="0" w:lastRowFirstColumn="0" w:lastRowLastColumn="0"/>
          <w:trHeight w:val="305"/>
        </w:trPr>
        <w:tc>
          <w:tcPr>
            <w:tcW w:w="6746" w:type="dxa"/>
            <w:noWrap/>
            <w:hideMark/>
          </w:tcPr>
          <w:p w14:paraId="202A90F2" w14:textId="77777777" w:rsidR="009D0006" w:rsidRPr="00163723" w:rsidRDefault="009D0006" w:rsidP="00254922">
            <w:pPr>
              <w:pStyle w:val="Tableheader"/>
            </w:pPr>
            <w:r>
              <w:t>Attended LGBTIQA+ event</w:t>
            </w:r>
            <w:r w:rsidRPr="00163723">
              <w:t> </w:t>
            </w:r>
          </w:p>
        </w:tc>
        <w:tc>
          <w:tcPr>
            <w:tcW w:w="1559" w:type="dxa"/>
            <w:noWrap/>
            <w:hideMark/>
          </w:tcPr>
          <w:p w14:paraId="1C0754F4" w14:textId="77777777" w:rsidR="009D0006" w:rsidRPr="005C50EF" w:rsidRDefault="009D0006" w:rsidP="00254922">
            <w:pPr>
              <w:pStyle w:val="Tableheader"/>
              <w:rPr>
                <w:bCs/>
              </w:rPr>
            </w:pPr>
            <w:r w:rsidRPr="005C50EF">
              <w:rPr>
                <w:bCs/>
              </w:rPr>
              <w:t>n</w:t>
            </w:r>
          </w:p>
        </w:tc>
        <w:tc>
          <w:tcPr>
            <w:tcW w:w="1559" w:type="dxa"/>
            <w:noWrap/>
            <w:hideMark/>
          </w:tcPr>
          <w:p w14:paraId="6052E197" w14:textId="77777777" w:rsidR="009D0006" w:rsidRPr="005C50EF" w:rsidRDefault="009D0006" w:rsidP="00254922">
            <w:pPr>
              <w:pStyle w:val="Tableheader"/>
              <w:rPr>
                <w:bCs/>
              </w:rPr>
            </w:pPr>
            <w:r w:rsidRPr="005C50EF">
              <w:rPr>
                <w:bCs/>
              </w:rPr>
              <w:t>%</w:t>
            </w:r>
          </w:p>
        </w:tc>
      </w:tr>
      <w:tr w:rsidR="009D0006" w:rsidRPr="00163723" w14:paraId="1F2A1CF8" w14:textId="77777777" w:rsidTr="00254922">
        <w:trPr>
          <w:cnfStyle w:val="000000100000" w:firstRow="0" w:lastRow="0" w:firstColumn="0" w:lastColumn="0" w:oddVBand="0" w:evenVBand="0" w:oddHBand="1" w:evenHBand="0" w:firstRowFirstColumn="0" w:firstRowLastColumn="0" w:lastRowFirstColumn="0" w:lastRowLastColumn="0"/>
          <w:trHeight w:val="305"/>
        </w:trPr>
        <w:tc>
          <w:tcPr>
            <w:tcW w:w="6746" w:type="dxa"/>
            <w:noWrap/>
            <w:hideMark/>
          </w:tcPr>
          <w:p w14:paraId="6E787540" w14:textId="77777777" w:rsidR="009D0006" w:rsidRPr="00163723" w:rsidRDefault="009D0006" w:rsidP="00254922">
            <w:pPr>
              <w:pStyle w:val="Tabletext"/>
            </w:pPr>
            <w:r>
              <w:t>No</w:t>
            </w:r>
          </w:p>
        </w:tc>
        <w:tc>
          <w:tcPr>
            <w:tcW w:w="1559" w:type="dxa"/>
            <w:noWrap/>
          </w:tcPr>
          <w:p w14:paraId="1E371921" w14:textId="77777777" w:rsidR="009D0006" w:rsidRPr="00163723" w:rsidRDefault="009D0006" w:rsidP="00254922">
            <w:pPr>
              <w:pStyle w:val="Tabletext"/>
            </w:pPr>
            <w:r>
              <w:t>880</w:t>
            </w:r>
          </w:p>
        </w:tc>
        <w:tc>
          <w:tcPr>
            <w:tcW w:w="1559" w:type="dxa"/>
            <w:noWrap/>
          </w:tcPr>
          <w:p w14:paraId="42CBCAA6" w14:textId="77777777" w:rsidR="009D0006" w:rsidRPr="00163723" w:rsidRDefault="009D0006" w:rsidP="00254922">
            <w:pPr>
              <w:pStyle w:val="Tabletext"/>
            </w:pPr>
            <w:r>
              <w:t>80.4</w:t>
            </w:r>
          </w:p>
        </w:tc>
      </w:tr>
      <w:tr w:rsidR="009D0006" w:rsidRPr="00163723" w14:paraId="5B116CF6" w14:textId="77777777" w:rsidTr="00254922">
        <w:trPr>
          <w:cnfStyle w:val="000000010000" w:firstRow="0" w:lastRow="0" w:firstColumn="0" w:lastColumn="0" w:oddVBand="0" w:evenVBand="0" w:oddHBand="0" w:evenHBand="1" w:firstRowFirstColumn="0" w:firstRowLastColumn="0" w:lastRowFirstColumn="0" w:lastRowLastColumn="0"/>
          <w:trHeight w:val="305"/>
        </w:trPr>
        <w:tc>
          <w:tcPr>
            <w:tcW w:w="6746" w:type="dxa"/>
            <w:noWrap/>
            <w:hideMark/>
          </w:tcPr>
          <w:p w14:paraId="2DA627B1" w14:textId="77777777" w:rsidR="009D0006" w:rsidRPr="00163723" w:rsidRDefault="009D0006" w:rsidP="00254922">
            <w:pPr>
              <w:pStyle w:val="Tabletext"/>
            </w:pPr>
            <w:r>
              <w:t>Yes</w:t>
            </w:r>
          </w:p>
        </w:tc>
        <w:tc>
          <w:tcPr>
            <w:tcW w:w="1559" w:type="dxa"/>
            <w:noWrap/>
          </w:tcPr>
          <w:p w14:paraId="5A4D83B8" w14:textId="77777777" w:rsidR="009D0006" w:rsidRPr="00163723" w:rsidRDefault="009D0006" w:rsidP="00254922">
            <w:pPr>
              <w:pStyle w:val="Tabletext"/>
            </w:pPr>
            <w:r>
              <w:t>214</w:t>
            </w:r>
          </w:p>
        </w:tc>
        <w:tc>
          <w:tcPr>
            <w:tcW w:w="1559" w:type="dxa"/>
            <w:noWrap/>
          </w:tcPr>
          <w:p w14:paraId="6AC3228D" w14:textId="77777777" w:rsidR="009D0006" w:rsidRPr="00163723" w:rsidRDefault="009D0006" w:rsidP="00254922">
            <w:pPr>
              <w:pStyle w:val="Tabletext"/>
            </w:pPr>
            <w:r>
              <w:t>19.6</w:t>
            </w:r>
          </w:p>
        </w:tc>
      </w:tr>
    </w:tbl>
    <w:p w14:paraId="52EB198F" w14:textId="77777777" w:rsidR="009D0006" w:rsidRPr="00837FAD" w:rsidRDefault="009D0006" w:rsidP="00184CF2">
      <w:pPr>
        <w:spacing w:before="360"/>
      </w:pPr>
      <w:r w:rsidRPr="00837FAD">
        <w:t>As shown in</w:t>
      </w:r>
      <w:r w:rsidRPr="00837FAD">
        <w:lastRenderedPageBreak/>
        <w:t xml:space="preserve"> Table</w:t>
      </w:r>
      <w:r>
        <w:t>s</w:t>
      </w:r>
      <w:r w:rsidRPr="00837FAD">
        <w:t xml:space="preserve"> </w:t>
      </w:r>
      <w:r>
        <w:t xml:space="preserve">84.1-84.2, among participants with disability in </w:t>
      </w:r>
      <w:r>
        <w:rPr>
          <w:i/>
          <w:iCs/>
        </w:rPr>
        <w:t>Writing Themselves In 4</w:t>
      </w:r>
      <w:r>
        <w:t>, just under one-fifth had attended an LGBTIQA+ youth even in the past 12 months regardless of whether they were from an Anglo-Celtic background (19.6%; n = 214) or from a multicultural background (17.5%; n = 210).</w:t>
      </w:r>
    </w:p>
    <w:p w14:paraId="20405599" w14:textId="7B1C5333" w:rsidR="009D0006" w:rsidRPr="00C5739E" w:rsidRDefault="009D0006" w:rsidP="006346CA">
      <w:pPr>
        <w:pStyle w:val="Heading2Numbered"/>
      </w:pPr>
      <w:bookmarkStart w:id="775" w:name="_Toc115968620"/>
      <w:bookmarkStart w:id="776" w:name="_Toc119662460"/>
      <w:r w:rsidRPr="00C5739E">
        <w:t>Feelings of acceptance – adults aged 18+ years</w:t>
      </w:r>
      <w:bookmarkEnd w:id="775"/>
      <w:bookmarkEnd w:id="776"/>
    </w:p>
    <w:p w14:paraId="5F208F78" w14:textId="77777777" w:rsidR="009D0006" w:rsidRPr="00C5739E" w:rsidRDefault="009D0006" w:rsidP="009D0006">
      <w:r w:rsidRPr="00C5739E">
        <w:t xml:space="preserve">Table </w:t>
      </w:r>
      <w:r>
        <w:t>85</w:t>
      </w:r>
      <w:r w:rsidRPr="00C5739E">
        <w:t xml:space="preserve"> displays the numbers and percentages of participants in </w:t>
      </w:r>
      <w:r w:rsidRPr="00C120D7">
        <w:rPr>
          <w:i/>
          <w:iCs/>
        </w:rPr>
        <w:t>Private Lives 3</w:t>
      </w:r>
      <w:r w:rsidRPr="00C5739E">
        <w:t xml:space="preserve"> who felt they were accepted ‘a lot’ or ‘always’ in a range of situations according to whether </w:t>
      </w:r>
      <w:r>
        <w:t>they</w:t>
      </w:r>
      <w:r w:rsidRPr="00C5739E">
        <w:t xml:space="preserve"> were from multicultural backgrounds or an Anglo-Celtic background.</w:t>
      </w:r>
    </w:p>
    <w:p w14:paraId="75CCC814" w14:textId="218B27A4" w:rsidR="009D0006" w:rsidRPr="00254922" w:rsidRDefault="009D0006" w:rsidP="00254922">
      <w:pPr>
        <w:pStyle w:val="Tableheading"/>
        <w:rPr>
          <w:rFonts w:ascii="Roboto Medium" w:eastAsia="MS Mincho" w:hAnsi="Roboto Medium"/>
          <w:color w:val="000000"/>
          <w:sz w:val="23"/>
          <w:szCs w:val="23"/>
        </w:rPr>
      </w:pPr>
      <w:bookmarkStart w:id="777" w:name="_Toc117062802"/>
      <w:bookmarkStart w:id="778" w:name="_Toc119651487"/>
      <w:r w:rsidRPr="00AF592E">
        <w:t>Table</w:t>
      </w:r>
      <w:r>
        <w:t>s</w:t>
      </w:r>
      <w:r w:rsidRPr="00AF592E">
        <w:t xml:space="preserve"> </w:t>
      </w:r>
      <w:r>
        <w:rPr>
          <w:noProof/>
        </w:rPr>
        <w:fldChar w:fldCharType="begin"/>
      </w:r>
      <w:r>
        <w:rPr>
          <w:noProof/>
        </w:rPr>
        <w:instrText xml:space="preserve"> SEQ Table \* ARABIC </w:instrText>
      </w:r>
      <w:r>
        <w:rPr>
          <w:noProof/>
        </w:rPr>
        <w:fldChar w:fldCharType="separate"/>
      </w:r>
      <w:r>
        <w:rPr>
          <w:noProof/>
        </w:rPr>
        <w:t>85</w:t>
      </w:r>
      <w:r>
        <w:rPr>
          <w:noProof/>
        </w:rPr>
        <w:fldChar w:fldCharType="end"/>
      </w:r>
      <w:r>
        <w:rPr>
          <w:noProof/>
        </w:rPr>
        <w:t>.1-85.2</w:t>
      </w:r>
      <w:r>
        <w:t>: Proportion of adults with disability aged 18+ years</w:t>
      </w:r>
      <w:r w:rsidRPr="00AF592E">
        <w:t xml:space="preserve"> </w:t>
      </w:r>
      <w:r>
        <w:t>who c</w:t>
      </w:r>
      <w:r w:rsidRPr="00AF592E">
        <w:t>urrently feel accepted ‘a lot’ or ‘always’</w:t>
      </w:r>
      <w:r>
        <w:t xml:space="preserve">, grouped </w:t>
      </w:r>
      <w:r w:rsidRPr="00AF592E">
        <w:t>by</w:t>
      </w:r>
      <w:r>
        <w:t xml:space="preserve"> cultural background</w:t>
      </w:r>
      <w:bookmarkEnd w:id="777"/>
      <w:bookmarkEnd w:id="778"/>
      <w:r>
        <w:t xml:space="preserve"> </w:t>
      </w:r>
    </w:p>
    <w:p w14:paraId="4C249230" w14:textId="77777777" w:rsidR="009D0006" w:rsidRPr="00AF592E" w:rsidRDefault="009D0006" w:rsidP="00254922">
      <w:pPr>
        <w:pStyle w:val="Tableheading"/>
      </w:pPr>
      <w:r>
        <w:t>Table 85.1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F2612" w14:paraId="1D7FB314" w14:textId="77777777" w:rsidTr="00254922">
        <w:trPr>
          <w:cnfStyle w:val="100000000000" w:firstRow="1" w:lastRow="0" w:firstColumn="0" w:lastColumn="0" w:oddVBand="0" w:evenVBand="0" w:oddHBand="0" w:evenHBand="0" w:firstRowFirstColumn="0" w:firstRowLastColumn="0" w:lastRowFirstColumn="0" w:lastRowLastColumn="0"/>
          <w:trHeight w:val="321"/>
        </w:trPr>
        <w:tc>
          <w:tcPr>
            <w:tcW w:w="6746" w:type="dxa"/>
            <w:noWrap/>
            <w:hideMark/>
          </w:tcPr>
          <w:p w14:paraId="32091D12" w14:textId="77777777" w:rsidR="009D0006" w:rsidRPr="005C50EF" w:rsidRDefault="009D0006" w:rsidP="00254922">
            <w:pPr>
              <w:pStyle w:val="Tableheader"/>
            </w:pPr>
            <w:r w:rsidRPr="005C50EF">
              <w:t>Situation</w:t>
            </w:r>
          </w:p>
        </w:tc>
        <w:tc>
          <w:tcPr>
            <w:tcW w:w="1559" w:type="dxa"/>
            <w:noWrap/>
            <w:hideMark/>
          </w:tcPr>
          <w:p w14:paraId="22AD0904" w14:textId="77777777" w:rsidR="009D0006" w:rsidRPr="005C50EF" w:rsidRDefault="009D0006" w:rsidP="00254922">
            <w:pPr>
              <w:pStyle w:val="Tableheader"/>
              <w:rPr>
                <w:bCs/>
              </w:rPr>
            </w:pPr>
            <w:r w:rsidRPr="005C50EF">
              <w:rPr>
                <w:bCs/>
              </w:rPr>
              <w:t>n</w:t>
            </w:r>
          </w:p>
        </w:tc>
        <w:tc>
          <w:tcPr>
            <w:tcW w:w="1559" w:type="dxa"/>
            <w:noWrap/>
            <w:hideMark/>
          </w:tcPr>
          <w:p w14:paraId="633FB13F" w14:textId="77777777" w:rsidR="009D0006" w:rsidRPr="005C50EF" w:rsidRDefault="009D0006" w:rsidP="00254922">
            <w:pPr>
              <w:pStyle w:val="Tableheader"/>
              <w:rPr>
                <w:bCs/>
              </w:rPr>
            </w:pPr>
            <w:r w:rsidRPr="005C50EF">
              <w:rPr>
                <w:bCs/>
              </w:rPr>
              <w:t>%</w:t>
            </w:r>
          </w:p>
        </w:tc>
      </w:tr>
      <w:tr w:rsidR="009D0006" w:rsidRPr="009F2612" w14:paraId="431E153C" w14:textId="77777777" w:rsidTr="00254922">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4705BD0A" w14:textId="77777777" w:rsidR="009D0006" w:rsidRPr="009F2612" w:rsidRDefault="009D0006" w:rsidP="00254922">
            <w:pPr>
              <w:pStyle w:val="Tabletext"/>
            </w:pPr>
            <w:r w:rsidRPr="009F2612">
              <w:rPr>
                <w:lang w:val="en-US"/>
              </w:rPr>
              <w:t>LGBTIQ venue</w:t>
            </w:r>
          </w:p>
        </w:tc>
        <w:tc>
          <w:tcPr>
            <w:tcW w:w="1559" w:type="dxa"/>
            <w:noWrap/>
          </w:tcPr>
          <w:p w14:paraId="4231FA01" w14:textId="77777777" w:rsidR="009D0006" w:rsidRPr="009F2612" w:rsidRDefault="009D0006" w:rsidP="00254922">
            <w:pPr>
              <w:pStyle w:val="Tabletext"/>
            </w:pPr>
            <w:r>
              <w:t>314</w:t>
            </w:r>
          </w:p>
        </w:tc>
        <w:tc>
          <w:tcPr>
            <w:tcW w:w="1559" w:type="dxa"/>
            <w:noWrap/>
          </w:tcPr>
          <w:p w14:paraId="1250DC3F" w14:textId="77777777" w:rsidR="009D0006" w:rsidRPr="009F2612" w:rsidRDefault="009D0006" w:rsidP="00254922">
            <w:pPr>
              <w:pStyle w:val="Tabletext"/>
            </w:pPr>
            <w:r>
              <w:t>55.9</w:t>
            </w:r>
          </w:p>
        </w:tc>
      </w:tr>
      <w:tr w:rsidR="009D0006" w:rsidRPr="009F2612" w14:paraId="2571845A" w14:textId="77777777" w:rsidTr="00254922">
        <w:trPr>
          <w:cnfStyle w:val="000000010000" w:firstRow="0" w:lastRow="0" w:firstColumn="0" w:lastColumn="0" w:oddVBand="0" w:evenVBand="0" w:oddHBand="0" w:evenHBand="1" w:firstRowFirstColumn="0" w:firstRowLastColumn="0" w:lastRowFirstColumn="0" w:lastRowLastColumn="0"/>
          <w:trHeight w:val="321"/>
        </w:trPr>
        <w:tc>
          <w:tcPr>
            <w:tcW w:w="6746" w:type="dxa"/>
            <w:noWrap/>
            <w:hideMark/>
          </w:tcPr>
          <w:p w14:paraId="7421690C" w14:textId="77777777" w:rsidR="009D0006" w:rsidRPr="009F2612" w:rsidRDefault="009D0006" w:rsidP="00254922">
            <w:pPr>
              <w:pStyle w:val="Tabletext"/>
            </w:pPr>
            <w:r w:rsidRPr="009F2612">
              <w:rPr>
                <w:lang w:val="en-US"/>
              </w:rPr>
              <w:t>At work</w:t>
            </w:r>
          </w:p>
        </w:tc>
        <w:tc>
          <w:tcPr>
            <w:tcW w:w="1559" w:type="dxa"/>
            <w:noWrap/>
          </w:tcPr>
          <w:p w14:paraId="40C7F1C9" w14:textId="77777777" w:rsidR="009D0006" w:rsidRPr="009F2612" w:rsidRDefault="009D0006" w:rsidP="00254922">
            <w:pPr>
              <w:pStyle w:val="Tabletext"/>
            </w:pPr>
            <w:r>
              <w:t>216</w:t>
            </w:r>
          </w:p>
        </w:tc>
        <w:tc>
          <w:tcPr>
            <w:tcW w:w="1559" w:type="dxa"/>
            <w:noWrap/>
          </w:tcPr>
          <w:p w14:paraId="519392BF" w14:textId="77777777" w:rsidR="009D0006" w:rsidRPr="009F2612" w:rsidRDefault="009D0006" w:rsidP="00254922">
            <w:pPr>
              <w:pStyle w:val="Tabletext"/>
            </w:pPr>
            <w:r>
              <w:t>49.2</w:t>
            </w:r>
          </w:p>
        </w:tc>
      </w:tr>
      <w:tr w:rsidR="009D0006" w:rsidRPr="009F2612" w14:paraId="35796596" w14:textId="77777777" w:rsidTr="00254922">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0EEF37CE" w14:textId="77777777" w:rsidR="009D0006" w:rsidRPr="009F2612" w:rsidRDefault="009D0006" w:rsidP="00254922">
            <w:pPr>
              <w:pStyle w:val="Tabletext"/>
            </w:pPr>
            <w:r w:rsidRPr="009F2612">
              <w:rPr>
                <w:lang w:val="en-US"/>
              </w:rPr>
              <w:t>At an educational institution</w:t>
            </w:r>
          </w:p>
        </w:tc>
        <w:tc>
          <w:tcPr>
            <w:tcW w:w="1559" w:type="dxa"/>
            <w:noWrap/>
          </w:tcPr>
          <w:p w14:paraId="0A3C9BC7" w14:textId="77777777" w:rsidR="009D0006" w:rsidRPr="009F2612" w:rsidRDefault="009D0006" w:rsidP="00254922">
            <w:pPr>
              <w:pStyle w:val="Tabletext"/>
            </w:pPr>
            <w:r>
              <w:t>207</w:t>
            </w:r>
          </w:p>
        </w:tc>
        <w:tc>
          <w:tcPr>
            <w:tcW w:w="1559" w:type="dxa"/>
            <w:noWrap/>
          </w:tcPr>
          <w:p w14:paraId="5230CEC6" w14:textId="77777777" w:rsidR="009D0006" w:rsidRPr="009F2612" w:rsidRDefault="009D0006" w:rsidP="00254922">
            <w:pPr>
              <w:pStyle w:val="Tabletext"/>
            </w:pPr>
            <w:r>
              <w:t>47.0</w:t>
            </w:r>
          </w:p>
        </w:tc>
      </w:tr>
      <w:tr w:rsidR="009D0006" w:rsidRPr="009F2612" w14:paraId="53C2B2DE" w14:textId="77777777" w:rsidTr="00254922">
        <w:trPr>
          <w:cnfStyle w:val="000000010000" w:firstRow="0" w:lastRow="0" w:firstColumn="0" w:lastColumn="0" w:oddVBand="0" w:evenVBand="0" w:oddHBand="0" w:evenHBand="1" w:firstRowFirstColumn="0" w:firstRowLastColumn="0" w:lastRowFirstColumn="0" w:lastRowLastColumn="0"/>
          <w:trHeight w:val="321"/>
        </w:trPr>
        <w:tc>
          <w:tcPr>
            <w:tcW w:w="6746" w:type="dxa"/>
            <w:noWrap/>
            <w:hideMark/>
          </w:tcPr>
          <w:p w14:paraId="0D3AF54D" w14:textId="77777777" w:rsidR="009D0006" w:rsidRPr="009F2612" w:rsidRDefault="009D0006" w:rsidP="00254922">
            <w:pPr>
              <w:pStyle w:val="Tabletext"/>
            </w:pPr>
            <w:r w:rsidRPr="009F2612">
              <w:rPr>
                <w:lang w:val="en-US"/>
              </w:rPr>
              <w:t>With family members</w:t>
            </w:r>
          </w:p>
        </w:tc>
        <w:tc>
          <w:tcPr>
            <w:tcW w:w="1559" w:type="dxa"/>
            <w:noWrap/>
          </w:tcPr>
          <w:p w14:paraId="29E13B3A" w14:textId="77777777" w:rsidR="009D0006" w:rsidRPr="009F2612" w:rsidRDefault="009D0006" w:rsidP="00254922">
            <w:pPr>
              <w:pStyle w:val="Tabletext"/>
            </w:pPr>
            <w:r>
              <w:t>230</w:t>
            </w:r>
          </w:p>
        </w:tc>
        <w:tc>
          <w:tcPr>
            <w:tcW w:w="1559" w:type="dxa"/>
            <w:noWrap/>
          </w:tcPr>
          <w:p w14:paraId="40A9F903" w14:textId="77777777" w:rsidR="009D0006" w:rsidRPr="009F2612" w:rsidRDefault="009D0006" w:rsidP="00254922">
            <w:pPr>
              <w:pStyle w:val="Tabletext"/>
            </w:pPr>
            <w:r>
              <w:t>36.1</w:t>
            </w:r>
          </w:p>
        </w:tc>
      </w:tr>
      <w:tr w:rsidR="009D0006" w:rsidRPr="009F2612" w14:paraId="2ED24AD6" w14:textId="77777777" w:rsidTr="00254922">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6F54D320" w14:textId="77777777" w:rsidR="009D0006" w:rsidRPr="009F2612" w:rsidRDefault="009D0006" w:rsidP="00254922">
            <w:pPr>
              <w:pStyle w:val="Tabletext"/>
            </w:pPr>
            <w:r w:rsidRPr="009F2612">
              <w:rPr>
                <w:lang w:val="en-US"/>
              </w:rPr>
              <w:t>Accessing a health or support service</w:t>
            </w:r>
          </w:p>
        </w:tc>
        <w:tc>
          <w:tcPr>
            <w:tcW w:w="1559" w:type="dxa"/>
            <w:noWrap/>
          </w:tcPr>
          <w:p w14:paraId="243462B8" w14:textId="77777777" w:rsidR="009D0006" w:rsidRPr="009F2612" w:rsidRDefault="009D0006" w:rsidP="00254922">
            <w:pPr>
              <w:pStyle w:val="Tabletext"/>
            </w:pPr>
            <w:r>
              <w:t>203</w:t>
            </w:r>
          </w:p>
        </w:tc>
        <w:tc>
          <w:tcPr>
            <w:tcW w:w="1559" w:type="dxa"/>
            <w:noWrap/>
          </w:tcPr>
          <w:p w14:paraId="08BBFC7F" w14:textId="77777777" w:rsidR="009D0006" w:rsidRPr="009F2612" w:rsidRDefault="009D0006" w:rsidP="00254922">
            <w:pPr>
              <w:pStyle w:val="Tabletext"/>
            </w:pPr>
            <w:r>
              <w:t>32.8</w:t>
            </w:r>
          </w:p>
        </w:tc>
      </w:tr>
      <w:tr w:rsidR="009D0006" w:rsidRPr="009F2612" w14:paraId="0BF51DBE" w14:textId="77777777" w:rsidTr="00254922">
        <w:trPr>
          <w:cnfStyle w:val="000000010000" w:firstRow="0" w:lastRow="0" w:firstColumn="0" w:lastColumn="0" w:oddVBand="0" w:evenVBand="0" w:oddHBand="0" w:evenHBand="1" w:firstRowFirstColumn="0" w:firstRowLastColumn="0" w:lastRowFirstColumn="0" w:lastRowLastColumn="0"/>
          <w:trHeight w:val="321"/>
        </w:trPr>
        <w:tc>
          <w:tcPr>
            <w:tcW w:w="6746" w:type="dxa"/>
            <w:noWrap/>
            <w:hideMark/>
          </w:tcPr>
          <w:p w14:paraId="548DBE25" w14:textId="77777777" w:rsidR="009D0006" w:rsidRPr="009F2612" w:rsidRDefault="009D0006" w:rsidP="00254922">
            <w:pPr>
              <w:pStyle w:val="Tabletext"/>
            </w:pPr>
            <w:r w:rsidRPr="009F2612">
              <w:rPr>
                <w:lang w:val="en-US"/>
              </w:rPr>
              <w:t>In public (e.g.</w:t>
            </w:r>
            <w:r>
              <w:rPr>
                <w:lang w:val="en-US"/>
              </w:rPr>
              <w:t>,</w:t>
            </w:r>
            <w:r w:rsidRPr="009F2612">
              <w:rPr>
                <w:lang w:val="en-US"/>
              </w:rPr>
              <w:t xml:space="preserve"> in the street/park)</w:t>
            </w:r>
          </w:p>
        </w:tc>
        <w:tc>
          <w:tcPr>
            <w:tcW w:w="1559" w:type="dxa"/>
            <w:noWrap/>
          </w:tcPr>
          <w:p w14:paraId="5CC47971" w14:textId="77777777" w:rsidR="009D0006" w:rsidRPr="009F2612" w:rsidRDefault="009D0006" w:rsidP="00254922">
            <w:pPr>
              <w:pStyle w:val="Tabletext"/>
            </w:pPr>
            <w:r>
              <w:t>143</w:t>
            </w:r>
          </w:p>
        </w:tc>
        <w:tc>
          <w:tcPr>
            <w:tcW w:w="1559" w:type="dxa"/>
            <w:noWrap/>
          </w:tcPr>
          <w:p w14:paraId="7873C262" w14:textId="77777777" w:rsidR="009D0006" w:rsidRPr="009F2612" w:rsidRDefault="009D0006" w:rsidP="00254922">
            <w:pPr>
              <w:pStyle w:val="Tabletext"/>
            </w:pPr>
            <w:r>
              <w:t>23.0</w:t>
            </w:r>
          </w:p>
        </w:tc>
      </w:tr>
      <w:tr w:rsidR="009D0006" w:rsidRPr="009F2612" w14:paraId="537E7FE0" w14:textId="77777777" w:rsidTr="00254922">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5582CA7A" w14:textId="77777777" w:rsidR="009D0006" w:rsidRPr="009F2612" w:rsidRDefault="009D0006" w:rsidP="00254922">
            <w:pPr>
              <w:pStyle w:val="Tabletext"/>
            </w:pPr>
            <w:r w:rsidRPr="009F2612">
              <w:rPr>
                <w:lang w:val="en-US"/>
              </w:rPr>
              <w:t>Religious</w:t>
            </w:r>
            <w:r>
              <w:rPr>
                <w:lang w:val="en-US"/>
              </w:rPr>
              <w:t xml:space="preserve"> or </w:t>
            </w:r>
            <w:r w:rsidRPr="009F2612">
              <w:rPr>
                <w:lang w:val="en-US"/>
              </w:rPr>
              <w:t>faith-based events or services</w:t>
            </w:r>
          </w:p>
        </w:tc>
        <w:tc>
          <w:tcPr>
            <w:tcW w:w="1559" w:type="dxa"/>
            <w:noWrap/>
          </w:tcPr>
          <w:p w14:paraId="159E9CF7" w14:textId="77777777" w:rsidR="009D0006" w:rsidRPr="009F2612" w:rsidRDefault="009D0006" w:rsidP="00254922">
            <w:pPr>
              <w:pStyle w:val="Tabletext"/>
            </w:pPr>
            <w:r>
              <w:t>46</w:t>
            </w:r>
          </w:p>
        </w:tc>
        <w:tc>
          <w:tcPr>
            <w:tcW w:w="1559" w:type="dxa"/>
            <w:noWrap/>
          </w:tcPr>
          <w:p w14:paraId="00F85FC4" w14:textId="77777777" w:rsidR="009D0006" w:rsidRPr="009F2612" w:rsidRDefault="009D0006" w:rsidP="00254922">
            <w:pPr>
              <w:pStyle w:val="Tabletext"/>
            </w:pPr>
            <w:r>
              <w:t>11.9</w:t>
            </w:r>
          </w:p>
        </w:tc>
      </w:tr>
    </w:tbl>
    <w:p w14:paraId="36FC8B85" w14:textId="77777777" w:rsidR="009D0006" w:rsidRDefault="009D0006" w:rsidP="00497A08">
      <w:pPr>
        <w:pStyle w:val="Tableheading"/>
      </w:pPr>
      <w:r>
        <w:t>Table 85.2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F2612" w14:paraId="361A3057" w14:textId="77777777" w:rsidTr="00497A08">
        <w:trPr>
          <w:cnfStyle w:val="100000000000" w:firstRow="1" w:lastRow="0" w:firstColumn="0" w:lastColumn="0" w:oddVBand="0" w:evenVBand="0" w:oddHBand="0" w:evenHBand="0" w:firstRowFirstColumn="0" w:firstRowLastColumn="0" w:lastRowFirstColumn="0" w:lastRowLastColumn="0"/>
          <w:trHeight w:val="328"/>
        </w:trPr>
        <w:tc>
          <w:tcPr>
            <w:tcW w:w="6746" w:type="dxa"/>
            <w:noWrap/>
            <w:hideMark/>
          </w:tcPr>
          <w:p w14:paraId="118135C6" w14:textId="77777777" w:rsidR="009D0006" w:rsidRPr="005C50EF" w:rsidRDefault="009D0006" w:rsidP="00497A08">
            <w:pPr>
              <w:pStyle w:val="Tableheader"/>
            </w:pPr>
            <w:r w:rsidRPr="005C50EF">
              <w:t>Situation</w:t>
            </w:r>
          </w:p>
        </w:tc>
        <w:tc>
          <w:tcPr>
            <w:tcW w:w="1559" w:type="dxa"/>
            <w:noWrap/>
            <w:hideMark/>
          </w:tcPr>
          <w:p w14:paraId="24F8B935" w14:textId="77777777" w:rsidR="009D0006" w:rsidRPr="005C50EF" w:rsidRDefault="009D0006" w:rsidP="00497A08">
            <w:pPr>
              <w:pStyle w:val="Tableheader"/>
              <w:rPr>
                <w:bCs/>
              </w:rPr>
            </w:pPr>
            <w:r w:rsidRPr="005C50EF">
              <w:rPr>
                <w:bCs/>
              </w:rPr>
              <w:t>n</w:t>
            </w:r>
          </w:p>
        </w:tc>
        <w:tc>
          <w:tcPr>
            <w:tcW w:w="1559" w:type="dxa"/>
            <w:noWrap/>
            <w:hideMark/>
          </w:tcPr>
          <w:p w14:paraId="74E5FCA5" w14:textId="77777777" w:rsidR="009D0006" w:rsidRPr="005C50EF" w:rsidRDefault="009D0006" w:rsidP="00497A08">
            <w:pPr>
              <w:pStyle w:val="Tableheader"/>
              <w:rPr>
                <w:bCs/>
              </w:rPr>
            </w:pPr>
            <w:r w:rsidRPr="005C50EF">
              <w:rPr>
                <w:bCs/>
              </w:rPr>
              <w:t>%</w:t>
            </w:r>
          </w:p>
        </w:tc>
      </w:tr>
      <w:tr w:rsidR="009D0006" w:rsidRPr="009F2612" w14:paraId="244BA59B" w14:textId="77777777" w:rsidTr="00497A08">
        <w:trPr>
          <w:cnfStyle w:val="000000100000" w:firstRow="0" w:lastRow="0" w:firstColumn="0" w:lastColumn="0" w:oddVBand="0" w:evenVBand="0" w:oddHBand="1" w:evenHBand="0" w:firstRowFirstColumn="0" w:firstRowLastColumn="0" w:lastRowFirstColumn="0" w:lastRowLastColumn="0"/>
          <w:trHeight w:val="328"/>
        </w:trPr>
        <w:tc>
          <w:tcPr>
            <w:tcW w:w="6746" w:type="dxa"/>
            <w:noWrap/>
            <w:hideMark/>
          </w:tcPr>
          <w:p w14:paraId="25BD50C0" w14:textId="77777777" w:rsidR="009D0006" w:rsidRPr="009F2612" w:rsidRDefault="009D0006" w:rsidP="00497A08">
            <w:pPr>
              <w:pStyle w:val="Tabletext"/>
            </w:pPr>
            <w:r w:rsidRPr="009F2612">
              <w:rPr>
                <w:lang w:val="en-US"/>
              </w:rPr>
              <w:t>LGBTIQ venue</w:t>
            </w:r>
          </w:p>
        </w:tc>
        <w:tc>
          <w:tcPr>
            <w:tcW w:w="1559" w:type="dxa"/>
            <w:noWrap/>
          </w:tcPr>
          <w:p w14:paraId="6ACF92BD" w14:textId="77777777" w:rsidR="009D0006" w:rsidRPr="009F2612" w:rsidRDefault="009D0006" w:rsidP="00497A08">
            <w:pPr>
              <w:pStyle w:val="Tabletext"/>
            </w:pPr>
            <w:r>
              <w:t>812</w:t>
            </w:r>
          </w:p>
        </w:tc>
        <w:tc>
          <w:tcPr>
            <w:tcW w:w="1559" w:type="dxa"/>
            <w:noWrap/>
          </w:tcPr>
          <w:p w14:paraId="383D5752" w14:textId="77777777" w:rsidR="009D0006" w:rsidRPr="009F2612" w:rsidRDefault="009D0006" w:rsidP="00497A08">
            <w:pPr>
              <w:pStyle w:val="Tabletext"/>
            </w:pPr>
            <w:r>
              <w:t>61.2</w:t>
            </w:r>
          </w:p>
        </w:tc>
      </w:tr>
      <w:tr w:rsidR="009D0006" w:rsidRPr="009F2612" w14:paraId="52A4B9E5" w14:textId="77777777" w:rsidTr="00497A08">
        <w:trPr>
          <w:cnfStyle w:val="000000010000" w:firstRow="0" w:lastRow="0" w:firstColumn="0" w:lastColumn="0" w:oddVBand="0" w:evenVBand="0" w:oddHBand="0" w:evenHBand="1" w:firstRowFirstColumn="0" w:firstRowLastColumn="0" w:lastRowFirstColumn="0" w:lastRowLastColumn="0"/>
          <w:trHeight w:val="328"/>
        </w:trPr>
        <w:tc>
          <w:tcPr>
            <w:tcW w:w="6746" w:type="dxa"/>
            <w:noWrap/>
            <w:hideMark/>
          </w:tcPr>
          <w:p w14:paraId="051CE35C" w14:textId="77777777" w:rsidR="009D0006" w:rsidRPr="009F2612" w:rsidRDefault="009D0006" w:rsidP="00497A08">
            <w:pPr>
              <w:pStyle w:val="Tabletext"/>
            </w:pPr>
            <w:r w:rsidRPr="009F2612">
              <w:rPr>
                <w:lang w:val="en-US"/>
              </w:rPr>
              <w:t>At work</w:t>
            </w:r>
          </w:p>
        </w:tc>
        <w:tc>
          <w:tcPr>
            <w:tcW w:w="1559" w:type="dxa"/>
            <w:noWrap/>
          </w:tcPr>
          <w:p w14:paraId="404AEECE" w14:textId="77777777" w:rsidR="009D0006" w:rsidRPr="009F2612" w:rsidRDefault="009D0006" w:rsidP="00497A08">
            <w:pPr>
              <w:pStyle w:val="Tabletext"/>
            </w:pPr>
            <w:r>
              <w:t>548</w:t>
            </w:r>
          </w:p>
        </w:tc>
        <w:tc>
          <w:tcPr>
            <w:tcW w:w="1559" w:type="dxa"/>
            <w:noWrap/>
          </w:tcPr>
          <w:p w14:paraId="15B81906" w14:textId="77777777" w:rsidR="009D0006" w:rsidRPr="009F2612" w:rsidRDefault="009D0006" w:rsidP="00497A08">
            <w:pPr>
              <w:pStyle w:val="Tabletext"/>
            </w:pPr>
            <w:r>
              <w:t>50.0</w:t>
            </w:r>
          </w:p>
        </w:tc>
      </w:tr>
      <w:tr w:rsidR="009D0006" w:rsidRPr="009F2612" w14:paraId="264AAF35" w14:textId="77777777" w:rsidTr="00497A08">
        <w:trPr>
          <w:cnfStyle w:val="000000100000" w:firstRow="0" w:lastRow="0" w:firstColumn="0" w:lastColumn="0" w:oddVBand="0" w:evenVBand="0" w:oddHBand="1" w:evenHBand="0" w:firstRowFirstColumn="0" w:firstRowLastColumn="0" w:lastRowFirstColumn="0" w:lastRowLastColumn="0"/>
          <w:trHeight w:val="328"/>
        </w:trPr>
        <w:tc>
          <w:tcPr>
            <w:tcW w:w="6746" w:type="dxa"/>
            <w:noWrap/>
            <w:hideMark/>
          </w:tcPr>
          <w:p w14:paraId="147C614F" w14:textId="77777777" w:rsidR="009D0006" w:rsidRPr="009F2612" w:rsidRDefault="009D0006" w:rsidP="00497A08">
            <w:pPr>
              <w:pStyle w:val="Tabletext"/>
            </w:pPr>
            <w:r w:rsidRPr="009F2612">
              <w:rPr>
                <w:lang w:val="en-US"/>
              </w:rPr>
              <w:t>At an educational institution</w:t>
            </w:r>
          </w:p>
        </w:tc>
        <w:tc>
          <w:tcPr>
            <w:tcW w:w="1559" w:type="dxa"/>
            <w:noWrap/>
          </w:tcPr>
          <w:p w14:paraId="02ADC262" w14:textId="77777777" w:rsidR="009D0006" w:rsidRPr="009F2612" w:rsidRDefault="009D0006" w:rsidP="00497A08">
            <w:pPr>
              <w:pStyle w:val="Tabletext"/>
            </w:pPr>
            <w:r>
              <w:t>471</w:t>
            </w:r>
          </w:p>
        </w:tc>
        <w:tc>
          <w:tcPr>
            <w:tcW w:w="1559" w:type="dxa"/>
            <w:noWrap/>
          </w:tcPr>
          <w:p w14:paraId="5F06E34B" w14:textId="77777777" w:rsidR="009D0006" w:rsidRPr="009F2612" w:rsidRDefault="009D0006" w:rsidP="00497A08">
            <w:pPr>
              <w:pStyle w:val="Tabletext"/>
            </w:pPr>
            <w:r>
              <w:t>47.8</w:t>
            </w:r>
          </w:p>
        </w:tc>
      </w:tr>
      <w:tr w:rsidR="009D0006" w:rsidRPr="009F2612" w14:paraId="26553002" w14:textId="77777777" w:rsidTr="00497A08">
        <w:trPr>
          <w:cnfStyle w:val="000000010000" w:firstRow="0" w:lastRow="0" w:firstColumn="0" w:lastColumn="0" w:oddVBand="0" w:evenVBand="0" w:oddHBand="0" w:evenHBand="1" w:firstRowFirstColumn="0" w:firstRowLastColumn="0" w:lastRowFirstColumn="0" w:lastRowLastColumn="0"/>
          <w:trHeight w:val="328"/>
        </w:trPr>
        <w:tc>
          <w:tcPr>
            <w:tcW w:w="6746" w:type="dxa"/>
            <w:noWrap/>
            <w:hideMark/>
          </w:tcPr>
          <w:p w14:paraId="1A305182" w14:textId="77777777" w:rsidR="009D0006" w:rsidRPr="009F2612" w:rsidRDefault="009D0006" w:rsidP="00497A08">
            <w:pPr>
              <w:pStyle w:val="Tabletext"/>
            </w:pPr>
            <w:r w:rsidRPr="009F2612">
              <w:rPr>
                <w:lang w:val="en-US"/>
              </w:rPr>
              <w:t>With family members</w:t>
            </w:r>
          </w:p>
        </w:tc>
        <w:tc>
          <w:tcPr>
            <w:tcW w:w="1559" w:type="dxa"/>
            <w:noWrap/>
          </w:tcPr>
          <w:p w14:paraId="4AB3A61E" w14:textId="77777777" w:rsidR="009D0006" w:rsidRPr="009F2612" w:rsidRDefault="009D0006" w:rsidP="00497A08">
            <w:pPr>
              <w:pStyle w:val="Tabletext"/>
            </w:pPr>
            <w:r>
              <w:t>721</w:t>
            </w:r>
          </w:p>
        </w:tc>
        <w:tc>
          <w:tcPr>
            <w:tcW w:w="1559" w:type="dxa"/>
            <w:noWrap/>
          </w:tcPr>
          <w:p w14:paraId="68F8A816" w14:textId="77777777" w:rsidR="009D0006" w:rsidRPr="009F2612" w:rsidRDefault="009D0006" w:rsidP="00497A08">
            <w:pPr>
              <w:pStyle w:val="Tabletext"/>
            </w:pPr>
            <w:r>
              <w:t>46.4</w:t>
            </w:r>
          </w:p>
        </w:tc>
      </w:tr>
      <w:tr w:rsidR="009D0006" w:rsidRPr="009F2612" w14:paraId="0EA7D24C" w14:textId="77777777" w:rsidTr="00497A08">
        <w:trPr>
          <w:cnfStyle w:val="000000100000" w:firstRow="0" w:lastRow="0" w:firstColumn="0" w:lastColumn="0" w:oddVBand="0" w:evenVBand="0" w:oddHBand="1" w:evenHBand="0" w:firstRowFirstColumn="0" w:firstRowLastColumn="0" w:lastRowFirstColumn="0" w:lastRowLastColumn="0"/>
          <w:trHeight w:val="328"/>
        </w:trPr>
        <w:tc>
          <w:tcPr>
            <w:tcW w:w="6746" w:type="dxa"/>
            <w:noWrap/>
            <w:hideMark/>
          </w:tcPr>
          <w:p w14:paraId="2D1F724D" w14:textId="77777777" w:rsidR="009D0006" w:rsidRPr="009F2612" w:rsidRDefault="009D0006" w:rsidP="00497A08">
            <w:pPr>
              <w:pStyle w:val="Tabletext"/>
            </w:pPr>
            <w:r w:rsidRPr="009F2612">
              <w:rPr>
                <w:lang w:val="en-US"/>
              </w:rPr>
              <w:t>Accessing a health or support service</w:t>
            </w:r>
          </w:p>
        </w:tc>
        <w:tc>
          <w:tcPr>
            <w:tcW w:w="1559" w:type="dxa"/>
            <w:noWrap/>
          </w:tcPr>
          <w:p w14:paraId="2A70C8F1" w14:textId="77777777" w:rsidR="009D0006" w:rsidRPr="009F2612" w:rsidRDefault="009D0006" w:rsidP="00497A08">
            <w:pPr>
              <w:pStyle w:val="Tabletext"/>
            </w:pPr>
            <w:r>
              <w:t>540</w:t>
            </w:r>
          </w:p>
        </w:tc>
        <w:tc>
          <w:tcPr>
            <w:tcW w:w="1559" w:type="dxa"/>
            <w:noWrap/>
          </w:tcPr>
          <w:p w14:paraId="43D99EA4" w14:textId="77777777" w:rsidR="009D0006" w:rsidRPr="009F2612" w:rsidRDefault="009D0006" w:rsidP="00497A08">
            <w:pPr>
              <w:pStyle w:val="Tabletext"/>
            </w:pPr>
            <w:r>
              <w:t>35.9</w:t>
            </w:r>
          </w:p>
        </w:tc>
      </w:tr>
      <w:tr w:rsidR="009D0006" w:rsidRPr="009F2612" w14:paraId="64DB5784" w14:textId="77777777" w:rsidTr="00497A08">
        <w:trPr>
          <w:cnfStyle w:val="000000010000" w:firstRow="0" w:lastRow="0" w:firstColumn="0" w:lastColumn="0" w:oddVBand="0" w:evenVBand="0" w:oddHBand="0" w:evenHBand="1" w:firstRowFirstColumn="0" w:firstRowLastColumn="0" w:lastRowFirstColumn="0" w:lastRowLastColumn="0"/>
          <w:trHeight w:val="328"/>
        </w:trPr>
        <w:tc>
          <w:tcPr>
            <w:tcW w:w="6746" w:type="dxa"/>
            <w:noWrap/>
            <w:hideMark/>
          </w:tcPr>
          <w:p w14:paraId="573B637B" w14:textId="77777777" w:rsidR="009D0006" w:rsidRPr="009F2612" w:rsidRDefault="009D0006" w:rsidP="00497A08">
            <w:pPr>
              <w:pStyle w:val="Tabletext"/>
            </w:pPr>
            <w:r w:rsidRPr="009F2612">
              <w:rPr>
                <w:lang w:val="en-US"/>
              </w:rPr>
              <w:t>In public (e.g.</w:t>
            </w:r>
            <w:r>
              <w:rPr>
                <w:lang w:val="en-US"/>
              </w:rPr>
              <w:t>,</w:t>
            </w:r>
            <w:r w:rsidRPr="009F2612">
              <w:rPr>
                <w:lang w:val="en-US"/>
              </w:rPr>
              <w:t xml:space="preserve"> in the street/park)</w:t>
            </w:r>
          </w:p>
        </w:tc>
        <w:tc>
          <w:tcPr>
            <w:tcW w:w="1559" w:type="dxa"/>
            <w:noWrap/>
          </w:tcPr>
          <w:p w14:paraId="1C645687" w14:textId="77777777" w:rsidR="009D0006" w:rsidRPr="009F2612" w:rsidRDefault="009D0006" w:rsidP="00497A08">
            <w:pPr>
              <w:pStyle w:val="Tabletext"/>
            </w:pPr>
            <w:r>
              <w:t>366</w:t>
            </w:r>
          </w:p>
        </w:tc>
        <w:tc>
          <w:tcPr>
            <w:tcW w:w="1559" w:type="dxa"/>
            <w:noWrap/>
          </w:tcPr>
          <w:p w14:paraId="505841A6" w14:textId="77777777" w:rsidR="009D0006" w:rsidRPr="009F2612" w:rsidRDefault="009D0006" w:rsidP="00497A08">
            <w:pPr>
              <w:pStyle w:val="Tabletext"/>
            </w:pPr>
            <w:r>
              <w:t>24.3</w:t>
            </w:r>
          </w:p>
        </w:tc>
      </w:tr>
      <w:tr w:rsidR="009D0006" w:rsidRPr="009F2612" w14:paraId="47BA8BC0" w14:textId="77777777" w:rsidTr="00497A08">
        <w:trPr>
          <w:cnfStyle w:val="000000100000" w:firstRow="0" w:lastRow="0" w:firstColumn="0" w:lastColumn="0" w:oddVBand="0" w:evenVBand="0" w:oddHBand="1" w:evenHBand="0" w:firstRowFirstColumn="0" w:firstRowLastColumn="0" w:lastRowFirstColumn="0" w:lastRowLastColumn="0"/>
          <w:trHeight w:val="328"/>
        </w:trPr>
        <w:tc>
          <w:tcPr>
            <w:tcW w:w="6746" w:type="dxa"/>
            <w:noWrap/>
            <w:hideMark/>
          </w:tcPr>
          <w:p w14:paraId="4DB95777" w14:textId="77777777" w:rsidR="009D0006" w:rsidRPr="009F2612" w:rsidRDefault="009D0006" w:rsidP="00497A08">
            <w:pPr>
              <w:pStyle w:val="Tabletext"/>
            </w:pPr>
            <w:r w:rsidRPr="009F2612">
              <w:rPr>
                <w:lang w:val="en-US"/>
              </w:rPr>
              <w:t>Religious</w:t>
            </w:r>
            <w:r>
              <w:rPr>
                <w:lang w:val="en-US"/>
              </w:rPr>
              <w:t xml:space="preserve"> or </w:t>
            </w:r>
            <w:r w:rsidRPr="009F2612">
              <w:rPr>
                <w:lang w:val="en-US"/>
              </w:rPr>
              <w:t>faith-based events or services</w:t>
            </w:r>
          </w:p>
        </w:tc>
        <w:tc>
          <w:tcPr>
            <w:tcW w:w="1559" w:type="dxa"/>
            <w:noWrap/>
          </w:tcPr>
          <w:p w14:paraId="5A5D5B60" w14:textId="77777777" w:rsidR="009D0006" w:rsidRPr="009F2612" w:rsidRDefault="009D0006" w:rsidP="00497A08">
            <w:pPr>
              <w:pStyle w:val="Tabletext"/>
            </w:pPr>
            <w:r>
              <w:t>71</w:t>
            </w:r>
          </w:p>
        </w:tc>
        <w:tc>
          <w:tcPr>
            <w:tcW w:w="1559" w:type="dxa"/>
            <w:noWrap/>
          </w:tcPr>
          <w:p w14:paraId="4A876856" w14:textId="77777777" w:rsidR="009D0006" w:rsidRPr="009F2612" w:rsidRDefault="009D0006" w:rsidP="00497A08">
            <w:pPr>
              <w:pStyle w:val="Tabletext"/>
            </w:pPr>
            <w:r>
              <w:t>8.8</w:t>
            </w:r>
          </w:p>
        </w:tc>
      </w:tr>
    </w:tbl>
    <w:p w14:paraId="5A901CCA" w14:textId="77777777" w:rsidR="009D0006" w:rsidRPr="00497A08" w:rsidRDefault="009D0006" w:rsidP="00497A08">
      <w:pPr>
        <w:pStyle w:val="TableTextNotebelow"/>
        <w:rPr>
          <w:i/>
        </w:rPr>
      </w:pPr>
      <w:r w:rsidRPr="00497A08">
        <w:rPr>
          <w:i/>
        </w:rPr>
        <w:t>Note: Respo</w:t>
      </w:r>
      <w:r w:rsidRPr="00497A08">
        <w:rPr>
          <w:i/>
        </w:rPr>
        <w:lastRenderedPageBreak/>
        <w:t>nses were analysed among participants who reported that a situation was applicable to them therefore an overall ‘n’ is not provided.</w:t>
      </w:r>
    </w:p>
    <w:p w14:paraId="46A11F0E" w14:textId="77777777" w:rsidR="009D0006" w:rsidRPr="00895A9E" w:rsidRDefault="009D0006" w:rsidP="00184CF2">
      <w:pPr>
        <w:spacing w:before="360"/>
      </w:pPr>
      <w:r w:rsidRPr="00895A9E">
        <w:t>As displayed in Table</w:t>
      </w:r>
      <w:r>
        <w:t>s</w:t>
      </w:r>
      <w:r w:rsidRPr="00895A9E">
        <w:t xml:space="preserve"> 85</w:t>
      </w:r>
      <w:r>
        <w:t>.1-85.2</w:t>
      </w:r>
      <w:r w:rsidRPr="00895A9E">
        <w:t xml:space="preserve">, a greater proportion of participants with disability in </w:t>
      </w:r>
      <w:r w:rsidRPr="00895A9E">
        <w:rPr>
          <w:i/>
        </w:rPr>
        <w:t>Private Lives 3</w:t>
      </w:r>
      <w:r w:rsidRPr="00895A9E">
        <w:t xml:space="preserve"> who were from an Anglo-Celtic background felt accepted at an LGBTIQ venue (61.2%; n = 812) compared to participants from a multicultural background (55.9%; n = 314).</w:t>
      </w:r>
    </w:p>
    <w:p w14:paraId="2E3147AF" w14:textId="77777777" w:rsidR="009D0006" w:rsidRPr="00895A9E" w:rsidRDefault="009D0006" w:rsidP="00184CF2">
      <w:r w:rsidRPr="00895A9E">
        <w:t>Half of participants from an Anglo-Celtic background felt accepted at work (50.0%; n = 548). Similarly, approximately half of participants from multicultural backgrounds felt accepted at work (49.2%; n = 216).</w:t>
      </w:r>
    </w:p>
    <w:p w14:paraId="3397D81F" w14:textId="77777777" w:rsidR="009D0006" w:rsidRPr="00895A9E" w:rsidRDefault="009D0006" w:rsidP="00184CF2">
      <w:r w:rsidRPr="00895A9E">
        <w:t xml:space="preserve">Just under half of participants from Anglo-Celtic backgrounds (47.8%; n = 471) and multicultural backgrounds (47.0%; n = 207) felt accepted at their educational settings. </w:t>
      </w:r>
    </w:p>
    <w:p w14:paraId="634AE50B" w14:textId="77777777" w:rsidR="009D0006" w:rsidRPr="00895A9E" w:rsidRDefault="009D0006" w:rsidP="00184CF2">
      <w:r w:rsidRPr="00895A9E">
        <w:t>A higher proportion of participants from an Anglo-Celtic background felt accepted with family members (46.4%; n = 721) compared to participants from a multicultural background (36.1%; n = 230).</w:t>
      </w:r>
    </w:p>
    <w:p w14:paraId="4B41B149" w14:textId="77777777" w:rsidR="009D0006" w:rsidRPr="00895A9E" w:rsidRDefault="009D0006" w:rsidP="00184CF2">
      <w:r w:rsidRPr="00895A9E">
        <w:t>A little over one-third of participants from a multicultural background felt accepted when accessing a health or support service (35.9%; n = 540) followed closely by participants from a multicultural background (32.8%; n = 203).</w:t>
      </w:r>
    </w:p>
    <w:p w14:paraId="323B12A4" w14:textId="77777777" w:rsidR="009D0006" w:rsidRPr="00895A9E" w:rsidRDefault="009D0006" w:rsidP="00184CF2">
      <w:r w:rsidRPr="00895A9E">
        <w:t>A little under one-quarter of participants from Anglo-Celtic backgrounds (24.3%; n = 366) and multicultural backgrounds (23.0%; n = 143) felt accepted in public spaces.</w:t>
      </w:r>
    </w:p>
    <w:p w14:paraId="1F46DE3E" w14:textId="77777777" w:rsidR="009D0006" w:rsidRPr="00837FAD" w:rsidRDefault="009D0006" w:rsidP="00184CF2">
      <w:r w:rsidRPr="00895A9E">
        <w:t xml:space="preserve">A marginally higher proportion of participants from a </w:t>
      </w:r>
      <w:r>
        <w:t>multicultural background felt accepted at a religious or faith-based event or service (11.9%; n = 46) compared to participants from a multicultural background (8.8%; n = 71).</w:t>
      </w:r>
    </w:p>
    <w:p w14:paraId="7CC8C0FE" w14:textId="08B0D673" w:rsidR="009D0006" w:rsidRPr="00C5739E" w:rsidRDefault="009D0006" w:rsidP="006346CA">
      <w:pPr>
        <w:pStyle w:val="Heading2Numbered"/>
      </w:pPr>
      <w:bookmarkStart w:id="779" w:name="_Toc115968621"/>
      <w:bookmarkStart w:id="780" w:name="_Toc119662461"/>
      <w:r w:rsidRPr="00C5739E">
        <w:t>Psychological distress (K10)</w:t>
      </w:r>
      <w:bookmarkEnd w:id="779"/>
      <w:bookmarkEnd w:id="780"/>
      <w:r w:rsidRPr="00C5739E">
        <w:t xml:space="preserve"> </w:t>
      </w:r>
    </w:p>
    <w:p w14:paraId="3CA0D3A0" w14:textId="031FA444" w:rsidR="009D0006" w:rsidRPr="00C5739E" w:rsidRDefault="009D0006" w:rsidP="006346CA">
      <w:pPr>
        <w:pStyle w:val="Heading3Numbered"/>
      </w:pPr>
      <w:bookmarkStart w:id="781" w:name="_Toc115968622"/>
      <w:r w:rsidRPr="00C5739E">
        <w:t>Psychological distress – young people aged 14-21 years</w:t>
      </w:r>
      <w:bookmarkEnd w:id="781"/>
    </w:p>
    <w:p w14:paraId="00E364A4" w14:textId="77777777" w:rsidR="009D0006" w:rsidRPr="00AF592E" w:rsidRDefault="009D0006" w:rsidP="009D0006">
      <w:r w:rsidRPr="00AF592E">
        <w:t xml:space="preserve">Table </w:t>
      </w:r>
      <w:r>
        <w:t>86</w:t>
      </w:r>
      <w:r w:rsidRPr="00AF592E">
        <w:t xml:space="preserve"> displays the K10 psychological distress levels of participants </w:t>
      </w:r>
      <w:r>
        <w:t xml:space="preserve">aged 14-21 years </w:t>
      </w:r>
      <w:r w:rsidRPr="00AF592E">
        <w:t xml:space="preserve">according to whether </w:t>
      </w:r>
      <w:r>
        <w:t>they</w:t>
      </w:r>
      <w:r w:rsidRPr="00AF592E">
        <w:t xml:space="preserve"> were from multicultural backgrounds or an Anglo-Celtic background.</w:t>
      </w:r>
    </w:p>
    <w:p w14:paraId="2E988DF1" w14:textId="329A2EBA" w:rsidR="009D0006" w:rsidRDefault="009D0006" w:rsidP="00497A08">
      <w:pPr>
        <w:pStyle w:val="Tableheading"/>
      </w:pPr>
      <w:bookmarkStart w:id="782" w:name="_Toc117062803"/>
      <w:bookmarkStart w:id="783" w:name="_Toc119651488"/>
      <w:r w:rsidRPr="00C5739E">
        <w:t>Table</w:t>
      </w:r>
      <w:r>
        <w:t>s</w:t>
      </w:r>
      <w:r w:rsidRPr="00C5739E">
        <w:t xml:space="preserve"> </w:t>
      </w:r>
      <w:r>
        <w:rPr>
          <w:noProof/>
        </w:rPr>
        <w:fldChar w:fldCharType="begin"/>
      </w:r>
      <w:r>
        <w:rPr>
          <w:noProof/>
        </w:rPr>
        <w:instrText xml:space="preserve"> SE</w:instrText>
      </w:r>
      <w:r>
        <w:rPr>
          <w:noProof/>
        </w:rPr>
        <w:lastRenderedPageBreak/>
        <w:instrText xml:space="preserve">Q Table \* ARABIC </w:instrText>
      </w:r>
      <w:r>
        <w:rPr>
          <w:noProof/>
        </w:rPr>
        <w:fldChar w:fldCharType="separate"/>
      </w:r>
      <w:r>
        <w:rPr>
          <w:noProof/>
        </w:rPr>
        <w:t>86</w:t>
      </w:r>
      <w:r>
        <w:rPr>
          <w:noProof/>
        </w:rPr>
        <w:fldChar w:fldCharType="end"/>
      </w:r>
      <w:r>
        <w:rPr>
          <w:noProof/>
        </w:rPr>
        <w:t>.1-86.2</w:t>
      </w:r>
      <w:r>
        <w:t>: Psychological distress</w:t>
      </w:r>
      <w:r w:rsidRPr="00C5739E">
        <w:t xml:space="preserve"> </w:t>
      </w:r>
      <w:r>
        <w:t>among young people with disability aged 14-21 years, grouped</w:t>
      </w:r>
      <w:r w:rsidRPr="00C5739E">
        <w:t xml:space="preserve"> by</w:t>
      </w:r>
      <w:r>
        <w:t xml:space="preserve"> cultural background</w:t>
      </w:r>
      <w:r w:rsidRPr="00C5739E">
        <w:t xml:space="preserve"> (n = </w:t>
      </w:r>
      <w:r>
        <w:t>2334</w:t>
      </w:r>
      <w:r w:rsidRPr="00C5739E">
        <w:t>)</w:t>
      </w:r>
      <w:bookmarkEnd w:id="782"/>
      <w:bookmarkEnd w:id="783"/>
    </w:p>
    <w:p w14:paraId="2D8A3064" w14:textId="77777777" w:rsidR="009D0006" w:rsidRPr="00C5739E" w:rsidRDefault="009D0006" w:rsidP="00497A08">
      <w:pPr>
        <w:pStyle w:val="Tableheading"/>
      </w:pPr>
      <w:r>
        <w:t>Table 86.1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40602377" w14:textId="77777777" w:rsidTr="00497A08">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296F4981" w14:textId="77777777" w:rsidR="009D0006" w:rsidRPr="005C50EF" w:rsidRDefault="009D0006" w:rsidP="00497A08">
            <w:pPr>
              <w:pStyle w:val="Tableheader"/>
            </w:pPr>
            <w:r w:rsidRPr="005C50EF">
              <w:t>Psychological distress</w:t>
            </w:r>
          </w:p>
        </w:tc>
        <w:tc>
          <w:tcPr>
            <w:tcW w:w="1559" w:type="dxa"/>
            <w:noWrap/>
            <w:hideMark/>
          </w:tcPr>
          <w:p w14:paraId="2D639B8A" w14:textId="77777777" w:rsidR="009D0006" w:rsidRPr="005C50EF" w:rsidRDefault="009D0006" w:rsidP="00497A08">
            <w:pPr>
              <w:pStyle w:val="Tableheader"/>
              <w:rPr>
                <w:bCs/>
              </w:rPr>
            </w:pPr>
            <w:r w:rsidRPr="005C50EF">
              <w:rPr>
                <w:bCs/>
              </w:rPr>
              <w:t>n</w:t>
            </w:r>
          </w:p>
        </w:tc>
        <w:tc>
          <w:tcPr>
            <w:tcW w:w="1559" w:type="dxa"/>
            <w:noWrap/>
            <w:hideMark/>
          </w:tcPr>
          <w:p w14:paraId="6152CBC5" w14:textId="77777777" w:rsidR="009D0006" w:rsidRPr="005C50EF" w:rsidRDefault="009D0006" w:rsidP="00497A08">
            <w:pPr>
              <w:pStyle w:val="Tableheader"/>
              <w:rPr>
                <w:bCs/>
              </w:rPr>
            </w:pPr>
            <w:r w:rsidRPr="005C50EF">
              <w:rPr>
                <w:bCs/>
              </w:rPr>
              <w:t>%</w:t>
            </w:r>
          </w:p>
        </w:tc>
      </w:tr>
      <w:tr w:rsidR="009D0006" w:rsidRPr="00AF592E" w14:paraId="1D17EB1D" w14:textId="77777777" w:rsidTr="00497A08">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433D54C3" w14:textId="77777777" w:rsidR="009D0006" w:rsidRPr="00AF592E" w:rsidRDefault="009D0006" w:rsidP="00497A08">
            <w:pPr>
              <w:pStyle w:val="Tabletext"/>
            </w:pPr>
            <w:r w:rsidRPr="00AF592E">
              <w:t>Low</w:t>
            </w:r>
            <w:r>
              <w:t xml:space="preserve"> or moderate</w:t>
            </w:r>
          </w:p>
        </w:tc>
        <w:tc>
          <w:tcPr>
            <w:tcW w:w="1559" w:type="dxa"/>
            <w:noWrap/>
          </w:tcPr>
          <w:p w14:paraId="22E99016" w14:textId="77777777" w:rsidR="009D0006" w:rsidRPr="00AF592E" w:rsidRDefault="009D0006" w:rsidP="00497A08">
            <w:pPr>
              <w:pStyle w:val="Tabletext"/>
            </w:pPr>
            <w:r>
              <w:t>84</w:t>
            </w:r>
          </w:p>
        </w:tc>
        <w:tc>
          <w:tcPr>
            <w:tcW w:w="1559" w:type="dxa"/>
            <w:noWrap/>
          </w:tcPr>
          <w:p w14:paraId="75496E43" w14:textId="77777777" w:rsidR="009D0006" w:rsidRPr="00AF592E" w:rsidRDefault="009D0006" w:rsidP="00497A08">
            <w:pPr>
              <w:pStyle w:val="Tabletext"/>
            </w:pPr>
            <w:r>
              <w:t>6.9</w:t>
            </w:r>
          </w:p>
        </w:tc>
      </w:tr>
      <w:tr w:rsidR="009D0006" w:rsidRPr="00AF592E" w14:paraId="03A061DA" w14:textId="77777777" w:rsidTr="00497A08">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39A38B3B" w14:textId="77777777" w:rsidR="009D0006" w:rsidRPr="00AF592E" w:rsidRDefault="009D0006" w:rsidP="00497A08">
            <w:pPr>
              <w:pStyle w:val="Tabletext"/>
            </w:pPr>
            <w:r w:rsidRPr="00AF592E">
              <w:t>High</w:t>
            </w:r>
            <w:r>
              <w:t xml:space="preserve"> or very high</w:t>
            </w:r>
          </w:p>
        </w:tc>
        <w:tc>
          <w:tcPr>
            <w:tcW w:w="1559" w:type="dxa"/>
            <w:noWrap/>
          </w:tcPr>
          <w:p w14:paraId="52212C27" w14:textId="77777777" w:rsidR="009D0006" w:rsidRPr="00AF592E" w:rsidRDefault="009D0006" w:rsidP="00497A08">
            <w:pPr>
              <w:pStyle w:val="Tabletext"/>
            </w:pPr>
            <w:r>
              <w:t>1141</w:t>
            </w:r>
          </w:p>
        </w:tc>
        <w:tc>
          <w:tcPr>
            <w:tcW w:w="1559" w:type="dxa"/>
            <w:noWrap/>
          </w:tcPr>
          <w:p w14:paraId="5DA7A637" w14:textId="77777777" w:rsidR="009D0006" w:rsidRPr="00AF592E" w:rsidRDefault="009D0006" w:rsidP="00497A08">
            <w:pPr>
              <w:pStyle w:val="Tabletext"/>
            </w:pPr>
            <w:r>
              <w:t>93.1</w:t>
            </w:r>
          </w:p>
        </w:tc>
      </w:tr>
    </w:tbl>
    <w:p w14:paraId="3AD6A1D1" w14:textId="77777777" w:rsidR="009D0006" w:rsidRPr="005C50EF" w:rsidRDefault="009D0006" w:rsidP="00497A08">
      <w:pPr>
        <w:pStyle w:val="Tableheading"/>
      </w:pPr>
      <w:r>
        <w:t>Table 86.2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0D309661" w14:textId="77777777" w:rsidTr="00497A08">
        <w:trPr>
          <w:cnfStyle w:val="100000000000" w:firstRow="1" w:lastRow="0" w:firstColumn="0" w:lastColumn="0" w:oddVBand="0" w:evenVBand="0" w:oddHBand="0" w:evenHBand="0" w:firstRowFirstColumn="0" w:firstRowLastColumn="0" w:lastRowFirstColumn="0" w:lastRowLastColumn="0"/>
          <w:trHeight w:val="319"/>
        </w:trPr>
        <w:tc>
          <w:tcPr>
            <w:tcW w:w="6746" w:type="dxa"/>
            <w:noWrap/>
            <w:hideMark/>
          </w:tcPr>
          <w:p w14:paraId="570A9C8D" w14:textId="77777777" w:rsidR="009D0006" w:rsidRPr="00AF592E" w:rsidRDefault="009D0006" w:rsidP="00497A08">
            <w:pPr>
              <w:pStyle w:val="Tableheader"/>
            </w:pPr>
            <w:r>
              <w:t>Psychological distress</w:t>
            </w:r>
          </w:p>
        </w:tc>
        <w:tc>
          <w:tcPr>
            <w:tcW w:w="1559" w:type="dxa"/>
            <w:noWrap/>
            <w:hideMark/>
          </w:tcPr>
          <w:p w14:paraId="4D24ADF4" w14:textId="77777777" w:rsidR="009D0006" w:rsidRPr="005C50EF" w:rsidRDefault="009D0006" w:rsidP="00497A08">
            <w:pPr>
              <w:pStyle w:val="Tableheader"/>
              <w:rPr>
                <w:bCs/>
              </w:rPr>
            </w:pPr>
            <w:r w:rsidRPr="005C50EF">
              <w:rPr>
                <w:bCs/>
              </w:rPr>
              <w:t>n</w:t>
            </w:r>
          </w:p>
        </w:tc>
        <w:tc>
          <w:tcPr>
            <w:tcW w:w="1559" w:type="dxa"/>
            <w:noWrap/>
            <w:hideMark/>
          </w:tcPr>
          <w:p w14:paraId="13325697" w14:textId="77777777" w:rsidR="009D0006" w:rsidRPr="005C50EF" w:rsidRDefault="009D0006" w:rsidP="00497A08">
            <w:pPr>
              <w:pStyle w:val="Tableheader"/>
              <w:rPr>
                <w:bCs/>
              </w:rPr>
            </w:pPr>
            <w:r w:rsidRPr="005C50EF">
              <w:rPr>
                <w:bCs/>
              </w:rPr>
              <w:t>%</w:t>
            </w:r>
          </w:p>
        </w:tc>
      </w:tr>
      <w:tr w:rsidR="009D0006" w:rsidRPr="00AF592E" w14:paraId="42E96705" w14:textId="77777777" w:rsidTr="00497A08">
        <w:trPr>
          <w:cnfStyle w:val="000000100000" w:firstRow="0" w:lastRow="0" w:firstColumn="0" w:lastColumn="0" w:oddVBand="0" w:evenVBand="0" w:oddHBand="1" w:evenHBand="0" w:firstRowFirstColumn="0" w:firstRowLastColumn="0" w:lastRowFirstColumn="0" w:lastRowLastColumn="0"/>
          <w:trHeight w:val="319"/>
        </w:trPr>
        <w:tc>
          <w:tcPr>
            <w:tcW w:w="6746" w:type="dxa"/>
            <w:noWrap/>
            <w:hideMark/>
          </w:tcPr>
          <w:p w14:paraId="1C05D192" w14:textId="77777777" w:rsidR="009D0006" w:rsidRPr="00AF592E" w:rsidRDefault="009D0006" w:rsidP="00497A08">
            <w:pPr>
              <w:pStyle w:val="Tabletext"/>
            </w:pPr>
            <w:r w:rsidRPr="00AF592E">
              <w:t>Low</w:t>
            </w:r>
            <w:r>
              <w:t xml:space="preserve"> or moderate</w:t>
            </w:r>
          </w:p>
        </w:tc>
        <w:tc>
          <w:tcPr>
            <w:tcW w:w="1559" w:type="dxa"/>
            <w:noWrap/>
          </w:tcPr>
          <w:p w14:paraId="264588B6" w14:textId="77777777" w:rsidR="009D0006" w:rsidRPr="00AF592E" w:rsidRDefault="009D0006" w:rsidP="00497A08">
            <w:pPr>
              <w:pStyle w:val="Tabletext"/>
            </w:pPr>
            <w:r>
              <w:t>107</w:t>
            </w:r>
          </w:p>
        </w:tc>
        <w:tc>
          <w:tcPr>
            <w:tcW w:w="1559" w:type="dxa"/>
            <w:noWrap/>
          </w:tcPr>
          <w:p w14:paraId="549A6A35" w14:textId="77777777" w:rsidR="009D0006" w:rsidRPr="00AF592E" w:rsidRDefault="009D0006" w:rsidP="00497A08">
            <w:pPr>
              <w:pStyle w:val="Tabletext"/>
            </w:pPr>
            <w:r>
              <w:t>9.6</w:t>
            </w:r>
          </w:p>
        </w:tc>
      </w:tr>
      <w:tr w:rsidR="009D0006" w:rsidRPr="00AF592E" w14:paraId="0333FCF8" w14:textId="77777777" w:rsidTr="00497A08">
        <w:trPr>
          <w:cnfStyle w:val="000000010000" w:firstRow="0" w:lastRow="0" w:firstColumn="0" w:lastColumn="0" w:oddVBand="0" w:evenVBand="0" w:oddHBand="0" w:evenHBand="1" w:firstRowFirstColumn="0" w:firstRowLastColumn="0" w:lastRowFirstColumn="0" w:lastRowLastColumn="0"/>
          <w:trHeight w:val="319"/>
        </w:trPr>
        <w:tc>
          <w:tcPr>
            <w:tcW w:w="6746" w:type="dxa"/>
            <w:noWrap/>
            <w:hideMark/>
          </w:tcPr>
          <w:p w14:paraId="0F21F6A6" w14:textId="77777777" w:rsidR="009D0006" w:rsidRPr="00AF592E" w:rsidRDefault="009D0006" w:rsidP="00497A08">
            <w:pPr>
              <w:pStyle w:val="Tabletext"/>
            </w:pPr>
            <w:r w:rsidRPr="00AF592E">
              <w:t>High</w:t>
            </w:r>
            <w:r>
              <w:t xml:space="preserve"> or very high</w:t>
            </w:r>
          </w:p>
        </w:tc>
        <w:tc>
          <w:tcPr>
            <w:tcW w:w="1559" w:type="dxa"/>
            <w:noWrap/>
          </w:tcPr>
          <w:p w14:paraId="24FFEAE4" w14:textId="77777777" w:rsidR="009D0006" w:rsidRPr="00AF592E" w:rsidRDefault="009D0006" w:rsidP="00497A08">
            <w:pPr>
              <w:pStyle w:val="Tabletext"/>
            </w:pPr>
            <w:r>
              <w:t>1002</w:t>
            </w:r>
          </w:p>
        </w:tc>
        <w:tc>
          <w:tcPr>
            <w:tcW w:w="1559" w:type="dxa"/>
            <w:noWrap/>
          </w:tcPr>
          <w:p w14:paraId="08E2E33B" w14:textId="77777777" w:rsidR="009D0006" w:rsidRPr="00AF592E" w:rsidRDefault="009D0006" w:rsidP="00497A08">
            <w:pPr>
              <w:pStyle w:val="Tabletext"/>
            </w:pPr>
            <w:r>
              <w:t>90.4</w:t>
            </w:r>
          </w:p>
        </w:tc>
      </w:tr>
    </w:tbl>
    <w:p w14:paraId="4AC2C509" w14:textId="77777777" w:rsidR="009D0006" w:rsidRPr="00837FAD" w:rsidRDefault="009D0006" w:rsidP="00184CF2">
      <w:pPr>
        <w:spacing w:before="360"/>
      </w:pPr>
      <w:r w:rsidRPr="00837FAD">
        <w:t>As displayed in Table</w:t>
      </w:r>
      <w:r>
        <w:t>s</w:t>
      </w:r>
      <w:r w:rsidRPr="00837FAD">
        <w:t xml:space="preserve"> </w:t>
      </w:r>
      <w:r>
        <w:t xml:space="preserve">86.1-86.2, more than 90% of participants with disability in </w:t>
      </w:r>
      <w:r>
        <w:rPr>
          <w:i/>
          <w:iCs/>
        </w:rPr>
        <w:t xml:space="preserve">Writing Themselves In 4 </w:t>
      </w:r>
      <w:r>
        <w:t>who were from a multicultural background reported high or very high levels of psychological distress (93.1%; n = 1141), followed by approximately 90% of participants from an Anglo-Celtic background (90.4%; n = 1002).</w:t>
      </w:r>
    </w:p>
    <w:p w14:paraId="2D0DB6C6" w14:textId="6FED77CD" w:rsidR="009D0006" w:rsidRPr="00C5739E" w:rsidRDefault="009D0006" w:rsidP="006346CA">
      <w:pPr>
        <w:pStyle w:val="Heading3Numbered"/>
      </w:pPr>
      <w:bookmarkStart w:id="784" w:name="_Toc115968623"/>
      <w:r w:rsidRPr="00C5739E">
        <w:t>Psychological distress – adults aged 18+ years</w:t>
      </w:r>
      <w:bookmarkEnd w:id="784"/>
    </w:p>
    <w:p w14:paraId="02298EDE" w14:textId="77777777" w:rsidR="009D0006" w:rsidRPr="00563F98" w:rsidRDefault="009D0006" w:rsidP="009D0006">
      <w:r w:rsidRPr="00563F98">
        <w:t xml:space="preserve">Table </w:t>
      </w:r>
      <w:r>
        <w:t>87</w:t>
      </w:r>
      <w:r w:rsidRPr="00563F98">
        <w:t xml:space="preserve"> displays the K10 psychological distress levels of participants </w:t>
      </w:r>
      <w:r>
        <w:t xml:space="preserve">aged 18+ years </w:t>
      </w:r>
      <w:r w:rsidRPr="00563F98">
        <w:t xml:space="preserve">according to </w:t>
      </w:r>
      <w:r w:rsidRPr="00AF592E">
        <w:t xml:space="preserve">whether </w:t>
      </w:r>
      <w:r>
        <w:t>they</w:t>
      </w:r>
      <w:r w:rsidRPr="00AF592E">
        <w:t xml:space="preserve"> were from multicultural backgrounds or an Anglo-Celtic background.</w:t>
      </w:r>
    </w:p>
    <w:p w14:paraId="0F5A9253" w14:textId="15FF13FD" w:rsidR="009D0006" w:rsidRDefault="009D0006" w:rsidP="00497A08">
      <w:pPr>
        <w:pStyle w:val="Tableheading"/>
      </w:pPr>
      <w:bookmarkStart w:id="785" w:name="_Toc117062804"/>
      <w:bookmarkStart w:id="786" w:name="_Toc119651489"/>
      <w:r w:rsidRPr="00C5739E">
        <w:t>Table</w:t>
      </w:r>
      <w:r>
        <w:t>s</w:t>
      </w:r>
      <w:r w:rsidRPr="00C5739E">
        <w:t xml:space="preserve"> </w:t>
      </w:r>
      <w:r>
        <w:rPr>
          <w:noProof/>
        </w:rPr>
        <w:fldChar w:fldCharType="begin"/>
      </w:r>
      <w:r>
        <w:rPr>
          <w:noProof/>
        </w:rPr>
        <w:instrText xml:space="preserve"> SEQ Table \* ARABIC </w:instrText>
      </w:r>
      <w:r>
        <w:rPr>
          <w:noProof/>
        </w:rPr>
        <w:fldChar w:fldCharType="separate"/>
      </w:r>
      <w:r>
        <w:rPr>
          <w:noProof/>
        </w:rPr>
        <w:t>87</w:t>
      </w:r>
      <w:r>
        <w:rPr>
          <w:noProof/>
        </w:rPr>
        <w:fldChar w:fldCharType="end"/>
      </w:r>
      <w:r>
        <w:rPr>
          <w:noProof/>
        </w:rPr>
        <w:t>.1-87.2</w:t>
      </w:r>
      <w:r>
        <w:t>: Psychological distress among adults with disability aged 18+ years, grouped</w:t>
      </w:r>
      <w:r w:rsidRPr="00C5739E">
        <w:t xml:space="preserve"> by </w:t>
      </w:r>
      <w:r>
        <w:t>cultural background</w:t>
      </w:r>
      <w:r w:rsidRPr="00C5739E">
        <w:t xml:space="preserve"> (n = </w:t>
      </w:r>
      <w:r>
        <w:t>2269</w:t>
      </w:r>
      <w:r w:rsidRPr="00C5739E">
        <w:t>)</w:t>
      </w:r>
      <w:bookmarkEnd w:id="785"/>
      <w:bookmarkEnd w:id="786"/>
    </w:p>
    <w:p w14:paraId="20AC2C0F" w14:textId="77777777" w:rsidR="009D0006" w:rsidRPr="00C95921" w:rsidRDefault="009D0006" w:rsidP="00497A08">
      <w:pPr>
        <w:pStyle w:val="Tableheading"/>
      </w:pPr>
      <w:r>
        <w:t>Table 87.1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104A3" w14:paraId="1933D9A4" w14:textId="77777777" w:rsidTr="00497A08">
        <w:trPr>
          <w:cnfStyle w:val="100000000000" w:firstRow="1" w:lastRow="0" w:firstColumn="0" w:lastColumn="0" w:oddVBand="0" w:evenVBand="0" w:oddHBand="0" w:evenHBand="0" w:firstRowFirstColumn="0" w:firstRowLastColumn="0" w:lastRowFirstColumn="0" w:lastRowLastColumn="0"/>
          <w:trHeight w:val="331"/>
        </w:trPr>
        <w:tc>
          <w:tcPr>
            <w:tcW w:w="6746" w:type="dxa"/>
            <w:noWrap/>
            <w:hideMark/>
          </w:tcPr>
          <w:p w14:paraId="082304E2" w14:textId="77777777" w:rsidR="009D0006" w:rsidRPr="00AF592E" w:rsidRDefault="009D0006" w:rsidP="00497A08">
            <w:pPr>
              <w:pStyle w:val="Tableheader"/>
            </w:pPr>
            <w:r>
              <w:t>Psychological distress</w:t>
            </w:r>
          </w:p>
        </w:tc>
        <w:tc>
          <w:tcPr>
            <w:tcW w:w="1559" w:type="dxa"/>
            <w:noWrap/>
            <w:hideMark/>
          </w:tcPr>
          <w:p w14:paraId="427F05E1" w14:textId="77777777" w:rsidR="009D0006" w:rsidRPr="00A104A3" w:rsidRDefault="009D0006" w:rsidP="00497A08">
            <w:pPr>
              <w:pStyle w:val="Tableheader"/>
              <w:rPr>
                <w:bCs/>
              </w:rPr>
            </w:pPr>
            <w:r w:rsidRPr="00A104A3">
              <w:rPr>
                <w:bCs/>
              </w:rPr>
              <w:t>n</w:t>
            </w:r>
          </w:p>
        </w:tc>
        <w:tc>
          <w:tcPr>
            <w:tcW w:w="1559" w:type="dxa"/>
            <w:noWrap/>
            <w:hideMark/>
          </w:tcPr>
          <w:p w14:paraId="1E114FEC" w14:textId="77777777" w:rsidR="009D0006" w:rsidRPr="00A104A3" w:rsidRDefault="009D0006" w:rsidP="00497A08">
            <w:pPr>
              <w:pStyle w:val="Tableheader"/>
              <w:rPr>
                <w:bCs/>
              </w:rPr>
            </w:pPr>
            <w:r w:rsidRPr="00A104A3">
              <w:rPr>
                <w:bCs/>
              </w:rPr>
              <w:t>%</w:t>
            </w:r>
          </w:p>
        </w:tc>
      </w:tr>
      <w:tr w:rsidR="009D0006" w:rsidRPr="00AF592E" w14:paraId="20FCB444" w14:textId="77777777" w:rsidTr="00497A08">
        <w:trPr>
          <w:cnfStyle w:val="000000100000" w:firstRow="0" w:lastRow="0" w:firstColumn="0" w:lastColumn="0" w:oddVBand="0" w:evenVBand="0" w:oddHBand="1" w:evenHBand="0" w:firstRowFirstColumn="0" w:firstRowLastColumn="0" w:lastRowFirstColumn="0" w:lastRowLastColumn="0"/>
          <w:trHeight w:val="331"/>
        </w:trPr>
        <w:tc>
          <w:tcPr>
            <w:tcW w:w="6746" w:type="dxa"/>
            <w:noWrap/>
            <w:hideMark/>
          </w:tcPr>
          <w:p w14:paraId="7531384D" w14:textId="77777777" w:rsidR="009D0006" w:rsidRPr="00AF592E" w:rsidRDefault="009D0006" w:rsidP="00497A08">
            <w:pPr>
              <w:pStyle w:val="Tabletext"/>
            </w:pPr>
            <w:r w:rsidRPr="00AF592E">
              <w:t>Low</w:t>
            </w:r>
            <w:r>
              <w:t xml:space="preserve"> or moderate</w:t>
            </w:r>
          </w:p>
        </w:tc>
        <w:tc>
          <w:tcPr>
            <w:tcW w:w="1559" w:type="dxa"/>
            <w:noWrap/>
          </w:tcPr>
          <w:p w14:paraId="7C49C600" w14:textId="77777777" w:rsidR="009D0006" w:rsidRPr="00AF592E" w:rsidRDefault="009D0006" w:rsidP="00497A08">
            <w:pPr>
              <w:pStyle w:val="Tabletext"/>
            </w:pPr>
            <w:r>
              <w:t>133</w:t>
            </w:r>
          </w:p>
        </w:tc>
        <w:tc>
          <w:tcPr>
            <w:tcW w:w="1559" w:type="dxa"/>
            <w:noWrap/>
          </w:tcPr>
          <w:p w14:paraId="353DDAB9" w14:textId="77777777" w:rsidR="009D0006" w:rsidRPr="00AF592E" w:rsidRDefault="009D0006" w:rsidP="00497A08">
            <w:pPr>
              <w:pStyle w:val="Tabletext"/>
            </w:pPr>
            <w:r>
              <w:t>20.6</w:t>
            </w:r>
          </w:p>
        </w:tc>
      </w:tr>
      <w:tr w:rsidR="009D0006" w:rsidRPr="00AF592E" w14:paraId="3CBC8ED7" w14:textId="77777777" w:rsidTr="00497A08">
        <w:trPr>
          <w:cnfStyle w:val="000000010000" w:firstRow="0" w:lastRow="0" w:firstColumn="0" w:lastColumn="0" w:oddVBand="0" w:evenVBand="0" w:oddHBand="0" w:evenHBand="1" w:firstRowFirstColumn="0" w:firstRowLastColumn="0" w:lastRowFirstColumn="0" w:lastRowLastColumn="0"/>
          <w:trHeight w:val="331"/>
        </w:trPr>
        <w:tc>
          <w:tcPr>
            <w:tcW w:w="6746" w:type="dxa"/>
            <w:noWrap/>
            <w:hideMark/>
          </w:tcPr>
          <w:p w14:paraId="199C4C01" w14:textId="77777777" w:rsidR="009D0006" w:rsidRPr="00AF592E" w:rsidRDefault="009D0006" w:rsidP="00497A08">
            <w:pPr>
              <w:pStyle w:val="Tabletext"/>
            </w:pPr>
            <w:r w:rsidRPr="00AF592E">
              <w:t>High</w:t>
            </w:r>
            <w:r>
              <w:t xml:space="preserve"> or very high</w:t>
            </w:r>
          </w:p>
        </w:tc>
        <w:tc>
          <w:tcPr>
            <w:tcW w:w="1559" w:type="dxa"/>
            <w:noWrap/>
          </w:tcPr>
          <w:p w14:paraId="1C1C77CA" w14:textId="77777777" w:rsidR="009D0006" w:rsidRPr="00AF592E" w:rsidRDefault="009D0006" w:rsidP="00497A08">
            <w:pPr>
              <w:pStyle w:val="Tabletext"/>
            </w:pPr>
            <w:r>
              <w:t>514</w:t>
            </w:r>
          </w:p>
        </w:tc>
        <w:tc>
          <w:tcPr>
            <w:tcW w:w="1559" w:type="dxa"/>
            <w:noWrap/>
          </w:tcPr>
          <w:p w14:paraId="0B2C476B" w14:textId="77777777" w:rsidR="009D0006" w:rsidRPr="00AF592E" w:rsidRDefault="009D0006" w:rsidP="00497A08">
            <w:pPr>
              <w:pStyle w:val="Tabletext"/>
            </w:pPr>
            <w:r>
              <w:t>79.4</w:t>
            </w:r>
          </w:p>
        </w:tc>
      </w:tr>
    </w:tbl>
    <w:p w14:paraId="28C0A613" w14:textId="77777777" w:rsidR="009D0006" w:rsidRDefault="009D0006" w:rsidP="00497A08">
      <w:pPr>
        <w:pStyle w:val="Tableheading"/>
      </w:pPr>
      <w:r>
        <w:t>Table 87.2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6ABAD80B" w14:textId="77777777" w:rsidTr="00497A08">
        <w:trPr>
          <w:cnfStyle w:val="100000000000" w:firstRow="1" w:lastRow="0" w:firstColumn="0" w:lastColumn="0" w:oddVBand="0" w:evenVBand="0" w:oddHBand="0" w:evenHBand="0" w:firstRowFirstColumn="0" w:firstRowLastColumn="0" w:lastRowFirstColumn="0" w:lastRowLastColumn="0"/>
          <w:trHeight w:val="301"/>
        </w:trPr>
        <w:tc>
          <w:tcPr>
            <w:tcW w:w="6746" w:type="dxa"/>
            <w:noWrap/>
            <w:hideMark/>
          </w:tcPr>
          <w:p w14:paraId="01AFE3D3" w14:textId="77777777" w:rsidR="009D0006" w:rsidRPr="00AF592E" w:rsidRDefault="009D0006" w:rsidP="00497A08">
            <w:pPr>
              <w:pStyle w:val="Tableheader"/>
            </w:pPr>
            <w:r>
              <w:t>Psychological distress</w:t>
            </w:r>
          </w:p>
        </w:tc>
        <w:tc>
          <w:tcPr>
            <w:tcW w:w="1559" w:type="dxa"/>
            <w:noWrap/>
            <w:hideMark/>
          </w:tcPr>
          <w:p w14:paraId="53C3BC9D" w14:textId="77777777" w:rsidR="009D0006" w:rsidRPr="00A104A3" w:rsidRDefault="009D0006" w:rsidP="00497A08">
            <w:pPr>
              <w:pStyle w:val="Tableheader"/>
              <w:rPr>
                <w:bCs/>
              </w:rPr>
            </w:pPr>
            <w:r w:rsidRPr="00A104A3">
              <w:rPr>
                <w:bCs/>
              </w:rPr>
              <w:t>n</w:t>
            </w:r>
          </w:p>
        </w:tc>
        <w:tc>
          <w:tcPr>
            <w:tcW w:w="1559" w:type="dxa"/>
            <w:noWrap/>
            <w:hideMark/>
          </w:tcPr>
          <w:p w14:paraId="1727BE43" w14:textId="77777777" w:rsidR="009D0006" w:rsidRPr="00A104A3" w:rsidRDefault="009D0006" w:rsidP="00497A08">
            <w:pPr>
              <w:pStyle w:val="Tableheader"/>
              <w:rPr>
                <w:bCs/>
              </w:rPr>
            </w:pPr>
            <w:r w:rsidRPr="00A104A3">
              <w:rPr>
                <w:bCs/>
              </w:rPr>
              <w:t>%</w:t>
            </w:r>
          </w:p>
        </w:tc>
      </w:tr>
      <w:tr w:rsidR="009D0006" w:rsidRPr="00AF592E" w14:paraId="5FDA68F5" w14:textId="77777777" w:rsidTr="00497A08">
        <w:trPr>
          <w:cnfStyle w:val="000000100000" w:firstRow="0" w:lastRow="0" w:firstColumn="0" w:lastColumn="0" w:oddVBand="0" w:evenVBand="0" w:oddHBand="1" w:evenHBand="0" w:firstRowFirstColumn="0" w:firstRowLastColumn="0" w:lastRowFirstColumn="0" w:lastRowLastColumn="0"/>
          <w:trHeight w:val="301"/>
        </w:trPr>
        <w:tc>
          <w:tcPr>
            <w:tcW w:w="6746" w:type="dxa"/>
            <w:noWrap/>
            <w:hideMark/>
          </w:tcPr>
          <w:p w14:paraId="1CFF17AF" w14:textId="77777777" w:rsidR="009D0006" w:rsidRPr="00AF592E" w:rsidRDefault="009D0006" w:rsidP="00497A08">
            <w:pPr>
              <w:pStyle w:val="Tabletext"/>
            </w:pPr>
            <w:r w:rsidRPr="00AF592E">
              <w:t>Low</w:t>
            </w:r>
            <w:r>
              <w:t xml:space="preserve"> or moderate</w:t>
            </w:r>
          </w:p>
        </w:tc>
        <w:tc>
          <w:tcPr>
            <w:tcW w:w="1559" w:type="dxa"/>
            <w:noWrap/>
          </w:tcPr>
          <w:p w14:paraId="013C4774" w14:textId="77777777" w:rsidR="009D0006" w:rsidRPr="00AF592E" w:rsidRDefault="009D0006" w:rsidP="00497A08">
            <w:pPr>
              <w:pStyle w:val="Tabletext"/>
            </w:pPr>
            <w:r>
              <w:t>372</w:t>
            </w:r>
          </w:p>
        </w:tc>
        <w:tc>
          <w:tcPr>
            <w:tcW w:w="1559" w:type="dxa"/>
            <w:noWrap/>
          </w:tcPr>
          <w:p w14:paraId="008DED6F" w14:textId="77777777" w:rsidR="009D0006" w:rsidRPr="00AF592E" w:rsidRDefault="009D0006" w:rsidP="00497A08">
            <w:pPr>
              <w:pStyle w:val="Tabletext"/>
            </w:pPr>
            <w:r>
              <w:t>23.6</w:t>
            </w:r>
          </w:p>
        </w:tc>
      </w:tr>
      <w:tr w:rsidR="009D0006" w:rsidRPr="00AF592E" w14:paraId="6A4FEFFD" w14:textId="77777777" w:rsidTr="00497A08">
        <w:trPr>
          <w:cnfStyle w:val="000000010000" w:firstRow="0" w:lastRow="0" w:firstColumn="0" w:lastColumn="0" w:oddVBand="0" w:evenVBand="0" w:oddHBand="0" w:evenHBand="1" w:firstRowFirstColumn="0" w:firstRowLastColumn="0" w:lastRowFirstColumn="0" w:lastRowLastColumn="0"/>
          <w:trHeight w:val="301"/>
        </w:trPr>
        <w:tc>
          <w:tcPr>
            <w:tcW w:w="6746" w:type="dxa"/>
            <w:noWrap/>
            <w:hideMark/>
          </w:tcPr>
          <w:p w14:paraId="58F955BB" w14:textId="77777777" w:rsidR="009D0006" w:rsidRPr="00AF592E" w:rsidRDefault="009D0006" w:rsidP="00497A08">
            <w:pPr>
              <w:pStyle w:val="Tabletext"/>
            </w:pPr>
            <w:r w:rsidRPr="00AF592E">
              <w:t>High</w:t>
            </w:r>
            <w:r>
              <w:t xml:space="preserve"> or very high</w:t>
            </w:r>
          </w:p>
        </w:tc>
        <w:tc>
          <w:tcPr>
            <w:tcW w:w="1559" w:type="dxa"/>
            <w:noWrap/>
          </w:tcPr>
          <w:p w14:paraId="705AC68A" w14:textId="77777777" w:rsidR="009D0006" w:rsidRPr="00AF592E" w:rsidRDefault="009D0006" w:rsidP="00497A08">
            <w:pPr>
              <w:pStyle w:val="Tabletext"/>
            </w:pPr>
            <w:r>
              <w:t>1206</w:t>
            </w:r>
          </w:p>
        </w:tc>
        <w:tc>
          <w:tcPr>
            <w:tcW w:w="1559" w:type="dxa"/>
            <w:noWrap/>
          </w:tcPr>
          <w:p w14:paraId="657F93A4" w14:textId="77777777" w:rsidR="009D0006" w:rsidRPr="00AF592E" w:rsidRDefault="009D0006" w:rsidP="00497A08">
            <w:pPr>
              <w:pStyle w:val="Tabletext"/>
            </w:pPr>
            <w:r>
              <w:t>76.4</w:t>
            </w:r>
          </w:p>
        </w:tc>
      </w:tr>
    </w:tbl>
    <w:p w14:paraId="56628BA6" w14:textId="77777777" w:rsidR="009D0006" w:rsidRPr="00837FAD" w:rsidRDefault="009D0006" w:rsidP="00184CF2">
      <w:pPr>
        <w:spacing w:before="360"/>
      </w:pPr>
      <w:r>
        <w:t>As shown in</w:t>
      </w:r>
      <w:r>
        <w:lastRenderedPageBreak/>
        <w:t xml:space="preserve"> Tables 87.1-87.2, almost 80% of participants with disability in </w:t>
      </w:r>
      <w:r>
        <w:rPr>
          <w:i/>
          <w:iCs/>
        </w:rPr>
        <w:t xml:space="preserve">Private Lives 3 </w:t>
      </w:r>
      <w:r>
        <w:t>who were from a multicultural background reported high or very high levels of psychological distress (79.4%; n = 514), followed by approximately three-quarters of participants from an Anglo-Celtic background (76.4%; n = 1206).</w:t>
      </w:r>
    </w:p>
    <w:p w14:paraId="1D94444F" w14:textId="0419EF09" w:rsidR="009D0006" w:rsidRPr="00C5739E" w:rsidRDefault="009D0006" w:rsidP="006346CA">
      <w:pPr>
        <w:pStyle w:val="Heading2Numbered"/>
      </w:pPr>
      <w:bookmarkStart w:id="787" w:name="_Toc115968624"/>
      <w:bookmarkStart w:id="788" w:name="_Toc119662462"/>
      <w:r w:rsidRPr="00C5739E">
        <w:t>Experiences of discrimination, harassment and assault</w:t>
      </w:r>
      <w:bookmarkEnd w:id="787"/>
      <w:bookmarkEnd w:id="788"/>
    </w:p>
    <w:p w14:paraId="5C0D5ED8" w14:textId="71F3E48A" w:rsidR="009D0006" w:rsidRPr="00C5739E" w:rsidRDefault="009D0006" w:rsidP="006346CA">
      <w:pPr>
        <w:pStyle w:val="Heading3Numbered"/>
      </w:pPr>
      <w:bookmarkStart w:id="789" w:name="_Toc115968625"/>
      <w:r>
        <w:t>H</w:t>
      </w:r>
      <w:r w:rsidRPr="00C5739E">
        <w:t>arassment or assault in the past 12 months – young people aged 14-21 years</w:t>
      </w:r>
      <w:bookmarkEnd w:id="789"/>
    </w:p>
    <w:p w14:paraId="07FC5DA3" w14:textId="77777777" w:rsidR="009D0006" w:rsidRPr="00C5739E" w:rsidRDefault="009D0006" w:rsidP="009D0006">
      <w:r w:rsidRPr="00C5739E">
        <w:t xml:space="preserve">Participants </w:t>
      </w:r>
      <w:r>
        <w:t xml:space="preserve">from </w:t>
      </w:r>
      <w:r w:rsidRPr="00C120D7">
        <w:rPr>
          <w:i/>
          <w:iCs/>
        </w:rPr>
        <w:t>Writing Themselves In 4</w:t>
      </w:r>
      <w:r>
        <w:t xml:space="preserve"> </w:t>
      </w:r>
      <w:r w:rsidRPr="00C5739E">
        <w:t xml:space="preserve">were asked if they had experienced any of the following </w:t>
      </w:r>
      <w:r>
        <w:t xml:space="preserve">forms of </w:t>
      </w:r>
      <w:r w:rsidRPr="00C5739E">
        <w:t>harassment or assault based on their sexuality or gender identity in the past 12 months:</w:t>
      </w:r>
    </w:p>
    <w:p w14:paraId="77A0EF88" w14:textId="77777777" w:rsidR="009D0006" w:rsidRPr="00C5739E" w:rsidRDefault="009D0006" w:rsidP="00497A08">
      <w:pPr>
        <w:pStyle w:val="Bulletlist"/>
        <w:rPr>
          <w:lang w:val="en-US"/>
        </w:rPr>
      </w:pPr>
      <w:r w:rsidRPr="00C5739E">
        <w:rPr>
          <w:lang w:val="en-US"/>
        </w:rPr>
        <w:t>Verbal (e.g.</w:t>
      </w:r>
      <w:r>
        <w:rPr>
          <w:lang w:val="en-US"/>
        </w:rPr>
        <w:t>,</w:t>
      </w:r>
      <w:r w:rsidRPr="00C5739E">
        <w:rPr>
          <w:lang w:val="en-US"/>
        </w:rPr>
        <w:t xml:space="preserve"> been called names or threatened)</w:t>
      </w:r>
    </w:p>
    <w:p w14:paraId="741232E2" w14:textId="77777777" w:rsidR="009D0006" w:rsidRPr="00C5739E" w:rsidRDefault="009D0006" w:rsidP="00497A08">
      <w:pPr>
        <w:pStyle w:val="Bulletlist"/>
        <w:rPr>
          <w:lang w:val="en-US"/>
        </w:rPr>
      </w:pPr>
      <w:r w:rsidRPr="00C5739E">
        <w:rPr>
          <w:lang w:val="en-US"/>
        </w:rPr>
        <w:t>Physical (e.g.</w:t>
      </w:r>
      <w:r>
        <w:rPr>
          <w:lang w:val="en-US"/>
        </w:rPr>
        <w:t>,</w:t>
      </w:r>
      <w:r w:rsidRPr="00C5739E">
        <w:rPr>
          <w:lang w:val="en-US"/>
        </w:rPr>
        <w:t xml:space="preserve"> being shoved, punched or injured with a weapon)</w:t>
      </w:r>
    </w:p>
    <w:p w14:paraId="7936F951" w14:textId="77777777" w:rsidR="009D0006" w:rsidRDefault="009D0006" w:rsidP="00497A08">
      <w:pPr>
        <w:pStyle w:val="Bulletlist"/>
        <w:rPr>
          <w:lang w:val="en-US"/>
        </w:rPr>
      </w:pPr>
      <w:r w:rsidRPr="00C5739E">
        <w:rPr>
          <w:lang w:val="en-US"/>
        </w:rPr>
        <w:t>Sexual (e.g.</w:t>
      </w:r>
      <w:r>
        <w:rPr>
          <w:lang w:val="en-US"/>
        </w:rPr>
        <w:t>,</w:t>
      </w:r>
      <w:r w:rsidRPr="00C5739E">
        <w:rPr>
          <w:lang w:val="en-US"/>
        </w:rPr>
        <w:t xml:space="preserve"> unwanted touching, sexual remarks, sexual messages or being forced to perform any unwanted sexual act)</w:t>
      </w:r>
    </w:p>
    <w:p w14:paraId="4D0783F3" w14:textId="07398EE7" w:rsidR="009D0006" w:rsidRDefault="009D0006" w:rsidP="00AB4A74">
      <w:pPr>
        <w:pStyle w:val="Tableheading"/>
      </w:pPr>
      <w:bookmarkStart w:id="790" w:name="_Toc117062805"/>
      <w:bookmarkStart w:id="791" w:name="_Toc119651490"/>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88</w:t>
      </w:r>
      <w:r w:rsidRPr="00C120D7">
        <w:rPr>
          <w:bCs/>
        </w:rPr>
        <w:fldChar w:fldCharType="end"/>
      </w:r>
      <w:r>
        <w:rPr>
          <w:bCs/>
        </w:rPr>
        <w:t>.1.88.2</w:t>
      </w:r>
      <w:r>
        <w:t xml:space="preserve">: </w:t>
      </w:r>
      <w:r w:rsidRPr="00C5739E">
        <w:t>Experiences of verbal</w:t>
      </w:r>
      <w:r>
        <w:t xml:space="preserve"> (n = 2272), physical (n = 2019) or sexual</w:t>
      </w:r>
      <w:r w:rsidRPr="00C5739E">
        <w:t xml:space="preserve"> harassment</w:t>
      </w:r>
      <w:r>
        <w:t xml:space="preserve"> or assault</w:t>
      </w:r>
      <w:r w:rsidRPr="00C5739E">
        <w:t xml:space="preserve"> </w:t>
      </w:r>
      <w:r>
        <w:t xml:space="preserve">(n = 2089) in the past 12 months </w:t>
      </w:r>
      <w:r w:rsidRPr="00C5739E">
        <w:t xml:space="preserve">relating to sexuality or gender identity </w:t>
      </w:r>
      <w:r>
        <w:t xml:space="preserve">among young people with disability aged 14-21 years, grouped </w:t>
      </w:r>
      <w:r w:rsidRPr="00C5739E">
        <w:t xml:space="preserve">by </w:t>
      </w:r>
      <w:r w:rsidRPr="00C95921">
        <w:t>cultural background</w:t>
      </w:r>
      <w:bookmarkEnd w:id="790"/>
      <w:bookmarkEnd w:id="791"/>
      <w:r w:rsidRPr="00C95921">
        <w:t xml:space="preserve"> </w:t>
      </w:r>
    </w:p>
    <w:p w14:paraId="345DCDEE" w14:textId="77777777" w:rsidR="009D0006" w:rsidRPr="00C95921" w:rsidRDefault="009D0006" w:rsidP="00AB4A74">
      <w:pPr>
        <w:pStyle w:val="Tableheading"/>
      </w:pPr>
      <w:r>
        <w:t>Table 88.1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5849333F" w14:textId="77777777" w:rsidTr="00A41FDE">
        <w:trPr>
          <w:cnfStyle w:val="100000000000" w:firstRow="1" w:lastRow="0" w:firstColumn="0" w:lastColumn="0" w:oddVBand="0" w:evenVBand="0" w:oddHBand="0" w:evenHBand="0" w:firstRowFirstColumn="0" w:firstRowLastColumn="0" w:lastRowFirstColumn="0" w:lastRowLastColumn="0"/>
          <w:trHeight w:val="490"/>
        </w:trPr>
        <w:tc>
          <w:tcPr>
            <w:tcW w:w="6746" w:type="dxa"/>
            <w:noWrap/>
            <w:hideMark/>
          </w:tcPr>
          <w:p w14:paraId="0DB1F656" w14:textId="77777777" w:rsidR="009D0006" w:rsidRPr="00EF597C" w:rsidRDefault="009D0006" w:rsidP="00A41FDE">
            <w:pPr>
              <w:pStyle w:val="Tableheader"/>
              <w:rPr>
                <w:bCs/>
              </w:rPr>
            </w:pPr>
            <w:r>
              <w:t>H</w:t>
            </w:r>
            <w:r w:rsidRPr="00EF597C">
              <w:t>arassment</w:t>
            </w:r>
            <w:r>
              <w:t xml:space="preserve"> or assault in past 12 months</w:t>
            </w:r>
          </w:p>
        </w:tc>
        <w:tc>
          <w:tcPr>
            <w:tcW w:w="1559" w:type="dxa"/>
            <w:noWrap/>
            <w:hideMark/>
          </w:tcPr>
          <w:p w14:paraId="7F43F0AB" w14:textId="77777777" w:rsidR="009D0006" w:rsidRPr="00D9076C" w:rsidRDefault="009D0006" w:rsidP="00A41FDE">
            <w:pPr>
              <w:pStyle w:val="Tableheader"/>
              <w:rPr>
                <w:bCs/>
              </w:rPr>
            </w:pPr>
            <w:r w:rsidRPr="00D9076C">
              <w:rPr>
                <w:bCs/>
              </w:rPr>
              <w:t>n</w:t>
            </w:r>
          </w:p>
        </w:tc>
        <w:tc>
          <w:tcPr>
            <w:tcW w:w="1559" w:type="dxa"/>
            <w:noWrap/>
            <w:hideMark/>
          </w:tcPr>
          <w:p w14:paraId="6C74CF7F" w14:textId="77777777" w:rsidR="009D0006" w:rsidRPr="00D9076C" w:rsidRDefault="009D0006" w:rsidP="00A41FDE">
            <w:pPr>
              <w:pStyle w:val="Tableheader"/>
              <w:rPr>
                <w:bCs/>
              </w:rPr>
            </w:pPr>
            <w:r w:rsidRPr="00D9076C">
              <w:rPr>
                <w:bCs/>
              </w:rPr>
              <w:t>%</w:t>
            </w:r>
          </w:p>
        </w:tc>
      </w:tr>
      <w:tr w:rsidR="009D0006" w:rsidRPr="00AF592E" w14:paraId="20CF3614" w14:textId="77777777" w:rsidTr="00A41FDE">
        <w:trPr>
          <w:cnfStyle w:val="000000100000" w:firstRow="0" w:lastRow="0" w:firstColumn="0" w:lastColumn="0" w:oddVBand="0" w:evenVBand="0" w:oddHBand="1" w:evenHBand="0" w:firstRowFirstColumn="0" w:firstRowLastColumn="0" w:lastRowFirstColumn="0" w:lastRowLastColumn="0"/>
          <w:trHeight w:val="396"/>
        </w:trPr>
        <w:tc>
          <w:tcPr>
            <w:tcW w:w="6746" w:type="dxa"/>
            <w:noWrap/>
            <w:hideMark/>
          </w:tcPr>
          <w:p w14:paraId="0B3FD853" w14:textId="77777777" w:rsidR="009D0006" w:rsidRPr="00AF592E" w:rsidRDefault="009D0006" w:rsidP="00A41FDE">
            <w:pPr>
              <w:pStyle w:val="Tabletext"/>
            </w:pPr>
            <w:r>
              <w:t>Verbal</w:t>
            </w:r>
          </w:p>
        </w:tc>
        <w:tc>
          <w:tcPr>
            <w:tcW w:w="1559" w:type="dxa"/>
            <w:noWrap/>
          </w:tcPr>
          <w:p w14:paraId="2B5A92DD" w14:textId="77777777" w:rsidR="009D0006" w:rsidRPr="00AF592E" w:rsidRDefault="009D0006" w:rsidP="00A41FDE">
            <w:pPr>
              <w:pStyle w:val="Tabletext"/>
            </w:pPr>
            <w:r>
              <w:t>617</w:t>
            </w:r>
          </w:p>
        </w:tc>
        <w:tc>
          <w:tcPr>
            <w:tcW w:w="1559" w:type="dxa"/>
            <w:noWrap/>
          </w:tcPr>
          <w:p w14:paraId="4CC0F04A" w14:textId="77777777" w:rsidR="009D0006" w:rsidRPr="00AF592E" w:rsidRDefault="009D0006" w:rsidP="00A41FDE">
            <w:pPr>
              <w:pStyle w:val="Tabletext"/>
            </w:pPr>
            <w:r>
              <w:t>51.6</w:t>
            </w:r>
          </w:p>
        </w:tc>
      </w:tr>
      <w:tr w:rsidR="009D0006" w:rsidRPr="00AF592E" w14:paraId="6C4838E5" w14:textId="77777777" w:rsidTr="00A41FDE">
        <w:trPr>
          <w:cnfStyle w:val="000000010000" w:firstRow="0" w:lastRow="0" w:firstColumn="0" w:lastColumn="0" w:oddVBand="0" w:evenVBand="0" w:oddHBand="0" w:evenHBand="1" w:firstRowFirstColumn="0" w:firstRowLastColumn="0" w:lastRowFirstColumn="0" w:lastRowLastColumn="0"/>
          <w:trHeight w:val="274"/>
        </w:trPr>
        <w:tc>
          <w:tcPr>
            <w:tcW w:w="6746" w:type="dxa"/>
            <w:noWrap/>
            <w:hideMark/>
          </w:tcPr>
          <w:p w14:paraId="485A6605" w14:textId="77777777" w:rsidR="009D0006" w:rsidRPr="00AF592E" w:rsidRDefault="009D0006" w:rsidP="00A41FDE">
            <w:pPr>
              <w:pStyle w:val="Tabletext"/>
            </w:pPr>
            <w:r>
              <w:t>Physical</w:t>
            </w:r>
          </w:p>
        </w:tc>
        <w:tc>
          <w:tcPr>
            <w:tcW w:w="1559" w:type="dxa"/>
            <w:noWrap/>
          </w:tcPr>
          <w:p w14:paraId="4F08B5F7" w14:textId="77777777" w:rsidR="009D0006" w:rsidRPr="00AF592E" w:rsidRDefault="009D0006" w:rsidP="00A41FDE">
            <w:pPr>
              <w:pStyle w:val="Tabletext"/>
            </w:pPr>
            <w:r>
              <w:t>151</w:t>
            </w:r>
          </w:p>
        </w:tc>
        <w:tc>
          <w:tcPr>
            <w:tcW w:w="1559" w:type="dxa"/>
            <w:noWrap/>
          </w:tcPr>
          <w:p w14:paraId="1C39B101" w14:textId="77777777" w:rsidR="009D0006" w:rsidRPr="00AF592E" w:rsidRDefault="009D0006" w:rsidP="00A41FDE">
            <w:pPr>
              <w:pStyle w:val="Tabletext"/>
            </w:pPr>
            <w:r>
              <w:t>14.2</w:t>
            </w:r>
          </w:p>
        </w:tc>
      </w:tr>
      <w:tr w:rsidR="009D0006" w:rsidRPr="00AF592E" w14:paraId="28EDAF0C" w14:textId="77777777" w:rsidTr="00A41FDE">
        <w:trPr>
          <w:cnfStyle w:val="000000100000" w:firstRow="0" w:lastRow="0" w:firstColumn="0" w:lastColumn="0" w:oddVBand="0" w:evenVBand="0" w:oddHBand="1" w:evenHBand="0" w:firstRowFirstColumn="0" w:firstRowLastColumn="0" w:lastRowFirstColumn="0" w:lastRowLastColumn="0"/>
          <w:trHeight w:val="274"/>
        </w:trPr>
        <w:tc>
          <w:tcPr>
            <w:tcW w:w="6746" w:type="dxa"/>
            <w:noWrap/>
            <w:hideMark/>
          </w:tcPr>
          <w:p w14:paraId="29BB989D" w14:textId="77777777" w:rsidR="009D0006" w:rsidRPr="00AF592E" w:rsidRDefault="009D0006" w:rsidP="00A41FDE">
            <w:pPr>
              <w:pStyle w:val="Tabletext"/>
            </w:pPr>
            <w:r>
              <w:t>Sexual</w:t>
            </w:r>
          </w:p>
        </w:tc>
        <w:tc>
          <w:tcPr>
            <w:tcW w:w="1559" w:type="dxa"/>
            <w:noWrap/>
          </w:tcPr>
          <w:p w14:paraId="1CDA7669" w14:textId="77777777" w:rsidR="009D0006" w:rsidRPr="00AF592E" w:rsidRDefault="009D0006" w:rsidP="00A41FDE">
            <w:pPr>
              <w:pStyle w:val="Tabletext"/>
            </w:pPr>
            <w:r>
              <w:t>350</w:t>
            </w:r>
          </w:p>
        </w:tc>
        <w:tc>
          <w:tcPr>
            <w:tcW w:w="1559" w:type="dxa"/>
            <w:noWrap/>
          </w:tcPr>
          <w:p w14:paraId="03FD568A" w14:textId="77777777" w:rsidR="009D0006" w:rsidRPr="00AF592E" w:rsidRDefault="009D0006" w:rsidP="00A41FDE">
            <w:pPr>
              <w:pStyle w:val="Tabletext"/>
            </w:pPr>
            <w:r>
              <w:t>32.0</w:t>
            </w:r>
          </w:p>
        </w:tc>
      </w:tr>
    </w:tbl>
    <w:p w14:paraId="41611AB4" w14:textId="77777777" w:rsidR="009D0006" w:rsidRDefault="009D0006" w:rsidP="00A41FDE">
      <w:pPr>
        <w:pStyle w:val="Tableheading"/>
      </w:pPr>
      <w:r>
        <w:t>Table 88.2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D9076C" w14:paraId="1CE11F28" w14:textId="77777777" w:rsidTr="00A41FDE">
        <w:trPr>
          <w:cnfStyle w:val="100000000000" w:firstRow="1" w:lastRow="0" w:firstColumn="0" w:lastColumn="0" w:oddVBand="0" w:evenVBand="0" w:oddHBand="0" w:evenHBand="0" w:firstRowFirstColumn="0" w:firstRowLastColumn="0" w:lastRowFirstColumn="0" w:lastRowLastColumn="0"/>
          <w:trHeight w:val="340"/>
        </w:trPr>
        <w:tc>
          <w:tcPr>
            <w:tcW w:w="6746" w:type="dxa"/>
            <w:noWrap/>
            <w:hideMark/>
          </w:tcPr>
          <w:p w14:paraId="454A3FD6" w14:textId="77777777" w:rsidR="009D0006" w:rsidRPr="00EF597C" w:rsidRDefault="009D0006" w:rsidP="00A41FDE">
            <w:pPr>
              <w:pStyle w:val="Tableheader"/>
              <w:rPr>
                <w:bCs/>
              </w:rPr>
            </w:pPr>
            <w:r>
              <w:t>H</w:t>
            </w:r>
            <w:r w:rsidRPr="00EF597C">
              <w:t>arassment</w:t>
            </w:r>
            <w:r>
              <w:t xml:space="preserve"> or assault in past 12 months</w:t>
            </w:r>
          </w:p>
        </w:tc>
        <w:tc>
          <w:tcPr>
            <w:tcW w:w="1559" w:type="dxa"/>
            <w:noWrap/>
            <w:hideMark/>
          </w:tcPr>
          <w:p w14:paraId="4C7FC36B" w14:textId="77777777" w:rsidR="009D0006" w:rsidRPr="00D9076C" w:rsidRDefault="009D0006" w:rsidP="00A41FDE">
            <w:pPr>
              <w:pStyle w:val="Tableheader"/>
              <w:rPr>
                <w:bCs/>
              </w:rPr>
            </w:pPr>
            <w:r w:rsidRPr="00D9076C">
              <w:rPr>
                <w:bCs/>
              </w:rPr>
              <w:t>n</w:t>
            </w:r>
          </w:p>
        </w:tc>
        <w:tc>
          <w:tcPr>
            <w:tcW w:w="1559" w:type="dxa"/>
            <w:noWrap/>
            <w:hideMark/>
          </w:tcPr>
          <w:p w14:paraId="5C78AF12" w14:textId="77777777" w:rsidR="009D0006" w:rsidRPr="00D9076C" w:rsidRDefault="009D0006" w:rsidP="00A41FDE">
            <w:pPr>
              <w:pStyle w:val="Tableheader"/>
              <w:rPr>
                <w:bCs/>
              </w:rPr>
            </w:pPr>
            <w:r w:rsidRPr="00D9076C">
              <w:rPr>
                <w:bCs/>
              </w:rPr>
              <w:t>%</w:t>
            </w:r>
          </w:p>
        </w:tc>
      </w:tr>
      <w:tr w:rsidR="009D0006" w:rsidRPr="00AF592E" w14:paraId="687C6DC8" w14:textId="77777777" w:rsidTr="00A41FD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374FE4D" w14:textId="77777777" w:rsidR="009D0006" w:rsidRPr="00AF592E" w:rsidRDefault="009D0006" w:rsidP="00A41FDE">
            <w:pPr>
              <w:pStyle w:val="Tabletext"/>
            </w:pPr>
            <w:r>
              <w:t>Verbal</w:t>
            </w:r>
          </w:p>
        </w:tc>
        <w:tc>
          <w:tcPr>
            <w:tcW w:w="1559" w:type="dxa"/>
            <w:noWrap/>
          </w:tcPr>
          <w:p w14:paraId="3A4C8F5D" w14:textId="77777777" w:rsidR="009D0006" w:rsidRPr="00AF592E" w:rsidRDefault="009D0006" w:rsidP="00A41FDE">
            <w:pPr>
              <w:pStyle w:val="Tabletext"/>
            </w:pPr>
            <w:r>
              <w:t>479</w:t>
            </w:r>
          </w:p>
        </w:tc>
        <w:tc>
          <w:tcPr>
            <w:tcW w:w="1559" w:type="dxa"/>
            <w:noWrap/>
          </w:tcPr>
          <w:p w14:paraId="2624AFE3" w14:textId="77777777" w:rsidR="009D0006" w:rsidRPr="00AF592E" w:rsidRDefault="009D0006" w:rsidP="00A41FDE">
            <w:pPr>
              <w:pStyle w:val="Tabletext"/>
            </w:pPr>
            <w:r>
              <w:t>44.5</w:t>
            </w:r>
          </w:p>
        </w:tc>
      </w:tr>
      <w:tr w:rsidR="009D0006" w:rsidRPr="00AF592E" w14:paraId="68BBA708" w14:textId="77777777" w:rsidTr="00A41FDE">
        <w:trPr>
          <w:cnfStyle w:val="000000010000" w:firstRow="0" w:lastRow="0" w:firstColumn="0" w:lastColumn="0" w:oddVBand="0" w:evenVBand="0" w:oddHBand="0" w:evenHBand="1" w:firstRowFirstColumn="0" w:firstRowLastColumn="0" w:lastRowFirstColumn="0" w:lastRowLastColumn="0"/>
          <w:trHeight w:val="340"/>
        </w:trPr>
        <w:tc>
          <w:tcPr>
            <w:tcW w:w="6746" w:type="dxa"/>
            <w:noWrap/>
            <w:hideMark/>
          </w:tcPr>
          <w:p w14:paraId="088C7517" w14:textId="77777777" w:rsidR="009D0006" w:rsidRPr="00AF592E" w:rsidRDefault="009D0006" w:rsidP="00A41FDE">
            <w:pPr>
              <w:pStyle w:val="Tabletext"/>
            </w:pPr>
            <w:r>
              <w:t>Physical</w:t>
            </w:r>
          </w:p>
        </w:tc>
        <w:tc>
          <w:tcPr>
            <w:tcW w:w="1559" w:type="dxa"/>
            <w:noWrap/>
          </w:tcPr>
          <w:p w14:paraId="0F74A842" w14:textId="77777777" w:rsidR="009D0006" w:rsidRPr="00AF592E" w:rsidRDefault="009D0006" w:rsidP="00A41FDE">
            <w:pPr>
              <w:pStyle w:val="Tabletext"/>
            </w:pPr>
            <w:r>
              <w:t>93</w:t>
            </w:r>
          </w:p>
        </w:tc>
        <w:tc>
          <w:tcPr>
            <w:tcW w:w="1559" w:type="dxa"/>
            <w:noWrap/>
          </w:tcPr>
          <w:p w14:paraId="0967A899" w14:textId="77777777" w:rsidR="009D0006" w:rsidRPr="00AF592E" w:rsidRDefault="009D0006" w:rsidP="00A41FDE">
            <w:pPr>
              <w:pStyle w:val="Tabletext"/>
            </w:pPr>
            <w:r>
              <w:t>9.7</w:t>
            </w:r>
          </w:p>
        </w:tc>
      </w:tr>
      <w:tr w:rsidR="009D0006" w:rsidRPr="00AF592E" w14:paraId="00F7BCFD" w14:textId="77777777" w:rsidTr="00A41FDE">
        <w:trPr>
          <w:cnfStyle w:val="000000100000" w:firstRow="0" w:lastRow="0" w:firstColumn="0" w:lastColumn="0" w:oddVBand="0" w:evenVBand="0" w:oddHBand="1" w:evenHBand="0" w:firstRowFirstColumn="0" w:firstRowLastColumn="0" w:lastRowFirstColumn="0" w:lastRowLastColumn="0"/>
          <w:trHeight w:val="340"/>
        </w:trPr>
        <w:tc>
          <w:tcPr>
            <w:tcW w:w="6746" w:type="dxa"/>
            <w:noWrap/>
            <w:hideMark/>
          </w:tcPr>
          <w:p w14:paraId="0203D99E" w14:textId="77777777" w:rsidR="009D0006" w:rsidRPr="00AF592E" w:rsidRDefault="009D0006" w:rsidP="00A41FDE">
            <w:pPr>
              <w:pStyle w:val="Tabletext"/>
            </w:pPr>
            <w:r>
              <w:t>Sexual</w:t>
            </w:r>
          </w:p>
        </w:tc>
        <w:tc>
          <w:tcPr>
            <w:tcW w:w="1559" w:type="dxa"/>
            <w:noWrap/>
          </w:tcPr>
          <w:p w14:paraId="68C0319A" w14:textId="77777777" w:rsidR="009D0006" w:rsidRPr="00AF592E" w:rsidRDefault="009D0006" w:rsidP="00A41FDE">
            <w:pPr>
              <w:pStyle w:val="Tabletext"/>
            </w:pPr>
            <w:r>
              <w:t>269</w:t>
            </w:r>
          </w:p>
        </w:tc>
        <w:tc>
          <w:tcPr>
            <w:tcW w:w="1559" w:type="dxa"/>
            <w:noWrap/>
          </w:tcPr>
          <w:p w14:paraId="303BCB6C" w14:textId="77777777" w:rsidR="009D0006" w:rsidRPr="00AF592E" w:rsidRDefault="009D0006" w:rsidP="00A41FDE">
            <w:pPr>
              <w:pStyle w:val="Tabletext"/>
            </w:pPr>
            <w:r>
              <w:t>27.0</w:t>
            </w:r>
          </w:p>
        </w:tc>
      </w:tr>
    </w:tbl>
    <w:p w14:paraId="52DDA96D" w14:textId="77777777" w:rsidR="009D0006" w:rsidRDefault="009D0006" w:rsidP="00AB4A74">
      <w:pPr>
        <w:spacing w:before="360"/>
      </w:pPr>
      <w:r w:rsidRPr="00837FAD">
        <w:t>As displaye</w:t>
      </w:r>
      <w:r w:rsidRPr="00837FAD">
        <w:lastRenderedPageBreak/>
        <w:t>d in Table</w:t>
      </w:r>
      <w:r>
        <w:t>s</w:t>
      </w:r>
      <w:r w:rsidRPr="00837FAD">
        <w:t xml:space="preserve"> </w:t>
      </w:r>
      <w:r>
        <w:t>88.1-88.2</w:t>
      </w:r>
      <w:r w:rsidRPr="00837FAD">
        <w:t>,</w:t>
      </w:r>
      <w:r>
        <w:t xml:space="preserve"> higher proportions of</w:t>
      </w:r>
      <w:r w:rsidRPr="00837FAD">
        <w:t xml:space="preserve"> </w:t>
      </w:r>
      <w:r>
        <w:t xml:space="preserve">participants with disability in </w:t>
      </w:r>
      <w:r>
        <w:rPr>
          <w:i/>
          <w:iCs/>
        </w:rPr>
        <w:t xml:space="preserve">Writing Themselves In 4 </w:t>
      </w:r>
      <w:r>
        <w:t xml:space="preserve">who were from a multicultural background had experienced harassment or assault compared to participants from an Anglo-Celtic background. Over half of participants who were from a multicultural background had experienced verbal harassment in the past 12 months (51.6%; n = 617) compared to over two-fifths of those from an Anglo-Celtic background (44.5%; n = 479). </w:t>
      </w:r>
    </w:p>
    <w:p w14:paraId="1CB994E4" w14:textId="77777777" w:rsidR="009D0006" w:rsidRDefault="009D0006" w:rsidP="00A41FDE">
      <w:r>
        <w:t xml:space="preserve">Likewise, a higher proportion of participants from a multicultural background had experienced physical harassment in the past 12 months (14.2%; n = 151) compared to participants from an Anglo-Celtic background (9.7%; n = 93). </w:t>
      </w:r>
    </w:p>
    <w:p w14:paraId="16919D96" w14:textId="77777777" w:rsidR="009D0006" w:rsidRDefault="009D0006" w:rsidP="00A41FDE">
      <w:r>
        <w:t>Similarly, a higher proportion of participants from a multicultural background had experienced sexual assault in the past 12 months (32.0%; n = 350) compared to participants from an Anglo-Celtic background (27.0%; n = 269).</w:t>
      </w:r>
    </w:p>
    <w:p w14:paraId="6B574427" w14:textId="77777777" w:rsidR="009D0006" w:rsidRDefault="009D0006" w:rsidP="00A41FDE">
      <w:pPr>
        <w:rPr>
          <w:rFonts w:ascii="Roboto Medium" w:hAnsi="Roboto Medium"/>
          <w:bCs/>
          <w:sz w:val="23"/>
        </w:rPr>
      </w:pPr>
      <w:r>
        <w:rPr>
          <w:lang w:val="en-GB"/>
        </w:rPr>
        <w:t>P</w:t>
      </w:r>
      <w:r w:rsidRPr="000073E5">
        <w:rPr>
          <w:lang w:val="en-GB"/>
        </w:rPr>
        <w:t xml:space="preserve">articipants </w:t>
      </w:r>
      <w:r>
        <w:rPr>
          <w:lang w:val="en-GB"/>
        </w:rPr>
        <w:t xml:space="preserve">with disability </w:t>
      </w:r>
      <w:r w:rsidRPr="000073E5">
        <w:rPr>
          <w:lang w:val="en-GB"/>
        </w:rPr>
        <w:t xml:space="preserve">reporting any verbal, physical or sexual harassment or assault in the past 12 months based </w:t>
      </w:r>
      <w:r w:rsidRPr="000073E5">
        <w:rPr>
          <w:lang w:val="en-US"/>
        </w:rPr>
        <w:t>on their sexual</w:t>
      </w:r>
      <w:r>
        <w:rPr>
          <w:lang w:val="en-US"/>
        </w:rPr>
        <w:t xml:space="preserve"> orientation</w:t>
      </w:r>
      <w:r w:rsidRPr="000073E5">
        <w:rPr>
          <w:lang w:val="en-US"/>
        </w:rPr>
        <w:t xml:space="preserve"> or gender identity were</w:t>
      </w:r>
      <w:r>
        <w:rPr>
          <w:lang w:val="en-US"/>
        </w:rPr>
        <w:t xml:space="preserve"> also</w:t>
      </w:r>
      <w:r w:rsidRPr="000073E5">
        <w:rPr>
          <w:lang w:val="en-US"/>
        </w:rPr>
        <w:t xml:space="preserve"> asked if they received any help or support dealing with this in the past 12 months</w:t>
      </w:r>
      <w:r>
        <w:rPr>
          <w:lang w:val="en-US"/>
        </w:rPr>
        <w:t xml:space="preserve">. </w:t>
      </w:r>
    </w:p>
    <w:p w14:paraId="0DDE8302" w14:textId="1B4A1A15" w:rsidR="009D0006" w:rsidRDefault="009D0006" w:rsidP="00A41FDE">
      <w:pPr>
        <w:pStyle w:val="Tableheading"/>
      </w:pPr>
      <w:bookmarkStart w:id="792" w:name="_Toc117062806"/>
      <w:bookmarkStart w:id="793" w:name="_Toc119651491"/>
      <w:r w:rsidRPr="004D09D9">
        <w:rPr>
          <w:bCs/>
        </w:rPr>
        <w:t>Table</w:t>
      </w:r>
      <w:r>
        <w:rPr>
          <w:bCs/>
        </w:rPr>
        <w:t>s</w:t>
      </w:r>
      <w:r w:rsidRPr="004D09D9">
        <w:rPr>
          <w:bCs/>
        </w:rPr>
        <w:t xml:space="preserve"> </w:t>
      </w:r>
      <w:r w:rsidRPr="004D09D9">
        <w:rPr>
          <w:bCs/>
        </w:rPr>
        <w:fldChar w:fldCharType="begin"/>
      </w:r>
      <w:r w:rsidRPr="004D09D9">
        <w:rPr>
          <w:bCs/>
        </w:rPr>
        <w:instrText xml:space="preserve"> SEQ Table \* ARABIC </w:instrText>
      </w:r>
      <w:r w:rsidRPr="004D09D9">
        <w:rPr>
          <w:bCs/>
        </w:rPr>
        <w:fldChar w:fldCharType="separate"/>
      </w:r>
      <w:r>
        <w:rPr>
          <w:bCs/>
          <w:noProof/>
        </w:rPr>
        <w:t>89</w:t>
      </w:r>
      <w:r w:rsidRPr="004D09D9">
        <w:rPr>
          <w:bCs/>
        </w:rPr>
        <w:fldChar w:fldCharType="end"/>
      </w:r>
      <w:r>
        <w:rPr>
          <w:bCs/>
        </w:rPr>
        <w:t>.1-89.2</w:t>
      </w:r>
      <w:r>
        <w:t xml:space="preserve">: </w:t>
      </w:r>
      <w:r w:rsidRPr="000073E5">
        <w:t>Received any help or support in dealing with harassment or assault based on sexuality or gender identity in the past 12 months</w:t>
      </w:r>
      <w:r>
        <w:t xml:space="preserve"> among young people with disability aged 14-21 years (n = 1344), grouped by cultural background</w:t>
      </w:r>
      <w:bookmarkEnd w:id="792"/>
      <w:bookmarkEnd w:id="793"/>
    </w:p>
    <w:p w14:paraId="2C549A80" w14:textId="77777777" w:rsidR="009D0006" w:rsidRDefault="009D0006" w:rsidP="00A41FDE">
      <w:pPr>
        <w:pStyle w:val="Tableheading"/>
      </w:pPr>
      <w:r>
        <w:t>Table 89.1 Multicultural</w:t>
      </w:r>
    </w:p>
    <w:tbl>
      <w:tblPr>
        <w:tblStyle w:val="RCTable"/>
        <w:tblW w:w="9864" w:type="dxa"/>
        <w:tblLook w:val="04A0" w:firstRow="1" w:lastRow="0" w:firstColumn="1" w:lastColumn="0" w:noHBand="0" w:noVBand="1"/>
      </w:tblPr>
      <w:tblGrid>
        <w:gridCol w:w="6746"/>
        <w:gridCol w:w="1559"/>
        <w:gridCol w:w="1559"/>
      </w:tblGrid>
      <w:tr w:rsidR="009D0006" w:rsidRPr="00EC6908" w14:paraId="5E5EB063" w14:textId="77777777" w:rsidTr="00A41FDE">
        <w:trPr>
          <w:cnfStyle w:val="100000000000" w:firstRow="1" w:lastRow="0" w:firstColumn="0" w:lastColumn="0" w:oddVBand="0" w:evenVBand="0" w:oddHBand="0" w:evenHBand="0" w:firstRowFirstColumn="0" w:firstRowLastColumn="0" w:lastRowFirstColumn="0" w:lastRowLastColumn="0"/>
          <w:trHeight w:val="361"/>
        </w:trPr>
        <w:tc>
          <w:tcPr>
            <w:tcW w:w="6746" w:type="dxa"/>
            <w:noWrap/>
            <w:hideMark/>
          </w:tcPr>
          <w:p w14:paraId="44B7F1DF" w14:textId="77777777" w:rsidR="009D0006" w:rsidRPr="00EC6908" w:rsidRDefault="009D0006" w:rsidP="00A41FDE">
            <w:pPr>
              <w:pStyle w:val="Tableheader"/>
              <w:rPr>
                <w:lang w:eastAsia="en-GB"/>
              </w:rPr>
            </w:pPr>
            <w:r>
              <w:rPr>
                <w:lang w:eastAsia="en-GB"/>
              </w:rPr>
              <w:t>Help or support provider</w:t>
            </w:r>
          </w:p>
        </w:tc>
        <w:tc>
          <w:tcPr>
            <w:tcW w:w="1559" w:type="dxa"/>
            <w:noWrap/>
            <w:hideMark/>
          </w:tcPr>
          <w:p w14:paraId="5FC6DBE4" w14:textId="77777777" w:rsidR="009D0006" w:rsidRPr="00EC6908" w:rsidRDefault="009D0006" w:rsidP="00A41FDE">
            <w:pPr>
              <w:pStyle w:val="Tableheader"/>
              <w:rPr>
                <w:lang w:eastAsia="en-GB"/>
              </w:rPr>
            </w:pPr>
            <w:r w:rsidRPr="00EC6908">
              <w:rPr>
                <w:lang w:val="en-US" w:eastAsia="en-GB"/>
              </w:rPr>
              <w:t>n</w:t>
            </w:r>
          </w:p>
        </w:tc>
        <w:tc>
          <w:tcPr>
            <w:tcW w:w="1559" w:type="dxa"/>
            <w:noWrap/>
            <w:hideMark/>
          </w:tcPr>
          <w:p w14:paraId="6AEE9889" w14:textId="77777777" w:rsidR="009D0006" w:rsidRPr="00EC6908" w:rsidRDefault="009D0006" w:rsidP="00A41FDE">
            <w:pPr>
              <w:pStyle w:val="Tableheader"/>
              <w:rPr>
                <w:lang w:eastAsia="en-GB"/>
              </w:rPr>
            </w:pPr>
            <w:r w:rsidRPr="00EC6908">
              <w:rPr>
                <w:lang w:val="en-US" w:eastAsia="en-GB"/>
              </w:rPr>
              <w:t>%</w:t>
            </w:r>
          </w:p>
        </w:tc>
      </w:tr>
      <w:tr w:rsidR="009D0006" w:rsidRPr="00EC6908" w14:paraId="3F2F4B2D" w14:textId="77777777" w:rsidTr="00A41FDE">
        <w:trPr>
          <w:cnfStyle w:val="000000100000" w:firstRow="0" w:lastRow="0" w:firstColumn="0" w:lastColumn="0" w:oddVBand="0" w:evenVBand="0" w:oddHBand="1" w:evenHBand="0" w:firstRowFirstColumn="0" w:firstRowLastColumn="0" w:lastRowFirstColumn="0" w:lastRowLastColumn="0"/>
          <w:trHeight w:val="361"/>
        </w:trPr>
        <w:tc>
          <w:tcPr>
            <w:tcW w:w="6746" w:type="dxa"/>
            <w:noWrap/>
            <w:hideMark/>
          </w:tcPr>
          <w:p w14:paraId="71A1A01A" w14:textId="77777777" w:rsidR="009D0006" w:rsidRPr="00EC6908" w:rsidRDefault="009D0006" w:rsidP="00A41FDE">
            <w:pPr>
              <w:pStyle w:val="Tabletext"/>
              <w:rPr>
                <w:lang w:eastAsia="en-GB"/>
              </w:rPr>
            </w:pPr>
            <w:r w:rsidRPr="00EC6908">
              <w:rPr>
                <w:lang w:eastAsia="en-GB"/>
              </w:rPr>
              <w:t>LGBTIQA+ friends I have met in real life</w:t>
            </w:r>
          </w:p>
        </w:tc>
        <w:tc>
          <w:tcPr>
            <w:tcW w:w="1559" w:type="dxa"/>
            <w:noWrap/>
            <w:hideMark/>
          </w:tcPr>
          <w:p w14:paraId="6087F2FD" w14:textId="77777777" w:rsidR="009D0006" w:rsidRPr="00EC6908" w:rsidRDefault="009D0006" w:rsidP="00A41FDE">
            <w:pPr>
              <w:pStyle w:val="Tabletext"/>
              <w:rPr>
                <w:lang w:eastAsia="en-GB"/>
              </w:rPr>
            </w:pPr>
            <w:r w:rsidRPr="00EC6908">
              <w:rPr>
                <w:lang w:eastAsia="en-GB"/>
              </w:rPr>
              <w:t>268</w:t>
            </w:r>
          </w:p>
        </w:tc>
        <w:tc>
          <w:tcPr>
            <w:tcW w:w="1559" w:type="dxa"/>
            <w:noWrap/>
            <w:hideMark/>
          </w:tcPr>
          <w:p w14:paraId="5A81C354" w14:textId="77777777" w:rsidR="009D0006" w:rsidRPr="00EC6908" w:rsidRDefault="009D0006" w:rsidP="00A41FDE">
            <w:pPr>
              <w:pStyle w:val="Tabletext"/>
              <w:rPr>
                <w:lang w:eastAsia="en-GB"/>
              </w:rPr>
            </w:pPr>
            <w:r w:rsidRPr="00EC6908">
              <w:rPr>
                <w:lang w:eastAsia="en-GB"/>
              </w:rPr>
              <w:t>37.</w:t>
            </w:r>
            <w:r w:rsidRPr="00DD5850">
              <w:rPr>
                <w:lang w:eastAsia="en-GB"/>
              </w:rPr>
              <w:t>8</w:t>
            </w:r>
          </w:p>
        </w:tc>
      </w:tr>
      <w:tr w:rsidR="009D0006" w:rsidRPr="00EC6908" w14:paraId="2E8E14D0"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1463D923" w14:textId="77777777" w:rsidR="009D0006" w:rsidRPr="00EC6908" w:rsidRDefault="009D0006" w:rsidP="00A41FDE">
            <w:pPr>
              <w:pStyle w:val="Tabletext"/>
              <w:rPr>
                <w:lang w:eastAsia="en-GB"/>
              </w:rPr>
            </w:pPr>
            <w:r w:rsidRPr="00EC6908">
              <w:rPr>
                <w:lang w:eastAsia="en-GB"/>
              </w:rPr>
              <w:t>Non-LGBTIQA+ Friends</w:t>
            </w:r>
          </w:p>
        </w:tc>
        <w:tc>
          <w:tcPr>
            <w:tcW w:w="1559" w:type="dxa"/>
            <w:noWrap/>
            <w:hideMark/>
          </w:tcPr>
          <w:p w14:paraId="558DDABF" w14:textId="77777777" w:rsidR="009D0006" w:rsidRPr="00EC6908" w:rsidRDefault="009D0006" w:rsidP="00A41FDE">
            <w:pPr>
              <w:pStyle w:val="Tabletext"/>
              <w:rPr>
                <w:lang w:eastAsia="en-GB"/>
              </w:rPr>
            </w:pPr>
            <w:r w:rsidRPr="00EC6908">
              <w:rPr>
                <w:lang w:eastAsia="en-GB"/>
              </w:rPr>
              <w:t>221</w:t>
            </w:r>
          </w:p>
        </w:tc>
        <w:tc>
          <w:tcPr>
            <w:tcW w:w="1559" w:type="dxa"/>
            <w:noWrap/>
            <w:hideMark/>
          </w:tcPr>
          <w:p w14:paraId="3E0DB2B8" w14:textId="77777777" w:rsidR="009D0006" w:rsidRPr="00EC6908" w:rsidRDefault="009D0006" w:rsidP="00A41FDE">
            <w:pPr>
              <w:pStyle w:val="Tabletext"/>
              <w:rPr>
                <w:lang w:eastAsia="en-GB"/>
              </w:rPr>
            </w:pPr>
            <w:r w:rsidRPr="00EC6908">
              <w:rPr>
                <w:lang w:eastAsia="en-GB"/>
              </w:rPr>
              <w:t>31.1</w:t>
            </w:r>
          </w:p>
        </w:tc>
      </w:tr>
      <w:tr w:rsidR="009D0006" w:rsidRPr="00EC6908" w14:paraId="3D203458"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1BC12C7B" w14:textId="77777777" w:rsidR="009D0006" w:rsidRPr="00EC6908" w:rsidRDefault="009D0006" w:rsidP="00A41FDE">
            <w:pPr>
              <w:pStyle w:val="Tabletext"/>
              <w:rPr>
                <w:lang w:eastAsia="en-GB"/>
              </w:rPr>
            </w:pPr>
            <w:r w:rsidRPr="00EC6908">
              <w:rPr>
                <w:lang w:eastAsia="en-GB"/>
              </w:rPr>
              <w:t>LGBTIQA+ friends I have never met in real life</w:t>
            </w:r>
          </w:p>
        </w:tc>
        <w:tc>
          <w:tcPr>
            <w:tcW w:w="1559" w:type="dxa"/>
            <w:noWrap/>
            <w:hideMark/>
          </w:tcPr>
          <w:p w14:paraId="5CD43802" w14:textId="77777777" w:rsidR="009D0006" w:rsidRPr="00EC6908" w:rsidRDefault="009D0006" w:rsidP="00A41FDE">
            <w:pPr>
              <w:pStyle w:val="Tabletext"/>
              <w:rPr>
                <w:lang w:eastAsia="en-GB"/>
              </w:rPr>
            </w:pPr>
            <w:r w:rsidRPr="00EC6908">
              <w:rPr>
                <w:lang w:eastAsia="en-GB"/>
              </w:rPr>
              <w:t>160</w:t>
            </w:r>
          </w:p>
        </w:tc>
        <w:tc>
          <w:tcPr>
            <w:tcW w:w="1559" w:type="dxa"/>
            <w:noWrap/>
            <w:hideMark/>
          </w:tcPr>
          <w:p w14:paraId="54758FF3" w14:textId="77777777" w:rsidR="009D0006" w:rsidRPr="00EC6908" w:rsidRDefault="009D0006" w:rsidP="00A41FDE">
            <w:pPr>
              <w:pStyle w:val="Tabletext"/>
              <w:rPr>
                <w:lang w:eastAsia="en-GB"/>
              </w:rPr>
            </w:pPr>
            <w:r w:rsidRPr="00EC6908">
              <w:rPr>
                <w:lang w:eastAsia="en-GB"/>
              </w:rPr>
              <w:t>22.5</w:t>
            </w:r>
          </w:p>
        </w:tc>
      </w:tr>
      <w:tr w:rsidR="009D0006" w:rsidRPr="00EC6908" w14:paraId="4B4F3F89"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1784F05C" w14:textId="77777777" w:rsidR="009D0006" w:rsidRPr="00EC6908" w:rsidRDefault="009D0006" w:rsidP="00A41FDE">
            <w:pPr>
              <w:pStyle w:val="Tabletext"/>
              <w:rPr>
                <w:lang w:eastAsia="en-GB"/>
              </w:rPr>
            </w:pPr>
            <w:r w:rsidRPr="00EC6908">
              <w:rPr>
                <w:lang w:eastAsia="en-GB"/>
              </w:rPr>
              <w:t>Parent or carer</w:t>
            </w:r>
          </w:p>
        </w:tc>
        <w:tc>
          <w:tcPr>
            <w:tcW w:w="1559" w:type="dxa"/>
            <w:noWrap/>
            <w:hideMark/>
          </w:tcPr>
          <w:p w14:paraId="6205AB79" w14:textId="77777777" w:rsidR="009D0006" w:rsidRPr="00EC6908" w:rsidRDefault="009D0006" w:rsidP="00A41FDE">
            <w:pPr>
              <w:pStyle w:val="Tabletext"/>
              <w:rPr>
                <w:lang w:eastAsia="en-GB"/>
              </w:rPr>
            </w:pPr>
            <w:r w:rsidRPr="00EC6908">
              <w:rPr>
                <w:lang w:eastAsia="en-GB"/>
              </w:rPr>
              <w:t>87</w:t>
            </w:r>
          </w:p>
        </w:tc>
        <w:tc>
          <w:tcPr>
            <w:tcW w:w="1559" w:type="dxa"/>
            <w:noWrap/>
            <w:hideMark/>
          </w:tcPr>
          <w:p w14:paraId="0E9027B0" w14:textId="77777777" w:rsidR="009D0006" w:rsidRPr="00EC6908" w:rsidRDefault="009D0006" w:rsidP="00A41FDE">
            <w:pPr>
              <w:pStyle w:val="Tabletext"/>
              <w:rPr>
                <w:lang w:eastAsia="en-GB"/>
              </w:rPr>
            </w:pPr>
            <w:r w:rsidRPr="00EC6908">
              <w:rPr>
                <w:lang w:eastAsia="en-GB"/>
              </w:rPr>
              <w:t>12.</w:t>
            </w:r>
            <w:r w:rsidRPr="00DD5850">
              <w:rPr>
                <w:lang w:eastAsia="en-GB"/>
              </w:rPr>
              <w:t>3</w:t>
            </w:r>
          </w:p>
        </w:tc>
      </w:tr>
      <w:tr w:rsidR="009D0006" w:rsidRPr="00EC6908" w14:paraId="53CF87C5"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3A45583E" w14:textId="77777777" w:rsidR="009D0006" w:rsidRPr="00EC6908" w:rsidRDefault="009D0006" w:rsidP="00A41FDE">
            <w:pPr>
              <w:pStyle w:val="Tabletext"/>
              <w:rPr>
                <w:lang w:eastAsia="en-GB"/>
              </w:rPr>
            </w:pPr>
            <w:r w:rsidRPr="00EC6908">
              <w:rPr>
                <w:lang w:eastAsia="en-GB"/>
              </w:rPr>
              <w:t>GP or medical service</w:t>
            </w:r>
          </w:p>
        </w:tc>
        <w:tc>
          <w:tcPr>
            <w:tcW w:w="1559" w:type="dxa"/>
            <w:noWrap/>
            <w:hideMark/>
          </w:tcPr>
          <w:p w14:paraId="11570477" w14:textId="77777777" w:rsidR="009D0006" w:rsidRPr="00EC6908" w:rsidRDefault="009D0006" w:rsidP="00A41FDE">
            <w:pPr>
              <w:pStyle w:val="Tabletext"/>
              <w:rPr>
                <w:lang w:eastAsia="en-GB"/>
              </w:rPr>
            </w:pPr>
            <w:r w:rsidRPr="00EC6908">
              <w:rPr>
                <w:lang w:eastAsia="en-GB"/>
              </w:rPr>
              <w:t>72</w:t>
            </w:r>
          </w:p>
        </w:tc>
        <w:tc>
          <w:tcPr>
            <w:tcW w:w="1559" w:type="dxa"/>
            <w:noWrap/>
            <w:hideMark/>
          </w:tcPr>
          <w:p w14:paraId="5252F6B6" w14:textId="77777777" w:rsidR="009D0006" w:rsidRPr="00EC6908" w:rsidRDefault="009D0006" w:rsidP="00A41FDE">
            <w:pPr>
              <w:pStyle w:val="Tabletext"/>
              <w:rPr>
                <w:lang w:eastAsia="en-GB"/>
              </w:rPr>
            </w:pPr>
            <w:r w:rsidRPr="00EC6908">
              <w:rPr>
                <w:lang w:eastAsia="en-GB"/>
              </w:rPr>
              <w:t>10.1</w:t>
            </w:r>
          </w:p>
        </w:tc>
      </w:tr>
      <w:tr w:rsidR="009D0006" w:rsidRPr="00EC6908" w14:paraId="1DD5EC0F"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5B9880BC" w14:textId="77777777" w:rsidR="009D0006" w:rsidRPr="00EC6908" w:rsidRDefault="009D0006" w:rsidP="00A41FDE">
            <w:pPr>
              <w:pStyle w:val="Tabletext"/>
              <w:rPr>
                <w:lang w:eastAsia="en-GB"/>
              </w:rPr>
            </w:pPr>
            <w:r w:rsidRPr="00EC6908">
              <w:rPr>
                <w:lang w:eastAsia="en-GB"/>
              </w:rPr>
              <w:t>Teacher or teachers</w:t>
            </w:r>
          </w:p>
        </w:tc>
        <w:tc>
          <w:tcPr>
            <w:tcW w:w="1559" w:type="dxa"/>
            <w:noWrap/>
            <w:hideMark/>
          </w:tcPr>
          <w:p w14:paraId="048F82EB" w14:textId="77777777" w:rsidR="009D0006" w:rsidRPr="00EC6908" w:rsidRDefault="009D0006" w:rsidP="00A41FDE">
            <w:pPr>
              <w:pStyle w:val="Tabletext"/>
              <w:rPr>
                <w:lang w:eastAsia="en-GB"/>
              </w:rPr>
            </w:pPr>
            <w:r w:rsidRPr="00EC6908">
              <w:rPr>
                <w:lang w:eastAsia="en-GB"/>
              </w:rPr>
              <w:t>59</w:t>
            </w:r>
          </w:p>
        </w:tc>
        <w:tc>
          <w:tcPr>
            <w:tcW w:w="1559" w:type="dxa"/>
            <w:noWrap/>
            <w:hideMark/>
          </w:tcPr>
          <w:p w14:paraId="109E23F3" w14:textId="77777777" w:rsidR="009D0006" w:rsidRPr="00EC6908" w:rsidRDefault="009D0006" w:rsidP="00A41FDE">
            <w:pPr>
              <w:pStyle w:val="Tabletext"/>
              <w:rPr>
                <w:lang w:eastAsia="en-GB"/>
              </w:rPr>
            </w:pPr>
            <w:r w:rsidRPr="00EC6908">
              <w:rPr>
                <w:lang w:eastAsia="en-GB"/>
              </w:rPr>
              <w:t>8.3</w:t>
            </w:r>
          </w:p>
        </w:tc>
      </w:tr>
      <w:tr w:rsidR="009D0006" w:rsidRPr="00EC6908" w14:paraId="22864B06"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32CDB991" w14:textId="77777777" w:rsidR="009D0006" w:rsidRPr="00EC6908" w:rsidRDefault="009D0006" w:rsidP="00A41FDE">
            <w:pPr>
              <w:pStyle w:val="Tabletext"/>
              <w:rPr>
                <w:lang w:eastAsia="en-GB"/>
              </w:rPr>
            </w:pPr>
            <w:r w:rsidRPr="00EC6908">
              <w:rPr>
                <w:lang w:eastAsia="en-GB"/>
              </w:rPr>
              <w:t>Other family member</w:t>
            </w:r>
          </w:p>
        </w:tc>
        <w:tc>
          <w:tcPr>
            <w:tcW w:w="1559" w:type="dxa"/>
            <w:noWrap/>
            <w:hideMark/>
          </w:tcPr>
          <w:p w14:paraId="1954B968" w14:textId="77777777" w:rsidR="009D0006" w:rsidRPr="00EC6908" w:rsidRDefault="009D0006" w:rsidP="00A41FDE">
            <w:pPr>
              <w:pStyle w:val="Tabletext"/>
              <w:rPr>
                <w:lang w:eastAsia="en-GB"/>
              </w:rPr>
            </w:pPr>
            <w:r w:rsidRPr="00EC6908">
              <w:rPr>
                <w:lang w:eastAsia="en-GB"/>
              </w:rPr>
              <w:t>47</w:t>
            </w:r>
          </w:p>
        </w:tc>
        <w:tc>
          <w:tcPr>
            <w:tcW w:w="1559" w:type="dxa"/>
            <w:noWrap/>
            <w:hideMark/>
          </w:tcPr>
          <w:p w14:paraId="62599A6E" w14:textId="77777777" w:rsidR="009D0006" w:rsidRPr="00EC6908" w:rsidRDefault="009D0006" w:rsidP="00A41FDE">
            <w:pPr>
              <w:pStyle w:val="Tabletext"/>
              <w:rPr>
                <w:lang w:eastAsia="en-GB"/>
              </w:rPr>
            </w:pPr>
            <w:r w:rsidRPr="00EC6908">
              <w:rPr>
                <w:lang w:eastAsia="en-GB"/>
              </w:rPr>
              <w:t>6.6</w:t>
            </w:r>
          </w:p>
        </w:tc>
      </w:tr>
      <w:tr w:rsidR="009D0006" w:rsidRPr="00EC6908" w14:paraId="0BFC94EE"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14F8EF96" w14:textId="77777777" w:rsidR="009D0006" w:rsidRPr="00EC6908" w:rsidRDefault="009D0006" w:rsidP="00A41FDE">
            <w:pPr>
              <w:pStyle w:val="Tabletext"/>
              <w:rPr>
                <w:lang w:eastAsia="en-GB"/>
              </w:rPr>
            </w:pPr>
            <w:r w:rsidRPr="00EC6908">
              <w:rPr>
                <w:lang w:eastAsia="en-GB"/>
              </w:rPr>
              <w:t>Police</w:t>
            </w:r>
          </w:p>
        </w:tc>
        <w:tc>
          <w:tcPr>
            <w:tcW w:w="1559" w:type="dxa"/>
            <w:noWrap/>
            <w:hideMark/>
          </w:tcPr>
          <w:p w14:paraId="2D0C0F21" w14:textId="77777777" w:rsidR="009D0006" w:rsidRPr="00EC6908" w:rsidRDefault="009D0006" w:rsidP="00A41FDE">
            <w:pPr>
              <w:pStyle w:val="Tabletext"/>
              <w:rPr>
                <w:lang w:eastAsia="en-GB"/>
              </w:rPr>
            </w:pPr>
            <w:r w:rsidRPr="00EC6908">
              <w:rPr>
                <w:lang w:eastAsia="en-GB"/>
              </w:rPr>
              <w:t>24</w:t>
            </w:r>
          </w:p>
        </w:tc>
        <w:tc>
          <w:tcPr>
            <w:tcW w:w="1559" w:type="dxa"/>
            <w:noWrap/>
            <w:hideMark/>
          </w:tcPr>
          <w:p w14:paraId="42AD4353" w14:textId="77777777" w:rsidR="009D0006" w:rsidRPr="00EC6908" w:rsidRDefault="009D0006" w:rsidP="00A41FDE">
            <w:pPr>
              <w:pStyle w:val="Tabletext"/>
              <w:rPr>
                <w:lang w:eastAsia="en-GB"/>
              </w:rPr>
            </w:pPr>
            <w:r w:rsidRPr="00EC6908">
              <w:rPr>
                <w:lang w:eastAsia="en-GB"/>
              </w:rPr>
              <w:t>3.</w:t>
            </w:r>
            <w:r w:rsidRPr="00DD5850">
              <w:rPr>
                <w:lang w:eastAsia="en-GB"/>
              </w:rPr>
              <w:t>4</w:t>
            </w:r>
          </w:p>
        </w:tc>
      </w:tr>
      <w:tr w:rsidR="009D0006" w:rsidRPr="00EC6908" w14:paraId="51F27DBB"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73EA36C4" w14:textId="77777777" w:rsidR="009D0006" w:rsidRPr="00EC6908" w:rsidRDefault="009D0006" w:rsidP="00A41FDE">
            <w:pPr>
              <w:pStyle w:val="Tabletext"/>
              <w:rPr>
                <w:lang w:eastAsia="en-GB"/>
              </w:rPr>
            </w:pPr>
            <w:r w:rsidRPr="00EC6908">
              <w:rPr>
                <w:lang w:eastAsia="en-GB"/>
              </w:rPr>
              <w:t>Manager or co-worker</w:t>
            </w:r>
          </w:p>
        </w:tc>
        <w:tc>
          <w:tcPr>
            <w:tcW w:w="1559" w:type="dxa"/>
            <w:noWrap/>
            <w:hideMark/>
          </w:tcPr>
          <w:p w14:paraId="7B43E1E7" w14:textId="77777777" w:rsidR="009D0006" w:rsidRPr="00EC6908" w:rsidRDefault="009D0006" w:rsidP="00A41FDE">
            <w:pPr>
              <w:pStyle w:val="Tabletext"/>
              <w:rPr>
                <w:lang w:eastAsia="en-GB"/>
              </w:rPr>
            </w:pPr>
            <w:r w:rsidRPr="00EC6908">
              <w:rPr>
                <w:lang w:eastAsia="en-GB"/>
              </w:rPr>
              <w:t>13</w:t>
            </w:r>
          </w:p>
        </w:tc>
        <w:tc>
          <w:tcPr>
            <w:tcW w:w="1559" w:type="dxa"/>
            <w:noWrap/>
            <w:hideMark/>
          </w:tcPr>
          <w:p w14:paraId="763E5FEA" w14:textId="77777777" w:rsidR="009D0006" w:rsidRPr="00EC6908" w:rsidRDefault="009D0006" w:rsidP="00A41FDE">
            <w:pPr>
              <w:pStyle w:val="Tabletext"/>
              <w:rPr>
                <w:lang w:eastAsia="en-GB"/>
              </w:rPr>
            </w:pPr>
            <w:r w:rsidRPr="00EC6908">
              <w:rPr>
                <w:lang w:eastAsia="en-GB"/>
              </w:rPr>
              <w:t>1.8</w:t>
            </w:r>
          </w:p>
        </w:tc>
      </w:tr>
      <w:tr w:rsidR="009D0006" w:rsidRPr="00EC6908" w14:paraId="1190F64A"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5ECE5429" w14:textId="77777777" w:rsidR="009D0006" w:rsidRPr="00EC6908" w:rsidRDefault="009D0006" w:rsidP="00A41FDE">
            <w:pPr>
              <w:pStyle w:val="Tabletext"/>
              <w:rPr>
                <w:lang w:eastAsia="en-GB"/>
              </w:rPr>
            </w:pPr>
            <w:r w:rsidRPr="00EC6908">
              <w:rPr>
                <w:lang w:eastAsia="en-GB"/>
              </w:rPr>
              <w:t>Someone else</w:t>
            </w:r>
          </w:p>
        </w:tc>
        <w:tc>
          <w:tcPr>
            <w:tcW w:w="1559" w:type="dxa"/>
            <w:noWrap/>
            <w:hideMark/>
          </w:tcPr>
          <w:p w14:paraId="2C7F91F2" w14:textId="77777777" w:rsidR="009D0006" w:rsidRPr="00EC6908" w:rsidRDefault="009D0006" w:rsidP="00A41FDE">
            <w:pPr>
              <w:pStyle w:val="Tabletext"/>
              <w:rPr>
                <w:lang w:eastAsia="en-GB"/>
              </w:rPr>
            </w:pPr>
            <w:r w:rsidRPr="00EC6908">
              <w:rPr>
                <w:lang w:eastAsia="en-GB"/>
              </w:rPr>
              <w:t>32</w:t>
            </w:r>
          </w:p>
        </w:tc>
        <w:tc>
          <w:tcPr>
            <w:tcW w:w="1559" w:type="dxa"/>
            <w:noWrap/>
            <w:hideMark/>
          </w:tcPr>
          <w:p w14:paraId="350EBDB7" w14:textId="77777777" w:rsidR="009D0006" w:rsidRPr="00EC6908" w:rsidRDefault="009D0006" w:rsidP="00A41FDE">
            <w:pPr>
              <w:pStyle w:val="Tabletext"/>
              <w:rPr>
                <w:lang w:eastAsia="en-GB"/>
              </w:rPr>
            </w:pPr>
            <w:r w:rsidRPr="00EC6908">
              <w:rPr>
                <w:lang w:eastAsia="en-GB"/>
              </w:rPr>
              <w:t>4.5</w:t>
            </w:r>
          </w:p>
        </w:tc>
      </w:tr>
      <w:tr w:rsidR="009D0006" w:rsidRPr="001A3FBE" w14:paraId="739FF76C"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01454270" w14:textId="77777777" w:rsidR="009D0006" w:rsidRPr="00EC6908" w:rsidRDefault="009D0006" w:rsidP="00A41FDE">
            <w:pPr>
              <w:pStyle w:val="Tabletext"/>
              <w:rPr>
                <w:b/>
                <w:bCs/>
                <w:lang w:eastAsia="en-GB"/>
              </w:rPr>
            </w:pPr>
            <w:r w:rsidRPr="00EC6908">
              <w:rPr>
                <w:b/>
                <w:bCs/>
                <w:lang w:eastAsia="en-GB"/>
              </w:rPr>
              <w:t>No, I didn’t receive help from anyone</w:t>
            </w:r>
          </w:p>
        </w:tc>
        <w:tc>
          <w:tcPr>
            <w:tcW w:w="1559" w:type="dxa"/>
            <w:noWrap/>
            <w:hideMark/>
          </w:tcPr>
          <w:p w14:paraId="59127616" w14:textId="77777777" w:rsidR="009D0006" w:rsidRPr="00EC6908" w:rsidRDefault="009D0006" w:rsidP="00A41FDE">
            <w:pPr>
              <w:pStyle w:val="Tabletext"/>
              <w:rPr>
                <w:b/>
                <w:bCs/>
                <w:lang w:eastAsia="en-GB"/>
              </w:rPr>
            </w:pPr>
            <w:r w:rsidRPr="00EC6908">
              <w:rPr>
                <w:b/>
                <w:bCs/>
                <w:lang w:eastAsia="en-GB"/>
              </w:rPr>
              <w:t>272</w:t>
            </w:r>
          </w:p>
        </w:tc>
        <w:tc>
          <w:tcPr>
            <w:tcW w:w="1559" w:type="dxa"/>
            <w:noWrap/>
            <w:hideMark/>
          </w:tcPr>
          <w:p w14:paraId="34491B10" w14:textId="77777777" w:rsidR="009D0006" w:rsidRPr="00EC6908" w:rsidRDefault="009D0006" w:rsidP="00A41FDE">
            <w:pPr>
              <w:pStyle w:val="Tabletext"/>
              <w:rPr>
                <w:b/>
                <w:bCs/>
                <w:lang w:eastAsia="en-GB"/>
              </w:rPr>
            </w:pPr>
            <w:r w:rsidRPr="00EC6908">
              <w:rPr>
                <w:b/>
                <w:bCs/>
                <w:lang w:eastAsia="en-GB"/>
              </w:rPr>
              <w:t>38.3</w:t>
            </w:r>
          </w:p>
        </w:tc>
      </w:tr>
    </w:tbl>
    <w:p w14:paraId="5AE3D66E" w14:textId="77777777" w:rsidR="009D0006" w:rsidRDefault="009D0006" w:rsidP="00A41FDE">
      <w:pPr>
        <w:pStyle w:val="Tableheading"/>
      </w:pPr>
      <w:r>
        <w:t xml:space="preserve">Table 89.2 </w:t>
      </w:r>
      <w:r>
        <w:lastRenderedPageBreak/>
        <w:t>Anglo-Celtic</w:t>
      </w:r>
    </w:p>
    <w:tbl>
      <w:tblPr>
        <w:tblStyle w:val="RCTable"/>
        <w:tblW w:w="9864" w:type="dxa"/>
        <w:tblLook w:val="04A0" w:firstRow="1" w:lastRow="0" w:firstColumn="1" w:lastColumn="0" w:noHBand="0" w:noVBand="1"/>
      </w:tblPr>
      <w:tblGrid>
        <w:gridCol w:w="6746"/>
        <w:gridCol w:w="1559"/>
        <w:gridCol w:w="1559"/>
      </w:tblGrid>
      <w:tr w:rsidR="009D0006" w:rsidRPr="00EC6908" w14:paraId="23FEE45B" w14:textId="77777777" w:rsidTr="00A41FDE">
        <w:trPr>
          <w:cnfStyle w:val="100000000000" w:firstRow="1" w:lastRow="0" w:firstColumn="0" w:lastColumn="0" w:oddVBand="0" w:evenVBand="0" w:oddHBand="0" w:evenHBand="0" w:firstRowFirstColumn="0" w:firstRowLastColumn="0" w:lastRowFirstColumn="0" w:lastRowLastColumn="0"/>
          <w:trHeight w:val="361"/>
        </w:trPr>
        <w:tc>
          <w:tcPr>
            <w:tcW w:w="6746" w:type="dxa"/>
            <w:noWrap/>
            <w:hideMark/>
          </w:tcPr>
          <w:p w14:paraId="71A61EE3" w14:textId="77777777" w:rsidR="009D0006" w:rsidRPr="00EC6908" w:rsidRDefault="009D0006" w:rsidP="00A41FDE">
            <w:pPr>
              <w:pStyle w:val="Tableheader"/>
              <w:rPr>
                <w:lang w:eastAsia="en-GB"/>
              </w:rPr>
            </w:pPr>
            <w:r>
              <w:rPr>
                <w:lang w:eastAsia="en-GB"/>
              </w:rPr>
              <w:t>Help or support provider</w:t>
            </w:r>
          </w:p>
        </w:tc>
        <w:tc>
          <w:tcPr>
            <w:tcW w:w="1559" w:type="dxa"/>
            <w:noWrap/>
            <w:hideMark/>
          </w:tcPr>
          <w:p w14:paraId="0CFBDE02" w14:textId="77777777" w:rsidR="009D0006" w:rsidRPr="00EC6908" w:rsidRDefault="009D0006" w:rsidP="00A41FDE">
            <w:pPr>
              <w:pStyle w:val="Tableheader"/>
              <w:rPr>
                <w:lang w:eastAsia="en-GB"/>
              </w:rPr>
            </w:pPr>
            <w:r w:rsidRPr="00EC6908">
              <w:rPr>
                <w:lang w:val="en-US" w:eastAsia="en-GB"/>
              </w:rPr>
              <w:t>n</w:t>
            </w:r>
          </w:p>
        </w:tc>
        <w:tc>
          <w:tcPr>
            <w:tcW w:w="1559" w:type="dxa"/>
            <w:noWrap/>
            <w:hideMark/>
          </w:tcPr>
          <w:p w14:paraId="3580A9CD" w14:textId="77777777" w:rsidR="009D0006" w:rsidRPr="00EC6908" w:rsidRDefault="009D0006" w:rsidP="00A41FDE">
            <w:pPr>
              <w:pStyle w:val="Tableheader"/>
              <w:rPr>
                <w:lang w:eastAsia="en-GB"/>
              </w:rPr>
            </w:pPr>
            <w:r w:rsidRPr="00EC6908">
              <w:rPr>
                <w:lang w:val="en-US" w:eastAsia="en-GB"/>
              </w:rPr>
              <w:t>%</w:t>
            </w:r>
          </w:p>
        </w:tc>
      </w:tr>
      <w:tr w:rsidR="009D0006" w:rsidRPr="00EC6908" w14:paraId="1E088EBB" w14:textId="77777777" w:rsidTr="00A41FDE">
        <w:trPr>
          <w:cnfStyle w:val="000000100000" w:firstRow="0" w:lastRow="0" w:firstColumn="0" w:lastColumn="0" w:oddVBand="0" w:evenVBand="0" w:oddHBand="1" w:evenHBand="0" w:firstRowFirstColumn="0" w:firstRowLastColumn="0" w:lastRowFirstColumn="0" w:lastRowLastColumn="0"/>
          <w:trHeight w:val="361"/>
        </w:trPr>
        <w:tc>
          <w:tcPr>
            <w:tcW w:w="6746" w:type="dxa"/>
            <w:noWrap/>
            <w:hideMark/>
          </w:tcPr>
          <w:p w14:paraId="048B4A75" w14:textId="77777777" w:rsidR="009D0006" w:rsidRPr="00EC6908" w:rsidRDefault="009D0006" w:rsidP="00A41FDE">
            <w:pPr>
              <w:pStyle w:val="Tabletext"/>
              <w:rPr>
                <w:lang w:eastAsia="en-GB"/>
              </w:rPr>
            </w:pPr>
            <w:r w:rsidRPr="00EC6908">
              <w:rPr>
                <w:lang w:eastAsia="en-GB"/>
              </w:rPr>
              <w:t>LGBTIQA+ friends I have met in real life</w:t>
            </w:r>
          </w:p>
        </w:tc>
        <w:tc>
          <w:tcPr>
            <w:tcW w:w="1559" w:type="dxa"/>
            <w:noWrap/>
            <w:hideMark/>
          </w:tcPr>
          <w:p w14:paraId="6EB42459" w14:textId="77777777" w:rsidR="009D0006" w:rsidRPr="00EC6908" w:rsidRDefault="009D0006" w:rsidP="00A41FDE">
            <w:pPr>
              <w:pStyle w:val="Tabletext"/>
              <w:rPr>
                <w:lang w:eastAsia="en-GB"/>
              </w:rPr>
            </w:pPr>
            <w:r w:rsidRPr="00EC6908">
              <w:rPr>
                <w:lang w:eastAsia="en-GB"/>
              </w:rPr>
              <w:t>243</w:t>
            </w:r>
          </w:p>
        </w:tc>
        <w:tc>
          <w:tcPr>
            <w:tcW w:w="1559" w:type="dxa"/>
            <w:noWrap/>
            <w:hideMark/>
          </w:tcPr>
          <w:p w14:paraId="0FE34CDE" w14:textId="77777777" w:rsidR="009D0006" w:rsidRPr="00EC6908" w:rsidRDefault="009D0006" w:rsidP="00A41FDE">
            <w:pPr>
              <w:pStyle w:val="Tabletext"/>
              <w:rPr>
                <w:lang w:eastAsia="en-GB"/>
              </w:rPr>
            </w:pPr>
            <w:r w:rsidRPr="00EC6908">
              <w:rPr>
                <w:lang w:eastAsia="en-GB"/>
              </w:rPr>
              <w:t>44.4</w:t>
            </w:r>
          </w:p>
        </w:tc>
      </w:tr>
      <w:tr w:rsidR="009D0006" w:rsidRPr="00EC6908" w14:paraId="4FB18A41"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49586A9C" w14:textId="77777777" w:rsidR="009D0006" w:rsidRPr="00EC6908" w:rsidRDefault="009D0006" w:rsidP="00A41FDE">
            <w:pPr>
              <w:pStyle w:val="Tabletext"/>
              <w:rPr>
                <w:lang w:eastAsia="en-GB"/>
              </w:rPr>
            </w:pPr>
            <w:r w:rsidRPr="00EC6908">
              <w:rPr>
                <w:lang w:eastAsia="en-GB"/>
              </w:rPr>
              <w:t>Non-LGBTIQA+ Friends</w:t>
            </w:r>
          </w:p>
        </w:tc>
        <w:tc>
          <w:tcPr>
            <w:tcW w:w="1559" w:type="dxa"/>
            <w:noWrap/>
            <w:hideMark/>
          </w:tcPr>
          <w:p w14:paraId="5FFEB1DF" w14:textId="77777777" w:rsidR="009D0006" w:rsidRPr="00EC6908" w:rsidRDefault="009D0006" w:rsidP="00A41FDE">
            <w:pPr>
              <w:pStyle w:val="Tabletext"/>
              <w:rPr>
                <w:lang w:eastAsia="en-GB"/>
              </w:rPr>
            </w:pPr>
            <w:r w:rsidRPr="00EC6908">
              <w:rPr>
                <w:lang w:eastAsia="en-GB"/>
              </w:rPr>
              <w:t>135</w:t>
            </w:r>
          </w:p>
        </w:tc>
        <w:tc>
          <w:tcPr>
            <w:tcW w:w="1559" w:type="dxa"/>
            <w:noWrap/>
            <w:hideMark/>
          </w:tcPr>
          <w:p w14:paraId="48FA91A0" w14:textId="77777777" w:rsidR="009D0006" w:rsidRPr="00EC6908" w:rsidRDefault="009D0006" w:rsidP="00A41FDE">
            <w:pPr>
              <w:pStyle w:val="Tabletext"/>
              <w:rPr>
                <w:lang w:eastAsia="en-GB"/>
              </w:rPr>
            </w:pPr>
            <w:r w:rsidRPr="00EC6908">
              <w:rPr>
                <w:lang w:eastAsia="en-GB"/>
              </w:rPr>
              <w:t>24.</w:t>
            </w:r>
            <w:r w:rsidRPr="00DD5850">
              <w:rPr>
                <w:lang w:eastAsia="en-GB"/>
              </w:rPr>
              <w:t>7</w:t>
            </w:r>
          </w:p>
        </w:tc>
      </w:tr>
      <w:tr w:rsidR="009D0006" w:rsidRPr="00EC6908" w14:paraId="136A4B1C"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6911C55D" w14:textId="77777777" w:rsidR="009D0006" w:rsidRPr="00EC6908" w:rsidRDefault="009D0006" w:rsidP="00A41FDE">
            <w:pPr>
              <w:pStyle w:val="Tabletext"/>
              <w:rPr>
                <w:lang w:eastAsia="en-GB"/>
              </w:rPr>
            </w:pPr>
            <w:r w:rsidRPr="00EC6908">
              <w:rPr>
                <w:lang w:eastAsia="en-GB"/>
              </w:rPr>
              <w:t>LGBTIQA+ friends I have never met in real life</w:t>
            </w:r>
          </w:p>
        </w:tc>
        <w:tc>
          <w:tcPr>
            <w:tcW w:w="1559" w:type="dxa"/>
            <w:noWrap/>
            <w:hideMark/>
          </w:tcPr>
          <w:p w14:paraId="69CD743F" w14:textId="77777777" w:rsidR="009D0006" w:rsidRPr="00EC6908" w:rsidRDefault="009D0006" w:rsidP="00A41FDE">
            <w:pPr>
              <w:pStyle w:val="Tabletext"/>
              <w:rPr>
                <w:lang w:eastAsia="en-GB"/>
              </w:rPr>
            </w:pPr>
            <w:r w:rsidRPr="00EC6908">
              <w:rPr>
                <w:lang w:eastAsia="en-GB"/>
              </w:rPr>
              <w:t>138</w:t>
            </w:r>
          </w:p>
        </w:tc>
        <w:tc>
          <w:tcPr>
            <w:tcW w:w="1559" w:type="dxa"/>
            <w:noWrap/>
            <w:hideMark/>
          </w:tcPr>
          <w:p w14:paraId="09F19192" w14:textId="77777777" w:rsidR="009D0006" w:rsidRPr="00EC6908" w:rsidRDefault="009D0006" w:rsidP="00A41FDE">
            <w:pPr>
              <w:pStyle w:val="Tabletext"/>
              <w:rPr>
                <w:lang w:eastAsia="en-GB"/>
              </w:rPr>
            </w:pPr>
            <w:r w:rsidRPr="00EC6908">
              <w:rPr>
                <w:lang w:eastAsia="en-GB"/>
              </w:rPr>
              <w:t>25.2</w:t>
            </w:r>
          </w:p>
        </w:tc>
      </w:tr>
      <w:tr w:rsidR="009D0006" w:rsidRPr="00EC6908" w14:paraId="5D5E7690"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6FD02612" w14:textId="77777777" w:rsidR="009D0006" w:rsidRPr="00EC6908" w:rsidRDefault="009D0006" w:rsidP="00A41FDE">
            <w:pPr>
              <w:pStyle w:val="Tabletext"/>
              <w:rPr>
                <w:lang w:eastAsia="en-GB"/>
              </w:rPr>
            </w:pPr>
            <w:r w:rsidRPr="00EC6908">
              <w:rPr>
                <w:lang w:eastAsia="en-GB"/>
              </w:rPr>
              <w:t>Parent or carer</w:t>
            </w:r>
          </w:p>
        </w:tc>
        <w:tc>
          <w:tcPr>
            <w:tcW w:w="1559" w:type="dxa"/>
            <w:noWrap/>
            <w:hideMark/>
          </w:tcPr>
          <w:p w14:paraId="1F516386" w14:textId="77777777" w:rsidR="009D0006" w:rsidRPr="00EC6908" w:rsidRDefault="009D0006" w:rsidP="00A41FDE">
            <w:pPr>
              <w:pStyle w:val="Tabletext"/>
              <w:rPr>
                <w:lang w:eastAsia="en-GB"/>
              </w:rPr>
            </w:pPr>
            <w:r w:rsidRPr="00EC6908">
              <w:rPr>
                <w:lang w:eastAsia="en-GB"/>
              </w:rPr>
              <w:t>68</w:t>
            </w:r>
          </w:p>
        </w:tc>
        <w:tc>
          <w:tcPr>
            <w:tcW w:w="1559" w:type="dxa"/>
            <w:noWrap/>
            <w:hideMark/>
          </w:tcPr>
          <w:p w14:paraId="1063BD36" w14:textId="77777777" w:rsidR="009D0006" w:rsidRPr="00EC6908" w:rsidRDefault="009D0006" w:rsidP="00A41FDE">
            <w:pPr>
              <w:pStyle w:val="Tabletext"/>
              <w:rPr>
                <w:lang w:eastAsia="en-GB"/>
              </w:rPr>
            </w:pPr>
            <w:r w:rsidRPr="00EC6908">
              <w:rPr>
                <w:lang w:eastAsia="en-GB"/>
              </w:rPr>
              <w:t>12.4</w:t>
            </w:r>
          </w:p>
        </w:tc>
      </w:tr>
      <w:tr w:rsidR="009D0006" w:rsidRPr="00EC6908" w14:paraId="04E28179"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0BF76A20" w14:textId="77777777" w:rsidR="009D0006" w:rsidRPr="00EC6908" w:rsidRDefault="009D0006" w:rsidP="00A41FDE">
            <w:pPr>
              <w:pStyle w:val="Tabletext"/>
              <w:rPr>
                <w:lang w:eastAsia="en-GB"/>
              </w:rPr>
            </w:pPr>
            <w:r w:rsidRPr="00EC6908">
              <w:rPr>
                <w:lang w:eastAsia="en-GB"/>
              </w:rPr>
              <w:t>GP or medical service</w:t>
            </w:r>
          </w:p>
        </w:tc>
        <w:tc>
          <w:tcPr>
            <w:tcW w:w="1559" w:type="dxa"/>
            <w:noWrap/>
            <w:hideMark/>
          </w:tcPr>
          <w:p w14:paraId="2DAF121C" w14:textId="77777777" w:rsidR="009D0006" w:rsidRPr="00EC6908" w:rsidRDefault="009D0006" w:rsidP="00A41FDE">
            <w:pPr>
              <w:pStyle w:val="Tabletext"/>
              <w:rPr>
                <w:lang w:eastAsia="en-GB"/>
              </w:rPr>
            </w:pPr>
            <w:r w:rsidRPr="00EC6908">
              <w:rPr>
                <w:lang w:eastAsia="en-GB"/>
              </w:rPr>
              <w:t>57</w:t>
            </w:r>
          </w:p>
        </w:tc>
        <w:tc>
          <w:tcPr>
            <w:tcW w:w="1559" w:type="dxa"/>
            <w:noWrap/>
            <w:hideMark/>
          </w:tcPr>
          <w:p w14:paraId="305696C3" w14:textId="77777777" w:rsidR="009D0006" w:rsidRPr="00EC6908" w:rsidRDefault="009D0006" w:rsidP="00A41FDE">
            <w:pPr>
              <w:pStyle w:val="Tabletext"/>
              <w:rPr>
                <w:lang w:eastAsia="en-GB"/>
              </w:rPr>
            </w:pPr>
            <w:r w:rsidRPr="00EC6908">
              <w:rPr>
                <w:lang w:eastAsia="en-GB"/>
              </w:rPr>
              <w:t>10.4</w:t>
            </w:r>
          </w:p>
        </w:tc>
      </w:tr>
      <w:tr w:rsidR="009D0006" w:rsidRPr="00EC6908" w14:paraId="40B7B250"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008DAF24" w14:textId="77777777" w:rsidR="009D0006" w:rsidRPr="00EC6908" w:rsidRDefault="009D0006" w:rsidP="00A41FDE">
            <w:pPr>
              <w:pStyle w:val="Tabletext"/>
              <w:rPr>
                <w:lang w:eastAsia="en-GB"/>
              </w:rPr>
            </w:pPr>
            <w:r w:rsidRPr="00EC6908">
              <w:rPr>
                <w:lang w:eastAsia="en-GB"/>
              </w:rPr>
              <w:t>Teacher or teachers</w:t>
            </w:r>
          </w:p>
        </w:tc>
        <w:tc>
          <w:tcPr>
            <w:tcW w:w="1559" w:type="dxa"/>
            <w:noWrap/>
            <w:hideMark/>
          </w:tcPr>
          <w:p w14:paraId="5684A3AF" w14:textId="77777777" w:rsidR="009D0006" w:rsidRPr="00EC6908" w:rsidRDefault="009D0006" w:rsidP="00A41FDE">
            <w:pPr>
              <w:pStyle w:val="Tabletext"/>
              <w:rPr>
                <w:lang w:eastAsia="en-GB"/>
              </w:rPr>
            </w:pPr>
            <w:r w:rsidRPr="00EC6908">
              <w:rPr>
                <w:lang w:eastAsia="en-GB"/>
              </w:rPr>
              <w:t>40</w:t>
            </w:r>
          </w:p>
        </w:tc>
        <w:tc>
          <w:tcPr>
            <w:tcW w:w="1559" w:type="dxa"/>
            <w:noWrap/>
            <w:hideMark/>
          </w:tcPr>
          <w:p w14:paraId="398865D7" w14:textId="77777777" w:rsidR="009D0006" w:rsidRPr="00EC6908" w:rsidRDefault="009D0006" w:rsidP="00A41FDE">
            <w:pPr>
              <w:pStyle w:val="Tabletext"/>
              <w:rPr>
                <w:lang w:eastAsia="en-GB"/>
              </w:rPr>
            </w:pPr>
            <w:r w:rsidRPr="00EC6908">
              <w:rPr>
                <w:lang w:eastAsia="en-GB"/>
              </w:rPr>
              <w:t>7.3</w:t>
            </w:r>
          </w:p>
        </w:tc>
      </w:tr>
      <w:tr w:rsidR="009D0006" w:rsidRPr="00EC6908" w14:paraId="2D8F105A"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62406C4B" w14:textId="77777777" w:rsidR="009D0006" w:rsidRPr="00EC6908" w:rsidRDefault="009D0006" w:rsidP="00A41FDE">
            <w:pPr>
              <w:pStyle w:val="Tabletext"/>
              <w:rPr>
                <w:lang w:eastAsia="en-GB"/>
              </w:rPr>
            </w:pPr>
            <w:r w:rsidRPr="00EC6908">
              <w:rPr>
                <w:lang w:eastAsia="en-GB"/>
              </w:rPr>
              <w:t>Other family member</w:t>
            </w:r>
          </w:p>
        </w:tc>
        <w:tc>
          <w:tcPr>
            <w:tcW w:w="1559" w:type="dxa"/>
            <w:noWrap/>
            <w:hideMark/>
          </w:tcPr>
          <w:p w14:paraId="5C877327" w14:textId="77777777" w:rsidR="009D0006" w:rsidRPr="00EC6908" w:rsidRDefault="009D0006" w:rsidP="00A41FDE">
            <w:pPr>
              <w:pStyle w:val="Tabletext"/>
              <w:rPr>
                <w:lang w:eastAsia="en-GB"/>
              </w:rPr>
            </w:pPr>
            <w:r w:rsidRPr="00EC6908">
              <w:rPr>
                <w:lang w:eastAsia="en-GB"/>
              </w:rPr>
              <w:t>29</w:t>
            </w:r>
          </w:p>
        </w:tc>
        <w:tc>
          <w:tcPr>
            <w:tcW w:w="1559" w:type="dxa"/>
            <w:noWrap/>
            <w:hideMark/>
          </w:tcPr>
          <w:p w14:paraId="53598D50" w14:textId="77777777" w:rsidR="009D0006" w:rsidRPr="00EC6908" w:rsidRDefault="009D0006" w:rsidP="00A41FDE">
            <w:pPr>
              <w:pStyle w:val="Tabletext"/>
              <w:rPr>
                <w:lang w:eastAsia="en-GB"/>
              </w:rPr>
            </w:pPr>
            <w:r w:rsidRPr="00EC6908">
              <w:rPr>
                <w:lang w:eastAsia="en-GB"/>
              </w:rPr>
              <w:t>5.3</w:t>
            </w:r>
          </w:p>
        </w:tc>
      </w:tr>
      <w:tr w:rsidR="009D0006" w:rsidRPr="00EC6908" w14:paraId="21AB4781"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647321D0" w14:textId="77777777" w:rsidR="009D0006" w:rsidRPr="00EC6908" w:rsidRDefault="009D0006" w:rsidP="00A41FDE">
            <w:pPr>
              <w:pStyle w:val="Tabletext"/>
              <w:rPr>
                <w:lang w:eastAsia="en-GB"/>
              </w:rPr>
            </w:pPr>
            <w:r w:rsidRPr="00EC6908">
              <w:rPr>
                <w:lang w:eastAsia="en-GB"/>
              </w:rPr>
              <w:t>Police</w:t>
            </w:r>
          </w:p>
        </w:tc>
        <w:tc>
          <w:tcPr>
            <w:tcW w:w="1559" w:type="dxa"/>
            <w:noWrap/>
            <w:hideMark/>
          </w:tcPr>
          <w:p w14:paraId="2FE50F97" w14:textId="77777777" w:rsidR="009D0006" w:rsidRPr="00EC6908" w:rsidRDefault="009D0006" w:rsidP="00A41FDE">
            <w:pPr>
              <w:pStyle w:val="Tabletext"/>
              <w:rPr>
                <w:lang w:eastAsia="en-GB"/>
              </w:rPr>
            </w:pPr>
            <w:r w:rsidRPr="00EC6908">
              <w:rPr>
                <w:lang w:eastAsia="en-GB"/>
              </w:rPr>
              <w:t>13</w:t>
            </w:r>
          </w:p>
        </w:tc>
        <w:tc>
          <w:tcPr>
            <w:tcW w:w="1559" w:type="dxa"/>
            <w:noWrap/>
            <w:hideMark/>
          </w:tcPr>
          <w:p w14:paraId="0193E455" w14:textId="77777777" w:rsidR="009D0006" w:rsidRPr="00EC6908" w:rsidRDefault="009D0006" w:rsidP="00A41FDE">
            <w:pPr>
              <w:pStyle w:val="Tabletext"/>
              <w:rPr>
                <w:lang w:eastAsia="en-GB"/>
              </w:rPr>
            </w:pPr>
            <w:r w:rsidRPr="00EC6908">
              <w:rPr>
                <w:lang w:eastAsia="en-GB"/>
              </w:rPr>
              <w:t>2.</w:t>
            </w:r>
            <w:r w:rsidRPr="00DD5850">
              <w:rPr>
                <w:lang w:eastAsia="en-GB"/>
              </w:rPr>
              <w:t>4</w:t>
            </w:r>
          </w:p>
        </w:tc>
      </w:tr>
      <w:tr w:rsidR="009D0006" w:rsidRPr="00EC6908" w14:paraId="7C24FDA3"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42E2E34D" w14:textId="77777777" w:rsidR="009D0006" w:rsidRPr="00EC6908" w:rsidRDefault="009D0006" w:rsidP="00A41FDE">
            <w:pPr>
              <w:pStyle w:val="Tabletext"/>
              <w:rPr>
                <w:lang w:eastAsia="en-GB"/>
              </w:rPr>
            </w:pPr>
            <w:r w:rsidRPr="00EC6908">
              <w:rPr>
                <w:lang w:eastAsia="en-GB"/>
              </w:rPr>
              <w:t>Manager or co-worker</w:t>
            </w:r>
          </w:p>
        </w:tc>
        <w:tc>
          <w:tcPr>
            <w:tcW w:w="1559" w:type="dxa"/>
            <w:noWrap/>
            <w:hideMark/>
          </w:tcPr>
          <w:p w14:paraId="1536D23C" w14:textId="77777777" w:rsidR="009D0006" w:rsidRPr="00EC6908" w:rsidRDefault="009D0006" w:rsidP="00A41FDE">
            <w:pPr>
              <w:pStyle w:val="Tabletext"/>
              <w:rPr>
                <w:lang w:eastAsia="en-GB"/>
              </w:rPr>
            </w:pPr>
            <w:r w:rsidRPr="00EC6908">
              <w:rPr>
                <w:lang w:eastAsia="en-GB"/>
              </w:rPr>
              <w:t>12</w:t>
            </w:r>
          </w:p>
        </w:tc>
        <w:tc>
          <w:tcPr>
            <w:tcW w:w="1559" w:type="dxa"/>
            <w:noWrap/>
            <w:hideMark/>
          </w:tcPr>
          <w:p w14:paraId="732C0E14" w14:textId="77777777" w:rsidR="009D0006" w:rsidRPr="00EC6908" w:rsidRDefault="009D0006" w:rsidP="00A41FDE">
            <w:pPr>
              <w:pStyle w:val="Tabletext"/>
              <w:rPr>
                <w:lang w:eastAsia="en-GB"/>
              </w:rPr>
            </w:pPr>
            <w:r w:rsidRPr="00EC6908">
              <w:rPr>
                <w:lang w:eastAsia="en-GB"/>
              </w:rPr>
              <w:t>2.</w:t>
            </w:r>
            <w:r w:rsidRPr="00DD5850">
              <w:rPr>
                <w:lang w:eastAsia="en-GB"/>
              </w:rPr>
              <w:t>2</w:t>
            </w:r>
          </w:p>
        </w:tc>
      </w:tr>
      <w:tr w:rsidR="009D0006" w:rsidRPr="00EC6908" w14:paraId="4705506B" w14:textId="77777777" w:rsidTr="00A41FDE">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32235778" w14:textId="77777777" w:rsidR="009D0006" w:rsidRPr="00EC6908" w:rsidRDefault="009D0006" w:rsidP="00A41FDE">
            <w:pPr>
              <w:pStyle w:val="Tabletext"/>
              <w:rPr>
                <w:lang w:eastAsia="en-GB"/>
              </w:rPr>
            </w:pPr>
            <w:r w:rsidRPr="00EC6908">
              <w:rPr>
                <w:lang w:eastAsia="en-GB"/>
              </w:rPr>
              <w:t>Someone else</w:t>
            </w:r>
          </w:p>
        </w:tc>
        <w:tc>
          <w:tcPr>
            <w:tcW w:w="1559" w:type="dxa"/>
            <w:noWrap/>
            <w:hideMark/>
          </w:tcPr>
          <w:p w14:paraId="10DF56CF" w14:textId="77777777" w:rsidR="009D0006" w:rsidRPr="00EC6908" w:rsidRDefault="009D0006" w:rsidP="00A41FDE">
            <w:pPr>
              <w:pStyle w:val="Tabletext"/>
              <w:rPr>
                <w:lang w:eastAsia="en-GB"/>
              </w:rPr>
            </w:pPr>
            <w:r w:rsidRPr="00EC6908">
              <w:rPr>
                <w:lang w:eastAsia="en-GB"/>
              </w:rPr>
              <w:t>33</w:t>
            </w:r>
          </w:p>
        </w:tc>
        <w:tc>
          <w:tcPr>
            <w:tcW w:w="1559" w:type="dxa"/>
            <w:noWrap/>
            <w:hideMark/>
          </w:tcPr>
          <w:p w14:paraId="63121039" w14:textId="77777777" w:rsidR="009D0006" w:rsidRPr="00EC6908" w:rsidRDefault="009D0006" w:rsidP="00A41FDE">
            <w:pPr>
              <w:pStyle w:val="Tabletext"/>
              <w:rPr>
                <w:lang w:eastAsia="en-GB"/>
              </w:rPr>
            </w:pPr>
            <w:r w:rsidRPr="00EC6908">
              <w:rPr>
                <w:lang w:eastAsia="en-GB"/>
              </w:rPr>
              <w:t>6.0</w:t>
            </w:r>
          </w:p>
        </w:tc>
      </w:tr>
      <w:tr w:rsidR="009D0006" w:rsidRPr="001A3FBE" w14:paraId="4CF17E43" w14:textId="77777777" w:rsidTr="00A41FDE">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31EB006C" w14:textId="77777777" w:rsidR="009D0006" w:rsidRPr="00EC6908" w:rsidRDefault="009D0006" w:rsidP="00A41FDE">
            <w:pPr>
              <w:pStyle w:val="Tabletext"/>
              <w:rPr>
                <w:b/>
                <w:bCs/>
                <w:lang w:eastAsia="en-GB"/>
              </w:rPr>
            </w:pPr>
            <w:r w:rsidRPr="00EC6908">
              <w:rPr>
                <w:b/>
                <w:bCs/>
                <w:lang w:eastAsia="en-GB"/>
              </w:rPr>
              <w:t>No, I didn’t receive help from anyone</w:t>
            </w:r>
          </w:p>
        </w:tc>
        <w:tc>
          <w:tcPr>
            <w:tcW w:w="1559" w:type="dxa"/>
            <w:noWrap/>
            <w:hideMark/>
          </w:tcPr>
          <w:p w14:paraId="1F7C0A20" w14:textId="77777777" w:rsidR="009D0006" w:rsidRPr="00EC6908" w:rsidRDefault="009D0006" w:rsidP="00A41FDE">
            <w:pPr>
              <w:pStyle w:val="Tabletext"/>
              <w:rPr>
                <w:b/>
                <w:bCs/>
                <w:lang w:eastAsia="en-GB"/>
              </w:rPr>
            </w:pPr>
            <w:r w:rsidRPr="00EC6908">
              <w:rPr>
                <w:b/>
                <w:bCs/>
                <w:lang w:eastAsia="en-GB"/>
              </w:rPr>
              <w:t>192</w:t>
            </w:r>
          </w:p>
        </w:tc>
        <w:tc>
          <w:tcPr>
            <w:tcW w:w="1559" w:type="dxa"/>
            <w:noWrap/>
            <w:hideMark/>
          </w:tcPr>
          <w:p w14:paraId="749D2DC3" w14:textId="77777777" w:rsidR="009D0006" w:rsidRPr="001A3FBE" w:rsidRDefault="009D0006" w:rsidP="00A41FDE">
            <w:pPr>
              <w:pStyle w:val="Tabletext"/>
              <w:rPr>
                <w:b/>
                <w:bCs/>
                <w:lang w:eastAsia="en-GB"/>
              </w:rPr>
            </w:pPr>
            <w:r w:rsidRPr="00EC6908">
              <w:rPr>
                <w:b/>
                <w:bCs/>
                <w:lang w:eastAsia="en-GB"/>
              </w:rPr>
              <w:t>35.1</w:t>
            </w:r>
          </w:p>
        </w:tc>
      </w:tr>
    </w:tbl>
    <w:p w14:paraId="6785A3E2" w14:textId="77777777" w:rsidR="009D0006" w:rsidRPr="00A41FDE" w:rsidRDefault="009D0006" w:rsidP="00A41FDE">
      <w:pPr>
        <w:pStyle w:val="TableTextNotebelow"/>
        <w:rPr>
          <w:i/>
          <w:sz w:val="18"/>
          <w:szCs w:val="18"/>
        </w:rPr>
      </w:pPr>
      <w:r w:rsidRPr="00A41FDE">
        <w:rPr>
          <w:i/>
        </w:rPr>
        <w:t>Note: Multiple responses were available thus percentages do not add up to 100.</w:t>
      </w:r>
    </w:p>
    <w:p w14:paraId="7BA2622C" w14:textId="77777777" w:rsidR="009D0006" w:rsidRPr="00FE5E5A" w:rsidRDefault="009D0006" w:rsidP="00AB4A74">
      <w:pPr>
        <w:spacing w:before="360"/>
      </w:pPr>
      <w:r w:rsidRPr="00FE5E5A">
        <w:t>As shown in Table</w:t>
      </w:r>
      <w:r>
        <w:t>s</w:t>
      </w:r>
      <w:r w:rsidRPr="00FE5E5A">
        <w:t xml:space="preserve"> 89</w:t>
      </w:r>
      <w:r>
        <w:t>.1-89.2</w:t>
      </w:r>
      <w:r w:rsidRPr="00FE5E5A">
        <w:t>, a higher proportion of participants with disability from a multicultural background (38.3%; n = 272) did not receive help from anyone with regard to experiences of harassment or assault compared to people from Anglo-Celtic backgrounds (35.1%; n = 192). However, similar patterns of support are illustrated across both multicultural and Anglo-Celtic backgrounds, with the highest proportion of participants from both groups reporting that help or support was received from LGBTIQA+ friends that participants had met in real life (multicultural: 37.8%; n = 268; Anglo-Celtic: 44.4%; n = 243), followed by non-LGBTIQA+ friends (multicultural: 31.1%; n = 221; Anglo-Celtic: 24.7%; n = 135), LGBTIQA+ friends that participants had never met in real life (multicultural: 22.5%; n = 160; Anglo-Celtic: 25.2%; n = 138), a parent or carer (multicultural: 12.3%; n = 87; Anglo-Celtic: 12.4%; n = 68), and a GP or medical service (multicultural: 10.1%; n = 72; Anglo-Celtic: 10.4%; n = 57). Smaller proportions of participants reported receiving help or support from a teacher (multicultural: 8.3%; n = 59; Anglo-Celtic: 7.3%; n = 40), other family member (multicultural: 6.6%; n = 47; Anglo-Celtic: 5.3%; n = 29), police (multicultural: 3.4%; n = 24; Anglo-Celtic: 2.4%; n = 13), a manager or co-worker (multicultural: 1.8%; n = 13; Anglo-Celtic: 2.2%; n = 12), or someone else (multicultural: 4.5%; n = 32; Anglo-Celtic: 6.0%; n = 33).</w:t>
      </w:r>
    </w:p>
    <w:p w14:paraId="1F9D2D78" w14:textId="34936BC8" w:rsidR="009D0006" w:rsidRPr="00837FAD" w:rsidRDefault="009D0006" w:rsidP="006346CA">
      <w:pPr>
        <w:pStyle w:val="Heading3Numbered"/>
      </w:pPr>
      <w:bookmarkStart w:id="794" w:name="_Toc115968626"/>
      <w:r>
        <w:t>Harassment,</w:t>
      </w:r>
      <w:r>
        <w:lastRenderedPageBreak/>
        <w:t xml:space="preserve"> assault and social</w:t>
      </w:r>
      <w:r w:rsidRPr="00837FAD">
        <w:t xml:space="preserve"> exclusion in the past 12 months based on sexuality or gender identity – adults aged 18+ years</w:t>
      </w:r>
      <w:bookmarkEnd w:id="794"/>
    </w:p>
    <w:p w14:paraId="6BE61541" w14:textId="5ED22900" w:rsidR="009D0006" w:rsidRDefault="009D0006" w:rsidP="00A41FDE">
      <w:pPr>
        <w:pStyle w:val="Tableheading"/>
      </w:pPr>
      <w:bookmarkStart w:id="795" w:name="_Toc117062807"/>
      <w:bookmarkStart w:id="796" w:name="_Toc119651492"/>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90</w:t>
      </w:r>
      <w:r w:rsidRPr="00C120D7">
        <w:rPr>
          <w:bCs/>
        </w:rPr>
        <w:fldChar w:fldCharType="end"/>
      </w:r>
      <w:r>
        <w:rPr>
          <w:bCs/>
        </w:rPr>
        <w:t>.1-90.2</w:t>
      </w:r>
      <w:r>
        <w:t xml:space="preserve">: </w:t>
      </w:r>
      <w:r w:rsidRPr="00C5739E">
        <w:t>Experiences of harassment</w:t>
      </w:r>
      <w:r>
        <w:t xml:space="preserve">, assault and social exclusion </w:t>
      </w:r>
      <w:r w:rsidRPr="00C5739E">
        <w:t>due to sexual orientation or gender identity in the past 12 months</w:t>
      </w:r>
      <w:r>
        <w:t xml:space="preserve"> among adults with disability aged 18+ years, grouped by cultural background</w:t>
      </w:r>
      <w:bookmarkEnd w:id="795"/>
      <w:bookmarkEnd w:id="796"/>
    </w:p>
    <w:p w14:paraId="74CA5572" w14:textId="77777777" w:rsidR="009D0006" w:rsidRDefault="009D0006" w:rsidP="00A41FDE">
      <w:pPr>
        <w:pStyle w:val="Tableheading"/>
      </w:pPr>
      <w:r>
        <w:t>Table 90.1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78A7AFA5" w14:textId="77777777" w:rsidTr="00A41FDE">
        <w:trPr>
          <w:cnfStyle w:val="100000000000" w:firstRow="1" w:lastRow="0" w:firstColumn="0" w:lastColumn="0" w:oddVBand="0" w:evenVBand="0" w:oddHBand="0" w:evenHBand="0" w:firstRowFirstColumn="0" w:firstRowLastColumn="0" w:lastRowFirstColumn="0" w:lastRowLastColumn="0"/>
          <w:trHeight w:val="424"/>
        </w:trPr>
        <w:tc>
          <w:tcPr>
            <w:tcW w:w="6746" w:type="dxa"/>
            <w:noWrap/>
            <w:hideMark/>
          </w:tcPr>
          <w:p w14:paraId="113CF9EB" w14:textId="77777777" w:rsidR="009D0006" w:rsidRPr="00EF597C" w:rsidRDefault="009D0006" w:rsidP="00A41FDE">
            <w:pPr>
              <w:pStyle w:val="Tableheader"/>
              <w:rPr>
                <w:bCs/>
              </w:rPr>
            </w:pPr>
            <w:r>
              <w:t>H</w:t>
            </w:r>
            <w:r w:rsidRPr="00EF597C">
              <w:t>arassment</w:t>
            </w:r>
            <w:r>
              <w:t xml:space="preserve"> or assault in past 12 months</w:t>
            </w:r>
          </w:p>
        </w:tc>
        <w:tc>
          <w:tcPr>
            <w:tcW w:w="1559" w:type="dxa"/>
            <w:noWrap/>
            <w:hideMark/>
          </w:tcPr>
          <w:p w14:paraId="6B4C5774" w14:textId="77777777" w:rsidR="009D0006" w:rsidRPr="00320B6F" w:rsidRDefault="009D0006" w:rsidP="00A41FDE">
            <w:pPr>
              <w:pStyle w:val="Tableheader"/>
              <w:rPr>
                <w:bCs/>
              </w:rPr>
            </w:pPr>
            <w:r w:rsidRPr="00320B6F">
              <w:rPr>
                <w:bCs/>
              </w:rPr>
              <w:t>n</w:t>
            </w:r>
          </w:p>
        </w:tc>
        <w:tc>
          <w:tcPr>
            <w:tcW w:w="1559" w:type="dxa"/>
            <w:noWrap/>
            <w:hideMark/>
          </w:tcPr>
          <w:p w14:paraId="6AC3E7FC" w14:textId="77777777" w:rsidR="009D0006" w:rsidRPr="00320B6F" w:rsidRDefault="009D0006" w:rsidP="00A41FDE">
            <w:pPr>
              <w:pStyle w:val="Tableheader"/>
              <w:rPr>
                <w:bCs/>
              </w:rPr>
            </w:pPr>
            <w:r w:rsidRPr="00320B6F">
              <w:rPr>
                <w:bCs/>
              </w:rPr>
              <w:t>%</w:t>
            </w:r>
          </w:p>
        </w:tc>
      </w:tr>
      <w:tr w:rsidR="009D0006" w:rsidRPr="00AF592E" w14:paraId="7CA025A7" w14:textId="77777777" w:rsidTr="00A41FDE">
        <w:trPr>
          <w:cnfStyle w:val="000000100000" w:firstRow="0" w:lastRow="0" w:firstColumn="0" w:lastColumn="0" w:oddVBand="0" w:evenVBand="0" w:oddHBand="1" w:evenHBand="0" w:firstRowFirstColumn="0" w:firstRowLastColumn="0" w:lastRowFirstColumn="0" w:lastRowLastColumn="0"/>
          <w:trHeight w:val="330"/>
        </w:trPr>
        <w:tc>
          <w:tcPr>
            <w:tcW w:w="6746" w:type="dxa"/>
            <w:noWrap/>
            <w:hideMark/>
          </w:tcPr>
          <w:p w14:paraId="540A4BDE" w14:textId="77777777" w:rsidR="009D0006" w:rsidRPr="00EF597C" w:rsidRDefault="009D0006" w:rsidP="00A41FDE">
            <w:pPr>
              <w:pStyle w:val="Tabletext"/>
            </w:pPr>
            <w:r w:rsidRPr="00EF597C">
              <w:rPr>
                <w:lang w:val="en-US"/>
              </w:rPr>
              <w:t>Socially excluded</w:t>
            </w:r>
          </w:p>
        </w:tc>
        <w:tc>
          <w:tcPr>
            <w:tcW w:w="1559" w:type="dxa"/>
            <w:noWrap/>
          </w:tcPr>
          <w:p w14:paraId="2A0D7877" w14:textId="77777777" w:rsidR="009D0006" w:rsidRPr="00AF592E" w:rsidRDefault="009D0006" w:rsidP="00A41FDE">
            <w:pPr>
              <w:pStyle w:val="Tabletext"/>
            </w:pPr>
            <w:r>
              <w:t>340</w:t>
            </w:r>
          </w:p>
        </w:tc>
        <w:tc>
          <w:tcPr>
            <w:tcW w:w="1559" w:type="dxa"/>
            <w:noWrap/>
          </w:tcPr>
          <w:p w14:paraId="61D32786" w14:textId="77777777" w:rsidR="009D0006" w:rsidRPr="00AF592E" w:rsidRDefault="009D0006" w:rsidP="00A41FDE">
            <w:pPr>
              <w:pStyle w:val="Tabletext"/>
            </w:pPr>
            <w:r>
              <w:t>56.7</w:t>
            </w:r>
          </w:p>
        </w:tc>
      </w:tr>
      <w:tr w:rsidR="009D0006" w:rsidRPr="00AF592E" w14:paraId="6635F10E" w14:textId="77777777" w:rsidTr="00A41FDE">
        <w:trPr>
          <w:cnfStyle w:val="000000010000" w:firstRow="0" w:lastRow="0" w:firstColumn="0" w:lastColumn="0" w:oddVBand="0" w:evenVBand="0" w:oddHBand="0" w:evenHBand="1" w:firstRowFirstColumn="0" w:firstRowLastColumn="0" w:lastRowFirstColumn="0" w:lastRowLastColumn="0"/>
          <w:trHeight w:val="406"/>
        </w:trPr>
        <w:tc>
          <w:tcPr>
            <w:tcW w:w="6746" w:type="dxa"/>
            <w:noWrap/>
            <w:hideMark/>
          </w:tcPr>
          <w:p w14:paraId="26D1800A" w14:textId="77777777" w:rsidR="009D0006" w:rsidRPr="00EF597C" w:rsidRDefault="009D0006" w:rsidP="00A41FDE">
            <w:pPr>
              <w:pStyle w:val="Tabletext"/>
            </w:pPr>
            <w:r w:rsidRPr="00EF597C">
              <w:rPr>
                <w:lang w:val="en-US"/>
              </w:rPr>
              <w:t>Verbal abuse (including hateful or obscene phone calls)</w:t>
            </w:r>
          </w:p>
        </w:tc>
        <w:tc>
          <w:tcPr>
            <w:tcW w:w="1559" w:type="dxa"/>
            <w:noWrap/>
          </w:tcPr>
          <w:p w14:paraId="4E29C996" w14:textId="77777777" w:rsidR="009D0006" w:rsidRPr="00AF592E" w:rsidRDefault="009D0006" w:rsidP="00A41FDE">
            <w:pPr>
              <w:pStyle w:val="Tabletext"/>
            </w:pPr>
            <w:r>
              <w:t>268</w:t>
            </w:r>
          </w:p>
        </w:tc>
        <w:tc>
          <w:tcPr>
            <w:tcW w:w="1559" w:type="dxa"/>
            <w:noWrap/>
          </w:tcPr>
          <w:p w14:paraId="3427640C" w14:textId="77777777" w:rsidR="009D0006" w:rsidRPr="00AF592E" w:rsidRDefault="009D0006" w:rsidP="00A41FDE">
            <w:pPr>
              <w:pStyle w:val="Tabletext"/>
            </w:pPr>
            <w:r>
              <w:t>45.4</w:t>
            </w:r>
          </w:p>
        </w:tc>
      </w:tr>
      <w:tr w:rsidR="009D0006" w:rsidRPr="00AF592E" w14:paraId="49497451" w14:textId="77777777" w:rsidTr="00A41FDE">
        <w:trPr>
          <w:cnfStyle w:val="000000100000" w:firstRow="0" w:lastRow="0" w:firstColumn="0" w:lastColumn="0" w:oddVBand="0" w:evenVBand="0" w:oddHBand="1" w:evenHBand="0" w:firstRowFirstColumn="0" w:firstRowLastColumn="0" w:lastRowFirstColumn="0" w:lastRowLastColumn="0"/>
          <w:trHeight w:val="406"/>
        </w:trPr>
        <w:tc>
          <w:tcPr>
            <w:tcW w:w="6746" w:type="dxa"/>
            <w:noWrap/>
            <w:hideMark/>
          </w:tcPr>
          <w:p w14:paraId="3E6D97FA" w14:textId="77777777" w:rsidR="009D0006" w:rsidRPr="00EF597C" w:rsidRDefault="009D0006" w:rsidP="00A41FDE">
            <w:pPr>
              <w:pStyle w:val="Tabletext"/>
            </w:pPr>
            <w:r w:rsidRPr="00EF597C">
              <w:rPr>
                <w:lang w:val="en-US"/>
              </w:rPr>
              <w:t>Harassment such as being spat at and offensive gestures</w:t>
            </w:r>
          </w:p>
        </w:tc>
        <w:tc>
          <w:tcPr>
            <w:tcW w:w="1559" w:type="dxa"/>
            <w:noWrap/>
          </w:tcPr>
          <w:p w14:paraId="0D6C2F42" w14:textId="77777777" w:rsidR="009D0006" w:rsidRPr="00AF592E" w:rsidRDefault="009D0006" w:rsidP="00A41FDE">
            <w:pPr>
              <w:pStyle w:val="Tabletext"/>
            </w:pPr>
            <w:r>
              <w:t>207</w:t>
            </w:r>
          </w:p>
        </w:tc>
        <w:tc>
          <w:tcPr>
            <w:tcW w:w="1559" w:type="dxa"/>
            <w:noWrap/>
          </w:tcPr>
          <w:p w14:paraId="0A5DBDDD" w14:textId="77777777" w:rsidR="009D0006" w:rsidRPr="00AF592E" w:rsidRDefault="009D0006" w:rsidP="00A41FDE">
            <w:pPr>
              <w:pStyle w:val="Tabletext"/>
            </w:pPr>
            <w:r>
              <w:t>35.0</w:t>
            </w:r>
          </w:p>
        </w:tc>
      </w:tr>
      <w:tr w:rsidR="009D0006" w:rsidRPr="00AF592E" w14:paraId="4D8DA350" w14:textId="77777777" w:rsidTr="00A41FDE">
        <w:trPr>
          <w:cnfStyle w:val="000000010000" w:firstRow="0" w:lastRow="0" w:firstColumn="0" w:lastColumn="0" w:oddVBand="0" w:evenVBand="0" w:oddHBand="0" w:evenHBand="1" w:firstRowFirstColumn="0" w:firstRowLastColumn="0" w:lastRowFirstColumn="0" w:lastRowLastColumn="0"/>
          <w:trHeight w:val="330"/>
        </w:trPr>
        <w:tc>
          <w:tcPr>
            <w:tcW w:w="6746" w:type="dxa"/>
            <w:noWrap/>
            <w:hideMark/>
          </w:tcPr>
          <w:p w14:paraId="220027A3" w14:textId="77777777" w:rsidR="009D0006" w:rsidRPr="00EF597C" w:rsidRDefault="009D0006" w:rsidP="00A41FDE">
            <w:pPr>
              <w:pStyle w:val="Tabletext"/>
            </w:pPr>
            <w:r w:rsidRPr="00EF597C">
              <w:rPr>
                <w:lang w:val="en-US"/>
              </w:rPr>
              <w:t>Sexual assault</w:t>
            </w:r>
          </w:p>
        </w:tc>
        <w:tc>
          <w:tcPr>
            <w:tcW w:w="1559" w:type="dxa"/>
            <w:noWrap/>
          </w:tcPr>
          <w:p w14:paraId="7AFD5461" w14:textId="77777777" w:rsidR="009D0006" w:rsidRPr="00AF592E" w:rsidRDefault="009D0006" w:rsidP="00A41FDE">
            <w:pPr>
              <w:pStyle w:val="Tabletext"/>
            </w:pPr>
            <w:r>
              <w:t>114</w:t>
            </w:r>
          </w:p>
        </w:tc>
        <w:tc>
          <w:tcPr>
            <w:tcW w:w="1559" w:type="dxa"/>
            <w:noWrap/>
          </w:tcPr>
          <w:p w14:paraId="639B07F8" w14:textId="77777777" w:rsidR="009D0006" w:rsidRPr="00AF592E" w:rsidRDefault="009D0006" w:rsidP="00A41FDE">
            <w:pPr>
              <w:pStyle w:val="Tabletext"/>
            </w:pPr>
            <w:r>
              <w:t>19.9</w:t>
            </w:r>
          </w:p>
        </w:tc>
      </w:tr>
    </w:tbl>
    <w:p w14:paraId="4DBF1552" w14:textId="77777777" w:rsidR="009D0006" w:rsidRDefault="009D0006" w:rsidP="00A41FDE">
      <w:pPr>
        <w:pStyle w:val="Tableheading"/>
      </w:pPr>
      <w:r>
        <w:t>Table 90.2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F592E" w14:paraId="6079E2E4" w14:textId="77777777" w:rsidTr="00A41FDE">
        <w:trPr>
          <w:cnfStyle w:val="100000000000" w:firstRow="1" w:lastRow="0" w:firstColumn="0" w:lastColumn="0" w:oddVBand="0" w:evenVBand="0" w:oddHBand="0" w:evenHBand="0" w:firstRowFirstColumn="0" w:firstRowLastColumn="0" w:lastRowFirstColumn="0" w:lastRowLastColumn="0"/>
          <w:trHeight w:val="413"/>
        </w:trPr>
        <w:tc>
          <w:tcPr>
            <w:tcW w:w="6746" w:type="dxa"/>
            <w:noWrap/>
            <w:hideMark/>
          </w:tcPr>
          <w:p w14:paraId="36A1BBCA" w14:textId="77777777" w:rsidR="009D0006" w:rsidRPr="00EF597C" w:rsidRDefault="009D0006" w:rsidP="00A41FDE">
            <w:pPr>
              <w:pStyle w:val="Tableheader"/>
              <w:rPr>
                <w:bCs/>
              </w:rPr>
            </w:pPr>
            <w:r>
              <w:t>H</w:t>
            </w:r>
            <w:r w:rsidRPr="00EF597C">
              <w:t>arassment</w:t>
            </w:r>
            <w:r>
              <w:t xml:space="preserve"> or assault in past 12 months</w:t>
            </w:r>
          </w:p>
        </w:tc>
        <w:tc>
          <w:tcPr>
            <w:tcW w:w="1559" w:type="dxa"/>
            <w:noWrap/>
            <w:hideMark/>
          </w:tcPr>
          <w:p w14:paraId="75ADF56B" w14:textId="77777777" w:rsidR="009D0006" w:rsidRPr="00320B6F" w:rsidRDefault="009D0006" w:rsidP="00A41FDE">
            <w:pPr>
              <w:pStyle w:val="Tableheader"/>
              <w:rPr>
                <w:bCs/>
              </w:rPr>
            </w:pPr>
            <w:r w:rsidRPr="00320B6F">
              <w:rPr>
                <w:bCs/>
              </w:rPr>
              <w:t>n</w:t>
            </w:r>
          </w:p>
        </w:tc>
        <w:tc>
          <w:tcPr>
            <w:tcW w:w="1559" w:type="dxa"/>
            <w:noWrap/>
            <w:hideMark/>
          </w:tcPr>
          <w:p w14:paraId="2DACFD30" w14:textId="77777777" w:rsidR="009D0006" w:rsidRPr="00320B6F" w:rsidRDefault="009D0006" w:rsidP="00A41FDE">
            <w:pPr>
              <w:pStyle w:val="Tableheader"/>
              <w:rPr>
                <w:bCs/>
              </w:rPr>
            </w:pPr>
            <w:r w:rsidRPr="00320B6F">
              <w:rPr>
                <w:bCs/>
              </w:rPr>
              <w:t>%</w:t>
            </w:r>
          </w:p>
        </w:tc>
      </w:tr>
      <w:tr w:rsidR="009D0006" w:rsidRPr="00AF592E" w14:paraId="47CA200E" w14:textId="77777777" w:rsidTr="00A41FDE">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3F023778" w14:textId="77777777" w:rsidR="009D0006" w:rsidRPr="00EF597C" w:rsidRDefault="009D0006" w:rsidP="00A41FDE">
            <w:pPr>
              <w:pStyle w:val="Tabletext"/>
            </w:pPr>
            <w:r w:rsidRPr="00EF597C">
              <w:rPr>
                <w:lang w:val="en-US"/>
              </w:rPr>
              <w:t>Socially excluded</w:t>
            </w:r>
          </w:p>
        </w:tc>
        <w:tc>
          <w:tcPr>
            <w:tcW w:w="1559" w:type="dxa"/>
            <w:noWrap/>
          </w:tcPr>
          <w:p w14:paraId="5316CCFC" w14:textId="77777777" w:rsidR="009D0006" w:rsidRPr="00AF592E" w:rsidRDefault="009D0006" w:rsidP="00A41FDE">
            <w:pPr>
              <w:pStyle w:val="Tabletext"/>
            </w:pPr>
            <w:r>
              <w:t>663</w:t>
            </w:r>
          </w:p>
        </w:tc>
        <w:tc>
          <w:tcPr>
            <w:tcW w:w="1559" w:type="dxa"/>
            <w:noWrap/>
          </w:tcPr>
          <w:p w14:paraId="2CC2C9F2" w14:textId="77777777" w:rsidR="009D0006" w:rsidRPr="00AF592E" w:rsidRDefault="009D0006" w:rsidP="00A41FDE">
            <w:pPr>
              <w:pStyle w:val="Tabletext"/>
            </w:pPr>
            <w:r>
              <w:t>46.2</w:t>
            </w:r>
          </w:p>
        </w:tc>
      </w:tr>
      <w:tr w:rsidR="009D0006" w:rsidRPr="00AF592E" w14:paraId="72580BFA" w14:textId="77777777" w:rsidTr="00A41FDE">
        <w:trPr>
          <w:cnfStyle w:val="000000010000" w:firstRow="0" w:lastRow="0" w:firstColumn="0" w:lastColumn="0" w:oddVBand="0" w:evenVBand="0" w:oddHBand="0" w:evenHBand="1" w:firstRowFirstColumn="0" w:firstRowLastColumn="0" w:lastRowFirstColumn="0" w:lastRowLastColumn="0"/>
          <w:trHeight w:val="395"/>
        </w:trPr>
        <w:tc>
          <w:tcPr>
            <w:tcW w:w="6746" w:type="dxa"/>
            <w:noWrap/>
            <w:hideMark/>
          </w:tcPr>
          <w:p w14:paraId="303C9C71" w14:textId="77777777" w:rsidR="009D0006" w:rsidRPr="00EF597C" w:rsidRDefault="009D0006" w:rsidP="00A41FDE">
            <w:pPr>
              <w:pStyle w:val="Tabletext"/>
            </w:pPr>
            <w:r w:rsidRPr="00EF597C">
              <w:rPr>
                <w:lang w:val="en-US"/>
              </w:rPr>
              <w:t>Verbal abuse (including hateful or obscene phone calls)</w:t>
            </w:r>
          </w:p>
        </w:tc>
        <w:tc>
          <w:tcPr>
            <w:tcW w:w="1559" w:type="dxa"/>
            <w:noWrap/>
          </w:tcPr>
          <w:p w14:paraId="204A6F59" w14:textId="77777777" w:rsidR="009D0006" w:rsidRPr="00AF592E" w:rsidRDefault="009D0006" w:rsidP="00A41FDE">
            <w:pPr>
              <w:pStyle w:val="Tabletext"/>
            </w:pPr>
            <w:r>
              <w:t>577</w:t>
            </w:r>
          </w:p>
        </w:tc>
        <w:tc>
          <w:tcPr>
            <w:tcW w:w="1559" w:type="dxa"/>
            <w:noWrap/>
          </w:tcPr>
          <w:p w14:paraId="629E6A11" w14:textId="77777777" w:rsidR="009D0006" w:rsidRPr="00AF592E" w:rsidRDefault="009D0006" w:rsidP="00A41FDE">
            <w:pPr>
              <w:pStyle w:val="Tabletext"/>
            </w:pPr>
            <w:r>
              <w:t>40.3</w:t>
            </w:r>
          </w:p>
        </w:tc>
      </w:tr>
      <w:tr w:rsidR="009D0006" w:rsidRPr="00AF592E" w14:paraId="0512FB04" w14:textId="77777777" w:rsidTr="00A41FDE">
        <w:trPr>
          <w:cnfStyle w:val="000000100000" w:firstRow="0" w:lastRow="0" w:firstColumn="0" w:lastColumn="0" w:oddVBand="0" w:evenVBand="0" w:oddHBand="1" w:evenHBand="0" w:firstRowFirstColumn="0" w:firstRowLastColumn="0" w:lastRowFirstColumn="0" w:lastRowLastColumn="0"/>
          <w:trHeight w:val="395"/>
        </w:trPr>
        <w:tc>
          <w:tcPr>
            <w:tcW w:w="6746" w:type="dxa"/>
            <w:noWrap/>
            <w:hideMark/>
          </w:tcPr>
          <w:p w14:paraId="36D0750D" w14:textId="77777777" w:rsidR="009D0006" w:rsidRPr="00EF597C" w:rsidRDefault="009D0006" w:rsidP="00A41FDE">
            <w:pPr>
              <w:pStyle w:val="Tabletext"/>
            </w:pPr>
            <w:r w:rsidRPr="00EF597C">
              <w:rPr>
                <w:lang w:val="en-US"/>
              </w:rPr>
              <w:t>Harassment such as being spat at and offensive gestures</w:t>
            </w:r>
          </w:p>
        </w:tc>
        <w:tc>
          <w:tcPr>
            <w:tcW w:w="1559" w:type="dxa"/>
            <w:noWrap/>
          </w:tcPr>
          <w:p w14:paraId="762737AE" w14:textId="77777777" w:rsidR="009D0006" w:rsidRPr="00AF592E" w:rsidRDefault="009D0006" w:rsidP="00A41FDE">
            <w:pPr>
              <w:pStyle w:val="Tabletext"/>
            </w:pPr>
            <w:r>
              <w:t>402</w:t>
            </w:r>
          </w:p>
        </w:tc>
        <w:tc>
          <w:tcPr>
            <w:tcW w:w="1559" w:type="dxa"/>
            <w:noWrap/>
          </w:tcPr>
          <w:p w14:paraId="599004BF" w14:textId="77777777" w:rsidR="009D0006" w:rsidRPr="00AF592E" w:rsidRDefault="009D0006" w:rsidP="00A41FDE">
            <w:pPr>
              <w:pStyle w:val="Tabletext"/>
            </w:pPr>
            <w:r>
              <w:t>28.2</w:t>
            </w:r>
          </w:p>
        </w:tc>
      </w:tr>
      <w:tr w:rsidR="009D0006" w:rsidRPr="00AF592E" w14:paraId="5A151CF1" w14:textId="77777777" w:rsidTr="00A41FDE">
        <w:trPr>
          <w:cnfStyle w:val="000000010000" w:firstRow="0" w:lastRow="0" w:firstColumn="0" w:lastColumn="0" w:oddVBand="0" w:evenVBand="0" w:oddHBand="0" w:evenHBand="1" w:firstRowFirstColumn="0" w:firstRowLastColumn="0" w:lastRowFirstColumn="0" w:lastRowLastColumn="0"/>
          <w:trHeight w:val="321"/>
        </w:trPr>
        <w:tc>
          <w:tcPr>
            <w:tcW w:w="6746" w:type="dxa"/>
            <w:noWrap/>
            <w:hideMark/>
          </w:tcPr>
          <w:p w14:paraId="443483F2" w14:textId="77777777" w:rsidR="009D0006" w:rsidRPr="00EF597C" w:rsidRDefault="009D0006" w:rsidP="00A41FDE">
            <w:pPr>
              <w:pStyle w:val="Tabletext"/>
            </w:pPr>
            <w:r w:rsidRPr="00EF597C">
              <w:rPr>
                <w:lang w:val="en-US"/>
              </w:rPr>
              <w:t>Sexual assault</w:t>
            </w:r>
          </w:p>
        </w:tc>
        <w:tc>
          <w:tcPr>
            <w:tcW w:w="1559" w:type="dxa"/>
            <w:noWrap/>
          </w:tcPr>
          <w:p w14:paraId="2DB6BD4C" w14:textId="77777777" w:rsidR="009D0006" w:rsidRPr="00AF592E" w:rsidRDefault="009D0006" w:rsidP="00A41FDE">
            <w:pPr>
              <w:pStyle w:val="Tabletext"/>
            </w:pPr>
            <w:r>
              <w:t>212</w:t>
            </w:r>
          </w:p>
        </w:tc>
        <w:tc>
          <w:tcPr>
            <w:tcW w:w="1559" w:type="dxa"/>
            <w:noWrap/>
          </w:tcPr>
          <w:p w14:paraId="5688D30A" w14:textId="77777777" w:rsidR="009D0006" w:rsidRPr="00AF592E" w:rsidRDefault="009D0006" w:rsidP="00A41FDE">
            <w:pPr>
              <w:pStyle w:val="Tabletext"/>
            </w:pPr>
            <w:r>
              <w:t>15.3</w:t>
            </w:r>
          </w:p>
        </w:tc>
      </w:tr>
    </w:tbl>
    <w:p w14:paraId="7704427B" w14:textId="77777777" w:rsidR="009D0006" w:rsidRPr="00A41FDE" w:rsidRDefault="009D0006" w:rsidP="00A41FDE">
      <w:pPr>
        <w:pStyle w:val="TableTextNotebelow"/>
        <w:rPr>
          <w:i/>
        </w:rPr>
      </w:pPr>
      <w:r w:rsidRPr="00A41FDE">
        <w:rPr>
          <w:i/>
        </w:rPr>
        <w:t>Note: Responses were analysed among participants who reported that a situation was applicable to them therefore an overall ‘n’ is not provided.</w:t>
      </w:r>
    </w:p>
    <w:p w14:paraId="75F6D316" w14:textId="77777777" w:rsidR="009D0006" w:rsidRPr="00874D33" w:rsidRDefault="009D0006" w:rsidP="00AB4A74">
      <w:pPr>
        <w:spacing w:before="360"/>
      </w:pPr>
      <w:r w:rsidRPr="00874D33">
        <w:t>As displayed in Table</w:t>
      </w:r>
      <w:r>
        <w:t>s</w:t>
      </w:r>
      <w:r w:rsidRPr="00874D33">
        <w:t xml:space="preserve"> </w:t>
      </w:r>
      <w:r>
        <w:t>90.1-90.2</w:t>
      </w:r>
      <w:r w:rsidRPr="00874D33">
        <w:t>, higher proportions of participants with a disability in Private Lives 3 who were from a multicultural background had experienced harassment and assault compared to participants from an Anglo-Celtic background. More than half of participants from a multicultural background had experienced social exclusion in the past 12 months (56.7%; n = 340), followed by more than two-fifths of participants from an Anglo-Celtic background (46.2%; n = 663).</w:t>
      </w:r>
    </w:p>
    <w:p w14:paraId="190CF0A6" w14:textId="77777777" w:rsidR="009D0006" w:rsidRPr="00874D33" w:rsidRDefault="009D0006" w:rsidP="009D0006">
      <w:r w:rsidRPr="00874D33">
        <w:t>A higher proportion of participants from a multicultural background had experienced verbal abuse including hateful or obscene phone calls in the past 12 months (45.4%; n = 268) compared to participants from an Anglo-Celtic background (40.3%; n = 577).</w:t>
      </w:r>
    </w:p>
    <w:p w14:paraId="2078DB4F" w14:textId="77777777" w:rsidR="009D0006" w:rsidRPr="00874D33" w:rsidRDefault="009D0006" w:rsidP="009D0006">
      <w:r w:rsidRPr="00874D33">
        <w:t>More than o</w:t>
      </w:r>
      <w:r w:rsidRPr="00874D33">
        <w:lastRenderedPageBreak/>
        <w:t>ne-third of participants from a multicultural background had experienced harassment such as being spat at and offensive gestures in the past 12 months (35.0%; n = 207), followed by 28.2% (n = 402) of participants from an Anglo-Celtic background.</w:t>
      </w:r>
    </w:p>
    <w:p w14:paraId="578238B8" w14:textId="77777777" w:rsidR="009D0006" w:rsidRPr="00874D33" w:rsidRDefault="009D0006" w:rsidP="009D0006">
      <w:r w:rsidRPr="00874D33">
        <w:t>Almost one-fifth of participants from a multicultural background had experienced sexual assault in the past 12 months (19.9%; n = 114), followed by 15.3% (n = 212) of participants from an Anglo-Celtic background.</w:t>
      </w:r>
    </w:p>
    <w:p w14:paraId="39C6CE93" w14:textId="169AB5FE" w:rsidR="009D0006" w:rsidRDefault="009D0006" w:rsidP="006346CA">
      <w:pPr>
        <w:pStyle w:val="Heading2Numbered"/>
      </w:pPr>
      <w:bookmarkStart w:id="797" w:name="_Toc115968627"/>
      <w:bookmarkStart w:id="798" w:name="_Toc119662463"/>
      <w:r w:rsidRPr="00C5739E">
        <w:t xml:space="preserve">Experiences of </w:t>
      </w:r>
      <w:r>
        <w:t>family</w:t>
      </w:r>
      <w:r w:rsidRPr="00C5739E">
        <w:t xml:space="preserve"> violence – adults aged 18+ years</w:t>
      </w:r>
      <w:bookmarkEnd w:id="797"/>
      <w:bookmarkEnd w:id="798"/>
    </w:p>
    <w:p w14:paraId="1AEFAE2D" w14:textId="1360AE76" w:rsidR="009D0006" w:rsidRDefault="009D0006" w:rsidP="00A41FDE">
      <w:pPr>
        <w:pStyle w:val="Tableheading"/>
      </w:pPr>
      <w:bookmarkStart w:id="799" w:name="_Toc117062808"/>
      <w:bookmarkStart w:id="800" w:name="_Toc119651493"/>
      <w:r w:rsidRPr="004B5CDE">
        <w:t>Table</w:t>
      </w:r>
      <w:r>
        <w:t>s</w:t>
      </w:r>
      <w:r w:rsidRPr="004B5CDE">
        <w:t xml:space="preserve"> </w:t>
      </w:r>
      <w:r>
        <w:rPr>
          <w:noProof/>
        </w:rPr>
        <w:fldChar w:fldCharType="begin"/>
      </w:r>
      <w:r>
        <w:rPr>
          <w:noProof/>
        </w:rPr>
        <w:instrText xml:space="preserve"> SEQ Table \* ARABIC </w:instrText>
      </w:r>
      <w:r>
        <w:rPr>
          <w:noProof/>
        </w:rPr>
        <w:fldChar w:fldCharType="separate"/>
      </w:r>
      <w:r>
        <w:rPr>
          <w:noProof/>
        </w:rPr>
        <w:t>91</w:t>
      </w:r>
      <w:r>
        <w:rPr>
          <w:noProof/>
        </w:rPr>
        <w:fldChar w:fldCharType="end"/>
      </w:r>
      <w:r>
        <w:rPr>
          <w:noProof/>
        </w:rPr>
        <w:t>.1-91.2</w:t>
      </w:r>
      <w:r>
        <w:t>: Ever experienced violence from an intimate partner (n = 2101) or family member (n = 2128)</w:t>
      </w:r>
      <w:r w:rsidRPr="004B5CDE">
        <w:t xml:space="preserve"> </w:t>
      </w:r>
      <w:r>
        <w:t>among adults with disability aged 18+ years, grouped by cultural background</w:t>
      </w:r>
      <w:bookmarkEnd w:id="799"/>
      <w:bookmarkEnd w:id="800"/>
    </w:p>
    <w:p w14:paraId="77F9C6D7" w14:textId="77777777" w:rsidR="009D0006" w:rsidRDefault="009D0006" w:rsidP="00A41FDE">
      <w:pPr>
        <w:pStyle w:val="Tableheading"/>
      </w:pPr>
      <w:r>
        <w:t>Table 91.1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9A881B9" w14:textId="77777777" w:rsidTr="00A41FDE">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444E25C9" w14:textId="77777777" w:rsidR="009D0006" w:rsidRPr="00030452" w:rsidRDefault="009D0006" w:rsidP="00A41FDE">
            <w:pPr>
              <w:pStyle w:val="Tableheader"/>
              <w:rPr>
                <w:bCs/>
              </w:rPr>
            </w:pPr>
            <w:r>
              <w:t>Source of violence</w:t>
            </w:r>
          </w:p>
        </w:tc>
        <w:tc>
          <w:tcPr>
            <w:tcW w:w="1559" w:type="dxa"/>
            <w:noWrap/>
            <w:hideMark/>
          </w:tcPr>
          <w:p w14:paraId="050C5748" w14:textId="77777777" w:rsidR="009D0006" w:rsidRPr="00320B6F" w:rsidRDefault="009D0006" w:rsidP="00A41FDE">
            <w:pPr>
              <w:pStyle w:val="Tableheader"/>
              <w:rPr>
                <w:bCs/>
              </w:rPr>
            </w:pPr>
            <w:r w:rsidRPr="00320B6F">
              <w:rPr>
                <w:bCs/>
              </w:rPr>
              <w:t>n</w:t>
            </w:r>
          </w:p>
        </w:tc>
        <w:tc>
          <w:tcPr>
            <w:tcW w:w="1559" w:type="dxa"/>
            <w:noWrap/>
            <w:hideMark/>
          </w:tcPr>
          <w:p w14:paraId="457D0EAB" w14:textId="77777777" w:rsidR="009D0006" w:rsidRPr="00320B6F" w:rsidRDefault="009D0006" w:rsidP="00A41FDE">
            <w:pPr>
              <w:pStyle w:val="Tableheader"/>
              <w:rPr>
                <w:bCs/>
              </w:rPr>
            </w:pPr>
            <w:r w:rsidRPr="00320B6F">
              <w:rPr>
                <w:bCs/>
              </w:rPr>
              <w:t>%</w:t>
            </w:r>
          </w:p>
        </w:tc>
      </w:tr>
      <w:tr w:rsidR="009D0006" w:rsidRPr="00BC3468" w14:paraId="533E03ED" w14:textId="77777777" w:rsidTr="00A41FDE">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00857A9D" w14:textId="77777777" w:rsidR="009D0006" w:rsidRPr="00BC3468" w:rsidRDefault="009D0006" w:rsidP="00A41FDE">
            <w:pPr>
              <w:pStyle w:val="Tabletext"/>
            </w:pPr>
            <w:r>
              <w:rPr>
                <w:lang w:val="en-US"/>
              </w:rPr>
              <w:t>Intimate partner</w:t>
            </w:r>
          </w:p>
        </w:tc>
        <w:tc>
          <w:tcPr>
            <w:tcW w:w="1559" w:type="dxa"/>
            <w:noWrap/>
          </w:tcPr>
          <w:p w14:paraId="1BBD9BCC" w14:textId="77777777" w:rsidR="009D0006" w:rsidRPr="00BC3468" w:rsidRDefault="009D0006" w:rsidP="00A41FDE">
            <w:pPr>
              <w:pStyle w:val="Tabletext"/>
            </w:pPr>
            <w:r>
              <w:t>446</w:t>
            </w:r>
          </w:p>
        </w:tc>
        <w:tc>
          <w:tcPr>
            <w:tcW w:w="1559" w:type="dxa"/>
            <w:noWrap/>
          </w:tcPr>
          <w:p w14:paraId="540EB4E1" w14:textId="77777777" w:rsidR="009D0006" w:rsidRPr="00BC3468" w:rsidRDefault="009D0006" w:rsidP="00A41FDE">
            <w:pPr>
              <w:pStyle w:val="Tabletext"/>
            </w:pPr>
            <w:r>
              <w:t>71.6</w:t>
            </w:r>
          </w:p>
        </w:tc>
      </w:tr>
      <w:tr w:rsidR="009D0006" w:rsidRPr="00BC3468" w14:paraId="172F9BCB" w14:textId="77777777" w:rsidTr="00A41FDE">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0D2977B6" w14:textId="77777777" w:rsidR="009D0006" w:rsidRPr="00BC3468" w:rsidRDefault="009D0006" w:rsidP="00A41FDE">
            <w:pPr>
              <w:pStyle w:val="Tabletext"/>
            </w:pPr>
            <w:r>
              <w:rPr>
                <w:lang w:val="en-US"/>
              </w:rPr>
              <w:t>Family member</w:t>
            </w:r>
          </w:p>
        </w:tc>
        <w:tc>
          <w:tcPr>
            <w:tcW w:w="1559" w:type="dxa"/>
            <w:noWrap/>
          </w:tcPr>
          <w:p w14:paraId="0AE24814" w14:textId="77777777" w:rsidR="009D0006" w:rsidRPr="00BC3468" w:rsidRDefault="009D0006" w:rsidP="00A41FDE">
            <w:pPr>
              <w:pStyle w:val="Tabletext"/>
            </w:pPr>
            <w:r>
              <w:t>512</w:t>
            </w:r>
          </w:p>
        </w:tc>
        <w:tc>
          <w:tcPr>
            <w:tcW w:w="1559" w:type="dxa"/>
            <w:noWrap/>
          </w:tcPr>
          <w:p w14:paraId="25F3DB45" w14:textId="77777777" w:rsidR="009D0006" w:rsidRPr="00BC3468" w:rsidRDefault="009D0006" w:rsidP="00A41FDE">
            <w:pPr>
              <w:pStyle w:val="Tabletext"/>
            </w:pPr>
            <w:r>
              <w:t>81.3</w:t>
            </w:r>
          </w:p>
        </w:tc>
      </w:tr>
    </w:tbl>
    <w:p w14:paraId="1878774A" w14:textId="77777777" w:rsidR="009D0006" w:rsidRDefault="009D0006" w:rsidP="00A41FDE">
      <w:pPr>
        <w:pStyle w:val="Tableheading"/>
      </w:pPr>
      <w:bookmarkStart w:id="801" w:name="_Toc88231220"/>
      <w:r>
        <w:t>Table 91.2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CA505F4" w14:textId="77777777" w:rsidTr="00A41FDE">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608522BB" w14:textId="77777777" w:rsidR="009D0006" w:rsidRPr="00030452" w:rsidRDefault="009D0006" w:rsidP="00A41FDE">
            <w:pPr>
              <w:pStyle w:val="Tableheader"/>
              <w:rPr>
                <w:bCs/>
              </w:rPr>
            </w:pPr>
            <w:r>
              <w:t>Source of violence</w:t>
            </w:r>
          </w:p>
        </w:tc>
        <w:tc>
          <w:tcPr>
            <w:tcW w:w="1559" w:type="dxa"/>
            <w:noWrap/>
            <w:hideMark/>
          </w:tcPr>
          <w:p w14:paraId="6E923965" w14:textId="77777777" w:rsidR="009D0006" w:rsidRPr="00320B6F" w:rsidRDefault="009D0006" w:rsidP="00A41FDE">
            <w:pPr>
              <w:pStyle w:val="Tableheader"/>
              <w:rPr>
                <w:bCs/>
              </w:rPr>
            </w:pPr>
            <w:r w:rsidRPr="00320B6F">
              <w:rPr>
                <w:bCs/>
              </w:rPr>
              <w:t>n</w:t>
            </w:r>
          </w:p>
        </w:tc>
        <w:tc>
          <w:tcPr>
            <w:tcW w:w="1559" w:type="dxa"/>
            <w:noWrap/>
            <w:hideMark/>
          </w:tcPr>
          <w:p w14:paraId="7AB0D33F" w14:textId="77777777" w:rsidR="009D0006" w:rsidRPr="00320B6F" w:rsidRDefault="009D0006" w:rsidP="00A41FDE">
            <w:pPr>
              <w:pStyle w:val="Tableheader"/>
              <w:rPr>
                <w:bCs/>
              </w:rPr>
            </w:pPr>
            <w:r w:rsidRPr="00320B6F">
              <w:rPr>
                <w:bCs/>
              </w:rPr>
              <w:t>%</w:t>
            </w:r>
          </w:p>
        </w:tc>
      </w:tr>
      <w:tr w:rsidR="009D0006" w:rsidRPr="00BC3468" w14:paraId="23B55D46" w14:textId="77777777" w:rsidTr="00A41FDE">
        <w:trPr>
          <w:cnfStyle w:val="000000100000" w:firstRow="0" w:lastRow="0" w:firstColumn="0" w:lastColumn="0" w:oddVBand="0" w:evenVBand="0" w:oddHBand="1" w:evenHBand="0" w:firstRowFirstColumn="0" w:firstRowLastColumn="0" w:lastRowFirstColumn="0" w:lastRowLastColumn="0"/>
          <w:trHeight w:val="535"/>
        </w:trPr>
        <w:tc>
          <w:tcPr>
            <w:tcW w:w="6746" w:type="dxa"/>
            <w:noWrap/>
            <w:hideMark/>
          </w:tcPr>
          <w:p w14:paraId="11E25B67" w14:textId="77777777" w:rsidR="009D0006" w:rsidRPr="00BC3468" w:rsidRDefault="009D0006" w:rsidP="00A41FDE">
            <w:pPr>
              <w:pStyle w:val="Tabletext"/>
            </w:pPr>
            <w:r>
              <w:rPr>
                <w:lang w:val="en-US"/>
              </w:rPr>
              <w:t>Intimate partner</w:t>
            </w:r>
          </w:p>
        </w:tc>
        <w:tc>
          <w:tcPr>
            <w:tcW w:w="1559" w:type="dxa"/>
            <w:noWrap/>
          </w:tcPr>
          <w:p w14:paraId="33D93857" w14:textId="77777777" w:rsidR="009D0006" w:rsidRPr="00BC3468" w:rsidRDefault="009D0006" w:rsidP="00A41FDE">
            <w:pPr>
              <w:pStyle w:val="Tabletext"/>
            </w:pPr>
            <w:r>
              <w:t>1017</w:t>
            </w:r>
          </w:p>
        </w:tc>
        <w:tc>
          <w:tcPr>
            <w:tcW w:w="1559" w:type="dxa"/>
            <w:noWrap/>
          </w:tcPr>
          <w:p w14:paraId="2F5324BE" w14:textId="77777777" w:rsidR="009D0006" w:rsidRPr="00BC3468" w:rsidRDefault="009D0006" w:rsidP="00A41FDE">
            <w:pPr>
              <w:pStyle w:val="Tabletext"/>
            </w:pPr>
            <w:r>
              <w:t>68.8</w:t>
            </w:r>
          </w:p>
        </w:tc>
      </w:tr>
      <w:tr w:rsidR="009D0006" w:rsidRPr="00BC3468" w14:paraId="758764C3" w14:textId="77777777" w:rsidTr="00A41FDE">
        <w:trPr>
          <w:cnfStyle w:val="000000010000" w:firstRow="0" w:lastRow="0" w:firstColumn="0" w:lastColumn="0" w:oddVBand="0" w:evenVBand="0" w:oddHBand="0" w:evenHBand="1" w:firstRowFirstColumn="0" w:firstRowLastColumn="0" w:lastRowFirstColumn="0" w:lastRowLastColumn="0"/>
          <w:trHeight w:val="316"/>
        </w:trPr>
        <w:tc>
          <w:tcPr>
            <w:tcW w:w="6746" w:type="dxa"/>
            <w:noWrap/>
            <w:hideMark/>
          </w:tcPr>
          <w:p w14:paraId="7FC80E82" w14:textId="77777777" w:rsidR="009D0006" w:rsidRPr="00BC3468" w:rsidRDefault="009D0006" w:rsidP="00A41FDE">
            <w:pPr>
              <w:pStyle w:val="Tabletext"/>
            </w:pPr>
            <w:r>
              <w:rPr>
                <w:lang w:val="en-US"/>
              </w:rPr>
              <w:t>Family member</w:t>
            </w:r>
          </w:p>
        </w:tc>
        <w:tc>
          <w:tcPr>
            <w:tcW w:w="1559" w:type="dxa"/>
            <w:noWrap/>
          </w:tcPr>
          <w:p w14:paraId="38E18764" w14:textId="77777777" w:rsidR="009D0006" w:rsidRPr="00BC3468" w:rsidRDefault="009D0006" w:rsidP="00A41FDE">
            <w:pPr>
              <w:pStyle w:val="Tabletext"/>
            </w:pPr>
            <w:r>
              <w:t>1131</w:t>
            </w:r>
          </w:p>
        </w:tc>
        <w:tc>
          <w:tcPr>
            <w:tcW w:w="1559" w:type="dxa"/>
            <w:noWrap/>
          </w:tcPr>
          <w:p w14:paraId="3F13CC0A" w14:textId="77777777" w:rsidR="009D0006" w:rsidRPr="00BC3468" w:rsidRDefault="009D0006" w:rsidP="00A41FDE">
            <w:pPr>
              <w:pStyle w:val="Tabletext"/>
            </w:pPr>
            <w:r>
              <w:t>75.5</w:t>
            </w:r>
          </w:p>
        </w:tc>
      </w:tr>
    </w:tbl>
    <w:p w14:paraId="66317177" w14:textId="77777777" w:rsidR="009D0006" w:rsidRDefault="009D0006" w:rsidP="00AB4A74">
      <w:pPr>
        <w:spacing w:before="360"/>
      </w:pPr>
      <w:r>
        <w:t xml:space="preserve">As shown in Tables 91.1-91.2, a slightly higher proportion of participants with disability in </w:t>
      </w:r>
      <w:r>
        <w:rPr>
          <w:i/>
          <w:iCs/>
        </w:rPr>
        <w:t xml:space="preserve">Private Lives 3 </w:t>
      </w:r>
      <w:r>
        <w:t>and from multicultural backgrounds reported having ever experienced violence from an intimate partner in their lifetime (71.6%; n = 446) compared to those from an Anglo-Celtic background (68.8%; n = 1017).</w:t>
      </w:r>
      <w:bookmarkEnd w:id="801"/>
    </w:p>
    <w:p w14:paraId="11DAE057" w14:textId="77777777" w:rsidR="009D0006" w:rsidRDefault="009D0006" w:rsidP="009D0006">
      <w:r>
        <w:t>Similarly, a higher proportion of participants from a multicultural background had ever experienced violence from a family member in their lifetime (81.3%; n = 512) compared to those from an Anglo-Celtic background (75.5%; n = 1131).</w:t>
      </w:r>
    </w:p>
    <w:p w14:paraId="14DD119F" w14:textId="77777777" w:rsidR="009D0006" w:rsidRDefault="009D0006" w:rsidP="009D0006">
      <w:r w:rsidRPr="000D7ED3">
        <w:t xml:space="preserve">Participants who reported having ever experienced violence from an intimate partner or family member were </w:t>
      </w:r>
      <w:r>
        <w:t xml:space="preserve">also </w:t>
      </w:r>
      <w:r w:rsidRPr="000D7ED3">
        <w:t xml:space="preserve">asked whether they had reported the most recent instance in which this occurred </w:t>
      </w:r>
      <w:r>
        <w:t>and</w:t>
      </w:r>
      <w:r w:rsidRPr="000D7ED3">
        <w:t xml:space="preserve"> whether or not they felt supported by that service. </w:t>
      </w:r>
    </w:p>
    <w:p w14:paraId="7FF9B416" w14:textId="74615B32" w:rsidR="009D0006" w:rsidRDefault="009D0006" w:rsidP="00A41FDE">
      <w:pPr>
        <w:pStyle w:val="Tableheading"/>
      </w:pPr>
      <w:bookmarkStart w:id="802" w:name="_Toc117062809"/>
      <w:bookmarkStart w:id="803" w:name="_Toc119651494"/>
      <w:r w:rsidRPr="000D7ED3">
        <w:t>Table</w:t>
      </w:r>
      <w:r>
        <w:t>s</w:t>
      </w:r>
      <w:r w:rsidRPr="000D7ED3">
        <w:t xml:space="preserve"> </w:t>
      </w:r>
      <w:r>
        <w:rPr>
          <w:noProof/>
        </w:rPr>
        <w:fldChar w:fldCharType="begin"/>
      </w:r>
      <w:r>
        <w:rPr>
          <w:noProof/>
        </w:rPr>
        <w:instrText xml:space="preserve"> SE</w:instrText>
      </w:r>
      <w:r>
        <w:rPr>
          <w:noProof/>
        </w:rPr>
        <w:lastRenderedPageBreak/>
        <w:instrText xml:space="preserve">Q Table \* ARABIC </w:instrText>
      </w:r>
      <w:r>
        <w:rPr>
          <w:noProof/>
        </w:rPr>
        <w:fldChar w:fldCharType="separate"/>
      </w:r>
      <w:r>
        <w:rPr>
          <w:noProof/>
        </w:rPr>
        <w:t>92</w:t>
      </w:r>
      <w:r>
        <w:rPr>
          <w:noProof/>
        </w:rPr>
        <w:fldChar w:fldCharType="end"/>
      </w:r>
      <w:r>
        <w:rPr>
          <w:noProof/>
        </w:rPr>
        <w:t>.1-92.2</w:t>
      </w:r>
      <w:r>
        <w:t xml:space="preserve">: </w:t>
      </w:r>
      <w:r w:rsidRPr="000D7ED3">
        <w:t>Service</w:t>
      </w:r>
      <w:r>
        <w:t xml:space="preserve"> or person</w:t>
      </w:r>
      <w:r w:rsidRPr="000D7ED3">
        <w:t xml:space="preserve"> to which intimate partner or family violence was reported the most recent time it occurred and proportion reporting feeling supported</w:t>
      </w:r>
      <w:r>
        <w:t>,</w:t>
      </w:r>
      <w:r w:rsidRPr="000D7ED3">
        <w:t xml:space="preserve"> among </w:t>
      </w:r>
      <w:r>
        <w:t>adults</w:t>
      </w:r>
      <w:r w:rsidRPr="000D7ED3">
        <w:t xml:space="preserve"> with disability</w:t>
      </w:r>
      <w:r>
        <w:t xml:space="preserve"> aged 18+ years</w:t>
      </w:r>
      <w:r w:rsidRPr="000D7ED3">
        <w:t xml:space="preserve"> (n = </w:t>
      </w:r>
      <w:r>
        <w:t>2139</w:t>
      </w:r>
      <w:r w:rsidRPr="000D7ED3">
        <w:t>)</w:t>
      </w:r>
      <w:r>
        <w:t>, grouped by cultural background</w:t>
      </w:r>
      <w:bookmarkEnd w:id="802"/>
      <w:bookmarkEnd w:id="803"/>
    </w:p>
    <w:p w14:paraId="297E9A18" w14:textId="77777777" w:rsidR="009D0006" w:rsidRDefault="009D0006" w:rsidP="00A41FDE">
      <w:pPr>
        <w:pStyle w:val="Tableheading"/>
      </w:pPr>
      <w:r>
        <w:t>Table 92.1 Multicultural</w:t>
      </w:r>
    </w:p>
    <w:tbl>
      <w:tblPr>
        <w:tblStyle w:val="RCTable"/>
        <w:tblW w:w="9864" w:type="dxa"/>
        <w:tblLook w:val="04A0" w:firstRow="1" w:lastRow="0" w:firstColumn="1" w:lastColumn="0" w:noHBand="0" w:noVBand="1"/>
      </w:tblPr>
      <w:tblGrid>
        <w:gridCol w:w="5187"/>
        <w:gridCol w:w="1559"/>
        <w:gridCol w:w="1559"/>
        <w:gridCol w:w="1559"/>
      </w:tblGrid>
      <w:tr w:rsidR="009D0006" w:rsidRPr="00D31A80" w14:paraId="33BB85AD" w14:textId="77777777" w:rsidTr="00A41FDE">
        <w:trPr>
          <w:cnfStyle w:val="100000000000" w:firstRow="1" w:lastRow="0" w:firstColumn="0" w:lastColumn="0" w:oddVBand="0" w:evenVBand="0" w:oddHBand="0" w:evenHBand="0" w:firstRowFirstColumn="0" w:firstRowLastColumn="0" w:lastRowFirstColumn="0" w:lastRowLastColumn="0"/>
          <w:trHeight w:val="956"/>
        </w:trPr>
        <w:tc>
          <w:tcPr>
            <w:tcW w:w="5187" w:type="dxa"/>
            <w:noWrap/>
            <w:hideMark/>
          </w:tcPr>
          <w:p w14:paraId="78EA45FC" w14:textId="77777777" w:rsidR="009D0006" w:rsidRPr="00D31A80" w:rsidRDefault="009D0006" w:rsidP="00A41FDE">
            <w:pPr>
              <w:pStyle w:val="Tableheader"/>
              <w:rPr>
                <w:lang w:eastAsia="en-GB"/>
              </w:rPr>
            </w:pPr>
            <w:r w:rsidRPr="00D31A80">
              <w:rPr>
                <w:lang w:val="en-US" w:eastAsia="en-GB"/>
              </w:rPr>
              <w:t>Service to which assault was reported the most recent time</w:t>
            </w:r>
          </w:p>
        </w:tc>
        <w:tc>
          <w:tcPr>
            <w:tcW w:w="1559" w:type="dxa"/>
            <w:noWrap/>
            <w:hideMark/>
          </w:tcPr>
          <w:p w14:paraId="4E8BC863" w14:textId="77777777" w:rsidR="009D0006" w:rsidRPr="00D31A80" w:rsidRDefault="009D0006" w:rsidP="00A41FDE">
            <w:pPr>
              <w:pStyle w:val="Tableheader"/>
              <w:rPr>
                <w:lang w:eastAsia="en-GB"/>
              </w:rPr>
            </w:pPr>
            <w:r w:rsidRPr="00D31A80">
              <w:rPr>
                <w:lang w:val="en-US" w:eastAsia="en-GB"/>
              </w:rPr>
              <w:t>n</w:t>
            </w:r>
          </w:p>
        </w:tc>
        <w:tc>
          <w:tcPr>
            <w:tcW w:w="1559" w:type="dxa"/>
            <w:noWrap/>
            <w:hideMark/>
          </w:tcPr>
          <w:p w14:paraId="639350E9" w14:textId="77777777" w:rsidR="009D0006" w:rsidRPr="00A41FDE" w:rsidRDefault="009D0006" w:rsidP="00A41FDE">
            <w:pPr>
              <w:pStyle w:val="Tableheader"/>
              <w:rPr>
                <w:lang w:val="en-US" w:eastAsia="en-GB"/>
              </w:rPr>
            </w:pPr>
            <w:r w:rsidRPr="00D31A80">
              <w:rPr>
                <w:lang w:val="en-US" w:eastAsia="en-GB"/>
              </w:rPr>
              <w:t>%</w:t>
            </w:r>
          </w:p>
        </w:tc>
        <w:tc>
          <w:tcPr>
            <w:tcW w:w="1559" w:type="dxa"/>
            <w:hideMark/>
          </w:tcPr>
          <w:p w14:paraId="2593D768" w14:textId="77777777" w:rsidR="009D0006" w:rsidRPr="00D31A80" w:rsidRDefault="009D0006" w:rsidP="00A41FDE">
            <w:pPr>
              <w:pStyle w:val="Tableheader"/>
              <w:rPr>
                <w:lang w:eastAsia="en-GB"/>
              </w:rPr>
            </w:pPr>
            <w:r w:rsidRPr="00D31A80">
              <w:rPr>
                <w:lang w:val="en-US" w:eastAsia="en-GB"/>
              </w:rPr>
              <w:t>Felt supported (%)</w:t>
            </w:r>
          </w:p>
        </w:tc>
      </w:tr>
      <w:tr w:rsidR="009D0006" w:rsidRPr="00D31A80" w14:paraId="687CE561" w14:textId="77777777" w:rsidTr="00A41FDE">
        <w:trPr>
          <w:cnfStyle w:val="000000100000" w:firstRow="0" w:lastRow="0" w:firstColumn="0" w:lastColumn="0" w:oddVBand="0" w:evenVBand="0" w:oddHBand="1" w:evenHBand="0" w:firstRowFirstColumn="0" w:firstRowLastColumn="0" w:lastRowFirstColumn="0" w:lastRowLastColumn="0"/>
          <w:trHeight w:val="366"/>
        </w:trPr>
        <w:tc>
          <w:tcPr>
            <w:tcW w:w="5187" w:type="dxa"/>
            <w:noWrap/>
            <w:hideMark/>
          </w:tcPr>
          <w:p w14:paraId="3C040FF8" w14:textId="77777777" w:rsidR="009D0006" w:rsidRPr="00D31A80" w:rsidRDefault="009D0006" w:rsidP="00A41FDE">
            <w:pPr>
              <w:pStyle w:val="Tabletext"/>
              <w:rPr>
                <w:lang w:eastAsia="en-GB"/>
              </w:rPr>
            </w:pPr>
            <w:r w:rsidRPr="00D31A80">
              <w:rPr>
                <w:lang w:val="en-US" w:eastAsia="en-GB"/>
              </w:rPr>
              <w:t>Counselling service or psychologist</w:t>
            </w:r>
          </w:p>
        </w:tc>
        <w:tc>
          <w:tcPr>
            <w:tcW w:w="1559" w:type="dxa"/>
            <w:noWrap/>
            <w:hideMark/>
          </w:tcPr>
          <w:p w14:paraId="02E579EF" w14:textId="77777777" w:rsidR="009D0006" w:rsidRPr="00D31A80" w:rsidRDefault="009D0006" w:rsidP="00A41FDE">
            <w:pPr>
              <w:pStyle w:val="Tabletext"/>
              <w:rPr>
                <w:lang w:eastAsia="en-GB"/>
              </w:rPr>
            </w:pPr>
            <w:r w:rsidRPr="00D31A80">
              <w:rPr>
                <w:lang w:eastAsia="en-GB"/>
              </w:rPr>
              <w:t>139</w:t>
            </w:r>
          </w:p>
        </w:tc>
        <w:tc>
          <w:tcPr>
            <w:tcW w:w="1559" w:type="dxa"/>
            <w:noWrap/>
            <w:hideMark/>
          </w:tcPr>
          <w:p w14:paraId="38837B53" w14:textId="77777777" w:rsidR="009D0006" w:rsidRPr="00D31A80" w:rsidRDefault="009D0006" w:rsidP="00A41FDE">
            <w:pPr>
              <w:pStyle w:val="Tabletext"/>
              <w:rPr>
                <w:lang w:eastAsia="en-GB"/>
              </w:rPr>
            </w:pPr>
            <w:r w:rsidRPr="00D31A80">
              <w:rPr>
                <w:lang w:eastAsia="en-GB"/>
              </w:rPr>
              <w:t>24.8</w:t>
            </w:r>
          </w:p>
        </w:tc>
        <w:tc>
          <w:tcPr>
            <w:tcW w:w="1559" w:type="dxa"/>
            <w:noWrap/>
            <w:hideMark/>
          </w:tcPr>
          <w:p w14:paraId="271EED28" w14:textId="77777777" w:rsidR="009D0006" w:rsidRPr="00D31A80" w:rsidRDefault="009D0006" w:rsidP="00A41FDE">
            <w:pPr>
              <w:pStyle w:val="Tabletext"/>
              <w:rPr>
                <w:lang w:eastAsia="en-GB"/>
              </w:rPr>
            </w:pPr>
            <w:r w:rsidRPr="00D31A80">
              <w:rPr>
                <w:lang w:eastAsia="en-GB"/>
              </w:rPr>
              <w:t>77.6</w:t>
            </w:r>
          </w:p>
        </w:tc>
      </w:tr>
      <w:tr w:rsidR="009D0006" w:rsidRPr="00D31A80" w14:paraId="47F15CEC"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1A78AFE1" w14:textId="77777777" w:rsidR="009D0006" w:rsidRPr="00D31A80" w:rsidRDefault="009D0006" w:rsidP="00A41FDE">
            <w:pPr>
              <w:pStyle w:val="Tabletext"/>
              <w:rPr>
                <w:lang w:eastAsia="en-GB"/>
              </w:rPr>
            </w:pPr>
            <w:r w:rsidRPr="00D31A80">
              <w:rPr>
                <w:lang w:val="en-US" w:eastAsia="en-GB"/>
              </w:rPr>
              <w:t>Police (including LGBTIQ liaison officers)</w:t>
            </w:r>
          </w:p>
        </w:tc>
        <w:tc>
          <w:tcPr>
            <w:tcW w:w="1559" w:type="dxa"/>
            <w:noWrap/>
            <w:hideMark/>
          </w:tcPr>
          <w:p w14:paraId="230004F6" w14:textId="77777777" w:rsidR="009D0006" w:rsidRPr="00D31A80" w:rsidRDefault="009D0006" w:rsidP="00A41FDE">
            <w:pPr>
              <w:pStyle w:val="Tabletext"/>
              <w:rPr>
                <w:lang w:eastAsia="en-GB"/>
              </w:rPr>
            </w:pPr>
            <w:r w:rsidRPr="00D31A80">
              <w:rPr>
                <w:lang w:eastAsia="en-GB"/>
              </w:rPr>
              <w:t>42</w:t>
            </w:r>
          </w:p>
        </w:tc>
        <w:tc>
          <w:tcPr>
            <w:tcW w:w="1559" w:type="dxa"/>
            <w:noWrap/>
            <w:hideMark/>
          </w:tcPr>
          <w:p w14:paraId="52CB0A03" w14:textId="77777777" w:rsidR="009D0006" w:rsidRPr="00D31A80" w:rsidRDefault="009D0006" w:rsidP="00A41FDE">
            <w:pPr>
              <w:pStyle w:val="Tabletext"/>
              <w:rPr>
                <w:lang w:eastAsia="en-GB"/>
              </w:rPr>
            </w:pPr>
            <w:r w:rsidRPr="00D31A80">
              <w:rPr>
                <w:lang w:eastAsia="en-GB"/>
              </w:rPr>
              <w:t>7.5</w:t>
            </w:r>
          </w:p>
        </w:tc>
        <w:tc>
          <w:tcPr>
            <w:tcW w:w="1559" w:type="dxa"/>
            <w:noWrap/>
            <w:hideMark/>
          </w:tcPr>
          <w:p w14:paraId="524BFB37" w14:textId="77777777" w:rsidR="009D0006" w:rsidRPr="00D31A80" w:rsidRDefault="009D0006" w:rsidP="00A41FDE">
            <w:pPr>
              <w:pStyle w:val="Tabletext"/>
              <w:rPr>
                <w:lang w:eastAsia="en-GB"/>
              </w:rPr>
            </w:pPr>
            <w:r w:rsidRPr="00D31A80">
              <w:rPr>
                <w:lang w:eastAsia="en-GB"/>
              </w:rPr>
              <w:t>5.3</w:t>
            </w:r>
          </w:p>
        </w:tc>
      </w:tr>
      <w:tr w:rsidR="009D0006" w:rsidRPr="00D31A80" w14:paraId="0A52B6B1"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1186B1D0" w14:textId="77777777" w:rsidR="009D0006" w:rsidRPr="00D31A80" w:rsidRDefault="009D0006" w:rsidP="00A41FDE">
            <w:pPr>
              <w:pStyle w:val="Tabletext"/>
              <w:rPr>
                <w:lang w:eastAsia="en-GB"/>
              </w:rPr>
            </w:pPr>
            <w:r w:rsidRPr="00D31A80">
              <w:rPr>
                <w:lang w:val="en-US" w:eastAsia="en-GB"/>
              </w:rPr>
              <w:t>Doctor or hospital</w:t>
            </w:r>
          </w:p>
        </w:tc>
        <w:tc>
          <w:tcPr>
            <w:tcW w:w="1559" w:type="dxa"/>
            <w:noWrap/>
            <w:hideMark/>
          </w:tcPr>
          <w:p w14:paraId="77603780" w14:textId="77777777" w:rsidR="009D0006" w:rsidRPr="00D31A80" w:rsidRDefault="009D0006" w:rsidP="00A41FDE">
            <w:pPr>
              <w:pStyle w:val="Tabletext"/>
              <w:rPr>
                <w:lang w:eastAsia="en-GB"/>
              </w:rPr>
            </w:pPr>
            <w:r w:rsidRPr="00D31A80">
              <w:rPr>
                <w:lang w:eastAsia="en-GB"/>
              </w:rPr>
              <w:t>28</w:t>
            </w:r>
          </w:p>
        </w:tc>
        <w:tc>
          <w:tcPr>
            <w:tcW w:w="1559" w:type="dxa"/>
            <w:noWrap/>
            <w:hideMark/>
          </w:tcPr>
          <w:p w14:paraId="413E1985" w14:textId="77777777" w:rsidR="009D0006" w:rsidRPr="00D31A80" w:rsidRDefault="009D0006" w:rsidP="00A41FDE">
            <w:pPr>
              <w:pStyle w:val="Tabletext"/>
              <w:rPr>
                <w:lang w:eastAsia="en-GB"/>
              </w:rPr>
            </w:pPr>
            <w:r w:rsidRPr="00D31A80">
              <w:rPr>
                <w:lang w:eastAsia="en-GB"/>
              </w:rPr>
              <w:t>5.0</w:t>
            </w:r>
          </w:p>
        </w:tc>
        <w:tc>
          <w:tcPr>
            <w:tcW w:w="1559" w:type="dxa"/>
            <w:noWrap/>
            <w:hideMark/>
          </w:tcPr>
          <w:p w14:paraId="0665CC13" w14:textId="77777777" w:rsidR="009D0006" w:rsidRPr="00D31A80" w:rsidRDefault="009D0006" w:rsidP="00A41FDE">
            <w:pPr>
              <w:pStyle w:val="Tabletext"/>
              <w:rPr>
                <w:lang w:eastAsia="en-GB"/>
              </w:rPr>
            </w:pPr>
            <w:r w:rsidRPr="00D31A80">
              <w:rPr>
                <w:lang w:eastAsia="en-GB"/>
              </w:rPr>
              <w:t>11.2</w:t>
            </w:r>
          </w:p>
        </w:tc>
      </w:tr>
      <w:tr w:rsidR="009D0006" w:rsidRPr="00D31A80" w14:paraId="36C2FDF0"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22376A36" w14:textId="77777777" w:rsidR="009D0006" w:rsidRPr="00D31A80" w:rsidRDefault="009D0006" w:rsidP="00A41FDE">
            <w:pPr>
              <w:pStyle w:val="Tabletext"/>
              <w:rPr>
                <w:lang w:eastAsia="en-GB"/>
              </w:rPr>
            </w:pPr>
            <w:r w:rsidRPr="00D31A80">
              <w:rPr>
                <w:lang w:val="en-US" w:eastAsia="en-GB"/>
              </w:rPr>
              <w:t>Telephone helpline</w:t>
            </w:r>
          </w:p>
        </w:tc>
        <w:tc>
          <w:tcPr>
            <w:tcW w:w="1559" w:type="dxa"/>
            <w:noWrap/>
            <w:hideMark/>
          </w:tcPr>
          <w:p w14:paraId="42F25F27" w14:textId="77777777" w:rsidR="009D0006" w:rsidRPr="00D31A80" w:rsidRDefault="009D0006" w:rsidP="00A41FDE">
            <w:pPr>
              <w:pStyle w:val="Tabletext"/>
              <w:rPr>
                <w:lang w:eastAsia="en-GB"/>
              </w:rPr>
            </w:pPr>
            <w:r w:rsidRPr="00D31A80">
              <w:rPr>
                <w:lang w:eastAsia="en-GB"/>
              </w:rPr>
              <w:t>18</w:t>
            </w:r>
          </w:p>
        </w:tc>
        <w:tc>
          <w:tcPr>
            <w:tcW w:w="1559" w:type="dxa"/>
            <w:noWrap/>
            <w:hideMark/>
          </w:tcPr>
          <w:p w14:paraId="67392439" w14:textId="77777777" w:rsidR="009D0006" w:rsidRPr="00D31A80" w:rsidRDefault="009D0006" w:rsidP="00A41FDE">
            <w:pPr>
              <w:pStyle w:val="Tabletext"/>
              <w:rPr>
                <w:lang w:eastAsia="en-GB"/>
              </w:rPr>
            </w:pPr>
            <w:r w:rsidRPr="00D31A80">
              <w:rPr>
                <w:lang w:eastAsia="en-GB"/>
              </w:rPr>
              <w:t>3.2</w:t>
            </w:r>
          </w:p>
        </w:tc>
        <w:tc>
          <w:tcPr>
            <w:tcW w:w="1559" w:type="dxa"/>
            <w:noWrap/>
            <w:hideMark/>
          </w:tcPr>
          <w:p w14:paraId="162F7C5F" w14:textId="77777777" w:rsidR="009D0006" w:rsidRPr="00D31A80" w:rsidRDefault="009D0006" w:rsidP="00A41FDE">
            <w:pPr>
              <w:pStyle w:val="Tabletext"/>
              <w:rPr>
                <w:lang w:eastAsia="en-GB"/>
              </w:rPr>
            </w:pPr>
            <w:r w:rsidRPr="00D31A80">
              <w:rPr>
                <w:lang w:eastAsia="en-GB"/>
              </w:rPr>
              <w:t>5.3</w:t>
            </w:r>
          </w:p>
        </w:tc>
      </w:tr>
      <w:tr w:rsidR="009D0006" w:rsidRPr="00D31A80" w14:paraId="0C8F1F8F"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7194A738" w14:textId="77777777" w:rsidR="009D0006" w:rsidRPr="00D31A80" w:rsidRDefault="009D0006" w:rsidP="00A41FDE">
            <w:pPr>
              <w:pStyle w:val="Tabletext"/>
              <w:rPr>
                <w:lang w:eastAsia="en-GB"/>
              </w:rPr>
            </w:pPr>
            <w:r w:rsidRPr="00D31A80">
              <w:rPr>
                <w:lang w:val="en-US" w:eastAsia="en-GB"/>
              </w:rPr>
              <w:t>Lawyer, legal service, court system</w:t>
            </w:r>
          </w:p>
        </w:tc>
        <w:tc>
          <w:tcPr>
            <w:tcW w:w="1559" w:type="dxa"/>
            <w:noWrap/>
            <w:hideMark/>
          </w:tcPr>
          <w:p w14:paraId="6EDFF0AC" w14:textId="77777777" w:rsidR="009D0006" w:rsidRPr="00D31A80" w:rsidRDefault="009D0006" w:rsidP="00A41FDE">
            <w:pPr>
              <w:pStyle w:val="Tabletext"/>
              <w:rPr>
                <w:lang w:eastAsia="en-GB"/>
              </w:rPr>
            </w:pPr>
            <w:r w:rsidRPr="00D31A80">
              <w:rPr>
                <w:lang w:eastAsia="en-GB"/>
              </w:rPr>
              <w:t>21</w:t>
            </w:r>
          </w:p>
        </w:tc>
        <w:tc>
          <w:tcPr>
            <w:tcW w:w="1559" w:type="dxa"/>
            <w:noWrap/>
            <w:hideMark/>
          </w:tcPr>
          <w:p w14:paraId="2020F4E4" w14:textId="77777777" w:rsidR="009D0006" w:rsidRPr="00D31A80" w:rsidRDefault="009D0006" w:rsidP="00A41FDE">
            <w:pPr>
              <w:pStyle w:val="Tabletext"/>
              <w:rPr>
                <w:lang w:eastAsia="en-GB"/>
              </w:rPr>
            </w:pPr>
            <w:r w:rsidRPr="00D31A80">
              <w:rPr>
                <w:lang w:eastAsia="en-GB"/>
              </w:rPr>
              <w:t>3.8</w:t>
            </w:r>
          </w:p>
        </w:tc>
        <w:tc>
          <w:tcPr>
            <w:tcW w:w="1559" w:type="dxa"/>
            <w:noWrap/>
            <w:hideMark/>
          </w:tcPr>
          <w:p w14:paraId="2B5F92CA" w14:textId="77777777" w:rsidR="009D0006" w:rsidRPr="00D31A80" w:rsidRDefault="009D0006" w:rsidP="00A41FDE">
            <w:pPr>
              <w:pStyle w:val="Tabletext"/>
              <w:rPr>
                <w:lang w:eastAsia="en-GB"/>
              </w:rPr>
            </w:pPr>
            <w:r w:rsidRPr="00D31A80">
              <w:rPr>
                <w:lang w:eastAsia="en-GB"/>
              </w:rPr>
              <w:t>5.9</w:t>
            </w:r>
          </w:p>
        </w:tc>
      </w:tr>
      <w:tr w:rsidR="009D0006" w:rsidRPr="00D31A80" w14:paraId="226143D8"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69BA720F" w14:textId="77777777" w:rsidR="009D0006" w:rsidRPr="00D31A80" w:rsidRDefault="009D0006" w:rsidP="00A41FDE">
            <w:pPr>
              <w:pStyle w:val="Tabletext"/>
              <w:rPr>
                <w:lang w:eastAsia="en-GB"/>
              </w:rPr>
            </w:pPr>
            <w:r w:rsidRPr="00D31A80">
              <w:rPr>
                <w:lang w:val="en-US" w:eastAsia="en-GB"/>
              </w:rPr>
              <w:t>Domestic or family violence service</w:t>
            </w:r>
          </w:p>
        </w:tc>
        <w:tc>
          <w:tcPr>
            <w:tcW w:w="1559" w:type="dxa"/>
            <w:noWrap/>
            <w:hideMark/>
          </w:tcPr>
          <w:p w14:paraId="30B6A3BC" w14:textId="77777777" w:rsidR="009D0006" w:rsidRPr="00D31A80" w:rsidRDefault="009D0006" w:rsidP="00A41FDE">
            <w:pPr>
              <w:pStyle w:val="Tabletext"/>
              <w:rPr>
                <w:lang w:eastAsia="en-GB"/>
              </w:rPr>
            </w:pPr>
            <w:r w:rsidRPr="00D31A80">
              <w:rPr>
                <w:lang w:eastAsia="en-GB"/>
              </w:rPr>
              <w:t>22</w:t>
            </w:r>
          </w:p>
        </w:tc>
        <w:tc>
          <w:tcPr>
            <w:tcW w:w="1559" w:type="dxa"/>
            <w:noWrap/>
            <w:hideMark/>
          </w:tcPr>
          <w:p w14:paraId="69B4278E" w14:textId="77777777" w:rsidR="009D0006" w:rsidRPr="00D31A80" w:rsidRDefault="009D0006" w:rsidP="00A41FDE">
            <w:pPr>
              <w:pStyle w:val="Tabletext"/>
              <w:rPr>
                <w:lang w:eastAsia="en-GB"/>
              </w:rPr>
            </w:pPr>
            <w:r w:rsidRPr="00D31A80">
              <w:rPr>
                <w:lang w:eastAsia="en-GB"/>
              </w:rPr>
              <w:t>3.9</w:t>
            </w:r>
          </w:p>
        </w:tc>
        <w:tc>
          <w:tcPr>
            <w:tcW w:w="1559" w:type="dxa"/>
            <w:noWrap/>
            <w:hideMark/>
          </w:tcPr>
          <w:p w14:paraId="3F5E5EA2" w14:textId="77777777" w:rsidR="009D0006" w:rsidRPr="00D31A80" w:rsidRDefault="009D0006" w:rsidP="00A41FDE">
            <w:pPr>
              <w:pStyle w:val="Tabletext"/>
              <w:rPr>
                <w:lang w:eastAsia="en-GB"/>
              </w:rPr>
            </w:pPr>
            <w:r w:rsidRPr="00D31A80">
              <w:rPr>
                <w:lang w:eastAsia="en-GB"/>
              </w:rPr>
              <w:t>7.2</w:t>
            </w:r>
          </w:p>
        </w:tc>
      </w:tr>
      <w:tr w:rsidR="009D0006" w:rsidRPr="00D31A80" w14:paraId="5F7A342A"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08748AE4" w14:textId="77777777" w:rsidR="009D0006" w:rsidRPr="00D31A80" w:rsidRDefault="009D0006" w:rsidP="00A41FDE">
            <w:pPr>
              <w:pStyle w:val="Tabletext"/>
              <w:rPr>
                <w:lang w:eastAsia="en-GB"/>
              </w:rPr>
            </w:pPr>
            <w:r w:rsidRPr="00D31A80">
              <w:rPr>
                <w:lang w:val="en-US" w:eastAsia="en-GB"/>
              </w:rPr>
              <w:t>Teacher or educational institution</w:t>
            </w:r>
          </w:p>
        </w:tc>
        <w:tc>
          <w:tcPr>
            <w:tcW w:w="1559" w:type="dxa"/>
            <w:noWrap/>
            <w:hideMark/>
          </w:tcPr>
          <w:p w14:paraId="7A010300" w14:textId="77777777" w:rsidR="009D0006" w:rsidRPr="00D31A80" w:rsidRDefault="009D0006" w:rsidP="00A41FDE">
            <w:pPr>
              <w:pStyle w:val="Tabletext"/>
              <w:rPr>
                <w:lang w:eastAsia="en-GB"/>
              </w:rPr>
            </w:pPr>
            <w:r w:rsidRPr="00D31A80">
              <w:rPr>
                <w:lang w:eastAsia="en-GB"/>
              </w:rPr>
              <w:t>15</w:t>
            </w:r>
          </w:p>
        </w:tc>
        <w:tc>
          <w:tcPr>
            <w:tcW w:w="1559" w:type="dxa"/>
            <w:noWrap/>
            <w:hideMark/>
          </w:tcPr>
          <w:p w14:paraId="13DCFD5B" w14:textId="77777777" w:rsidR="009D0006" w:rsidRPr="00D31A80" w:rsidRDefault="009D0006" w:rsidP="00A41FDE">
            <w:pPr>
              <w:pStyle w:val="Tabletext"/>
              <w:rPr>
                <w:lang w:eastAsia="en-GB"/>
              </w:rPr>
            </w:pPr>
            <w:r w:rsidRPr="00D31A80">
              <w:rPr>
                <w:lang w:eastAsia="en-GB"/>
              </w:rPr>
              <w:t>2.7</w:t>
            </w:r>
          </w:p>
        </w:tc>
        <w:tc>
          <w:tcPr>
            <w:tcW w:w="1559" w:type="dxa"/>
            <w:noWrap/>
            <w:hideMark/>
          </w:tcPr>
          <w:p w14:paraId="1FF04455" w14:textId="77777777" w:rsidR="009D0006" w:rsidRPr="00D31A80" w:rsidRDefault="009D0006" w:rsidP="00A41FDE">
            <w:pPr>
              <w:pStyle w:val="Tabletext"/>
              <w:rPr>
                <w:lang w:eastAsia="en-GB"/>
              </w:rPr>
            </w:pPr>
            <w:r w:rsidRPr="00D31A80">
              <w:rPr>
                <w:lang w:eastAsia="en-GB"/>
              </w:rPr>
              <w:t>5.3</w:t>
            </w:r>
          </w:p>
        </w:tc>
      </w:tr>
      <w:tr w:rsidR="009D0006" w:rsidRPr="00D31A80" w14:paraId="71459682"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6E300D71" w14:textId="77777777" w:rsidR="009D0006" w:rsidRPr="00D31A80" w:rsidRDefault="009D0006" w:rsidP="00A41FDE">
            <w:pPr>
              <w:pStyle w:val="Tabletext"/>
              <w:rPr>
                <w:lang w:eastAsia="en-GB"/>
              </w:rPr>
            </w:pPr>
            <w:r w:rsidRPr="00D31A80">
              <w:rPr>
                <w:lang w:val="en-US" w:eastAsia="en-GB"/>
              </w:rPr>
              <w:t>Employer</w:t>
            </w:r>
          </w:p>
        </w:tc>
        <w:tc>
          <w:tcPr>
            <w:tcW w:w="1559" w:type="dxa"/>
            <w:noWrap/>
            <w:hideMark/>
          </w:tcPr>
          <w:p w14:paraId="44808E41" w14:textId="77777777" w:rsidR="009D0006" w:rsidRPr="00D31A80" w:rsidRDefault="009D0006" w:rsidP="00A41FDE">
            <w:pPr>
              <w:pStyle w:val="Tabletext"/>
              <w:rPr>
                <w:lang w:eastAsia="en-GB"/>
              </w:rPr>
            </w:pPr>
            <w:r w:rsidRPr="00D31A80">
              <w:rPr>
                <w:lang w:eastAsia="en-GB"/>
              </w:rPr>
              <w:t>9</w:t>
            </w:r>
          </w:p>
        </w:tc>
        <w:tc>
          <w:tcPr>
            <w:tcW w:w="1559" w:type="dxa"/>
            <w:noWrap/>
            <w:hideMark/>
          </w:tcPr>
          <w:p w14:paraId="12DE242A" w14:textId="77777777" w:rsidR="009D0006" w:rsidRPr="00D31A80" w:rsidRDefault="009D0006" w:rsidP="00A41FDE">
            <w:pPr>
              <w:pStyle w:val="Tabletext"/>
              <w:rPr>
                <w:lang w:eastAsia="en-GB"/>
              </w:rPr>
            </w:pPr>
            <w:r w:rsidRPr="00D31A80">
              <w:rPr>
                <w:lang w:eastAsia="en-GB"/>
              </w:rPr>
              <w:t>1.6</w:t>
            </w:r>
          </w:p>
        </w:tc>
        <w:tc>
          <w:tcPr>
            <w:tcW w:w="1559" w:type="dxa"/>
            <w:noWrap/>
            <w:hideMark/>
          </w:tcPr>
          <w:p w14:paraId="6F1E1CD9" w14:textId="77777777" w:rsidR="009D0006" w:rsidRPr="00D31A80" w:rsidRDefault="009D0006" w:rsidP="00A41FDE">
            <w:pPr>
              <w:pStyle w:val="Tabletext"/>
              <w:rPr>
                <w:lang w:eastAsia="en-GB"/>
              </w:rPr>
            </w:pPr>
            <w:r w:rsidRPr="00D31A80">
              <w:rPr>
                <w:lang w:eastAsia="en-GB"/>
              </w:rPr>
              <w:t>4.0</w:t>
            </w:r>
          </w:p>
        </w:tc>
      </w:tr>
      <w:tr w:rsidR="009D0006" w:rsidRPr="00D31A80" w14:paraId="72861907"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15ABE5CD" w14:textId="77777777" w:rsidR="009D0006" w:rsidRPr="00D31A80" w:rsidRDefault="009D0006" w:rsidP="00A41FDE">
            <w:pPr>
              <w:pStyle w:val="Tabletext"/>
              <w:rPr>
                <w:lang w:eastAsia="en-GB"/>
              </w:rPr>
            </w:pPr>
            <w:r w:rsidRPr="00D31A80">
              <w:rPr>
                <w:lang w:val="en-US" w:eastAsia="en-GB"/>
              </w:rPr>
              <w:t>Sexual assault service</w:t>
            </w:r>
          </w:p>
        </w:tc>
        <w:tc>
          <w:tcPr>
            <w:tcW w:w="1559" w:type="dxa"/>
            <w:noWrap/>
            <w:hideMark/>
          </w:tcPr>
          <w:p w14:paraId="7E9BA496" w14:textId="77777777" w:rsidR="009D0006" w:rsidRPr="00D31A80" w:rsidRDefault="009D0006" w:rsidP="00A41FDE">
            <w:pPr>
              <w:pStyle w:val="Tabletext"/>
              <w:rPr>
                <w:lang w:eastAsia="en-GB"/>
              </w:rPr>
            </w:pPr>
            <w:r w:rsidRPr="00D31A80">
              <w:rPr>
                <w:lang w:eastAsia="en-GB"/>
              </w:rPr>
              <w:t>12</w:t>
            </w:r>
          </w:p>
        </w:tc>
        <w:tc>
          <w:tcPr>
            <w:tcW w:w="1559" w:type="dxa"/>
            <w:noWrap/>
            <w:hideMark/>
          </w:tcPr>
          <w:p w14:paraId="34061AC2" w14:textId="77777777" w:rsidR="009D0006" w:rsidRPr="00D31A80" w:rsidRDefault="009D0006" w:rsidP="00A41FDE">
            <w:pPr>
              <w:pStyle w:val="Tabletext"/>
              <w:rPr>
                <w:lang w:eastAsia="en-GB"/>
              </w:rPr>
            </w:pPr>
            <w:r w:rsidRPr="00D31A80">
              <w:rPr>
                <w:lang w:eastAsia="en-GB"/>
              </w:rPr>
              <w:t>2.1</w:t>
            </w:r>
          </w:p>
        </w:tc>
        <w:tc>
          <w:tcPr>
            <w:tcW w:w="1559" w:type="dxa"/>
            <w:noWrap/>
            <w:hideMark/>
          </w:tcPr>
          <w:p w14:paraId="693D5F83" w14:textId="77777777" w:rsidR="009D0006" w:rsidRPr="00D31A80" w:rsidRDefault="009D0006" w:rsidP="00A41FDE">
            <w:pPr>
              <w:pStyle w:val="Tabletext"/>
              <w:rPr>
                <w:lang w:eastAsia="en-GB"/>
              </w:rPr>
            </w:pPr>
            <w:r w:rsidRPr="00D31A80">
              <w:rPr>
                <w:lang w:eastAsia="en-GB"/>
              </w:rPr>
              <w:t>5.9</w:t>
            </w:r>
          </w:p>
        </w:tc>
      </w:tr>
      <w:tr w:rsidR="009D0006" w:rsidRPr="00D31A80" w14:paraId="102060D5"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1D7B05B9" w14:textId="77777777" w:rsidR="009D0006" w:rsidRPr="00D31A80" w:rsidRDefault="009D0006" w:rsidP="00A41FDE">
            <w:pPr>
              <w:pStyle w:val="Tabletext"/>
              <w:rPr>
                <w:lang w:eastAsia="en-GB"/>
              </w:rPr>
            </w:pPr>
            <w:r w:rsidRPr="00D31A80">
              <w:rPr>
                <w:lang w:val="en-US" w:eastAsia="en-GB"/>
              </w:rPr>
              <w:t>LGBTIQ organisation</w:t>
            </w:r>
          </w:p>
        </w:tc>
        <w:tc>
          <w:tcPr>
            <w:tcW w:w="1559" w:type="dxa"/>
            <w:noWrap/>
            <w:hideMark/>
          </w:tcPr>
          <w:p w14:paraId="13975E81" w14:textId="77777777" w:rsidR="009D0006" w:rsidRPr="00D31A80" w:rsidRDefault="009D0006" w:rsidP="00A41FDE">
            <w:pPr>
              <w:pStyle w:val="Tabletext"/>
              <w:rPr>
                <w:lang w:eastAsia="en-GB"/>
              </w:rPr>
            </w:pPr>
            <w:r w:rsidRPr="00D31A80">
              <w:rPr>
                <w:lang w:eastAsia="en-GB"/>
              </w:rPr>
              <w:t>7</w:t>
            </w:r>
          </w:p>
        </w:tc>
        <w:tc>
          <w:tcPr>
            <w:tcW w:w="1559" w:type="dxa"/>
            <w:noWrap/>
            <w:hideMark/>
          </w:tcPr>
          <w:p w14:paraId="31113B9A" w14:textId="77777777" w:rsidR="009D0006" w:rsidRPr="00D31A80" w:rsidRDefault="009D0006" w:rsidP="00A41FDE">
            <w:pPr>
              <w:pStyle w:val="Tabletext"/>
              <w:rPr>
                <w:lang w:eastAsia="en-GB"/>
              </w:rPr>
            </w:pPr>
            <w:r w:rsidRPr="00D31A80">
              <w:rPr>
                <w:lang w:eastAsia="en-GB"/>
              </w:rPr>
              <w:t>1.3</w:t>
            </w:r>
          </w:p>
        </w:tc>
        <w:tc>
          <w:tcPr>
            <w:tcW w:w="1559" w:type="dxa"/>
            <w:noWrap/>
            <w:hideMark/>
          </w:tcPr>
          <w:p w14:paraId="7D285A62" w14:textId="77777777" w:rsidR="009D0006" w:rsidRPr="00D31A80" w:rsidRDefault="009D0006" w:rsidP="00A41FDE">
            <w:pPr>
              <w:pStyle w:val="Tabletext"/>
              <w:rPr>
                <w:lang w:eastAsia="en-GB"/>
              </w:rPr>
            </w:pPr>
            <w:r w:rsidRPr="00D31A80">
              <w:rPr>
                <w:lang w:eastAsia="en-GB"/>
              </w:rPr>
              <w:t>2.0</w:t>
            </w:r>
          </w:p>
        </w:tc>
      </w:tr>
      <w:tr w:rsidR="009D0006" w:rsidRPr="00D31A80" w14:paraId="3B3E11AC"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452F8F57" w14:textId="77777777" w:rsidR="009D0006" w:rsidRPr="00D31A80" w:rsidRDefault="009D0006" w:rsidP="00A41FDE">
            <w:pPr>
              <w:pStyle w:val="Tabletext"/>
              <w:rPr>
                <w:lang w:eastAsia="en-GB"/>
              </w:rPr>
            </w:pPr>
            <w:r w:rsidRPr="00D31A80">
              <w:rPr>
                <w:lang w:val="en-US" w:eastAsia="en-GB"/>
              </w:rPr>
              <w:t>Religious or spiritual community leader or elder</w:t>
            </w:r>
          </w:p>
        </w:tc>
        <w:tc>
          <w:tcPr>
            <w:tcW w:w="1559" w:type="dxa"/>
            <w:noWrap/>
            <w:hideMark/>
          </w:tcPr>
          <w:p w14:paraId="4C9ACCC7" w14:textId="77777777" w:rsidR="009D0006" w:rsidRPr="00D31A80" w:rsidRDefault="009D0006" w:rsidP="00A41FDE">
            <w:pPr>
              <w:pStyle w:val="Tabletext"/>
              <w:rPr>
                <w:lang w:eastAsia="en-GB"/>
              </w:rPr>
            </w:pPr>
            <w:r w:rsidRPr="00D31A80">
              <w:rPr>
                <w:lang w:eastAsia="en-GB"/>
              </w:rPr>
              <w:t>3</w:t>
            </w:r>
          </w:p>
        </w:tc>
        <w:tc>
          <w:tcPr>
            <w:tcW w:w="1559" w:type="dxa"/>
            <w:noWrap/>
            <w:hideMark/>
          </w:tcPr>
          <w:p w14:paraId="69AED5C4" w14:textId="77777777" w:rsidR="009D0006" w:rsidRPr="00D31A80" w:rsidRDefault="009D0006" w:rsidP="00A41FDE">
            <w:pPr>
              <w:pStyle w:val="Tabletext"/>
              <w:rPr>
                <w:lang w:eastAsia="en-GB"/>
              </w:rPr>
            </w:pPr>
            <w:r w:rsidRPr="00D31A80">
              <w:rPr>
                <w:lang w:eastAsia="en-GB"/>
              </w:rPr>
              <w:t>0.5</w:t>
            </w:r>
          </w:p>
        </w:tc>
        <w:tc>
          <w:tcPr>
            <w:tcW w:w="1559" w:type="dxa"/>
            <w:noWrap/>
            <w:hideMark/>
          </w:tcPr>
          <w:p w14:paraId="734BBA7C" w14:textId="77777777" w:rsidR="009D0006" w:rsidRPr="00D31A80" w:rsidRDefault="009D0006" w:rsidP="00A41FDE">
            <w:pPr>
              <w:pStyle w:val="Tabletext"/>
              <w:rPr>
                <w:lang w:eastAsia="en-GB"/>
              </w:rPr>
            </w:pPr>
            <w:r w:rsidRPr="00D31A80">
              <w:rPr>
                <w:lang w:eastAsia="en-GB"/>
              </w:rPr>
              <w:t>1.3</w:t>
            </w:r>
          </w:p>
        </w:tc>
      </w:tr>
      <w:tr w:rsidR="009D0006" w:rsidRPr="00D31A80" w14:paraId="5BCEDD91" w14:textId="77777777" w:rsidTr="00A41FDE">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5738B93E" w14:textId="77777777" w:rsidR="009D0006" w:rsidRPr="00D31A80" w:rsidRDefault="009D0006" w:rsidP="00A41FDE">
            <w:pPr>
              <w:pStyle w:val="Tabletext"/>
              <w:rPr>
                <w:lang w:eastAsia="en-GB"/>
              </w:rPr>
            </w:pPr>
            <w:r w:rsidRPr="00D31A80">
              <w:rPr>
                <w:lang w:val="en-US" w:eastAsia="en-GB"/>
              </w:rPr>
              <w:t>Other</w:t>
            </w:r>
          </w:p>
        </w:tc>
        <w:tc>
          <w:tcPr>
            <w:tcW w:w="1559" w:type="dxa"/>
            <w:noWrap/>
            <w:hideMark/>
          </w:tcPr>
          <w:p w14:paraId="36275D7C" w14:textId="77777777" w:rsidR="009D0006" w:rsidRPr="00D31A80" w:rsidRDefault="009D0006" w:rsidP="00A41FDE">
            <w:pPr>
              <w:pStyle w:val="Tabletext"/>
              <w:rPr>
                <w:lang w:eastAsia="en-GB"/>
              </w:rPr>
            </w:pPr>
            <w:r w:rsidRPr="00D31A80">
              <w:rPr>
                <w:lang w:eastAsia="en-GB"/>
              </w:rPr>
              <w:t>30</w:t>
            </w:r>
          </w:p>
        </w:tc>
        <w:tc>
          <w:tcPr>
            <w:tcW w:w="1559" w:type="dxa"/>
            <w:noWrap/>
            <w:hideMark/>
          </w:tcPr>
          <w:p w14:paraId="1F3A2F59" w14:textId="77777777" w:rsidR="009D0006" w:rsidRPr="00D31A80" w:rsidRDefault="009D0006" w:rsidP="00A41FDE">
            <w:pPr>
              <w:pStyle w:val="Tabletext"/>
              <w:rPr>
                <w:lang w:eastAsia="en-GB"/>
              </w:rPr>
            </w:pPr>
            <w:r w:rsidRPr="00D31A80">
              <w:rPr>
                <w:lang w:eastAsia="en-GB"/>
              </w:rPr>
              <w:t>5.4</w:t>
            </w:r>
          </w:p>
        </w:tc>
        <w:tc>
          <w:tcPr>
            <w:tcW w:w="1559" w:type="dxa"/>
            <w:noWrap/>
            <w:hideMark/>
          </w:tcPr>
          <w:p w14:paraId="16371FE2" w14:textId="77777777" w:rsidR="009D0006" w:rsidRPr="00D31A80" w:rsidRDefault="009D0006" w:rsidP="00A41FDE">
            <w:pPr>
              <w:pStyle w:val="Tabletext"/>
              <w:rPr>
                <w:lang w:eastAsia="en-GB"/>
              </w:rPr>
            </w:pPr>
            <w:r w:rsidRPr="00D31A80">
              <w:rPr>
                <w:lang w:eastAsia="en-GB"/>
              </w:rPr>
              <w:t>15.8</w:t>
            </w:r>
          </w:p>
        </w:tc>
      </w:tr>
      <w:tr w:rsidR="009D0006" w:rsidRPr="00D31A80" w14:paraId="407ACECB" w14:textId="77777777" w:rsidTr="00A41FDE">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2A16F3EC" w14:textId="77777777" w:rsidR="009D0006" w:rsidRPr="00D31A80" w:rsidRDefault="009D0006" w:rsidP="00A41FDE">
            <w:pPr>
              <w:pStyle w:val="Tabletext"/>
              <w:rPr>
                <w:b/>
                <w:bCs/>
                <w:lang w:eastAsia="en-GB"/>
              </w:rPr>
            </w:pPr>
            <w:r w:rsidRPr="00D31A80">
              <w:rPr>
                <w:b/>
                <w:bCs/>
                <w:lang w:val="en-US" w:eastAsia="en-GB"/>
              </w:rPr>
              <w:t>I did not report this abusive behaviour</w:t>
            </w:r>
          </w:p>
        </w:tc>
        <w:tc>
          <w:tcPr>
            <w:tcW w:w="1559" w:type="dxa"/>
            <w:noWrap/>
            <w:hideMark/>
          </w:tcPr>
          <w:p w14:paraId="4D985BF5" w14:textId="77777777" w:rsidR="009D0006" w:rsidRPr="00D31A80" w:rsidRDefault="009D0006" w:rsidP="00A41FDE">
            <w:pPr>
              <w:pStyle w:val="Tabletext"/>
              <w:rPr>
                <w:b/>
                <w:bCs/>
                <w:lang w:eastAsia="en-GB"/>
              </w:rPr>
            </w:pPr>
            <w:r w:rsidRPr="00D31A80">
              <w:rPr>
                <w:b/>
                <w:bCs/>
                <w:lang w:eastAsia="en-GB"/>
              </w:rPr>
              <w:t>371</w:t>
            </w:r>
          </w:p>
        </w:tc>
        <w:tc>
          <w:tcPr>
            <w:tcW w:w="1559" w:type="dxa"/>
            <w:noWrap/>
            <w:hideMark/>
          </w:tcPr>
          <w:p w14:paraId="690C9AD2" w14:textId="77777777" w:rsidR="009D0006" w:rsidRPr="00D31A80" w:rsidRDefault="009D0006" w:rsidP="00A41FDE">
            <w:pPr>
              <w:pStyle w:val="Tabletext"/>
              <w:rPr>
                <w:b/>
                <w:bCs/>
                <w:lang w:eastAsia="en-GB"/>
              </w:rPr>
            </w:pPr>
            <w:r w:rsidRPr="00D31A80">
              <w:rPr>
                <w:b/>
                <w:bCs/>
                <w:lang w:eastAsia="en-GB"/>
              </w:rPr>
              <w:t>66.3</w:t>
            </w:r>
          </w:p>
        </w:tc>
        <w:tc>
          <w:tcPr>
            <w:tcW w:w="1559" w:type="dxa"/>
            <w:noWrap/>
            <w:hideMark/>
          </w:tcPr>
          <w:p w14:paraId="239C5BCF" w14:textId="77777777" w:rsidR="009D0006" w:rsidRPr="00D31A80" w:rsidRDefault="009D0006" w:rsidP="00A41FDE">
            <w:pPr>
              <w:pStyle w:val="Tabletext"/>
              <w:rPr>
                <w:b/>
                <w:bCs/>
                <w:lang w:eastAsia="en-GB"/>
              </w:rPr>
            </w:pPr>
            <w:r>
              <w:rPr>
                <w:b/>
                <w:bCs/>
                <w:lang w:eastAsia="en-GB"/>
              </w:rPr>
              <w:t>-</w:t>
            </w:r>
            <w:r w:rsidRPr="00D31A80">
              <w:rPr>
                <w:b/>
                <w:bCs/>
                <w:lang w:eastAsia="en-GB"/>
              </w:rPr>
              <w:t> </w:t>
            </w:r>
          </w:p>
        </w:tc>
      </w:tr>
    </w:tbl>
    <w:p w14:paraId="62DA5851" w14:textId="77777777" w:rsidR="009D0006" w:rsidRDefault="009D0006" w:rsidP="009147A5">
      <w:pPr>
        <w:pStyle w:val="Tableheading"/>
      </w:pPr>
      <w:r>
        <w:t>Table 92.2 Anglo-Celtic</w:t>
      </w:r>
    </w:p>
    <w:tbl>
      <w:tblPr>
        <w:tblStyle w:val="RCTable"/>
        <w:tblW w:w="9864" w:type="dxa"/>
        <w:tblLook w:val="04A0" w:firstRow="1" w:lastRow="0" w:firstColumn="1" w:lastColumn="0" w:noHBand="0" w:noVBand="1"/>
      </w:tblPr>
      <w:tblGrid>
        <w:gridCol w:w="5187"/>
        <w:gridCol w:w="1559"/>
        <w:gridCol w:w="1559"/>
        <w:gridCol w:w="1559"/>
      </w:tblGrid>
      <w:tr w:rsidR="009D0006" w:rsidRPr="00D31A80" w14:paraId="4A7EF113" w14:textId="77777777" w:rsidTr="00650B64">
        <w:trPr>
          <w:cnfStyle w:val="100000000000" w:firstRow="1" w:lastRow="0" w:firstColumn="0" w:lastColumn="0" w:oddVBand="0" w:evenVBand="0" w:oddHBand="0" w:evenHBand="0" w:firstRowFirstColumn="0" w:firstRowLastColumn="0" w:lastRowFirstColumn="0" w:lastRowLastColumn="0"/>
          <w:trHeight w:val="956"/>
          <w:tblHeader/>
        </w:trPr>
        <w:tc>
          <w:tcPr>
            <w:tcW w:w="5187" w:type="dxa"/>
            <w:noWrap/>
            <w:hideMark/>
          </w:tcPr>
          <w:p w14:paraId="6D7B0D3D" w14:textId="77777777" w:rsidR="009D0006" w:rsidRPr="00D31A80" w:rsidRDefault="009D0006" w:rsidP="009147A5">
            <w:pPr>
              <w:pStyle w:val="Tableheader"/>
              <w:rPr>
                <w:lang w:eastAsia="en-GB"/>
              </w:rPr>
            </w:pPr>
            <w:r w:rsidRPr="00D31A80">
              <w:rPr>
                <w:lang w:val="en-US" w:eastAsia="en-GB"/>
              </w:rPr>
              <w:t>Service to which assault was reported the most recent time</w:t>
            </w:r>
          </w:p>
        </w:tc>
        <w:tc>
          <w:tcPr>
            <w:tcW w:w="1559" w:type="dxa"/>
            <w:noWrap/>
            <w:hideMark/>
          </w:tcPr>
          <w:p w14:paraId="24B7D9FE" w14:textId="77777777" w:rsidR="009D0006" w:rsidRPr="00D31A80" w:rsidRDefault="009D0006" w:rsidP="009147A5">
            <w:pPr>
              <w:pStyle w:val="Tableheader"/>
              <w:rPr>
                <w:lang w:eastAsia="en-GB"/>
              </w:rPr>
            </w:pPr>
            <w:r w:rsidRPr="00D31A80">
              <w:rPr>
                <w:lang w:val="en-US" w:eastAsia="en-GB"/>
              </w:rPr>
              <w:t>n</w:t>
            </w:r>
          </w:p>
        </w:tc>
        <w:tc>
          <w:tcPr>
            <w:tcW w:w="1559" w:type="dxa"/>
            <w:noWrap/>
            <w:hideMark/>
          </w:tcPr>
          <w:p w14:paraId="3C32B06D" w14:textId="77777777" w:rsidR="009D0006" w:rsidRPr="00D31A80" w:rsidRDefault="009D0006" w:rsidP="009147A5">
            <w:pPr>
              <w:pStyle w:val="Tableheader"/>
              <w:rPr>
                <w:lang w:eastAsia="en-GB"/>
              </w:rPr>
            </w:pPr>
            <w:r w:rsidRPr="00D31A80">
              <w:rPr>
                <w:lang w:val="en-US" w:eastAsia="en-GB"/>
              </w:rPr>
              <w:t>%</w:t>
            </w:r>
          </w:p>
        </w:tc>
        <w:tc>
          <w:tcPr>
            <w:tcW w:w="1559" w:type="dxa"/>
            <w:hideMark/>
          </w:tcPr>
          <w:p w14:paraId="7FA7268D" w14:textId="77777777" w:rsidR="009D0006" w:rsidRPr="00D31A80" w:rsidRDefault="009D0006" w:rsidP="009147A5">
            <w:pPr>
              <w:pStyle w:val="Tableheader"/>
              <w:rPr>
                <w:lang w:eastAsia="en-GB"/>
              </w:rPr>
            </w:pPr>
            <w:r w:rsidRPr="00D31A80">
              <w:rPr>
                <w:lang w:val="en-US" w:eastAsia="en-GB"/>
              </w:rPr>
              <w:t>Felt supported (%)</w:t>
            </w:r>
          </w:p>
        </w:tc>
      </w:tr>
      <w:tr w:rsidR="009D0006" w:rsidRPr="00D31A80" w14:paraId="38A6B886" w14:textId="77777777" w:rsidTr="009147A5">
        <w:trPr>
          <w:cnfStyle w:val="000000100000" w:firstRow="0" w:lastRow="0" w:firstColumn="0" w:lastColumn="0" w:oddVBand="0" w:evenVBand="0" w:oddHBand="1" w:evenHBand="0" w:firstRowFirstColumn="0" w:firstRowLastColumn="0" w:lastRowFirstColumn="0" w:lastRowLastColumn="0"/>
          <w:trHeight w:val="366"/>
        </w:trPr>
        <w:tc>
          <w:tcPr>
            <w:tcW w:w="5187" w:type="dxa"/>
            <w:noWrap/>
            <w:hideMark/>
          </w:tcPr>
          <w:p w14:paraId="02F33781" w14:textId="77777777" w:rsidR="009D0006" w:rsidRPr="00D31A80" w:rsidRDefault="009D0006" w:rsidP="009147A5">
            <w:pPr>
              <w:pStyle w:val="Tabletext"/>
              <w:rPr>
                <w:lang w:eastAsia="en-GB"/>
              </w:rPr>
            </w:pPr>
            <w:r w:rsidRPr="00D31A80">
              <w:rPr>
                <w:lang w:val="en-US" w:eastAsia="en-GB"/>
              </w:rPr>
              <w:t>Counselling service or psychologist</w:t>
            </w:r>
          </w:p>
        </w:tc>
        <w:tc>
          <w:tcPr>
            <w:tcW w:w="1559" w:type="dxa"/>
            <w:noWrap/>
            <w:hideMark/>
          </w:tcPr>
          <w:p w14:paraId="47A4FBEC" w14:textId="77777777" w:rsidR="009D0006" w:rsidRPr="00D31A80" w:rsidRDefault="009D0006" w:rsidP="009147A5">
            <w:pPr>
              <w:pStyle w:val="Tabletext"/>
              <w:rPr>
                <w:lang w:eastAsia="en-GB"/>
              </w:rPr>
            </w:pPr>
            <w:r w:rsidRPr="00D31A80">
              <w:rPr>
                <w:lang w:eastAsia="en-GB"/>
              </w:rPr>
              <w:t>292</w:t>
            </w:r>
          </w:p>
        </w:tc>
        <w:tc>
          <w:tcPr>
            <w:tcW w:w="1559" w:type="dxa"/>
            <w:noWrap/>
            <w:hideMark/>
          </w:tcPr>
          <w:p w14:paraId="1F615F16" w14:textId="77777777" w:rsidR="009D0006" w:rsidRPr="00D31A80" w:rsidRDefault="009D0006" w:rsidP="009147A5">
            <w:pPr>
              <w:pStyle w:val="Tabletext"/>
              <w:rPr>
                <w:lang w:eastAsia="en-GB"/>
              </w:rPr>
            </w:pPr>
            <w:r w:rsidRPr="00D31A80">
              <w:rPr>
                <w:lang w:eastAsia="en-GB"/>
              </w:rPr>
              <w:t>22.7</w:t>
            </w:r>
          </w:p>
        </w:tc>
        <w:tc>
          <w:tcPr>
            <w:tcW w:w="1559" w:type="dxa"/>
            <w:noWrap/>
            <w:hideMark/>
          </w:tcPr>
          <w:p w14:paraId="75898B02" w14:textId="77777777" w:rsidR="009D0006" w:rsidRPr="00D31A80" w:rsidRDefault="009D0006" w:rsidP="009147A5">
            <w:pPr>
              <w:pStyle w:val="Tabletext"/>
              <w:rPr>
                <w:lang w:eastAsia="en-GB"/>
              </w:rPr>
            </w:pPr>
            <w:r w:rsidRPr="00D31A80">
              <w:rPr>
                <w:lang w:eastAsia="en-GB"/>
              </w:rPr>
              <w:t>74.8</w:t>
            </w:r>
          </w:p>
        </w:tc>
      </w:tr>
      <w:tr w:rsidR="009D0006" w:rsidRPr="00D31A80" w14:paraId="7464AB5A"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6F01BCA0" w14:textId="77777777" w:rsidR="009D0006" w:rsidRPr="00D31A80" w:rsidRDefault="009D0006" w:rsidP="009147A5">
            <w:pPr>
              <w:pStyle w:val="Tabletext"/>
              <w:rPr>
                <w:lang w:eastAsia="en-GB"/>
              </w:rPr>
            </w:pPr>
            <w:r w:rsidRPr="00D31A80">
              <w:rPr>
                <w:lang w:val="en-US" w:eastAsia="en-GB"/>
              </w:rPr>
              <w:t>Police (including LGBTIQ liaison officers)</w:t>
            </w:r>
          </w:p>
        </w:tc>
        <w:tc>
          <w:tcPr>
            <w:tcW w:w="1559" w:type="dxa"/>
            <w:noWrap/>
            <w:hideMark/>
          </w:tcPr>
          <w:p w14:paraId="30AE3F0F" w14:textId="77777777" w:rsidR="009D0006" w:rsidRPr="00D31A80" w:rsidRDefault="009D0006" w:rsidP="009147A5">
            <w:pPr>
              <w:pStyle w:val="Tabletext"/>
              <w:rPr>
                <w:lang w:eastAsia="en-GB"/>
              </w:rPr>
            </w:pPr>
            <w:r w:rsidRPr="00D31A80">
              <w:rPr>
                <w:lang w:eastAsia="en-GB"/>
              </w:rPr>
              <w:t>74</w:t>
            </w:r>
          </w:p>
        </w:tc>
        <w:tc>
          <w:tcPr>
            <w:tcW w:w="1559" w:type="dxa"/>
            <w:noWrap/>
            <w:hideMark/>
          </w:tcPr>
          <w:p w14:paraId="27B602E2" w14:textId="77777777" w:rsidR="009D0006" w:rsidRPr="00D31A80" w:rsidRDefault="009D0006" w:rsidP="009147A5">
            <w:pPr>
              <w:pStyle w:val="Tabletext"/>
              <w:rPr>
                <w:lang w:eastAsia="en-GB"/>
              </w:rPr>
            </w:pPr>
            <w:r w:rsidRPr="00D31A80">
              <w:rPr>
                <w:lang w:eastAsia="en-GB"/>
              </w:rPr>
              <w:t>5.7</w:t>
            </w:r>
          </w:p>
        </w:tc>
        <w:tc>
          <w:tcPr>
            <w:tcW w:w="1559" w:type="dxa"/>
            <w:noWrap/>
            <w:hideMark/>
          </w:tcPr>
          <w:p w14:paraId="0C99692D" w14:textId="77777777" w:rsidR="009D0006" w:rsidRPr="00D31A80" w:rsidRDefault="009D0006" w:rsidP="009147A5">
            <w:pPr>
              <w:pStyle w:val="Tabletext"/>
              <w:rPr>
                <w:lang w:eastAsia="en-GB"/>
              </w:rPr>
            </w:pPr>
            <w:r w:rsidRPr="00D31A80">
              <w:rPr>
                <w:lang w:eastAsia="en-GB"/>
              </w:rPr>
              <w:t>9.8</w:t>
            </w:r>
          </w:p>
        </w:tc>
      </w:tr>
      <w:tr w:rsidR="009D0006" w:rsidRPr="00D31A80" w14:paraId="111C26CA"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550E8AE3" w14:textId="77777777" w:rsidR="009D0006" w:rsidRPr="00D31A80" w:rsidRDefault="009D0006" w:rsidP="009147A5">
            <w:pPr>
              <w:pStyle w:val="Tabletext"/>
              <w:rPr>
                <w:lang w:eastAsia="en-GB"/>
              </w:rPr>
            </w:pPr>
            <w:r w:rsidRPr="00D31A80">
              <w:rPr>
                <w:lang w:val="en-US" w:eastAsia="en-GB"/>
              </w:rPr>
              <w:t>Doctor or hospital</w:t>
            </w:r>
          </w:p>
        </w:tc>
        <w:tc>
          <w:tcPr>
            <w:tcW w:w="1559" w:type="dxa"/>
            <w:noWrap/>
            <w:hideMark/>
          </w:tcPr>
          <w:p w14:paraId="29F31596" w14:textId="77777777" w:rsidR="009D0006" w:rsidRPr="00D31A80" w:rsidRDefault="009D0006" w:rsidP="009147A5">
            <w:pPr>
              <w:pStyle w:val="Tabletext"/>
              <w:rPr>
                <w:lang w:eastAsia="en-GB"/>
              </w:rPr>
            </w:pPr>
            <w:r w:rsidRPr="00D31A80">
              <w:rPr>
                <w:lang w:eastAsia="en-GB"/>
              </w:rPr>
              <w:t>61</w:t>
            </w:r>
          </w:p>
        </w:tc>
        <w:tc>
          <w:tcPr>
            <w:tcW w:w="1559" w:type="dxa"/>
            <w:noWrap/>
            <w:hideMark/>
          </w:tcPr>
          <w:p w14:paraId="6D8FDD47" w14:textId="77777777" w:rsidR="009D0006" w:rsidRPr="00D31A80" w:rsidRDefault="009D0006" w:rsidP="009147A5">
            <w:pPr>
              <w:pStyle w:val="Tabletext"/>
              <w:rPr>
                <w:lang w:eastAsia="en-GB"/>
              </w:rPr>
            </w:pPr>
            <w:r w:rsidRPr="00D31A80">
              <w:rPr>
                <w:lang w:eastAsia="en-GB"/>
              </w:rPr>
              <w:t>4.7</w:t>
            </w:r>
          </w:p>
        </w:tc>
        <w:tc>
          <w:tcPr>
            <w:tcW w:w="1559" w:type="dxa"/>
            <w:noWrap/>
            <w:hideMark/>
          </w:tcPr>
          <w:p w14:paraId="4328D911" w14:textId="77777777" w:rsidR="009D0006" w:rsidRPr="00D31A80" w:rsidRDefault="009D0006" w:rsidP="009147A5">
            <w:pPr>
              <w:pStyle w:val="Tabletext"/>
              <w:rPr>
                <w:lang w:eastAsia="en-GB"/>
              </w:rPr>
            </w:pPr>
            <w:r w:rsidRPr="00D31A80">
              <w:rPr>
                <w:lang w:eastAsia="en-GB"/>
              </w:rPr>
              <w:t>13.2</w:t>
            </w:r>
          </w:p>
        </w:tc>
      </w:tr>
      <w:tr w:rsidR="009D0006" w:rsidRPr="00D31A80" w14:paraId="36BE1F6F"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0008BD0C" w14:textId="77777777" w:rsidR="009D0006" w:rsidRPr="00D31A80" w:rsidRDefault="009D0006" w:rsidP="009147A5">
            <w:pPr>
              <w:pStyle w:val="Tabletext"/>
              <w:rPr>
                <w:lang w:eastAsia="en-GB"/>
              </w:rPr>
            </w:pPr>
            <w:r w:rsidRPr="00D31A80">
              <w:rPr>
                <w:lang w:val="en-US" w:eastAsia="en-GB"/>
              </w:rPr>
              <w:t>Telephone helpline</w:t>
            </w:r>
          </w:p>
        </w:tc>
        <w:tc>
          <w:tcPr>
            <w:tcW w:w="1559" w:type="dxa"/>
            <w:noWrap/>
            <w:hideMark/>
          </w:tcPr>
          <w:p w14:paraId="6A492888" w14:textId="77777777" w:rsidR="009D0006" w:rsidRPr="00D31A80" w:rsidRDefault="009D0006" w:rsidP="009147A5">
            <w:pPr>
              <w:pStyle w:val="Tabletext"/>
              <w:rPr>
                <w:lang w:eastAsia="en-GB"/>
              </w:rPr>
            </w:pPr>
            <w:r w:rsidRPr="00D31A80">
              <w:rPr>
                <w:lang w:eastAsia="en-GB"/>
              </w:rPr>
              <w:t>36</w:t>
            </w:r>
          </w:p>
        </w:tc>
        <w:tc>
          <w:tcPr>
            <w:tcW w:w="1559" w:type="dxa"/>
            <w:noWrap/>
            <w:hideMark/>
          </w:tcPr>
          <w:p w14:paraId="13A4EBF0" w14:textId="77777777" w:rsidR="009D0006" w:rsidRPr="00D31A80" w:rsidRDefault="009D0006" w:rsidP="009147A5">
            <w:pPr>
              <w:pStyle w:val="Tabletext"/>
              <w:rPr>
                <w:lang w:eastAsia="en-GB"/>
              </w:rPr>
            </w:pPr>
            <w:r w:rsidRPr="00D31A80">
              <w:rPr>
                <w:lang w:eastAsia="en-GB"/>
              </w:rPr>
              <w:t>2.8</w:t>
            </w:r>
          </w:p>
        </w:tc>
        <w:tc>
          <w:tcPr>
            <w:tcW w:w="1559" w:type="dxa"/>
            <w:noWrap/>
            <w:hideMark/>
          </w:tcPr>
          <w:p w14:paraId="38FC00F9" w14:textId="77777777" w:rsidR="009D0006" w:rsidRPr="00D31A80" w:rsidRDefault="009D0006" w:rsidP="009147A5">
            <w:pPr>
              <w:pStyle w:val="Tabletext"/>
              <w:rPr>
                <w:lang w:eastAsia="en-GB"/>
              </w:rPr>
            </w:pPr>
            <w:r w:rsidRPr="00D31A80">
              <w:rPr>
                <w:lang w:eastAsia="en-GB"/>
              </w:rPr>
              <w:t>6.9</w:t>
            </w:r>
          </w:p>
        </w:tc>
      </w:tr>
      <w:tr w:rsidR="009D0006" w:rsidRPr="00D31A80" w14:paraId="3C3507EE"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36C8AA09" w14:textId="77777777" w:rsidR="009D0006" w:rsidRPr="00D31A80" w:rsidRDefault="009D0006" w:rsidP="009147A5">
            <w:pPr>
              <w:pStyle w:val="Tabletext"/>
              <w:rPr>
                <w:lang w:eastAsia="en-GB"/>
              </w:rPr>
            </w:pPr>
            <w:r w:rsidRPr="00D31A80">
              <w:rPr>
                <w:lang w:val="en-US" w:eastAsia="en-GB"/>
              </w:rPr>
              <w:t>Lawyer, legal service, court system</w:t>
            </w:r>
          </w:p>
        </w:tc>
        <w:tc>
          <w:tcPr>
            <w:tcW w:w="1559" w:type="dxa"/>
            <w:noWrap/>
            <w:hideMark/>
          </w:tcPr>
          <w:p w14:paraId="4B2FE466" w14:textId="77777777" w:rsidR="009D0006" w:rsidRPr="00D31A80" w:rsidRDefault="009D0006" w:rsidP="009147A5">
            <w:pPr>
              <w:pStyle w:val="Tabletext"/>
              <w:rPr>
                <w:lang w:eastAsia="en-GB"/>
              </w:rPr>
            </w:pPr>
            <w:r w:rsidRPr="00D31A80">
              <w:rPr>
                <w:lang w:eastAsia="en-GB"/>
              </w:rPr>
              <w:t>36</w:t>
            </w:r>
          </w:p>
        </w:tc>
        <w:tc>
          <w:tcPr>
            <w:tcW w:w="1559" w:type="dxa"/>
            <w:noWrap/>
            <w:hideMark/>
          </w:tcPr>
          <w:p w14:paraId="075A01B0" w14:textId="77777777" w:rsidR="009D0006" w:rsidRPr="00D31A80" w:rsidRDefault="009D0006" w:rsidP="009147A5">
            <w:pPr>
              <w:pStyle w:val="Tabletext"/>
              <w:rPr>
                <w:lang w:eastAsia="en-GB"/>
              </w:rPr>
            </w:pPr>
            <w:r w:rsidRPr="00D31A80">
              <w:rPr>
                <w:lang w:eastAsia="en-GB"/>
              </w:rPr>
              <w:t>2.8</w:t>
            </w:r>
          </w:p>
        </w:tc>
        <w:tc>
          <w:tcPr>
            <w:tcW w:w="1559" w:type="dxa"/>
            <w:noWrap/>
            <w:hideMark/>
          </w:tcPr>
          <w:p w14:paraId="22FF6E3E" w14:textId="77777777" w:rsidR="009D0006" w:rsidRPr="00D31A80" w:rsidRDefault="009D0006" w:rsidP="009147A5">
            <w:pPr>
              <w:pStyle w:val="Tabletext"/>
              <w:rPr>
                <w:lang w:eastAsia="en-GB"/>
              </w:rPr>
            </w:pPr>
            <w:r w:rsidRPr="00D31A80">
              <w:rPr>
                <w:lang w:eastAsia="en-GB"/>
              </w:rPr>
              <w:t>6.3</w:t>
            </w:r>
          </w:p>
        </w:tc>
      </w:tr>
      <w:tr w:rsidR="009D0006" w:rsidRPr="00D31A80" w14:paraId="0FD35E32"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597E1345" w14:textId="77777777" w:rsidR="009D0006" w:rsidRPr="00D31A80" w:rsidRDefault="009D0006" w:rsidP="009147A5">
            <w:pPr>
              <w:pStyle w:val="Tabletext"/>
              <w:rPr>
                <w:lang w:eastAsia="en-GB"/>
              </w:rPr>
            </w:pPr>
            <w:r w:rsidRPr="00D31A80">
              <w:rPr>
                <w:lang w:val="en-US" w:eastAsia="en-GB"/>
              </w:rPr>
              <w:t>Domestic or family violence service</w:t>
            </w:r>
          </w:p>
        </w:tc>
        <w:tc>
          <w:tcPr>
            <w:tcW w:w="1559" w:type="dxa"/>
            <w:noWrap/>
            <w:hideMark/>
          </w:tcPr>
          <w:p w14:paraId="54B627CA" w14:textId="77777777" w:rsidR="009D0006" w:rsidRPr="00D31A80" w:rsidRDefault="009D0006" w:rsidP="009147A5">
            <w:pPr>
              <w:pStyle w:val="Tabletext"/>
              <w:rPr>
                <w:lang w:eastAsia="en-GB"/>
              </w:rPr>
            </w:pPr>
            <w:r w:rsidRPr="00D31A80">
              <w:rPr>
                <w:lang w:eastAsia="en-GB"/>
              </w:rPr>
              <w:t>32</w:t>
            </w:r>
          </w:p>
        </w:tc>
        <w:tc>
          <w:tcPr>
            <w:tcW w:w="1559" w:type="dxa"/>
            <w:noWrap/>
            <w:hideMark/>
          </w:tcPr>
          <w:p w14:paraId="6B215589" w14:textId="77777777" w:rsidR="009D0006" w:rsidRPr="00D31A80" w:rsidRDefault="009D0006" w:rsidP="009147A5">
            <w:pPr>
              <w:pStyle w:val="Tabletext"/>
              <w:rPr>
                <w:lang w:eastAsia="en-GB"/>
              </w:rPr>
            </w:pPr>
            <w:r w:rsidRPr="00D31A80">
              <w:rPr>
                <w:lang w:eastAsia="en-GB"/>
              </w:rPr>
              <w:t>2.5</w:t>
            </w:r>
          </w:p>
        </w:tc>
        <w:tc>
          <w:tcPr>
            <w:tcW w:w="1559" w:type="dxa"/>
            <w:noWrap/>
            <w:hideMark/>
          </w:tcPr>
          <w:p w14:paraId="78DB4AD9" w14:textId="77777777" w:rsidR="009D0006" w:rsidRPr="00D31A80" w:rsidRDefault="009D0006" w:rsidP="009147A5">
            <w:pPr>
              <w:pStyle w:val="Tabletext"/>
              <w:rPr>
                <w:lang w:eastAsia="en-GB"/>
              </w:rPr>
            </w:pPr>
            <w:r w:rsidRPr="00D31A80">
              <w:rPr>
                <w:lang w:eastAsia="en-GB"/>
              </w:rPr>
              <w:t>6.0</w:t>
            </w:r>
          </w:p>
        </w:tc>
      </w:tr>
      <w:tr w:rsidR="009D0006" w:rsidRPr="00D31A80" w14:paraId="3C58F4BF"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3AD16547" w14:textId="77777777" w:rsidR="009D0006" w:rsidRPr="00D31A80" w:rsidRDefault="009D0006" w:rsidP="009147A5">
            <w:pPr>
              <w:pStyle w:val="Tabletext"/>
              <w:rPr>
                <w:lang w:eastAsia="en-GB"/>
              </w:rPr>
            </w:pPr>
            <w:r w:rsidRPr="00D31A80">
              <w:rPr>
                <w:lang w:val="en-US" w:eastAsia="en-GB"/>
              </w:rPr>
              <w:t>Teacher or educational institution</w:t>
            </w:r>
          </w:p>
        </w:tc>
        <w:tc>
          <w:tcPr>
            <w:tcW w:w="1559" w:type="dxa"/>
            <w:noWrap/>
            <w:hideMark/>
          </w:tcPr>
          <w:p w14:paraId="0E2728B7" w14:textId="77777777" w:rsidR="009D0006" w:rsidRPr="00D31A80" w:rsidRDefault="009D0006" w:rsidP="009147A5">
            <w:pPr>
              <w:pStyle w:val="Tabletext"/>
              <w:rPr>
                <w:lang w:eastAsia="en-GB"/>
              </w:rPr>
            </w:pPr>
            <w:r w:rsidRPr="00D31A80">
              <w:rPr>
                <w:lang w:eastAsia="en-GB"/>
              </w:rPr>
              <w:t>20</w:t>
            </w:r>
          </w:p>
        </w:tc>
        <w:tc>
          <w:tcPr>
            <w:tcW w:w="1559" w:type="dxa"/>
            <w:noWrap/>
            <w:hideMark/>
          </w:tcPr>
          <w:p w14:paraId="0F51B8BE" w14:textId="77777777" w:rsidR="009D0006" w:rsidRPr="00D31A80" w:rsidRDefault="009D0006" w:rsidP="009147A5">
            <w:pPr>
              <w:pStyle w:val="Tabletext"/>
              <w:rPr>
                <w:lang w:eastAsia="en-GB"/>
              </w:rPr>
            </w:pPr>
            <w:r w:rsidRPr="00D31A80">
              <w:rPr>
                <w:lang w:eastAsia="en-GB"/>
              </w:rPr>
              <w:t>1.6</w:t>
            </w:r>
          </w:p>
        </w:tc>
        <w:tc>
          <w:tcPr>
            <w:tcW w:w="1559" w:type="dxa"/>
            <w:noWrap/>
            <w:hideMark/>
          </w:tcPr>
          <w:p w14:paraId="4D2916B5" w14:textId="77777777" w:rsidR="009D0006" w:rsidRPr="00D31A80" w:rsidRDefault="009D0006" w:rsidP="009147A5">
            <w:pPr>
              <w:pStyle w:val="Tabletext"/>
              <w:rPr>
                <w:lang w:eastAsia="en-GB"/>
              </w:rPr>
            </w:pPr>
            <w:r w:rsidRPr="00D31A80">
              <w:rPr>
                <w:lang w:eastAsia="en-GB"/>
              </w:rPr>
              <w:t>2.8</w:t>
            </w:r>
          </w:p>
        </w:tc>
      </w:tr>
      <w:tr w:rsidR="009D0006" w:rsidRPr="00D31A80" w14:paraId="33AEDE48"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3BB218CE" w14:textId="77777777" w:rsidR="009D0006" w:rsidRPr="00D31A80" w:rsidRDefault="009D0006" w:rsidP="009147A5">
            <w:pPr>
              <w:pStyle w:val="Tabletext"/>
              <w:rPr>
                <w:lang w:eastAsia="en-GB"/>
              </w:rPr>
            </w:pPr>
            <w:r w:rsidRPr="00D31A80">
              <w:rPr>
                <w:lang w:val="en-US" w:eastAsia="en-GB"/>
              </w:rPr>
              <w:t>Employer</w:t>
            </w:r>
          </w:p>
        </w:tc>
        <w:tc>
          <w:tcPr>
            <w:tcW w:w="1559" w:type="dxa"/>
            <w:noWrap/>
            <w:hideMark/>
          </w:tcPr>
          <w:p w14:paraId="3A6E735F" w14:textId="77777777" w:rsidR="009D0006" w:rsidRPr="00D31A80" w:rsidRDefault="009D0006" w:rsidP="009147A5">
            <w:pPr>
              <w:pStyle w:val="Tabletext"/>
              <w:rPr>
                <w:lang w:eastAsia="en-GB"/>
              </w:rPr>
            </w:pPr>
            <w:r w:rsidRPr="00D31A80">
              <w:rPr>
                <w:lang w:eastAsia="en-GB"/>
              </w:rPr>
              <w:t>18</w:t>
            </w:r>
          </w:p>
        </w:tc>
        <w:tc>
          <w:tcPr>
            <w:tcW w:w="1559" w:type="dxa"/>
            <w:noWrap/>
            <w:hideMark/>
          </w:tcPr>
          <w:p w14:paraId="3A4CE9DD" w14:textId="77777777" w:rsidR="009D0006" w:rsidRPr="00D31A80" w:rsidRDefault="009D0006" w:rsidP="009147A5">
            <w:pPr>
              <w:pStyle w:val="Tabletext"/>
              <w:rPr>
                <w:lang w:eastAsia="en-GB"/>
              </w:rPr>
            </w:pPr>
            <w:r w:rsidRPr="00D31A80">
              <w:rPr>
                <w:lang w:eastAsia="en-GB"/>
              </w:rPr>
              <w:t>1.4</w:t>
            </w:r>
          </w:p>
        </w:tc>
        <w:tc>
          <w:tcPr>
            <w:tcW w:w="1559" w:type="dxa"/>
            <w:noWrap/>
            <w:hideMark/>
          </w:tcPr>
          <w:p w14:paraId="33B4A1C5" w14:textId="77777777" w:rsidR="009D0006" w:rsidRPr="00D31A80" w:rsidRDefault="009D0006" w:rsidP="009147A5">
            <w:pPr>
              <w:pStyle w:val="Tabletext"/>
              <w:rPr>
                <w:lang w:eastAsia="en-GB"/>
              </w:rPr>
            </w:pPr>
            <w:r w:rsidRPr="00D31A80">
              <w:rPr>
                <w:lang w:eastAsia="en-GB"/>
              </w:rPr>
              <w:t>4.1</w:t>
            </w:r>
          </w:p>
        </w:tc>
      </w:tr>
      <w:tr w:rsidR="009D0006" w:rsidRPr="00D31A80" w14:paraId="68C6E9F2"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56923038" w14:textId="77777777" w:rsidR="009D0006" w:rsidRPr="00D31A80" w:rsidRDefault="009D0006" w:rsidP="009147A5">
            <w:pPr>
              <w:pStyle w:val="Tabletext"/>
              <w:rPr>
                <w:lang w:eastAsia="en-GB"/>
              </w:rPr>
            </w:pPr>
            <w:r w:rsidRPr="00D31A80">
              <w:rPr>
                <w:lang w:val="en-US" w:eastAsia="en-GB"/>
              </w:rPr>
              <w:t>Sexual assault service</w:t>
            </w:r>
          </w:p>
        </w:tc>
        <w:tc>
          <w:tcPr>
            <w:tcW w:w="1559" w:type="dxa"/>
            <w:noWrap/>
            <w:hideMark/>
          </w:tcPr>
          <w:p w14:paraId="4150B9CC" w14:textId="77777777" w:rsidR="009D0006" w:rsidRPr="00D31A80" w:rsidRDefault="009D0006" w:rsidP="009147A5">
            <w:pPr>
              <w:pStyle w:val="Tabletext"/>
              <w:rPr>
                <w:lang w:eastAsia="en-GB"/>
              </w:rPr>
            </w:pPr>
            <w:r w:rsidRPr="00D31A80">
              <w:rPr>
                <w:lang w:eastAsia="en-GB"/>
              </w:rPr>
              <w:t>12</w:t>
            </w:r>
          </w:p>
        </w:tc>
        <w:tc>
          <w:tcPr>
            <w:tcW w:w="1559" w:type="dxa"/>
            <w:noWrap/>
            <w:hideMark/>
          </w:tcPr>
          <w:p w14:paraId="50F49EB3" w14:textId="77777777" w:rsidR="009D0006" w:rsidRPr="00D31A80" w:rsidRDefault="009D0006" w:rsidP="009147A5">
            <w:pPr>
              <w:pStyle w:val="Tabletext"/>
              <w:rPr>
                <w:lang w:eastAsia="en-GB"/>
              </w:rPr>
            </w:pPr>
            <w:r w:rsidRPr="00D31A80">
              <w:rPr>
                <w:lang w:eastAsia="en-GB"/>
              </w:rPr>
              <w:t>0.9</w:t>
            </w:r>
          </w:p>
        </w:tc>
        <w:tc>
          <w:tcPr>
            <w:tcW w:w="1559" w:type="dxa"/>
            <w:noWrap/>
            <w:hideMark/>
          </w:tcPr>
          <w:p w14:paraId="53791FD4" w14:textId="77777777" w:rsidR="009D0006" w:rsidRPr="00D31A80" w:rsidRDefault="009D0006" w:rsidP="009147A5">
            <w:pPr>
              <w:pStyle w:val="Tabletext"/>
              <w:rPr>
                <w:lang w:eastAsia="en-GB"/>
              </w:rPr>
            </w:pPr>
            <w:r w:rsidRPr="00D31A80">
              <w:rPr>
                <w:lang w:eastAsia="en-GB"/>
              </w:rPr>
              <w:t>3.5</w:t>
            </w:r>
          </w:p>
        </w:tc>
      </w:tr>
      <w:tr w:rsidR="009D0006" w:rsidRPr="00D31A80" w14:paraId="14561AA6"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3209D244" w14:textId="77777777" w:rsidR="009D0006" w:rsidRPr="00D31A80" w:rsidRDefault="009D0006" w:rsidP="009147A5">
            <w:pPr>
              <w:pStyle w:val="Tabletext"/>
              <w:rPr>
                <w:lang w:eastAsia="en-GB"/>
              </w:rPr>
            </w:pPr>
            <w:r w:rsidRPr="00D31A80">
              <w:rPr>
                <w:lang w:val="en-US" w:eastAsia="en-GB"/>
              </w:rPr>
              <w:t>LGBTIQ orga</w:t>
            </w:r>
            <w:r w:rsidRPr="00D31A80">
              <w:rPr>
                <w:lang w:val="en-US" w:eastAsia="en-GB"/>
              </w:rPr>
              <w:lastRenderedPageBreak/>
              <w:t>nisation</w:t>
            </w:r>
          </w:p>
        </w:tc>
        <w:tc>
          <w:tcPr>
            <w:tcW w:w="1559" w:type="dxa"/>
            <w:noWrap/>
            <w:hideMark/>
          </w:tcPr>
          <w:p w14:paraId="3DD43D04" w14:textId="77777777" w:rsidR="009D0006" w:rsidRPr="00D31A80" w:rsidRDefault="009D0006" w:rsidP="009147A5">
            <w:pPr>
              <w:pStyle w:val="Tabletext"/>
              <w:rPr>
                <w:lang w:eastAsia="en-GB"/>
              </w:rPr>
            </w:pPr>
            <w:r w:rsidRPr="00D31A80">
              <w:rPr>
                <w:lang w:eastAsia="en-GB"/>
              </w:rPr>
              <w:t>16</w:t>
            </w:r>
          </w:p>
        </w:tc>
        <w:tc>
          <w:tcPr>
            <w:tcW w:w="1559" w:type="dxa"/>
            <w:noWrap/>
            <w:hideMark/>
          </w:tcPr>
          <w:p w14:paraId="123592C8" w14:textId="77777777" w:rsidR="009D0006" w:rsidRPr="00D31A80" w:rsidRDefault="009D0006" w:rsidP="009147A5">
            <w:pPr>
              <w:pStyle w:val="Tabletext"/>
              <w:rPr>
                <w:lang w:eastAsia="en-GB"/>
              </w:rPr>
            </w:pPr>
            <w:r w:rsidRPr="00D31A80">
              <w:rPr>
                <w:lang w:eastAsia="en-GB"/>
              </w:rPr>
              <w:t>1.2</w:t>
            </w:r>
          </w:p>
        </w:tc>
        <w:tc>
          <w:tcPr>
            <w:tcW w:w="1559" w:type="dxa"/>
            <w:noWrap/>
            <w:hideMark/>
          </w:tcPr>
          <w:p w14:paraId="2C4CAB58" w14:textId="77777777" w:rsidR="009D0006" w:rsidRPr="00D31A80" w:rsidRDefault="009D0006" w:rsidP="009147A5">
            <w:pPr>
              <w:pStyle w:val="Tabletext"/>
              <w:rPr>
                <w:lang w:eastAsia="en-GB"/>
              </w:rPr>
            </w:pPr>
            <w:r w:rsidRPr="00D31A80">
              <w:rPr>
                <w:lang w:eastAsia="en-GB"/>
              </w:rPr>
              <w:t>4.4</w:t>
            </w:r>
          </w:p>
        </w:tc>
      </w:tr>
      <w:tr w:rsidR="009D0006" w:rsidRPr="00D31A80" w14:paraId="4F4D3B45"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46491750" w14:textId="77777777" w:rsidR="009D0006" w:rsidRPr="00D31A80" w:rsidRDefault="009D0006" w:rsidP="009147A5">
            <w:pPr>
              <w:pStyle w:val="Tabletext"/>
              <w:rPr>
                <w:lang w:eastAsia="en-GB"/>
              </w:rPr>
            </w:pPr>
            <w:r w:rsidRPr="00D31A80">
              <w:rPr>
                <w:lang w:val="en-US" w:eastAsia="en-GB"/>
              </w:rPr>
              <w:t>Religious or spiritual community leader or elder</w:t>
            </w:r>
          </w:p>
        </w:tc>
        <w:tc>
          <w:tcPr>
            <w:tcW w:w="1559" w:type="dxa"/>
            <w:noWrap/>
            <w:hideMark/>
          </w:tcPr>
          <w:p w14:paraId="7D103D10" w14:textId="77777777" w:rsidR="009D0006" w:rsidRPr="00D31A80" w:rsidRDefault="009D0006" w:rsidP="009147A5">
            <w:pPr>
              <w:pStyle w:val="Tabletext"/>
              <w:rPr>
                <w:lang w:eastAsia="en-GB"/>
              </w:rPr>
            </w:pPr>
            <w:r w:rsidRPr="00D31A80">
              <w:rPr>
                <w:lang w:eastAsia="en-GB"/>
              </w:rPr>
              <w:t>9</w:t>
            </w:r>
          </w:p>
        </w:tc>
        <w:tc>
          <w:tcPr>
            <w:tcW w:w="1559" w:type="dxa"/>
            <w:noWrap/>
            <w:hideMark/>
          </w:tcPr>
          <w:p w14:paraId="73038951" w14:textId="77777777" w:rsidR="009D0006" w:rsidRPr="00D31A80" w:rsidRDefault="009D0006" w:rsidP="009147A5">
            <w:pPr>
              <w:pStyle w:val="Tabletext"/>
              <w:rPr>
                <w:lang w:eastAsia="en-GB"/>
              </w:rPr>
            </w:pPr>
            <w:r w:rsidRPr="00D31A80">
              <w:rPr>
                <w:lang w:eastAsia="en-GB"/>
              </w:rPr>
              <w:t>0.7</w:t>
            </w:r>
          </w:p>
        </w:tc>
        <w:tc>
          <w:tcPr>
            <w:tcW w:w="1559" w:type="dxa"/>
            <w:noWrap/>
            <w:hideMark/>
          </w:tcPr>
          <w:p w14:paraId="69B7E807" w14:textId="77777777" w:rsidR="009D0006" w:rsidRPr="00D31A80" w:rsidRDefault="009D0006" w:rsidP="009147A5">
            <w:pPr>
              <w:pStyle w:val="Tabletext"/>
              <w:rPr>
                <w:lang w:eastAsia="en-GB"/>
              </w:rPr>
            </w:pPr>
            <w:r w:rsidRPr="00D31A80">
              <w:rPr>
                <w:lang w:eastAsia="en-GB"/>
              </w:rPr>
              <w:t>1.9</w:t>
            </w:r>
          </w:p>
        </w:tc>
      </w:tr>
      <w:tr w:rsidR="009D0006" w:rsidRPr="00D31A80" w14:paraId="0330D1A5" w14:textId="77777777" w:rsidTr="009147A5">
        <w:trPr>
          <w:cnfStyle w:val="000000010000" w:firstRow="0" w:lastRow="0" w:firstColumn="0" w:lastColumn="0" w:oddVBand="0" w:evenVBand="0" w:oddHBand="0" w:evenHBand="1" w:firstRowFirstColumn="0" w:firstRowLastColumn="0" w:lastRowFirstColumn="0" w:lastRowLastColumn="0"/>
          <w:trHeight w:val="346"/>
        </w:trPr>
        <w:tc>
          <w:tcPr>
            <w:tcW w:w="5187" w:type="dxa"/>
            <w:noWrap/>
            <w:hideMark/>
          </w:tcPr>
          <w:p w14:paraId="60E7A107" w14:textId="77777777" w:rsidR="009D0006" w:rsidRPr="00D31A80" w:rsidRDefault="009D0006" w:rsidP="009147A5">
            <w:pPr>
              <w:pStyle w:val="Tabletext"/>
              <w:rPr>
                <w:lang w:eastAsia="en-GB"/>
              </w:rPr>
            </w:pPr>
            <w:r w:rsidRPr="00D31A80">
              <w:rPr>
                <w:lang w:val="en-US" w:eastAsia="en-GB"/>
              </w:rPr>
              <w:t>Other</w:t>
            </w:r>
          </w:p>
        </w:tc>
        <w:tc>
          <w:tcPr>
            <w:tcW w:w="1559" w:type="dxa"/>
            <w:noWrap/>
            <w:hideMark/>
          </w:tcPr>
          <w:p w14:paraId="31197704" w14:textId="77777777" w:rsidR="009D0006" w:rsidRPr="00D31A80" w:rsidRDefault="009D0006" w:rsidP="009147A5">
            <w:pPr>
              <w:pStyle w:val="Tabletext"/>
              <w:rPr>
                <w:lang w:eastAsia="en-GB"/>
              </w:rPr>
            </w:pPr>
            <w:r w:rsidRPr="00D31A80">
              <w:rPr>
                <w:lang w:eastAsia="en-GB"/>
              </w:rPr>
              <w:t>62</w:t>
            </w:r>
          </w:p>
        </w:tc>
        <w:tc>
          <w:tcPr>
            <w:tcW w:w="1559" w:type="dxa"/>
            <w:noWrap/>
            <w:hideMark/>
          </w:tcPr>
          <w:p w14:paraId="38F79664" w14:textId="77777777" w:rsidR="009D0006" w:rsidRPr="00D31A80" w:rsidRDefault="009D0006" w:rsidP="009147A5">
            <w:pPr>
              <w:pStyle w:val="Tabletext"/>
              <w:rPr>
                <w:lang w:eastAsia="en-GB"/>
              </w:rPr>
            </w:pPr>
            <w:r w:rsidRPr="00D31A80">
              <w:rPr>
                <w:lang w:eastAsia="en-GB"/>
              </w:rPr>
              <w:t>4.8</w:t>
            </w:r>
          </w:p>
        </w:tc>
        <w:tc>
          <w:tcPr>
            <w:tcW w:w="1559" w:type="dxa"/>
            <w:noWrap/>
            <w:hideMark/>
          </w:tcPr>
          <w:p w14:paraId="0D514E2D" w14:textId="77777777" w:rsidR="009D0006" w:rsidRPr="00D31A80" w:rsidRDefault="009D0006" w:rsidP="009147A5">
            <w:pPr>
              <w:pStyle w:val="Tabletext"/>
              <w:rPr>
                <w:lang w:eastAsia="en-GB"/>
              </w:rPr>
            </w:pPr>
            <w:r w:rsidRPr="00D31A80">
              <w:rPr>
                <w:lang w:eastAsia="en-GB"/>
              </w:rPr>
              <w:t>14.2</w:t>
            </w:r>
          </w:p>
        </w:tc>
      </w:tr>
      <w:tr w:rsidR="009D0006" w:rsidRPr="00D31A80" w14:paraId="4C93EFAB" w14:textId="77777777" w:rsidTr="009147A5">
        <w:trPr>
          <w:cnfStyle w:val="000000100000" w:firstRow="0" w:lastRow="0" w:firstColumn="0" w:lastColumn="0" w:oddVBand="0" w:evenVBand="0" w:oddHBand="1" w:evenHBand="0" w:firstRowFirstColumn="0" w:firstRowLastColumn="0" w:lastRowFirstColumn="0" w:lastRowLastColumn="0"/>
          <w:trHeight w:val="346"/>
        </w:trPr>
        <w:tc>
          <w:tcPr>
            <w:tcW w:w="5187" w:type="dxa"/>
            <w:noWrap/>
            <w:hideMark/>
          </w:tcPr>
          <w:p w14:paraId="02E74A63" w14:textId="77777777" w:rsidR="009D0006" w:rsidRPr="00D31A80" w:rsidRDefault="009D0006" w:rsidP="009147A5">
            <w:pPr>
              <w:pStyle w:val="Tabletext"/>
              <w:rPr>
                <w:b/>
                <w:bCs/>
                <w:lang w:eastAsia="en-GB"/>
              </w:rPr>
            </w:pPr>
            <w:r w:rsidRPr="00D31A80">
              <w:rPr>
                <w:b/>
                <w:bCs/>
                <w:lang w:val="en-US" w:eastAsia="en-GB"/>
              </w:rPr>
              <w:t>I did not report this abusive behaviour</w:t>
            </w:r>
          </w:p>
        </w:tc>
        <w:tc>
          <w:tcPr>
            <w:tcW w:w="1559" w:type="dxa"/>
            <w:noWrap/>
            <w:hideMark/>
          </w:tcPr>
          <w:p w14:paraId="7E1D6838" w14:textId="77777777" w:rsidR="009D0006" w:rsidRPr="00D31A80" w:rsidRDefault="009D0006" w:rsidP="009147A5">
            <w:pPr>
              <w:pStyle w:val="Tabletext"/>
              <w:rPr>
                <w:b/>
                <w:bCs/>
                <w:lang w:eastAsia="en-GB"/>
              </w:rPr>
            </w:pPr>
            <w:r w:rsidRPr="00D31A80">
              <w:rPr>
                <w:b/>
                <w:bCs/>
                <w:lang w:eastAsia="en-GB"/>
              </w:rPr>
              <w:t>880</w:t>
            </w:r>
          </w:p>
        </w:tc>
        <w:tc>
          <w:tcPr>
            <w:tcW w:w="1559" w:type="dxa"/>
            <w:noWrap/>
            <w:hideMark/>
          </w:tcPr>
          <w:p w14:paraId="49341C48" w14:textId="77777777" w:rsidR="009D0006" w:rsidRPr="00D31A80" w:rsidRDefault="009D0006" w:rsidP="009147A5">
            <w:pPr>
              <w:pStyle w:val="Tabletext"/>
              <w:rPr>
                <w:b/>
                <w:bCs/>
                <w:lang w:eastAsia="en-GB"/>
              </w:rPr>
            </w:pPr>
            <w:r w:rsidRPr="00D31A80">
              <w:rPr>
                <w:b/>
                <w:bCs/>
                <w:lang w:eastAsia="en-GB"/>
              </w:rPr>
              <w:t>68.3</w:t>
            </w:r>
          </w:p>
        </w:tc>
        <w:tc>
          <w:tcPr>
            <w:tcW w:w="1559" w:type="dxa"/>
            <w:noWrap/>
            <w:hideMark/>
          </w:tcPr>
          <w:p w14:paraId="6F2DD6BC" w14:textId="77777777" w:rsidR="009D0006" w:rsidRPr="00D31A80" w:rsidRDefault="009D0006" w:rsidP="009147A5">
            <w:pPr>
              <w:pStyle w:val="Tabletext"/>
              <w:rPr>
                <w:b/>
                <w:bCs/>
                <w:lang w:eastAsia="en-GB"/>
              </w:rPr>
            </w:pPr>
            <w:r>
              <w:rPr>
                <w:b/>
                <w:bCs/>
                <w:lang w:eastAsia="en-GB"/>
              </w:rPr>
              <w:t>-</w:t>
            </w:r>
            <w:r w:rsidRPr="00D31A80">
              <w:rPr>
                <w:b/>
                <w:bCs/>
                <w:lang w:eastAsia="en-GB"/>
              </w:rPr>
              <w:t> </w:t>
            </w:r>
          </w:p>
        </w:tc>
      </w:tr>
    </w:tbl>
    <w:p w14:paraId="5892B5D4" w14:textId="77777777" w:rsidR="009D0006" w:rsidRPr="00DD5850" w:rsidRDefault="009D0006" w:rsidP="00AB4A74">
      <w:pPr>
        <w:spacing w:before="360"/>
      </w:pPr>
      <w:r w:rsidRPr="00DD5850">
        <w:t>As displayed in Table</w:t>
      </w:r>
      <w:r>
        <w:t>s</w:t>
      </w:r>
      <w:r w:rsidRPr="00DD5850">
        <w:t xml:space="preserve"> </w:t>
      </w:r>
      <w:r>
        <w:t>92.1-92.2</w:t>
      </w:r>
      <w:r w:rsidRPr="00DD5850">
        <w:t>, regardless of cultural background, approximately two-thirds of participants with disability did not report their most recent experience of intimate partner or family violence (multicultural: 66.3%; n = 371; Anglo-Celtic: 68.3%; n = 880). Similar patterns of reporting intimate partner or family violence were found between participants from multicultural and Anglo-Celtic backgrounds, with the highest proportion of participants from both multicultural (24.8%; n = 139) and Anglo-Celtic (22.7%; n = 292) backgrounds reporting their most recent experience of violence to a counselling service or psychologist. A much smaller proportion of participants from both of these groups reported the violence to the police (multicultural: 7.5%; n = 42; Anglo-Celtic: 5.7%; n = 74), followed by a doctor or hospital (multicultural: 5.0%; n = 28; Anglo-Celtic: 4.7%; n = 61), a telephone helpline (multicultural: 3.2%; n = 18; Anglo-Celtic: 2.8%; n = 36), lawyer, legal service or court system (multicultural: 3.8%; n = 21; Anglo-Celtic: 2.8%; n = 36), domestic or family violence service  (multicultural: 3.9%; n = 22; Anglo-Celtic: 2.5%; n = 32), teacher or education institution (multicultural: 2.7%; n = 15; Anglo-Celtic: 1.6%; n = 20), employer (multicultural: 1.6%; n = 9; Anglo-Celtic: 1.4%; n = 18), sexual assault service  (multicultural: 2.1%; n = 12; Anglo-Celtic: 0.9%; n = 12), LGBTIQ organisation  (multicultural: 1.3%; n = 7; Anglo-Celtic: 1.2%; n = 16), and religious or spiritual community leader or elder (multicultural: 0.5%; n = 3; Anglo-Celtic: 0.7%; n = 9). Approximately 5% of participants from both groups reported somewhere else that was not listed (multicultural: 5.4%; n = 30; Anglo-Celtic: 4.8%; n = 62).</w:t>
      </w:r>
    </w:p>
    <w:p w14:paraId="0F566E18" w14:textId="77777777" w:rsidR="009D0006" w:rsidRPr="001A10D6" w:rsidRDefault="009D0006" w:rsidP="00AB4A74">
      <w:r w:rsidRPr="001A10D6">
        <w:t>Of the participants with disability who reported their most recent experience of intimate partner or family violence, regardless of cultural background, many did not report feeling supported when they reported. For both groups, the highest proportion of participants felt supported if they had reported to a counselling service or psychologist, this was marginally greater for participants from a multicultural background (77.6%) than for participants from an Anglo-Celtic background (74.8%). A slightly higher proportion of participant</w:t>
      </w:r>
      <w:r w:rsidRPr="001A10D6">
        <w:lastRenderedPageBreak/>
        <w:t>s from an Anglo-Celtic background (13.2%) than from a multicultural background (11.2%) felt supported by a doctor or hospital and by police (multicultural: 5.3%; Anglo-Celtic: 9.8%). Smaller proportions of participants from both multicultural and Anglo-Celtic backgrounds felt supported by a telephone helpline (multicultural: 5.3%; Anglo-Celtic: 6.9%), a lawyer, legal service or court system (multicultural: 5.9%; Anglo-Celtic: 6.3%), a domestic or family violence service (multicultural: 7.2%; Anglo-Celtic: 6.0%), teacher or education institution (multicultural: 5.3%; Anglo-Celtic: 2.8%), employer (multicultural: 4.0%; Anglo-Celtic: 4.1%), sexual assault service (multicultural: 5.9%; Anglo-Celtic: 3.5%), LGBTIQ organisation (multicultural: 2.0%; Anglo-Celtic: 4.4%), and religious or spiritual community leader or elder (multicultural: 1.3%; Anglo-Celtic: 1.9%). More than one-tenth of participants from both groups who reported somewhere else that was not listed indicated that they had felt supported (multicultural: 15.8%; Anglo-Celtic: 14.2%).</w:t>
      </w:r>
    </w:p>
    <w:p w14:paraId="55E4B968" w14:textId="48449F0C" w:rsidR="009D0006" w:rsidRPr="00C5739E" w:rsidRDefault="009D0006" w:rsidP="006346CA">
      <w:pPr>
        <w:pStyle w:val="Heading2Numbered"/>
      </w:pPr>
      <w:bookmarkStart w:id="804" w:name="_Toc115968628"/>
      <w:bookmarkStart w:id="805" w:name="_Toc119662464"/>
      <w:r w:rsidRPr="00C5739E">
        <w:t>Suicidal ideation and suicide attempts</w:t>
      </w:r>
      <w:bookmarkEnd w:id="804"/>
      <w:bookmarkEnd w:id="805"/>
    </w:p>
    <w:p w14:paraId="42A99C9A" w14:textId="0B967E08" w:rsidR="009D0006" w:rsidRDefault="009D0006" w:rsidP="006346CA">
      <w:pPr>
        <w:pStyle w:val="Heading3Numbered"/>
      </w:pPr>
      <w:bookmarkStart w:id="806" w:name="_Toc115968629"/>
      <w:r w:rsidRPr="00C5739E">
        <w:t>Suicidal ideation</w:t>
      </w:r>
      <w:r>
        <w:t xml:space="preserve"> </w:t>
      </w:r>
      <w:r w:rsidRPr="00C5739E">
        <w:t>– young people aged 14-</w:t>
      </w:r>
      <w:r>
        <w:t>21</w:t>
      </w:r>
      <w:r w:rsidRPr="00C5739E">
        <w:t xml:space="preserve"> years</w:t>
      </w:r>
      <w:bookmarkEnd w:id="806"/>
    </w:p>
    <w:p w14:paraId="7FE9A745" w14:textId="116091D3" w:rsidR="009D0006" w:rsidRDefault="009D0006" w:rsidP="009147A5">
      <w:pPr>
        <w:pStyle w:val="Tableheading"/>
      </w:pPr>
      <w:bookmarkStart w:id="807" w:name="_Toc117062810"/>
      <w:bookmarkStart w:id="808" w:name="_Toc119651495"/>
      <w:r w:rsidRPr="00DD7050">
        <w:t>Table</w:t>
      </w:r>
      <w:r>
        <w:t>s</w:t>
      </w:r>
      <w:r w:rsidRPr="00DD7050">
        <w:t xml:space="preserve"> </w:t>
      </w:r>
      <w:r>
        <w:rPr>
          <w:noProof/>
        </w:rPr>
        <w:fldChar w:fldCharType="begin"/>
      </w:r>
      <w:r>
        <w:rPr>
          <w:noProof/>
        </w:rPr>
        <w:instrText xml:space="preserve"> SEQ Table \* ARABIC </w:instrText>
      </w:r>
      <w:r>
        <w:rPr>
          <w:noProof/>
        </w:rPr>
        <w:fldChar w:fldCharType="separate"/>
      </w:r>
      <w:r>
        <w:rPr>
          <w:noProof/>
        </w:rPr>
        <w:t>93</w:t>
      </w:r>
      <w:r>
        <w:rPr>
          <w:noProof/>
        </w:rPr>
        <w:fldChar w:fldCharType="end"/>
      </w:r>
      <w:r>
        <w:rPr>
          <w:noProof/>
        </w:rPr>
        <w:t>.1-93.2</w:t>
      </w:r>
      <w:r>
        <w:t xml:space="preserve">: </w:t>
      </w:r>
      <w:r w:rsidRPr="00DD7050">
        <w:t xml:space="preserve">Suicidal ideation </w:t>
      </w:r>
      <w:r>
        <w:t xml:space="preserve">among young people with disability aged 14-21 years, grouped </w:t>
      </w:r>
      <w:r w:rsidRPr="00DD7050">
        <w:t xml:space="preserve">by </w:t>
      </w:r>
      <w:r>
        <w:t xml:space="preserve">cultural </w:t>
      </w:r>
      <w:r w:rsidRPr="00DD7050">
        <w:t>background (n = 2337)</w:t>
      </w:r>
      <w:bookmarkEnd w:id="807"/>
      <w:bookmarkEnd w:id="808"/>
    </w:p>
    <w:p w14:paraId="41C2EE6A" w14:textId="77777777" w:rsidR="009D0006" w:rsidRPr="00DD7050" w:rsidRDefault="009D0006" w:rsidP="009147A5">
      <w:pPr>
        <w:pStyle w:val="Tableheading"/>
      </w:pPr>
      <w:r>
        <w:t>Table 93.1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945AEB" w14:paraId="53B25B64" w14:textId="77777777" w:rsidTr="009147A5">
        <w:trPr>
          <w:cnfStyle w:val="100000000000" w:firstRow="1" w:lastRow="0" w:firstColumn="0" w:lastColumn="0" w:oddVBand="0" w:evenVBand="0" w:oddHBand="0" w:evenHBand="0" w:firstRowFirstColumn="0" w:firstRowLastColumn="0" w:lastRowFirstColumn="0" w:lastRowLastColumn="0"/>
          <w:trHeight w:val="348"/>
        </w:trPr>
        <w:tc>
          <w:tcPr>
            <w:tcW w:w="6746" w:type="dxa"/>
            <w:noWrap/>
            <w:hideMark/>
          </w:tcPr>
          <w:p w14:paraId="6E412528" w14:textId="77777777" w:rsidR="009D0006" w:rsidRPr="00EF597C" w:rsidRDefault="009D0006" w:rsidP="009147A5">
            <w:pPr>
              <w:pStyle w:val="Tableheader"/>
              <w:rPr>
                <w:bCs/>
              </w:rPr>
            </w:pPr>
            <w:r w:rsidRPr="00EF597C">
              <w:t>Suicidal ideation</w:t>
            </w:r>
          </w:p>
        </w:tc>
        <w:tc>
          <w:tcPr>
            <w:tcW w:w="1559" w:type="dxa"/>
            <w:noWrap/>
            <w:hideMark/>
          </w:tcPr>
          <w:p w14:paraId="543B68C4" w14:textId="77777777" w:rsidR="009D0006" w:rsidRPr="00945AEB" w:rsidRDefault="009D0006" w:rsidP="009147A5">
            <w:pPr>
              <w:pStyle w:val="Tableheader"/>
              <w:rPr>
                <w:bCs/>
              </w:rPr>
            </w:pPr>
            <w:r w:rsidRPr="00945AEB">
              <w:rPr>
                <w:bCs/>
              </w:rPr>
              <w:t>n</w:t>
            </w:r>
          </w:p>
        </w:tc>
        <w:tc>
          <w:tcPr>
            <w:tcW w:w="1559" w:type="dxa"/>
            <w:noWrap/>
            <w:hideMark/>
          </w:tcPr>
          <w:p w14:paraId="062EFD26" w14:textId="77777777" w:rsidR="009D0006" w:rsidRPr="00945AEB" w:rsidRDefault="009D0006" w:rsidP="009147A5">
            <w:pPr>
              <w:pStyle w:val="Tableheader"/>
              <w:rPr>
                <w:bCs/>
              </w:rPr>
            </w:pPr>
            <w:r w:rsidRPr="00945AEB">
              <w:rPr>
                <w:bCs/>
              </w:rPr>
              <w:t>%</w:t>
            </w:r>
          </w:p>
        </w:tc>
      </w:tr>
      <w:tr w:rsidR="009D0006" w:rsidRPr="00EF597C" w14:paraId="6758690D" w14:textId="77777777" w:rsidTr="009147A5">
        <w:trPr>
          <w:cnfStyle w:val="000000100000" w:firstRow="0" w:lastRow="0" w:firstColumn="0" w:lastColumn="0" w:oddVBand="0" w:evenVBand="0" w:oddHBand="1" w:evenHBand="0" w:firstRowFirstColumn="0" w:firstRowLastColumn="0" w:lastRowFirstColumn="0" w:lastRowLastColumn="0"/>
          <w:trHeight w:val="348"/>
        </w:trPr>
        <w:tc>
          <w:tcPr>
            <w:tcW w:w="6746" w:type="dxa"/>
            <w:noWrap/>
          </w:tcPr>
          <w:p w14:paraId="7C68FB31" w14:textId="77777777" w:rsidR="009D0006" w:rsidRPr="00EF597C" w:rsidRDefault="009D0006" w:rsidP="009147A5">
            <w:pPr>
              <w:pStyle w:val="Tabletext"/>
            </w:pPr>
            <w:r w:rsidRPr="00EF597C">
              <w:t>Past 12 months</w:t>
            </w:r>
          </w:p>
        </w:tc>
        <w:tc>
          <w:tcPr>
            <w:tcW w:w="1559" w:type="dxa"/>
            <w:noWrap/>
          </w:tcPr>
          <w:p w14:paraId="62798E45" w14:textId="77777777" w:rsidR="009D0006" w:rsidRPr="00EF597C" w:rsidRDefault="009D0006" w:rsidP="009147A5">
            <w:pPr>
              <w:pStyle w:val="Tabletext"/>
            </w:pPr>
            <w:r w:rsidRPr="00EF597C">
              <w:t>877</w:t>
            </w:r>
          </w:p>
        </w:tc>
        <w:tc>
          <w:tcPr>
            <w:tcW w:w="1559" w:type="dxa"/>
            <w:noWrap/>
          </w:tcPr>
          <w:p w14:paraId="6C53D67D" w14:textId="77777777" w:rsidR="009D0006" w:rsidRPr="00EF597C" w:rsidRDefault="009D0006" w:rsidP="009147A5">
            <w:pPr>
              <w:pStyle w:val="Tabletext"/>
            </w:pPr>
            <w:r w:rsidRPr="00EF597C">
              <w:t>71.4</w:t>
            </w:r>
          </w:p>
        </w:tc>
      </w:tr>
      <w:tr w:rsidR="009D0006" w:rsidRPr="00EF597C" w14:paraId="205C76BC" w14:textId="77777777" w:rsidTr="009147A5">
        <w:trPr>
          <w:cnfStyle w:val="000000010000" w:firstRow="0" w:lastRow="0" w:firstColumn="0" w:lastColumn="0" w:oddVBand="0" w:evenVBand="0" w:oddHBand="0" w:evenHBand="1" w:firstRowFirstColumn="0" w:firstRowLastColumn="0" w:lastRowFirstColumn="0" w:lastRowLastColumn="0"/>
          <w:trHeight w:val="348"/>
        </w:trPr>
        <w:tc>
          <w:tcPr>
            <w:tcW w:w="6746" w:type="dxa"/>
            <w:noWrap/>
          </w:tcPr>
          <w:p w14:paraId="45C30A70" w14:textId="77777777" w:rsidR="009D0006" w:rsidRPr="00EF597C" w:rsidRDefault="009D0006" w:rsidP="009147A5">
            <w:pPr>
              <w:pStyle w:val="Tabletext"/>
            </w:pPr>
            <w:r w:rsidRPr="00EF597C">
              <w:t>Ever</w:t>
            </w:r>
          </w:p>
        </w:tc>
        <w:tc>
          <w:tcPr>
            <w:tcW w:w="1559" w:type="dxa"/>
            <w:noWrap/>
          </w:tcPr>
          <w:p w14:paraId="6674480C" w14:textId="77777777" w:rsidR="009D0006" w:rsidRPr="00EF597C" w:rsidRDefault="009D0006" w:rsidP="009147A5">
            <w:pPr>
              <w:pStyle w:val="Tabletext"/>
            </w:pPr>
            <w:r w:rsidRPr="00EF597C">
              <w:t>1111</w:t>
            </w:r>
          </w:p>
        </w:tc>
        <w:tc>
          <w:tcPr>
            <w:tcW w:w="1559" w:type="dxa"/>
            <w:noWrap/>
          </w:tcPr>
          <w:p w14:paraId="15FCDAA4" w14:textId="77777777" w:rsidR="009D0006" w:rsidRPr="00EF597C" w:rsidRDefault="009D0006" w:rsidP="009147A5">
            <w:pPr>
              <w:pStyle w:val="Tabletext"/>
            </w:pPr>
            <w:r w:rsidRPr="00EF597C">
              <w:t>90.5</w:t>
            </w:r>
          </w:p>
        </w:tc>
      </w:tr>
    </w:tbl>
    <w:p w14:paraId="1643C3C5" w14:textId="77777777" w:rsidR="009D0006" w:rsidRDefault="009D0006" w:rsidP="009147A5">
      <w:pPr>
        <w:pStyle w:val="Tableheading"/>
        <w:rPr>
          <w:lang w:val="en-GB"/>
        </w:rPr>
      </w:pPr>
      <w:r>
        <w:rPr>
          <w:lang w:val="en-GB"/>
        </w:rPr>
        <w:t>Table 93.2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4D0034DE" w14:textId="77777777" w:rsidTr="009147A5">
        <w:trPr>
          <w:cnfStyle w:val="100000000000" w:firstRow="1" w:lastRow="0" w:firstColumn="0" w:lastColumn="0" w:oddVBand="0" w:evenVBand="0" w:oddHBand="0" w:evenHBand="0" w:firstRowFirstColumn="0" w:firstRowLastColumn="0" w:lastRowFirstColumn="0" w:lastRowLastColumn="0"/>
          <w:trHeight w:val="314"/>
        </w:trPr>
        <w:tc>
          <w:tcPr>
            <w:tcW w:w="6746" w:type="dxa"/>
            <w:noWrap/>
            <w:hideMark/>
          </w:tcPr>
          <w:p w14:paraId="40BA1C41" w14:textId="77777777" w:rsidR="009D0006" w:rsidRPr="00EF597C" w:rsidRDefault="009D0006" w:rsidP="009147A5">
            <w:pPr>
              <w:pStyle w:val="Tableheader"/>
              <w:rPr>
                <w:bCs/>
              </w:rPr>
            </w:pPr>
            <w:r w:rsidRPr="00EF597C">
              <w:t>Suicidal ideation</w:t>
            </w:r>
          </w:p>
        </w:tc>
        <w:tc>
          <w:tcPr>
            <w:tcW w:w="1559" w:type="dxa"/>
            <w:noWrap/>
            <w:hideMark/>
          </w:tcPr>
          <w:p w14:paraId="3EDAD297" w14:textId="77777777" w:rsidR="009D0006" w:rsidRPr="00945AEB" w:rsidRDefault="009D0006" w:rsidP="009147A5">
            <w:pPr>
              <w:pStyle w:val="Tableheader"/>
              <w:rPr>
                <w:bCs/>
              </w:rPr>
            </w:pPr>
            <w:r w:rsidRPr="00945AEB">
              <w:rPr>
                <w:bCs/>
              </w:rPr>
              <w:t>n</w:t>
            </w:r>
          </w:p>
        </w:tc>
        <w:tc>
          <w:tcPr>
            <w:tcW w:w="1559" w:type="dxa"/>
            <w:noWrap/>
            <w:hideMark/>
          </w:tcPr>
          <w:p w14:paraId="6BCDB0B0" w14:textId="77777777" w:rsidR="009D0006" w:rsidRPr="00945AEB" w:rsidRDefault="009D0006" w:rsidP="009147A5">
            <w:pPr>
              <w:pStyle w:val="Tableheader"/>
              <w:rPr>
                <w:bCs/>
              </w:rPr>
            </w:pPr>
            <w:r w:rsidRPr="00945AEB">
              <w:rPr>
                <w:bCs/>
              </w:rPr>
              <w:t>%</w:t>
            </w:r>
          </w:p>
        </w:tc>
      </w:tr>
      <w:tr w:rsidR="009D0006" w:rsidRPr="00EF597C" w14:paraId="2AEE4DFA" w14:textId="77777777" w:rsidTr="009147A5">
        <w:trPr>
          <w:cnfStyle w:val="000000100000" w:firstRow="0" w:lastRow="0" w:firstColumn="0" w:lastColumn="0" w:oddVBand="0" w:evenVBand="0" w:oddHBand="1" w:evenHBand="0" w:firstRowFirstColumn="0" w:firstRowLastColumn="0" w:lastRowFirstColumn="0" w:lastRowLastColumn="0"/>
          <w:trHeight w:val="314"/>
        </w:trPr>
        <w:tc>
          <w:tcPr>
            <w:tcW w:w="6746" w:type="dxa"/>
            <w:noWrap/>
          </w:tcPr>
          <w:p w14:paraId="1BF8F5E7" w14:textId="77777777" w:rsidR="009D0006" w:rsidRPr="00EF597C" w:rsidRDefault="009D0006" w:rsidP="009147A5">
            <w:pPr>
              <w:pStyle w:val="Tabletext"/>
            </w:pPr>
            <w:r w:rsidRPr="00EF597C">
              <w:t>Past 12 months</w:t>
            </w:r>
          </w:p>
        </w:tc>
        <w:tc>
          <w:tcPr>
            <w:tcW w:w="1559" w:type="dxa"/>
            <w:noWrap/>
          </w:tcPr>
          <w:p w14:paraId="38FE5CCF" w14:textId="77777777" w:rsidR="009D0006" w:rsidRPr="00EF597C" w:rsidRDefault="009D0006" w:rsidP="009147A5">
            <w:pPr>
              <w:pStyle w:val="Tabletext"/>
            </w:pPr>
            <w:r w:rsidRPr="00EF597C">
              <w:t>762</w:t>
            </w:r>
          </w:p>
        </w:tc>
        <w:tc>
          <w:tcPr>
            <w:tcW w:w="1559" w:type="dxa"/>
            <w:noWrap/>
          </w:tcPr>
          <w:p w14:paraId="113B4C64" w14:textId="77777777" w:rsidR="009D0006" w:rsidRPr="00EF597C" w:rsidRDefault="009D0006" w:rsidP="009147A5">
            <w:pPr>
              <w:pStyle w:val="Tabletext"/>
            </w:pPr>
            <w:r w:rsidRPr="00EF597C">
              <w:t>68.7</w:t>
            </w:r>
          </w:p>
        </w:tc>
      </w:tr>
      <w:tr w:rsidR="009D0006" w:rsidRPr="00EF597C" w14:paraId="7E587993" w14:textId="77777777" w:rsidTr="009147A5">
        <w:trPr>
          <w:cnfStyle w:val="000000010000" w:firstRow="0" w:lastRow="0" w:firstColumn="0" w:lastColumn="0" w:oddVBand="0" w:evenVBand="0" w:oddHBand="0" w:evenHBand="1" w:firstRowFirstColumn="0" w:firstRowLastColumn="0" w:lastRowFirstColumn="0" w:lastRowLastColumn="0"/>
          <w:trHeight w:val="314"/>
        </w:trPr>
        <w:tc>
          <w:tcPr>
            <w:tcW w:w="6746" w:type="dxa"/>
            <w:noWrap/>
          </w:tcPr>
          <w:p w14:paraId="13324BC3" w14:textId="77777777" w:rsidR="009D0006" w:rsidRPr="00EF597C" w:rsidRDefault="009D0006" w:rsidP="009147A5">
            <w:pPr>
              <w:pStyle w:val="Tabletext"/>
            </w:pPr>
            <w:r w:rsidRPr="00EF597C">
              <w:t>Ever</w:t>
            </w:r>
          </w:p>
        </w:tc>
        <w:tc>
          <w:tcPr>
            <w:tcW w:w="1559" w:type="dxa"/>
            <w:noWrap/>
          </w:tcPr>
          <w:p w14:paraId="0B912673" w14:textId="77777777" w:rsidR="009D0006" w:rsidRPr="00EF597C" w:rsidRDefault="009D0006" w:rsidP="009147A5">
            <w:pPr>
              <w:pStyle w:val="Tabletext"/>
            </w:pPr>
            <w:r w:rsidRPr="00EF597C">
              <w:t>976</w:t>
            </w:r>
          </w:p>
        </w:tc>
        <w:tc>
          <w:tcPr>
            <w:tcW w:w="1559" w:type="dxa"/>
            <w:noWrap/>
          </w:tcPr>
          <w:p w14:paraId="5A7CBC81" w14:textId="77777777" w:rsidR="009D0006" w:rsidRPr="00EF597C" w:rsidRDefault="009D0006" w:rsidP="009147A5">
            <w:pPr>
              <w:pStyle w:val="Tabletext"/>
            </w:pPr>
            <w:r w:rsidRPr="00EF597C">
              <w:t>88.0</w:t>
            </w:r>
          </w:p>
        </w:tc>
      </w:tr>
    </w:tbl>
    <w:p w14:paraId="233CFF01" w14:textId="77777777" w:rsidR="009D0006" w:rsidRDefault="009D0006" w:rsidP="00AB4A74">
      <w:pPr>
        <w:spacing w:before="360"/>
        <w:rPr>
          <w:lang w:val="en-GB"/>
        </w:rPr>
      </w:pPr>
      <w:r>
        <w:t xml:space="preserve">As displayed in Tables 93.1-93.2, participants with disability in </w:t>
      </w:r>
      <w:r>
        <w:rPr>
          <w:i/>
          <w:iCs/>
        </w:rPr>
        <w:t xml:space="preserve">Writing Themselves In 4 </w:t>
      </w:r>
      <w:r w:rsidRPr="00EE5CD9">
        <w:t xml:space="preserve">and </w:t>
      </w:r>
      <w:r>
        <w:t>from multicultural backgrounds experienced high rates of suicidal ideation both in the past 12 months (71.4%; n = 877) and ever in their lifetime (90.5%; n = 1111). This was slightly higher than experiences of suicidal ideation among participants from an Anglo-Celtic back</w:t>
      </w:r>
      <w:r>
        <w:lastRenderedPageBreak/>
        <w:t>ground in the past 12 months (68.7%; n = 762) and ever in their lifetime (88.0%; n = 976).</w:t>
      </w:r>
    </w:p>
    <w:p w14:paraId="760F93EA" w14:textId="276DB740" w:rsidR="009D0006" w:rsidRPr="00C5739E" w:rsidRDefault="009D0006" w:rsidP="00650B64">
      <w:pPr>
        <w:pStyle w:val="Heading3Numbered"/>
        <w:spacing w:before="240"/>
      </w:pPr>
      <w:bookmarkStart w:id="809" w:name="_Toc115968630"/>
      <w:r w:rsidRPr="00C5739E">
        <w:t>Suicidal ideation</w:t>
      </w:r>
      <w:r>
        <w:t xml:space="preserve"> </w:t>
      </w:r>
      <w:r w:rsidRPr="00C5739E">
        <w:t>– adults aged 18+ years</w:t>
      </w:r>
      <w:bookmarkEnd w:id="809"/>
    </w:p>
    <w:p w14:paraId="4EAA6DF2" w14:textId="008FF334" w:rsidR="009D0006" w:rsidRPr="00AB4A74" w:rsidRDefault="009D0006" w:rsidP="00AB4A74">
      <w:pPr>
        <w:pStyle w:val="Tableheading"/>
      </w:pPr>
      <w:bookmarkStart w:id="810" w:name="_Toc117062811"/>
      <w:bookmarkStart w:id="811" w:name="_Toc119651496"/>
      <w:r w:rsidRPr="00AB4A74">
        <w:t xml:space="preserve">Tables </w:t>
      </w:r>
      <w:r w:rsidR="00C9023A">
        <w:fldChar w:fldCharType="begin"/>
      </w:r>
      <w:r w:rsidR="00C9023A">
        <w:instrText xml:space="preserve"> SEQ Table \* ARABIC </w:instrText>
      </w:r>
      <w:r w:rsidR="00C9023A">
        <w:fldChar w:fldCharType="separate"/>
      </w:r>
      <w:r w:rsidRPr="00AB4A74">
        <w:t>94</w:t>
      </w:r>
      <w:r w:rsidR="00C9023A">
        <w:fldChar w:fldCharType="end"/>
      </w:r>
      <w:r w:rsidRPr="00AB4A74">
        <w:t>.1-94.2: Suicidal ideation among adults with disability aged 18+ years, grouped by cultural background (n = 2268)</w:t>
      </w:r>
      <w:bookmarkEnd w:id="810"/>
      <w:bookmarkEnd w:id="811"/>
    </w:p>
    <w:p w14:paraId="7B48B327" w14:textId="77777777" w:rsidR="009D0006" w:rsidRDefault="009D0006" w:rsidP="009147A5">
      <w:pPr>
        <w:pStyle w:val="Tableheading"/>
      </w:pPr>
      <w:r>
        <w:t>Table 94.1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773D9B55" w14:textId="77777777" w:rsidTr="009147A5">
        <w:trPr>
          <w:cnfStyle w:val="100000000000" w:firstRow="1" w:lastRow="0" w:firstColumn="0" w:lastColumn="0" w:oddVBand="0" w:evenVBand="0" w:oddHBand="0" w:evenHBand="0" w:firstRowFirstColumn="0" w:firstRowLastColumn="0" w:lastRowFirstColumn="0" w:lastRowLastColumn="0"/>
          <w:trHeight w:val="302"/>
        </w:trPr>
        <w:tc>
          <w:tcPr>
            <w:tcW w:w="6746" w:type="dxa"/>
            <w:noWrap/>
            <w:hideMark/>
          </w:tcPr>
          <w:p w14:paraId="2F0DE1FE" w14:textId="77777777" w:rsidR="009D0006" w:rsidRPr="00EF597C" w:rsidRDefault="009D0006" w:rsidP="009147A5">
            <w:pPr>
              <w:pStyle w:val="Tableheader"/>
              <w:rPr>
                <w:bCs/>
              </w:rPr>
            </w:pPr>
            <w:r w:rsidRPr="00EF597C">
              <w:t>Suicidal ideation</w:t>
            </w:r>
          </w:p>
        </w:tc>
        <w:tc>
          <w:tcPr>
            <w:tcW w:w="1559" w:type="dxa"/>
            <w:noWrap/>
            <w:hideMark/>
          </w:tcPr>
          <w:p w14:paraId="42A3ACCF" w14:textId="77777777" w:rsidR="009D0006" w:rsidRPr="00945AEB" w:rsidRDefault="009D0006" w:rsidP="009147A5">
            <w:pPr>
              <w:pStyle w:val="Tableheader"/>
              <w:rPr>
                <w:bCs/>
              </w:rPr>
            </w:pPr>
            <w:r w:rsidRPr="00945AEB">
              <w:rPr>
                <w:bCs/>
              </w:rPr>
              <w:t>n</w:t>
            </w:r>
          </w:p>
        </w:tc>
        <w:tc>
          <w:tcPr>
            <w:tcW w:w="1559" w:type="dxa"/>
            <w:noWrap/>
            <w:hideMark/>
          </w:tcPr>
          <w:p w14:paraId="1C294B61" w14:textId="77777777" w:rsidR="009D0006" w:rsidRPr="00945AEB" w:rsidRDefault="009D0006" w:rsidP="009147A5">
            <w:pPr>
              <w:pStyle w:val="Tableheader"/>
              <w:rPr>
                <w:bCs/>
              </w:rPr>
            </w:pPr>
            <w:r w:rsidRPr="00945AEB">
              <w:rPr>
                <w:bCs/>
              </w:rPr>
              <w:t>%</w:t>
            </w:r>
          </w:p>
        </w:tc>
      </w:tr>
      <w:tr w:rsidR="009D0006" w:rsidRPr="00EF597C" w14:paraId="1DCFF5D2" w14:textId="77777777" w:rsidTr="009147A5">
        <w:trPr>
          <w:cnfStyle w:val="000000100000" w:firstRow="0" w:lastRow="0" w:firstColumn="0" w:lastColumn="0" w:oddVBand="0" w:evenVBand="0" w:oddHBand="1" w:evenHBand="0" w:firstRowFirstColumn="0" w:firstRowLastColumn="0" w:lastRowFirstColumn="0" w:lastRowLastColumn="0"/>
          <w:trHeight w:val="251"/>
        </w:trPr>
        <w:tc>
          <w:tcPr>
            <w:tcW w:w="6746" w:type="dxa"/>
            <w:noWrap/>
          </w:tcPr>
          <w:p w14:paraId="117CF694" w14:textId="77777777" w:rsidR="009D0006" w:rsidRPr="00EF597C" w:rsidRDefault="009D0006" w:rsidP="009147A5">
            <w:pPr>
              <w:pStyle w:val="Tabletext"/>
            </w:pPr>
            <w:r w:rsidRPr="00EF597C">
              <w:t>Past 12 months</w:t>
            </w:r>
          </w:p>
        </w:tc>
        <w:tc>
          <w:tcPr>
            <w:tcW w:w="1559" w:type="dxa"/>
            <w:noWrap/>
          </w:tcPr>
          <w:p w14:paraId="020C586C" w14:textId="77777777" w:rsidR="009D0006" w:rsidRPr="00EF597C" w:rsidRDefault="009D0006" w:rsidP="009147A5">
            <w:pPr>
              <w:pStyle w:val="Tabletext"/>
            </w:pPr>
            <w:r>
              <w:t>411</w:t>
            </w:r>
          </w:p>
        </w:tc>
        <w:tc>
          <w:tcPr>
            <w:tcW w:w="1559" w:type="dxa"/>
            <w:noWrap/>
          </w:tcPr>
          <w:p w14:paraId="2EA8D3BE" w14:textId="77777777" w:rsidR="009D0006" w:rsidRPr="00EF597C" w:rsidRDefault="009D0006" w:rsidP="009147A5">
            <w:pPr>
              <w:pStyle w:val="Tabletext"/>
            </w:pPr>
            <w:r>
              <w:t>62.2</w:t>
            </w:r>
          </w:p>
        </w:tc>
      </w:tr>
      <w:tr w:rsidR="009D0006" w:rsidRPr="00EF597C" w14:paraId="155DF773" w14:textId="77777777" w:rsidTr="009147A5">
        <w:trPr>
          <w:cnfStyle w:val="000000010000" w:firstRow="0" w:lastRow="0" w:firstColumn="0" w:lastColumn="0" w:oddVBand="0" w:evenVBand="0" w:oddHBand="0" w:evenHBand="1" w:firstRowFirstColumn="0" w:firstRowLastColumn="0" w:lastRowFirstColumn="0" w:lastRowLastColumn="0"/>
          <w:trHeight w:val="274"/>
        </w:trPr>
        <w:tc>
          <w:tcPr>
            <w:tcW w:w="6746" w:type="dxa"/>
            <w:noWrap/>
          </w:tcPr>
          <w:p w14:paraId="4E1642F1" w14:textId="77777777" w:rsidR="009D0006" w:rsidRPr="00EF597C" w:rsidRDefault="009D0006" w:rsidP="009147A5">
            <w:pPr>
              <w:pStyle w:val="Tabletext"/>
            </w:pPr>
            <w:r w:rsidRPr="00EF597C">
              <w:t>Ever</w:t>
            </w:r>
          </w:p>
        </w:tc>
        <w:tc>
          <w:tcPr>
            <w:tcW w:w="1559" w:type="dxa"/>
            <w:noWrap/>
          </w:tcPr>
          <w:p w14:paraId="47130698" w14:textId="77777777" w:rsidR="009D0006" w:rsidRPr="00EF597C" w:rsidRDefault="009D0006" w:rsidP="009147A5">
            <w:pPr>
              <w:pStyle w:val="Tabletext"/>
            </w:pPr>
            <w:r>
              <w:t>594</w:t>
            </w:r>
          </w:p>
        </w:tc>
        <w:tc>
          <w:tcPr>
            <w:tcW w:w="1559" w:type="dxa"/>
            <w:noWrap/>
          </w:tcPr>
          <w:p w14:paraId="3FF0D667" w14:textId="77777777" w:rsidR="009D0006" w:rsidRPr="00EF597C" w:rsidRDefault="009D0006" w:rsidP="009147A5">
            <w:pPr>
              <w:pStyle w:val="Tabletext"/>
            </w:pPr>
            <w:r>
              <w:t>89.9</w:t>
            </w:r>
          </w:p>
        </w:tc>
      </w:tr>
    </w:tbl>
    <w:p w14:paraId="50EABBEF" w14:textId="77777777" w:rsidR="009D0006" w:rsidRDefault="009D0006" w:rsidP="009147A5">
      <w:pPr>
        <w:pStyle w:val="Tableheading"/>
        <w:rPr>
          <w:lang w:bidi="en-US"/>
        </w:rPr>
      </w:pPr>
      <w:r>
        <w:rPr>
          <w:lang w:bidi="en-US"/>
        </w:rPr>
        <w:t>Table 94.2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374FFFD9" w14:textId="77777777" w:rsidTr="009147A5">
        <w:trPr>
          <w:cnfStyle w:val="100000000000" w:firstRow="1" w:lastRow="0" w:firstColumn="0" w:lastColumn="0" w:oddVBand="0" w:evenVBand="0" w:oddHBand="0" w:evenHBand="0" w:firstRowFirstColumn="0" w:firstRowLastColumn="0" w:lastRowFirstColumn="0" w:lastRowLastColumn="0"/>
          <w:trHeight w:val="303"/>
        </w:trPr>
        <w:tc>
          <w:tcPr>
            <w:tcW w:w="6746" w:type="dxa"/>
            <w:noWrap/>
            <w:hideMark/>
          </w:tcPr>
          <w:p w14:paraId="5838B2C3" w14:textId="77777777" w:rsidR="009D0006" w:rsidRPr="00EF597C" w:rsidRDefault="009D0006" w:rsidP="009147A5">
            <w:pPr>
              <w:pStyle w:val="Tableheader"/>
              <w:rPr>
                <w:bCs/>
              </w:rPr>
            </w:pPr>
            <w:r w:rsidRPr="00EF597C">
              <w:t>Suicidal ideation</w:t>
            </w:r>
          </w:p>
        </w:tc>
        <w:tc>
          <w:tcPr>
            <w:tcW w:w="1559" w:type="dxa"/>
            <w:noWrap/>
            <w:hideMark/>
          </w:tcPr>
          <w:p w14:paraId="122ED51C" w14:textId="77777777" w:rsidR="009D0006" w:rsidRPr="00394229" w:rsidRDefault="009D0006" w:rsidP="009147A5">
            <w:pPr>
              <w:pStyle w:val="Tableheader"/>
              <w:rPr>
                <w:bCs/>
              </w:rPr>
            </w:pPr>
            <w:r w:rsidRPr="00394229">
              <w:rPr>
                <w:bCs/>
              </w:rPr>
              <w:t>n</w:t>
            </w:r>
          </w:p>
        </w:tc>
        <w:tc>
          <w:tcPr>
            <w:tcW w:w="1559" w:type="dxa"/>
            <w:noWrap/>
            <w:hideMark/>
          </w:tcPr>
          <w:p w14:paraId="29B246B9" w14:textId="77777777" w:rsidR="009D0006" w:rsidRPr="00394229" w:rsidRDefault="009D0006" w:rsidP="009147A5">
            <w:pPr>
              <w:pStyle w:val="Tableheader"/>
              <w:rPr>
                <w:bCs/>
              </w:rPr>
            </w:pPr>
            <w:r w:rsidRPr="00394229">
              <w:rPr>
                <w:bCs/>
              </w:rPr>
              <w:t>%</w:t>
            </w:r>
          </w:p>
        </w:tc>
      </w:tr>
      <w:tr w:rsidR="009D0006" w:rsidRPr="00EF597C" w14:paraId="56838797" w14:textId="77777777" w:rsidTr="009147A5">
        <w:trPr>
          <w:cnfStyle w:val="000000100000" w:firstRow="0" w:lastRow="0" w:firstColumn="0" w:lastColumn="0" w:oddVBand="0" w:evenVBand="0" w:oddHBand="1" w:evenHBand="0" w:firstRowFirstColumn="0" w:firstRowLastColumn="0" w:lastRowFirstColumn="0" w:lastRowLastColumn="0"/>
          <w:trHeight w:val="264"/>
        </w:trPr>
        <w:tc>
          <w:tcPr>
            <w:tcW w:w="6746" w:type="dxa"/>
            <w:noWrap/>
          </w:tcPr>
          <w:p w14:paraId="1316FD1A" w14:textId="77777777" w:rsidR="009D0006" w:rsidRPr="00EF597C" w:rsidRDefault="009D0006" w:rsidP="009147A5">
            <w:pPr>
              <w:pStyle w:val="Tabletext"/>
            </w:pPr>
            <w:r w:rsidRPr="00EF597C">
              <w:t>Past 12 months</w:t>
            </w:r>
          </w:p>
        </w:tc>
        <w:tc>
          <w:tcPr>
            <w:tcW w:w="1559" w:type="dxa"/>
            <w:noWrap/>
          </w:tcPr>
          <w:p w14:paraId="73F89D0B" w14:textId="77777777" w:rsidR="009D0006" w:rsidRPr="00EF597C" w:rsidRDefault="009D0006" w:rsidP="009147A5">
            <w:pPr>
              <w:pStyle w:val="Tabletext"/>
            </w:pPr>
            <w:r>
              <w:t>948</w:t>
            </w:r>
          </w:p>
        </w:tc>
        <w:tc>
          <w:tcPr>
            <w:tcW w:w="1559" w:type="dxa"/>
            <w:noWrap/>
          </w:tcPr>
          <w:p w14:paraId="23AD9D98" w14:textId="77777777" w:rsidR="009D0006" w:rsidRPr="00EF597C" w:rsidRDefault="009D0006" w:rsidP="009147A5">
            <w:pPr>
              <w:pStyle w:val="Tabletext"/>
            </w:pPr>
            <w:r>
              <w:t>59.0</w:t>
            </w:r>
          </w:p>
        </w:tc>
      </w:tr>
      <w:tr w:rsidR="009D0006" w:rsidRPr="00EF597C" w14:paraId="039B3036" w14:textId="77777777" w:rsidTr="009147A5">
        <w:trPr>
          <w:cnfStyle w:val="000000010000" w:firstRow="0" w:lastRow="0" w:firstColumn="0" w:lastColumn="0" w:oddVBand="0" w:evenVBand="0" w:oddHBand="0" w:evenHBand="1" w:firstRowFirstColumn="0" w:firstRowLastColumn="0" w:lastRowFirstColumn="0" w:lastRowLastColumn="0"/>
          <w:trHeight w:val="261"/>
        </w:trPr>
        <w:tc>
          <w:tcPr>
            <w:tcW w:w="6746" w:type="dxa"/>
            <w:noWrap/>
          </w:tcPr>
          <w:p w14:paraId="0EF58E9D" w14:textId="77777777" w:rsidR="009D0006" w:rsidRPr="00EF597C" w:rsidRDefault="009D0006" w:rsidP="009147A5">
            <w:pPr>
              <w:pStyle w:val="Tabletext"/>
            </w:pPr>
            <w:r w:rsidRPr="00EF597C">
              <w:t>Ever</w:t>
            </w:r>
          </w:p>
        </w:tc>
        <w:tc>
          <w:tcPr>
            <w:tcW w:w="1559" w:type="dxa"/>
            <w:noWrap/>
          </w:tcPr>
          <w:p w14:paraId="7D6CDFF1" w14:textId="77777777" w:rsidR="009D0006" w:rsidRPr="00EF597C" w:rsidRDefault="009D0006" w:rsidP="009147A5">
            <w:pPr>
              <w:pStyle w:val="Tabletext"/>
            </w:pPr>
            <w:r>
              <w:t>1408</w:t>
            </w:r>
          </w:p>
        </w:tc>
        <w:tc>
          <w:tcPr>
            <w:tcW w:w="1559" w:type="dxa"/>
            <w:noWrap/>
          </w:tcPr>
          <w:p w14:paraId="54D8289F" w14:textId="77777777" w:rsidR="009D0006" w:rsidRPr="00EF597C" w:rsidRDefault="009D0006" w:rsidP="009147A5">
            <w:pPr>
              <w:pStyle w:val="Tabletext"/>
            </w:pPr>
            <w:r>
              <w:t>87.6</w:t>
            </w:r>
          </w:p>
        </w:tc>
      </w:tr>
    </w:tbl>
    <w:p w14:paraId="73952FED" w14:textId="77777777" w:rsidR="009D0006" w:rsidRPr="00DD5850" w:rsidRDefault="009D0006" w:rsidP="00650B64">
      <w:pPr>
        <w:spacing w:before="240"/>
      </w:pPr>
      <w:r w:rsidRPr="00C5739E">
        <w:t>Participants</w:t>
      </w:r>
      <w:r>
        <w:t xml:space="preserve"> with disability in </w:t>
      </w:r>
      <w:r>
        <w:rPr>
          <w:i/>
          <w:iCs/>
        </w:rPr>
        <w:t>Private Lives 3</w:t>
      </w:r>
      <w:r w:rsidRPr="00C5739E">
        <w:t xml:space="preserve"> from multicultural background</w:t>
      </w:r>
      <w:r>
        <w:t>s</w:t>
      </w:r>
      <w:r w:rsidRPr="00C5739E">
        <w:t xml:space="preserve"> reported high rates of suicidal ideation, both ever (</w:t>
      </w:r>
      <w:r>
        <w:t>89.9</w:t>
      </w:r>
      <w:r w:rsidRPr="00C5739E">
        <w:t xml:space="preserve">%; n = </w:t>
      </w:r>
      <w:r>
        <w:t>594</w:t>
      </w:r>
      <w:r w:rsidRPr="00C5739E">
        <w:t>) and in the past 12 months (</w:t>
      </w:r>
      <w:r>
        <w:t>62.2</w:t>
      </w:r>
      <w:r w:rsidRPr="00C5739E">
        <w:t xml:space="preserve">%; n = </w:t>
      </w:r>
      <w:r>
        <w:t>411</w:t>
      </w:r>
      <w:r w:rsidRPr="00C5739E">
        <w:t xml:space="preserve">). </w:t>
      </w:r>
      <w:r w:rsidRPr="00C5739E">
        <w:rPr>
          <w:rFonts w:cs="SourceSansProLight"/>
        </w:rPr>
        <w:t>This compares to 2.3% in the past 12 months among the general Australian population</w:t>
      </w:r>
      <w:r>
        <w:rPr>
          <w:rFonts w:cs="SourceSansProLight"/>
        </w:rPr>
        <w:t>.</w:t>
      </w:r>
      <w:r w:rsidRPr="00C5739E">
        <w:rPr>
          <w:rFonts w:cs="SourceSansProLight"/>
        </w:rPr>
        <w:fldChar w:fldCharType="begin"/>
      </w:r>
      <w:r>
        <w:rPr>
          <w:rFonts w:cs="SourceSansProLight"/>
        </w:rPr>
        <w:instrText xml:space="preserve"> ADDIN ZOTERO_ITEM CSL_CITATION {"citationID":"asre4KHm","properties":{"formattedCitation":"(66)","plainCitation":"(66)","noteIndex":0},"citationItems":[{"id":"hc6yy1rM/1TRMV6wU","uris":["http://zotero.org/users/4948307/items/PBRBSGQN"],"itemData":{"id":185,"type":"article-journal","abstract":"Objectives: To provide an overview of the lifetime and 12 month prevalence of suicidal ideation, suicide plans and suicide attempts for Australian adults as a whole and for particular sociodemographic and clinical population subgroups, and to explore the health service use of people with suicidality.Method: Data came from the 2007 National Survey of Mental Health and Wellbeing (2007 NSMHWB), a nationally, representative household survey of 8841 individuals aged 16?85 years.Results: A total of 13.3% of respondents had suicidal ideation during their lifetime, 4.0% had made a suicide plan and 3.2% had made a suicide attempt. The equivalent 12 month prevalence rates were 2.3%, 0.6% and 0.4%, for ideation, plans and attempts, respectively. In general, suicidality in the previous 12 months tended to be relatively more common in women, younger people, those outside the labour force, and those with mental disorders; and less common in those who were married or in de facto relationships, and those with moderate levels of education. A number of the differences in prevalence rates between sociodemographic and clinical subgroups did not reach statistical significance due to data availability constraints and the conservative tests of significance that were used by necessity. These patterns warrant further exploration. Service use for mental health problems was higher among people with suicidality than it was among the general population, but significant numbers of those experiencing suicidality did not receive treatment.Conclusions: Suicidal thoughts and behaviours are not uncommon among the Australian adult population. These thoughts and behaviours are not only predictive of subsequent fatal suicidal acts, but are significant public health problems in their own right. They are associated with high levels of burden at an individual and societal level. Further analysis is required to assess the effectiveness of the national policy frameworks in reducing the spectrum of suicidal thoughts and behaviours.","container-title":"Australian &amp; New Zealand Journal of Psychiatry","DOI":"10.1080/00048670902970874","ISSN":"0004-8674","issue":"7","journalAbbreviation":"Aust N Z J Psychiatry","note":"publisher: SAGE Publications Ltd","page":"635-643","title":"Suicidal Thoughts and Behaviours Among Australian Adults: Findings from the 2007 National Survey of Mental Health and Wellbeing","volume":"43","author":[{"family":"Johnston","given":"Amy K."},{"family":"Pirkis","given":"Jane E."},{"family":"Burgess","given":"Philip M."}],"issued":{"date-parts":[["2009",1,1]]}}}],"schema":"https://github.com/citation-style-language/schema/raw/master/csl-citation.json"} </w:instrText>
      </w:r>
      <w:r w:rsidRPr="00C5739E">
        <w:rPr>
          <w:rFonts w:cs="SourceSansProLight"/>
        </w:rPr>
        <w:fldChar w:fldCharType="separate"/>
      </w:r>
      <w:r>
        <w:rPr>
          <w:lang w:val="en-GB"/>
        </w:rPr>
        <w:t>(66)</w:t>
      </w:r>
      <w:r w:rsidRPr="00C5739E">
        <w:rPr>
          <w:rFonts w:cs="SourceSansProLight"/>
        </w:rPr>
        <w:fldChar w:fldCharType="end"/>
      </w:r>
      <w:r w:rsidRPr="00C5739E">
        <w:rPr>
          <w:rFonts w:cs="SourceSansProLight"/>
        </w:rPr>
        <w:t xml:space="preserve"> It is also somewhat higher than participants from an Anglo-Celtic background, especially in the past 12 months</w:t>
      </w:r>
      <w:r>
        <w:rPr>
          <w:rFonts w:cs="SourceSansProLight"/>
        </w:rPr>
        <w:t xml:space="preserve"> (59.0</w:t>
      </w:r>
      <w:r>
        <w:t>%; n = 948)</w:t>
      </w:r>
      <w:r w:rsidRPr="00C5739E">
        <w:rPr>
          <w:rFonts w:cs="SourceSansProLight"/>
        </w:rPr>
        <w:t>.</w:t>
      </w:r>
    </w:p>
    <w:p w14:paraId="3D5C8CA9" w14:textId="371BCA86" w:rsidR="009D0006" w:rsidRDefault="009D0006" w:rsidP="00650B64">
      <w:pPr>
        <w:pStyle w:val="Heading3Numbered"/>
        <w:spacing w:before="240"/>
      </w:pPr>
      <w:bookmarkStart w:id="812" w:name="_Toc115968631"/>
      <w:r w:rsidRPr="00C5739E">
        <w:t>Suicide attempts</w:t>
      </w:r>
      <w:r>
        <w:t xml:space="preserve"> </w:t>
      </w:r>
      <w:r w:rsidRPr="00C5739E">
        <w:t>– young people aged 14-</w:t>
      </w:r>
      <w:r>
        <w:t>21</w:t>
      </w:r>
      <w:r w:rsidRPr="00C5739E">
        <w:t xml:space="preserve"> years</w:t>
      </w:r>
      <w:bookmarkEnd w:id="812"/>
    </w:p>
    <w:p w14:paraId="228D0916" w14:textId="6493B64F" w:rsidR="009D0006" w:rsidRDefault="009D0006" w:rsidP="009147A5">
      <w:pPr>
        <w:pStyle w:val="Tableheading"/>
      </w:pPr>
      <w:bookmarkStart w:id="813" w:name="_Toc117062812"/>
      <w:bookmarkStart w:id="814" w:name="_Toc119651497"/>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95</w:t>
      </w:r>
      <w:r w:rsidRPr="00C120D7">
        <w:rPr>
          <w:bCs/>
        </w:rPr>
        <w:fldChar w:fldCharType="end"/>
      </w:r>
      <w:r>
        <w:rPr>
          <w:bCs/>
        </w:rPr>
        <w:t>.1-95.2</w:t>
      </w:r>
      <w:r>
        <w:t xml:space="preserve">: </w:t>
      </w:r>
      <w:r w:rsidRPr="00C5739E">
        <w:t xml:space="preserve">Suicide attempt </w:t>
      </w:r>
      <w:r>
        <w:t xml:space="preserve">among young people with disability aged 14-21 years, grouped </w:t>
      </w:r>
      <w:r w:rsidRPr="00C5739E">
        <w:t xml:space="preserve">by </w:t>
      </w:r>
      <w:r>
        <w:t xml:space="preserve">cultural </w:t>
      </w:r>
      <w:r w:rsidRPr="00C5739E">
        <w:t>background</w:t>
      </w:r>
      <w:r>
        <w:t xml:space="preserve"> </w:t>
      </w:r>
      <w:r w:rsidRPr="00C5739E">
        <w:t xml:space="preserve">(n = </w:t>
      </w:r>
      <w:r>
        <w:t>2317</w:t>
      </w:r>
      <w:r w:rsidRPr="00C5739E">
        <w:t>)</w:t>
      </w:r>
      <w:bookmarkEnd w:id="813"/>
      <w:bookmarkEnd w:id="814"/>
    </w:p>
    <w:p w14:paraId="17A254BB" w14:textId="77777777" w:rsidR="009D0006" w:rsidRPr="00730AF8" w:rsidRDefault="009D0006" w:rsidP="009147A5">
      <w:pPr>
        <w:pStyle w:val="Tableheading"/>
      </w:pPr>
      <w:r>
        <w:t>Table 95.1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5EB10BBD" w14:textId="77777777" w:rsidTr="009147A5">
        <w:trPr>
          <w:cnfStyle w:val="100000000000" w:firstRow="1" w:lastRow="0" w:firstColumn="0" w:lastColumn="0" w:oddVBand="0" w:evenVBand="0" w:oddHBand="0" w:evenHBand="0" w:firstRowFirstColumn="0" w:firstRowLastColumn="0" w:lastRowFirstColumn="0" w:lastRowLastColumn="0"/>
          <w:trHeight w:val="347"/>
        </w:trPr>
        <w:tc>
          <w:tcPr>
            <w:tcW w:w="6746" w:type="dxa"/>
            <w:noWrap/>
            <w:hideMark/>
          </w:tcPr>
          <w:p w14:paraId="49994534" w14:textId="77777777" w:rsidR="009D0006" w:rsidRPr="00EF597C" w:rsidRDefault="009D0006" w:rsidP="009147A5">
            <w:pPr>
              <w:pStyle w:val="Tableheader"/>
              <w:rPr>
                <w:bCs/>
              </w:rPr>
            </w:pPr>
            <w:r>
              <w:t>Suicide attempt</w:t>
            </w:r>
          </w:p>
        </w:tc>
        <w:tc>
          <w:tcPr>
            <w:tcW w:w="1559" w:type="dxa"/>
            <w:noWrap/>
            <w:hideMark/>
          </w:tcPr>
          <w:p w14:paraId="1800A95F" w14:textId="77777777" w:rsidR="009D0006" w:rsidRPr="00EF597C" w:rsidRDefault="009D0006" w:rsidP="009147A5">
            <w:pPr>
              <w:pStyle w:val="Tableheader"/>
              <w:rPr>
                <w:bCs/>
              </w:rPr>
            </w:pPr>
            <w:r>
              <w:t>n</w:t>
            </w:r>
          </w:p>
        </w:tc>
        <w:tc>
          <w:tcPr>
            <w:tcW w:w="1559" w:type="dxa"/>
            <w:noWrap/>
            <w:hideMark/>
          </w:tcPr>
          <w:p w14:paraId="6C6E4DF1" w14:textId="77777777" w:rsidR="009D0006" w:rsidRPr="00EF597C" w:rsidRDefault="009D0006" w:rsidP="009147A5">
            <w:pPr>
              <w:pStyle w:val="Tableheader"/>
              <w:rPr>
                <w:bCs/>
              </w:rPr>
            </w:pPr>
            <w:r w:rsidRPr="00EF597C">
              <w:t>%</w:t>
            </w:r>
          </w:p>
        </w:tc>
      </w:tr>
      <w:tr w:rsidR="009D0006" w:rsidRPr="00EF597C" w14:paraId="3153DE06" w14:textId="77777777" w:rsidTr="009147A5">
        <w:trPr>
          <w:cnfStyle w:val="000000100000" w:firstRow="0" w:lastRow="0" w:firstColumn="0" w:lastColumn="0" w:oddVBand="0" w:evenVBand="0" w:oddHBand="1" w:evenHBand="0" w:firstRowFirstColumn="0" w:firstRowLastColumn="0" w:lastRowFirstColumn="0" w:lastRowLastColumn="0"/>
          <w:trHeight w:val="347"/>
        </w:trPr>
        <w:tc>
          <w:tcPr>
            <w:tcW w:w="6746" w:type="dxa"/>
            <w:noWrap/>
          </w:tcPr>
          <w:p w14:paraId="491C2ECC" w14:textId="77777777" w:rsidR="009D0006" w:rsidRPr="00EF597C" w:rsidRDefault="009D0006" w:rsidP="009147A5">
            <w:pPr>
              <w:pStyle w:val="Tabletext"/>
            </w:pPr>
            <w:r w:rsidRPr="00EF597C">
              <w:t>Past 12 months</w:t>
            </w:r>
          </w:p>
        </w:tc>
        <w:tc>
          <w:tcPr>
            <w:tcW w:w="1559" w:type="dxa"/>
            <w:noWrap/>
          </w:tcPr>
          <w:p w14:paraId="593C197B" w14:textId="77777777" w:rsidR="009D0006" w:rsidRPr="00EF597C" w:rsidRDefault="009D0006" w:rsidP="009147A5">
            <w:pPr>
              <w:pStyle w:val="Tabletext"/>
            </w:pPr>
            <w:r>
              <w:t>204</w:t>
            </w:r>
          </w:p>
        </w:tc>
        <w:tc>
          <w:tcPr>
            <w:tcW w:w="1559" w:type="dxa"/>
            <w:noWrap/>
          </w:tcPr>
          <w:p w14:paraId="71AA678F" w14:textId="77777777" w:rsidR="009D0006" w:rsidRPr="00EF597C" w:rsidRDefault="009D0006" w:rsidP="009147A5">
            <w:pPr>
              <w:pStyle w:val="Tabletext"/>
            </w:pPr>
            <w:r>
              <w:t>16.7</w:t>
            </w:r>
          </w:p>
        </w:tc>
      </w:tr>
      <w:tr w:rsidR="009D0006" w:rsidRPr="00EF597C" w14:paraId="3163B744" w14:textId="77777777" w:rsidTr="009147A5">
        <w:trPr>
          <w:cnfStyle w:val="000000010000" w:firstRow="0" w:lastRow="0" w:firstColumn="0" w:lastColumn="0" w:oddVBand="0" w:evenVBand="0" w:oddHBand="0" w:evenHBand="1" w:firstRowFirstColumn="0" w:firstRowLastColumn="0" w:lastRowFirstColumn="0" w:lastRowLastColumn="0"/>
          <w:trHeight w:val="347"/>
        </w:trPr>
        <w:tc>
          <w:tcPr>
            <w:tcW w:w="6746" w:type="dxa"/>
            <w:noWrap/>
          </w:tcPr>
          <w:p w14:paraId="7979566E" w14:textId="77777777" w:rsidR="009D0006" w:rsidRPr="00EF597C" w:rsidRDefault="009D0006" w:rsidP="009147A5">
            <w:pPr>
              <w:pStyle w:val="Tabletext"/>
            </w:pPr>
            <w:r w:rsidRPr="00EF597C">
              <w:t>Ever</w:t>
            </w:r>
          </w:p>
        </w:tc>
        <w:tc>
          <w:tcPr>
            <w:tcW w:w="1559" w:type="dxa"/>
            <w:noWrap/>
          </w:tcPr>
          <w:p w14:paraId="3EF5BA63" w14:textId="77777777" w:rsidR="009D0006" w:rsidRPr="00EF597C" w:rsidRDefault="009D0006" w:rsidP="009147A5">
            <w:pPr>
              <w:pStyle w:val="Tabletext"/>
            </w:pPr>
            <w:r>
              <w:t>490</w:t>
            </w:r>
          </w:p>
        </w:tc>
        <w:tc>
          <w:tcPr>
            <w:tcW w:w="1559" w:type="dxa"/>
            <w:noWrap/>
          </w:tcPr>
          <w:p w14:paraId="73FC4EB0" w14:textId="77777777" w:rsidR="009D0006" w:rsidRPr="00EF597C" w:rsidRDefault="009D0006" w:rsidP="009147A5">
            <w:pPr>
              <w:pStyle w:val="Tabletext"/>
            </w:pPr>
            <w:r>
              <w:t>40.1</w:t>
            </w:r>
          </w:p>
        </w:tc>
      </w:tr>
    </w:tbl>
    <w:p w14:paraId="597A72F5" w14:textId="77777777" w:rsidR="009D0006" w:rsidRDefault="009D0006" w:rsidP="009147A5">
      <w:pPr>
        <w:pStyle w:val="Tableheading"/>
        <w:rPr>
          <w:lang w:val="en-GB"/>
        </w:rPr>
      </w:pPr>
      <w:r>
        <w:rPr>
          <w:lang w:val="en-GB"/>
        </w:rPr>
        <w:t>Table 95.2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3536B6" w14:paraId="0C259EAC" w14:textId="77777777" w:rsidTr="009147A5">
        <w:trPr>
          <w:cnfStyle w:val="100000000000" w:firstRow="1" w:lastRow="0" w:firstColumn="0" w:lastColumn="0" w:oddVBand="0" w:evenVBand="0" w:oddHBand="0" w:evenHBand="0" w:firstRowFirstColumn="0" w:firstRowLastColumn="0" w:lastRowFirstColumn="0" w:lastRowLastColumn="0"/>
          <w:trHeight w:val="334"/>
        </w:trPr>
        <w:tc>
          <w:tcPr>
            <w:tcW w:w="6746" w:type="dxa"/>
            <w:noWrap/>
            <w:hideMark/>
          </w:tcPr>
          <w:p w14:paraId="4999173E" w14:textId="77777777" w:rsidR="009D0006" w:rsidRPr="00EF597C" w:rsidRDefault="009D0006" w:rsidP="009147A5">
            <w:pPr>
              <w:pStyle w:val="Tableheader"/>
              <w:rPr>
                <w:bCs/>
              </w:rPr>
            </w:pPr>
            <w:r>
              <w:t>Suicide attempt</w:t>
            </w:r>
          </w:p>
        </w:tc>
        <w:tc>
          <w:tcPr>
            <w:tcW w:w="1559" w:type="dxa"/>
            <w:noWrap/>
            <w:hideMark/>
          </w:tcPr>
          <w:p w14:paraId="111D7121" w14:textId="77777777" w:rsidR="009D0006" w:rsidRPr="003536B6" w:rsidRDefault="009D0006" w:rsidP="009147A5">
            <w:pPr>
              <w:pStyle w:val="Tableheader"/>
              <w:rPr>
                <w:bCs/>
              </w:rPr>
            </w:pPr>
            <w:r w:rsidRPr="003536B6">
              <w:rPr>
                <w:bCs/>
              </w:rPr>
              <w:t>n</w:t>
            </w:r>
          </w:p>
        </w:tc>
        <w:tc>
          <w:tcPr>
            <w:tcW w:w="1559" w:type="dxa"/>
            <w:noWrap/>
            <w:hideMark/>
          </w:tcPr>
          <w:p w14:paraId="3189BD08" w14:textId="77777777" w:rsidR="009D0006" w:rsidRPr="003536B6" w:rsidRDefault="009D0006" w:rsidP="009147A5">
            <w:pPr>
              <w:pStyle w:val="Tableheader"/>
              <w:rPr>
                <w:bCs/>
              </w:rPr>
            </w:pPr>
            <w:r w:rsidRPr="003536B6">
              <w:rPr>
                <w:bCs/>
              </w:rPr>
              <w:t>%</w:t>
            </w:r>
          </w:p>
        </w:tc>
      </w:tr>
      <w:tr w:rsidR="009D0006" w:rsidRPr="00EF597C" w14:paraId="3D1A6AFB" w14:textId="77777777" w:rsidTr="009147A5">
        <w:trPr>
          <w:cnfStyle w:val="000000100000" w:firstRow="0" w:lastRow="0" w:firstColumn="0" w:lastColumn="0" w:oddVBand="0" w:evenVBand="0" w:oddHBand="1" w:evenHBand="0" w:firstRowFirstColumn="0" w:firstRowLastColumn="0" w:lastRowFirstColumn="0" w:lastRowLastColumn="0"/>
          <w:trHeight w:val="334"/>
        </w:trPr>
        <w:tc>
          <w:tcPr>
            <w:tcW w:w="6746" w:type="dxa"/>
            <w:noWrap/>
          </w:tcPr>
          <w:p w14:paraId="1A44D9E5" w14:textId="77777777" w:rsidR="009D0006" w:rsidRPr="00EF597C" w:rsidRDefault="009D0006" w:rsidP="009147A5">
            <w:pPr>
              <w:pStyle w:val="Tabletext"/>
            </w:pPr>
            <w:r w:rsidRPr="00EF597C">
              <w:t>Past 12 months</w:t>
            </w:r>
          </w:p>
        </w:tc>
        <w:tc>
          <w:tcPr>
            <w:tcW w:w="1559" w:type="dxa"/>
            <w:noWrap/>
          </w:tcPr>
          <w:p w14:paraId="5E67DC83" w14:textId="77777777" w:rsidR="009D0006" w:rsidRPr="00EF597C" w:rsidRDefault="009D0006" w:rsidP="009147A5">
            <w:pPr>
              <w:pStyle w:val="Tabletext"/>
            </w:pPr>
            <w:r>
              <w:t>141</w:t>
            </w:r>
          </w:p>
        </w:tc>
        <w:tc>
          <w:tcPr>
            <w:tcW w:w="1559" w:type="dxa"/>
            <w:noWrap/>
          </w:tcPr>
          <w:p w14:paraId="518381E1" w14:textId="77777777" w:rsidR="009D0006" w:rsidRPr="00EF597C" w:rsidRDefault="009D0006" w:rsidP="009147A5">
            <w:pPr>
              <w:pStyle w:val="Tabletext"/>
            </w:pPr>
            <w:r>
              <w:t>12.9</w:t>
            </w:r>
          </w:p>
        </w:tc>
      </w:tr>
      <w:tr w:rsidR="009D0006" w:rsidRPr="00EF597C" w14:paraId="63BDBFD0" w14:textId="77777777" w:rsidTr="009147A5">
        <w:trPr>
          <w:cnfStyle w:val="000000010000" w:firstRow="0" w:lastRow="0" w:firstColumn="0" w:lastColumn="0" w:oddVBand="0" w:evenVBand="0" w:oddHBand="0" w:evenHBand="1" w:firstRowFirstColumn="0" w:firstRowLastColumn="0" w:lastRowFirstColumn="0" w:lastRowLastColumn="0"/>
          <w:trHeight w:val="334"/>
        </w:trPr>
        <w:tc>
          <w:tcPr>
            <w:tcW w:w="6746" w:type="dxa"/>
            <w:noWrap/>
          </w:tcPr>
          <w:p w14:paraId="3986FBA5" w14:textId="77777777" w:rsidR="009D0006" w:rsidRPr="00EF597C" w:rsidRDefault="009D0006" w:rsidP="009147A5">
            <w:pPr>
              <w:pStyle w:val="Tabletext"/>
            </w:pPr>
            <w:r w:rsidRPr="00EF597C">
              <w:t>Ever</w:t>
            </w:r>
          </w:p>
        </w:tc>
        <w:tc>
          <w:tcPr>
            <w:tcW w:w="1559" w:type="dxa"/>
            <w:noWrap/>
          </w:tcPr>
          <w:p w14:paraId="0A70C854" w14:textId="77777777" w:rsidR="009D0006" w:rsidRPr="00EF597C" w:rsidRDefault="009D0006" w:rsidP="009147A5">
            <w:pPr>
              <w:pStyle w:val="Tabletext"/>
            </w:pPr>
            <w:r>
              <w:t>401</w:t>
            </w:r>
          </w:p>
        </w:tc>
        <w:tc>
          <w:tcPr>
            <w:tcW w:w="1559" w:type="dxa"/>
            <w:noWrap/>
          </w:tcPr>
          <w:p w14:paraId="23C1FAC3" w14:textId="77777777" w:rsidR="009D0006" w:rsidRPr="00EF597C" w:rsidRDefault="009D0006" w:rsidP="009147A5">
            <w:pPr>
              <w:pStyle w:val="Tabletext"/>
            </w:pPr>
            <w:r>
              <w:t>36.6</w:t>
            </w:r>
          </w:p>
        </w:tc>
      </w:tr>
    </w:tbl>
    <w:p w14:paraId="01747884" w14:textId="77777777" w:rsidR="009D0006" w:rsidRDefault="009D0006" w:rsidP="00AB4A74">
      <w:pPr>
        <w:spacing w:before="360"/>
        <w:rPr>
          <w:lang w:val="en-GB"/>
        </w:rPr>
      </w:pPr>
      <w:r>
        <w:t>As displaye</w:t>
      </w:r>
      <w:r>
        <w:lastRenderedPageBreak/>
        <w:t xml:space="preserve">d in Tables 95.1-95.2, a higher proportion of participants with disability in </w:t>
      </w:r>
      <w:r>
        <w:rPr>
          <w:i/>
          <w:iCs/>
        </w:rPr>
        <w:t xml:space="preserve">Writing Themselves In 4 </w:t>
      </w:r>
      <w:r>
        <w:t>from a multicultural background reported a suicide attempt in the past 12 months (16.7%; n = 204) compared to participants from an Anglo-Celtic background (12.9%; n = 141). Similarly, a higher proportion of participants from a multicultural background reported a suicide attempt ever in their lifetime (40.1%; n = 490) compared to participants from an Anglo-Celtic background (36.6%; n = 401).</w:t>
      </w:r>
    </w:p>
    <w:p w14:paraId="6C400D48" w14:textId="403539F7" w:rsidR="009D0006" w:rsidRPr="00C5739E" w:rsidRDefault="009D0006" w:rsidP="006346CA">
      <w:pPr>
        <w:pStyle w:val="Heading3Numbered"/>
      </w:pPr>
      <w:bookmarkStart w:id="815" w:name="_Toc115968632"/>
      <w:r w:rsidRPr="00C5739E">
        <w:t>Suicide attempts</w:t>
      </w:r>
      <w:r>
        <w:t xml:space="preserve"> </w:t>
      </w:r>
      <w:r w:rsidRPr="00C5739E">
        <w:t>– adults aged 18+ years</w:t>
      </w:r>
      <w:bookmarkEnd w:id="815"/>
    </w:p>
    <w:p w14:paraId="704A7F3C" w14:textId="17F54F80" w:rsidR="009D0006" w:rsidRDefault="009D0006" w:rsidP="00731058">
      <w:pPr>
        <w:pStyle w:val="Tableheading"/>
      </w:pPr>
      <w:bookmarkStart w:id="816" w:name="_Toc117062813"/>
      <w:bookmarkStart w:id="817" w:name="_Toc119651498"/>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96</w:t>
      </w:r>
      <w:r w:rsidRPr="00C120D7">
        <w:rPr>
          <w:bCs/>
        </w:rPr>
        <w:fldChar w:fldCharType="end"/>
      </w:r>
      <w:r>
        <w:rPr>
          <w:bCs/>
        </w:rPr>
        <w:t>.1-96.2</w:t>
      </w:r>
      <w:r>
        <w:t xml:space="preserve">: </w:t>
      </w:r>
      <w:r w:rsidRPr="00C5739E">
        <w:t xml:space="preserve">Suicide attempt </w:t>
      </w:r>
      <w:r>
        <w:t xml:space="preserve">among adults with disability aged 18+ years, grouped </w:t>
      </w:r>
      <w:r w:rsidRPr="00C5739E">
        <w:t xml:space="preserve">by </w:t>
      </w:r>
      <w:r>
        <w:t xml:space="preserve">cultural </w:t>
      </w:r>
      <w:r w:rsidRPr="00C5739E">
        <w:t xml:space="preserve">background (n = </w:t>
      </w:r>
      <w:r>
        <w:t>1910</w:t>
      </w:r>
      <w:r w:rsidRPr="00C5739E">
        <w:t>)</w:t>
      </w:r>
      <w:bookmarkEnd w:id="816"/>
      <w:bookmarkEnd w:id="817"/>
    </w:p>
    <w:p w14:paraId="750024BE" w14:textId="77777777" w:rsidR="009D0006" w:rsidRPr="00C5739E" w:rsidRDefault="009D0006" w:rsidP="00731058">
      <w:pPr>
        <w:pStyle w:val="Tableheading"/>
      </w:pPr>
      <w:r>
        <w:t>Table 96.1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3536B6" w14:paraId="0FB30A3F" w14:textId="77777777" w:rsidTr="0073105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18E8848" w14:textId="77777777" w:rsidR="009D0006" w:rsidRPr="00EF597C" w:rsidRDefault="009D0006" w:rsidP="00731058">
            <w:pPr>
              <w:pStyle w:val="Tableheader"/>
              <w:rPr>
                <w:bCs/>
              </w:rPr>
            </w:pPr>
            <w:r w:rsidRPr="00EF597C">
              <w:t>S</w:t>
            </w:r>
            <w:r>
              <w:t>uicide attempt</w:t>
            </w:r>
          </w:p>
        </w:tc>
        <w:tc>
          <w:tcPr>
            <w:tcW w:w="1559" w:type="dxa"/>
            <w:noWrap/>
            <w:hideMark/>
          </w:tcPr>
          <w:p w14:paraId="740F045A" w14:textId="77777777" w:rsidR="009D0006" w:rsidRPr="003536B6" w:rsidRDefault="009D0006" w:rsidP="00731058">
            <w:pPr>
              <w:pStyle w:val="Tableheader"/>
              <w:rPr>
                <w:bCs/>
              </w:rPr>
            </w:pPr>
            <w:r w:rsidRPr="003536B6">
              <w:rPr>
                <w:bCs/>
              </w:rPr>
              <w:t>n</w:t>
            </w:r>
          </w:p>
        </w:tc>
        <w:tc>
          <w:tcPr>
            <w:tcW w:w="1559" w:type="dxa"/>
            <w:noWrap/>
            <w:hideMark/>
          </w:tcPr>
          <w:p w14:paraId="7F26D47F" w14:textId="77777777" w:rsidR="009D0006" w:rsidRPr="003536B6" w:rsidRDefault="009D0006" w:rsidP="00731058">
            <w:pPr>
              <w:pStyle w:val="Tableheader"/>
              <w:rPr>
                <w:bCs/>
              </w:rPr>
            </w:pPr>
            <w:r w:rsidRPr="003536B6">
              <w:rPr>
                <w:bCs/>
              </w:rPr>
              <w:t>%</w:t>
            </w:r>
          </w:p>
        </w:tc>
      </w:tr>
      <w:tr w:rsidR="009D0006" w:rsidRPr="00EF597C" w14:paraId="238D2499" w14:textId="77777777" w:rsidTr="0073105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29CBAF9" w14:textId="77777777" w:rsidR="009D0006" w:rsidRPr="00EF597C" w:rsidRDefault="009D0006" w:rsidP="00731058">
            <w:pPr>
              <w:pStyle w:val="Tabletext"/>
            </w:pPr>
            <w:r w:rsidRPr="00EF597C">
              <w:t>Past 12 months</w:t>
            </w:r>
          </w:p>
        </w:tc>
        <w:tc>
          <w:tcPr>
            <w:tcW w:w="1559" w:type="dxa"/>
            <w:noWrap/>
          </w:tcPr>
          <w:p w14:paraId="31BDC31E" w14:textId="77777777" w:rsidR="009D0006" w:rsidRPr="00EF597C" w:rsidRDefault="009D0006" w:rsidP="00731058">
            <w:pPr>
              <w:pStyle w:val="Tabletext"/>
            </w:pPr>
            <w:r>
              <w:t>40</w:t>
            </w:r>
          </w:p>
        </w:tc>
        <w:tc>
          <w:tcPr>
            <w:tcW w:w="1559" w:type="dxa"/>
            <w:noWrap/>
          </w:tcPr>
          <w:p w14:paraId="57F31583" w14:textId="77777777" w:rsidR="009D0006" w:rsidRPr="00EF597C" w:rsidRDefault="009D0006" w:rsidP="00731058">
            <w:pPr>
              <w:pStyle w:val="Tabletext"/>
            </w:pPr>
            <w:r>
              <w:t>7.2</w:t>
            </w:r>
          </w:p>
        </w:tc>
      </w:tr>
      <w:tr w:rsidR="009D0006" w:rsidRPr="00EF597C" w14:paraId="543A3977" w14:textId="77777777" w:rsidTr="0073105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8C1CB88" w14:textId="77777777" w:rsidR="009D0006" w:rsidRPr="00EF597C" w:rsidRDefault="009D0006" w:rsidP="00731058">
            <w:pPr>
              <w:pStyle w:val="Tabletext"/>
            </w:pPr>
            <w:r w:rsidRPr="00EF597C">
              <w:t>Ever</w:t>
            </w:r>
          </w:p>
        </w:tc>
        <w:tc>
          <w:tcPr>
            <w:tcW w:w="1559" w:type="dxa"/>
            <w:noWrap/>
          </w:tcPr>
          <w:p w14:paraId="3DAA2B53" w14:textId="77777777" w:rsidR="009D0006" w:rsidRPr="00EF597C" w:rsidRDefault="009D0006" w:rsidP="00731058">
            <w:pPr>
              <w:pStyle w:val="Tabletext"/>
            </w:pPr>
            <w:r>
              <w:t>255</w:t>
            </w:r>
          </w:p>
        </w:tc>
        <w:tc>
          <w:tcPr>
            <w:tcW w:w="1559" w:type="dxa"/>
            <w:noWrap/>
          </w:tcPr>
          <w:p w14:paraId="444CE000" w14:textId="77777777" w:rsidR="009D0006" w:rsidRPr="00EF597C" w:rsidRDefault="009D0006" w:rsidP="00731058">
            <w:pPr>
              <w:pStyle w:val="Tabletext"/>
            </w:pPr>
            <w:r>
              <w:t>45.6</w:t>
            </w:r>
          </w:p>
        </w:tc>
      </w:tr>
    </w:tbl>
    <w:p w14:paraId="2837C3CA" w14:textId="77777777" w:rsidR="009D0006" w:rsidRDefault="009D0006" w:rsidP="00731058">
      <w:pPr>
        <w:pStyle w:val="Tableheading"/>
      </w:pPr>
      <w:r>
        <w:t>Table 96.2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1DC4C44D" w14:textId="77777777" w:rsidTr="00731058">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E5ED360" w14:textId="77777777" w:rsidR="009D0006" w:rsidRPr="00EF597C" w:rsidRDefault="009D0006" w:rsidP="00731058">
            <w:pPr>
              <w:pStyle w:val="Tableheader"/>
              <w:rPr>
                <w:bCs/>
              </w:rPr>
            </w:pPr>
            <w:r w:rsidRPr="00EF597C">
              <w:t>S</w:t>
            </w:r>
            <w:r>
              <w:t>uicide attempt</w:t>
            </w:r>
          </w:p>
        </w:tc>
        <w:tc>
          <w:tcPr>
            <w:tcW w:w="1559" w:type="dxa"/>
            <w:noWrap/>
            <w:hideMark/>
          </w:tcPr>
          <w:p w14:paraId="16E01685" w14:textId="77777777" w:rsidR="009D0006" w:rsidRPr="003536B6" w:rsidRDefault="009D0006" w:rsidP="00731058">
            <w:pPr>
              <w:pStyle w:val="Tableheader"/>
              <w:rPr>
                <w:bCs/>
              </w:rPr>
            </w:pPr>
            <w:r w:rsidRPr="003536B6">
              <w:rPr>
                <w:bCs/>
              </w:rPr>
              <w:t>n</w:t>
            </w:r>
          </w:p>
        </w:tc>
        <w:tc>
          <w:tcPr>
            <w:tcW w:w="1559" w:type="dxa"/>
            <w:noWrap/>
            <w:hideMark/>
          </w:tcPr>
          <w:p w14:paraId="2DCC9D8C" w14:textId="77777777" w:rsidR="009D0006" w:rsidRPr="003536B6" w:rsidRDefault="009D0006" w:rsidP="00731058">
            <w:pPr>
              <w:pStyle w:val="Tableheader"/>
              <w:rPr>
                <w:bCs/>
              </w:rPr>
            </w:pPr>
            <w:r w:rsidRPr="003536B6">
              <w:rPr>
                <w:bCs/>
              </w:rPr>
              <w:t>%</w:t>
            </w:r>
          </w:p>
        </w:tc>
      </w:tr>
      <w:tr w:rsidR="009D0006" w:rsidRPr="00EF597C" w14:paraId="342320D2" w14:textId="77777777" w:rsidTr="00731058">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0AB798B" w14:textId="77777777" w:rsidR="009D0006" w:rsidRPr="00EF597C" w:rsidRDefault="009D0006" w:rsidP="00731058">
            <w:pPr>
              <w:pStyle w:val="Tabletext"/>
            </w:pPr>
            <w:r w:rsidRPr="00EF597C">
              <w:t>Past 12 months</w:t>
            </w:r>
          </w:p>
        </w:tc>
        <w:tc>
          <w:tcPr>
            <w:tcW w:w="1559" w:type="dxa"/>
            <w:noWrap/>
          </w:tcPr>
          <w:p w14:paraId="6D628C7B" w14:textId="77777777" w:rsidR="009D0006" w:rsidRPr="00EF597C" w:rsidRDefault="009D0006" w:rsidP="00731058">
            <w:pPr>
              <w:pStyle w:val="Tabletext"/>
            </w:pPr>
            <w:r>
              <w:t>104</w:t>
            </w:r>
          </w:p>
        </w:tc>
        <w:tc>
          <w:tcPr>
            <w:tcW w:w="1559" w:type="dxa"/>
            <w:noWrap/>
          </w:tcPr>
          <w:p w14:paraId="78B4335B" w14:textId="77777777" w:rsidR="009D0006" w:rsidRPr="00EF597C" w:rsidRDefault="009D0006" w:rsidP="00731058">
            <w:pPr>
              <w:pStyle w:val="Tabletext"/>
            </w:pPr>
            <w:r>
              <w:t>7.7</w:t>
            </w:r>
          </w:p>
        </w:tc>
      </w:tr>
      <w:tr w:rsidR="009D0006" w:rsidRPr="00EF597C" w14:paraId="490D141B" w14:textId="77777777" w:rsidTr="00731058">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2AEEE62" w14:textId="77777777" w:rsidR="009D0006" w:rsidRPr="00EF597C" w:rsidRDefault="009D0006" w:rsidP="00731058">
            <w:pPr>
              <w:pStyle w:val="Tabletext"/>
            </w:pPr>
            <w:r w:rsidRPr="00EF597C">
              <w:t>Ever</w:t>
            </w:r>
          </w:p>
        </w:tc>
        <w:tc>
          <w:tcPr>
            <w:tcW w:w="1559" w:type="dxa"/>
            <w:noWrap/>
          </w:tcPr>
          <w:p w14:paraId="4BFBF420" w14:textId="77777777" w:rsidR="009D0006" w:rsidRPr="00EF597C" w:rsidRDefault="009D0006" w:rsidP="00731058">
            <w:pPr>
              <w:pStyle w:val="Tabletext"/>
            </w:pPr>
            <w:r>
              <w:t>555</w:t>
            </w:r>
          </w:p>
        </w:tc>
        <w:tc>
          <w:tcPr>
            <w:tcW w:w="1559" w:type="dxa"/>
            <w:noWrap/>
          </w:tcPr>
          <w:p w14:paraId="1BD15741" w14:textId="77777777" w:rsidR="009D0006" w:rsidRPr="00EF597C" w:rsidRDefault="009D0006" w:rsidP="00731058">
            <w:pPr>
              <w:pStyle w:val="Tabletext"/>
            </w:pPr>
            <w:r>
              <w:t>41.1</w:t>
            </w:r>
          </w:p>
        </w:tc>
      </w:tr>
    </w:tbl>
    <w:p w14:paraId="15C93231" w14:textId="77777777" w:rsidR="009D0006" w:rsidRDefault="009D0006" w:rsidP="00AB4A74">
      <w:pPr>
        <w:spacing w:before="360"/>
      </w:pPr>
      <w:r>
        <w:t xml:space="preserve">Participants with disability in </w:t>
      </w:r>
      <w:r>
        <w:rPr>
          <w:i/>
          <w:iCs/>
        </w:rPr>
        <w:t xml:space="preserve">Private Lives 3 </w:t>
      </w:r>
      <w:r>
        <w:t>displayed similar proportions who reported a suicide attempt in the past 12 months between those from an Anglo-Celtic (7.7%; n = 104) or multicultural background (7.2%; n = 40). However, a slightly higher proportion of participants from a multicultural background had ever attempted suicide in their lifetime (45.6%; n = 255) compared to participants from an Anglo-Celtic background (41.1%; n = 555).</w:t>
      </w:r>
    </w:p>
    <w:p w14:paraId="6297483B" w14:textId="1F937536" w:rsidR="009D0006" w:rsidRDefault="009D0006" w:rsidP="006346CA">
      <w:pPr>
        <w:pStyle w:val="Heading2Numbered"/>
      </w:pPr>
      <w:bookmarkStart w:id="818" w:name="_Toc115968633"/>
      <w:bookmarkStart w:id="819" w:name="_Toc119662465"/>
      <w:r w:rsidRPr="00C5739E">
        <w:t>Unfair trea</w:t>
      </w:r>
      <w:r w:rsidRPr="00C5739E">
        <w:lastRenderedPageBreak/>
        <w:t>tment as a result of ethnicity, cultural identity or heritage – adults aged 18+ years</w:t>
      </w:r>
      <w:bookmarkEnd w:id="818"/>
      <w:bookmarkEnd w:id="819"/>
    </w:p>
    <w:p w14:paraId="60BAF5BE" w14:textId="6BABA650" w:rsidR="009D0006" w:rsidRDefault="009D0006" w:rsidP="00731058">
      <w:pPr>
        <w:pStyle w:val="Tableheading"/>
      </w:pPr>
      <w:bookmarkStart w:id="820" w:name="_Toc117062814"/>
      <w:bookmarkStart w:id="821" w:name="_Toc119651499"/>
      <w:r w:rsidRPr="00C120D7">
        <w:rPr>
          <w:bCs/>
        </w:rPr>
        <w:t>Table</w:t>
      </w:r>
      <w:r>
        <w:rPr>
          <w:bCs/>
        </w:rPr>
        <w:t>s</w:t>
      </w:r>
      <w:r w:rsidRPr="00C120D7">
        <w:rPr>
          <w:bCs/>
        </w:rPr>
        <w:t xml:space="preserve"> </w:t>
      </w:r>
      <w:r w:rsidRPr="00C120D7">
        <w:rPr>
          <w:bCs/>
        </w:rPr>
        <w:fldChar w:fldCharType="begin"/>
      </w:r>
      <w:r w:rsidRPr="00C120D7">
        <w:rPr>
          <w:bCs/>
        </w:rPr>
        <w:instrText xml:space="preserve"> SEQ Table \* ARABIC </w:instrText>
      </w:r>
      <w:r w:rsidRPr="00C120D7">
        <w:rPr>
          <w:bCs/>
        </w:rPr>
        <w:fldChar w:fldCharType="separate"/>
      </w:r>
      <w:r>
        <w:rPr>
          <w:bCs/>
          <w:noProof/>
        </w:rPr>
        <w:t>97</w:t>
      </w:r>
      <w:r w:rsidRPr="00C120D7">
        <w:rPr>
          <w:bCs/>
        </w:rPr>
        <w:fldChar w:fldCharType="end"/>
      </w:r>
      <w:r>
        <w:rPr>
          <w:bCs/>
        </w:rPr>
        <w:t>.1-97.2</w:t>
      </w:r>
      <w:r>
        <w:t xml:space="preserve">: </w:t>
      </w:r>
      <w:r w:rsidRPr="006D196F">
        <w:t>Treated unfairly by others due to ethnicity, cultural identity or heritage in the</w:t>
      </w:r>
      <w:r>
        <w:t xml:space="preserve"> past 12 months among adults with disability aged 18+ years, grouped by cultural background</w:t>
      </w:r>
      <w:r w:rsidRPr="00C5739E">
        <w:t xml:space="preserve"> </w:t>
      </w:r>
      <w:r>
        <w:t>(n = 1935)</w:t>
      </w:r>
      <w:bookmarkEnd w:id="820"/>
      <w:bookmarkEnd w:id="821"/>
    </w:p>
    <w:p w14:paraId="7F7272F4" w14:textId="77777777" w:rsidR="009D0006" w:rsidRPr="005D7497" w:rsidRDefault="009D0006" w:rsidP="00731058">
      <w:pPr>
        <w:pStyle w:val="Tableheading"/>
      </w:pPr>
      <w:r>
        <w:t>Table 97.1 Multicultural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7B8C3D25"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4B10149" w14:textId="77777777" w:rsidR="009D0006" w:rsidRPr="00EF597C" w:rsidRDefault="009D0006" w:rsidP="00FC6749">
            <w:pPr>
              <w:pStyle w:val="Tableheader"/>
              <w:rPr>
                <w:bCs/>
              </w:rPr>
            </w:pPr>
            <w:r>
              <w:t>Unfair treatment</w:t>
            </w:r>
          </w:p>
        </w:tc>
        <w:tc>
          <w:tcPr>
            <w:tcW w:w="1559" w:type="dxa"/>
            <w:noWrap/>
            <w:hideMark/>
          </w:tcPr>
          <w:p w14:paraId="758B3717" w14:textId="77777777" w:rsidR="009D0006" w:rsidRPr="003536B6" w:rsidRDefault="009D0006" w:rsidP="00FC6749">
            <w:pPr>
              <w:pStyle w:val="Tableheader"/>
              <w:rPr>
                <w:bCs/>
              </w:rPr>
            </w:pPr>
            <w:r w:rsidRPr="003536B6">
              <w:rPr>
                <w:bCs/>
              </w:rPr>
              <w:t>n</w:t>
            </w:r>
          </w:p>
        </w:tc>
        <w:tc>
          <w:tcPr>
            <w:tcW w:w="1559" w:type="dxa"/>
            <w:noWrap/>
            <w:hideMark/>
          </w:tcPr>
          <w:p w14:paraId="78CD6AEF" w14:textId="77777777" w:rsidR="009D0006" w:rsidRPr="003536B6" w:rsidRDefault="009D0006" w:rsidP="00FC6749">
            <w:pPr>
              <w:pStyle w:val="Tableheader"/>
              <w:rPr>
                <w:bCs/>
              </w:rPr>
            </w:pPr>
            <w:r w:rsidRPr="003536B6">
              <w:rPr>
                <w:bCs/>
              </w:rPr>
              <w:t>%</w:t>
            </w:r>
          </w:p>
        </w:tc>
      </w:tr>
      <w:tr w:rsidR="009D0006" w:rsidRPr="003111BF" w14:paraId="61C8FAC2"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E12AB0D" w14:textId="77777777" w:rsidR="009D0006" w:rsidRPr="00EF597C" w:rsidRDefault="009D0006" w:rsidP="00FC6749">
            <w:pPr>
              <w:pStyle w:val="Tabletext"/>
            </w:pPr>
            <w:r>
              <w:t>Not at all</w:t>
            </w:r>
          </w:p>
        </w:tc>
        <w:tc>
          <w:tcPr>
            <w:tcW w:w="1559" w:type="dxa"/>
            <w:noWrap/>
          </w:tcPr>
          <w:p w14:paraId="3D39003E" w14:textId="77777777" w:rsidR="009D0006" w:rsidRPr="00EF597C" w:rsidRDefault="009D0006" w:rsidP="00FC6749">
            <w:pPr>
              <w:pStyle w:val="Tabletext"/>
            </w:pPr>
            <w:r w:rsidRPr="00837FAD">
              <w:t>461</w:t>
            </w:r>
          </w:p>
        </w:tc>
        <w:tc>
          <w:tcPr>
            <w:tcW w:w="1559" w:type="dxa"/>
            <w:noWrap/>
          </w:tcPr>
          <w:p w14:paraId="4ECB214A" w14:textId="77777777" w:rsidR="009D0006" w:rsidRPr="00EF597C" w:rsidRDefault="009D0006" w:rsidP="00FC6749">
            <w:pPr>
              <w:pStyle w:val="Tabletext"/>
            </w:pPr>
            <w:r w:rsidRPr="00837FAD">
              <w:t>69.8</w:t>
            </w:r>
          </w:p>
        </w:tc>
      </w:tr>
      <w:tr w:rsidR="009D0006" w:rsidRPr="003111BF" w14:paraId="39F913CF"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648CD60" w14:textId="77777777" w:rsidR="009D0006" w:rsidRPr="00EF597C" w:rsidRDefault="009D0006" w:rsidP="00FC6749">
            <w:pPr>
              <w:pStyle w:val="Tabletext"/>
            </w:pPr>
            <w:r>
              <w:t>A little</w:t>
            </w:r>
          </w:p>
        </w:tc>
        <w:tc>
          <w:tcPr>
            <w:tcW w:w="1559" w:type="dxa"/>
            <w:noWrap/>
          </w:tcPr>
          <w:p w14:paraId="61FBC11A" w14:textId="77777777" w:rsidR="009D0006" w:rsidRPr="00EF597C" w:rsidRDefault="009D0006" w:rsidP="00FC6749">
            <w:pPr>
              <w:pStyle w:val="Tabletext"/>
            </w:pPr>
            <w:r w:rsidRPr="00837FAD">
              <w:t>104</w:t>
            </w:r>
          </w:p>
        </w:tc>
        <w:tc>
          <w:tcPr>
            <w:tcW w:w="1559" w:type="dxa"/>
            <w:noWrap/>
          </w:tcPr>
          <w:p w14:paraId="122BEB93" w14:textId="77777777" w:rsidR="009D0006" w:rsidRPr="00EF597C" w:rsidRDefault="009D0006" w:rsidP="00FC6749">
            <w:pPr>
              <w:pStyle w:val="Tabletext"/>
            </w:pPr>
            <w:r w:rsidRPr="00837FAD">
              <w:t>15.8</w:t>
            </w:r>
          </w:p>
        </w:tc>
      </w:tr>
      <w:tr w:rsidR="009D0006" w:rsidRPr="003111BF" w14:paraId="59D7D180"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379C8E3" w14:textId="77777777" w:rsidR="009D0006" w:rsidRPr="00EF597C" w:rsidRDefault="009D0006" w:rsidP="00FC6749">
            <w:pPr>
              <w:pStyle w:val="Tabletext"/>
            </w:pPr>
            <w:r>
              <w:t>Somewhat</w:t>
            </w:r>
          </w:p>
        </w:tc>
        <w:tc>
          <w:tcPr>
            <w:tcW w:w="1559" w:type="dxa"/>
            <w:noWrap/>
          </w:tcPr>
          <w:p w14:paraId="121C7A65" w14:textId="77777777" w:rsidR="009D0006" w:rsidRPr="00EF597C" w:rsidRDefault="009D0006" w:rsidP="00FC6749">
            <w:pPr>
              <w:pStyle w:val="Tabletext"/>
            </w:pPr>
            <w:r w:rsidRPr="00837FAD">
              <w:t>54</w:t>
            </w:r>
          </w:p>
        </w:tc>
        <w:tc>
          <w:tcPr>
            <w:tcW w:w="1559" w:type="dxa"/>
            <w:noWrap/>
          </w:tcPr>
          <w:p w14:paraId="69902492" w14:textId="77777777" w:rsidR="009D0006" w:rsidRPr="00EF597C" w:rsidRDefault="009D0006" w:rsidP="00FC6749">
            <w:pPr>
              <w:pStyle w:val="Tabletext"/>
            </w:pPr>
            <w:r w:rsidRPr="00837FAD">
              <w:t>8.2</w:t>
            </w:r>
          </w:p>
        </w:tc>
      </w:tr>
      <w:tr w:rsidR="009D0006" w:rsidRPr="003111BF" w14:paraId="1A5E2D4F"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78CFAE2" w14:textId="77777777" w:rsidR="009D0006" w:rsidRPr="00EF597C" w:rsidRDefault="009D0006" w:rsidP="00FC6749">
            <w:pPr>
              <w:pStyle w:val="Tabletext"/>
            </w:pPr>
            <w:r>
              <w:t>A lot</w:t>
            </w:r>
          </w:p>
        </w:tc>
        <w:tc>
          <w:tcPr>
            <w:tcW w:w="1559" w:type="dxa"/>
            <w:noWrap/>
          </w:tcPr>
          <w:p w14:paraId="068192B6" w14:textId="77777777" w:rsidR="009D0006" w:rsidRPr="00EF597C" w:rsidRDefault="009D0006" w:rsidP="00FC6749">
            <w:pPr>
              <w:pStyle w:val="Tabletext"/>
            </w:pPr>
            <w:r w:rsidRPr="00837FAD">
              <w:t>30</w:t>
            </w:r>
          </w:p>
        </w:tc>
        <w:tc>
          <w:tcPr>
            <w:tcW w:w="1559" w:type="dxa"/>
            <w:noWrap/>
          </w:tcPr>
          <w:p w14:paraId="33E60518" w14:textId="77777777" w:rsidR="009D0006" w:rsidRPr="00EF597C" w:rsidRDefault="009D0006" w:rsidP="00FC6749">
            <w:pPr>
              <w:pStyle w:val="Tabletext"/>
            </w:pPr>
            <w:r w:rsidRPr="00837FAD">
              <w:t>4.5</w:t>
            </w:r>
          </w:p>
        </w:tc>
      </w:tr>
      <w:tr w:rsidR="009D0006" w:rsidRPr="003111BF" w14:paraId="053E22DB"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9FCDD08" w14:textId="77777777" w:rsidR="009D0006" w:rsidRPr="00EF597C" w:rsidRDefault="009D0006" w:rsidP="00FC6749">
            <w:pPr>
              <w:pStyle w:val="Tabletext"/>
            </w:pPr>
            <w:r>
              <w:t>Always</w:t>
            </w:r>
          </w:p>
        </w:tc>
        <w:tc>
          <w:tcPr>
            <w:tcW w:w="1559" w:type="dxa"/>
            <w:noWrap/>
          </w:tcPr>
          <w:p w14:paraId="64B8519F" w14:textId="77777777" w:rsidR="009D0006" w:rsidRPr="00EF597C" w:rsidRDefault="009D0006" w:rsidP="00FC6749">
            <w:pPr>
              <w:pStyle w:val="Tabletext"/>
            </w:pPr>
            <w:r w:rsidRPr="00837FAD">
              <w:t>11</w:t>
            </w:r>
          </w:p>
        </w:tc>
        <w:tc>
          <w:tcPr>
            <w:tcW w:w="1559" w:type="dxa"/>
            <w:noWrap/>
          </w:tcPr>
          <w:p w14:paraId="0E20392D" w14:textId="77777777" w:rsidR="009D0006" w:rsidRPr="00EF597C" w:rsidRDefault="009D0006" w:rsidP="00FC6749">
            <w:pPr>
              <w:pStyle w:val="Tabletext"/>
            </w:pPr>
            <w:r w:rsidRPr="00837FAD">
              <w:t>1.7</w:t>
            </w:r>
          </w:p>
        </w:tc>
      </w:tr>
    </w:tbl>
    <w:p w14:paraId="3BCBE52E" w14:textId="77777777" w:rsidR="009D0006" w:rsidRDefault="009D0006" w:rsidP="00FC6749">
      <w:pPr>
        <w:pStyle w:val="Tableheading"/>
      </w:pPr>
      <w:bookmarkStart w:id="822" w:name="_Toc88231227"/>
      <w:bookmarkStart w:id="823" w:name="_Toc58252197"/>
      <w:r>
        <w:t>Table 97.2 Anglo-Celtic</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EF597C" w14:paraId="55A7004D"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823E357" w14:textId="77777777" w:rsidR="009D0006" w:rsidRPr="00EF597C" w:rsidRDefault="009D0006" w:rsidP="00FC6749">
            <w:pPr>
              <w:pStyle w:val="Tableheader"/>
              <w:rPr>
                <w:bCs/>
              </w:rPr>
            </w:pPr>
            <w:r>
              <w:t>Unfair treatment</w:t>
            </w:r>
          </w:p>
        </w:tc>
        <w:tc>
          <w:tcPr>
            <w:tcW w:w="1559" w:type="dxa"/>
            <w:noWrap/>
            <w:hideMark/>
          </w:tcPr>
          <w:p w14:paraId="33D53AFA" w14:textId="77777777" w:rsidR="009D0006" w:rsidRPr="003536B6" w:rsidRDefault="009D0006" w:rsidP="00FC6749">
            <w:pPr>
              <w:pStyle w:val="Tableheader"/>
              <w:rPr>
                <w:bCs/>
              </w:rPr>
            </w:pPr>
            <w:r w:rsidRPr="003536B6">
              <w:rPr>
                <w:bCs/>
              </w:rPr>
              <w:t>n</w:t>
            </w:r>
          </w:p>
        </w:tc>
        <w:tc>
          <w:tcPr>
            <w:tcW w:w="1559" w:type="dxa"/>
            <w:noWrap/>
            <w:hideMark/>
          </w:tcPr>
          <w:p w14:paraId="16444F68" w14:textId="77777777" w:rsidR="009D0006" w:rsidRPr="003536B6" w:rsidRDefault="009D0006" w:rsidP="00FC6749">
            <w:pPr>
              <w:pStyle w:val="Tableheader"/>
              <w:rPr>
                <w:bCs/>
              </w:rPr>
            </w:pPr>
            <w:r w:rsidRPr="003536B6">
              <w:rPr>
                <w:bCs/>
              </w:rPr>
              <w:t>%</w:t>
            </w:r>
          </w:p>
        </w:tc>
      </w:tr>
      <w:tr w:rsidR="009D0006" w:rsidRPr="003111BF" w14:paraId="7C545382"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2C37AAB" w14:textId="77777777" w:rsidR="009D0006" w:rsidRPr="00EF597C" w:rsidRDefault="009D0006" w:rsidP="00FC6749">
            <w:pPr>
              <w:pStyle w:val="Tabletext"/>
            </w:pPr>
            <w:r>
              <w:t>Not at all</w:t>
            </w:r>
          </w:p>
        </w:tc>
        <w:tc>
          <w:tcPr>
            <w:tcW w:w="1559" w:type="dxa"/>
            <w:noWrap/>
          </w:tcPr>
          <w:p w14:paraId="2045ACCB" w14:textId="77777777" w:rsidR="009D0006" w:rsidRPr="00EF597C" w:rsidRDefault="009D0006" w:rsidP="00FC6749">
            <w:pPr>
              <w:pStyle w:val="Tabletext"/>
            </w:pPr>
            <w:r w:rsidRPr="00837FAD">
              <w:t>1474</w:t>
            </w:r>
          </w:p>
        </w:tc>
        <w:tc>
          <w:tcPr>
            <w:tcW w:w="1559" w:type="dxa"/>
            <w:noWrap/>
          </w:tcPr>
          <w:p w14:paraId="2C02A3D8" w14:textId="77777777" w:rsidR="009D0006" w:rsidRPr="00EF597C" w:rsidRDefault="009D0006" w:rsidP="00FC6749">
            <w:pPr>
              <w:pStyle w:val="Tabletext"/>
            </w:pPr>
            <w:r w:rsidRPr="00837FAD">
              <w:t>92</w:t>
            </w:r>
            <w:r>
              <w:t>.0</w:t>
            </w:r>
          </w:p>
        </w:tc>
      </w:tr>
      <w:tr w:rsidR="009D0006" w:rsidRPr="003111BF" w14:paraId="669A432F"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A148B5A" w14:textId="77777777" w:rsidR="009D0006" w:rsidRPr="00EF597C" w:rsidRDefault="009D0006" w:rsidP="00FC6749">
            <w:pPr>
              <w:pStyle w:val="Tabletext"/>
            </w:pPr>
            <w:r>
              <w:t>A little</w:t>
            </w:r>
          </w:p>
        </w:tc>
        <w:tc>
          <w:tcPr>
            <w:tcW w:w="1559" w:type="dxa"/>
            <w:noWrap/>
          </w:tcPr>
          <w:p w14:paraId="1132CF8B" w14:textId="77777777" w:rsidR="009D0006" w:rsidRPr="00EF597C" w:rsidRDefault="009D0006" w:rsidP="00FC6749">
            <w:pPr>
              <w:pStyle w:val="Tabletext"/>
            </w:pPr>
            <w:r w:rsidRPr="00837FAD">
              <w:t>88</w:t>
            </w:r>
          </w:p>
        </w:tc>
        <w:tc>
          <w:tcPr>
            <w:tcW w:w="1559" w:type="dxa"/>
            <w:noWrap/>
          </w:tcPr>
          <w:p w14:paraId="6550C4C9" w14:textId="77777777" w:rsidR="009D0006" w:rsidRPr="00EF597C" w:rsidRDefault="009D0006" w:rsidP="00FC6749">
            <w:pPr>
              <w:pStyle w:val="Tabletext"/>
            </w:pPr>
            <w:r w:rsidRPr="00837FAD">
              <w:t>5.5</w:t>
            </w:r>
          </w:p>
        </w:tc>
      </w:tr>
      <w:tr w:rsidR="009D0006" w:rsidRPr="003111BF" w14:paraId="4CFA2644"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7105F0E" w14:textId="77777777" w:rsidR="009D0006" w:rsidRPr="00EF597C" w:rsidRDefault="009D0006" w:rsidP="00FC6749">
            <w:pPr>
              <w:pStyle w:val="Tabletext"/>
            </w:pPr>
            <w:r>
              <w:t>Somewhat</w:t>
            </w:r>
          </w:p>
        </w:tc>
        <w:tc>
          <w:tcPr>
            <w:tcW w:w="1559" w:type="dxa"/>
            <w:noWrap/>
          </w:tcPr>
          <w:p w14:paraId="5A1B7506" w14:textId="77777777" w:rsidR="009D0006" w:rsidRPr="00EF597C" w:rsidRDefault="009D0006" w:rsidP="00FC6749">
            <w:pPr>
              <w:pStyle w:val="Tabletext"/>
            </w:pPr>
            <w:r w:rsidRPr="00837FAD">
              <w:t>30</w:t>
            </w:r>
          </w:p>
        </w:tc>
        <w:tc>
          <w:tcPr>
            <w:tcW w:w="1559" w:type="dxa"/>
            <w:noWrap/>
          </w:tcPr>
          <w:p w14:paraId="6A655852" w14:textId="77777777" w:rsidR="009D0006" w:rsidRPr="00EF597C" w:rsidRDefault="009D0006" w:rsidP="00FC6749">
            <w:pPr>
              <w:pStyle w:val="Tabletext"/>
            </w:pPr>
            <w:r w:rsidRPr="00837FAD">
              <w:t>1.9</w:t>
            </w:r>
          </w:p>
        </w:tc>
      </w:tr>
      <w:tr w:rsidR="009D0006" w:rsidRPr="003111BF" w14:paraId="237A1A8A"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39AEECC" w14:textId="77777777" w:rsidR="009D0006" w:rsidRPr="00EF597C" w:rsidRDefault="009D0006" w:rsidP="00FC6749">
            <w:pPr>
              <w:pStyle w:val="Tabletext"/>
            </w:pPr>
            <w:r>
              <w:t>A lot</w:t>
            </w:r>
          </w:p>
        </w:tc>
        <w:tc>
          <w:tcPr>
            <w:tcW w:w="1559" w:type="dxa"/>
            <w:noWrap/>
          </w:tcPr>
          <w:p w14:paraId="59C7D7C2" w14:textId="77777777" w:rsidR="009D0006" w:rsidRPr="00EF597C" w:rsidRDefault="009D0006" w:rsidP="00FC6749">
            <w:pPr>
              <w:pStyle w:val="Tabletext"/>
            </w:pPr>
            <w:r w:rsidRPr="00837FAD">
              <w:t>9</w:t>
            </w:r>
          </w:p>
        </w:tc>
        <w:tc>
          <w:tcPr>
            <w:tcW w:w="1559" w:type="dxa"/>
            <w:noWrap/>
          </w:tcPr>
          <w:p w14:paraId="62AD0A89" w14:textId="77777777" w:rsidR="009D0006" w:rsidRPr="00EF597C" w:rsidRDefault="009D0006" w:rsidP="00FC6749">
            <w:pPr>
              <w:pStyle w:val="Tabletext"/>
            </w:pPr>
            <w:r w:rsidRPr="00837FAD">
              <w:t>0.6</w:t>
            </w:r>
          </w:p>
        </w:tc>
      </w:tr>
      <w:tr w:rsidR="009D0006" w:rsidRPr="003111BF" w14:paraId="7C2673F7"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E58E1C6" w14:textId="77777777" w:rsidR="009D0006" w:rsidRPr="00EF597C" w:rsidRDefault="009D0006" w:rsidP="00FC6749">
            <w:pPr>
              <w:pStyle w:val="Tabletext"/>
            </w:pPr>
            <w:r>
              <w:t>Always</w:t>
            </w:r>
          </w:p>
        </w:tc>
        <w:tc>
          <w:tcPr>
            <w:tcW w:w="1559" w:type="dxa"/>
            <w:noWrap/>
          </w:tcPr>
          <w:p w14:paraId="52DA20E6" w14:textId="77777777" w:rsidR="009D0006" w:rsidRPr="00EF597C" w:rsidRDefault="009D0006" w:rsidP="00FC6749">
            <w:pPr>
              <w:pStyle w:val="Tabletext"/>
            </w:pPr>
            <w:r w:rsidRPr="00837FAD">
              <w:t>2</w:t>
            </w:r>
          </w:p>
        </w:tc>
        <w:tc>
          <w:tcPr>
            <w:tcW w:w="1559" w:type="dxa"/>
            <w:noWrap/>
          </w:tcPr>
          <w:p w14:paraId="152D0BB2" w14:textId="77777777" w:rsidR="009D0006" w:rsidRPr="00EF597C" w:rsidRDefault="009D0006" w:rsidP="00FC6749">
            <w:pPr>
              <w:pStyle w:val="Tabletext"/>
            </w:pPr>
            <w:r w:rsidRPr="00837FAD">
              <w:t>0.1</w:t>
            </w:r>
          </w:p>
        </w:tc>
      </w:tr>
    </w:tbl>
    <w:p w14:paraId="6A3BD5CC" w14:textId="77777777" w:rsidR="009D0006" w:rsidRDefault="009D0006" w:rsidP="00AB4A74">
      <w:pPr>
        <w:spacing w:before="360"/>
      </w:pPr>
      <w:r>
        <w:t xml:space="preserve">As displayed in Tables 97.1-97.2, a substantially higher proportion of participants in </w:t>
      </w:r>
      <w:r>
        <w:rPr>
          <w:i/>
          <w:iCs/>
        </w:rPr>
        <w:t>Private Lives 3</w:t>
      </w:r>
      <w:r>
        <w:t xml:space="preserve"> from a multicultural background had been treated unfairly by others due to their ethnicity, cultural identity or heritage in the past 12 months (30.2%; n = 199) compared to participants from an Anglo-Celtic background (8.1%; n = 129).</w:t>
      </w:r>
      <w:bookmarkEnd w:id="822"/>
    </w:p>
    <w:p w14:paraId="1485D1BF" w14:textId="54FD96EA" w:rsidR="009D0006" w:rsidRPr="00C5739E" w:rsidRDefault="009D0006" w:rsidP="006346CA">
      <w:pPr>
        <w:pStyle w:val="Heading2Numbered"/>
      </w:pPr>
      <w:bookmarkStart w:id="824" w:name="_Toc115968634"/>
      <w:bookmarkStart w:id="825" w:name="_Toc119662466"/>
      <w:r w:rsidRPr="00C5739E">
        <w:t>Summary</w:t>
      </w:r>
      <w:bookmarkEnd w:id="823"/>
      <w:bookmarkEnd w:id="824"/>
      <w:bookmarkEnd w:id="825"/>
    </w:p>
    <w:p w14:paraId="6CCC4FAB" w14:textId="77777777" w:rsidR="009D0006" w:rsidRDefault="009D0006" w:rsidP="009D0006">
      <w:r>
        <w:t>Overall, participants with disability from multicultural backgrounds reported lower levels of participation and feelings of acceptance with LGBTIQ groups and events, lower levels of feelings of acceptance with family members and higher levels of experiences of harassment based on their sexual orientation or gender and psychological distress.</w:t>
      </w:r>
    </w:p>
    <w:p w14:paraId="751957AB" w14:textId="77777777" w:rsidR="009D0006" w:rsidRDefault="009D0006" w:rsidP="009D0006">
      <w:r>
        <w:t>Higher prop</w:t>
      </w:r>
      <w:r>
        <w:lastRenderedPageBreak/>
        <w:t>ortions of</w:t>
      </w:r>
      <w:r w:rsidRPr="00837FAD">
        <w:t xml:space="preserve"> </w:t>
      </w:r>
      <w:r>
        <w:t xml:space="preserve">young people aged 14-21 years with disability in </w:t>
      </w:r>
      <w:r>
        <w:rPr>
          <w:i/>
          <w:iCs/>
        </w:rPr>
        <w:t xml:space="preserve">Writing Themselves In 4 </w:t>
      </w:r>
      <w:r>
        <w:t xml:space="preserve">who were from a multicultural background had experienced verbal, physical and sexual harassment or assault compared to participants from an Anglo-Celtic background. Similarly, adults aged 18+ years from </w:t>
      </w:r>
      <w:r>
        <w:rPr>
          <w:i/>
          <w:iCs/>
        </w:rPr>
        <w:t xml:space="preserve">Private Lives 3 </w:t>
      </w:r>
      <w:r>
        <w:t>with disability from a multicultural background reported higher levels of social exclusion, verbal abuse, harassment and sexual assault based on their sexual orientation or gender identity. Adults aged 18+ years with disability from a multicultural background also reported higher levels of family violence.</w:t>
      </w:r>
    </w:p>
    <w:p w14:paraId="68452165" w14:textId="77777777" w:rsidR="009D0006" w:rsidRPr="002E04D2" w:rsidRDefault="009D0006" w:rsidP="009D0006">
      <w:r>
        <w:t xml:space="preserve">Both young people aged 14-21 years with disability in </w:t>
      </w:r>
      <w:r>
        <w:rPr>
          <w:i/>
          <w:iCs/>
        </w:rPr>
        <w:t xml:space="preserve">Writing Themselves In 4 </w:t>
      </w:r>
      <w:r>
        <w:t xml:space="preserve">and adults aged 18+ years from </w:t>
      </w:r>
      <w:r>
        <w:rPr>
          <w:i/>
          <w:iCs/>
        </w:rPr>
        <w:t xml:space="preserve">Private Lives 3 </w:t>
      </w:r>
      <w:r>
        <w:t>with disability reported higher levels of psychological distress, suicidal ideation and suicide attempts in the past 12 months than their Anglo-Celtic peers.</w:t>
      </w:r>
    </w:p>
    <w:p w14:paraId="3F1F1DA5" w14:textId="77777777" w:rsidR="009D0006" w:rsidRDefault="009D0006" w:rsidP="009D0006">
      <w:r>
        <w:t xml:space="preserve">Importantly, one-third of adults aged 18+ years with disability in </w:t>
      </w:r>
      <w:r>
        <w:rPr>
          <w:i/>
          <w:iCs/>
        </w:rPr>
        <w:t>Private Lives 3</w:t>
      </w:r>
      <w:r>
        <w:t xml:space="preserve"> from a multicultural background had been treated unfairly by others due to their ethnicity, cultural identity or heritage in the past 12 months compared to less than one-tenth of those who were Anglo-Celtic.</w:t>
      </w:r>
    </w:p>
    <w:p w14:paraId="27C129BF" w14:textId="77777777" w:rsidR="009D0006" w:rsidRDefault="009D0006" w:rsidP="009D0006">
      <w:pPr>
        <w:rPr>
          <w:rFonts w:ascii="Roboto" w:eastAsia="MS Mincho" w:hAnsi="Roboto" w:cs="Arial"/>
          <w:color w:val="000000" w:themeColor="text1"/>
          <w:spacing w:val="5"/>
          <w:sz w:val="52"/>
          <w:szCs w:val="52"/>
          <w:lang w:bidi="en-US"/>
        </w:rPr>
      </w:pPr>
      <w:r>
        <w:br w:type="page"/>
      </w:r>
    </w:p>
    <w:p w14:paraId="386B3FF5" w14:textId="3CCA351D" w:rsidR="009D0006" w:rsidRPr="00A25867" w:rsidRDefault="009D0006" w:rsidP="006346CA">
      <w:pPr>
        <w:pStyle w:val="Heading1Numbered"/>
      </w:pPr>
      <w:bookmarkStart w:id="826" w:name="_Toc58252198"/>
      <w:bookmarkStart w:id="827" w:name="_Toc115968635"/>
      <w:bookmarkStart w:id="828" w:name="_Toc119662467"/>
      <w:r w:rsidRPr="00A25867">
        <w:t>Intersectio</w:t>
      </w:r>
      <w:r w:rsidRPr="00A25867">
        <w:lastRenderedPageBreak/>
        <w:t xml:space="preserve">ns: </w:t>
      </w:r>
      <w:r>
        <w:t>a</w:t>
      </w:r>
      <w:r w:rsidRPr="00A25867">
        <w:t>rea of residence</w:t>
      </w:r>
      <w:bookmarkStart w:id="829" w:name="_Toc43978252"/>
      <w:bookmarkStart w:id="830" w:name="_Toc43999755"/>
      <w:bookmarkStart w:id="831" w:name="_Toc46484890"/>
      <w:bookmarkEnd w:id="826"/>
      <w:r w:rsidRPr="00A25867">
        <w:t xml:space="preserve"> and disability</w:t>
      </w:r>
      <w:bookmarkEnd w:id="827"/>
      <w:bookmarkEnd w:id="828"/>
    </w:p>
    <w:p w14:paraId="05815CFE" w14:textId="77777777" w:rsidR="009D0006" w:rsidRPr="00021FAD" w:rsidRDefault="009D0006" w:rsidP="009D0006">
      <w:r w:rsidRPr="00A25867">
        <w:t xml:space="preserve">LGBTQA+ people </w:t>
      </w:r>
      <w:r>
        <w:t xml:space="preserve">with disability </w:t>
      </w:r>
      <w:r w:rsidRPr="00A25867">
        <w:t xml:space="preserve">who live in </w:t>
      </w:r>
      <w:r>
        <w:t xml:space="preserve">a </w:t>
      </w:r>
      <w:r w:rsidRPr="00A25867">
        <w:t xml:space="preserve">regional and rural area may face </w:t>
      </w:r>
      <w:r>
        <w:t xml:space="preserve">a variety </w:t>
      </w:r>
      <w:r w:rsidRPr="00A25867">
        <w:t>additional challenges, such as limited access to</w:t>
      </w:r>
      <w:r>
        <w:t xml:space="preserve"> accessible and</w:t>
      </w:r>
      <w:r w:rsidRPr="00A25867">
        <w:t xml:space="preserve"> inclusive health and support services, cultures and social spaces</w:t>
      </w:r>
      <w:r>
        <w:t xml:space="preserve"> as well as disability</w:t>
      </w:r>
      <w:r w:rsidRPr="00A25867">
        <w:t xml:space="preserve"> peer support networks </w:t>
      </w:r>
      <w:r>
        <w:t>or LGBTQA+</w:t>
      </w:r>
      <w:r w:rsidRPr="00A25867">
        <w:t xml:space="preserve"> </w:t>
      </w:r>
      <w:r>
        <w:t>support networks</w:t>
      </w:r>
      <w:r w:rsidRPr="00A25867">
        <w:t xml:space="preserve">. </w:t>
      </w:r>
      <w:r>
        <w:t>Lesbian, gay, bisexual and trans and gender diverse young</w:t>
      </w:r>
      <w:r w:rsidRPr="00A25867">
        <w:t xml:space="preserve"> people </w:t>
      </w:r>
      <w:r>
        <w:t xml:space="preserve">residing </w:t>
      </w:r>
      <w:r w:rsidRPr="00A25867">
        <w:t xml:space="preserve">in </w:t>
      </w:r>
      <w:r>
        <w:t xml:space="preserve">a </w:t>
      </w:r>
      <w:r w:rsidRPr="00A25867">
        <w:t xml:space="preserve">rural </w:t>
      </w:r>
      <w:r>
        <w:t>and</w:t>
      </w:r>
      <w:r w:rsidRPr="00A25867">
        <w:t xml:space="preserve"> remote area in Australia </w:t>
      </w:r>
      <w:r>
        <w:t>reported</w:t>
      </w:r>
      <w:r w:rsidRPr="00A25867">
        <w:t xml:space="preserve"> higher </w:t>
      </w:r>
      <w:r>
        <w:t>levels</w:t>
      </w:r>
      <w:r w:rsidRPr="00A25867">
        <w:t xml:space="preserve"> of isolation</w:t>
      </w:r>
      <w:r>
        <w:t xml:space="preserve"> and</w:t>
      </w:r>
      <w:r w:rsidRPr="00A25867">
        <w:t xml:space="preserve"> discrimination</w:t>
      </w:r>
      <w:r>
        <w:t xml:space="preserve"> </w:t>
      </w:r>
      <w:r w:rsidRPr="00A25867">
        <w:t>than their peers in more urban areas</w:t>
      </w:r>
      <w:r w:rsidRPr="00A25867">
        <w:fldChar w:fldCharType="begin"/>
      </w:r>
      <w:r>
        <w:instrText xml:space="preserve"> ADDIN ZOTERO_ITEM CSL_CITATION {"citationID":"C4qDmwbX","properties":{"formattedCitation":"(95)","plainCitation":"(95)","noteIndex":0},"citationItems":[{"id":"hc6yy1rM/04afOSLU","uris":["http://zotero.org/users/4948307/items/2VGMW9LD"],"itemData":{"id":52,"type":"article-journal","abstract":"This paper considers the different experiences for gay, lesbian, bisexual, transgender, intersex and queer (GLBTIQ) students from rural and urban education contexts. It draws on data from three studies of GLBTIQ students I have conducted since 2010, including a 2010 online survey of 3,134 GLBTIQ students in which one fifth came from rural areas; a 2012 study of transgender people and a 2013 study of transgender and intersex students. The different studies repeatedly showed that GLBTIQ students from rural and remote towns experienced isolation, social discrimination and a lack of appropriate services and support. They were less likely to feel safe at school, at social occasions and on the internet than their urban peers. Many aspired to leave their rural and regional homes to become the person they wanted to be in an urban environment. The paper concludes by recommending specific training, resources and contacts to improve rural education services for these students.","container-title":"Australian and International Journal of Rural Education","issue":"2","language":"EN","note":"publisher: Society for the Provision of Education in Rural Australia","page":"44","source":"search.informit.com.au","title":"Comparing rural and urban education contexts for GLBTIQ students","volume":"25","author":[{"family":"Jones","given":"Tiffany"}],"issued":{"date-parts":[["2015",8]]}}}],"schema":"https://github.com/citation-style-language/schema/raw/master/csl-citation.json"} </w:instrText>
      </w:r>
      <w:r w:rsidRPr="00A25867">
        <w:fldChar w:fldCharType="separate"/>
      </w:r>
      <w:r>
        <w:rPr>
          <w:lang w:val="en-GB"/>
        </w:rPr>
        <w:t>(95)</w:t>
      </w:r>
      <w:r w:rsidRPr="00A25867">
        <w:fldChar w:fldCharType="end"/>
      </w:r>
      <w:r>
        <w:t>, while adults reported higher levels of discrimination in health care settings.</w:t>
      </w:r>
      <w:r>
        <w:fldChar w:fldCharType="begin"/>
      </w:r>
      <w:r>
        <w:instrText xml:space="preserve"> ADDIN ZOTERO_ITEM CSL_CITATION {"citationID":"beXX6GOE","properties":{"formattedCitation":"(96)","plainCitation":"(96)","noteIndex":0},"citationItems":[{"id":"hc6yy1rM/NNG4VaVJ","uris":["http://zotero.org/users/4948307/items/EIU4SPE4"],"itemData":{"id":139,"type":"article-journal","abstract":"Prior research describes signiﬁcantly worse health outcomes experienced by lesbian, gay, bisexual, and transgender (LGBT) people relative to their heterosexual and cisgender counterparts. A prevalent research focus on urban LGBT populations has created a gap in understanding rural LGBT health care and outcomes from a holistic perspective. The present article provides a literature review focusing on the health and health care experiences of LGBT people living in rural areas and highlighting challenges and opportunities for growth in providing culturally competent rural health care. We conducted a systematic review that resulted in the inclusion of 58 articles focused on the health of rural LGBTQ people published between 1998 and February 2016. Findings clustered around 3 themes: (1) individual health outcomes and risk behaviors, (2) experiences of health care and interactions with the health care system, and (3) sociocultural factors at the intersection of rurality and health. Evidence-based recommendations for systemic change and interventions to promote health among rural LGBT people are provided.","container-title":"Stigma and Health","DOI":"10.1037/sah0000055","ISSN":"2376-6964, 2376-6972","issue":"3","journalAbbreviation":"Stigma and Health","language":"en","page":"229-243","source":"DOI.org (Crossref)","title":"Health and health care of rural sexual and gender minorities: A systematic review.","title-short":"Health and health care of rural sexual and gender minorities","volume":"2","author":[{"family":"Rosenkrantz","given":"Dani E."},{"family":"Black","given":"Whitney W."},{"family":"Abreu","given":"Roberto L."},{"family":"Aleshire","given":"Mollie E."},{"family":"Fallin-Bennett","given":"Keisa"}],"issued":{"date-parts":[["2017",8]]}}}],"schema":"https://github.com/citation-style-language/schema/raw/master/csl-citation.json"} </w:instrText>
      </w:r>
      <w:r>
        <w:fldChar w:fldCharType="separate"/>
      </w:r>
      <w:r>
        <w:rPr>
          <w:lang w:val="en-GB"/>
        </w:rPr>
        <w:t>(96)</w:t>
      </w:r>
      <w:r>
        <w:fldChar w:fldCharType="end"/>
      </w:r>
    </w:p>
    <w:bookmarkEnd w:id="829"/>
    <w:bookmarkEnd w:id="830"/>
    <w:bookmarkEnd w:id="831"/>
    <w:p w14:paraId="4ED93E96" w14:textId="77777777" w:rsidR="009D0006" w:rsidRPr="00A25867" w:rsidRDefault="009D0006" w:rsidP="009D0006">
      <w:r w:rsidRPr="00A25867">
        <w:rPr>
          <w:i/>
        </w:rPr>
        <w:t>Writing Themse</w:t>
      </w:r>
      <w:r w:rsidRPr="00A25867">
        <w:rPr>
          <w:i/>
          <w:iCs/>
        </w:rPr>
        <w:t xml:space="preserve">lves In 4 </w:t>
      </w:r>
      <w:r w:rsidRPr="00A25867">
        <w:t xml:space="preserve">and </w:t>
      </w:r>
      <w:r w:rsidRPr="00A25867">
        <w:rPr>
          <w:i/>
          <w:iCs/>
        </w:rPr>
        <w:t xml:space="preserve">Private Lives 3 </w:t>
      </w:r>
      <w:r w:rsidRPr="00A25867">
        <w:t>participants were asked ‘How would you describe the area in which you live?’ Responses were as follows:</w:t>
      </w:r>
    </w:p>
    <w:p w14:paraId="7F42D0D0" w14:textId="77777777" w:rsidR="009D0006" w:rsidRPr="00A25867" w:rsidRDefault="009D0006" w:rsidP="00FC6749">
      <w:pPr>
        <w:pStyle w:val="Bulletlist"/>
      </w:pPr>
      <w:r w:rsidRPr="00A25867">
        <w:t xml:space="preserve">Capital city - city centre </w:t>
      </w:r>
    </w:p>
    <w:p w14:paraId="4151B0FA" w14:textId="77777777" w:rsidR="009D0006" w:rsidRPr="00A25867" w:rsidRDefault="009D0006" w:rsidP="00FC6749">
      <w:pPr>
        <w:pStyle w:val="Bulletlist"/>
      </w:pPr>
      <w:r w:rsidRPr="00A25867">
        <w:t xml:space="preserve">Capital city - suburbs </w:t>
      </w:r>
    </w:p>
    <w:p w14:paraId="75FF3292" w14:textId="77777777" w:rsidR="009D0006" w:rsidRPr="00A25867" w:rsidRDefault="009D0006" w:rsidP="00FC6749">
      <w:pPr>
        <w:pStyle w:val="Bulletlist"/>
      </w:pPr>
      <w:r w:rsidRPr="00A25867">
        <w:t xml:space="preserve">Regional city or town </w:t>
      </w:r>
    </w:p>
    <w:p w14:paraId="5A43FD61" w14:textId="77777777" w:rsidR="009D0006" w:rsidRPr="00A25867" w:rsidRDefault="009D0006" w:rsidP="00FC6749">
      <w:pPr>
        <w:pStyle w:val="Bulletlist"/>
      </w:pPr>
      <w:r w:rsidRPr="00A25867">
        <w:t xml:space="preserve">Rural (countryside) </w:t>
      </w:r>
    </w:p>
    <w:p w14:paraId="7D5C5344" w14:textId="77777777" w:rsidR="009D0006" w:rsidRDefault="009D0006" w:rsidP="00FC6749">
      <w:pPr>
        <w:pStyle w:val="Bulletlist"/>
      </w:pPr>
      <w:r w:rsidRPr="00A25867">
        <w:t>Remote (countryside and far from any towns or cities)</w:t>
      </w:r>
    </w:p>
    <w:p w14:paraId="59F36085" w14:textId="77777777" w:rsidR="009D0006" w:rsidRPr="00A25867" w:rsidRDefault="009D0006" w:rsidP="009D0006">
      <w:r w:rsidRPr="00A25867">
        <w:t>Responses for ‘rural’ and ‘remote’ were combined into one category for analysis purposes. This chapter therefore analyses participant responses across four broad categories: ‘capital city, city centre’, ‘capital city, suburbs’, ‘regional city or town’, ‘</w:t>
      </w:r>
      <w:r>
        <w:t>Rural or remote</w:t>
      </w:r>
      <w:r w:rsidRPr="00A25867">
        <w:t xml:space="preserve"> area’</w:t>
      </w:r>
      <w:r>
        <w:t xml:space="preserve">. </w:t>
      </w:r>
      <w:r w:rsidRPr="00021FAD">
        <w:t xml:space="preserve">The following chapter provides an overview regarding the experiences of LGBTQA+ people with disability </w:t>
      </w:r>
      <w:r>
        <w:t>residing in a range of urban and rural environments</w:t>
      </w:r>
      <w:r w:rsidRPr="00021FAD">
        <w:t xml:space="preserve"> in </w:t>
      </w:r>
      <w:r w:rsidRPr="00021FAD">
        <w:rPr>
          <w:i/>
          <w:iCs/>
        </w:rPr>
        <w:t>Writing Themselves In 4</w:t>
      </w:r>
      <w:r w:rsidRPr="00021FAD">
        <w:t xml:space="preserve"> and </w:t>
      </w:r>
      <w:r w:rsidRPr="00021FAD">
        <w:rPr>
          <w:i/>
          <w:iCs/>
        </w:rPr>
        <w:t>Private Lives 3</w:t>
      </w:r>
      <w:r w:rsidRPr="00021FAD">
        <w:t>.</w:t>
      </w:r>
    </w:p>
    <w:p w14:paraId="68CAC23A" w14:textId="34647938" w:rsidR="009D0006" w:rsidRPr="00C5739E" w:rsidRDefault="009D0006" w:rsidP="006346CA">
      <w:pPr>
        <w:pStyle w:val="Heading2Numbered"/>
      </w:pPr>
      <w:bookmarkStart w:id="832" w:name="_Toc115968636"/>
      <w:bookmarkStart w:id="833" w:name="_Toc119662468"/>
      <w:r w:rsidRPr="00C5739E">
        <w:t>Community belonging</w:t>
      </w:r>
      <w:bookmarkEnd w:id="832"/>
      <w:bookmarkEnd w:id="833"/>
    </w:p>
    <w:p w14:paraId="458A2B33" w14:textId="0D8B3176" w:rsidR="009D0006" w:rsidRPr="00745452" w:rsidRDefault="009D0006" w:rsidP="006346CA">
      <w:pPr>
        <w:pStyle w:val="Heading3Numbered"/>
      </w:pPr>
      <w:bookmarkStart w:id="834" w:name="_Toc115968637"/>
      <w:r w:rsidRPr="00900AE0">
        <w:t>Feel</w:t>
      </w:r>
      <w:r>
        <w:t>ing</w:t>
      </w:r>
      <w:r w:rsidRPr="00900AE0">
        <w:t xml:space="preserve"> part of Australia’s LGBTIQ community – adults aged 18+ years</w:t>
      </w:r>
      <w:bookmarkEnd w:id="834"/>
    </w:p>
    <w:p w14:paraId="60A80E3B" w14:textId="77777777" w:rsidR="009D0006" w:rsidRPr="00A25867" w:rsidRDefault="009D0006" w:rsidP="009D0006">
      <w:r w:rsidRPr="00A25867">
        <w:t xml:space="preserve">Participants </w:t>
      </w:r>
      <w:r>
        <w:t xml:space="preserve">from </w:t>
      </w:r>
      <w:r w:rsidRPr="004B71BD">
        <w:rPr>
          <w:i/>
          <w:iCs/>
        </w:rPr>
        <w:t>Private Lives 3</w:t>
      </w:r>
      <w:r>
        <w:t xml:space="preserve"> </w:t>
      </w:r>
      <w:r w:rsidRPr="00A25867">
        <w:t>were asked the extent to which ‘you feel you're a part of the Australian LGBTIQ community’</w:t>
      </w:r>
      <w:r>
        <w:t>. R</w:t>
      </w:r>
      <w:r w:rsidRPr="00A25867">
        <w:t xml:space="preserve">esponse options </w:t>
      </w:r>
      <w:r>
        <w:t xml:space="preserve">were </w:t>
      </w:r>
      <w:r w:rsidRPr="00A25867">
        <w:t xml:space="preserve">provided on a </w:t>
      </w:r>
      <w:r>
        <w:t>5</w:t>
      </w:r>
      <w:r w:rsidRPr="00A25867">
        <w:t>-point scale ranging from ‘strongly disagree’ to strongly agree’</w:t>
      </w:r>
      <w:r>
        <w:t>.</w:t>
      </w:r>
      <w:r w:rsidRPr="00A25867">
        <w:t xml:space="preserve"> Table </w:t>
      </w:r>
      <w:r>
        <w:t xml:space="preserve">96 displays </w:t>
      </w:r>
      <w:r w:rsidRPr="00A25867">
        <w:t xml:space="preserve">these results </w:t>
      </w:r>
      <w:r w:rsidRPr="00A25867">
        <w:rPr>
          <w:bCs/>
        </w:rPr>
        <w:t xml:space="preserve">according to </w:t>
      </w:r>
      <w:r>
        <w:t>participants’ area of residence.</w:t>
      </w:r>
    </w:p>
    <w:p w14:paraId="131473C5" w14:textId="647B0830" w:rsidR="009D0006" w:rsidRDefault="009D0006" w:rsidP="00FC6749">
      <w:pPr>
        <w:pStyle w:val="Tableheading"/>
      </w:pPr>
      <w:bookmarkStart w:id="835" w:name="_Toc117062815"/>
      <w:bookmarkStart w:id="836" w:name="_Toc119651500"/>
      <w:r w:rsidRPr="004B71BD">
        <w:t>Table</w:t>
      </w:r>
      <w:r>
        <w:t>s</w:t>
      </w:r>
      <w:r w:rsidRPr="004B71BD">
        <w:t xml:space="preserve"> </w:t>
      </w:r>
      <w:r>
        <w:rPr>
          <w:noProof/>
        </w:rPr>
        <w:fldChar w:fldCharType="begin"/>
      </w:r>
      <w:r>
        <w:rPr>
          <w:noProof/>
        </w:rPr>
        <w:instrText xml:space="preserve"> SE</w:instrText>
      </w:r>
      <w:r>
        <w:rPr>
          <w:noProof/>
        </w:rPr>
        <w:lastRenderedPageBreak/>
        <w:instrText xml:space="preserve">Q Table \* ARABIC </w:instrText>
      </w:r>
      <w:r>
        <w:rPr>
          <w:noProof/>
        </w:rPr>
        <w:fldChar w:fldCharType="separate"/>
      </w:r>
      <w:r>
        <w:rPr>
          <w:noProof/>
        </w:rPr>
        <w:t>98</w:t>
      </w:r>
      <w:r>
        <w:rPr>
          <w:noProof/>
        </w:rPr>
        <w:fldChar w:fldCharType="end"/>
      </w:r>
      <w:r>
        <w:rPr>
          <w:noProof/>
        </w:rPr>
        <w:t>.1-98.4</w:t>
      </w:r>
      <w:r>
        <w:t xml:space="preserve">: </w:t>
      </w:r>
      <w:r w:rsidRPr="00022103">
        <w:t xml:space="preserve">You feel you’re part of Australia’s LGBTIQ community </w:t>
      </w:r>
      <w:r>
        <w:t xml:space="preserve">among adults with disability aged 18+ years, grouped </w:t>
      </w:r>
      <w:r w:rsidRPr="00022103">
        <w:t>by area of residence</w:t>
      </w:r>
      <w:r>
        <w:t xml:space="preserve"> </w:t>
      </w:r>
      <w:r w:rsidRPr="00022103">
        <w:t>(n = 2602)</w:t>
      </w:r>
      <w:bookmarkEnd w:id="835"/>
      <w:bookmarkEnd w:id="836"/>
    </w:p>
    <w:p w14:paraId="12A9F57B" w14:textId="77777777" w:rsidR="009D0006" w:rsidRPr="00022103" w:rsidRDefault="009D0006" w:rsidP="00FC6749">
      <w:pPr>
        <w:pStyle w:val="Tableheading"/>
      </w:pPr>
      <w:r>
        <w:t>Table 98.1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B6C25A7"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D3B29E8" w14:textId="77777777" w:rsidR="009D0006" w:rsidRPr="00A25867" w:rsidRDefault="009D0006" w:rsidP="00FC6749">
            <w:pPr>
              <w:pStyle w:val="Tableheader"/>
            </w:pPr>
            <w:r>
              <w:t>Feel part of LGBTIQ community</w:t>
            </w:r>
          </w:p>
        </w:tc>
        <w:tc>
          <w:tcPr>
            <w:tcW w:w="1559" w:type="dxa"/>
            <w:noWrap/>
            <w:hideMark/>
          </w:tcPr>
          <w:p w14:paraId="01C361EE" w14:textId="77777777" w:rsidR="009D0006" w:rsidRPr="00FD2BAC" w:rsidRDefault="009D0006" w:rsidP="00FC6749">
            <w:pPr>
              <w:pStyle w:val="Tableheader"/>
              <w:rPr>
                <w:bCs/>
              </w:rPr>
            </w:pPr>
            <w:r w:rsidRPr="00FD2BAC">
              <w:rPr>
                <w:bCs/>
              </w:rPr>
              <w:t>n</w:t>
            </w:r>
          </w:p>
        </w:tc>
        <w:tc>
          <w:tcPr>
            <w:tcW w:w="1559" w:type="dxa"/>
            <w:noWrap/>
            <w:hideMark/>
          </w:tcPr>
          <w:p w14:paraId="3F90A73A" w14:textId="77777777" w:rsidR="009D0006" w:rsidRPr="00FD2BAC" w:rsidRDefault="009D0006" w:rsidP="00FC6749">
            <w:pPr>
              <w:pStyle w:val="Tableheader"/>
              <w:rPr>
                <w:bCs/>
              </w:rPr>
            </w:pPr>
            <w:r w:rsidRPr="00FD2BAC">
              <w:rPr>
                <w:bCs/>
              </w:rPr>
              <w:t>%</w:t>
            </w:r>
          </w:p>
        </w:tc>
      </w:tr>
      <w:tr w:rsidR="009D0006" w:rsidRPr="00A25867" w14:paraId="7D2D8FF7"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EED5061" w14:textId="77777777" w:rsidR="009D0006" w:rsidRPr="00A25867" w:rsidRDefault="009D0006" w:rsidP="00FC6749">
            <w:pPr>
              <w:pStyle w:val="Tabletext"/>
            </w:pPr>
            <w:r w:rsidRPr="00A25867">
              <w:t>Do not agree</w:t>
            </w:r>
          </w:p>
        </w:tc>
        <w:tc>
          <w:tcPr>
            <w:tcW w:w="1559" w:type="dxa"/>
            <w:noWrap/>
          </w:tcPr>
          <w:p w14:paraId="21319BD7" w14:textId="77777777" w:rsidR="009D0006" w:rsidRPr="00A25867" w:rsidRDefault="009D0006" w:rsidP="00FC6749">
            <w:pPr>
              <w:pStyle w:val="Tabletext"/>
            </w:pPr>
            <w:r>
              <w:t>410</w:t>
            </w:r>
          </w:p>
        </w:tc>
        <w:tc>
          <w:tcPr>
            <w:tcW w:w="1559" w:type="dxa"/>
            <w:noWrap/>
          </w:tcPr>
          <w:p w14:paraId="073451AA" w14:textId="77777777" w:rsidR="009D0006" w:rsidRPr="00A25867" w:rsidRDefault="009D0006" w:rsidP="00FC6749">
            <w:pPr>
              <w:pStyle w:val="Tabletext"/>
            </w:pPr>
            <w:r>
              <w:t>40.5</w:t>
            </w:r>
          </w:p>
        </w:tc>
      </w:tr>
      <w:tr w:rsidR="009D0006" w:rsidRPr="00A25867" w14:paraId="13508606"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7F8F32F" w14:textId="77777777" w:rsidR="009D0006" w:rsidRPr="00A25867" w:rsidRDefault="009D0006" w:rsidP="00FC6749">
            <w:pPr>
              <w:pStyle w:val="Tabletext"/>
            </w:pPr>
            <w:r w:rsidRPr="00A25867">
              <w:t>Agree</w:t>
            </w:r>
            <w:r>
              <w:t xml:space="preserve"> or </w:t>
            </w:r>
            <w:r w:rsidRPr="00A25867">
              <w:t>strongly agree</w:t>
            </w:r>
          </w:p>
        </w:tc>
        <w:tc>
          <w:tcPr>
            <w:tcW w:w="1559" w:type="dxa"/>
            <w:noWrap/>
          </w:tcPr>
          <w:p w14:paraId="0496470B" w14:textId="77777777" w:rsidR="009D0006" w:rsidRPr="00A25867" w:rsidRDefault="009D0006" w:rsidP="00FC6749">
            <w:pPr>
              <w:pStyle w:val="Tabletext"/>
            </w:pPr>
            <w:r>
              <w:t>603</w:t>
            </w:r>
          </w:p>
        </w:tc>
        <w:tc>
          <w:tcPr>
            <w:tcW w:w="1559" w:type="dxa"/>
            <w:noWrap/>
          </w:tcPr>
          <w:p w14:paraId="143012DE" w14:textId="77777777" w:rsidR="009D0006" w:rsidRPr="00A25867" w:rsidRDefault="009D0006" w:rsidP="00FC6749">
            <w:pPr>
              <w:pStyle w:val="Tabletext"/>
            </w:pPr>
            <w:r>
              <w:t>59.5</w:t>
            </w:r>
          </w:p>
        </w:tc>
      </w:tr>
    </w:tbl>
    <w:p w14:paraId="13325093" w14:textId="77777777" w:rsidR="009D0006" w:rsidRDefault="009D0006" w:rsidP="00FC6749">
      <w:pPr>
        <w:pStyle w:val="Tableheading"/>
      </w:pPr>
      <w:r>
        <w:t>Table 98.2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4F983C4"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C49DA51" w14:textId="77777777" w:rsidR="009D0006" w:rsidRPr="00A25867" w:rsidRDefault="009D0006" w:rsidP="00FC6749">
            <w:pPr>
              <w:pStyle w:val="Tableheader"/>
            </w:pPr>
            <w:r>
              <w:t>Feel part of LGBTIQ community</w:t>
            </w:r>
          </w:p>
        </w:tc>
        <w:tc>
          <w:tcPr>
            <w:tcW w:w="1559" w:type="dxa"/>
            <w:noWrap/>
            <w:hideMark/>
          </w:tcPr>
          <w:p w14:paraId="084910C6" w14:textId="77777777" w:rsidR="009D0006" w:rsidRPr="00FD2BAC" w:rsidRDefault="009D0006" w:rsidP="00FC6749">
            <w:pPr>
              <w:pStyle w:val="Tableheader"/>
              <w:rPr>
                <w:bCs/>
              </w:rPr>
            </w:pPr>
            <w:r w:rsidRPr="00FD2BAC">
              <w:rPr>
                <w:bCs/>
              </w:rPr>
              <w:t>n</w:t>
            </w:r>
          </w:p>
        </w:tc>
        <w:tc>
          <w:tcPr>
            <w:tcW w:w="1559" w:type="dxa"/>
            <w:noWrap/>
            <w:hideMark/>
          </w:tcPr>
          <w:p w14:paraId="76152A02" w14:textId="77777777" w:rsidR="009D0006" w:rsidRPr="00FD2BAC" w:rsidRDefault="009D0006" w:rsidP="00FC6749">
            <w:pPr>
              <w:pStyle w:val="Tableheader"/>
              <w:rPr>
                <w:bCs/>
              </w:rPr>
            </w:pPr>
            <w:r w:rsidRPr="00FD2BAC">
              <w:rPr>
                <w:bCs/>
              </w:rPr>
              <w:t>%</w:t>
            </w:r>
          </w:p>
        </w:tc>
      </w:tr>
      <w:tr w:rsidR="009D0006" w:rsidRPr="00A25867" w14:paraId="084F076E"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340C58E" w14:textId="77777777" w:rsidR="009D0006" w:rsidRPr="00A25867" w:rsidRDefault="009D0006" w:rsidP="00FC6749">
            <w:pPr>
              <w:pStyle w:val="Tabletext"/>
            </w:pPr>
            <w:r w:rsidRPr="00A25867">
              <w:t>Do not agree</w:t>
            </w:r>
          </w:p>
        </w:tc>
        <w:tc>
          <w:tcPr>
            <w:tcW w:w="1559" w:type="dxa"/>
            <w:noWrap/>
          </w:tcPr>
          <w:p w14:paraId="36E799C6" w14:textId="77777777" w:rsidR="009D0006" w:rsidRPr="00A25867" w:rsidRDefault="009D0006" w:rsidP="00FC6749">
            <w:pPr>
              <w:pStyle w:val="Tabletext"/>
            </w:pPr>
            <w:r>
              <w:t>368</w:t>
            </w:r>
          </w:p>
        </w:tc>
        <w:tc>
          <w:tcPr>
            <w:tcW w:w="1559" w:type="dxa"/>
            <w:noWrap/>
          </w:tcPr>
          <w:p w14:paraId="6E031BD1" w14:textId="77777777" w:rsidR="009D0006" w:rsidRPr="00A25867" w:rsidRDefault="009D0006" w:rsidP="00FC6749">
            <w:pPr>
              <w:pStyle w:val="Tabletext"/>
            </w:pPr>
            <w:r>
              <w:t>47.3</w:t>
            </w:r>
          </w:p>
        </w:tc>
      </w:tr>
      <w:tr w:rsidR="009D0006" w:rsidRPr="00A25867" w14:paraId="2A621213"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ADCCD05" w14:textId="77777777" w:rsidR="009D0006" w:rsidRPr="00A25867" w:rsidRDefault="009D0006" w:rsidP="00FC6749">
            <w:pPr>
              <w:pStyle w:val="Tabletext"/>
            </w:pPr>
            <w:r w:rsidRPr="00A25867">
              <w:t>Agree</w:t>
            </w:r>
            <w:r>
              <w:t xml:space="preserve"> or </w:t>
            </w:r>
            <w:r w:rsidRPr="00A25867">
              <w:t>strongly agree</w:t>
            </w:r>
          </w:p>
        </w:tc>
        <w:tc>
          <w:tcPr>
            <w:tcW w:w="1559" w:type="dxa"/>
            <w:noWrap/>
          </w:tcPr>
          <w:p w14:paraId="63B20C49" w14:textId="77777777" w:rsidR="009D0006" w:rsidRPr="00A25867" w:rsidRDefault="009D0006" w:rsidP="00FC6749">
            <w:pPr>
              <w:pStyle w:val="Tabletext"/>
            </w:pPr>
            <w:r>
              <w:t>410</w:t>
            </w:r>
          </w:p>
        </w:tc>
        <w:tc>
          <w:tcPr>
            <w:tcW w:w="1559" w:type="dxa"/>
            <w:noWrap/>
          </w:tcPr>
          <w:p w14:paraId="408E33B2" w14:textId="77777777" w:rsidR="009D0006" w:rsidRPr="00A25867" w:rsidRDefault="009D0006" w:rsidP="00FC6749">
            <w:pPr>
              <w:pStyle w:val="Tabletext"/>
            </w:pPr>
            <w:r>
              <w:t>52.7</w:t>
            </w:r>
          </w:p>
        </w:tc>
      </w:tr>
    </w:tbl>
    <w:p w14:paraId="0F5C37A6" w14:textId="77777777" w:rsidR="009D0006" w:rsidRDefault="009D0006" w:rsidP="00FC6749">
      <w:pPr>
        <w:pStyle w:val="Tableheading"/>
      </w:pPr>
      <w:r>
        <w:t>Table 98.3 Regional city or town</w:t>
      </w:r>
    </w:p>
    <w:tbl>
      <w:tblPr>
        <w:tblStyle w:val="RCTable"/>
        <w:tblW w:w="9864" w:type="dxa"/>
        <w:tblLayout w:type="fixed"/>
        <w:tblLook w:val="04A0" w:firstRow="1" w:lastRow="0" w:firstColumn="1" w:lastColumn="0" w:noHBand="0" w:noVBand="1"/>
      </w:tblPr>
      <w:tblGrid>
        <w:gridCol w:w="6746"/>
        <w:gridCol w:w="1559"/>
        <w:gridCol w:w="1559"/>
      </w:tblGrid>
      <w:tr w:rsidR="009D0006" w:rsidRPr="00A25867" w14:paraId="4B1922B9"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FCF9F7D" w14:textId="77777777" w:rsidR="009D0006" w:rsidRPr="00A25867" w:rsidRDefault="009D0006" w:rsidP="00FC6749">
            <w:pPr>
              <w:pStyle w:val="Tableheader"/>
            </w:pPr>
            <w:r>
              <w:t>Feel part of LGBTIQ community</w:t>
            </w:r>
          </w:p>
        </w:tc>
        <w:tc>
          <w:tcPr>
            <w:tcW w:w="1559" w:type="dxa"/>
            <w:noWrap/>
            <w:hideMark/>
          </w:tcPr>
          <w:p w14:paraId="3B26637D" w14:textId="77777777" w:rsidR="009D0006" w:rsidRPr="00FD2BAC" w:rsidRDefault="009D0006" w:rsidP="00FC6749">
            <w:pPr>
              <w:pStyle w:val="Tableheader"/>
              <w:rPr>
                <w:bCs/>
              </w:rPr>
            </w:pPr>
            <w:r w:rsidRPr="00FD2BAC">
              <w:rPr>
                <w:bCs/>
              </w:rPr>
              <w:t>n</w:t>
            </w:r>
          </w:p>
        </w:tc>
        <w:tc>
          <w:tcPr>
            <w:tcW w:w="1559" w:type="dxa"/>
            <w:noWrap/>
            <w:hideMark/>
          </w:tcPr>
          <w:p w14:paraId="4AC38D86" w14:textId="77777777" w:rsidR="009D0006" w:rsidRPr="00FD2BAC" w:rsidRDefault="009D0006" w:rsidP="00FC6749">
            <w:pPr>
              <w:pStyle w:val="Tableheader"/>
              <w:rPr>
                <w:bCs/>
              </w:rPr>
            </w:pPr>
            <w:r w:rsidRPr="00FD2BAC">
              <w:rPr>
                <w:bCs/>
              </w:rPr>
              <w:t>%</w:t>
            </w:r>
          </w:p>
        </w:tc>
      </w:tr>
      <w:tr w:rsidR="009D0006" w:rsidRPr="00A25867" w14:paraId="11AE3DAB"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E55F344" w14:textId="77777777" w:rsidR="009D0006" w:rsidRPr="00A25867" w:rsidRDefault="009D0006" w:rsidP="00FC6749">
            <w:pPr>
              <w:pStyle w:val="Tabletext"/>
            </w:pPr>
            <w:r w:rsidRPr="00A25867">
              <w:t>Do not agree</w:t>
            </w:r>
          </w:p>
        </w:tc>
        <w:tc>
          <w:tcPr>
            <w:tcW w:w="1559" w:type="dxa"/>
            <w:noWrap/>
          </w:tcPr>
          <w:p w14:paraId="62624C4C" w14:textId="77777777" w:rsidR="009D0006" w:rsidRPr="00A25867" w:rsidRDefault="009D0006" w:rsidP="00FC6749">
            <w:pPr>
              <w:pStyle w:val="Tabletext"/>
            </w:pPr>
            <w:r>
              <w:t>309</w:t>
            </w:r>
          </w:p>
        </w:tc>
        <w:tc>
          <w:tcPr>
            <w:tcW w:w="1559" w:type="dxa"/>
            <w:noWrap/>
          </w:tcPr>
          <w:p w14:paraId="7015DC38" w14:textId="77777777" w:rsidR="009D0006" w:rsidRPr="00A25867" w:rsidRDefault="009D0006" w:rsidP="00FC6749">
            <w:pPr>
              <w:pStyle w:val="Tabletext"/>
            </w:pPr>
            <w:r>
              <w:t>49.4</w:t>
            </w:r>
          </w:p>
        </w:tc>
      </w:tr>
      <w:tr w:rsidR="009D0006" w:rsidRPr="00A25867" w14:paraId="2684B436"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4807D32" w14:textId="77777777" w:rsidR="009D0006" w:rsidRPr="00A25867" w:rsidRDefault="009D0006" w:rsidP="00FC6749">
            <w:pPr>
              <w:pStyle w:val="Tabletext"/>
            </w:pPr>
            <w:r w:rsidRPr="00A25867">
              <w:t>Agree</w:t>
            </w:r>
            <w:r>
              <w:t xml:space="preserve"> or </w:t>
            </w:r>
            <w:r w:rsidRPr="00A25867">
              <w:t>strongly agree</w:t>
            </w:r>
          </w:p>
        </w:tc>
        <w:tc>
          <w:tcPr>
            <w:tcW w:w="1559" w:type="dxa"/>
            <w:noWrap/>
          </w:tcPr>
          <w:p w14:paraId="304FCA38" w14:textId="77777777" w:rsidR="009D0006" w:rsidRPr="00A25867" w:rsidRDefault="009D0006" w:rsidP="00FC6749">
            <w:pPr>
              <w:pStyle w:val="Tabletext"/>
            </w:pPr>
            <w:r>
              <w:t>317</w:t>
            </w:r>
          </w:p>
        </w:tc>
        <w:tc>
          <w:tcPr>
            <w:tcW w:w="1559" w:type="dxa"/>
            <w:noWrap/>
          </w:tcPr>
          <w:p w14:paraId="000DA522" w14:textId="77777777" w:rsidR="009D0006" w:rsidRPr="00A25867" w:rsidRDefault="009D0006" w:rsidP="00FC6749">
            <w:pPr>
              <w:pStyle w:val="Tabletext"/>
            </w:pPr>
            <w:r>
              <w:t>50.6</w:t>
            </w:r>
          </w:p>
        </w:tc>
      </w:tr>
    </w:tbl>
    <w:p w14:paraId="4C025190" w14:textId="77777777" w:rsidR="009D0006" w:rsidRDefault="009D0006" w:rsidP="00FC6749">
      <w:pPr>
        <w:pStyle w:val="Tableheading"/>
      </w:pPr>
      <w:r>
        <w:t>Table 98.4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F536BEE"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FFFCF8A" w14:textId="77777777" w:rsidR="009D0006" w:rsidRPr="00A25867" w:rsidRDefault="009D0006" w:rsidP="00FC6749">
            <w:pPr>
              <w:pStyle w:val="Tableheader"/>
            </w:pPr>
            <w:r>
              <w:t>Feel part of LGBTIQ community</w:t>
            </w:r>
          </w:p>
        </w:tc>
        <w:tc>
          <w:tcPr>
            <w:tcW w:w="1559" w:type="dxa"/>
            <w:noWrap/>
            <w:hideMark/>
          </w:tcPr>
          <w:p w14:paraId="63C9ACE2" w14:textId="77777777" w:rsidR="009D0006" w:rsidRPr="00FD2BAC" w:rsidRDefault="009D0006" w:rsidP="00FC6749">
            <w:pPr>
              <w:pStyle w:val="Tableheader"/>
              <w:rPr>
                <w:bCs/>
              </w:rPr>
            </w:pPr>
            <w:r w:rsidRPr="00FD2BAC">
              <w:rPr>
                <w:bCs/>
              </w:rPr>
              <w:t>n</w:t>
            </w:r>
          </w:p>
        </w:tc>
        <w:tc>
          <w:tcPr>
            <w:tcW w:w="1559" w:type="dxa"/>
            <w:noWrap/>
            <w:hideMark/>
          </w:tcPr>
          <w:p w14:paraId="4AFA4C71" w14:textId="77777777" w:rsidR="009D0006" w:rsidRPr="00FD2BAC" w:rsidRDefault="009D0006" w:rsidP="00FC6749">
            <w:pPr>
              <w:pStyle w:val="Tableheader"/>
              <w:rPr>
                <w:bCs/>
              </w:rPr>
            </w:pPr>
            <w:r w:rsidRPr="00FD2BAC">
              <w:rPr>
                <w:bCs/>
              </w:rPr>
              <w:t>%</w:t>
            </w:r>
          </w:p>
        </w:tc>
      </w:tr>
      <w:tr w:rsidR="009D0006" w:rsidRPr="00A25867" w14:paraId="7E907D85"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E608458" w14:textId="77777777" w:rsidR="009D0006" w:rsidRPr="00A25867" w:rsidRDefault="009D0006" w:rsidP="00FC6749">
            <w:pPr>
              <w:pStyle w:val="Tabletext"/>
            </w:pPr>
            <w:r w:rsidRPr="00A25867">
              <w:t>Do not agree</w:t>
            </w:r>
          </w:p>
        </w:tc>
        <w:tc>
          <w:tcPr>
            <w:tcW w:w="1559" w:type="dxa"/>
            <w:noWrap/>
          </w:tcPr>
          <w:p w14:paraId="17C1F99D" w14:textId="77777777" w:rsidR="009D0006" w:rsidRPr="00A25867" w:rsidRDefault="009D0006" w:rsidP="00FC6749">
            <w:pPr>
              <w:pStyle w:val="Tabletext"/>
            </w:pPr>
            <w:r>
              <w:t>93</w:t>
            </w:r>
          </w:p>
        </w:tc>
        <w:tc>
          <w:tcPr>
            <w:tcW w:w="1559" w:type="dxa"/>
            <w:noWrap/>
          </w:tcPr>
          <w:p w14:paraId="0791C71E" w14:textId="77777777" w:rsidR="009D0006" w:rsidRPr="00A25867" w:rsidRDefault="009D0006" w:rsidP="00FC6749">
            <w:pPr>
              <w:pStyle w:val="Tabletext"/>
            </w:pPr>
            <w:r>
              <w:t>50.3</w:t>
            </w:r>
          </w:p>
        </w:tc>
      </w:tr>
      <w:tr w:rsidR="009D0006" w:rsidRPr="00A25867" w14:paraId="7FFDF8CF"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82C5D4B" w14:textId="77777777" w:rsidR="009D0006" w:rsidRPr="00A25867" w:rsidRDefault="009D0006" w:rsidP="00FC6749">
            <w:pPr>
              <w:pStyle w:val="Tabletext"/>
            </w:pPr>
            <w:r w:rsidRPr="00A25867">
              <w:t>Agree</w:t>
            </w:r>
            <w:r>
              <w:t xml:space="preserve"> or </w:t>
            </w:r>
            <w:r w:rsidRPr="00A25867">
              <w:t>strongly agree</w:t>
            </w:r>
          </w:p>
        </w:tc>
        <w:tc>
          <w:tcPr>
            <w:tcW w:w="1559" w:type="dxa"/>
            <w:noWrap/>
          </w:tcPr>
          <w:p w14:paraId="2903B108" w14:textId="77777777" w:rsidR="009D0006" w:rsidRPr="00A25867" w:rsidRDefault="009D0006" w:rsidP="00FC6749">
            <w:pPr>
              <w:pStyle w:val="Tabletext"/>
            </w:pPr>
            <w:r>
              <w:t>92</w:t>
            </w:r>
          </w:p>
        </w:tc>
        <w:tc>
          <w:tcPr>
            <w:tcW w:w="1559" w:type="dxa"/>
            <w:noWrap/>
          </w:tcPr>
          <w:p w14:paraId="0DAB4EE2" w14:textId="77777777" w:rsidR="009D0006" w:rsidRPr="00A25867" w:rsidRDefault="009D0006" w:rsidP="00FC6749">
            <w:pPr>
              <w:pStyle w:val="Tabletext"/>
            </w:pPr>
            <w:r>
              <w:t>49.7</w:t>
            </w:r>
          </w:p>
        </w:tc>
      </w:tr>
    </w:tbl>
    <w:p w14:paraId="4D3F0CB1" w14:textId="77777777" w:rsidR="009D0006" w:rsidRPr="003271DA" w:rsidRDefault="009D0006" w:rsidP="00AB4A74">
      <w:pPr>
        <w:spacing w:before="360"/>
      </w:pPr>
      <w:r w:rsidRPr="003271DA">
        <w:t>As displayed in Table</w:t>
      </w:r>
      <w:r>
        <w:t>s</w:t>
      </w:r>
      <w:r w:rsidRPr="003271DA">
        <w:t xml:space="preserve"> </w:t>
      </w:r>
      <w:r>
        <w:t>98.1-98.4</w:t>
      </w:r>
      <w:r w:rsidRPr="003271DA">
        <w:t xml:space="preserve">, </w:t>
      </w:r>
      <w:r>
        <w:t xml:space="preserve">the greatest proportion of participants with disability in </w:t>
      </w:r>
      <w:r>
        <w:rPr>
          <w:i/>
          <w:iCs/>
        </w:rPr>
        <w:t>Private Lives 3</w:t>
      </w:r>
      <w:r>
        <w:t xml:space="preserve"> who felt that they were a part of Australia’s LGBTIQ community resided in an inner suburban area (59.5%; n = 603), followed by participants residing in an outer suburban area (52.7%; n = 410), participants residing in a regional city or town (50.6%; n = 317) and participants residing in a rural or remote area (50.3%; n = 93).</w:t>
      </w:r>
    </w:p>
    <w:p w14:paraId="06D6C6EF" w14:textId="2FF546B9" w:rsidR="009D0006" w:rsidRPr="00C5739E" w:rsidRDefault="009D0006" w:rsidP="006346CA">
      <w:pPr>
        <w:pStyle w:val="Heading3Numbered"/>
      </w:pPr>
      <w:bookmarkStart w:id="837" w:name="_Toc115968638"/>
      <w:r w:rsidRPr="00C5739E">
        <w:t>Attended an LGBTIQA+ youth event in the past 12 months – young people aged 14-21 years</w:t>
      </w:r>
      <w:bookmarkEnd w:id="837"/>
    </w:p>
    <w:p w14:paraId="789A7020" w14:textId="77777777" w:rsidR="009D0006" w:rsidRPr="00C5739E" w:rsidRDefault="009D0006" w:rsidP="009D0006">
      <w:r w:rsidRPr="00C5739E">
        <w:t xml:space="preserve">Participants </w:t>
      </w:r>
      <w:r>
        <w:t xml:space="preserve">from </w:t>
      </w:r>
      <w:r w:rsidRPr="004B71BD">
        <w:rPr>
          <w:i/>
          <w:iCs/>
        </w:rPr>
        <w:t>Writing Themselves In 4</w:t>
      </w:r>
      <w:r>
        <w:t xml:space="preserve"> </w:t>
      </w:r>
      <w:r w:rsidRPr="00C5739E">
        <w:t xml:space="preserve">were asked how often they had attended an </w:t>
      </w:r>
      <w:r w:rsidRPr="00C5739E">
        <w:rPr>
          <w:lang w:val="en-US"/>
        </w:rPr>
        <w:t xml:space="preserve">LGBTIQA+ youth event </w:t>
      </w:r>
      <w:r w:rsidRPr="00C5739E">
        <w:t>in the past 12 months. Response options were ‘never’, ‘annually’, ‘monthly’ and ‘weekly’</w:t>
      </w:r>
      <w:r>
        <w:t>.</w:t>
      </w:r>
      <w:r w:rsidRPr="00C5739E">
        <w:t xml:space="preserve"> Table </w:t>
      </w:r>
      <w:r>
        <w:t>97</w:t>
      </w:r>
      <w:r w:rsidRPr="00C5739E">
        <w:t xml:space="preserve"> displays the results for any attendance in the past 12 months. </w:t>
      </w:r>
    </w:p>
    <w:p w14:paraId="57CC6965" w14:textId="40DD3420" w:rsidR="009D0006" w:rsidRDefault="009D0006" w:rsidP="00FC6749">
      <w:pPr>
        <w:pStyle w:val="Tableheading"/>
      </w:pPr>
      <w:bookmarkStart w:id="838" w:name="_Toc117062816"/>
      <w:bookmarkStart w:id="839" w:name="_Toc119651501"/>
      <w:r w:rsidRPr="009B303D">
        <w:rPr>
          <w:bCs/>
        </w:rPr>
        <w:t>Ta</w:t>
      </w:r>
      <w:r w:rsidRPr="004B71BD">
        <w:rPr>
          <w:bCs/>
        </w:rPr>
        <w:t>ble</w:t>
      </w:r>
      <w:r>
        <w:rPr>
          <w:bCs/>
        </w:rPr>
        <w:t>s</w:t>
      </w:r>
      <w:r w:rsidRPr="004B71BD">
        <w:rPr>
          <w:bCs/>
        </w:rPr>
        <w:t xml:space="preserve"> </w:t>
      </w:r>
      <w:r w:rsidRPr="004B71BD">
        <w:rPr>
          <w:bCs/>
        </w:rPr>
        <w:fldChar w:fldCharType="begin"/>
      </w:r>
      <w:r w:rsidRPr="004B71BD">
        <w:rPr>
          <w:bCs/>
        </w:rPr>
        <w:instrText xml:space="preserve"> SE</w:instrText>
      </w:r>
      <w:r w:rsidRPr="004B71BD">
        <w:rPr>
          <w:bCs/>
        </w:rPr>
        <w:lastRenderedPageBreak/>
        <w:instrText xml:space="preserve">Q Table \* ARABIC </w:instrText>
      </w:r>
      <w:r w:rsidRPr="004B71BD">
        <w:rPr>
          <w:bCs/>
        </w:rPr>
        <w:fldChar w:fldCharType="separate"/>
      </w:r>
      <w:r>
        <w:rPr>
          <w:bCs/>
          <w:noProof/>
        </w:rPr>
        <w:t>99</w:t>
      </w:r>
      <w:r w:rsidRPr="004B71BD">
        <w:rPr>
          <w:bCs/>
        </w:rPr>
        <w:fldChar w:fldCharType="end"/>
      </w:r>
      <w:r>
        <w:rPr>
          <w:bCs/>
        </w:rPr>
        <w:t>.1-99.4</w:t>
      </w:r>
      <w:r w:rsidRPr="009B303D">
        <w:rPr>
          <w:bCs/>
        </w:rPr>
        <w:t>: Attended</w:t>
      </w:r>
      <w:r w:rsidRPr="00C5739E">
        <w:t xml:space="preserve"> an LGBTIQA+ youth event in the past 12 months </w:t>
      </w:r>
      <w:r>
        <w:t xml:space="preserve">among young people with disability aged 14-21 years, grouped </w:t>
      </w:r>
      <w:r w:rsidRPr="00C5739E">
        <w:t xml:space="preserve">by </w:t>
      </w:r>
      <w:r>
        <w:t>area of residence (n = 2439)</w:t>
      </w:r>
      <w:bookmarkEnd w:id="838"/>
      <w:bookmarkEnd w:id="839"/>
    </w:p>
    <w:p w14:paraId="57F42593" w14:textId="77777777" w:rsidR="009D0006" w:rsidRPr="00C5739E" w:rsidRDefault="009D0006" w:rsidP="00FC6749">
      <w:pPr>
        <w:pStyle w:val="Tableheading"/>
      </w:pPr>
      <w:r>
        <w:t>Table 99.1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30ED4A8"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C526918" w14:textId="77777777" w:rsidR="009D0006" w:rsidRPr="00A25867" w:rsidRDefault="009D0006" w:rsidP="00FC6749">
            <w:pPr>
              <w:pStyle w:val="Tableheader"/>
            </w:pPr>
            <w:r>
              <w:t>Attended LGBTIQA+ event</w:t>
            </w:r>
          </w:p>
        </w:tc>
        <w:tc>
          <w:tcPr>
            <w:tcW w:w="1559" w:type="dxa"/>
            <w:noWrap/>
            <w:hideMark/>
          </w:tcPr>
          <w:p w14:paraId="10969EC1" w14:textId="77777777" w:rsidR="009D0006" w:rsidRPr="00DA76C4" w:rsidRDefault="009D0006" w:rsidP="00FC6749">
            <w:pPr>
              <w:pStyle w:val="Tableheader"/>
              <w:rPr>
                <w:bCs/>
              </w:rPr>
            </w:pPr>
            <w:r w:rsidRPr="00DA76C4">
              <w:rPr>
                <w:bCs/>
              </w:rPr>
              <w:t>n</w:t>
            </w:r>
          </w:p>
        </w:tc>
        <w:tc>
          <w:tcPr>
            <w:tcW w:w="1559" w:type="dxa"/>
            <w:noWrap/>
            <w:hideMark/>
          </w:tcPr>
          <w:p w14:paraId="7D550E34" w14:textId="77777777" w:rsidR="009D0006" w:rsidRPr="00DA76C4" w:rsidRDefault="009D0006" w:rsidP="00FC6749">
            <w:pPr>
              <w:pStyle w:val="Tableheader"/>
              <w:rPr>
                <w:bCs/>
              </w:rPr>
            </w:pPr>
            <w:r w:rsidRPr="00DA76C4">
              <w:rPr>
                <w:bCs/>
              </w:rPr>
              <w:t>%</w:t>
            </w:r>
          </w:p>
        </w:tc>
      </w:tr>
      <w:tr w:rsidR="009D0006" w:rsidRPr="00A25867" w14:paraId="020B643F"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B00FCEF" w14:textId="77777777" w:rsidR="009D0006" w:rsidRPr="00A25867" w:rsidRDefault="009D0006" w:rsidP="00FC6749">
            <w:pPr>
              <w:pStyle w:val="Tabletext"/>
            </w:pPr>
            <w:r>
              <w:t>No</w:t>
            </w:r>
          </w:p>
        </w:tc>
        <w:tc>
          <w:tcPr>
            <w:tcW w:w="1559" w:type="dxa"/>
            <w:noWrap/>
          </w:tcPr>
          <w:p w14:paraId="5FF436BD" w14:textId="77777777" w:rsidR="009D0006" w:rsidRPr="00A25867" w:rsidRDefault="009D0006" w:rsidP="00FC6749">
            <w:pPr>
              <w:pStyle w:val="Tabletext"/>
            </w:pPr>
            <w:r>
              <w:t>123</w:t>
            </w:r>
          </w:p>
        </w:tc>
        <w:tc>
          <w:tcPr>
            <w:tcW w:w="1559" w:type="dxa"/>
            <w:noWrap/>
          </w:tcPr>
          <w:p w14:paraId="36E4C94D" w14:textId="77777777" w:rsidR="009D0006" w:rsidRPr="00A25867" w:rsidRDefault="009D0006" w:rsidP="00FC6749">
            <w:pPr>
              <w:pStyle w:val="Tabletext"/>
            </w:pPr>
            <w:r>
              <w:t>75.5</w:t>
            </w:r>
          </w:p>
        </w:tc>
      </w:tr>
      <w:tr w:rsidR="009D0006" w:rsidRPr="00A25867" w14:paraId="53EF5B49"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A116D20" w14:textId="77777777" w:rsidR="009D0006" w:rsidRPr="00A25867" w:rsidRDefault="009D0006" w:rsidP="00FC6749">
            <w:pPr>
              <w:pStyle w:val="Tabletext"/>
            </w:pPr>
            <w:r>
              <w:t>Yes</w:t>
            </w:r>
          </w:p>
        </w:tc>
        <w:tc>
          <w:tcPr>
            <w:tcW w:w="1559" w:type="dxa"/>
            <w:noWrap/>
          </w:tcPr>
          <w:p w14:paraId="59942CDB" w14:textId="77777777" w:rsidR="009D0006" w:rsidRPr="00A25867" w:rsidRDefault="009D0006" w:rsidP="00FC6749">
            <w:pPr>
              <w:pStyle w:val="Tabletext"/>
            </w:pPr>
            <w:r>
              <w:t>40</w:t>
            </w:r>
          </w:p>
        </w:tc>
        <w:tc>
          <w:tcPr>
            <w:tcW w:w="1559" w:type="dxa"/>
            <w:noWrap/>
          </w:tcPr>
          <w:p w14:paraId="2489C24A" w14:textId="77777777" w:rsidR="009D0006" w:rsidRPr="00A25867" w:rsidRDefault="009D0006" w:rsidP="00FC6749">
            <w:pPr>
              <w:pStyle w:val="Tabletext"/>
            </w:pPr>
            <w:r>
              <w:t>24.5</w:t>
            </w:r>
          </w:p>
        </w:tc>
      </w:tr>
    </w:tbl>
    <w:p w14:paraId="208DE786" w14:textId="77777777" w:rsidR="009D0006" w:rsidRDefault="009D0006" w:rsidP="00FC6749">
      <w:pPr>
        <w:pStyle w:val="Tableheading"/>
      </w:pPr>
      <w:r>
        <w:t>Table 99.2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4DB874B"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EF7B7A6" w14:textId="77777777" w:rsidR="009D0006" w:rsidRPr="00A25867" w:rsidRDefault="009D0006" w:rsidP="00FC6749">
            <w:pPr>
              <w:pStyle w:val="Tableheader"/>
            </w:pPr>
            <w:r>
              <w:t>Attended LGBTIQA+ event</w:t>
            </w:r>
          </w:p>
        </w:tc>
        <w:tc>
          <w:tcPr>
            <w:tcW w:w="1559" w:type="dxa"/>
            <w:noWrap/>
            <w:hideMark/>
          </w:tcPr>
          <w:p w14:paraId="004D4F73" w14:textId="77777777" w:rsidR="009D0006" w:rsidRPr="00DA76C4" w:rsidRDefault="009D0006" w:rsidP="00FC6749">
            <w:pPr>
              <w:pStyle w:val="Tableheader"/>
              <w:rPr>
                <w:bCs/>
              </w:rPr>
            </w:pPr>
            <w:r w:rsidRPr="00DA76C4">
              <w:rPr>
                <w:bCs/>
              </w:rPr>
              <w:t>n</w:t>
            </w:r>
          </w:p>
        </w:tc>
        <w:tc>
          <w:tcPr>
            <w:tcW w:w="1559" w:type="dxa"/>
            <w:noWrap/>
            <w:hideMark/>
          </w:tcPr>
          <w:p w14:paraId="30ED90DF" w14:textId="77777777" w:rsidR="009D0006" w:rsidRPr="00DA76C4" w:rsidRDefault="009D0006" w:rsidP="00FC6749">
            <w:pPr>
              <w:pStyle w:val="Tableheader"/>
              <w:rPr>
                <w:bCs/>
              </w:rPr>
            </w:pPr>
            <w:r w:rsidRPr="00DA76C4">
              <w:rPr>
                <w:bCs/>
              </w:rPr>
              <w:t>%</w:t>
            </w:r>
          </w:p>
        </w:tc>
      </w:tr>
      <w:tr w:rsidR="009D0006" w:rsidRPr="00A25867" w14:paraId="52406BD1"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4E206AA" w14:textId="77777777" w:rsidR="009D0006" w:rsidRPr="00A25867" w:rsidRDefault="009D0006" w:rsidP="00FC6749">
            <w:pPr>
              <w:pStyle w:val="Tabletext"/>
            </w:pPr>
            <w:r>
              <w:t>No</w:t>
            </w:r>
          </w:p>
        </w:tc>
        <w:tc>
          <w:tcPr>
            <w:tcW w:w="1559" w:type="dxa"/>
            <w:noWrap/>
          </w:tcPr>
          <w:p w14:paraId="3E2666FF" w14:textId="77777777" w:rsidR="009D0006" w:rsidRPr="00A25867" w:rsidRDefault="009D0006" w:rsidP="00FC6749">
            <w:pPr>
              <w:pStyle w:val="Tabletext"/>
            </w:pPr>
            <w:r>
              <w:t>1132</w:t>
            </w:r>
          </w:p>
        </w:tc>
        <w:tc>
          <w:tcPr>
            <w:tcW w:w="1559" w:type="dxa"/>
            <w:noWrap/>
          </w:tcPr>
          <w:p w14:paraId="624A2A2A" w14:textId="77777777" w:rsidR="009D0006" w:rsidRPr="00A25867" w:rsidRDefault="009D0006" w:rsidP="00FC6749">
            <w:pPr>
              <w:pStyle w:val="Tabletext"/>
            </w:pPr>
            <w:r>
              <w:t>81.3</w:t>
            </w:r>
          </w:p>
        </w:tc>
      </w:tr>
      <w:tr w:rsidR="009D0006" w:rsidRPr="00A25867" w14:paraId="1998895C"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C75139C" w14:textId="77777777" w:rsidR="009D0006" w:rsidRPr="00A25867" w:rsidRDefault="009D0006" w:rsidP="00FC6749">
            <w:pPr>
              <w:pStyle w:val="Tabletext"/>
            </w:pPr>
            <w:r>
              <w:t>Yes</w:t>
            </w:r>
          </w:p>
        </w:tc>
        <w:tc>
          <w:tcPr>
            <w:tcW w:w="1559" w:type="dxa"/>
            <w:noWrap/>
          </w:tcPr>
          <w:p w14:paraId="027E039E" w14:textId="77777777" w:rsidR="009D0006" w:rsidRPr="00A25867" w:rsidRDefault="009D0006" w:rsidP="00FC6749">
            <w:pPr>
              <w:pStyle w:val="Tabletext"/>
            </w:pPr>
            <w:r>
              <w:t>261</w:t>
            </w:r>
          </w:p>
        </w:tc>
        <w:tc>
          <w:tcPr>
            <w:tcW w:w="1559" w:type="dxa"/>
            <w:noWrap/>
          </w:tcPr>
          <w:p w14:paraId="375D83DD" w14:textId="77777777" w:rsidR="009D0006" w:rsidRPr="00A25867" w:rsidRDefault="009D0006" w:rsidP="00FC6749">
            <w:pPr>
              <w:pStyle w:val="Tabletext"/>
            </w:pPr>
            <w:r>
              <w:t>18.7</w:t>
            </w:r>
          </w:p>
        </w:tc>
      </w:tr>
    </w:tbl>
    <w:p w14:paraId="0BDA5143" w14:textId="77777777" w:rsidR="009D0006" w:rsidRDefault="009D0006" w:rsidP="00FC6749">
      <w:pPr>
        <w:pStyle w:val="Tableheading"/>
      </w:pPr>
      <w:r>
        <w:t>Table 99.3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C941C1E"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16C2BB7" w14:textId="77777777" w:rsidR="009D0006" w:rsidRPr="00A25867" w:rsidRDefault="009D0006" w:rsidP="00FC6749">
            <w:pPr>
              <w:pStyle w:val="Tableheader"/>
            </w:pPr>
            <w:r>
              <w:t>Attended LGBTIQA+ event</w:t>
            </w:r>
          </w:p>
        </w:tc>
        <w:tc>
          <w:tcPr>
            <w:tcW w:w="1559" w:type="dxa"/>
            <w:noWrap/>
            <w:hideMark/>
          </w:tcPr>
          <w:p w14:paraId="3DD5E40C" w14:textId="77777777" w:rsidR="009D0006" w:rsidRPr="00DA76C4" w:rsidRDefault="009D0006" w:rsidP="00FC6749">
            <w:pPr>
              <w:pStyle w:val="Tableheader"/>
              <w:rPr>
                <w:bCs/>
              </w:rPr>
            </w:pPr>
            <w:r w:rsidRPr="00DA76C4">
              <w:rPr>
                <w:bCs/>
              </w:rPr>
              <w:t>n</w:t>
            </w:r>
          </w:p>
        </w:tc>
        <w:tc>
          <w:tcPr>
            <w:tcW w:w="1559" w:type="dxa"/>
            <w:noWrap/>
            <w:hideMark/>
          </w:tcPr>
          <w:p w14:paraId="519A6EA9" w14:textId="77777777" w:rsidR="009D0006" w:rsidRPr="00DA76C4" w:rsidRDefault="009D0006" w:rsidP="00FC6749">
            <w:pPr>
              <w:pStyle w:val="Tableheader"/>
              <w:rPr>
                <w:bCs/>
              </w:rPr>
            </w:pPr>
            <w:r w:rsidRPr="00DA76C4">
              <w:rPr>
                <w:bCs/>
              </w:rPr>
              <w:t>%</w:t>
            </w:r>
          </w:p>
        </w:tc>
      </w:tr>
      <w:tr w:rsidR="009D0006" w:rsidRPr="00A25867" w14:paraId="4F424AA1"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90772C1" w14:textId="77777777" w:rsidR="009D0006" w:rsidRPr="00A25867" w:rsidRDefault="009D0006" w:rsidP="00FC6749">
            <w:pPr>
              <w:pStyle w:val="Tabletext"/>
            </w:pPr>
            <w:r>
              <w:t>No</w:t>
            </w:r>
          </w:p>
        </w:tc>
        <w:tc>
          <w:tcPr>
            <w:tcW w:w="1559" w:type="dxa"/>
            <w:noWrap/>
          </w:tcPr>
          <w:p w14:paraId="3DCA375F" w14:textId="77777777" w:rsidR="009D0006" w:rsidRPr="00A25867" w:rsidRDefault="009D0006" w:rsidP="00FC6749">
            <w:pPr>
              <w:pStyle w:val="Tabletext"/>
            </w:pPr>
            <w:r>
              <w:t>503</w:t>
            </w:r>
          </w:p>
        </w:tc>
        <w:tc>
          <w:tcPr>
            <w:tcW w:w="1559" w:type="dxa"/>
            <w:noWrap/>
          </w:tcPr>
          <w:p w14:paraId="11BB0883" w14:textId="77777777" w:rsidR="009D0006" w:rsidRPr="00A25867" w:rsidRDefault="009D0006" w:rsidP="00FC6749">
            <w:pPr>
              <w:pStyle w:val="Tabletext"/>
            </w:pPr>
            <w:r>
              <w:t>83.7</w:t>
            </w:r>
          </w:p>
        </w:tc>
      </w:tr>
      <w:tr w:rsidR="009D0006" w:rsidRPr="00A25867" w14:paraId="6E52465D"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D35CF71" w14:textId="77777777" w:rsidR="009D0006" w:rsidRPr="00A25867" w:rsidRDefault="009D0006" w:rsidP="00FC6749">
            <w:pPr>
              <w:pStyle w:val="Tabletext"/>
            </w:pPr>
            <w:r>
              <w:t>Yes</w:t>
            </w:r>
          </w:p>
        </w:tc>
        <w:tc>
          <w:tcPr>
            <w:tcW w:w="1559" w:type="dxa"/>
            <w:noWrap/>
          </w:tcPr>
          <w:p w14:paraId="5463EA6E" w14:textId="77777777" w:rsidR="009D0006" w:rsidRPr="00A25867" w:rsidRDefault="009D0006" w:rsidP="00FC6749">
            <w:pPr>
              <w:pStyle w:val="Tabletext"/>
            </w:pPr>
            <w:r>
              <w:t>98</w:t>
            </w:r>
          </w:p>
        </w:tc>
        <w:tc>
          <w:tcPr>
            <w:tcW w:w="1559" w:type="dxa"/>
            <w:noWrap/>
          </w:tcPr>
          <w:p w14:paraId="182569A3" w14:textId="77777777" w:rsidR="009D0006" w:rsidRPr="00A25867" w:rsidRDefault="009D0006" w:rsidP="00FC6749">
            <w:pPr>
              <w:pStyle w:val="Tabletext"/>
            </w:pPr>
            <w:r>
              <w:t>16.3</w:t>
            </w:r>
          </w:p>
        </w:tc>
      </w:tr>
    </w:tbl>
    <w:p w14:paraId="656247CF" w14:textId="77777777" w:rsidR="009D0006" w:rsidRDefault="009D0006" w:rsidP="00FC6749">
      <w:pPr>
        <w:pStyle w:val="Tableheading"/>
      </w:pPr>
      <w:r>
        <w:t>Table 99.4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8E7203A"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669AAF1" w14:textId="77777777" w:rsidR="009D0006" w:rsidRPr="00A25867" w:rsidRDefault="009D0006" w:rsidP="00FC6749">
            <w:pPr>
              <w:pStyle w:val="Tableheader"/>
            </w:pPr>
            <w:r>
              <w:t>Attended LGBTIQA+ event</w:t>
            </w:r>
          </w:p>
        </w:tc>
        <w:tc>
          <w:tcPr>
            <w:tcW w:w="1559" w:type="dxa"/>
            <w:noWrap/>
            <w:hideMark/>
          </w:tcPr>
          <w:p w14:paraId="1ECF91C1" w14:textId="77777777" w:rsidR="009D0006" w:rsidRPr="00DA76C4" w:rsidRDefault="009D0006" w:rsidP="00FC6749">
            <w:pPr>
              <w:pStyle w:val="Tableheader"/>
              <w:rPr>
                <w:bCs/>
              </w:rPr>
            </w:pPr>
            <w:r w:rsidRPr="00DA76C4">
              <w:rPr>
                <w:bCs/>
              </w:rPr>
              <w:t>n</w:t>
            </w:r>
          </w:p>
        </w:tc>
        <w:tc>
          <w:tcPr>
            <w:tcW w:w="1559" w:type="dxa"/>
            <w:noWrap/>
            <w:hideMark/>
          </w:tcPr>
          <w:p w14:paraId="1C17676A" w14:textId="77777777" w:rsidR="009D0006" w:rsidRPr="00DA76C4" w:rsidRDefault="009D0006" w:rsidP="00FC6749">
            <w:pPr>
              <w:pStyle w:val="Tableheader"/>
              <w:rPr>
                <w:bCs/>
              </w:rPr>
            </w:pPr>
            <w:r w:rsidRPr="00DA76C4">
              <w:rPr>
                <w:bCs/>
              </w:rPr>
              <w:t>%</w:t>
            </w:r>
          </w:p>
        </w:tc>
      </w:tr>
      <w:tr w:rsidR="009D0006" w:rsidRPr="00A25867" w14:paraId="1FD0514E"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5CC3F4A" w14:textId="77777777" w:rsidR="009D0006" w:rsidRPr="00A25867" w:rsidRDefault="009D0006" w:rsidP="00FC6749">
            <w:pPr>
              <w:pStyle w:val="Tabletext"/>
            </w:pPr>
            <w:r>
              <w:t>No</w:t>
            </w:r>
          </w:p>
        </w:tc>
        <w:tc>
          <w:tcPr>
            <w:tcW w:w="1559" w:type="dxa"/>
            <w:noWrap/>
          </w:tcPr>
          <w:p w14:paraId="67A4DB23" w14:textId="77777777" w:rsidR="009D0006" w:rsidRPr="00A25867" w:rsidRDefault="009D0006" w:rsidP="00FC6749">
            <w:pPr>
              <w:pStyle w:val="Tabletext"/>
            </w:pPr>
            <w:r>
              <w:t>236</w:t>
            </w:r>
          </w:p>
        </w:tc>
        <w:tc>
          <w:tcPr>
            <w:tcW w:w="1559" w:type="dxa"/>
            <w:noWrap/>
          </w:tcPr>
          <w:p w14:paraId="3A77C514" w14:textId="77777777" w:rsidR="009D0006" w:rsidRPr="00A25867" w:rsidRDefault="009D0006" w:rsidP="00FC6749">
            <w:pPr>
              <w:pStyle w:val="Tabletext"/>
            </w:pPr>
            <w:r>
              <w:t>83.7</w:t>
            </w:r>
          </w:p>
        </w:tc>
      </w:tr>
      <w:tr w:rsidR="009D0006" w:rsidRPr="00A25867" w14:paraId="3B15549B"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5CBEA4A" w14:textId="77777777" w:rsidR="009D0006" w:rsidRPr="00A25867" w:rsidRDefault="009D0006" w:rsidP="00FC6749">
            <w:pPr>
              <w:pStyle w:val="Tabletext"/>
            </w:pPr>
            <w:r>
              <w:t>Yes</w:t>
            </w:r>
          </w:p>
        </w:tc>
        <w:tc>
          <w:tcPr>
            <w:tcW w:w="1559" w:type="dxa"/>
            <w:noWrap/>
          </w:tcPr>
          <w:p w14:paraId="4AE7E143" w14:textId="77777777" w:rsidR="009D0006" w:rsidRPr="00A25867" w:rsidRDefault="009D0006" w:rsidP="00FC6749">
            <w:pPr>
              <w:pStyle w:val="Tabletext"/>
            </w:pPr>
            <w:r>
              <w:t>46</w:t>
            </w:r>
          </w:p>
        </w:tc>
        <w:tc>
          <w:tcPr>
            <w:tcW w:w="1559" w:type="dxa"/>
            <w:noWrap/>
          </w:tcPr>
          <w:p w14:paraId="3CB9B303" w14:textId="77777777" w:rsidR="009D0006" w:rsidRPr="00A25867" w:rsidRDefault="009D0006" w:rsidP="00FC6749">
            <w:pPr>
              <w:pStyle w:val="Tabletext"/>
            </w:pPr>
            <w:r>
              <w:t>16.3</w:t>
            </w:r>
          </w:p>
        </w:tc>
      </w:tr>
    </w:tbl>
    <w:p w14:paraId="3C5B81F8" w14:textId="77777777" w:rsidR="009D0006" w:rsidRDefault="009D0006" w:rsidP="00AB4A74">
      <w:pPr>
        <w:spacing w:before="360"/>
      </w:pPr>
      <w:r>
        <w:t>As shown in Tables 99.1-99.4, t</w:t>
      </w:r>
      <w:r w:rsidRPr="003271DA">
        <w:t>he g</w:t>
      </w:r>
      <w:r>
        <w:t xml:space="preserve">reatest proportion of participants with disability in </w:t>
      </w:r>
      <w:r>
        <w:rPr>
          <w:i/>
          <w:iCs/>
        </w:rPr>
        <w:t>Writing Themselves In 4</w:t>
      </w:r>
      <w:r>
        <w:t xml:space="preserve"> who had attended an LGBTIQA+ youth event resided in an inner suburban area (24.5%; n = 40), followed by participants residing in an outer suburban area (18.7%; n = 261), participants residing in a regional city or town (16.3%; n = 98) and participants residing in a rural or remote area (16.3%; n = 46).</w:t>
      </w:r>
    </w:p>
    <w:p w14:paraId="1D95E1C2" w14:textId="6FA6EC4A" w:rsidR="009D0006" w:rsidRPr="00C5739E" w:rsidRDefault="009D0006" w:rsidP="006346CA">
      <w:pPr>
        <w:pStyle w:val="Heading2Numbered"/>
      </w:pPr>
      <w:bookmarkStart w:id="840" w:name="_Toc115968639"/>
      <w:bookmarkStart w:id="841" w:name="_Toc119662469"/>
      <w:r w:rsidRPr="00C5739E">
        <w:t>Feelings of acceptance – adults aged 18+ years</w:t>
      </w:r>
      <w:bookmarkEnd w:id="840"/>
      <w:bookmarkEnd w:id="841"/>
    </w:p>
    <w:p w14:paraId="1A02A113" w14:textId="77777777" w:rsidR="009D0006" w:rsidRDefault="009D0006" w:rsidP="009D0006">
      <w:r w:rsidRPr="00C5739E">
        <w:t xml:space="preserve">Table </w:t>
      </w:r>
      <w:r>
        <w:t>100</w:t>
      </w:r>
      <w:r w:rsidRPr="00C5739E">
        <w:t xml:space="preserve"> displays the numbers and percentages of participants </w:t>
      </w:r>
      <w:r>
        <w:t xml:space="preserve">from </w:t>
      </w:r>
      <w:r w:rsidRPr="004B71BD">
        <w:rPr>
          <w:i/>
          <w:iCs/>
        </w:rPr>
        <w:t>Private Lives 3</w:t>
      </w:r>
      <w:r>
        <w:t xml:space="preserve"> </w:t>
      </w:r>
      <w:r w:rsidRPr="00C5739E">
        <w:t xml:space="preserve">according to </w:t>
      </w:r>
      <w:r>
        <w:t xml:space="preserve">their area of residence </w:t>
      </w:r>
      <w:r w:rsidRPr="00C5739E">
        <w:t xml:space="preserve">who felt they were accepted ‘a lot’ or ‘always’ in </w:t>
      </w:r>
      <w:r>
        <w:t>different</w:t>
      </w:r>
      <w:r w:rsidRPr="00C5739E">
        <w:t xml:space="preserve"> situations</w:t>
      </w:r>
      <w:r>
        <w:t>.</w:t>
      </w:r>
    </w:p>
    <w:p w14:paraId="71EA2852" w14:textId="3820D92F" w:rsidR="009D0006" w:rsidRDefault="009D0006" w:rsidP="00FC6749">
      <w:pPr>
        <w:pStyle w:val="Tableheading"/>
      </w:pPr>
      <w:bookmarkStart w:id="842" w:name="_Toc117062817"/>
      <w:bookmarkStart w:id="843" w:name="_Toc119651502"/>
      <w:r w:rsidRPr="004B71BD">
        <w:t>Table</w:t>
      </w:r>
      <w:r>
        <w:t>s</w:t>
      </w:r>
      <w:r w:rsidRPr="004B71BD">
        <w:t xml:space="preserve"> </w:t>
      </w:r>
      <w:r w:rsidR="00C9023A">
        <w:fldChar w:fldCharType="begin"/>
      </w:r>
      <w:r w:rsidR="00C9023A">
        <w:instrText xml:space="preserve"> SE</w:instrText>
      </w:r>
      <w:r w:rsidR="00C9023A">
        <w:lastRenderedPageBreak/>
        <w:instrText xml:space="preserve">Q Table \* ARABIC </w:instrText>
      </w:r>
      <w:r w:rsidR="00C9023A">
        <w:fldChar w:fldCharType="separate"/>
      </w:r>
      <w:r>
        <w:rPr>
          <w:noProof/>
        </w:rPr>
        <w:t>100</w:t>
      </w:r>
      <w:r w:rsidR="00C9023A">
        <w:rPr>
          <w:noProof/>
        </w:rPr>
        <w:fldChar w:fldCharType="end"/>
      </w:r>
      <w:r>
        <w:t>.1-100.4: Proportion of adults with disability aged 18+ years</w:t>
      </w:r>
      <w:r w:rsidRPr="00C5739E">
        <w:t xml:space="preserve"> </w:t>
      </w:r>
      <w:r>
        <w:t>who c</w:t>
      </w:r>
      <w:r w:rsidRPr="00C5739E">
        <w:t>urrently feel accepted ‘a lot’ or ‘always’</w:t>
      </w:r>
      <w:r>
        <w:t xml:space="preserve">, grouped </w:t>
      </w:r>
      <w:r w:rsidRPr="00C5739E">
        <w:t xml:space="preserve">by </w:t>
      </w:r>
      <w:r>
        <w:t>area of residence</w:t>
      </w:r>
      <w:bookmarkEnd w:id="842"/>
      <w:bookmarkEnd w:id="843"/>
      <w:r>
        <w:t xml:space="preserve"> </w:t>
      </w:r>
    </w:p>
    <w:p w14:paraId="3F19CA80" w14:textId="77777777" w:rsidR="009D0006" w:rsidRDefault="009D0006" w:rsidP="00FC6749">
      <w:pPr>
        <w:pStyle w:val="Tableheading"/>
      </w:pPr>
      <w:r>
        <w:t>Table 100.1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031E2060"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B7A5BF4" w14:textId="77777777" w:rsidR="009D0006" w:rsidRPr="00A25867" w:rsidRDefault="009D0006" w:rsidP="00FC6749">
            <w:pPr>
              <w:pStyle w:val="Tableheader"/>
            </w:pPr>
            <w:r>
              <w:t>Feel accepted in these settings</w:t>
            </w:r>
          </w:p>
        </w:tc>
        <w:tc>
          <w:tcPr>
            <w:tcW w:w="1559" w:type="dxa"/>
            <w:noWrap/>
            <w:hideMark/>
          </w:tcPr>
          <w:p w14:paraId="0026761D" w14:textId="77777777" w:rsidR="009D0006" w:rsidRPr="00A2122B" w:rsidRDefault="009D0006" w:rsidP="00FC6749">
            <w:pPr>
              <w:pStyle w:val="Tableheader"/>
              <w:rPr>
                <w:bCs/>
              </w:rPr>
            </w:pPr>
            <w:r w:rsidRPr="00A2122B">
              <w:rPr>
                <w:bCs/>
              </w:rPr>
              <w:t>n</w:t>
            </w:r>
          </w:p>
        </w:tc>
        <w:tc>
          <w:tcPr>
            <w:tcW w:w="1559" w:type="dxa"/>
            <w:noWrap/>
            <w:hideMark/>
          </w:tcPr>
          <w:p w14:paraId="5E8DDB2C" w14:textId="77777777" w:rsidR="009D0006" w:rsidRPr="00A2122B" w:rsidRDefault="009D0006" w:rsidP="00FC6749">
            <w:pPr>
              <w:pStyle w:val="Tableheader"/>
              <w:rPr>
                <w:bCs/>
              </w:rPr>
            </w:pPr>
            <w:r w:rsidRPr="00A2122B">
              <w:rPr>
                <w:bCs/>
              </w:rPr>
              <w:t>%</w:t>
            </w:r>
          </w:p>
        </w:tc>
      </w:tr>
      <w:tr w:rsidR="009D0006" w:rsidRPr="00A25867" w14:paraId="6D38AD88"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5CCA844" w14:textId="77777777" w:rsidR="009D0006" w:rsidRPr="00A25867" w:rsidRDefault="009D0006" w:rsidP="00FC6749">
            <w:pPr>
              <w:pStyle w:val="Tabletext"/>
            </w:pPr>
            <w:r w:rsidRPr="00163723">
              <w:rPr>
                <w:lang w:val="en-US"/>
              </w:rPr>
              <w:t>LGBTIQ venue</w:t>
            </w:r>
          </w:p>
        </w:tc>
        <w:tc>
          <w:tcPr>
            <w:tcW w:w="1559" w:type="dxa"/>
            <w:noWrap/>
          </w:tcPr>
          <w:p w14:paraId="076004B0" w14:textId="77777777" w:rsidR="009D0006" w:rsidRPr="00A25867" w:rsidRDefault="009D0006" w:rsidP="00FC6749">
            <w:pPr>
              <w:pStyle w:val="Tabletext"/>
            </w:pPr>
            <w:r>
              <w:t>540</w:t>
            </w:r>
          </w:p>
        </w:tc>
        <w:tc>
          <w:tcPr>
            <w:tcW w:w="1559" w:type="dxa"/>
            <w:noWrap/>
          </w:tcPr>
          <w:p w14:paraId="09A07F1A" w14:textId="77777777" w:rsidR="009D0006" w:rsidRPr="00A25867" w:rsidRDefault="009D0006" w:rsidP="00FC6749">
            <w:pPr>
              <w:pStyle w:val="Tabletext"/>
            </w:pPr>
            <w:r>
              <w:t>59.9</w:t>
            </w:r>
          </w:p>
        </w:tc>
      </w:tr>
      <w:tr w:rsidR="009D0006" w:rsidRPr="00A25867" w14:paraId="16ACFB4F"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266373D" w14:textId="77777777" w:rsidR="009D0006" w:rsidRPr="0071363E" w:rsidRDefault="009D0006" w:rsidP="00FC6749">
            <w:pPr>
              <w:pStyle w:val="Tabletext"/>
            </w:pPr>
            <w:r w:rsidRPr="0071363E">
              <w:rPr>
                <w:lang w:val="en-US"/>
              </w:rPr>
              <w:t>At work</w:t>
            </w:r>
          </w:p>
        </w:tc>
        <w:tc>
          <w:tcPr>
            <w:tcW w:w="1559" w:type="dxa"/>
            <w:noWrap/>
          </w:tcPr>
          <w:p w14:paraId="1661EA51" w14:textId="77777777" w:rsidR="009D0006" w:rsidRPr="0071363E" w:rsidRDefault="009D0006" w:rsidP="00FC6749">
            <w:pPr>
              <w:pStyle w:val="Tabletext"/>
            </w:pPr>
            <w:r w:rsidRPr="0071363E">
              <w:t>402</w:t>
            </w:r>
          </w:p>
        </w:tc>
        <w:tc>
          <w:tcPr>
            <w:tcW w:w="1559" w:type="dxa"/>
            <w:noWrap/>
          </w:tcPr>
          <w:p w14:paraId="4566E005" w14:textId="77777777" w:rsidR="009D0006" w:rsidRPr="0071363E" w:rsidRDefault="009D0006" w:rsidP="00FC6749">
            <w:pPr>
              <w:pStyle w:val="Tabletext"/>
            </w:pPr>
            <w:r w:rsidRPr="0071363E">
              <w:t>54.3</w:t>
            </w:r>
          </w:p>
        </w:tc>
      </w:tr>
      <w:tr w:rsidR="009D0006" w:rsidRPr="00A25867" w14:paraId="16D13AFA"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531B0DD" w14:textId="77777777" w:rsidR="009D0006" w:rsidRPr="0071363E" w:rsidRDefault="009D0006" w:rsidP="00FC6749">
            <w:pPr>
              <w:pStyle w:val="Tabletext"/>
            </w:pPr>
            <w:r w:rsidRPr="0071363E">
              <w:rPr>
                <w:lang w:val="en-US"/>
              </w:rPr>
              <w:t>At an educational institution</w:t>
            </w:r>
          </w:p>
        </w:tc>
        <w:tc>
          <w:tcPr>
            <w:tcW w:w="1559" w:type="dxa"/>
            <w:noWrap/>
          </w:tcPr>
          <w:p w14:paraId="5E5AB360" w14:textId="77777777" w:rsidR="009D0006" w:rsidRPr="0071363E" w:rsidRDefault="009D0006" w:rsidP="00FC6749">
            <w:pPr>
              <w:pStyle w:val="Tabletext"/>
            </w:pPr>
            <w:r w:rsidRPr="0071363E">
              <w:t>304</w:t>
            </w:r>
          </w:p>
        </w:tc>
        <w:tc>
          <w:tcPr>
            <w:tcW w:w="1559" w:type="dxa"/>
            <w:noWrap/>
          </w:tcPr>
          <w:p w14:paraId="58A04057" w14:textId="77777777" w:rsidR="009D0006" w:rsidRPr="0071363E" w:rsidRDefault="009D0006" w:rsidP="00FC6749">
            <w:pPr>
              <w:pStyle w:val="Tabletext"/>
            </w:pPr>
            <w:r w:rsidRPr="0071363E">
              <w:t>47.6</w:t>
            </w:r>
          </w:p>
        </w:tc>
      </w:tr>
      <w:tr w:rsidR="009D0006" w:rsidRPr="0071363E" w14:paraId="5EE02680"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3D0357A" w14:textId="77777777" w:rsidR="009D0006" w:rsidRPr="0071363E" w:rsidRDefault="009D0006" w:rsidP="00FC6749">
            <w:pPr>
              <w:pStyle w:val="Tabletext"/>
            </w:pPr>
            <w:r w:rsidRPr="0071363E">
              <w:rPr>
                <w:lang w:val="en-US"/>
              </w:rPr>
              <w:t>In public (e.g.</w:t>
            </w:r>
            <w:r>
              <w:rPr>
                <w:lang w:val="en-US"/>
              </w:rPr>
              <w:t>,</w:t>
            </w:r>
            <w:r w:rsidRPr="0071363E">
              <w:rPr>
                <w:lang w:val="en-US"/>
              </w:rPr>
              <w:t xml:space="preserve"> in the street</w:t>
            </w:r>
            <w:r>
              <w:rPr>
                <w:lang w:val="en-US"/>
              </w:rPr>
              <w:t xml:space="preserve"> or </w:t>
            </w:r>
            <w:r w:rsidRPr="0071363E">
              <w:rPr>
                <w:lang w:val="en-US"/>
              </w:rPr>
              <w:t>park)</w:t>
            </w:r>
          </w:p>
        </w:tc>
        <w:tc>
          <w:tcPr>
            <w:tcW w:w="1559" w:type="dxa"/>
            <w:noWrap/>
          </w:tcPr>
          <w:p w14:paraId="15A06D0E" w14:textId="77777777" w:rsidR="009D0006" w:rsidRPr="0071363E" w:rsidRDefault="009D0006" w:rsidP="00FC6749">
            <w:pPr>
              <w:pStyle w:val="Tabletext"/>
            </w:pPr>
            <w:r>
              <w:t>245</w:t>
            </w:r>
          </w:p>
        </w:tc>
        <w:tc>
          <w:tcPr>
            <w:tcW w:w="1559" w:type="dxa"/>
            <w:noWrap/>
          </w:tcPr>
          <w:p w14:paraId="46845C92" w14:textId="77777777" w:rsidR="009D0006" w:rsidRPr="0071363E" w:rsidRDefault="009D0006" w:rsidP="00FC6749">
            <w:pPr>
              <w:pStyle w:val="Tabletext"/>
            </w:pPr>
            <w:r>
              <w:t>25.5</w:t>
            </w:r>
          </w:p>
        </w:tc>
      </w:tr>
      <w:tr w:rsidR="009D0006" w:rsidRPr="00A25867" w14:paraId="08745E8C"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831F80E" w14:textId="77777777" w:rsidR="009D0006" w:rsidRPr="004B2CC6" w:rsidRDefault="009D0006" w:rsidP="00FC6749">
            <w:pPr>
              <w:pStyle w:val="Tabletext"/>
            </w:pPr>
            <w:r w:rsidRPr="004B2CC6">
              <w:rPr>
                <w:lang w:val="en-US"/>
              </w:rPr>
              <w:t>With family members</w:t>
            </w:r>
          </w:p>
        </w:tc>
        <w:tc>
          <w:tcPr>
            <w:tcW w:w="1559" w:type="dxa"/>
            <w:noWrap/>
          </w:tcPr>
          <w:p w14:paraId="10061F15" w14:textId="77777777" w:rsidR="009D0006" w:rsidRPr="004B2CC6" w:rsidRDefault="009D0006" w:rsidP="00FC6749">
            <w:pPr>
              <w:pStyle w:val="Tabletext"/>
            </w:pPr>
            <w:r w:rsidRPr="004B2CC6">
              <w:t>442</w:t>
            </w:r>
          </w:p>
        </w:tc>
        <w:tc>
          <w:tcPr>
            <w:tcW w:w="1559" w:type="dxa"/>
            <w:noWrap/>
          </w:tcPr>
          <w:p w14:paraId="55E334FB" w14:textId="77777777" w:rsidR="009D0006" w:rsidRPr="004B2CC6" w:rsidRDefault="009D0006" w:rsidP="00FC6749">
            <w:pPr>
              <w:pStyle w:val="Tabletext"/>
            </w:pPr>
            <w:r w:rsidRPr="004B2CC6">
              <w:t>45.1</w:t>
            </w:r>
          </w:p>
        </w:tc>
      </w:tr>
      <w:tr w:rsidR="009D0006" w:rsidRPr="00A25867" w14:paraId="033992F1"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735BE0C5" w14:textId="77777777" w:rsidR="009D0006" w:rsidRPr="00CA0B9F" w:rsidRDefault="009D0006" w:rsidP="00FC6749">
            <w:pPr>
              <w:pStyle w:val="Tabletext"/>
            </w:pPr>
            <w:r w:rsidRPr="00CA0B9F">
              <w:rPr>
                <w:lang w:val="en-US"/>
              </w:rPr>
              <w:t>Accessing a health or support service</w:t>
            </w:r>
          </w:p>
        </w:tc>
        <w:tc>
          <w:tcPr>
            <w:tcW w:w="1559" w:type="dxa"/>
            <w:noWrap/>
          </w:tcPr>
          <w:p w14:paraId="26CAE373" w14:textId="77777777" w:rsidR="009D0006" w:rsidRPr="00CA0B9F" w:rsidRDefault="009D0006" w:rsidP="00FC6749">
            <w:pPr>
              <w:pStyle w:val="Tabletext"/>
            </w:pPr>
            <w:r w:rsidRPr="00CA0B9F">
              <w:t>350</w:t>
            </w:r>
          </w:p>
        </w:tc>
        <w:tc>
          <w:tcPr>
            <w:tcW w:w="1559" w:type="dxa"/>
            <w:noWrap/>
          </w:tcPr>
          <w:p w14:paraId="50846C3F" w14:textId="77777777" w:rsidR="009D0006" w:rsidRPr="00CA0B9F" w:rsidRDefault="009D0006" w:rsidP="00FC6749">
            <w:pPr>
              <w:pStyle w:val="Tabletext"/>
            </w:pPr>
            <w:r w:rsidRPr="00CA0B9F">
              <w:t>36.6</w:t>
            </w:r>
          </w:p>
        </w:tc>
      </w:tr>
      <w:tr w:rsidR="009D0006" w:rsidRPr="00A25867" w14:paraId="479BBBFE"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52C6EA29" w14:textId="77777777" w:rsidR="009D0006" w:rsidRPr="00A25867" w:rsidRDefault="009D0006" w:rsidP="00FC6749">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34121318" w14:textId="77777777" w:rsidR="009D0006" w:rsidRPr="00A25867" w:rsidRDefault="009D0006" w:rsidP="00FC6749">
            <w:pPr>
              <w:pStyle w:val="Tabletext"/>
            </w:pPr>
            <w:r>
              <w:t>48</w:t>
            </w:r>
          </w:p>
        </w:tc>
        <w:tc>
          <w:tcPr>
            <w:tcW w:w="1559" w:type="dxa"/>
            <w:noWrap/>
          </w:tcPr>
          <w:p w14:paraId="3473554A" w14:textId="77777777" w:rsidR="009D0006" w:rsidRPr="00A25867" w:rsidRDefault="009D0006" w:rsidP="00FC6749">
            <w:pPr>
              <w:pStyle w:val="Tabletext"/>
            </w:pPr>
            <w:r>
              <w:t>9.5</w:t>
            </w:r>
          </w:p>
        </w:tc>
      </w:tr>
    </w:tbl>
    <w:p w14:paraId="3C87DD62" w14:textId="77777777" w:rsidR="009D0006" w:rsidRDefault="009D0006" w:rsidP="00FC6749">
      <w:pPr>
        <w:pStyle w:val="Tableheading"/>
      </w:pPr>
      <w:r>
        <w:t>Table 100.2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17872E69"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344D7D6" w14:textId="77777777" w:rsidR="009D0006" w:rsidRPr="00A25867" w:rsidRDefault="009D0006" w:rsidP="00FC6749">
            <w:pPr>
              <w:pStyle w:val="Tableheader"/>
            </w:pPr>
            <w:r>
              <w:t>Feel accepted in these settings</w:t>
            </w:r>
          </w:p>
        </w:tc>
        <w:tc>
          <w:tcPr>
            <w:tcW w:w="1559" w:type="dxa"/>
            <w:noWrap/>
            <w:hideMark/>
          </w:tcPr>
          <w:p w14:paraId="43190169" w14:textId="77777777" w:rsidR="009D0006" w:rsidRPr="00A2122B" w:rsidRDefault="009D0006" w:rsidP="00FC6749">
            <w:pPr>
              <w:pStyle w:val="Tableheader"/>
              <w:rPr>
                <w:bCs/>
              </w:rPr>
            </w:pPr>
            <w:r w:rsidRPr="00A2122B">
              <w:rPr>
                <w:bCs/>
              </w:rPr>
              <w:t>n</w:t>
            </w:r>
          </w:p>
        </w:tc>
        <w:tc>
          <w:tcPr>
            <w:tcW w:w="1559" w:type="dxa"/>
            <w:noWrap/>
            <w:hideMark/>
          </w:tcPr>
          <w:p w14:paraId="3157FCBA" w14:textId="77777777" w:rsidR="009D0006" w:rsidRPr="00A2122B" w:rsidRDefault="009D0006" w:rsidP="00FC6749">
            <w:pPr>
              <w:pStyle w:val="Tableheader"/>
              <w:rPr>
                <w:bCs/>
              </w:rPr>
            </w:pPr>
            <w:r w:rsidRPr="00A2122B">
              <w:rPr>
                <w:bCs/>
              </w:rPr>
              <w:t>%</w:t>
            </w:r>
          </w:p>
        </w:tc>
      </w:tr>
      <w:tr w:rsidR="009D0006" w:rsidRPr="00A25867" w14:paraId="096EF224"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80C2685" w14:textId="77777777" w:rsidR="009D0006" w:rsidRPr="00A25867" w:rsidRDefault="009D0006" w:rsidP="00FC6749">
            <w:pPr>
              <w:pStyle w:val="Tabletext"/>
            </w:pPr>
            <w:r w:rsidRPr="00163723">
              <w:rPr>
                <w:lang w:val="en-US"/>
              </w:rPr>
              <w:t>LGBTIQ venue</w:t>
            </w:r>
          </w:p>
        </w:tc>
        <w:tc>
          <w:tcPr>
            <w:tcW w:w="1559" w:type="dxa"/>
            <w:noWrap/>
          </w:tcPr>
          <w:p w14:paraId="452E94E2" w14:textId="77777777" w:rsidR="009D0006" w:rsidRPr="00A25867" w:rsidRDefault="009D0006" w:rsidP="00FC6749">
            <w:pPr>
              <w:pStyle w:val="Tabletext"/>
            </w:pPr>
            <w:r>
              <w:t>365</w:t>
            </w:r>
          </w:p>
        </w:tc>
        <w:tc>
          <w:tcPr>
            <w:tcW w:w="1559" w:type="dxa"/>
            <w:noWrap/>
          </w:tcPr>
          <w:p w14:paraId="27127067" w14:textId="77777777" w:rsidR="009D0006" w:rsidRPr="00A25867" w:rsidRDefault="009D0006" w:rsidP="00FC6749">
            <w:pPr>
              <w:pStyle w:val="Tabletext"/>
            </w:pPr>
            <w:r>
              <w:t>57.7</w:t>
            </w:r>
          </w:p>
        </w:tc>
      </w:tr>
      <w:tr w:rsidR="009D0006" w:rsidRPr="00A25867" w14:paraId="7DC77DE6"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04C16F0" w14:textId="77777777" w:rsidR="009D0006" w:rsidRPr="0071363E" w:rsidRDefault="009D0006" w:rsidP="00FC6749">
            <w:pPr>
              <w:pStyle w:val="Tabletext"/>
            </w:pPr>
            <w:r w:rsidRPr="0071363E">
              <w:rPr>
                <w:lang w:val="en-US"/>
              </w:rPr>
              <w:t>At work</w:t>
            </w:r>
          </w:p>
        </w:tc>
        <w:tc>
          <w:tcPr>
            <w:tcW w:w="1559" w:type="dxa"/>
            <w:noWrap/>
          </w:tcPr>
          <w:p w14:paraId="0218B016" w14:textId="77777777" w:rsidR="009D0006" w:rsidRPr="0071363E" w:rsidRDefault="009D0006" w:rsidP="00FC6749">
            <w:pPr>
              <w:pStyle w:val="Tabletext"/>
            </w:pPr>
            <w:r w:rsidRPr="0071363E">
              <w:t>238</w:t>
            </w:r>
          </w:p>
        </w:tc>
        <w:tc>
          <w:tcPr>
            <w:tcW w:w="1559" w:type="dxa"/>
            <w:noWrap/>
          </w:tcPr>
          <w:p w14:paraId="0827E6A2" w14:textId="77777777" w:rsidR="009D0006" w:rsidRPr="0071363E" w:rsidRDefault="009D0006" w:rsidP="00FC6749">
            <w:pPr>
              <w:pStyle w:val="Tabletext"/>
            </w:pPr>
            <w:r w:rsidRPr="0071363E">
              <w:t>45.9</w:t>
            </w:r>
          </w:p>
        </w:tc>
      </w:tr>
      <w:tr w:rsidR="009D0006" w:rsidRPr="00A25867" w14:paraId="33BA56AD"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935CF2F" w14:textId="77777777" w:rsidR="009D0006" w:rsidRPr="0071363E" w:rsidRDefault="009D0006" w:rsidP="00FC6749">
            <w:pPr>
              <w:pStyle w:val="Tabletext"/>
            </w:pPr>
            <w:r w:rsidRPr="0071363E">
              <w:rPr>
                <w:lang w:val="en-US"/>
              </w:rPr>
              <w:t>At an educational institution</w:t>
            </w:r>
          </w:p>
        </w:tc>
        <w:tc>
          <w:tcPr>
            <w:tcW w:w="1559" w:type="dxa"/>
            <w:noWrap/>
          </w:tcPr>
          <w:p w14:paraId="505A3296" w14:textId="77777777" w:rsidR="009D0006" w:rsidRPr="0071363E" w:rsidRDefault="009D0006" w:rsidP="00FC6749">
            <w:pPr>
              <w:pStyle w:val="Tabletext"/>
            </w:pPr>
            <w:r w:rsidRPr="0071363E">
              <w:t>243</w:t>
            </w:r>
          </w:p>
        </w:tc>
        <w:tc>
          <w:tcPr>
            <w:tcW w:w="1559" w:type="dxa"/>
            <w:noWrap/>
          </w:tcPr>
          <w:p w14:paraId="2F538FA4" w14:textId="77777777" w:rsidR="009D0006" w:rsidRPr="0071363E" w:rsidRDefault="009D0006" w:rsidP="00FC6749">
            <w:pPr>
              <w:pStyle w:val="Tabletext"/>
            </w:pPr>
            <w:r w:rsidRPr="0071363E">
              <w:t>48.6</w:t>
            </w:r>
          </w:p>
        </w:tc>
      </w:tr>
      <w:tr w:rsidR="009D0006" w:rsidRPr="0071363E" w14:paraId="457AB515"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E9C0B5C" w14:textId="77777777" w:rsidR="009D0006" w:rsidRPr="0071363E" w:rsidRDefault="009D0006" w:rsidP="00FC6749">
            <w:pPr>
              <w:pStyle w:val="Tabletext"/>
            </w:pPr>
            <w:r w:rsidRPr="0071363E">
              <w:rPr>
                <w:lang w:val="en-US"/>
              </w:rPr>
              <w:t>In public (e.g.</w:t>
            </w:r>
            <w:r>
              <w:rPr>
                <w:lang w:val="en-US"/>
              </w:rPr>
              <w:t>,</w:t>
            </w:r>
            <w:r w:rsidRPr="0071363E">
              <w:rPr>
                <w:lang w:val="en-US"/>
              </w:rPr>
              <w:t xml:space="preserve"> in the street</w:t>
            </w:r>
            <w:r>
              <w:rPr>
                <w:lang w:val="en-US"/>
              </w:rPr>
              <w:t xml:space="preserve"> or </w:t>
            </w:r>
            <w:r w:rsidRPr="0071363E">
              <w:rPr>
                <w:lang w:val="en-US"/>
              </w:rPr>
              <w:t>park)</w:t>
            </w:r>
          </w:p>
        </w:tc>
        <w:tc>
          <w:tcPr>
            <w:tcW w:w="1559" w:type="dxa"/>
            <w:noWrap/>
          </w:tcPr>
          <w:p w14:paraId="136C7A1A" w14:textId="77777777" w:rsidR="009D0006" w:rsidRPr="0071363E" w:rsidRDefault="009D0006" w:rsidP="00FC6749">
            <w:pPr>
              <w:pStyle w:val="Tabletext"/>
            </w:pPr>
            <w:r>
              <w:t>159</w:t>
            </w:r>
          </w:p>
        </w:tc>
        <w:tc>
          <w:tcPr>
            <w:tcW w:w="1559" w:type="dxa"/>
            <w:noWrap/>
          </w:tcPr>
          <w:p w14:paraId="4394FB55" w14:textId="77777777" w:rsidR="009D0006" w:rsidRPr="0071363E" w:rsidRDefault="009D0006" w:rsidP="00FC6749">
            <w:pPr>
              <w:pStyle w:val="Tabletext"/>
            </w:pPr>
            <w:r>
              <w:t>22.0</w:t>
            </w:r>
          </w:p>
        </w:tc>
      </w:tr>
      <w:tr w:rsidR="009D0006" w:rsidRPr="00A25867" w14:paraId="52A1FE00"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0F81D23B" w14:textId="77777777" w:rsidR="009D0006" w:rsidRPr="004B2CC6" w:rsidRDefault="009D0006" w:rsidP="00FC6749">
            <w:pPr>
              <w:pStyle w:val="Tabletext"/>
            </w:pPr>
            <w:r w:rsidRPr="004B2CC6">
              <w:rPr>
                <w:lang w:val="en-US"/>
              </w:rPr>
              <w:t>With family members</w:t>
            </w:r>
          </w:p>
        </w:tc>
        <w:tc>
          <w:tcPr>
            <w:tcW w:w="1559" w:type="dxa"/>
            <w:noWrap/>
          </w:tcPr>
          <w:p w14:paraId="026ACE9F" w14:textId="77777777" w:rsidR="009D0006" w:rsidRPr="004B2CC6" w:rsidRDefault="009D0006" w:rsidP="00FC6749">
            <w:pPr>
              <w:pStyle w:val="Tabletext"/>
            </w:pPr>
            <w:r w:rsidRPr="004B2CC6">
              <w:t>309</w:t>
            </w:r>
          </w:p>
        </w:tc>
        <w:tc>
          <w:tcPr>
            <w:tcW w:w="1559" w:type="dxa"/>
            <w:noWrap/>
          </w:tcPr>
          <w:p w14:paraId="56854B2E" w14:textId="77777777" w:rsidR="009D0006" w:rsidRPr="004B2CC6" w:rsidRDefault="009D0006" w:rsidP="00FC6749">
            <w:pPr>
              <w:pStyle w:val="Tabletext"/>
            </w:pPr>
            <w:r w:rsidRPr="004B2CC6">
              <w:t>40.8</w:t>
            </w:r>
          </w:p>
        </w:tc>
      </w:tr>
      <w:tr w:rsidR="009D0006" w:rsidRPr="00A25867" w14:paraId="10014447"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B9A3220" w14:textId="77777777" w:rsidR="009D0006" w:rsidRPr="00CA0B9F" w:rsidRDefault="009D0006" w:rsidP="00FC6749">
            <w:pPr>
              <w:pStyle w:val="Tabletext"/>
            </w:pPr>
            <w:r w:rsidRPr="00CA0B9F">
              <w:rPr>
                <w:lang w:val="en-US"/>
              </w:rPr>
              <w:t>Accessing a health or support service</w:t>
            </w:r>
          </w:p>
        </w:tc>
        <w:tc>
          <w:tcPr>
            <w:tcW w:w="1559" w:type="dxa"/>
            <w:noWrap/>
          </w:tcPr>
          <w:p w14:paraId="5581AD39" w14:textId="77777777" w:rsidR="009D0006" w:rsidRPr="00CA0B9F" w:rsidRDefault="009D0006" w:rsidP="00FC6749">
            <w:pPr>
              <w:pStyle w:val="Tabletext"/>
            </w:pPr>
            <w:r w:rsidRPr="00CA0B9F">
              <w:t>237</w:t>
            </w:r>
          </w:p>
        </w:tc>
        <w:tc>
          <w:tcPr>
            <w:tcW w:w="1559" w:type="dxa"/>
            <w:noWrap/>
          </w:tcPr>
          <w:p w14:paraId="6ADF3500" w14:textId="77777777" w:rsidR="009D0006" w:rsidRPr="00CA0B9F" w:rsidRDefault="009D0006" w:rsidP="00FC6749">
            <w:pPr>
              <w:pStyle w:val="Tabletext"/>
            </w:pPr>
            <w:r w:rsidRPr="00CA0B9F">
              <w:t>32.7</w:t>
            </w:r>
          </w:p>
        </w:tc>
      </w:tr>
      <w:tr w:rsidR="009D0006" w:rsidRPr="00A25867" w14:paraId="62D8F447"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1BA51443" w14:textId="77777777" w:rsidR="009D0006" w:rsidRPr="00A25867" w:rsidRDefault="009D0006" w:rsidP="00FC6749">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27071839" w14:textId="77777777" w:rsidR="009D0006" w:rsidRPr="00A25867" w:rsidRDefault="009D0006" w:rsidP="00FC6749">
            <w:pPr>
              <w:pStyle w:val="Tabletext"/>
            </w:pPr>
            <w:r>
              <w:t>50</w:t>
            </w:r>
          </w:p>
        </w:tc>
        <w:tc>
          <w:tcPr>
            <w:tcW w:w="1559" w:type="dxa"/>
            <w:noWrap/>
          </w:tcPr>
          <w:p w14:paraId="5638F9EE" w14:textId="77777777" w:rsidR="009D0006" w:rsidRPr="00A25867" w:rsidRDefault="009D0006" w:rsidP="00FC6749">
            <w:pPr>
              <w:pStyle w:val="Tabletext"/>
            </w:pPr>
            <w:r>
              <w:t>11.5</w:t>
            </w:r>
          </w:p>
        </w:tc>
      </w:tr>
    </w:tbl>
    <w:p w14:paraId="3820394F" w14:textId="77777777" w:rsidR="009D0006" w:rsidRDefault="009D0006" w:rsidP="00FC6749">
      <w:pPr>
        <w:pStyle w:val="Tableheading"/>
      </w:pPr>
      <w:r>
        <w:t>Table 100.3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122B" w14:paraId="43E1CA8F"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7436CA8" w14:textId="77777777" w:rsidR="009D0006" w:rsidRPr="00A25867" w:rsidRDefault="009D0006" w:rsidP="00FC6749">
            <w:pPr>
              <w:pStyle w:val="Tableheader"/>
            </w:pPr>
            <w:r>
              <w:t>Feel accepted in these settings</w:t>
            </w:r>
          </w:p>
        </w:tc>
        <w:tc>
          <w:tcPr>
            <w:tcW w:w="1559" w:type="dxa"/>
            <w:noWrap/>
            <w:hideMark/>
          </w:tcPr>
          <w:p w14:paraId="00AC4486" w14:textId="77777777" w:rsidR="009D0006" w:rsidRPr="00A2122B" w:rsidRDefault="009D0006" w:rsidP="00FC6749">
            <w:pPr>
              <w:pStyle w:val="Tableheader"/>
              <w:rPr>
                <w:bCs/>
              </w:rPr>
            </w:pPr>
            <w:r w:rsidRPr="00A2122B">
              <w:rPr>
                <w:bCs/>
              </w:rPr>
              <w:t>n</w:t>
            </w:r>
          </w:p>
        </w:tc>
        <w:tc>
          <w:tcPr>
            <w:tcW w:w="1559" w:type="dxa"/>
            <w:noWrap/>
            <w:hideMark/>
          </w:tcPr>
          <w:p w14:paraId="6BCD73D6" w14:textId="77777777" w:rsidR="009D0006" w:rsidRPr="00A2122B" w:rsidRDefault="009D0006" w:rsidP="00FC6749">
            <w:pPr>
              <w:pStyle w:val="Tableheader"/>
              <w:rPr>
                <w:bCs/>
              </w:rPr>
            </w:pPr>
            <w:r w:rsidRPr="00A2122B">
              <w:rPr>
                <w:bCs/>
              </w:rPr>
              <w:t>%</w:t>
            </w:r>
          </w:p>
        </w:tc>
      </w:tr>
      <w:tr w:rsidR="009D0006" w:rsidRPr="00A25867" w14:paraId="37D2D2DA"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824B208" w14:textId="77777777" w:rsidR="009D0006" w:rsidRPr="00A25867" w:rsidRDefault="009D0006" w:rsidP="00FC6749">
            <w:pPr>
              <w:pStyle w:val="Tabletext"/>
            </w:pPr>
            <w:r w:rsidRPr="00163723">
              <w:rPr>
                <w:lang w:val="en-US"/>
              </w:rPr>
              <w:t>LGBTIQ venue</w:t>
            </w:r>
          </w:p>
        </w:tc>
        <w:tc>
          <w:tcPr>
            <w:tcW w:w="1559" w:type="dxa"/>
            <w:noWrap/>
          </w:tcPr>
          <w:p w14:paraId="42CEADD4" w14:textId="77777777" w:rsidR="009D0006" w:rsidRPr="00A25867" w:rsidRDefault="009D0006" w:rsidP="00FC6749">
            <w:pPr>
              <w:pStyle w:val="Tabletext"/>
            </w:pPr>
            <w:r>
              <w:t>281</w:t>
            </w:r>
          </w:p>
        </w:tc>
        <w:tc>
          <w:tcPr>
            <w:tcW w:w="1559" w:type="dxa"/>
            <w:noWrap/>
          </w:tcPr>
          <w:p w14:paraId="0DEF7E74" w14:textId="77777777" w:rsidR="009D0006" w:rsidRPr="00A25867" w:rsidRDefault="009D0006" w:rsidP="00FC6749">
            <w:pPr>
              <w:pStyle w:val="Tabletext"/>
            </w:pPr>
            <w:r>
              <w:t>59.7</w:t>
            </w:r>
          </w:p>
        </w:tc>
      </w:tr>
      <w:tr w:rsidR="009D0006" w:rsidRPr="00A25867" w14:paraId="1513BE85"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2DEFBD34" w14:textId="77777777" w:rsidR="009D0006" w:rsidRPr="0071363E" w:rsidRDefault="009D0006" w:rsidP="00FC6749">
            <w:pPr>
              <w:pStyle w:val="Tabletext"/>
            </w:pPr>
            <w:r w:rsidRPr="0071363E">
              <w:rPr>
                <w:lang w:val="en-US"/>
              </w:rPr>
              <w:t>At work</w:t>
            </w:r>
          </w:p>
        </w:tc>
        <w:tc>
          <w:tcPr>
            <w:tcW w:w="1559" w:type="dxa"/>
            <w:noWrap/>
          </w:tcPr>
          <w:p w14:paraId="613A3CB8" w14:textId="77777777" w:rsidR="009D0006" w:rsidRPr="0071363E" w:rsidRDefault="009D0006" w:rsidP="00FC6749">
            <w:pPr>
              <w:pStyle w:val="Tabletext"/>
            </w:pPr>
            <w:r w:rsidRPr="0071363E">
              <w:t>154</w:t>
            </w:r>
          </w:p>
        </w:tc>
        <w:tc>
          <w:tcPr>
            <w:tcW w:w="1559" w:type="dxa"/>
            <w:noWrap/>
          </w:tcPr>
          <w:p w14:paraId="12384DF7" w14:textId="77777777" w:rsidR="009D0006" w:rsidRPr="0071363E" w:rsidRDefault="009D0006" w:rsidP="00FC6749">
            <w:pPr>
              <w:pStyle w:val="Tabletext"/>
            </w:pPr>
            <w:r w:rsidRPr="0071363E">
              <w:t>42.5</w:t>
            </w:r>
          </w:p>
        </w:tc>
      </w:tr>
      <w:tr w:rsidR="009D0006" w:rsidRPr="00A25867" w14:paraId="4C6D2C72"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3180BA3A" w14:textId="77777777" w:rsidR="009D0006" w:rsidRPr="0071363E" w:rsidRDefault="009D0006" w:rsidP="00FC6749">
            <w:pPr>
              <w:pStyle w:val="Tabletext"/>
            </w:pPr>
            <w:r w:rsidRPr="0071363E">
              <w:rPr>
                <w:lang w:val="en-US"/>
              </w:rPr>
              <w:t>At an educational institution</w:t>
            </w:r>
          </w:p>
        </w:tc>
        <w:tc>
          <w:tcPr>
            <w:tcW w:w="1559" w:type="dxa"/>
            <w:noWrap/>
          </w:tcPr>
          <w:p w14:paraId="3275089B" w14:textId="77777777" w:rsidR="009D0006" w:rsidRPr="0071363E" w:rsidRDefault="009D0006" w:rsidP="00FC6749">
            <w:pPr>
              <w:pStyle w:val="Tabletext"/>
            </w:pPr>
            <w:r w:rsidRPr="0071363E">
              <w:t>169</w:t>
            </w:r>
          </w:p>
        </w:tc>
        <w:tc>
          <w:tcPr>
            <w:tcW w:w="1559" w:type="dxa"/>
            <w:noWrap/>
          </w:tcPr>
          <w:p w14:paraId="4ED7EB5D" w14:textId="77777777" w:rsidR="009D0006" w:rsidRPr="0071363E" w:rsidRDefault="009D0006" w:rsidP="00FC6749">
            <w:pPr>
              <w:pStyle w:val="Tabletext"/>
            </w:pPr>
            <w:r w:rsidRPr="0071363E">
              <w:t>43.8</w:t>
            </w:r>
          </w:p>
        </w:tc>
      </w:tr>
      <w:tr w:rsidR="009D0006" w:rsidRPr="0071363E" w14:paraId="26D5C125"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134EED34" w14:textId="77777777" w:rsidR="009D0006" w:rsidRPr="0071363E" w:rsidRDefault="009D0006" w:rsidP="00FC6749">
            <w:pPr>
              <w:pStyle w:val="Tabletext"/>
            </w:pPr>
            <w:r w:rsidRPr="0071363E">
              <w:rPr>
                <w:lang w:val="en-US"/>
              </w:rPr>
              <w:t>In public (e.g.</w:t>
            </w:r>
            <w:r>
              <w:rPr>
                <w:lang w:val="en-US"/>
              </w:rPr>
              <w:t>,</w:t>
            </w:r>
            <w:r w:rsidRPr="0071363E">
              <w:rPr>
                <w:lang w:val="en-US"/>
              </w:rPr>
              <w:t xml:space="preserve"> in the street</w:t>
            </w:r>
            <w:r>
              <w:rPr>
                <w:lang w:val="en-US"/>
              </w:rPr>
              <w:t xml:space="preserve"> or </w:t>
            </w:r>
            <w:r w:rsidRPr="0071363E">
              <w:rPr>
                <w:lang w:val="en-US"/>
              </w:rPr>
              <w:t>park)</w:t>
            </w:r>
          </w:p>
        </w:tc>
        <w:tc>
          <w:tcPr>
            <w:tcW w:w="1559" w:type="dxa"/>
            <w:noWrap/>
          </w:tcPr>
          <w:p w14:paraId="55EEAAEC" w14:textId="77777777" w:rsidR="009D0006" w:rsidRPr="0071363E" w:rsidRDefault="009D0006" w:rsidP="00FC6749">
            <w:pPr>
              <w:pStyle w:val="Tabletext"/>
            </w:pPr>
            <w:r>
              <w:t>133</w:t>
            </w:r>
          </w:p>
        </w:tc>
        <w:tc>
          <w:tcPr>
            <w:tcW w:w="1559" w:type="dxa"/>
            <w:noWrap/>
          </w:tcPr>
          <w:p w14:paraId="40200111" w14:textId="77777777" w:rsidR="009D0006" w:rsidRPr="0071363E" w:rsidRDefault="009D0006" w:rsidP="00FC6749">
            <w:pPr>
              <w:pStyle w:val="Tabletext"/>
            </w:pPr>
            <w:r>
              <w:t>22.9</w:t>
            </w:r>
          </w:p>
        </w:tc>
      </w:tr>
      <w:tr w:rsidR="009D0006" w:rsidRPr="00A25867" w14:paraId="731A18D0"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715F655B" w14:textId="77777777" w:rsidR="009D0006" w:rsidRPr="004B2CC6" w:rsidRDefault="009D0006" w:rsidP="00FC6749">
            <w:pPr>
              <w:pStyle w:val="Tabletext"/>
            </w:pPr>
            <w:r w:rsidRPr="004B2CC6">
              <w:rPr>
                <w:lang w:val="en-US"/>
              </w:rPr>
              <w:t>With family members</w:t>
            </w:r>
          </w:p>
        </w:tc>
        <w:tc>
          <w:tcPr>
            <w:tcW w:w="1559" w:type="dxa"/>
            <w:noWrap/>
          </w:tcPr>
          <w:p w14:paraId="73C047BF" w14:textId="77777777" w:rsidR="009D0006" w:rsidRPr="004B2CC6" w:rsidRDefault="009D0006" w:rsidP="00FC6749">
            <w:pPr>
              <w:pStyle w:val="Tabletext"/>
            </w:pPr>
            <w:r w:rsidRPr="004B2CC6">
              <w:t>250</w:t>
            </w:r>
          </w:p>
        </w:tc>
        <w:tc>
          <w:tcPr>
            <w:tcW w:w="1559" w:type="dxa"/>
            <w:noWrap/>
          </w:tcPr>
          <w:p w14:paraId="328D559C" w14:textId="77777777" w:rsidR="009D0006" w:rsidRPr="004B2CC6" w:rsidRDefault="009D0006" w:rsidP="00FC6749">
            <w:pPr>
              <w:pStyle w:val="Tabletext"/>
            </w:pPr>
            <w:r w:rsidRPr="004B2CC6">
              <w:t>42.2</w:t>
            </w:r>
          </w:p>
        </w:tc>
      </w:tr>
      <w:tr w:rsidR="009D0006" w:rsidRPr="00A25867" w14:paraId="01850426"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4B36C6EB" w14:textId="77777777" w:rsidR="009D0006" w:rsidRPr="00CA0B9F" w:rsidRDefault="009D0006" w:rsidP="00FC6749">
            <w:pPr>
              <w:pStyle w:val="Tabletext"/>
            </w:pPr>
            <w:r w:rsidRPr="00CA0B9F">
              <w:rPr>
                <w:lang w:val="en-US"/>
              </w:rPr>
              <w:t>Accessing a health or support service</w:t>
            </w:r>
          </w:p>
        </w:tc>
        <w:tc>
          <w:tcPr>
            <w:tcW w:w="1559" w:type="dxa"/>
            <w:noWrap/>
          </w:tcPr>
          <w:p w14:paraId="0F79F9D2" w14:textId="77777777" w:rsidR="009D0006" w:rsidRPr="00CA0B9F" w:rsidRDefault="009D0006" w:rsidP="00FC6749">
            <w:pPr>
              <w:pStyle w:val="Tabletext"/>
            </w:pPr>
            <w:r w:rsidRPr="00CA0B9F">
              <w:t>189</w:t>
            </w:r>
          </w:p>
        </w:tc>
        <w:tc>
          <w:tcPr>
            <w:tcW w:w="1559" w:type="dxa"/>
            <w:noWrap/>
          </w:tcPr>
          <w:p w14:paraId="55719599" w14:textId="77777777" w:rsidR="009D0006" w:rsidRPr="00CA0B9F" w:rsidRDefault="009D0006" w:rsidP="00FC6749">
            <w:pPr>
              <w:pStyle w:val="Tabletext"/>
            </w:pPr>
            <w:r w:rsidRPr="00CA0B9F">
              <w:t>33.6</w:t>
            </w:r>
          </w:p>
        </w:tc>
      </w:tr>
      <w:tr w:rsidR="009D0006" w:rsidRPr="00A25867" w14:paraId="5108959C"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6FCD90E" w14:textId="77777777" w:rsidR="009D0006" w:rsidRPr="00A25867" w:rsidRDefault="009D0006" w:rsidP="00FC6749">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0D1FD138" w14:textId="77777777" w:rsidR="009D0006" w:rsidRPr="00A25867" w:rsidRDefault="009D0006" w:rsidP="00FC6749">
            <w:pPr>
              <w:pStyle w:val="Tabletext"/>
            </w:pPr>
            <w:r>
              <w:t>23</w:t>
            </w:r>
          </w:p>
        </w:tc>
        <w:tc>
          <w:tcPr>
            <w:tcW w:w="1559" w:type="dxa"/>
            <w:noWrap/>
          </w:tcPr>
          <w:p w14:paraId="18AA1C33" w14:textId="77777777" w:rsidR="009D0006" w:rsidRPr="00A25867" w:rsidRDefault="009D0006" w:rsidP="00FC6749">
            <w:pPr>
              <w:pStyle w:val="Tabletext"/>
            </w:pPr>
            <w:r>
              <w:t>7.1</w:t>
            </w:r>
          </w:p>
        </w:tc>
      </w:tr>
    </w:tbl>
    <w:p w14:paraId="7B5B22F6" w14:textId="77777777" w:rsidR="009D0006" w:rsidRDefault="009D0006" w:rsidP="00FC6749">
      <w:pPr>
        <w:pStyle w:val="Tableheading"/>
      </w:pPr>
      <w:r>
        <w:t>Table 100.</w:t>
      </w:r>
      <w:r>
        <w:lastRenderedPageBreak/>
        <w:t>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BC36A67" w14:textId="77777777" w:rsidTr="00FC6749">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2593744" w14:textId="77777777" w:rsidR="009D0006" w:rsidRPr="00A25867" w:rsidRDefault="009D0006" w:rsidP="00FC6749">
            <w:pPr>
              <w:pStyle w:val="Tableheader"/>
            </w:pPr>
            <w:r>
              <w:t>Feel accepted in these settings</w:t>
            </w:r>
          </w:p>
        </w:tc>
        <w:tc>
          <w:tcPr>
            <w:tcW w:w="1559" w:type="dxa"/>
            <w:noWrap/>
            <w:hideMark/>
          </w:tcPr>
          <w:p w14:paraId="63AA2E4D" w14:textId="77777777" w:rsidR="009D0006" w:rsidRPr="00A25867" w:rsidRDefault="009D0006" w:rsidP="00FC6749">
            <w:pPr>
              <w:pStyle w:val="Tableheader"/>
              <w:rPr>
                <w:bCs/>
              </w:rPr>
            </w:pPr>
            <w:r>
              <w:rPr>
                <w:bCs/>
              </w:rPr>
              <w:t>n</w:t>
            </w:r>
          </w:p>
        </w:tc>
        <w:tc>
          <w:tcPr>
            <w:tcW w:w="1559" w:type="dxa"/>
            <w:noWrap/>
            <w:hideMark/>
          </w:tcPr>
          <w:p w14:paraId="12BF30E5" w14:textId="77777777" w:rsidR="009D0006" w:rsidRPr="00A25867" w:rsidRDefault="009D0006" w:rsidP="00FC6749">
            <w:pPr>
              <w:pStyle w:val="Tableheader"/>
              <w:rPr>
                <w:bCs/>
              </w:rPr>
            </w:pPr>
            <w:r w:rsidRPr="00A25867">
              <w:rPr>
                <w:bCs/>
              </w:rPr>
              <w:t>%</w:t>
            </w:r>
          </w:p>
        </w:tc>
      </w:tr>
      <w:tr w:rsidR="009D0006" w:rsidRPr="00A25867" w14:paraId="05A419D4"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2D5C783" w14:textId="77777777" w:rsidR="009D0006" w:rsidRPr="00A25867" w:rsidRDefault="009D0006" w:rsidP="00FC6749">
            <w:pPr>
              <w:pStyle w:val="Tabletext"/>
            </w:pPr>
            <w:r w:rsidRPr="00163723">
              <w:rPr>
                <w:lang w:val="en-US"/>
              </w:rPr>
              <w:t>LGBTIQ venue</w:t>
            </w:r>
          </w:p>
        </w:tc>
        <w:tc>
          <w:tcPr>
            <w:tcW w:w="1559" w:type="dxa"/>
            <w:noWrap/>
          </w:tcPr>
          <w:p w14:paraId="7E53BB1C" w14:textId="77777777" w:rsidR="009D0006" w:rsidRPr="00A25867" w:rsidRDefault="009D0006" w:rsidP="00FC6749">
            <w:pPr>
              <w:pStyle w:val="Tabletext"/>
            </w:pPr>
            <w:r>
              <w:t>86</w:t>
            </w:r>
          </w:p>
        </w:tc>
        <w:tc>
          <w:tcPr>
            <w:tcW w:w="1559" w:type="dxa"/>
            <w:noWrap/>
          </w:tcPr>
          <w:p w14:paraId="6D3E2F29" w14:textId="77777777" w:rsidR="009D0006" w:rsidRPr="00A25867" w:rsidRDefault="009D0006" w:rsidP="00FC6749">
            <w:pPr>
              <w:pStyle w:val="Tabletext"/>
            </w:pPr>
            <w:r>
              <w:t>64.2</w:t>
            </w:r>
          </w:p>
        </w:tc>
      </w:tr>
      <w:tr w:rsidR="009D0006" w:rsidRPr="00A25867" w14:paraId="4310993D"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037F9D15" w14:textId="77777777" w:rsidR="009D0006" w:rsidRPr="0071363E" w:rsidRDefault="009D0006" w:rsidP="00FC6749">
            <w:pPr>
              <w:pStyle w:val="Tabletext"/>
            </w:pPr>
            <w:r w:rsidRPr="0071363E">
              <w:rPr>
                <w:lang w:val="en-US"/>
              </w:rPr>
              <w:t>At work</w:t>
            </w:r>
          </w:p>
        </w:tc>
        <w:tc>
          <w:tcPr>
            <w:tcW w:w="1559" w:type="dxa"/>
            <w:noWrap/>
          </w:tcPr>
          <w:p w14:paraId="51B9D18B" w14:textId="77777777" w:rsidR="009D0006" w:rsidRPr="0071363E" w:rsidRDefault="009D0006" w:rsidP="00FC6749">
            <w:pPr>
              <w:pStyle w:val="Tabletext"/>
            </w:pPr>
            <w:r w:rsidRPr="0071363E">
              <w:t>53</w:t>
            </w:r>
          </w:p>
        </w:tc>
        <w:tc>
          <w:tcPr>
            <w:tcW w:w="1559" w:type="dxa"/>
            <w:noWrap/>
          </w:tcPr>
          <w:p w14:paraId="60A8B40F" w14:textId="77777777" w:rsidR="009D0006" w:rsidRPr="00A25867" w:rsidRDefault="009D0006" w:rsidP="00FC6749">
            <w:pPr>
              <w:pStyle w:val="Tabletext"/>
            </w:pPr>
            <w:r w:rsidRPr="0071363E">
              <w:t>48.6</w:t>
            </w:r>
          </w:p>
        </w:tc>
      </w:tr>
      <w:tr w:rsidR="009D0006" w:rsidRPr="00A25867" w14:paraId="69D2EA7D"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6ED38150" w14:textId="77777777" w:rsidR="009D0006" w:rsidRPr="0071363E" w:rsidRDefault="009D0006" w:rsidP="00FC6749">
            <w:pPr>
              <w:pStyle w:val="Tabletext"/>
            </w:pPr>
            <w:r w:rsidRPr="0071363E">
              <w:rPr>
                <w:lang w:val="en-US"/>
              </w:rPr>
              <w:t>At an educational institution</w:t>
            </w:r>
          </w:p>
        </w:tc>
        <w:tc>
          <w:tcPr>
            <w:tcW w:w="1559" w:type="dxa"/>
            <w:noWrap/>
          </w:tcPr>
          <w:p w14:paraId="4314D731" w14:textId="77777777" w:rsidR="009D0006" w:rsidRPr="0071363E" w:rsidRDefault="009D0006" w:rsidP="00FC6749">
            <w:pPr>
              <w:pStyle w:val="Tabletext"/>
            </w:pPr>
            <w:r w:rsidRPr="0071363E">
              <w:t>42</w:t>
            </w:r>
          </w:p>
        </w:tc>
        <w:tc>
          <w:tcPr>
            <w:tcW w:w="1559" w:type="dxa"/>
            <w:noWrap/>
          </w:tcPr>
          <w:p w14:paraId="119059D5" w14:textId="77777777" w:rsidR="009D0006" w:rsidRPr="00A25867" w:rsidRDefault="009D0006" w:rsidP="00FC6749">
            <w:pPr>
              <w:pStyle w:val="Tabletext"/>
            </w:pPr>
            <w:r w:rsidRPr="0071363E">
              <w:t>37.5</w:t>
            </w:r>
          </w:p>
        </w:tc>
      </w:tr>
      <w:tr w:rsidR="009D0006" w:rsidRPr="0071363E" w14:paraId="1A01585E"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5B7A9A65" w14:textId="77777777" w:rsidR="009D0006" w:rsidRPr="0071363E" w:rsidRDefault="009D0006" w:rsidP="00FC6749">
            <w:pPr>
              <w:pStyle w:val="Tabletext"/>
            </w:pPr>
            <w:r w:rsidRPr="0071363E">
              <w:rPr>
                <w:lang w:val="en-US"/>
              </w:rPr>
              <w:t>In public (e.g.</w:t>
            </w:r>
            <w:r>
              <w:rPr>
                <w:lang w:val="en-US"/>
              </w:rPr>
              <w:t>,</w:t>
            </w:r>
            <w:r w:rsidRPr="0071363E">
              <w:rPr>
                <w:lang w:val="en-US"/>
              </w:rPr>
              <w:t xml:space="preserve"> in the street</w:t>
            </w:r>
            <w:r>
              <w:rPr>
                <w:lang w:val="en-US"/>
              </w:rPr>
              <w:t xml:space="preserve"> or </w:t>
            </w:r>
            <w:r w:rsidRPr="0071363E">
              <w:rPr>
                <w:lang w:val="en-US"/>
              </w:rPr>
              <w:t>park)</w:t>
            </w:r>
          </w:p>
        </w:tc>
        <w:tc>
          <w:tcPr>
            <w:tcW w:w="1559" w:type="dxa"/>
            <w:noWrap/>
          </w:tcPr>
          <w:p w14:paraId="0981FE7E" w14:textId="77777777" w:rsidR="009D0006" w:rsidRPr="0071363E" w:rsidRDefault="009D0006" w:rsidP="00FC6749">
            <w:pPr>
              <w:pStyle w:val="Tabletext"/>
            </w:pPr>
            <w:r>
              <w:t>44</w:t>
            </w:r>
          </w:p>
        </w:tc>
        <w:tc>
          <w:tcPr>
            <w:tcW w:w="1559" w:type="dxa"/>
            <w:noWrap/>
          </w:tcPr>
          <w:p w14:paraId="5B0CED88" w14:textId="77777777" w:rsidR="009D0006" w:rsidRPr="0071363E" w:rsidRDefault="009D0006" w:rsidP="00FC6749">
            <w:pPr>
              <w:pStyle w:val="Tabletext"/>
            </w:pPr>
            <w:r>
              <w:t>26.3</w:t>
            </w:r>
          </w:p>
        </w:tc>
      </w:tr>
      <w:tr w:rsidR="009D0006" w:rsidRPr="00A25867" w14:paraId="603DB46D"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40A7DF72" w14:textId="77777777" w:rsidR="009D0006" w:rsidRPr="004B2CC6" w:rsidRDefault="009D0006" w:rsidP="00FC6749">
            <w:pPr>
              <w:pStyle w:val="Tabletext"/>
            </w:pPr>
            <w:r w:rsidRPr="004B2CC6">
              <w:rPr>
                <w:lang w:val="en-US"/>
              </w:rPr>
              <w:t>With family members</w:t>
            </w:r>
          </w:p>
        </w:tc>
        <w:tc>
          <w:tcPr>
            <w:tcW w:w="1559" w:type="dxa"/>
            <w:noWrap/>
          </w:tcPr>
          <w:p w14:paraId="0333F554" w14:textId="77777777" w:rsidR="009D0006" w:rsidRPr="004B2CC6" w:rsidRDefault="009D0006" w:rsidP="00FC6749">
            <w:pPr>
              <w:pStyle w:val="Tabletext"/>
            </w:pPr>
            <w:r w:rsidRPr="004B2CC6">
              <w:t>78</w:t>
            </w:r>
          </w:p>
        </w:tc>
        <w:tc>
          <w:tcPr>
            <w:tcW w:w="1559" w:type="dxa"/>
            <w:noWrap/>
          </w:tcPr>
          <w:p w14:paraId="7B5753FB" w14:textId="77777777" w:rsidR="009D0006" w:rsidRPr="00A25867" w:rsidRDefault="009D0006" w:rsidP="00FC6749">
            <w:pPr>
              <w:pStyle w:val="Tabletext"/>
            </w:pPr>
            <w:r w:rsidRPr="004B2CC6">
              <w:t>44.3</w:t>
            </w:r>
          </w:p>
        </w:tc>
      </w:tr>
      <w:tr w:rsidR="009D0006" w:rsidRPr="00A25867" w14:paraId="06A2C562" w14:textId="77777777" w:rsidTr="00FC6749">
        <w:trPr>
          <w:cnfStyle w:val="000000010000" w:firstRow="0" w:lastRow="0" w:firstColumn="0" w:lastColumn="0" w:oddVBand="0" w:evenVBand="0" w:oddHBand="0" w:evenHBand="1" w:firstRowFirstColumn="0" w:firstRowLastColumn="0" w:lastRowFirstColumn="0" w:lastRowLastColumn="0"/>
          <w:trHeight w:val="346"/>
        </w:trPr>
        <w:tc>
          <w:tcPr>
            <w:tcW w:w="6746" w:type="dxa"/>
            <w:noWrap/>
          </w:tcPr>
          <w:p w14:paraId="3A3FAE43" w14:textId="77777777" w:rsidR="009D0006" w:rsidRPr="00CA0B9F" w:rsidRDefault="009D0006" w:rsidP="00FC6749">
            <w:pPr>
              <w:pStyle w:val="Tabletext"/>
            </w:pPr>
            <w:r w:rsidRPr="00CA0B9F">
              <w:rPr>
                <w:lang w:val="en-US"/>
              </w:rPr>
              <w:t>Accessing a health or support service</w:t>
            </w:r>
          </w:p>
        </w:tc>
        <w:tc>
          <w:tcPr>
            <w:tcW w:w="1559" w:type="dxa"/>
            <w:noWrap/>
          </w:tcPr>
          <w:p w14:paraId="380D1310" w14:textId="77777777" w:rsidR="009D0006" w:rsidRPr="00CA0B9F" w:rsidRDefault="009D0006" w:rsidP="00FC6749">
            <w:pPr>
              <w:pStyle w:val="Tabletext"/>
            </w:pPr>
            <w:r w:rsidRPr="00CA0B9F">
              <w:t>54</w:t>
            </w:r>
          </w:p>
        </w:tc>
        <w:tc>
          <w:tcPr>
            <w:tcW w:w="1559" w:type="dxa"/>
            <w:noWrap/>
          </w:tcPr>
          <w:p w14:paraId="68A114AB" w14:textId="77777777" w:rsidR="009D0006" w:rsidRPr="00A25867" w:rsidRDefault="009D0006" w:rsidP="00FC6749">
            <w:pPr>
              <w:pStyle w:val="Tabletext"/>
            </w:pPr>
            <w:r w:rsidRPr="00CA0B9F">
              <w:t>32.9</w:t>
            </w:r>
          </w:p>
        </w:tc>
      </w:tr>
      <w:tr w:rsidR="009D0006" w:rsidRPr="00A25867" w14:paraId="5F92A810" w14:textId="77777777" w:rsidTr="00FC6749">
        <w:trPr>
          <w:cnfStyle w:val="000000100000" w:firstRow="0" w:lastRow="0" w:firstColumn="0" w:lastColumn="0" w:oddVBand="0" w:evenVBand="0" w:oddHBand="1" w:evenHBand="0" w:firstRowFirstColumn="0" w:firstRowLastColumn="0" w:lastRowFirstColumn="0" w:lastRowLastColumn="0"/>
          <w:trHeight w:val="346"/>
        </w:trPr>
        <w:tc>
          <w:tcPr>
            <w:tcW w:w="6746" w:type="dxa"/>
            <w:noWrap/>
          </w:tcPr>
          <w:p w14:paraId="2D7AEB3D" w14:textId="77777777" w:rsidR="009D0006" w:rsidRPr="00A25867" w:rsidRDefault="009D0006" w:rsidP="00FC6749">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5F9F4432" w14:textId="77777777" w:rsidR="009D0006" w:rsidRPr="00A25867" w:rsidRDefault="009D0006" w:rsidP="00FC6749">
            <w:pPr>
              <w:pStyle w:val="Tabletext"/>
            </w:pPr>
            <w:r>
              <w:t>12</w:t>
            </w:r>
          </w:p>
        </w:tc>
        <w:tc>
          <w:tcPr>
            <w:tcW w:w="1559" w:type="dxa"/>
            <w:noWrap/>
          </w:tcPr>
          <w:p w14:paraId="7C08257A" w14:textId="77777777" w:rsidR="009D0006" w:rsidRPr="00A25867" w:rsidRDefault="009D0006" w:rsidP="00FC6749">
            <w:pPr>
              <w:pStyle w:val="Tabletext"/>
            </w:pPr>
            <w:r>
              <w:t>11.5</w:t>
            </w:r>
          </w:p>
        </w:tc>
      </w:tr>
    </w:tbl>
    <w:p w14:paraId="184659A3" w14:textId="77777777" w:rsidR="009D0006" w:rsidRPr="00FC6749" w:rsidRDefault="009D0006" w:rsidP="00FC6749">
      <w:pPr>
        <w:pStyle w:val="TableTextNotebelow"/>
        <w:rPr>
          <w:i/>
        </w:rPr>
      </w:pPr>
      <w:r w:rsidRPr="00FC6749">
        <w:rPr>
          <w:i/>
        </w:rPr>
        <w:t xml:space="preserve">Note: Responses were analysed among participants who reported that a situation was applicable to them therefore an overall ‘n’ is not provided. </w:t>
      </w:r>
    </w:p>
    <w:p w14:paraId="62855FC1" w14:textId="77777777" w:rsidR="009D0006" w:rsidRDefault="009D0006" w:rsidP="00AB4A74">
      <w:pPr>
        <w:spacing w:before="360"/>
      </w:pPr>
      <w:r>
        <w:t xml:space="preserve">As displayed in Tables 100.1-100.4, the greatest proportion of participants with disability in </w:t>
      </w:r>
      <w:r>
        <w:rPr>
          <w:i/>
          <w:iCs/>
        </w:rPr>
        <w:t xml:space="preserve">Private Lives 3 </w:t>
      </w:r>
      <w:r>
        <w:t>who felt accepted in an LGBTIQ venue resided in a rural or remote area (64.2%; n = 86), followed by participants in an inner suburban area (59.9%; n = 540), participants in a regional city or town (59.7%; n = 281) and participants in an outer suburban area (57.7%; n = 365).</w:t>
      </w:r>
    </w:p>
    <w:p w14:paraId="31B74A87" w14:textId="77777777" w:rsidR="009D0006" w:rsidRDefault="009D0006" w:rsidP="009D0006">
      <w:r>
        <w:t xml:space="preserve">More than half of participants residing in an inner suburban area felt accepted at work (54.3%; n = 401), followed by participants in a rural or remote area (48.6%; n = 53), participants in an outer suburban area (45.9%; n = 238) and participants in a regional city or town (42.5%; n = 154). </w:t>
      </w:r>
    </w:p>
    <w:p w14:paraId="5FB2E798" w14:textId="77777777" w:rsidR="009D0006" w:rsidRDefault="009D0006" w:rsidP="009D0006">
      <w:r>
        <w:t>Just under one-half of participants residing in an outer suburban area felt accepted at their educational institution (48.6%; n = 243), followed by participants in an inner suburban area (47.6%; n = 304), participants in a regional city or town (43.8%; n = 169) and participants in a rural or remote area (37.5%; n = 42).</w:t>
      </w:r>
    </w:p>
    <w:p w14:paraId="6D6BA827" w14:textId="77777777" w:rsidR="009D0006" w:rsidRDefault="009D0006" w:rsidP="009D0006">
      <w:r>
        <w:t>Approximately one-quarter of participants residing in a rural or remote area felt accepted in public spaces (26.3%; n = 44), followed by participants in an inner suburban area (25.5%; n = 245), participants in a rural city or town (22.9%; n = 44) and participants in an outer suburban area (22.0%; n = 159).</w:t>
      </w:r>
    </w:p>
    <w:p w14:paraId="561EDC9F" w14:textId="77777777" w:rsidR="009D0006" w:rsidRDefault="009D0006" w:rsidP="009D0006">
      <w:r>
        <w:t>The proportions of participants who felt accepted with family members were similar across residential areas. Over two-fifths of participants residing in an inner suburban area felt accepted with family members (45.1%; n = 442), followed by participants in a rural or remote are</w:t>
      </w:r>
      <w:r>
        <w:lastRenderedPageBreak/>
        <w:t>a (44.3%; n = 78), participants in a regional town or city (42.2%; n = 250) and participants in an outer suburban area (40.8%; n = 309).</w:t>
      </w:r>
    </w:p>
    <w:p w14:paraId="7902B4B9" w14:textId="77777777" w:rsidR="009D0006" w:rsidRDefault="009D0006" w:rsidP="009D0006">
      <w:r>
        <w:t>More than one-third of participants residing in an inner suburban area felt accepted when accessing a health or support service (36.6.%; n = 350), followed by participants in a regional city or town (33.6%; n = 189), participants in a rural or remote area (32.9%; n = 54) and participants in an outer suburban area (32.7%; n = 237).</w:t>
      </w:r>
    </w:p>
    <w:p w14:paraId="77DC0BCC" w14:textId="77777777" w:rsidR="009D0006" w:rsidRDefault="009D0006" w:rsidP="009D0006">
      <w:r>
        <w:t>Small proportions of participants felt accepted at religious or faith-based events or services. A little over 1 in 10 participants residing in an outer suburban area (11.5%; n = 50) and rural or remote area (11.5%; n = 12) felt accepted at religious or faith-based events or services, followed by participants in an inner suburban area (9.5%; n = 48) and participants in a regional city or town (7.1%; n = 23).</w:t>
      </w:r>
    </w:p>
    <w:p w14:paraId="4FBD9535" w14:textId="1AE07907" w:rsidR="009D0006" w:rsidRPr="00C5739E" w:rsidRDefault="009D0006" w:rsidP="00650B64">
      <w:pPr>
        <w:pStyle w:val="Heading2Numbered"/>
        <w:spacing w:before="120"/>
        <w:rPr>
          <w:lang w:val="en-GB"/>
        </w:rPr>
      </w:pPr>
      <w:bookmarkStart w:id="844" w:name="_Toc115968640"/>
      <w:bookmarkStart w:id="845" w:name="_Toc119662470"/>
      <w:r w:rsidRPr="00C5739E">
        <w:rPr>
          <w:lang w:val="en-GB"/>
        </w:rPr>
        <w:t>Psychological distress (K10)</w:t>
      </w:r>
      <w:bookmarkEnd w:id="844"/>
      <w:bookmarkEnd w:id="845"/>
      <w:r w:rsidRPr="00C5739E">
        <w:rPr>
          <w:lang w:val="en-GB"/>
        </w:rPr>
        <w:t xml:space="preserve"> </w:t>
      </w:r>
    </w:p>
    <w:p w14:paraId="3711F516" w14:textId="77777777" w:rsidR="009D0006" w:rsidRPr="00C5739E" w:rsidRDefault="009D0006" w:rsidP="009D0006">
      <w:r w:rsidRPr="00782BFA">
        <w:t xml:space="preserve">Tables </w:t>
      </w:r>
      <w:r>
        <w:t xml:space="preserve">101.1-101.4 and 102.1-102.4 </w:t>
      </w:r>
      <w:r w:rsidRPr="00C5739E">
        <w:t xml:space="preserve">display the K10 psychological distress levels of participants </w:t>
      </w:r>
      <w:r w:rsidRPr="00C5739E">
        <w:rPr>
          <w:bCs/>
        </w:rPr>
        <w:t xml:space="preserve">according to </w:t>
      </w:r>
      <w:r>
        <w:t>their area of residence</w:t>
      </w:r>
      <w:r w:rsidRPr="00C5739E">
        <w:t>.</w:t>
      </w:r>
    </w:p>
    <w:p w14:paraId="46F416DF" w14:textId="308FC2A8" w:rsidR="009D0006" w:rsidRPr="00650B64" w:rsidRDefault="009D0006" w:rsidP="00650B64">
      <w:pPr>
        <w:pStyle w:val="Heading3Numbered"/>
        <w:spacing w:before="240"/>
        <w:rPr>
          <w:w w:val="100"/>
        </w:rPr>
      </w:pPr>
      <w:bookmarkStart w:id="846" w:name="_Toc115968641"/>
      <w:r w:rsidRPr="00650B64">
        <w:rPr>
          <w:w w:val="100"/>
        </w:rPr>
        <w:t>Psychological distress – young people aged 14-21 years</w:t>
      </w:r>
      <w:bookmarkEnd w:id="846"/>
    </w:p>
    <w:p w14:paraId="1D1E469A" w14:textId="2C0E01DB" w:rsidR="009D0006" w:rsidRDefault="009D0006" w:rsidP="00B12408">
      <w:pPr>
        <w:pStyle w:val="Tableheading"/>
      </w:pPr>
      <w:bookmarkStart w:id="847" w:name="_Toc117062818"/>
      <w:bookmarkStart w:id="848" w:name="_Toc119651503"/>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101</w:t>
      </w:r>
      <w:r w:rsidRPr="004B71BD">
        <w:rPr>
          <w:bCs/>
        </w:rPr>
        <w:fldChar w:fldCharType="end"/>
      </w:r>
      <w:r>
        <w:rPr>
          <w:bCs/>
        </w:rPr>
        <w:t>.1-101.4</w:t>
      </w:r>
      <w:r>
        <w:t xml:space="preserve">: Psychological distress among young people with disability aged 14-21 years, grouped </w:t>
      </w:r>
      <w:r w:rsidRPr="00C5739E">
        <w:t xml:space="preserve">by </w:t>
      </w:r>
      <w:r w:rsidRPr="00E07C8F">
        <w:t xml:space="preserve">area of residence </w:t>
      </w:r>
      <w:r w:rsidRPr="00C5739E">
        <w:t xml:space="preserve">(n = </w:t>
      </w:r>
      <w:r>
        <w:t>2484</w:t>
      </w:r>
      <w:r w:rsidRPr="00C5739E">
        <w:t>)</w:t>
      </w:r>
      <w:bookmarkEnd w:id="847"/>
      <w:bookmarkEnd w:id="848"/>
    </w:p>
    <w:p w14:paraId="2D873067" w14:textId="77777777" w:rsidR="009D0006" w:rsidRPr="00C5739E" w:rsidRDefault="009D0006" w:rsidP="00B12408">
      <w:pPr>
        <w:pStyle w:val="Tableheading"/>
      </w:pPr>
      <w:r>
        <w:t>Table 101.1 Inner suburban</w:t>
      </w:r>
    </w:p>
    <w:tbl>
      <w:tblPr>
        <w:tblStyle w:val="RCTable"/>
        <w:tblW w:w="9864" w:type="dxa"/>
        <w:tblLayout w:type="fixed"/>
        <w:tblLook w:val="04A0" w:firstRow="1" w:lastRow="0" w:firstColumn="1" w:lastColumn="0" w:noHBand="0" w:noVBand="1"/>
      </w:tblPr>
      <w:tblGrid>
        <w:gridCol w:w="6746"/>
        <w:gridCol w:w="1559"/>
        <w:gridCol w:w="1559"/>
      </w:tblGrid>
      <w:tr w:rsidR="009D0006" w:rsidRPr="00A25867" w14:paraId="799D0225" w14:textId="77777777" w:rsidTr="00A00FCE">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658AA92" w14:textId="77777777" w:rsidR="009D0006" w:rsidRPr="009F2612" w:rsidRDefault="009D0006" w:rsidP="00A00FCE">
            <w:pPr>
              <w:pStyle w:val="Tableheader"/>
              <w:rPr>
                <w:bCs/>
              </w:rPr>
            </w:pPr>
            <w:r w:rsidRPr="009F2612">
              <w:t>Psychological distress</w:t>
            </w:r>
          </w:p>
        </w:tc>
        <w:tc>
          <w:tcPr>
            <w:tcW w:w="1559" w:type="dxa"/>
            <w:noWrap/>
            <w:hideMark/>
          </w:tcPr>
          <w:p w14:paraId="02948400" w14:textId="77777777" w:rsidR="009D0006" w:rsidRPr="007A0577" w:rsidRDefault="009D0006" w:rsidP="00A00FCE">
            <w:pPr>
              <w:pStyle w:val="Tableheader"/>
              <w:rPr>
                <w:bCs/>
              </w:rPr>
            </w:pPr>
            <w:r w:rsidRPr="007A0577">
              <w:rPr>
                <w:bCs/>
              </w:rPr>
              <w:t>n</w:t>
            </w:r>
          </w:p>
        </w:tc>
        <w:tc>
          <w:tcPr>
            <w:tcW w:w="1559" w:type="dxa"/>
            <w:noWrap/>
            <w:hideMark/>
          </w:tcPr>
          <w:p w14:paraId="1698A921" w14:textId="77777777" w:rsidR="009D0006" w:rsidRPr="007A0577" w:rsidRDefault="009D0006" w:rsidP="00A00FCE">
            <w:pPr>
              <w:pStyle w:val="Tableheader"/>
              <w:rPr>
                <w:bCs/>
              </w:rPr>
            </w:pPr>
            <w:r w:rsidRPr="007A0577">
              <w:rPr>
                <w:bCs/>
              </w:rPr>
              <w:t>%</w:t>
            </w:r>
          </w:p>
        </w:tc>
      </w:tr>
      <w:tr w:rsidR="009D0006" w:rsidRPr="00A25867" w14:paraId="3C735AEC" w14:textId="77777777" w:rsidTr="00A00FCE">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7684E43" w14:textId="77777777" w:rsidR="009D0006" w:rsidRPr="00A25867" w:rsidRDefault="009D0006" w:rsidP="00A00FCE">
            <w:pPr>
              <w:pStyle w:val="Tabletext"/>
            </w:pPr>
            <w:r>
              <w:t>Low or moderate</w:t>
            </w:r>
          </w:p>
        </w:tc>
        <w:tc>
          <w:tcPr>
            <w:tcW w:w="1559" w:type="dxa"/>
            <w:noWrap/>
          </w:tcPr>
          <w:p w14:paraId="178F2DE5" w14:textId="77777777" w:rsidR="009D0006" w:rsidRPr="00A25867" w:rsidRDefault="009D0006" w:rsidP="00A00FCE">
            <w:pPr>
              <w:pStyle w:val="Tabletext"/>
            </w:pPr>
            <w:r>
              <w:t>13</w:t>
            </w:r>
          </w:p>
        </w:tc>
        <w:tc>
          <w:tcPr>
            <w:tcW w:w="1559" w:type="dxa"/>
            <w:noWrap/>
          </w:tcPr>
          <w:p w14:paraId="6AE05D97" w14:textId="77777777" w:rsidR="009D0006" w:rsidRPr="00A25867" w:rsidRDefault="009D0006" w:rsidP="00A00FCE">
            <w:pPr>
              <w:pStyle w:val="Tabletext"/>
            </w:pPr>
            <w:r>
              <w:t>7.8</w:t>
            </w:r>
          </w:p>
        </w:tc>
      </w:tr>
      <w:tr w:rsidR="009D0006" w:rsidRPr="00A25867" w14:paraId="63FC4D9C" w14:textId="77777777" w:rsidTr="00A00FCE">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073ED52" w14:textId="77777777" w:rsidR="009D0006" w:rsidRPr="00A25867" w:rsidRDefault="009D0006" w:rsidP="00A00FCE">
            <w:pPr>
              <w:pStyle w:val="Tabletext"/>
            </w:pPr>
            <w:r>
              <w:t>High or very high</w:t>
            </w:r>
          </w:p>
        </w:tc>
        <w:tc>
          <w:tcPr>
            <w:tcW w:w="1559" w:type="dxa"/>
            <w:noWrap/>
          </w:tcPr>
          <w:p w14:paraId="6A64379B" w14:textId="77777777" w:rsidR="009D0006" w:rsidRPr="00A25867" w:rsidRDefault="009D0006" w:rsidP="00A00FCE">
            <w:pPr>
              <w:pStyle w:val="Tabletext"/>
            </w:pPr>
            <w:r>
              <w:t>154</w:t>
            </w:r>
          </w:p>
        </w:tc>
        <w:tc>
          <w:tcPr>
            <w:tcW w:w="1559" w:type="dxa"/>
            <w:noWrap/>
          </w:tcPr>
          <w:p w14:paraId="21B626D4" w14:textId="77777777" w:rsidR="009D0006" w:rsidRPr="00A25867" w:rsidRDefault="009D0006" w:rsidP="00A00FCE">
            <w:pPr>
              <w:pStyle w:val="Tabletext"/>
            </w:pPr>
            <w:r>
              <w:t>92.2</w:t>
            </w:r>
          </w:p>
        </w:tc>
      </w:tr>
    </w:tbl>
    <w:p w14:paraId="613A3528" w14:textId="77777777" w:rsidR="009D0006" w:rsidRDefault="009D0006" w:rsidP="00A00FCE">
      <w:pPr>
        <w:pStyle w:val="Tableheading"/>
      </w:pPr>
      <w:r>
        <w:t>Table 101.2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74493C3" w14:textId="77777777" w:rsidTr="00A00FCE">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116376B" w14:textId="77777777" w:rsidR="009D0006" w:rsidRPr="009F2612" w:rsidRDefault="009D0006" w:rsidP="00A00FCE">
            <w:pPr>
              <w:pStyle w:val="Tableheader"/>
              <w:rPr>
                <w:bCs/>
              </w:rPr>
            </w:pPr>
            <w:r w:rsidRPr="009F2612">
              <w:t>Psychological distress</w:t>
            </w:r>
          </w:p>
        </w:tc>
        <w:tc>
          <w:tcPr>
            <w:tcW w:w="1559" w:type="dxa"/>
            <w:noWrap/>
            <w:hideMark/>
          </w:tcPr>
          <w:p w14:paraId="1C58CF54" w14:textId="77777777" w:rsidR="009D0006" w:rsidRPr="007A0577" w:rsidRDefault="009D0006" w:rsidP="00A00FCE">
            <w:pPr>
              <w:pStyle w:val="Tableheader"/>
              <w:rPr>
                <w:bCs/>
              </w:rPr>
            </w:pPr>
            <w:r w:rsidRPr="007A0577">
              <w:rPr>
                <w:bCs/>
              </w:rPr>
              <w:t>n</w:t>
            </w:r>
          </w:p>
        </w:tc>
        <w:tc>
          <w:tcPr>
            <w:tcW w:w="1559" w:type="dxa"/>
            <w:noWrap/>
            <w:hideMark/>
          </w:tcPr>
          <w:p w14:paraId="1616799F" w14:textId="77777777" w:rsidR="009D0006" w:rsidRPr="007A0577" w:rsidRDefault="009D0006" w:rsidP="00A00FCE">
            <w:pPr>
              <w:pStyle w:val="Tableheader"/>
              <w:rPr>
                <w:bCs/>
              </w:rPr>
            </w:pPr>
            <w:r w:rsidRPr="007A0577">
              <w:rPr>
                <w:bCs/>
              </w:rPr>
              <w:t>%</w:t>
            </w:r>
          </w:p>
        </w:tc>
      </w:tr>
      <w:tr w:rsidR="009D0006" w:rsidRPr="00A25867" w14:paraId="0CA2715E" w14:textId="77777777" w:rsidTr="00A00FCE">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CE5993A" w14:textId="77777777" w:rsidR="009D0006" w:rsidRPr="00A25867" w:rsidRDefault="009D0006" w:rsidP="00A00FCE">
            <w:pPr>
              <w:pStyle w:val="TableTextNotebelow"/>
            </w:pPr>
            <w:r>
              <w:t>Low or moderate</w:t>
            </w:r>
          </w:p>
        </w:tc>
        <w:tc>
          <w:tcPr>
            <w:tcW w:w="1559" w:type="dxa"/>
            <w:noWrap/>
          </w:tcPr>
          <w:p w14:paraId="2F340370" w14:textId="77777777" w:rsidR="009D0006" w:rsidRPr="00A25867" w:rsidRDefault="009D0006" w:rsidP="00A00FCE">
            <w:pPr>
              <w:pStyle w:val="TableTextNotebelow"/>
            </w:pPr>
            <w:r>
              <w:t>121</w:t>
            </w:r>
          </w:p>
        </w:tc>
        <w:tc>
          <w:tcPr>
            <w:tcW w:w="1559" w:type="dxa"/>
            <w:noWrap/>
          </w:tcPr>
          <w:p w14:paraId="7974B075" w14:textId="77777777" w:rsidR="009D0006" w:rsidRPr="00A25867" w:rsidRDefault="009D0006" w:rsidP="00A00FCE">
            <w:pPr>
              <w:pStyle w:val="TableTextNotebelow"/>
            </w:pPr>
            <w:r>
              <w:t>8.6</w:t>
            </w:r>
          </w:p>
        </w:tc>
      </w:tr>
      <w:tr w:rsidR="009D0006" w:rsidRPr="00A25867" w14:paraId="32638B82" w14:textId="77777777" w:rsidTr="00A00FCE">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EE3D62D" w14:textId="77777777" w:rsidR="009D0006" w:rsidRPr="00A25867" w:rsidRDefault="009D0006" w:rsidP="00A00FCE">
            <w:pPr>
              <w:pStyle w:val="TableTextNotebelow"/>
            </w:pPr>
            <w:r>
              <w:t>High or very high</w:t>
            </w:r>
          </w:p>
        </w:tc>
        <w:tc>
          <w:tcPr>
            <w:tcW w:w="1559" w:type="dxa"/>
            <w:noWrap/>
          </w:tcPr>
          <w:p w14:paraId="159C4A93" w14:textId="77777777" w:rsidR="009D0006" w:rsidRPr="00A25867" w:rsidRDefault="009D0006" w:rsidP="00A00FCE">
            <w:pPr>
              <w:pStyle w:val="TableTextNotebelow"/>
            </w:pPr>
            <w:r>
              <w:t>1294</w:t>
            </w:r>
          </w:p>
        </w:tc>
        <w:tc>
          <w:tcPr>
            <w:tcW w:w="1559" w:type="dxa"/>
            <w:noWrap/>
          </w:tcPr>
          <w:p w14:paraId="27E5B528" w14:textId="77777777" w:rsidR="009D0006" w:rsidRPr="00A25867" w:rsidRDefault="009D0006" w:rsidP="00A00FCE">
            <w:pPr>
              <w:pStyle w:val="TableTextNotebelow"/>
            </w:pPr>
            <w:r>
              <w:t>91.4</w:t>
            </w:r>
          </w:p>
        </w:tc>
      </w:tr>
    </w:tbl>
    <w:p w14:paraId="2FEBDB1C" w14:textId="77777777" w:rsidR="009D0006" w:rsidRDefault="009D0006" w:rsidP="00A00FCE">
      <w:pPr>
        <w:pStyle w:val="Tableheading"/>
      </w:pPr>
      <w:r>
        <w:t>Table 101.3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33DE5C43" w14:textId="77777777" w:rsidTr="00A00FCE">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64195B2" w14:textId="77777777" w:rsidR="009D0006" w:rsidRPr="009F2612" w:rsidRDefault="009D0006" w:rsidP="00A00FCE">
            <w:pPr>
              <w:pStyle w:val="Tableheader"/>
              <w:rPr>
                <w:bCs/>
              </w:rPr>
            </w:pPr>
            <w:r w:rsidRPr="009F2612">
              <w:t>Psychological distress</w:t>
            </w:r>
          </w:p>
        </w:tc>
        <w:tc>
          <w:tcPr>
            <w:tcW w:w="1559" w:type="dxa"/>
            <w:noWrap/>
            <w:hideMark/>
          </w:tcPr>
          <w:p w14:paraId="1D187CF2" w14:textId="77777777" w:rsidR="009D0006" w:rsidRPr="007A0577" w:rsidRDefault="009D0006" w:rsidP="00A00FCE">
            <w:pPr>
              <w:pStyle w:val="Tableheader"/>
              <w:rPr>
                <w:bCs/>
              </w:rPr>
            </w:pPr>
            <w:r w:rsidRPr="007A0577">
              <w:rPr>
                <w:bCs/>
              </w:rPr>
              <w:t>n</w:t>
            </w:r>
          </w:p>
        </w:tc>
        <w:tc>
          <w:tcPr>
            <w:tcW w:w="1559" w:type="dxa"/>
            <w:noWrap/>
            <w:hideMark/>
          </w:tcPr>
          <w:p w14:paraId="4F7E1AFE" w14:textId="77777777" w:rsidR="009D0006" w:rsidRPr="007A0577" w:rsidRDefault="009D0006" w:rsidP="00A00FCE">
            <w:pPr>
              <w:pStyle w:val="Tableheader"/>
              <w:rPr>
                <w:bCs/>
              </w:rPr>
            </w:pPr>
            <w:r w:rsidRPr="007A0577">
              <w:rPr>
                <w:bCs/>
              </w:rPr>
              <w:t>%</w:t>
            </w:r>
          </w:p>
        </w:tc>
      </w:tr>
      <w:tr w:rsidR="009D0006" w:rsidRPr="00A25867" w14:paraId="4751BBFB" w14:textId="77777777" w:rsidTr="00A00FCE">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48655F2" w14:textId="77777777" w:rsidR="009D0006" w:rsidRPr="00A25867" w:rsidRDefault="009D0006" w:rsidP="00A00FCE">
            <w:pPr>
              <w:pStyle w:val="Tabletext"/>
            </w:pPr>
            <w:r>
              <w:t>Low or moderate</w:t>
            </w:r>
          </w:p>
        </w:tc>
        <w:tc>
          <w:tcPr>
            <w:tcW w:w="1559" w:type="dxa"/>
            <w:noWrap/>
          </w:tcPr>
          <w:p w14:paraId="609C1C6C" w14:textId="77777777" w:rsidR="009D0006" w:rsidRPr="00A25867" w:rsidRDefault="009D0006" w:rsidP="00A00FCE">
            <w:pPr>
              <w:pStyle w:val="Tabletext"/>
            </w:pPr>
            <w:r>
              <w:t>49</w:t>
            </w:r>
          </w:p>
        </w:tc>
        <w:tc>
          <w:tcPr>
            <w:tcW w:w="1559" w:type="dxa"/>
            <w:noWrap/>
          </w:tcPr>
          <w:p w14:paraId="5FFB50A5" w14:textId="77777777" w:rsidR="009D0006" w:rsidRPr="00A25867" w:rsidRDefault="009D0006" w:rsidP="00A00FCE">
            <w:pPr>
              <w:pStyle w:val="Tabletext"/>
            </w:pPr>
            <w:r>
              <w:t>7.9</w:t>
            </w:r>
          </w:p>
        </w:tc>
      </w:tr>
      <w:tr w:rsidR="009D0006" w:rsidRPr="00A25867" w14:paraId="2CD0392B" w14:textId="77777777" w:rsidTr="00A00FCE">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5A5778F" w14:textId="77777777" w:rsidR="009D0006" w:rsidRPr="00A25867" w:rsidRDefault="009D0006" w:rsidP="00A00FCE">
            <w:pPr>
              <w:pStyle w:val="Tabletext"/>
            </w:pPr>
            <w:r>
              <w:t>High or very high</w:t>
            </w:r>
          </w:p>
        </w:tc>
        <w:tc>
          <w:tcPr>
            <w:tcW w:w="1559" w:type="dxa"/>
            <w:noWrap/>
          </w:tcPr>
          <w:p w14:paraId="57E86797" w14:textId="77777777" w:rsidR="009D0006" w:rsidRPr="00A25867" w:rsidRDefault="009D0006" w:rsidP="00A00FCE">
            <w:pPr>
              <w:pStyle w:val="Tabletext"/>
            </w:pPr>
            <w:r>
              <w:t>570</w:t>
            </w:r>
          </w:p>
        </w:tc>
        <w:tc>
          <w:tcPr>
            <w:tcW w:w="1559" w:type="dxa"/>
            <w:noWrap/>
          </w:tcPr>
          <w:p w14:paraId="09DAE001" w14:textId="77777777" w:rsidR="009D0006" w:rsidRPr="00A25867" w:rsidRDefault="009D0006" w:rsidP="00A00FCE">
            <w:pPr>
              <w:pStyle w:val="Tabletext"/>
            </w:pPr>
            <w:r>
              <w:t>92.1</w:t>
            </w:r>
          </w:p>
        </w:tc>
      </w:tr>
    </w:tbl>
    <w:p w14:paraId="4B2DDFF1" w14:textId="77777777" w:rsidR="009D0006" w:rsidRDefault="009D0006" w:rsidP="00A00FCE">
      <w:pPr>
        <w:pStyle w:val="Tableheading"/>
      </w:pPr>
      <w:r>
        <w:t>Table 101.</w:t>
      </w:r>
      <w:r>
        <w:lastRenderedPageBreak/>
        <w:t>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0250AE4" w14:textId="77777777" w:rsidTr="00A00FCE">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9F4F8AB" w14:textId="77777777" w:rsidR="009D0006" w:rsidRPr="009F2612" w:rsidRDefault="009D0006" w:rsidP="00A00FCE">
            <w:pPr>
              <w:pStyle w:val="Tableheader"/>
              <w:rPr>
                <w:bCs/>
              </w:rPr>
            </w:pPr>
            <w:r w:rsidRPr="009F2612">
              <w:t>Psychological distress</w:t>
            </w:r>
          </w:p>
        </w:tc>
        <w:tc>
          <w:tcPr>
            <w:tcW w:w="1559" w:type="dxa"/>
            <w:noWrap/>
            <w:hideMark/>
          </w:tcPr>
          <w:p w14:paraId="05F482FA" w14:textId="77777777" w:rsidR="009D0006" w:rsidRPr="007A0577" w:rsidRDefault="009D0006" w:rsidP="00A00FCE">
            <w:pPr>
              <w:pStyle w:val="Tableheader"/>
              <w:rPr>
                <w:bCs/>
              </w:rPr>
            </w:pPr>
            <w:r w:rsidRPr="007A0577">
              <w:rPr>
                <w:bCs/>
              </w:rPr>
              <w:t>n</w:t>
            </w:r>
          </w:p>
        </w:tc>
        <w:tc>
          <w:tcPr>
            <w:tcW w:w="1559" w:type="dxa"/>
            <w:noWrap/>
            <w:hideMark/>
          </w:tcPr>
          <w:p w14:paraId="105175E8" w14:textId="77777777" w:rsidR="009D0006" w:rsidRPr="007A0577" w:rsidRDefault="009D0006" w:rsidP="00A00FCE">
            <w:pPr>
              <w:pStyle w:val="Tableheader"/>
              <w:rPr>
                <w:bCs/>
              </w:rPr>
            </w:pPr>
            <w:r w:rsidRPr="007A0577">
              <w:rPr>
                <w:bCs/>
              </w:rPr>
              <w:t>%</w:t>
            </w:r>
          </w:p>
        </w:tc>
      </w:tr>
      <w:tr w:rsidR="009D0006" w:rsidRPr="00A25867" w14:paraId="2BE50A87" w14:textId="77777777" w:rsidTr="00A00FCE">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81F9CDA" w14:textId="77777777" w:rsidR="009D0006" w:rsidRPr="00A25867" w:rsidRDefault="009D0006" w:rsidP="00A00FCE">
            <w:pPr>
              <w:pStyle w:val="Tabletext"/>
            </w:pPr>
            <w:r>
              <w:t>Low or moderate</w:t>
            </w:r>
          </w:p>
        </w:tc>
        <w:tc>
          <w:tcPr>
            <w:tcW w:w="1559" w:type="dxa"/>
            <w:noWrap/>
          </w:tcPr>
          <w:p w14:paraId="7FD130BB" w14:textId="77777777" w:rsidR="009D0006" w:rsidRPr="00A25867" w:rsidRDefault="009D0006" w:rsidP="00A00FCE">
            <w:pPr>
              <w:pStyle w:val="Tabletext"/>
            </w:pPr>
            <w:r>
              <w:t>16</w:t>
            </w:r>
          </w:p>
        </w:tc>
        <w:tc>
          <w:tcPr>
            <w:tcW w:w="1559" w:type="dxa"/>
            <w:noWrap/>
          </w:tcPr>
          <w:p w14:paraId="17477876" w14:textId="77777777" w:rsidR="009D0006" w:rsidRPr="00A25867" w:rsidRDefault="009D0006" w:rsidP="00A00FCE">
            <w:pPr>
              <w:pStyle w:val="Tabletext"/>
            </w:pPr>
            <w:r>
              <w:t>5.7</w:t>
            </w:r>
          </w:p>
        </w:tc>
      </w:tr>
      <w:tr w:rsidR="009D0006" w:rsidRPr="00A25867" w14:paraId="65B3D03E" w14:textId="77777777" w:rsidTr="00A00FCE">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CD1B7B6" w14:textId="77777777" w:rsidR="009D0006" w:rsidRPr="00A25867" w:rsidRDefault="009D0006" w:rsidP="00A00FCE">
            <w:pPr>
              <w:pStyle w:val="Tabletext"/>
            </w:pPr>
            <w:r>
              <w:t>High or very high</w:t>
            </w:r>
          </w:p>
        </w:tc>
        <w:tc>
          <w:tcPr>
            <w:tcW w:w="1559" w:type="dxa"/>
            <w:noWrap/>
          </w:tcPr>
          <w:p w14:paraId="64816C59" w14:textId="77777777" w:rsidR="009D0006" w:rsidRPr="00A25867" w:rsidRDefault="009D0006" w:rsidP="00A00FCE">
            <w:pPr>
              <w:pStyle w:val="Tabletext"/>
            </w:pPr>
            <w:r>
              <w:t>267</w:t>
            </w:r>
          </w:p>
        </w:tc>
        <w:tc>
          <w:tcPr>
            <w:tcW w:w="1559" w:type="dxa"/>
            <w:noWrap/>
          </w:tcPr>
          <w:p w14:paraId="54268B1E" w14:textId="77777777" w:rsidR="009D0006" w:rsidRPr="00A25867" w:rsidRDefault="009D0006" w:rsidP="00A00FCE">
            <w:pPr>
              <w:pStyle w:val="Tabletext"/>
            </w:pPr>
            <w:r>
              <w:t>94.3</w:t>
            </w:r>
          </w:p>
        </w:tc>
      </w:tr>
    </w:tbl>
    <w:p w14:paraId="3E48CC44" w14:textId="77777777" w:rsidR="009D0006" w:rsidRDefault="009D0006" w:rsidP="00AB4A74">
      <w:pPr>
        <w:spacing w:before="360"/>
      </w:pPr>
      <w:r w:rsidRPr="003271DA">
        <w:t xml:space="preserve">As displayed in </w:t>
      </w:r>
      <w:r>
        <w:t>T</w:t>
      </w:r>
      <w:r w:rsidRPr="003271DA">
        <w:t>able</w:t>
      </w:r>
      <w:r>
        <w:t>s</w:t>
      </w:r>
      <w:r w:rsidRPr="003271DA">
        <w:t xml:space="preserve"> </w:t>
      </w:r>
      <w:r>
        <w:t>101.1-101.4</w:t>
      </w:r>
      <w:r w:rsidRPr="003271DA">
        <w:t>,</w:t>
      </w:r>
      <w:r>
        <w:t xml:space="preserve"> the vast majority of</w:t>
      </w:r>
      <w:r w:rsidRPr="003271DA">
        <w:t xml:space="preserve"> participants with disability in </w:t>
      </w:r>
      <w:r>
        <w:rPr>
          <w:i/>
          <w:iCs/>
        </w:rPr>
        <w:t>Writing Themselves In 4</w:t>
      </w:r>
      <w:r>
        <w:t xml:space="preserve"> expressed high or very high levels of psychological distress in the past 4 weeks. The largest proportion of participants who had experienced high or very high psychological distress were residing in rural or remote areas (94.3%; n = 267), followed closely by participants in an inner suburban area (92.2%; n = 154), participants in a regional city or town (92.1%; n = 570) and participants in an outer suburban area (91.4%; n = 1294).</w:t>
      </w:r>
    </w:p>
    <w:p w14:paraId="09D11C35" w14:textId="162B7AF4" w:rsidR="009D0006" w:rsidRPr="00C5739E" w:rsidRDefault="009D0006" w:rsidP="009401DC">
      <w:pPr>
        <w:pStyle w:val="Heading3Numbered"/>
      </w:pPr>
      <w:bookmarkStart w:id="849" w:name="_Toc115968642"/>
      <w:r w:rsidRPr="00C5739E">
        <w:t>Psychological distress – adults aged 18+ years</w:t>
      </w:r>
      <w:bookmarkEnd w:id="849"/>
    </w:p>
    <w:p w14:paraId="3633C604" w14:textId="6DE39910" w:rsidR="009D0006" w:rsidRDefault="009D0006" w:rsidP="00A00FCE">
      <w:pPr>
        <w:pStyle w:val="Tableheading"/>
      </w:pPr>
      <w:bookmarkStart w:id="850" w:name="_Toc117062819"/>
      <w:bookmarkStart w:id="851" w:name="_Toc119651504"/>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102</w:t>
      </w:r>
      <w:r w:rsidRPr="004B71BD">
        <w:rPr>
          <w:bCs/>
        </w:rPr>
        <w:fldChar w:fldCharType="end"/>
      </w:r>
      <w:r>
        <w:rPr>
          <w:bCs/>
        </w:rPr>
        <w:t>.1-102.4</w:t>
      </w:r>
      <w:r>
        <w:t>: P</w:t>
      </w:r>
      <w:r w:rsidRPr="00C5739E">
        <w:t xml:space="preserve">sychological distress </w:t>
      </w:r>
      <w:r>
        <w:t xml:space="preserve">among adults with disability aged 18+ years, grouped </w:t>
      </w:r>
      <w:r w:rsidRPr="00C5739E">
        <w:t xml:space="preserve">by </w:t>
      </w:r>
      <w:r w:rsidRPr="00E07C8F">
        <w:t>area of residence</w:t>
      </w:r>
      <w:r>
        <w:t xml:space="preserve"> (n = 2547)</w:t>
      </w:r>
      <w:bookmarkEnd w:id="850"/>
      <w:bookmarkEnd w:id="851"/>
    </w:p>
    <w:p w14:paraId="7B405A19" w14:textId="77777777" w:rsidR="009D0006" w:rsidRPr="00C5739E" w:rsidRDefault="009D0006" w:rsidP="00A00FCE">
      <w:pPr>
        <w:pStyle w:val="Tableheading"/>
      </w:pPr>
      <w:r>
        <w:t>Table 102.1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E27DA28"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ECD5855" w14:textId="77777777" w:rsidR="009D0006" w:rsidRPr="009F2612" w:rsidRDefault="009D0006" w:rsidP="00512995">
            <w:pPr>
              <w:pStyle w:val="Tableheader"/>
              <w:rPr>
                <w:bCs/>
              </w:rPr>
            </w:pPr>
            <w:r w:rsidRPr="009F2612">
              <w:t>Psychological distress</w:t>
            </w:r>
          </w:p>
        </w:tc>
        <w:tc>
          <w:tcPr>
            <w:tcW w:w="1559" w:type="dxa"/>
            <w:noWrap/>
            <w:hideMark/>
          </w:tcPr>
          <w:p w14:paraId="56C29A68" w14:textId="77777777" w:rsidR="009D0006" w:rsidRPr="00C224A3" w:rsidRDefault="009D0006" w:rsidP="00512995">
            <w:pPr>
              <w:pStyle w:val="Tableheader"/>
              <w:rPr>
                <w:bCs/>
              </w:rPr>
            </w:pPr>
            <w:r w:rsidRPr="00C224A3">
              <w:rPr>
                <w:bCs/>
              </w:rPr>
              <w:t>n</w:t>
            </w:r>
          </w:p>
        </w:tc>
        <w:tc>
          <w:tcPr>
            <w:tcW w:w="1559" w:type="dxa"/>
            <w:noWrap/>
            <w:hideMark/>
          </w:tcPr>
          <w:p w14:paraId="02AA666B" w14:textId="77777777" w:rsidR="009D0006" w:rsidRPr="00C224A3" w:rsidRDefault="009D0006" w:rsidP="00512995">
            <w:pPr>
              <w:pStyle w:val="Tableheader"/>
              <w:rPr>
                <w:bCs/>
              </w:rPr>
            </w:pPr>
            <w:r w:rsidRPr="00C224A3">
              <w:rPr>
                <w:bCs/>
              </w:rPr>
              <w:t>%</w:t>
            </w:r>
          </w:p>
        </w:tc>
      </w:tr>
      <w:tr w:rsidR="009D0006" w:rsidRPr="00A25867" w14:paraId="05DCCFA7"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9E90EB8" w14:textId="77777777" w:rsidR="009D0006" w:rsidRPr="00A25867" w:rsidRDefault="009D0006" w:rsidP="00512995">
            <w:pPr>
              <w:pStyle w:val="Tabletext"/>
            </w:pPr>
            <w:r>
              <w:t>Low or moderate</w:t>
            </w:r>
          </w:p>
        </w:tc>
        <w:tc>
          <w:tcPr>
            <w:tcW w:w="1559" w:type="dxa"/>
            <w:noWrap/>
          </w:tcPr>
          <w:p w14:paraId="3CE67FB0" w14:textId="77777777" w:rsidR="009D0006" w:rsidRPr="00A25867" w:rsidRDefault="009D0006" w:rsidP="00512995">
            <w:pPr>
              <w:pStyle w:val="Tabletext"/>
            </w:pPr>
            <w:r>
              <w:t>243</w:t>
            </w:r>
          </w:p>
        </w:tc>
        <w:tc>
          <w:tcPr>
            <w:tcW w:w="1559" w:type="dxa"/>
            <w:noWrap/>
          </w:tcPr>
          <w:p w14:paraId="71BD4A6B" w14:textId="77777777" w:rsidR="009D0006" w:rsidRPr="00A25867" w:rsidRDefault="009D0006" w:rsidP="00512995">
            <w:pPr>
              <w:pStyle w:val="Tabletext"/>
            </w:pPr>
            <w:r>
              <w:t>24.5</w:t>
            </w:r>
          </w:p>
        </w:tc>
      </w:tr>
      <w:tr w:rsidR="009D0006" w:rsidRPr="00A25867" w14:paraId="097D5C5E"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316F8FD" w14:textId="77777777" w:rsidR="009D0006" w:rsidRPr="00A25867" w:rsidRDefault="009D0006" w:rsidP="00512995">
            <w:pPr>
              <w:pStyle w:val="Tabletext"/>
            </w:pPr>
            <w:r>
              <w:t>High or very high</w:t>
            </w:r>
          </w:p>
        </w:tc>
        <w:tc>
          <w:tcPr>
            <w:tcW w:w="1559" w:type="dxa"/>
            <w:noWrap/>
          </w:tcPr>
          <w:p w14:paraId="235AA1AF" w14:textId="77777777" w:rsidR="009D0006" w:rsidRPr="00A25867" w:rsidRDefault="009D0006" w:rsidP="00512995">
            <w:pPr>
              <w:pStyle w:val="Tabletext"/>
            </w:pPr>
            <w:r>
              <w:t>751</w:t>
            </w:r>
          </w:p>
        </w:tc>
        <w:tc>
          <w:tcPr>
            <w:tcW w:w="1559" w:type="dxa"/>
            <w:noWrap/>
          </w:tcPr>
          <w:p w14:paraId="66F96AA6" w14:textId="77777777" w:rsidR="009D0006" w:rsidRPr="00A25867" w:rsidRDefault="009D0006" w:rsidP="00512995">
            <w:pPr>
              <w:pStyle w:val="Tabletext"/>
            </w:pPr>
            <w:r>
              <w:t>75.5</w:t>
            </w:r>
          </w:p>
        </w:tc>
      </w:tr>
    </w:tbl>
    <w:p w14:paraId="294D3181" w14:textId="77777777" w:rsidR="009D0006" w:rsidRDefault="009D0006" w:rsidP="00512995">
      <w:pPr>
        <w:pStyle w:val="Tableheading"/>
      </w:pPr>
      <w:r>
        <w:t>Table 102.2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00623108"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170F3EA" w14:textId="77777777" w:rsidR="009D0006" w:rsidRPr="009F2612" w:rsidRDefault="009D0006" w:rsidP="00512995">
            <w:pPr>
              <w:pStyle w:val="Tableheader"/>
              <w:rPr>
                <w:bCs/>
              </w:rPr>
            </w:pPr>
            <w:r w:rsidRPr="009F2612">
              <w:t>Psychological distress</w:t>
            </w:r>
          </w:p>
        </w:tc>
        <w:tc>
          <w:tcPr>
            <w:tcW w:w="1559" w:type="dxa"/>
            <w:noWrap/>
            <w:hideMark/>
          </w:tcPr>
          <w:p w14:paraId="354A0783" w14:textId="77777777" w:rsidR="009D0006" w:rsidRPr="00C224A3" w:rsidRDefault="009D0006" w:rsidP="00512995">
            <w:pPr>
              <w:pStyle w:val="Tableheader"/>
              <w:rPr>
                <w:bCs/>
              </w:rPr>
            </w:pPr>
            <w:r w:rsidRPr="00C224A3">
              <w:rPr>
                <w:bCs/>
              </w:rPr>
              <w:t>n</w:t>
            </w:r>
          </w:p>
        </w:tc>
        <w:tc>
          <w:tcPr>
            <w:tcW w:w="1559" w:type="dxa"/>
            <w:noWrap/>
            <w:hideMark/>
          </w:tcPr>
          <w:p w14:paraId="740F0C92" w14:textId="77777777" w:rsidR="009D0006" w:rsidRPr="00C224A3" w:rsidRDefault="009D0006" w:rsidP="00512995">
            <w:pPr>
              <w:pStyle w:val="Tableheader"/>
              <w:rPr>
                <w:bCs/>
              </w:rPr>
            </w:pPr>
            <w:r w:rsidRPr="00C224A3">
              <w:rPr>
                <w:bCs/>
              </w:rPr>
              <w:t>%</w:t>
            </w:r>
          </w:p>
        </w:tc>
      </w:tr>
      <w:tr w:rsidR="009D0006" w:rsidRPr="00A25867" w14:paraId="57AB0656"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1FFBA46" w14:textId="77777777" w:rsidR="009D0006" w:rsidRPr="00A25867" w:rsidRDefault="009D0006" w:rsidP="00512995">
            <w:pPr>
              <w:pStyle w:val="Tabletext"/>
            </w:pPr>
            <w:r>
              <w:t>Low or moderate</w:t>
            </w:r>
          </w:p>
        </w:tc>
        <w:tc>
          <w:tcPr>
            <w:tcW w:w="1559" w:type="dxa"/>
            <w:noWrap/>
          </w:tcPr>
          <w:p w14:paraId="5A99FC60" w14:textId="77777777" w:rsidR="009D0006" w:rsidRPr="00A25867" w:rsidRDefault="009D0006" w:rsidP="00512995">
            <w:pPr>
              <w:pStyle w:val="Tabletext"/>
            </w:pPr>
            <w:r>
              <w:t>143</w:t>
            </w:r>
          </w:p>
        </w:tc>
        <w:tc>
          <w:tcPr>
            <w:tcW w:w="1559" w:type="dxa"/>
            <w:noWrap/>
          </w:tcPr>
          <w:p w14:paraId="6073DB25" w14:textId="77777777" w:rsidR="009D0006" w:rsidRPr="00A25867" w:rsidRDefault="009D0006" w:rsidP="00512995">
            <w:pPr>
              <w:pStyle w:val="Tabletext"/>
            </w:pPr>
            <w:r>
              <w:t>18.6</w:t>
            </w:r>
          </w:p>
        </w:tc>
      </w:tr>
      <w:tr w:rsidR="009D0006" w:rsidRPr="00A25867" w14:paraId="25997569"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71F00A9" w14:textId="77777777" w:rsidR="009D0006" w:rsidRPr="00A25867" w:rsidRDefault="009D0006" w:rsidP="00512995">
            <w:pPr>
              <w:pStyle w:val="Tabletext"/>
            </w:pPr>
            <w:r>
              <w:t>High or very high</w:t>
            </w:r>
          </w:p>
        </w:tc>
        <w:tc>
          <w:tcPr>
            <w:tcW w:w="1559" w:type="dxa"/>
            <w:noWrap/>
          </w:tcPr>
          <w:p w14:paraId="5B69310E" w14:textId="77777777" w:rsidR="009D0006" w:rsidRPr="00A25867" w:rsidRDefault="009D0006" w:rsidP="00512995">
            <w:pPr>
              <w:pStyle w:val="Tabletext"/>
            </w:pPr>
            <w:r>
              <w:t>624</w:t>
            </w:r>
          </w:p>
        </w:tc>
        <w:tc>
          <w:tcPr>
            <w:tcW w:w="1559" w:type="dxa"/>
            <w:noWrap/>
          </w:tcPr>
          <w:p w14:paraId="6D8BC1DF" w14:textId="77777777" w:rsidR="009D0006" w:rsidRPr="00A25867" w:rsidRDefault="009D0006" w:rsidP="00512995">
            <w:pPr>
              <w:pStyle w:val="Tabletext"/>
            </w:pPr>
            <w:r>
              <w:t>81.4</w:t>
            </w:r>
          </w:p>
        </w:tc>
      </w:tr>
    </w:tbl>
    <w:p w14:paraId="0B39F81E" w14:textId="77777777" w:rsidR="009D0006" w:rsidRDefault="009D0006" w:rsidP="00512995">
      <w:pPr>
        <w:pStyle w:val="Tableheading"/>
      </w:pPr>
      <w:r>
        <w:t>Table 102.3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CA5DA67"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9F04880" w14:textId="77777777" w:rsidR="009D0006" w:rsidRPr="009F2612" w:rsidRDefault="009D0006" w:rsidP="00512995">
            <w:pPr>
              <w:pStyle w:val="Tableheader"/>
              <w:rPr>
                <w:bCs/>
              </w:rPr>
            </w:pPr>
            <w:r w:rsidRPr="009F2612">
              <w:t>Psychological distress</w:t>
            </w:r>
          </w:p>
        </w:tc>
        <w:tc>
          <w:tcPr>
            <w:tcW w:w="1559" w:type="dxa"/>
            <w:noWrap/>
            <w:hideMark/>
          </w:tcPr>
          <w:p w14:paraId="221A39C8" w14:textId="77777777" w:rsidR="009D0006" w:rsidRPr="00C224A3" w:rsidRDefault="009D0006" w:rsidP="00512995">
            <w:pPr>
              <w:pStyle w:val="Tableheader"/>
              <w:rPr>
                <w:bCs/>
              </w:rPr>
            </w:pPr>
            <w:r w:rsidRPr="00C224A3">
              <w:rPr>
                <w:bCs/>
              </w:rPr>
              <w:t>n</w:t>
            </w:r>
          </w:p>
        </w:tc>
        <w:tc>
          <w:tcPr>
            <w:tcW w:w="1559" w:type="dxa"/>
            <w:noWrap/>
            <w:hideMark/>
          </w:tcPr>
          <w:p w14:paraId="63277AFB" w14:textId="77777777" w:rsidR="009D0006" w:rsidRPr="00C224A3" w:rsidRDefault="009D0006" w:rsidP="00512995">
            <w:pPr>
              <w:pStyle w:val="Tableheader"/>
              <w:rPr>
                <w:bCs/>
              </w:rPr>
            </w:pPr>
            <w:r w:rsidRPr="00C224A3">
              <w:rPr>
                <w:bCs/>
              </w:rPr>
              <w:t>%</w:t>
            </w:r>
          </w:p>
        </w:tc>
      </w:tr>
      <w:tr w:rsidR="009D0006" w:rsidRPr="00A25867" w14:paraId="299EEEFD"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1B89EDA" w14:textId="77777777" w:rsidR="009D0006" w:rsidRPr="00A25867" w:rsidRDefault="009D0006" w:rsidP="00512995">
            <w:pPr>
              <w:pStyle w:val="Tabletext"/>
            </w:pPr>
            <w:r>
              <w:t>Low or moderate</w:t>
            </w:r>
          </w:p>
        </w:tc>
        <w:tc>
          <w:tcPr>
            <w:tcW w:w="1559" w:type="dxa"/>
            <w:noWrap/>
          </w:tcPr>
          <w:p w14:paraId="22B2C75F" w14:textId="77777777" w:rsidR="009D0006" w:rsidRPr="00A25867" w:rsidRDefault="009D0006" w:rsidP="00512995">
            <w:pPr>
              <w:pStyle w:val="Tabletext"/>
            </w:pPr>
            <w:r>
              <w:t>133</w:t>
            </w:r>
          </w:p>
        </w:tc>
        <w:tc>
          <w:tcPr>
            <w:tcW w:w="1559" w:type="dxa"/>
            <w:noWrap/>
          </w:tcPr>
          <w:p w14:paraId="3F974781" w14:textId="77777777" w:rsidR="009D0006" w:rsidRPr="00A25867" w:rsidRDefault="009D0006" w:rsidP="00512995">
            <w:pPr>
              <w:pStyle w:val="Tabletext"/>
            </w:pPr>
            <w:r>
              <w:t>21.9</w:t>
            </w:r>
          </w:p>
        </w:tc>
      </w:tr>
      <w:tr w:rsidR="009D0006" w:rsidRPr="00A25867" w14:paraId="4E3D48E2"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143328E" w14:textId="77777777" w:rsidR="009D0006" w:rsidRPr="00A25867" w:rsidRDefault="009D0006" w:rsidP="00512995">
            <w:pPr>
              <w:pStyle w:val="Tabletext"/>
            </w:pPr>
            <w:r>
              <w:t>High or very high</w:t>
            </w:r>
          </w:p>
        </w:tc>
        <w:tc>
          <w:tcPr>
            <w:tcW w:w="1559" w:type="dxa"/>
            <w:noWrap/>
          </w:tcPr>
          <w:p w14:paraId="19F758D7" w14:textId="77777777" w:rsidR="009D0006" w:rsidRPr="00A25867" w:rsidRDefault="009D0006" w:rsidP="00512995">
            <w:pPr>
              <w:pStyle w:val="Tabletext"/>
            </w:pPr>
            <w:r>
              <w:t>475</w:t>
            </w:r>
          </w:p>
        </w:tc>
        <w:tc>
          <w:tcPr>
            <w:tcW w:w="1559" w:type="dxa"/>
            <w:noWrap/>
          </w:tcPr>
          <w:p w14:paraId="4117EF1F" w14:textId="77777777" w:rsidR="009D0006" w:rsidRPr="00A25867" w:rsidRDefault="009D0006" w:rsidP="00512995">
            <w:pPr>
              <w:pStyle w:val="Tabletext"/>
            </w:pPr>
            <w:r>
              <w:t>78.1</w:t>
            </w:r>
          </w:p>
        </w:tc>
      </w:tr>
    </w:tbl>
    <w:p w14:paraId="59B1D75D" w14:textId="77777777" w:rsidR="00650B64" w:rsidRDefault="00650B64">
      <w:pPr>
        <w:spacing w:before="0"/>
        <w:rPr>
          <w:rFonts w:eastAsiaTheme="majorEastAsia" w:cstheme="majorBidi"/>
          <w:b/>
          <w:color w:val="000000" w:themeColor="text1"/>
        </w:rPr>
      </w:pPr>
      <w:r>
        <w:br w:type="page"/>
      </w:r>
    </w:p>
    <w:p w14:paraId="2021F107" w14:textId="696EC614" w:rsidR="009D0006" w:rsidRDefault="009D0006" w:rsidP="00512995">
      <w:pPr>
        <w:pStyle w:val="Tableheading"/>
      </w:pPr>
      <w:r>
        <w:t>Table 102.</w:t>
      </w:r>
      <w:r>
        <w:lastRenderedPageBreak/>
        <w:t>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2F5E994"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12854BC" w14:textId="77777777" w:rsidR="009D0006" w:rsidRPr="009F2612" w:rsidRDefault="009D0006" w:rsidP="00512995">
            <w:pPr>
              <w:pStyle w:val="Tableheader"/>
              <w:rPr>
                <w:bCs/>
              </w:rPr>
            </w:pPr>
            <w:r w:rsidRPr="009F2612">
              <w:t>Psychological distress</w:t>
            </w:r>
          </w:p>
        </w:tc>
        <w:tc>
          <w:tcPr>
            <w:tcW w:w="1559" w:type="dxa"/>
            <w:noWrap/>
            <w:hideMark/>
          </w:tcPr>
          <w:p w14:paraId="13479D2C" w14:textId="77777777" w:rsidR="009D0006" w:rsidRPr="00C224A3" w:rsidRDefault="009D0006" w:rsidP="00512995">
            <w:pPr>
              <w:pStyle w:val="Tableheader"/>
              <w:rPr>
                <w:bCs/>
              </w:rPr>
            </w:pPr>
            <w:r w:rsidRPr="00C224A3">
              <w:rPr>
                <w:bCs/>
              </w:rPr>
              <w:t>n</w:t>
            </w:r>
          </w:p>
        </w:tc>
        <w:tc>
          <w:tcPr>
            <w:tcW w:w="1559" w:type="dxa"/>
            <w:noWrap/>
            <w:hideMark/>
          </w:tcPr>
          <w:p w14:paraId="3D65518A" w14:textId="77777777" w:rsidR="009D0006" w:rsidRPr="00C224A3" w:rsidRDefault="009D0006" w:rsidP="00512995">
            <w:pPr>
              <w:pStyle w:val="Tableheader"/>
              <w:rPr>
                <w:bCs/>
              </w:rPr>
            </w:pPr>
            <w:r w:rsidRPr="00C224A3">
              <w:rPr>
                <w:bCs/>
              </w:rPr>
              <w:t>%</w:t>
            </w:r>
          </w:p>
        </w:tc>
      </w:tr>
      <w:tr w:rsidR="009D0006" w:rsidRPr="00A25867" w14:paraId="515E70AD"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F0ED9C9" w14:textId="77777777" w:rsidR="009D0006" w:rsidRPr="00A25867" w:rsidRDefault="009D0006" w:rsidP="00512995">
            <w:pPr>
              <w:pStyle w:val="Tabletext"/>
            </w:pPr>
            <w:r>
              <w:t>Low or moderate</w:t>
            </w:r>
          </w:p>
        </w:tc>
        <w:tc>
          <w:tcPr>
            <w:tcW w:w="1559" w:type="dxa"/>
            <w:noWrap/>
          </w:tcPr>
          <w:p w14:paraId="57C5DA25" w14:textId="77777777" w:rsidR="009D0006" w:rsidRPr="00A25867" w:rsidRDefault="009D0006" w:rsidP="00512995">
            <w:pPr>
              <w:pStyle w:val="Tabletext"/>
            </w:pPr>
            <w:r>
              <w:t>21</w:t>
            </w:r>
          </w:p>
        </w:tc>
        <w:tc>
          <w:tcPr>
            <w:tcW w:w="1559" w:type="dxa"/>
            <w:noWrap/>
          </w:tcPr>
          <w:p w14:paraId="5C4EAD62" w14:textId="77777777" w:rsidR="009D0006" w:rsidRPr="00A25867" w:rsidRDefault="009D0006" w:rsidP="00512995">
            <w:pPr>
              <w:pStyle w:val="Tabletext"/>
            </w:pPr>
            <w:r>
              <w:t>23.0</w:t>
            </w:r>
          </w:p>
        </w:tc>
      </w:tr>
      <w:tr w:rsidR="009D0006" w:rsidRPr="00A25867" w14:paraId="11FDFC10"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2F158227" w14:textId="77777777" w:rsidR="009D0006" w:rsidRPr="00A25867" w:rsidRDefault="009D0006" w:rsidP="00512995">
            <w:pPr>
              <w:pStyle w:val="Tabletext"/>
            </w:pPr>
            <w:r>
              <w:t>High or very high</w:t>
            </w:r>
          </w:p>
        </w:tc>
        <w:tc>
          <w:tcPr>
            <w:tcW w:w="1559" w:type="dxa"/>
            <w:noWrap/>
          </w:tcPr>
          <w:p w14:paraId="672EDBD2" w14:textId="77777777" w:rsidR="009D0006" w:rsidRPr="00A25867" w:rsidRDefault="009D0006" w:rsidP="00512995">
            <w:pPr>
              <w:pStyle w:val="Tabletext"/>
            </w:pPr>
            <w:r>
              <w:t>137</w:t>
            </w:r>
          </w:p>
        </w:tc>
        <w:tc>
          <w:tcPr>
            <w:tcW w:w="1559" w:type="dxa"/>
            <w:noWrap/>
          </w:tcPr>
          <w:p w14:paraId="0BB3F656" w14:textId="77777777" w:rsidR="009D0006" w:rsidRPr="00A25867" w:rsidRDefault="009D0006" w:rsidP="00512995">
            <w:pPr>
              <w:pStyle w:val="Tabletext"/>
            </w:pPr>
            <w:r>
              <w:t>77.0</w:t>
            </w:r>
          </w:p>
        </w:tc>
      </w:tr>
    </w:tbl>
    <w:p w14:paraId="57BBBBD7" w14:textId="77777777" w:rsidR="009D0006" w:rsidRDefault="009D0006" w:rsidP="00AB4A74">
      <w:pPr>
        <w:spacing w:before="360"/>
      </w:pPr>
      <w:r>
        <w:t>As shown in Tables 102.1-102.4, t</w:t>
      </w:r>
      <w:r w:rsidRPr="003271DA">
        <w:t xml:space="preserve">he majority of participants with disability in </w:t>
      </w:r>
      <w:r>
        <w:rPr>
          <w:i/>
          <w:iCs/>
        </w:rPr>
        <w:t>Private Lives 3</w:t>
      </w:r>
      <w:r>
        <w:t xml:space="preserve"> expressed high or very high levels of psychological distress in the past 4 weeks. More than four-fifths of participants residing in an outer suburban area had experienced high or very high psychological distress (81.4%; n = 624), followed by participants in a regional city or town (78.1%; n = 475), participants in a rural or remote area (77.0%; n = 137) and participants in an inner suburban area (75.5%; n = 751).</w:t>
      </w:r>
    </w:p>
    <w:p w14:paraId="4964402E" w14:textId="1D18A6E7" w:rsidR="009D0006" w:rsidRPr="00C5739E" w:rsidRDefault="009D0006" w:rsidP="00650B64">
      <w:pPr>
        <w:pStyle w:val="Heading2Numbered"/>
        <w:spacing w:before="240"/>
      </w:pPr>
      <w:bookmarkStart w:id="852" w:name="_Toc115968643"/>
      <w:bookmarkStart w:id="853" w:name="_Toc119662471"/>
      <w:r w:rsidRPr="00C5739E">
        <w:t>Experiences of discrimination, harassment and assault</w:t>
      </w:r>
      <w:bookmarkEnd w:id="852"/>
      <w:bookmarkEnd w:id="853"/>
    </w:p>
    <w:p w14:paraId="25FEFD5A" w14:textId="55C7B19A" w:rsidR="009D0006" w:rsidRPr="00C5739E" w:rsidRDefault="009D0006" w:rsidP="009401DC">
      <w:pPr>
        <w:pStyle w:val="Heading3Numbered"/>
      </w:pPr>
      <w:bookmarkStart w:id="854" w:name="_Toc115968644"/>
      <w:r>
        <w:t>H</w:t>
      </w:r>
      <w:r w:rsidRPr="00C5739E">
        <w:t>arassment or assault in the past 12 months – young people aged 14-21 years</w:t>
      </w:r>
      <w:bookmarkEnd w:id="854"/>
    </w:p>
    <w:p w14:paraId="424A3AF7" w14:textId="77777777" w:rsidR="009D0006" w:rsidRPr="002C3FF9" w:rsidRDefault="009D0006" w:rsidP="009D0006">
      <w:r w:rsidRPr="002C3FF9">
        <w:t xml:space="preserve">Participants </w:t>
      </w:r>
      <w:r>
        <w:t xml:space="preserve">from </w:t>
      </w:r>
      <w:r w:rsidRPr="004B71BD">
        <w:rPr>
          <w:i/>
          <w:iCs/>
        </w:rPr>
        <w:t>Writing Themselves In 4</w:t>
      </w:r>
      <w:r>
        <w:t xml:space="preserve"> </w:t>
      </w:r>
      <w:r w:rsidRPr="002C3FF9">
        <w:t xml:space="preserve">were asked if they had experienced any of the following </w:t>
      </w:r>
      <w:r>
        <w:t xml:space="preserve">forms of </w:t>
      </w:r>
      <w:r w:rsidRPr="002C3FF9">
        <w:t>harassment or assault based on their sexuality or gender identity in the past 12 months:</w:t>
      </w:r>
    </w:p>
    <w:p w14:paraId="34C4E455" w14:textId="77777777" w:rsidR="009D0006" w:rsidRPr="002C3FF9" w:rsidRDefault="009D0006" w:rsidP="00512995">
      <w:pPr>
        <w:pStyle w:val="Bulletlist"/>
      </w:pPr>
      <w:r w:rsidRPr="002C3FF9">
        <w:t>Verbal (e.g.</w:t>
      </w:r>
      <w:r>
        <w:t>,</w:t>
      </w:r>
      <w:r w:rsidRPr="002C3FF9">
        <w:t xml:space="preserve"> been called names or threatened)</w:t>
      </w:r>
    </w:p>
    <w:p w14:paraId="0078591D" w14:textId="77777777" w:rsidR="009D0006" w:rsidRPr="002C3FF9" w:rsidRDefault="009D0006" w:rsidP="00512995">
      <w:pPr>
        <w:pStyle w:val="Bulletlist"/>
      </w:pPr>
      <w:r w:rsidRPr="002C3FF9">
        <w:t>Physical (e.g.</w:t>
      </w:r>
      <w:r>
        <w:t>,</w:t>
      </w:r>
      <w:r w:rsidRPr="002C3FF9">
        <w:t xml:space="preserve"> being shoved, punched or injured with a weapon)</w:t>
      </w:r>
    </w:p>
    <w:p w14:paraId="23FF64E9" w14:textId="77777777" w:rsidR="009D0006" w:rsidRDefault="009D0006" w:rsidP="00512995">
      <w:pPr>
        <w:pStyle w:val="Bulletlist"/>
      </w:pPr>
      <w:r w:rsidRPr="002C3FF9">
        <w:t>Sexual (e.g.</w:t>
      </w:r>
      <w:r>
        <w:t>,</w:t>
      </w:r>
      <w:r w:rsidRPr="002C3FF9">
        <w:t xml:space="preserve"> unwanted touching, sexual remarks, sexual messages or being forced to perform any unwanted sexual act)</w:t>
      </w:r>
    </w:p>
    <w:p w14:paraId="17CEFB0A" w14:textId="0CBC1DE4" w:rsidR="009D0006" w:rsidRDefault="009D0006" w:rsidP="00512995">
      <w:pPr>
        <w:pStyle w:val="Tableheading"/>
      </w:pPr>
      <w:bookmarkStart w:id="855" w:name="_Toc117062820"/>
      <w:bookmarkStart w:id="856" w:name="_Toc119651505"/>
      <w:r w:rsidRPr="002C3FF9">
        <w:t>Table</w:t>
      </w:r>
      <w:r>
        <w:t>s</w:t>
      </w:r>
      <w:r w:rsidRPr="002C3FF9">
        <w:t xml:space="preserve"> </w:t>
      </w:r>
      <w:r>
        <w:rPr>
          <w:noProof/>
        </w:rPr>
        <w:fldChar w:fldCharType="begin"/>
      </w:r>
      <w:r>
        <w:rPr>
          <w:noProof/>
        </w:rPr>
        <w:instrText xml:space="preserve"> SEQ Table \* ARABIC </w:instrText>
      </w:r>
      <w:r>
        <w:rPr>
          <w:noProof/>
        </w:rPr>
        <w:fldChar w:fldCharType="separate"/>
      </w:r>
      <w:r>
        <w:rPr>
          <w:noProof/>
        </w:rPr>
        <w:t>103</w:t>
      </w:r>
      <w:r>
        <w:rPr>
          <w:noProof/>
        </w:rPr>
        <w:fldChar w:fldCharType="end"/>
      </w:r>
      <w:r>
        <w:rPr>
          <w:noProof/>
        </w:rPr>
        <w:t>.1-103.4</w:t>
      </w:r>
      <w:r>
        <w:t xml:space="preserve">: </w:t>
      </w:r>
      <w:r w:rsidRPr="002C3FF9">
        <w:t xml:space="preserve">Experiences of </w:t>
      </w:r>
      <w:r>
        <w:t xml:space="preserve">verbal (n = 2414), physical (n = 2144) and sexual (n = 2218) </w:t>
      </w:r>
      <w:r w:rsidRPr="002C3FF9">
        <w:t xml:space="preserve">harassment or assault in past 12 months relating to sexuality or gender identity </w:t>
      </w:r>
      <w:r>
        <w:t xml:space="preserve">among young people with disability aged 14-21 years, grouped </w:t>
      </w:r>
      <w:r w:rsidRPr="002C3FF9">
        <w:t xml:space="preserve">by </w:t>
      </w:r>
      <w:r>
        <w:t>area of residence</w:t>
      </w:r>
      <w:bookmarkEnd w:id="855"/>
      <w:bookmarkEnd w:id="856"/>
    </w:p>
    <w:p w14:paraId="7A817D0B" w14:textId="77777777" w:rsidR="009D0006" w:rsidRPr="00022103" w:rsidRDefault="009D0006" w:rsidP="00512995">
      <w:pPr>
        <w:pStyle w:val="Tableheading"/>
      </w:pPr>
      <w:r>
        <w:t>Table 103.1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29F051A8"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4A6FF5A"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259EF497" w14:textId="77777777" w:rsidR="009D0006" w:rsidRPr="00A25867" w:rsidRDefault="009D0006" w:rsidP="00512995">
            <w:pPr>
              <w:pStyle w:val="Tableheader"/>
              <w:rPr>
                <w:bCs/>
              </w:rPr>
            </w:pPr>
            <w:r>
              <w:rPr>
                <w:bCs/>
              </w:rPr>
              <w:t>n</w:t>
            </w:r>
          </w:p>
        </w:tc>
        <w:tc>
          <w:tcPr>
            <w:tcW w:w="1559" w:type="dxa"/>
            <w:noWrap/>
            <w:hideMark/>
          </w:tcPr>
          <w:p w14:paraId="5E1A16FA" w14:textId="77777777" w:rsidR="009D0006" w:rsidRPr="00A25867" w:rsidRDefault="009D0006" w:rsidP="00512995">
            <w:pPr>
              <w:pStyle w:val="Tableheader"/>
              <w:rPr>
                <w:bCs/>
              </w:rPr>
            </w:pPr>
            <w:r w:rsidRPr="00A25867">
              <w:rPr>
                <w:bCs/>
              </w:rPr>
              <w:t>%</w:t>
            </w:r>
          </w:p>
        </w:tc>
      </w:tr>
      <w:tr w:rsidR="009D0006" w:rsidRPr="00A25867" w14:paraId="17EC2C6F"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37975E6" w14:textId="77777777" w:rsidR="009D0006" w:rsidRPr="00A25867" w:rsidRDefault="009D0006" w:rsidP="00512995">
            <w:pPr>
              <w:pStyle w:val="Tabletext"/>
            </w:pPr>
            <w:r>
              <w:t>Verbal</w:t>
            </w:r>
          </w:p>
        </w:tc>
        <w:tc>
          <w:tcPr>
            <w:tcW w:w="1559" w:type="dxa"/>
            <w:noWrap/>
          </w:tcPr>
          <w:p w14:paraId="65ACA031" w14:textId="77777777" w:rsidR="009D0006" w:rsidRPr="00A25867" w:rsidRDefault="009D0006" w:rsidP="00512995">
            <w:pPr>
              <w:pStyle w:val="Tabletext"/>
            </w:pPr>
            <w:r>
              <w:t>75</w:t>
            </w:r>
          </w:p>
        </w:tc>
        <w:tc>
          <w:tcPr>
            <w:tcW w:w="1559" w:type="dxa"/>
            <w:noWrap/>
          </w:tcPr>
          <w:p w14:paraId="2A8A5503" w14:textId="77777777" w:rsidR="009D0006" w:rsidRPr="00A25867" w:rsidRDefault="009D0006" w:rsidP="00512995">
            <w:pPr>
              <w:pStyle w:val="Tabletext"/>
            </w:pPr>
            <w:r>
              <w:t>48.1</w:t>
            </w:r>
          </w:p>
        </w:tc>
      </w:tr>
      <w:tr w:rsidR="009D0006" w:rsidRPr="00A25867" w14:paraId="2ECFBCA0"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A7157B8" w14:textId="77777777" w:rsidR="009D0006" w:rsidRPr="00A25867" w:rsidRDefault="009D0006" w:rsidP="00512995">
            <w:pPr>
              <w:pStyle w:val="Tabletext"/>
            </w:pPr>
            <w:r>
              <w:t>Physical</w:t>
            </w:r>
          </w:p>
        </w:tc>
        <w:tc>
          <w:tcPr>
            <w:tcW w:w="1559" w:type="dxa"/>
            <w:noWrap/>
          </w:tcPr>
          <w:p w14:paraId="493F0CED" w14:textId="77777777" w:rsidR="009D0006" w:rsidRPr="00A25867" w:rsidRDefault="009D0006" w:rsidP="00512995">
            <w:pPr>
              <w:pStyle w:val="Tabletext"/>
            </w:pPr>
            <w:r>
              <w:t>17</w:t>
            </w:r>
          </w:p>
        </w:tc>
        <w:tc>
          <w:tcPr>
            <w:tcW w:w="1559" w:type="dxa"/>
            <w:noWrap/>
          </w:tcPr>
          <w:p w14:paraId="12DFCD32" w14:textId="77777777" w:rsidR="009D0006" w:rsidRPr="00A25867" w:rsidRDefault="009D0006" w:rsidP="00512995">
            <w:pPr>
              <w:pStyle w:val="Tabletext"/>
            </w:pPr>
            <w:r>
              <w:t>12.3</w:t>
            </w:r>
          </w:p>
        </w:tc>
      </w:tr>
      <w:tr w:rsidR="009D0006" w:rsidRPr="00A25867" w14:paraId="22D36305"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2840836" w14:textId="77777777" w:rsidR="009D0006" w:rsidRPr="00A25867" w:rsidRDefault="009D0006" w:rsidP="00512995">
            <w:pPr>
              <w:pStyle w:val="Tabletext"/>
            </w:pPr>
            <w:r>
              <w:t>Sexual</w:t>
            </w:r>
          </w:p>
        </w:tc>
        <w:tc>
          <w:tcPr>
            <w:tcW w:w="1559" w:type="dxa"/>
            <w:noWrap/>
          </w:tcPr>
          <w:p w14:paraId="4E3BE166" w14:textId="77777777" w:rsidR="009D0006" w:rsidRPr="00A25867" w:rsidRDefault="009D0006" w:rsidP="00512995">
            <w:pPr>
              <w:pStyle w:val="Tabletext"/>
            </w:pPr>
            <w:r>
              <w:t>60</w:t>
            </w:r>
          </w:p>
        </w:tc>
        <w:tc>
          <w:tcPr>
            <w:tcW w:w="1559" w:type="dxa"/>
            <w:noWrap/>
          </w:tcPr>
          <w:p w14:paraId="6A42E18A" w14:textId="77777777" w:rsidR="009D0006" w:rsidRPr="00A25867" w:rsidRDefault="009D0006" w:rsidP="00512995">
            <w:pPr>
              <w:pStyle w:val="Tabletext"/>
            </w:pPr>
            <w:r>
              <w:t>41.1</w:t>
            </w:r>
          </w:p>
        </w:tc>
      </w:tr>
    </w:tbl>
    <w:p w14:paraId="228A8245" w14:textId="77777777" w:rsidR="009D0006" w:rsidRDefault="009D0006" w:rsidP="00512995">
      <w:pPr>
        <w:pStyle w:val="Tableheading"/>
      </w:pPr>
      <w:r>
        <w:t>Table 103.</w:t>
      </w:r>
      <w:r>
        <w:lastRenderedPageBreak/>
        <w:t>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4067902"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6B46789"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41F4BDC6" w14:textId="77777777" w:rsidR="009D0006" w:rsidRPr="00A25867" w:rsidRDefault="009D0006" w:rsidP="00512995">
            <w:pPr>
              <w:pStyle w:val="Tableheader"/>
              <w:rPr>
                <w:bCs/>
              </w:rPr>
            </w:pPr>
            <w:r>
              <w:rPr>
                <w:bCs/>
              </w:rPr>
              <w:t>n</w:t>
            </w:r>
          </w:p>
        </w:tc>
        <w:tc>
          <w:tcPr>
            <w:tcW w:w="1559" w:type="dxa"/>
            <w:noWrap/>
            <w:hideMark/>
          </w:tcPr>
          <w:p w14:paraId="652127F3" w14:textId="77777777" w:rsidR="009D0006" w:rsidRPr="00A25867" w:rsidRDefault="009D0006" w:rsidP="00512995">
            <w:pPr>
              <w:pStyle w:val="Tableheader"/>
              <w:rPr>
                <w:bCs/>
              </w:rPr>
            </w:pPr>
            <w:r w:rsidRPr="00A25867">
              <w:rPr>
                <w:bCs/>
              </w:rPr>
              <w:t>%</w:t>
            </w:r>
          </w:p>
        </w:tc>
      </w:tr>
      <w:tr w:rsidR="009D0006" w:rsidRPr="00A25867" w14:paraId="6DF924E5"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75D1280" w14:textId="77777777" w:rsidR="009D0006" w:rsidRPr="00A25867" w:rsidRDefault="009D0006" w:rsidP="00512995">
            <w:pPr>
              <w:pStyle w:val="Tabletext"/>
            </w:pPr>
            <w:r>
              <w:t>Verbal</w:t>
            </w:r>
          </w:p>
        </w:tc>
        <w:tc>
          <w:tcPr>
            <w:tcW w:w="1559" w:type="dxa"/>
            <w:noWrap/>
          </w:tcPr>
          <w:p w14:paraId="589B8AFF" w14:textId="77777777" w:rsidR="009D0006" w:rsidRPr="00A25867" w:rsidRDefault="009D0006" w:rsidP="00512995">
            <w:pPr>
              <w:pStyle w:val="Tabletext"/>
            </w:pPr>
            <w:r>
              <w:t>666</w:t>
            </w:r>
          </w:p>
        </w:tc>
        <w:tc>
          <w:tcPr>
            <w:tcW w:w="1559" w:type="dxa"/>
            <w:noWrap/>
          </w:tcPr>
          <w:p w14:paraId="623031F3" w14:textId="77777777" w:rsidR="009D0006" w:rsidRPr="00A25867" w:rsidRDefault="009D0006" w:rsidP="00512995">
            <w:pPr>
              <w:pStyle w:val="Tabletext"/>
            </w:pPr>
            <w:r>
              <w:t>48.1</w:t>
            </w:r>
          </w:p>
        </w:tc>
      </w:tr>
      <w:tr w:rsidR="009D0006" w:rsidRPr="00A25867" w14:paraId="53B94763"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A095B6F" w14:textId="77777777" w:rsidR="009D0006" w:rsidRPr="00A25867" w:rsidRDefault="009D0006" w:rsidP="00512995">
            <w:pPr>
              <w:pStyle w:val="Tabletext"/>
            </w:pPr>
            <w:r>
              <w:t>Physical</w:t>
            </w:r>
          </w:p>
        </w:tc>
        <w:tc>
          <w:tcPr>
            <w:tcW w:w="1559" w:type="dxa"/>
            <w:noWrap/>
          </w:tcPr>
          <w:p w14:paraId="240556B7" w14:textId="77777777" w:rsidR="009D0006" w:rsidRPr="00A25867" w:rsidRDefault="009D0006" w:rsidP="00512995">
            <w:pPr>
              <w:pStyle w:val="Tabletext"/>
            </w:pPr>
            <w:r>
              <w:t>139</w:t>
            </w:r>
          </w:p>
        </w:tc>
        <w:tc>
          <w:tcPr>
            <w:tcW w:w="1559" w:type="dxa"/>
            <w:noWrap/>
          </w:tcPr>
          <w:p w14:paraId="7BDC7674" w14:textId="77777777" w:rsidR="009D0006" w:rsidRPr="00A25867" w:rsidRDefault="009D0006" w:rsidP="00512995">
            <w:pPr>
              <w:pStyle w:val="Tabletext"/>
            </w:pPr>
            <w:r>
              <w:t>11.3</w:t>
            </w:r>
          </w:p>
        </w:tc>
      </w:tr>
      <w:tr w:rsidR="009D0006" w:rsidRPr="00A25867" w14:paraId="6CD0A36D"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5F47590" w14:textId="77777777" w:rsidR="009D0006" w:rsidRPr="00A25867" w:rsidRDefault="009D0006" w:rsidP="00512995">
            <w:pPr>
              <w:pStyle w:val="Tabletext"/>
            </w:pPr>
            <w:r>
              <w:t>Sexual</w:t>
            </w:r>
          </w:p>
        </w:tc>
        <w:tc>
          <w:tcPr>
            <w:tcW w:w="1559" w:type="dxa"/>
            <w:noWrap/>
          </w:tcPr>
          <w:p w14:paraId="0E4ECB90" w14:textId="77777777" w:rsidR="009D0006" w:rsidRPr="00A25867" w:rsidRDefault="009D0006" w:rsidP="00512995">
            <w:pPr>
              <w:pStyle w:val="Tabletext"/>
            </w:pPr>
            <w:r>
              <w:t>373</w:t>
            </w:r>
          </w:p>
        </w:tc>
        <w:tc>
          <w:tcPr>
            <w:tcW w:w="1559" w:type="dxa"/>
            <w:noWrap/>
          </w:tcPr>
          <w:p w14:paraId="7FE41A44" w14:textId="77777777" w:rsidR="009D0006" w:rsidRPr="00A25867" w:rsidRDefault="009D0006" w:rsidP="00512995">
            <w:pPr>
              <w:pStyle w:val="Tabletext"/>
            </w:pPr>
            <w:r>
              <w:t>29.3</w:t>
            </w:r>
          </w:p>
        </w:tc>
      </w:tr>
    </w:tbl>
    <w:p w14:paraId="1B1A8F33" w14:textId="77777777" w:rsidR="009D0006" w:rsidRDefault="009D0006" w:rsidP="00512995">
      <w:pPr>
        <w:pStyle w:val="Tableheading"/>
      </w:pPr>
      <w:r>
        <w:t>Table 103.3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F2EF911"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4F46214"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0E638F35" w14:textId="77777777" w:rsidR="009D0006" w:rsidRPr="00A25867" w:rsidRDefault="009D0006" w:rsidP="00512995">
            <w:pPr>
              <w:pStyle w:val="Tableheader"/>
              <w:rPr>
                <w:bCs/>
              </w:rPr>
            </w:pPr>
            <w:r>
              <w:rPr>
                <w:bCs/>
              </w:rPr>
              <w:t>n</w:t>
            </w:r>
          </w:p>
        </w:tc>
        <w:tc>
          <w:tcPr>
            <w:tcW w:w="1559" w:type="dxa"/>
            <w:noWrap/>
            <w:hideMark/>
          </w:tcPr>
          <w:p w14:paraId="1C7993FC" w14:textId="77777777" w:rsidR="009D0006" w:rsidRPr="00A25867" w:rsidRDefault="009D0006" w:rsidP="00512995">
            <w:pPr>
              <w:pStyle w:val="Tableheader"/>
              <w:rPr>
                <w:bCs/>
              </w:rPr>
            </w:pPr>
            <w:r w:rsidRPr="00A25867">
              <w:rPr>
                <w:bCs/>
              </w:rPr>
              <w:t>%</w:t>
            </w:r>
          </w:p>
        </w:tc>
      </w:tr>
      <w:tr w:rsidR="009D0006" w:rsidRPr="00A25867" w14:paraId="6BC219B1"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8160F2A" w14:textId="77777777" w:rsidR="009D0006" w:rsidRPr="00A25867" w:rsidRDefault="009D0006" w:rsidP="00512995">
            <w:pPr>
              <w:pStyle w:val="Tabletext"/>
            </w:pPr>
            <w:r>
              <w:t>Verbal</w:t>
            </w:r>
          </w:p>
        </w:tc>
        <w:tc>
          <w:tcPr>
            <w:tcW w:w="1559" w:type="dxa"/>
            <w:noWrap/>
          </w:tcPr>
          <w:p w14:paraId="1150A031" w14:textId="77777777" w:rsidR="009D0006" w:rsidRPr="00A25867" w:rsidRDefault="009D0006" w:rsidP="00512995">
            <w:pPr>
              <w:pStyle w:val="Tabletext"/>
            </w:pPr>
            <w:r>
              <w:t>273</w:t>
            </w:r>
          </w:p>
        </w:tc>
        <w:tc>
          <w:tcPr>
            <w:tcW w:w="1559" w:type="dxa"/>
            <w:noWrap/>
          </w:tcPr>
          <w:p w14:paraId="5D1E3AC9" w14:textId="77777777" w:rsidR="009D0006" w:rsidRPr="00A25867" w:rsidRDefault="009D0006" w:rsidP="00512995">
            <w:pPr>
              <w:pStyle w:val="Tabletext"/>
            </w:pPr>
            <w:r>
              <w:t>45.9</w:t>
            </w:r>
          </w:p>
        </w:tc>
      </w:tr>
      <w:tr w:rsidR="009D0006" w:rsidRPr="00A25867" w14:paraId="3604435F"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06091FE" w14:textId="77777777" w:rsidR="009D0006" w:rsidRPr="00A25867" w:rsidRDefault="009D0006" w:rsidP="00512995">
            <w:pPr>
              <w:pStyle w:val="Tabletext"/>
            </w:pPr>
            <w:r>
              <w:t>Physical</w:t>
            </w:r>
          </w:p>
        </w:tc>
        <w:tc>
          <w:tcPr>
            <w:tcW w:w="1559" w:type="dxa"/>
            <w:noWrap/>
          </w:tcPr>
          <w:p w14:paraId="63CD65F5" w14:textId="77777777" w:rsidR="009D0006" w:rsidRPr="00A25867" w:rsidRDefault="009D0006" w:rsidP="00512995">
            <w:pPr>
              <w:pStyle w:val="Tabletext"/>
            </w:pPr>
            <w:r>
              <w:t>62</w:t>
            </w:r>
          </w:p>
        </w:tc>
        <w:tc>
          <w:tcPr>
            <w:tcW w:w="1559" w:type="dxa"/>
            <w:noWrap/>
          </w:tcPr>
          <w:p w14:paraId="59CD5A0B" w14:textId="77777777" w:rsidR="009D0006" w:rsidRPr="00A25867" w:rsidRDefault="009D0006" w:rsidP="00512995">
            <w:pPr>
              <w:pStyle w:val="Tabletext"/>
            </w:pPr>
            <w:r>
              <w:t>11.7</w:t>
            </w:r>
          </w:p>
        </w:tc>
      </w:tr>
      <w:tr w:rsidR="009D0006" w:rsidRPr="00A25867" w14:paraId="2E92F4C2"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C995226" w14:textId="77777777" w:rsidR="009D0006" w:rsidRPr="00A25867" w:rsidRDefault="009D0006" w:rsidP="00512995">
            <w:pPr>
              <w:pStyle w:val="Tabletext"/>
            </w:pPr>
            <w:r>
              <w:t>Sexual</w:t>
            </w:r>
          </w:p>
        </w:tc>
        <w:tc>
          <w:tcPr>
            <w:tcW w:w="1559" w:type="dxa"/>
            <w:noWrap/>
          </w:tcPr>
          <w:p w14:paraId="00F17651" w14:textId="77777777" w:rsidR="009D0006" w:rsidRPr="00A25867" w:rsidRDefault="009D0006" w:rsidP="00512995">
            <w:pPr>
              <w:pStyle w:val="Tabletext"/>
            </w:pPr>
            <w:r>
              <w:t>150</w:t>
            </w:r>
          </w:p>
        </w:tc>
        <w:tc>
          <w:tcPr>
            <w:tcW w:w="1559" w:type="dxa"/>
            <w:noWrap/>
          </w:tcPr>
          <w:p w14:paraId="4A54B43A" w14:textId="77777777" w:rsidR="009D0006" w:rsidRPr="00A25867" w:rsidRDefault="009D0006" w:rsidP="00512995">
            <w:pPr>
              <w:pStyle w:val="Tabletext"/>
            </w:pPr>
            <w:r>
              <w:t>27.5</w:t>
            </w:r>
          </w:p>
        </w:tc>
      </w:tr>
    </w:tbl>
    <w:p w14:paraId="56C473B1" w14:textId="77777777" w:rsidR="009D0006" w:rsidRDefault="009D0006" w:rsidP="00512995">
      <w:pPr>
        <w:pStyle w:val="Tableheading"/>
      </w:pPr>
      <w:r>
        <w:t>Table 103.4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37D58DE"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9973680"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4912A73D" w14:textId="77777777" w:rsidR="009D0006" w:rsidRPr="00A25867" w:rsidRDefault="009D0006" w:rsidP="00512995">
            <w:pPr>
              <w:pStyle w:val="Tableheader"/>
              <w:rPr>
                <w:bCs/>
              </w:rPr>
            </w:pPr>
            <w:r>
              <w:rPr>
                <w:bCs/>
              </w:rPr>
              <w:t>n</w:t>
            </w:r>
          </w:p>
        </w:tc>
        <w:tc>
          <w:tcPr>
            <w:tcW w:w="1559" w:type="dxa"/>
            <w:noWrap/>
            <w:hideMark/>
          </w:tcPr>
          <w:p w14:paraId="6BA6A7B9" w14:textId="77777777" w:rsidR="009D0006" w:rsidRPr="00A25867" w:rsidRDefault="009D0006" w:rsidP="00512995">
            <w:pPr>
              <w:pStyle w:val="Tableheader"/>
              <w:rPr>
                <w:bCs/>
              </w:rPr>
            </w:pPr>
            <w:r w:rsidRPr="00A25867">
              <w:rPr>
                <w:bCs/>
              </w:rPr>
              <w:t>%</w:t>
            </w:r>
          </w:p>
        </w:tc>
      </w:tr>
      <w:tr w:rsidR="009D0006" w:rsidRPr="00A25867" w14:paraId="6B8AB2B0"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AC735CF" w14:textId="77777777" w:rsidR="009D0006" w:rsidRPr="00A25867" w:rsidRDefault="009D0006" w:rsidP="00512995">
            <w:pPr>
              <w:pStyle w:val="Tabletext"/>
            </w:pPr>
            <w:r>
              <w:t>Verbal</w:t>
            </w:r>
          </w:p>
        </w:tc>
        <w:tc>
          <w:tcPr>
            <w:tcW w:w="1559" w:type="dxa"/>
            <w:noWrap/>
          </w:tcPr>
          <w:p w14:paraId="37681519" w14:textId="77777777" w:rsidR="009D0006" w:rsidRPr="00A25867" w:rsidRDefault="009D0006" w:rsidP="00512995">
            <w:pPr>
              <w:pStyle w:val="Tabletext"/>
            </w:pPr>
            <w:r>
              <w:t>155</w:t>
            </w:r>
          </w:p>
        </w:tc>
        <w:tc>
          <w:tcPr>
            <w:tcW w:w="1559" w:type="dxa"/>
            <w:noWrap/>
          </w:tcPr>
          <w:p w14:paraId="2EFE4430" w14:textId="77777777" w:rsidR="009D0006" w:rsidRPr="00A25867" w:rsidRDefault="009D0006" w:rsidP="00512995">
            <w:pPr>
              <w:pStyle w:val="Tabletext"/>
            </w:pPr>
            <w:r>
              <w:t>55.8</w:t>
            </w:r>
          </w:p>
        </w:tc>
      </w:tr>
      <w:tr w:rsidR="009D0006" w:rsidRPr="00A25867" w14:paraId="76EF8699"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2F5EE31" w14:textId="77777777" w:rsidR="009D0006" w:rsidRPr="00A25867" w:rsidRDefault="009D0006" w:rsidP="00512995">
            <w:pPr>
              <w:pStyle w:val="Tabletext"/>
            </w:pPr>
            <w:r>
              <w:t>Physical</w:t>
            </w:r>
          </w:p>
        </w:tc>
        <w:tc>
          <w:tcPr>
            <w:tcW w:w="1559" w:type="dxa"/>
            <w:noWrap/>
          </w:tcPr>
          <w:p w14:paraId="6FBFA923" w14:textId="77777777" w:rsidR="009D0006" w:rsidRPr="00A25867" w:rsidRDefault="009D0006" w:rsidP="00512995">
            <w:pPr>
              <w:pStyle w:val="Tabletext"/>
            </w:pPr>
            <w:r>
              <w:t>46</w:t>
            </w:r>
          </w:p>
        </w:tc>
        <w:tc>
          <w:tcPr>
            <w:tcW w:w="1559" w:type="dxa"/>
            <w:noWrap/>
          </w:tcPr>
          <w:p w14:paraId="26C88DAA" w14:textId="77777777" w:rsidR="009D0006" w:rsidRPr="00A25867" w:rsidRDefault="009D0006" w:rsidP="00512995">
            <w:pPr>
              <w:pStyle w:val="Tabletext"/>
            </w:pPr>
            <w:r>
              <w:t>18.8</w:t>
            </w:r>
          </w:p>
        </w:tc>
      </w:tr>
      <w:tr w:rsidR="009D0006" w:rsidRPr="00A25867" w14:paraId="1D612D06"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5E0BA599" w14:textId="77777777" w:rsidR="009D0006" w:rsidRPr="00A25867" w:rsidRDefault="009D0006" w:rsidP="00512995">
            <w:pPr>
              <w:pStyle w:val="Tabletext"/>
            </w:pPr>
            <w:r>
              <w:t>Sexual</w:t>
            </w:r>
          </w:p>
        </w:tc>
        <w:tc>
          <w:tcPr>
            <w:tcW w:w="1559" w:type="dxa"/>
            <w:noWrap/>
          </w:tcPr>
          <w:p w14:paraId="7FDCCEE5" w14:textId="77777777" w:rsidR="009D0006" w:rsidRPr="00A25867" w:rsidRDefault="009D0006" w:rsidP="00512995">
            <w:pPr>
              <w:pStyle w:val="Tabletext"/>
            </w:pPr>
            <w:r>
              <w:t>76</w:t>
            </w:r>
          </w:p>
        </w:tc>
        <w:tc>
          <w:tcPr>
            <w:tcW w:w="1559" w:type="dxa"/>
            <w:noWrap/>
          </w:tcPr>
          <w:p w14:paraId="54FA321C" w14:textId="77777777" w:rsidR="009D0006" w:rsidRPr="00A25867" w:rsidRDefault="009D0006" w:rsidP="00512995">
            <w:pPr>
              <w:pStyle w:val="Tabletext"/>
            </w:pPr>
            <w:r>
              <w:t>29.9</w:t>
            </w:r>
          </w:p>
        </w:tc>
      </w:tr>
    </w:tbl>
    <w:p w14:paraId="3408F248" w14:textId="77777777" w:rsidR="009D0006" w:rsidRDefault="009D0006" w:rsidP="00AB4A74">
      <w:pPr>
        <w:spacing w:before="360"/>
      </w:pPr>
      <w:r w:rsidRPr="003271DA">
        <w:t>As displayed in Table</w:t>
      </w:r>
      <w:r>
        <w:t>s</w:t>
      </w:r>
      <w:r w:rsidRPr="003271DA">
        <w:t xml:space="preserve"> </w:t>
      </w:r>
      <w:r>
        <w:t xml:space="preserve">103.1-103.4, more than half of participants with disability in </w:t>
      </w:r>
      <w:r>
        <w:rPr>
          <w:i/>
          <w:iCs/>
        </w:rPr>
        <w:t>Writing Themselves In 4</w:t>
      </w:r>
      <w:r>
        <w:t xml:space="preserve"> who were residing in a rural or remote area had experienced verbal harassment in the past 12 months (55.8%; n = 155), followed by participants in an inner suburban area (48.1%; n = 75), participants in an outer suburban area (48.1%; n = 666) and participants in a regional city or town (45.9%; n = 273).</w:t>
      </w:r>
    </w:p>
    <w:p w14:paraId="56438959" w14:textId="77777777" w:rsidR="009D0006" w:rsidRDefault="009D0006" w:rsidP="009D0006">
      <w:r>
        <w:t>Participants in a rural or remote town similarly had the highest proportion who had experienced physical harassment in the past 12 months (18.8%; n = 46), followed by participants in an inner suburban area (12.3%; n = 17), participants in an outer suburban area (11.3%; n = 139) and participants in a regional city or town (11.7%; n = 62).</w:t>
      </w:r>
    </w:p>
    <w:p w14:paraId="77F90953" w14:textId="77777777" w:rsidR="009D0006" w:rsidRDefault="009D0006" w:rsidP="009D0006">
      <w:r>
        <w:t>Participants in an inner suburban area had the highest proportion who had experienced sexual assault (41.1%; n = 60), followed by participants in a rural or remote area (29.9%; n = 76), participants in an outer suburban area (29.3%; n = 373) and participants in a regional city or town (27.5%; n = 150).</w:t>
      </w:r>
    </w:p>
    <w:p w14:paraId="27E7A7DF" w14:textId="68F537EF" w:rsidR="009D0006" w:rsidRPr="00C5739E" w:rsidRDefault="009D0006" w:rsidP="009401DC">
      <w:pPr>
        <w:pStyle w:val="Heading3Numbered"/>
      </w:pPr>
      <w:bookmarkStart w:id="857" w:name="_Toc115968645"/>
      <w:r>
        <w:t>H</w:t>
      </w:r>
      <w:r w:rsidRPr="00C5739E">
        <w:t>arassment</w:t>
      </w:r>
      <w:r>
        <w:lastRenderedPageBreak/>
        <w:t>, assault</w:t>
      </w:r>
      <w:r w:rsidRPr="00C5739E">
        <w:t xml:space="preserve"> </w:t>
      </w:r>
      <w:r>
        <w:t>and</w:t>
      </w:r>
      <w:r w:rsidRPr="00C5739E">
        <w:t xml:space="preserve"> </w:t>
      </w:r>
      <w:r>
        <w:t xml:space="preserve">social </w:t>
      </w:r>
      <w:r w:rsidRPr="00C5739E">
        <w:t>exclusion in the past 12 months based on sexuality or gender identity – adults aged 18+ years</w:t>
      </w:r>
      <w:bookmarkEnd w:id="857"/>
    </w:p>
    <w:p w14:paraId="7D1FCD15" w14:textId="1F0E01F2" w:rsidR="009D0006" w:rsidRDefault="009D0006" w:rsidP="00512995">
      <w:pPr>
        <w:pStyle w:val="Tableheading"/>
      </w:pPr>
      <w:bookmarkStart w:id="858" w:name="_Toc117062821"/>
      <w:bookmarkStart w:id="859" w:name="_Toc119651506"/>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104</w:t>
      </w:r>
      <w:r w:rsidRPr="004B71BD">
        <w:rPr>
          <w:bCs/>
        </w:rPr>
        <w:fldChar w:fldCharType="end"/>
      </w:r>
      <w:r>
        <w:rPr>
          <w:bCs/>
        </w:rPr>
        <w:t>.1-104.4</w:t>
      </w:r>
      <w:r>
        <w:t xml:space="preserve">: </w:t>
      </w:r>
      <w:r w:rsidRPr="00C5739E">
        <w:t>Experiences of harassment</w:t>
      </w:r>
      <w:r>
        <w:t>, assault and social exclusion</w:t>
      </w:r>
      <w:r w:rsidRPr="00C5739E">
        <w:t xml:space="preserve"> due to sexual orientation or gender identity in the past 12 months </w:t>
      </w:r>
      <w:r>
        <w:t>among adults with disability aged 18+ years, grouped by area of residence</w:t>
      </w:r>
      <w:bookmarkEnd w:id="858"/>
      <w:bookmarkEnd w:id="859"/>
    </w:p>
    <w:p w14:paraId="480B8BE0" w14:textId="77777777" w:rsidR="009D0006" w:rsidRDefault="009D0006" w:rsidP="00512995">
      <w:pPr>
        <w:pStyle w:val="Tableheading"/>
      </w:pPr>
      <w:r>
        <w:t>Table 104.1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5823562"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7E01E3EB"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29919C84" w14:textId="77777777" w:rsidR="009D0006" w:rsidRPr="00A25867" w:rsidRDefault="009D0006" w:rsidP="00512995">
            <w:pPr>
              <w:pStyle w:val="Tableheader"/>
              <w:rPr>
                <w:bCs/>
              </w:rPr>
            </w:pPr>
            <w:r>
              <w:rPr>
                <w:bCs/>
              </w:rPr>
              <w:t>n</w:t>
            </w:r>
          </w:p>
        </w:tc>
        <w:tc>
          <w:tcPr>
            <w:tcW w:w="1559" w:type="dxa"/>
            <w:noWrap/>
            <w:hideMark/>
          </w:tcPr>
          <w:p w14:paraId="522E4E64" w14:textId="77777777" w:rsidR="009D0006" w:rsidRPr="00A25867" w:rsidRDefault="009D0006" w:rsidP="00512995">
            <w:pPr>
              <w:pStyle w:val="Tableheader"/>
              <w:rPr>
                <w:bCs/>
              </w:rPr>
            </w:pPr>
            <w:r w:rsidRPr="00A25867">
              <w:rPr>
                <w:bCs/>
              </w:rPr>
              <w:t>%</w:t>
            </w:r>
          </w:p>
        </w:tc>
      </w:tr>
      <w:tr w:rsidR="009D0006" w:rsidRPr="00A25867" w14:paraId="21872531"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F46CF62" w14:textId="77777777" w:rsidR="009D0006" w:rsidRPr="00A25867" w:rsidRDefault="009D0006" w:rsidP="00512995">
            <w:pPr>
              <w:pStyle w:val="Tabletext"/>
            </w:pPr>
            <w:r w:rsidRPr="00EF597C">
              <w:rPr>
                <w:lang w:val="en-US"/>
              </w:rPr>
              <w:t>Socially excluded</w:t>
            </w:r>
          </w:p>
        </w:tc>
        <w:tc>
          <w:tcPr>
            <w:tcW w:w="1559" w:type="dxa"/>
            <w:noWrap/>
          </w:tcPr>
          <w:p w14:paraId="5A8EDA30" w14:textId="77777777" w:rsidR="009D0006" w:rsidRPr="00A25867" w:rsidRDefault="009D0006" w:rsidP="00512995">
            <w:pPr>
              <w:pStyle w:val="Tabletext"/>
            </w:pPr>
            <w:r>
              <w:t>425</w:t>
            </w:r>
          </w:p>
        </w:tc>
        <w:tc>
          <w:tcPr>
            <w:tcW w:w="1559" w:type="dxa"/>
            <w:noWrap/>
          </w:tcPr>
          <w:p w14:paraId="35553962" w14:textId="77777777" w:rsidR="009D0006" w:rsidRPr="00A25867" w:rsidRDefault="009D0006" w:rsidP="00512995">
            <w:pPr>
              <w:pStyle w:val="Tabletext"/>
            </w:pPr>
            <w:r>
              <w:t>46.4</w:t>
            </w:r>
          </w:p>
        </w:tc>
      </w:tr>
      <w:tr w:rsidR="009D0006" w:rsidRPr="00A25867" w14:paraId="4EC23C99"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8AA924E" w14:textId="77777777" w:rsidR="009D0006" w:rsidRPr="00A25867" w:rsidRDefault="009D0006" w:rsidP="00512995">
            <w:pPr>
              <w:pStyle w:val="Tabletext"/>
            </w:pPr>
            <w:r w:rsidRPr="00EF597C">
              <w:rPr>
                <w:lang w:val="en-US"/>
              </w:rPr>
              <w:t>Verbal abuse (including hateful or obscene phone calls)</w:t>
            </w:r>
          </w:p>
        </w:tc>
        <w:tc>
          <w:tcPr>
            <w:tcW w:w="1559" w:type="dxa"/>
            <w:noWrap/>
          </w:tcPr>
          <w:p w14:paraId="22BB9B72" w14:textId="77777777" w:rsidR="009D0006" w:rsidRPr="00A25867" w:rsidRDefault="009D0006" w:rsidP="00512995">
            <w:pPr>
              <w:pStyle w:val="Tabletext"/>
            </w:pPr>
            <w:r>
              <w:t>377</w:t>
            </w:r>
          </w:p>
        </w:tc>
        <w:tc>
          <w:tcPr>
            <w:tcW w:w="1559" w:type="dxa"/>
            <w:noWrap/>
          </w:tcPr>
          <w:p w14:paraId="1247277A" w14:textId="77777777" w:rsidR="009D0006" w:rsidRPr="00A25867" w:rsidRDefault="009D0006" w:rsidP="00512995">
            <w:pPr>
              <w:pStyle w:val="Tabletext"/>
            </w:pPr>
            <w:r>
              <w:t>41.9</w:t>
            </w:r>
          </w:p>
        </w:tc>
      </w:tr>
      <w:tr w:rsidR="009D0006" w:rsidRPr="00A25867" w14:paraId="72C6DF9F"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C9BAC27" w14:textId="77777777" w:rsidR="009D0006" w:rsidRPr="00D20AB2" w:rsidRDefault="009D0006" w:rsidP="00512995">
            <w:pPr>
              <w:pStyle w:val="Tabletext"/>
            </w:pPr>
            <w:r w:rsidRPr="00D20AB2">
              <w:rPr>
                <w:lang w:val="en-US"/>
              </w:rPr>
              <w:t>Harassment such as being spat at and offensive gestures</w:t>
            </w:r>
          </w:p>
        </w:tc>
        <w:tc>
          <w:tcPr>
            <w:tcW w:w="1559" w:type="dxa"/>
            <w:noWrap/>
          </w:tcPr>
          <w:p w14:paraId="4B27FD3A" w14:textId="77777777" w:rsidR="009D0006" w:rsidRPr="00D20AB2" w:rsidRDefault="009D0006" w:rsidP="00512995">
            <w:pPr>
              <w:pStyle w:val="Tabletext"/>
            </w:pPr>
            <w:r w:rsidRPr="00D20AB2">
              <w:t>291</w:t>
            </w:r>
          </w:p>
        </w:tc>
        <w:tc>
          <w:tcPr>
            <w:tcW w:w="1559" w:type="dxa"/>
            <w:noWrap/>
          </w:tcPr>
          <w:p w14:paraId="582A8897" w14:textId="77777777" w:rsidR="009D0006" w:rsidRPr="00D20AB2" w:rsidRDefault="009D0006" w:rsidP="00512995">
            <w:pPr>
              <w:pStyle w:val="Tabletext"/>
            </w:pPr>
            <w:r w:rsidRPr="00D20AB2">
              <w:t>32.2</w:t>
            </w:r>
          </w:p>
        </w:tc>
      </w:tr>
      <w:tr w:rsidR="009D0006" w:rsidRPr="00A25867" w14:paraId="17ACEBC8"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27DBDA3" w14:textId="77777777" w:rsidR="009D0006" w:rsidRPr="00A25867" w:rsidRDefault="009D0006" w:rsidP="00512995">
            <w:pPr>
              <w:pStyle w:val="Tabletext"/>
            </w:pPr>
            <w:r>
              <w:rPr>
                <w:lang w:val="en-US"/>
              </w:rPr>
              <w:t>Sexual assault</w:t>
            </w:r>
          </w:p>
        </w:tc>
        <w:tc>
          <w:tcPr>
            <w:tcW w:w="1559" w:type="dxa"/>
            <w:noWrap/>
          </w:tcPr>
          <w:p w14:paraId="3CE0FF31" w14:textId="77777777" w:rsidR="009D0006" w:rsidRPr="00A25867" w:rsidRDefault="009D0006" w:rsidP="00512995">
            <w:pPr>
              <w:pStyle w:val="Tabletext"/>
            </w:pPr>
            <w:r>
              <w:t>135</w:t>
            </w:r>
          </w:p>
        </w:tc>
        <w:tc>
          <w:tcPr>
            <w:tcW w:w="1559" w:type="dxa"/>
            <w:noWrap/>
          </w:tcPr>
          <w:p w14:paraId="1EAAC0A3" w14:textId="77777777" w:rsidR="009D0006" w:rsidRPr="00A25867" w:rsidRDefault="009D0006" w:rsidP="00512995">
            <w:pPr>
              <w:pStyle w:val="Tabletext"/>
            </w:pPr>
            <w:r>
              <w:t>15.3</w:t>
            </w:r>
          </w:p>
        </w:tc>
      </w:tr>
    </w:tbl>
    <w:p w14:paraId="5FDE24D5" w14:textId="77777777" w:rsidR="009D0006" w:rsidRDefault="009D0006" w:rsidP="00512995">
      <w:pPr>
        <w:pStyle w:val="Tableheading"/>
      </w:pPr>
      <w:r>
        <w:t>Table 104.2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1D6A305"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837DCAA"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42194511" w14:textId="77777777" w:rsidR="009D0006" w:rsidRPr="00A25867" w:rsidRDefault="009D0006" w:rsidP="00512995">
            <w:pPr>
              <w:pStyle w:val="Tableheader"/>
              <w:rPr>
                <w:bCs/>
              </w:rPr>
            </w:pPr>
            <w:r>
              <w:rPr>
                <w:bCs/>
              </w:rPr>
              <w:t>n</w:t>
            </w:r>
          </w:p>
        </w:tc>
        <w:tc>
          <w:tcPr>
            <w:tcW w:w="1559" w:type="dxa"/>
            <w:noWrap/>
            <w:hideMark/>
          </w:tcPr>
          <w:p w14:paraId="5E7B78D0" w14:textId="77777777" w:rsidR="009D0006" w:rsidRPr="00A25867" w:rsidRDefault="009D0006" w:rsidP="00512995">
            <w:pPr>
              <w:pStyle w:val="Tableheader"/>
              <w:rPr>
                <w:bCs/>
              </w:rPr>
            </w:pPr>
            <w:r w:rsidRPr="00A25867">
              <w:rPr>
                <w:bCs/>
              </w:rPr>
              <w:t>%</w:t>
            </w:r>
          </w:p>
        </w:tc>
      </w:tr>
      <w:tr w:rsidR="009D0006" w:rsidRPr="00A25867" w14:paraId="335E5977"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238E063" w14:textId="77777777" w:rsidR="009D0006" w:rsidRPr="00A25867" w:rsidRDefault="009D0006" w:rsidP="00512995">
            <w:pPr>
              <w:pStyle w:val="Tabletext"/>
            </w:pPr>
            <w:r w:rsidRPr="00EF597C">
              <w:rPr>
                <w:lang w:val="en-US"/>
              </w:rPr>
              <w:t>Socially excluded</w:t>
            </w:r>
          </w:p>
        </w:tc>
        <w:tc>
          <w:tcPr>
            <w:tcW w:w="1559" w:type="dxa"/>
            <w:noWrap/>
          </w:tcPr>
          <w:p w14:paraId="3B05338C" w14:textId="77777777" w:rsidR="009D0006" w:rsidRPr="00A25867" w:rsidRDefault="009D0006" w:rsidP="00512995">
            <w:pPr>
              <w:pStyle w:val="Tabletext"/>
            </w:pPr>
            <w:r>
              <w:t>367</w:t>
            </w:r>
          </w:p>
        </w:tc>
        <w:tc>
          <w:tcPr>
            <w:tcW w:w="1559" w:type="dxa"/>
            <w:noWrap/>
          </w:tcPr>
          <w:p w14:paraId="519745D2" w14:textId="77777777" w:rsidR="009D0006" w:rsidRPr="00A25867" w:rsidRDefault="009D0006" w:rsidP="00512995">
            <w:pPr>
              <w:pStyle w:val="Tabletext"/>
            </w:pPr>
            <w:r>
              <w:t>53.0</w:t>
            </w:r>
          </w:p>
        </w:tc>
      </w:tr>
      <w:tr w:rsidR="009D0006" w:rsidRPr="00A25867" w14:paraId="3FD8FD0A"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59AEB58" w14:textId="77777777" w:rsidR="009D0006" w:rsidRPr="00A25867" w:rsidRDefault="009D0006" w:rsidP="00512995">
            <w:pPr>
              <w:pStyle w:val="Tabletext"/>
            </w:pPr>
            <w:r w:rsidRPr="00EF597C">
              <w:rPr>
                <w:lang w:val="en-US"/>
              </w:rPr>
              <w:t>Verbal abuse (including hateful or obscene phone calls)</w:t>
            </w:r>
          </w:p>
        </w:tc>
        <w:tc>
          <w:tcPr>
            <w:tcW w:w="1559" w:type="dxa"/>
            <w:noWrap/>
          </w:tcPr>
          <w:p w14:paraId="634362E3" w14:textId="77777777" w:rsidR="009D0006" w:rsidRPr="00A25867" w:rsidRDefault="009D0006" w:rsidP="00512995">
            <w:pPr>
              <w:pStyle w:val="Tabletext"/>
            </w:pPr>
            <w:r>
              <w:t>295</w:t>
            </w:r>
          </w:p>
        </w:tc>
        <w:tc>
          <w:tcPr>
            <w:tcW w:w="1559" w:type="dxa"/>
            <w:noWrap/>
          </w:tcPr>
          <w:p w14:paraId="2B358917" w14:textId="77777777" w:rsidR="009D0006" w:rsidRPr="00A25867" w:rsidRDefault="009D0006" w:rsidP="00512995">
            <w:pPr>
              <w:pStyle w:val="Tabletext"/>
            </w:pPr>
            <w:r>
              <w:t>42.0</w:t>
            </w:r>
          </w:p>
        </w:tc>
      </w:tr>
      <w:tr w:rsidR="009D0006" w:rsidRPr="00A25867" w14:paraId="0EB43F44"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2703FA1" w14:textId="77777777" w:rsidR="009D0006" w:rsidRPr="00D20AB2" w:rsidRDefault="009D0006" w:rsidP="00512995">
            <w:pPr>
              <w:pStyle w:val="Tabletext"/>
            </w:pPr>
            <w:r w:rsidRPr="00D20AB2">
              <w:rPr>
                <w:lang w:val="en-US"/>
              </w:rPr>
              <w:t>Harassment such as being spat at and offensive gestures</w:t>
            </w:r>
          </w:p>
        </w:tc>
        <w:tc>
          <w:tcPr>
            <w:tcW w:w="1559" w:type="dxa"/>
            <w:noWrap/>
          </w:tcPr>
          <w:p w14:paraId="2745B28C" w14:textId="77777777" w:rsidR="009D0006" w:rsidRPr="00D20AB2" w:rsidRDefault="009D0006" w:rsidP="00512995">
            <w:pPr>
              <w:pStyle w:val="Tabletext"/>
            </w:pPr>
            <w:r w:rsidRPr="00D20AB2">
              <w:t>197</w:t>
            </w:r>
          </w:p>
        </w:tc>
        <w:tc>
          <w:tcPr>
            <w:tcW w:w="1559" w:type="dxa"/>
            <w:noWrap/>
          </w:tcPr>
          <w:p w14:paraId="37DF5B09" w14:textId="77777777" w:rsidR="009D0006" w:rsidRPr="00D20AB2" w:rsidRDefault="009D0006" w:rsidP="00512995">
            <w:pPr>
              <w:pStyle w:val="Tabletext"/>
            </w:pPr>
            <w:r w:rsidRPr="00D20AB2">
              <w:t>28.5</w:t>
            </w:r>
          </w:p>
        </w:tc>
      </w:tr>
      <w:tr w:rsidR="009D0006" w:rsidRPr="00A25867" w14:paraId="1DB793B0"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33EBC2C2" w14:textId="77777777" w:rsidR="009D0006" w:rsidRPr="00A25867" w:rsidRDefault="009D0006" w:rsidP="00512995">
            <w:pPr>
              <w:pStyle w:val="Tabletext"/>
            </w:pPr>
            <w:r>
              <w:rPr>
                <w:lang w:val="en-US"/>
              </w:rPr>
              <w:t>Sexual assault</w:t>
            </w:r>
          </w:p>
        </w:tc>
        <w:tc>
          <w:tcPr>
            <w:tcW w:w="1559" w:type="dxa"/>
            <w:noWrap/>
          </w:tcPr>
          <w:p w14:paraId="769B6903" w14:textId="77777777" w:rsidR="009D0006" w:rsidRPr="00A25867" w:rsidRDefault="009D0006" w:rsidP="00512995">
            <w:pPr>
              <w:pStyle w:val="Tabletext"/>
            </w:pPr>
            <w:r>
              <w:t>117</w:t>
            </w:r>
          </w:p>
        </w:tc>
        <w:tc>
          <w:tcPr>
            <w:tcW w:w="1559" w:type="dxa"/>
            <w:noWrap/>
          </w:tcPr>
          <w:p w14:paraId="43187E71" w14:textId="77777777" w:rsidR="009D0006" w:rsidRPr="00A25867" w:rsidRDefault="009D0006" w:rsidP="00512995">
            <w:pPr>
              <w:pStyle w:val="Tabletext"/>
            </w:pPr>
            <w:r>
              <w:t>17.5</w:t>
            </w:r>
          </w:p>
        </w:tc>
      </w:tr>
    </w:tbl>
    <w:p w14:paraId="26A98A3A" w14:textId="77777777" w:rsidR="009D0006" w:rsidRDefault="009D0006" w:rsidP="00512995">
      <w:pPr>
        <w:pStyle w:val="Tableheading"/>
      </w:pPr>
      <w:r>
        <w:t>Table 104.3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9C36818"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1288AE4"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1B653308" w14:textId="77777777" w:rsidR="009D0006" w:rsidRPr="00204705" w:rsidRDefault="009D0006" w:rsidP="00512995">
            <w:pPr>
              <w:pStyle w:val="Tableheader"/>
              <w:rPr>
                <w:bCs/>
              </w:rPr>
            </w:pPr>
            <w:r w:rsidRPr="00204705">
              <w:rPr>
                <w:bCs/>
              </w:rPr>
              <w:t>n</w:t>
            </w:r>
          </w:p>
        </w:tc>
        <w:tc>
          <w:tcPr>
            <w:tcW w:w="1559" w:type="dxa"/>
            <w:noWrap/>
            <w:hideMark/>
          </w:tcPr>
          <w:p w14:paraId="14638A75" w14:textId="77777777" w:rsidR="009D0006" w:rsidRPr="00204705" w:rsidRDefault="009D0006" w:rsidP="00512995">
            <w:pPr>
              <w:pStyle w:val="Tableheader"/>
              <w:rPr>
                <w:bCs/>
              </w:rPr>
            </w:pPr>
            <w:r w:rsidRPr="00204705">
              <w:rPr>
                <w:bCs/>
              </w:rPr>
              <w:t>%</w:t>
            </w:r>
          </w:p>
        </w:tc>
      </w:tr>
      <w:tr w:rsidR="009D0006" w:rsidRPr="00A25867" w14:paraId="3755986E"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687D4665" w14:textId="77777777" w:rsidR="009D0006" w:rsidRPr="00A25867" w:rsidRDefault="009D0006" w:rsidP="00512995">
            <w:pPr>
              <w:pStyle w:val="Tabletext"/>
            </w:pPr>
            <w:r w:rsidRPr="00EF597C">
              <w:rPr>
                <w:lang w:val="en-US"/>
              </w:rPr>
              <w:t>Socially excluded</w:t>
            </w:r>
          </w:p>
        </w:tc>
        <w:tc>
          <w:tcPr>
            <w:tcW w:w="1559" w:type="dxa"/>
            <w:noWrap/>
          </w:tcPr>
          <w:p w14:paraId="29027D30" w14:textId="77777777" w:rsidR="009D0006" w:rsidRPr="00A25867" w:rsidRDefault="009D0006" w:rsidP="00512995">
            <w:pPr>
              <w:pStyle w:val="Tabletext"/>
            </w:pPr>
            <w:r>
              <w:t>286</w:t>
            </w:r>
          </w:p>
        </w:tc>
        <w:tc>
          <w:tcPr>
            <w:tcW w:w="1559" w:type="dxa"/>
            <w:noWrap/>
          </w:tcPr>
          <w:p w14:paraId="5F8974E0" w14:textId="77777777" w:rsidR="009D0006" w:rsidRPr="00A25867" w:rsidRDefault="009D0006" w:rsidP="00512995">
            <w:pPr>
              <w:pStyle w:val="Tabletext"/>
            </w:pPr>
            <w:r>
              <w:t>51.7</w:t>
            </w:r>
          </w:p>
        </w:tc>
      </w:tr>
      <w:tr w:rsidR="009D0006" w:rsidRPr="00A25867" w14:paraId="1374D5FD"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9C592BE" w14:textId="77777777" w:rsidR="009D0006" w:rsidRPr="00A25867" w:rsidRDefault="009D0006" w:rsidP="00512995">
            <w:pPr>
              <w:pStyle w:val="Tabletext"/>
            </w:pPr>
            <w:r w:rsidRPr="00EF597C">
              <w:rPr>
                <w:lang w:val="en-US"/>
              </w:rPr>
              <w:t>Verbal abuse (including hateful or obscene phone calls)</w:t>
            </w:r>
          </w:p>
        </w:tc>
        <w:tc>
          <w:tcPr>
            <w:tcW w:w="1559" w:type="dxa"/>
            <w:noWrap/>
          </w:tcPr>
          <w:p w14:paraId="5B9B7A9C" w14:textId="77777777" w:rsidR="009D0006" w:rsidRPr="00A25867" w:rsidRDefault="009D0006" w:rsidP="00512995">
            <w:pPr>
              <w:pStyle w:val="Tabletext"/>
            </w:pPr>
            <w:r>
              <w:t>243</w:t>
            </w:r>
          </w:p>
        </w:tc>
        <w:tc>
          <w:tcPr>
            <w:tcW w:w="1559" w:type="dxa"/>
            <w:noWrap/>
          </w:tcPr>
          <w:p w14:paraId="76BB889D" w14:textId="77777777" w:rsidR="009D0006" w:rsidRPr="00A25867" w:rsidRDefault="009D0006" w:rsidP="00512995">
            <w:pPr>
              <w:pStyle w:val="Tabletext"/>
            </w:pPr>
            <w:r>
              <w:t>44.1</w:t>
            </w:r>
          </w:p>
        </w:tc>
      </w:tr>
      <w:tr w:rsidR="009D0006" w:rsidRPr="00A25867" w14:paraId="1A0A47A1"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04421492" w14:textId="77777777" w:rsidR="009D0006" w:rsidRPr="00D20AB2" w:rsidRDefault="009D0006" w:rsidP="00512995">
            <w:pPr>
              <w:pStyle w:val="Tabletext"/>
            </w:pPr>
            <w:r w:rsidRPr="00D20AB2">
              <w:rPr>
                <w:lang w:val="en-US"/>
              </w:rPr>
              <w:t>Harassment such as being spat at and offensive gestures</w:t>
            </w:r>
          </w:p>
        </w:tc>
        <w:tc>
          <w:tcPr>
            <w:tcW w:w="1559" w:type="dxa"/>
            <w:noWrap/>
          </w:tcPr>
          <w:p w14:paraId="761BC75A" w14:textId="77777777" w:rsidR="009D0006" w:rsidRPr="00D20AB2" w:rsidRDefault="009D0006" w:rsidP="00512995">
            <w:pPr>
              <w:pStyle w:val="Tabletext"/>
            </w:pPr>
            <w:r w:rsidRPr="00D20AB2">
              <w:t>169</w:t>
            </w:r>
          </w:p>
        </w:tc>
        <w:tc>
          <w:tcPr>
            <w:tcW w:w="1559" w:type="dxa"/>
            <w:noWrap/>
          </w:tcPr>
          <w:p w14:paraId="22BBCF3E" w14:textId="77777777" w:rsidR="009D0006" w:rsidRPr="00D20AB2" w:rsidRDefault="009D0006" w:rsidP="00512995">
            <w:pPr>
              <w:pStyle w:val="Tabletext"/>
            </w:pPr>
            <w:r w:rsidRPr="00D20AB2">
              <w:t>31.1</w:t>
            </w:r>
          </w:p>
        </w:tc>
      </w:tr>
      <w:tr w:rsidR="009D0006" w:rsidRPr="00A25867" w14:paraId="6E1B6148"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76AB79E" w14:textId="77777777" w:rsidR="009D0006" w:rsidRPr="00A25867" w:rsidRDefault="009D0006" w:rsidP="00512995">
            <w:pPr>
              <w:pStyle w:val="Tabletext"/>
            </w:pPr>
            <w:r>
              <w:rPr>
                <w:lang w:val="en-US"/>
              </w:rPr>
              <w:t>Sexual assault</w:t>
            </w:r>
          </w:p>
        </w:tc>
        <w:tc>
          <w:tcPr>
            <w:tcW w:w="1559" w:type="dxa"/>
            <w:noWrap/>
          </w:tcPr>
          <w:p w14:paraId="7412F0DA" w14:textId="77777777" w:rsidR="009D0006" w:rsidRPr="00A25867" w:rsidRDefault="009D0006" w:rsidP="00512995">
            <w:pPr>
              <w:pStyle w:val="Tabletext"/>
            </w:pPr>
            <w:r>
              <w:t>99</w:t>
            </w:r>
          </w:p>
        </w:tc>
        <w:tc>
          <w:tcPr>
            <w:tcW w:w="1559" w:type="dxa"/>
            <w:noWrap/>
          </w:tcPr>
          <w:p w14:paraId="15AECDD7" w14:textId="77777777" w:rsidR="009D0006" w:rsidRPr="00A25867" w:rsidRDefault="009D0006" w:rsidP="00512995">
            <w:pPr>
              <w:pStyle w:val="Tabletext"/>
            </w:pPr>
            <w:r>
              <w:t>18.6</w:t>
            </w:r>
          </w:p>
        </w:tc>
      </w:tr>
    </w:tbl>
    <w:p w14:paraId="2B6FFF7E" w14:textId="77777777" w:rsidR="009D0006" w:rsidRDefault="009D0006" w:rsidP="00512995">
      <w:pPr>
        <w:pStyle w:val="Tableheading"/>
      </w:pPr>
      <w:r>
        <w:t>Table 104.4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31E0B679"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2A953D4" w14:textId="77777777" w:rsidR="009D0006" w:rsidRPr="009F2612" w:rsidRDefault="009D0006" w:rsidP="00512995">
            <w:pPr>
              <w:pStyle w:val="Tableheader"/>
              <w:rPr>
                <w:bCs/>
              </w:rPr>
            </w:pPr>
            <w:r>
              <w:t>H</w:t>
            </w:r>
            <w:r w:rsidRPr="00EF597C">
              <w:t>arassment</w:t>
            </w:r>
            <w:r>
              <w:t xml:space="preserve"> or assault in past 12 months</w:t>
            </w:r>
          </w:p>
        </w:tc>
        <w:tc>
          <w:tcPr>
            <w:tcW w:w="1559" w:type="dxa"/>
            <w:noWrap/>
            <w:hideMark/>
          </w:tcPr>
          <w:p w14:paraId="35019155" w14:textId="77777777" w:rsidR="009D0006" w:rsidRPr="00A25867" w:rsidRDefault="009D0006" w:rsidP="00512995">
            <w:pPr>
              <w:pStyle w:val="Tableheader"/>
              <w:rPr>
                <w:bCs/>
              </w:rPr>
            </w:pPr>
            <w:r>
              <w:rPr>
                <w:bCs/>
              </w:rPr>
              <w:t>n</w:t>
            </w:r>
          </w:p>
        </w:tc>
        <w:tc>
          <w:tcPr>
            <w:tcW w:w="1559" w:type="dxa"/>
            <w:noWrap/>
            <w:hideMark/>
          </w:tcPr>
          <w:p w14:paraId="18312EE5" w14:textId="77777777" w:rsidR="009D0006" w:rsidRPr="00A25867" w:rsidRDefault="009D0006" w:rsidP="00512995">
            <w:pPr>
              <w:pStyle w:val="Tableheader"/>
              <w:rPr>
                <w:bCs/>
              </w:rPr>
            </w:pPr>
            <w:r w:rsidRPr="00A25867">
              <w:rPr>
                <w:bCs/>
              </w:rPr>
              <w:t>%</w:t>
            </w:r>
          </w:p>
        </w:tc>
      </w:tr>
      <w:tr w:rsidR="009D0006" w:rsidRPr="00A25867" w14:paraId="039864A5"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4C50B0A" w14:textId="77777777" w:rsidR="009D0006" w:rsidRPr="00A25867" w:rsidRDefault="009D0006" w:rsidP="00512995">
            <w:pPr>
              <w:pStyle w:val="Tabletext"/>
            </w:pPr>
            <w:r w:rsidRPr="00EF597C">
              <w:rPr>
                <w:lang w:val="en-US"/>
              </w:rPr>
              <w:t>Socially excluded</w:t>
            </w:r>
          </w:p>
        </w:tc>
        <w:tc>
          <w:tcPr>
            <w:tcW w:w="1559" w:type="dxa"/>
            <w:noWrap/>
          </w:tcPr>
          <w:p w14:paraId="66453242" w14:textId="77777777" w:rsidR="009D0006" w:rsidRPr="00A25867" w:rsidRDefault="009D0006" w:rsidP="00512995">
            <w:pPr>
              <w:pStyle w:val="Tabletext"/>
            </w:pPr>
            <w:r>
              <w:t>88</w:t>
            </w:r>
          </w:p>
        </w:tc>
        <w:tc>
          <w:tcPr>
            <w:tcW w:w="1559" w:type="dxa"/>
            <w:noWrap/>
          </w:tcPr>
          <w:p w14:paraId="07A5ED97" w14:textId="77777777" w:rsidR="009D0006" w:rsidRPr="00A25867" w:rsidRDefault="009D0006" w:rsidP="00512995">
            <w:pPr>
              <w:pStyle w:val="Tabletext"/>
            </w:pPr>
            <w:r>
              <w:t>56.4</w:t>
            </w:r>
          </w:p>
        </w:tc>
      </w:tr>
      <w:tr w:rsidR="009D0006" w:rsidRPr="00A25867" w14:paraId="30012D4A"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859B68E" w14:textId="77777777" w:rsidR="009D0006" w:rsidRPr="00A25867" w:rsidRDefault="009D0006" w:rsidP="00512995">
            <w:pPr>
              <w:pStyle w:val="Tabletext"/>
            </w:pPr>
            <w:r w:rsidRPr="00EF597C">
              <w:rPr>
                <w:lang w:val="en-US"/>
              </w:rPr>
              <w:t>Verbal abuse (including hateful or obscene phone calls)</w:t>
            </w:r>
          </w:p>
        </w:tc>
        <w:tc>
          <w:tcPr>
            <w:tcW w:w="1559" w:type="dxa"/>
            <w:noWrap/>
          </w:tcPr>
          <w:p w14:paraId="74BD2A4B" w14:textId="77777777" w:rsidR="009D0006" w:rsidRPr="00A25867" w:rsidRDefault="009D0006" w:rsidP="00512995">
            <w:pPr>
              <w:pStyle w:val="Tabletext"/>
            </w:pPr>
            <w:r>
              <w:t>67</w:t>
            </w:r>
          </w:p>
        </w:tc>
        <w:tc>
          <w:tcPr>
            <w:tcW w:w="1559" w:type="dxa"/>
            <w:noWrap/>
          </w:tcPr>
          <w:p w14:paraId="180C6EBE" w14:textId="77777777" w:rsidR="009D0006" w:rsidRPr="00A25867" w:rsidRDefault="009D0006" w:rsidP="00512995">
            <w:pPr>
              <w:pStyle w:val="Tabletext"/>
            </w:pPr>
            <w:r>
              <w:t>45.3</w:t>
            </w:r>
          </w:p>
        </w:tc>
      </w:tr>
      <w:tr w:rsidR="009D0006" w:rsidRPr="00A25867" w14:paraId="109C1E56"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833478D" w14:textId="77777777" w:rsidR="009D0006" w:rsidRPr="00D20AB2" w:rsidRDefault="009D0006" w:rsidP="00512995">
            <w:pPr>
              <w:pStyle w:val="Tabletext"/>
            </w:pPr>
            <w:r w:rsidRPr="00D20AB2">
              <w:rPr>
                <w:lang w:val="en-US"/>
              </w:rPr>
              <w:t>Harassment such as being spat at and offensive gestures</w:t>
            </w:r>
          </w:p>
        </w:tc>
        <w:tc>
          <w:tcPr>
            <w:tcW w:w="1559" w:type="dxa"/>
            <w:noWrap/>
          </w:tcPr>
          <w:p w14:paraId="224CB3A2" w14:textId="77777777" w:rsidR="009D0006" w:rsidRPr="00D20AB2" w:rsidRDefault="009D0006" w:rsidP="00512995">
            <w:pPr>
              <w:pStyle w:val="Tabletext"/>
            </w:pPr>
            <w:r w:rsidRPr="00D20AB2">
              <w:t>48</w:t>
            </w:r>
          </w:p>
        </w:tc>
        <w:tc>
          <w:tcPr>
            <w:tcW w:w="1559" w:type="dxa"/>
            <w:noWrap/>
          </w:tcPr>
          <w:p w14:paraId="7394054C" w14:textId="77777777" w:rsidR="009D0006" w:rsidRPr="00A25867" w:rsidRDefault="009D0006" w:rsidP="00512995">
            <w:pPr>
              <w:pStyle w:val="Tabletext"/>
            </w:pPr>
            <w:r w:rsidRPr="00D20AB2">
              <w:t>31.6</w:t>
            </w:r>
          </w:p>
        </w:tc>
      </w:tr>
      <w:tr w:rsidR="009D0006" w:rsidRPr="00A25867" w14:paraId="49EB0A17"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044881B" w14:textId="77777777" w:rsidR="009D0006" w:rsidRPr="00A25867" w:rsidRDefault="009D0006" w:rsidP="00512995">
            <w:pPr>
              <w:pStyle w:val="Tabletext"/>
            </w:pPr>
            <w:r>
              <w:rPr>
                <w:lang w:val="en-US"/>
              </w:rPr>
              <w:t>Sexual assault</w:t>
            </w:r>
          </w:p>
        </w:tc>
        <w:tc>
          <w:tcPr>
            <w:tcW w:w="1559" w:type="dxa"/>
            <w:noWrap/>
          </w:tcPr>
          <w:p w14:paraId="70265CDB" w14:textId="77777777" w:rsidR="009D0006" w:rsidRPr="00A25867" w:rsidRDefault="009D0006" w:rsidP="00512995">
            <w:pPr>
              <w:pStyle w:val="Tabletext"/>
            </w:pPr>
            <w:r>
              <w:t>38</w:t>
            </w:r>
          </w:p>
        </w:tc>
        <w:tc>
          <w:tcPr>
            <w:tcW w:w="1559" w:type="dxa"/>
            <w:noWrap/>
          </w:tcPr>
          <w:p w14:paraId="0AC530BA" w14:textId="77777777" w:rsidR="009D0006" w:rsidRPr="00A25867" w:rsidRDefault="009D0006" w:rsidP="00512995">
            <w:pPr>
              <w:pStyle w:val="Tabletext"/>
            </w:pPr>
            <w:r>
              <w:t>26.4</w:t>
            </w:r>
          </w:p>
        </w:tc>
      </w:tr>
    </w:tbl>
    <w:p w14:paraId="58EEE8E0" w14:textId="77777777" w:rsidR="009D0006" w:rsidRPr="00512995" w:rsidRDefault="009D0006" w:rsidP="00512995">
      <w:pPr>
        <w:pStyle w:val="TableTextNotebelow"/>
        <w:rPr>
          <w:i/>
        </w:rPr>
      </w:pPr>
      <w:r w:rsidRPr="00512995">
        <w:rPr>
          <w:i/>
        </w:rPr>
        <w:t>Note: Resp</w:t>
      </w:r>
      <w:r w:rsidRPr="00512995">
        <w:rPr>
          <w:i/>
        </w:rPr>
        <w:lastRenderedPageBreak/>
        <w:t>onses were analysed among participants who reported that a situation was applicable to them therefore an overall ‘n’ is not provided.</w:t>
      </w:r>
    </w:p>
    <w:p w14:paraId="2B0F1DE5" w14:textId="77777777" w:rsidR="009D0006" w:rsidRDefault="009D0006" w:rsidP="00AB4A74">
      <w:pPr>
        <w:spacing w:before="360"/>
      </w:pPr>
      <w:r>
        <w:t xml:space="preserve">As displayed in Tables 104.1-104.4, more than half of participants with disability in </w:t>
      </w:r>
      <w:r>
        <w:rPr>
          <w:i/>
          <w:iCs/>
        </w:rPr>
        <w:t>Private Lives 3</w:t>
      </w:r>
      <w:r>
        <w:t xml:space="preserve"> who were residing in a rural or remote area reported having experienced social exclusion in the past 12 months (56.4%; n = 88), followed by participants in an outer suburban area (53.0%; n = 367), participants in a regional city or town (51.7%; n = 286) and participants in an inner suburban area (46.4%; n = 425).</w:t>
      </w:r>
    </w:p>
    <w:p w14:paraId="7DFAB42D" w14:textId="77777777" w:rsidR="009D0006" w:rsidRDefault="009D0006" w:rsidP="009D0006">
      <w:r>
        <w:t>The proportions of participants who had experienced verbal abuse, including hateful or obscene phone calls in the past 12 months, were similar across residential areas. More than two-fifths of participants residing in a rural or remote area had experienced verbal abuse (45.3%; n = 67), followed by participants in a regional city or town (44.1%; n = 243), participants in an outer suburban area (42.0%; n = 295) and participants in an inner suburban area (41.9%; n = 377).</w:t>
      </w:r>
    </w:p>
    <w:p w14:paraId="15DF2853" w14:textId="77777777" w:rsidR="009D0006" w:rsidRDefault="009D0006" w:rsidP="009D0006">
      <w:r>
        <w:t>A little under one-third of participants residing in an inner suburban area had experienced harassment such as being spat at and offensive gestures in the past 12 months (32.2%; n = 291), followed by participants in a rural or remote area (31.6%; n = 48), participants in a regional city or town (31.1%; n = 169) and participants in an outer suburban area (28.5%; n = 197).</w:t>
      </w:r>
    </w:p>
    <w:p w14:paraId="2D1AA2F0" w14:textId="77777777" w:rsidR="009D0006" w:rsidRDefault="009D0006" w:rsidP="009D0006">
      <w:r>
        <w:t>More than one-quarter of participants residing in a rural or remote area had experienced sexual assault in the past 12 months (26.4%; n = 38), followed by participants in a regional city or town (18.6%; n = 99), participants in an out suburban area (17.5%; n = 117) and participants in an inner suburban area (15.3%; n = 135).</w:t>
      </w:r>
    </w:p>
    <w:p w14:paraId="71E9A029" w14:textId="226FC79C" w:rsidR="009D0006" w:rsidRDefault="009D0006" w:rsidP="009401DC">
      <w:pPr>
        <w:pStyle w:val="Heading2Numbered"/>
      </w:pPr>
      <w:bookmarkStart w:id="860" w:name="_Toc115968646"/>
      <w:bookmarkStart w:id="861" w:name="_Toc119662472"/>
      <w:r w:rsidRPr="002C3FF9">
        <w:t xml:space="preserve">Experiences of </w:t>
      </w:r>
      <w:r>
        <w:t>family</w:t>
      </w:r>
      <w:r w:rsidRPr="002C3FF9">
        <w:t xml:space="preserve"> violence – adults aged 18+ years</w:t>
      </w:r>
      <w:bookmarkEnd w:id="860"/>
      <w:bookmarkEnd w:id="861"/>
    </w:p>
    <w:p w14:paraId="2AB22FF8" w14:textId="5892D46E" w:rsidR="009D0006" w:rsidRDefault="009D0006" w:rsidP="00512995">
      <w:pPr>
        <w:pStyle w:val="Tableheading"/>
      </w:pPr>
      <w:bookmarkStart w:id="862" w:name="_Toc117062822"/>
      <w:bookmarkStart w:id="863" w:name="_Toc119651507"/>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105</w:t>
      </w:r>
      <w:r w:rsidRPr="004B71BD">
        <w:rPr>
          <w:bCs/>
        </w:rPr>
        <w:fldChar w:fldCharType="end"/>
      </w:r>
      <w:r>
        <w:rPr>
          <w:bCs/>
        </w:rPr>
        <w:t>.1-105.4</w:t>
      </w:r>
      <w:r>
        <w:t>: Ever experienced violence from an intimate partner (n = 2394) or family member (n = 2437)</w:t>
      </w:r>
      <w:r w:rsidRPr="00C5739E">
        <w:t xml:space="preserve"> </w:t>
      </w:r>
      <w:r>
        <w:t xml:space="preserve">among adults with disability aged 18+ years, grouped </w:t>
      </w:r>
      <w:r w:rsidRPr="00C5739E">
        <w:t xml:space="preserve">by </w:t>
      </w:r>
      <w:r>
        <w:t>area of residence</w:t>
      </w:r>
      <w:bookmarkEnd w:id="862"/>
      <w:bookmarkEnd w:id="863"/>
    </w:p>
    <w:p w14:paraId="10E7064D" w14:textId="77777777" w:rsidR="009D0006" w:rsidRPr="002C3FF9" w:rsidRDefault="009D0006" w:rsidP="00512995">
      <w:pPr>
        <w:pStyle w:val="Tableheading"/>
      </w:pPr>
      <w:r>
        <w:t>Table 105.1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364486" w14:paraId="651D6CE6"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09E97D36" w14:textId="77777777" w:rsidR="009D0006" w:rsidRPr="009F2612" w:rsidRDefault="009D0006" w:rsidP="00512995">
            <w:pPr>
              <w:pStyle w:val="Tableheader"/>
              <w:rPr>
                <w:bCs/>
              </w:rPr>
            </w:pPr>
            <w:r>
              <w:t>Source of violence</w:t>
            </w:r>
          </w:p>
        </w:tc>
        <w:tc>
          <w:tcPr>
            <w:tcW w:w="1559" w:type="dxa"/>
            <w:noWrap/>
            <w:hideMark/>
          </w:tcPr>
          <w:p w14:paraId="5D752DCC" w14:textId="77777777" w:rsidR="009D0006" w:rsidRPr="00364486" w:rsidRDefault="009D0006" w:rsidP="00512995">
            <w:pPr>
              <w:pStyle w:val="Tableheader"/>
              <w:rPr>
                <w:bCs/>
              </w:rPr>
            </w:pPr>
            <w:r w:rsidRPr="00364486">
              <w:rPr>
                <w:bCs/>
              </w:rPr>
              <w:t>n</w:t>
            </w:r>
          </w:p>
        </w:tc>
        <w:tc>
          <w:tcPr>
            <w:tcW w:w="1559" w:type="dxa"/>
            <w:noWrap/>
            <w:hideMark/>
          </w:tcPr>
          <w:p w14:paraId="736AD940" w14:textId="77777777" w:rsidR="009D0006" w:rsidRPr="00364486" w:rsidRDefault="009D0006" w:rsidP="00512995">
            <w:pPr>
              <w:pStyle w:val="Tableheader"/>
              <w:rPr>
                <w:bCs/>
              </w:rPr>
            </w:pPr>
            <w:r w:rsidRPr="00364486">
              <w:rPr>
                <w:bCs/>
              </w:rPr>
              <w:t>%</w:t>
            </w:r>
          </w:p>
        </w:tc>
      </w:tr>
      <w:tr w:rsidR="009D0006" w:rsidRPr="00A25867" w14:paraId="578DE1D1"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34E7AF1D" w14:textId="77777777" w:rsidR="009D0006" w:rsidRPr="00A25867" w:rsidRDefault="009D0006" w:rsidP="00512995">
            <w:pPr>
              <w:pStyle w:val="Tabletext"/>
            </w:pPr>
            <w:r>
              <w:rPr>
                <w:lang w:val="en-US"/>
              </w:rPr>
              <w:t>Intimate partner</w:t>
            </w:r>
          </w:p>
        </w:tc>
        <w:tc>
          <w:tcPr>
            <w:tcW w:w="1559" w:type="dxa"/>
            <w:noWrap/>
          </w:tcPr>
          <w:p w14:paraId="3735B32B" w14:textId="77777777" w:rsidR="009D0006" w:rsidRPr="00A25867" w:rsidRDefault="009D0006" w:rsidP="00512995">
            <w:pPr>
              <w:pStyle w:val="Tabletext"/>
            </w:pPr>
            <w:r>
              <w:t>660</w:t>
            </w:r>
          </w:p>
        </w:tc>
        <w:tc>
          <w:tcPr>
            <w:tcW w:w="1559" w:type="dxa"/>
            <w:noWrap/>
          </w:tcPr>
          <w:p w14:paraId="222744FA" w14:textId="77777777" w:rsidR="009D0006" w:rsidRPr="00A25867" w:rsidRDefault="009D0006" w:rsidP="00512995">
            <w:pPr>
              <w:pStyle w:val="Tabletext"/>
            </w:pPr>
            <w:r>
              <w:t>70.4</w:t>
            </w:r>
          </w:p>
        </w:tc>
      </w:tr>
      <w:tr w:rsidR="009D0006" w:rsidRPr="00A25867" w14:paraId="769EE916"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91CF533" w14:textId="77777777" w:rsidR="009D0006" w:rsidRPr="00A25867" w:rsidRDefault="009D0006" w:rsidP="00512995">
            <w:pPr>
              <w:pStyle w:val="Tabletext"/>
            </w:pPr>
            <w:r>
              <w:rPr>
                <w:lang w:val="en-US"/>
              </w:rPr>
              <w:t>Family member</w:t>
            </w:r>
          </w:p>
        </w:tc>
        <w:tc>
          <w:tcPr>
            <w:tcW w:w="1559" w:type="dxa"/>
            <w:noWrap/>
          </w:tcPr>
          <w:p w14:paraId="66F7A368" w14:textId="77777777" w:rsidR="009D0006" w:rsidRPr="00A25867" w:rsidRDefault="009D0006" w:rsidP="00512995">
            <w:pPr>
              <w:pStyle w:val="Tabletext"/>
            </w:pPr>
            <w:r>
              <w:t>710</w:t>
            </w:r>
          </w:p>
        </w:tc>
        <w:tc>
          <w:tcPr>
            <w:tcW w:w="1559" w:type="dxa"/>
            <w:noWrap/>
          </w:tcPr>
          <w:p w14:paraId="4544AC9D" w14:textId="77777777" w:rsidR="009D0006" w:rsidRPr="00A25867" w:rsidRDefault="009D0006" w:rsidP="00512995">
            <w:pPr>
              <w:pStyle w:val="Tabletext"/>
            </w:pPr>
            <w:r>
              <w:t>75.9</w:t>
            </w:r>
          </w:p>
        </w:tc>
      </w:tr>
    </w:tbl>
    <w:p w14:paraId="4960D9F7" w14:textId="77777777" w:rsidR="009D0006" w:rsidRDefault="009D0006" w:rsidP="00512995">
      <w:pPr>
        <w:pStyle w:val="Tableheading"/>
      </w:pPr>
      <w:bookmarkStart w:id="864" w:name="_Toc88231241"/>
      <w:bookmarkStart w:id="865" w:name="_Toc94628157"/>
      <w:r>
        <w:t>Table 105.</w:t>
      </w:r>
      <w:r>
        <w:lastRenderedPageBreak/>
        <w:t>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54BDA54" w14:textId="77777777" w:rsidTr="0051299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396C501" w14:textId="77777777" w:rsidR="009D0006" w:rsidRPr="009F2612" w:rsidRDefault="009D0006" w:rsidP="00512995">
            <w:pPr>
              <w:pStyle w:val="Tableheader"/>
              <w:rPr>
                <w:bCs/>
              </w:rPr>
            </w:pPr>
            <w:r>
              <w:t>Source of violence</w:t>
            </w:r>
          </w:p>
        </w:tc>
        <w:tc>
          <w:tcPr>
            <w:tcW w:w="1559" w:type="dxa"/>
            <w:noWrap/>
            <w:hideMark/>
          </w:tcPr>
          <w:p w14:paraId="6A107CE5" w14:textId="77777777" w:rsidR="009D0006" w:rsidRPr="00364486" w:rsidRDefault="009D0006" w:rsidP="00512995">
            <w:pPr>
              <w:pStyle w:val="Tableheader"/>
              <w:rPr>
                <w:bCs/>
              </w:rPr>
            </w:pPr>
            <w:r w:rsidRPr="00364486">
              <w:rPr>
                <w:bCs/>
              </w:rPr>
              <w:t>n</w:t>
            </w:r>
          </w:p>
        </w:tc>
        <w:tc>
          <w:tcPr>
            <w:tcW w:w="1559" w:type="dxa"/>
            <w:noWrap/>
            <w:hideMark/>
          </w:tcPr>
          <w:p w14:paraId="15944C9D" w14:textId="77777777" w:rsidR="009D0006" w:rsidRPr="00364486" w:rsidRDefault="009D0006" w:rsidP="00512995">
            <w:pPr>
              <w:pStyle w:val="Tableheader"/>
              <w:rPr>
                <w:bCs/>
              </w:rPr>
            </w:pPr>
            <w:r w:rsidRPr="00364486">
              <w:rPr>
                <w:bCs/>
              </w:rPr>
              <w:t>%</w:t>
            </w:r>
          </w:p>
        </w:tc>
      </w:tr>
      <w:tr w:rsidR="009D0006" w:rsidRPr="00A25867" w14:paraId="00C1564E" w14:textId="77777777" w:rsidTr="0051299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A03CAAA" w14:textId="77777777" w:rsidR="009D0006" w:rsidRPr="00A25867" w:rsidRDefault="009D0006" w:rsidP="00512995">
            <w:pPr>
              <w:pStyle w:val="Tabletext"/>
            </w:pPr>
            <w:r>
              <w:rPr>
                <w:lang w:val="en-US"/>
              </w:rPr>
              <w:t>Intimate partner</w:t>
            </w:r>
          </w:p>
        </w:tc>
        <w:tc>
          <w:tcPr>
            <w:tcW w:w="1559" w:type="dxa"/>
            <w:noWrap/>
          </w:tcPr>
          <w:p w14:paraId="7E82C939" w14:textId="77777777" w:rsidR="009D0006" w:rsidRPr="00A25867" w:rsidRDefault="009D0006" w:rsidP="00512995">
            <w:pPr>
              <w:pStyle w:val="Tabletext"/>
            </w:pPr>
            <w:r>
              <w:t>487</w:t>
            </w:r>
          </w:p>
        </w:tc>
        <w:tc>
          <w:tcPr>
            <w:tcW w:w="1559" w:type="dxa"/>
            <w:noWrap/>
          </w:tcPr>
          <w:p w14:paraId="7A6E9E71" w14:textId="77777777" w:rsidR="009D0006" w:rsidRPr="00A25867" w:rsidRDefault="009D0006" w:rsidP="00512995">
            <w:pPr>
              <w:pStyle w:val="Tabletext"/>
            </w:pPr>
            <w:r>
              <w:t>68.2</w:t>
            </w:r>
          </w:p>
        </w:tc>
      </w:tr>
      <w:tr w:rsidR="009D0006" w:rsidRPr="00A25867" w14:paraId="49E96348" w14:textId="77777777" w:rsidTr="0051299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1418AE8D" w14:textId="77777777" w:rsidR="009D0006" w:rsidRPr="00A25867" w:rsidRDefault="009D0006" w:rsidP="00512995">
            <w:pPr>
              <w:pStyle w:val="Tabletext"/>
            </w:pPr>
            <w:r>
              <w:rPr>
                <w:lang w:val="en-US"/>
              </w:rPr>
              <w:t>Family member</w:t>
            </w:r>
          </w:p>
        </w:tc>
        <w:tc>
          <w:tcPr>
            <w:tcW w:w="1559" w:type="dxa"/>
            <w:noWrap/>
          </w:tcPr>
          <w:p w14:paraId="11ED2441" w14:textId="77777777" w:rsidR="009D0006" w:rsidRPr="00A25867" w:rsidRDefault="009D0006" w:rsidP="00512995">
            <w:pPr>
              <w:pStyle w:val="Tabletext"/>
            </w:pPr>
            <w:r>
              <w:t>593</w:t>
            </w:r>
          </w:p>
        </w:tc>
        <w:tc>
          <w:tcPr>
            <w:tcW w:w="1559" w:type="dxa"/>
            <w:noWrap/>
          </w:tcPr>
          <w:p w14:paraId="5194861A" w14:textId="77777777" w:rsidR="009D0006" w:rsidRPr="00A25867" w:rsidRDefault="009D0006" w:rsidP="00512995">
            <w:pPr>
              <w:pStyle w:val="Tabletext"/>
            </w:pPr>
            <w:r>
              <w:t>79.6</w:t>
            </w:r>
          </w:p>
        </w:tc>
      </w:tr>
    </w:tbl>
    <w:p w14:paraId="19929C6C" w14:textId="77777777" w:rsidR="009D0006" w:rsidRDefault="009D0006" w:rsidP="00512995">
      <w:pPr>
        <w:pStyle w:val="Tableheading"/>
      </w:pPr>
      <w:r>
        <w:t>Table 105.3 Regional city or town</w:t>
      </w:r>
    </w:p>
    <w:tbl>
      <w:tblPr>
        <w:tblStyle w:val="RCTable"/>
        <w:tblW w:w="9864" w:type="dxa"/>
        <w:tblLayout w:type="fixed"/>
        <w:tblLook w:val="04A0" w:firstRow="1" w:lastRow="0" w:firstColumn="1" w:lastColumn="0" w:noHBand="0" w:noVBand="1"/>
      </w:tblPr>
      <w:tblGrid>
        <w:gridCol w:w="6746"/>
        <w:gridCol w:w="1559"/>
        <w:gridCol w:w="1559"/>
      </w:tblGrid>
      <w:tr w:rsidR="009D0006" w:rsidRPr="00364486" w14:paraId="42B16DF8" w14:textId="77777777" w:rsidTr="009A0312">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88797DA" w14:textId="77777777" w:rsidR="009D0006" w:rsidRPr="009F2612" w:rsidRDefault="009D0006" w:rsidP="00333515">
            <w:pPr>
              <w:pStyle w:val="Tableheader"/>
              <w:rPr>
                <w:bCs/>
              </w:rPr>
            </w:pPr>
            <w:r>
              <w:t>Source of violence</w:t>
            </w:r>
          </w:p>
        </w:tc>
        <w:tc>
          <w:tcPr>
            <w:tcW w:w="1559" w:type="dxa"/>
            <w:noWrap/>
            <w:hideMark/>
          </w:tcPr>
          <w:p w14:paraId="74D95E02" w14:textId="77777777" w:rsidR="009D0006" w:rsidRPr="00364486" w:rsidRDefault="009D0006" w:rsidP="00333515">
            <w:pPr>
              <w:pStyle w:val="Tableheader"/>
              <w:rPr>
                <w:bCs/>
              </w:rPr>
            </w:pPr>
            <w:r w:rsidRPr="00364486">
              <w:rPr>
                <w:bCs/>
              </w:rPr>
              <w:t>n</w:t>
            </w:r>
          </w:p>
        </w:tc>
        <w:tc>
          <w:tcPr>
            <w:tcW w:w="1559" w:type="dxa"/>
            <w:noWrap/>
            <w:hideMark/>
          </w:tcPr>
          <w:p w14:paraId="51F86E6F" w14:textId="77777777" w:rsidR="009D0006" w:rsidRPr="00364486" w:rsidRDefault="009D0006" w:rsidP="00333515">
            <w:pPr>
              <w:pStyle w:val="Tableheader"/>
              <w:rPr>
                <w:bCs/>
              </w:rPr>
            </w:pPr>
            <w:r w:rsidRPr="00364486">
              <w:rPr>
                <w:bCs/>
              </w:rPr>
              <w:t>%</w:t>
            </w:r>
          </w:p>
        </w:tc>
      </w:tr>
      <w:tr w:rsidR="009D0006" w:rsidRPr="00A25867" w14:paraId="4F324C53" w14:textId="77777777" w:rsidTr="009A0312">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BD48E2C" w14:textId="77777777" w:rsidR="009D0006" w:rsidRPr="00A25867" w:rsidRDefault="009D0006" w:rsidP="00333515">
            <w:pPr>
              <w:pStyle w:val="Tabletext"/>
            </w:pPr>
            <w:r>
              <w:rPr>
                <w:lang w:val="en-US"/>
              </w:rPr>
              <w:t>Intimate partner</w:t>
            </w:r>
          </w:p>
        </w:tc>
        <w:tc>
          <w:tcPr>
            <w:tcW w:w="1559" w:type="dxa"/>
            <w:noWrap/>
          </w:tcPr>
          <w:p w14:paraId="145F07FA" w14:textId="77777777" w:rsidR="009D0006" w:rsidRPr="00A25867" w:rsidRDefault="009D0006" w:rsidP="00333515">
            <w:pPr>
              <w:pStyle w:val="Tabletext"/>
            </w:pPr>
            <w:r>
              <w:t>392</w:t>
            </w:r>
          </w:p>
        </w:tc>
        <w:tc>
          <w:tcPr>
            <w:tcW w:w="1559" w:type="dxa"/>
            <w:noWrap/>
          </w:tcPr>
          <w:p w14:paraId="1CC1BB11" w14:textId="77777777" w:rsidR="009D0006" w:rsidRPr="00A25867" w:rsidRDefault="009D0006" w:rsidP="00333515">
            <w:pPr>
              <w:pStyle w:val="Tabletext"/>
            </w:pPr>
            <w:r>
              <w:t>68.2</w:t>
            </w:r>
          </w:p>
        </w:tc>
      </w:tr>
      <w:tr w:rsidR="009D0006" w:rsidRPr="00A25867" w14:paraId="0A3EBC2A" w14:textId="77777777" w:rsidTr="009A0312">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57A6DB20" w14:textId="77777777" w:rsidR="009D0006" w:rsidRPr="00A25867" w:rsidRDefault="009D0006" w:rsidP="00333515">
            <w:pPr>
              <w:pStyle w:val="Tabletext"/>
            </w:pPr>
            <w:r>
              <w:rPr>
                <w:lang w:val="en-US"/>
              </w:rPr>
              <w:t>Family member</w:t>
            </w:r>
          </w:p>
        </w:tc>
        <w:tc>
          <w:tcPr>
            <w:tcW w:w="1559" w:type="dxa"/>
            <w:noWrap/>
          </w:tcPr>
          <w:p w14:paraId="373145B3" w14:textId="77777777" w:rsidR="009D0006" w:rsidRPr="00A25867" w:rsidRDefault="009D0006" w:rsidP="00333515">
            <w:pPr>
              <w:pStyle w:val="Tabletext"/>
            </w:pPr>
            <w:r>
              <w:t>470</w:t>
            </w:r>
          </w:p>
        </w:tc>
        <w:tc>
          <w:tcPr>
            <w:tcW w:w="1559" w:type="dxa"/>
            <w:noWrap/>
          </w:tcPr>
          <w:p w14:paraId="784BAD27" w14:textId="77777777" w:rsidR="009D0006" w:rsidRPr="00A25867" w:rsidRDefault="009D0006" w:rsidP="00333515">
            <w:pPr>
              <w:pStyle w:val="Tabletext"/>
            </w:pPr>
            <w:r>
              <w:t>80.2</w:t>
            </w:r>
          </w:p>
        </w:tc>
      </w:tr>
    </w:tbl>
    <w:p w14:paraId="23C548A3" w14:textId="77777777" w:rsidR="009D0006" w:rsidRDefault="009D0006" w:rsidP="00333515">
      <w:pPr>
        <w:pStyle w:val="Tableheading"/>
      </w:pPr>
      <w:r>
        <w:t>Table 105.4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16067D9" w14:textId="77777777" w:rsidTr="0033351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62806397" w14:textId="77777777" w:rsidR="009D0006" w:rsidRPr="009F2612" w:rsidRDefault="009D0006" w:rsidP="00333515">
            <w:pPr>
              <w:pStyle w:val="Tableheader"/>
              <w:rPr>
                <w:bCs/>
              </w:rPr>
            </w:pPr>
            <w:r>
              <w:t>Source of violence</w:t>
            </w:r>
          </w:p>
        </w:tc>
        <w:tc>
          <w:tcPr>
            <w:tcW w:w="1559" w:type="dxa"/>
            <w:noWrap/>
            <w:hideMark/>
          </w:tcPr>
          <w:p w14:paraId="7279718B" w14:textId="77777777" w:rsidR="009D0006" w:rsidRPr="00364486" w:rsidRDefault="009D0006" w:rsidP="00333515">
            <w:pPr>
              <w:pStyle w:val="Tableheader"/>
              <w:rPr>
                <w:bCs/>
              </w:rPr>
            </w:pPr>
            <w:r w:rsidRPr="00364486">
              <w:rPr>
                <w:bCs/>
              </w:rPr>
              <w:t>n</w:t>
            </w:r>
          </w:p>
        </w:tc>
        <w:tc>
          <w:tcPr>
            <w:tcW w:w="1559" w:type="dxa"/>
            <w:noWrap/>
            <w:hideMark/>
          </w:tcPr>
          <w:p w14:paraId="3805CB98" w14:textId="77777777" w:rsidR="009D0006" w:rsidRPr="00364486" w:rsidRDefault="009D0006" w:rsidP="00333515">
            <w:pPr>
              <w:pStyle w:val="Tableheader"/>
              <w:rPr>
                <w:bCs/>
              </w:rPr>
            </w:pPr>
            <w:r w:rsidRPr="00364486">
              <w:rPr>
                <w:bCs/>
              </w:rPr>
              <w:t>%</w:t>
            </w:r>
          </w:p>
        </w:tc>
      </w:tr>
      <w:tr w:rsidR="009D0006" w:rsidRPr="00A25867" w14:paraId="79632230" w14:textId="77777777" w:rsidTr="0033351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7A7CE3AB" w14:textId="77777777" w:rsidR="009D0006" w:rsidRPr="00A25867" w:rsidRDefault="009D0006" w:rsidP="00333515">
            <w:pPr>
              <w:pStyle w:val="Tabletext"/>
            </w:pPr>
            <w:r>
              <w:rPr>
                <w:lang w:val="en-US"/>
              </w:rPr>
              <w:t>Intimate partner</w:t>
            </w:r>
          </w:p>
        </w:tc>
        <w:tc>
          <w:tcPr>
            <w:tcW w:w="1559" w:type="dxa"/>
            <w:noWrap/>
          </w:tcPr>
          <w:p w14:paraId="24371048" w14:textId="77777777" w:rsidR="009D0006" w:rsidRPr="00A25867" w:rsidRDefault="009D0006" w:rsidP="00333515">
            <w:pPr>
              <w:pStyle w:val="Tabletext"/>
            </w:pPr>
            <w:r>
              <w:t>137</w:t>
            </w:r>
          </w:p>
        </w:tc>
        <w:tc>
          <w:tcPr>
            <w:tcW w:w="1559" w:type="dxa"/>
            <w:noWrap/>
          </w:tcPr>
          <w:p w14:paraId="6F78690E" w14:textId="77777777" w:rsidR="009D0006" w:rsidRPr="00A25867" w:rsidRDefault="009D0006" w:rsidP="00333515">
            <w:pPr>
              <w:pStyle w:val="Tabletext"/>
            </w:pPr>
            <w:r>
              <w:t>81.6</w:t>
            </w:r>
          </w:p>
        </w:tc>
      </w:tr>
      <w:tr w:rsidR="009D0006" w:rsidRPr="00A25867" w14:paraId="3F57BD80" w14:textId="77777777" w:rsidTr="0033351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6B237F0D" w14:textId="77777777" w:rsidR="009D0006" w:rsidRPr="00A25867" w:rsidRDefault="009D0006" w:rsidP="00333515">
            <w:pPr>
              <w:pStyle w:val="Tabletext"/>
            </w:pPr>
            <w:r>
              <w:rPr>
                <w:lang w:val="en-US"/>
              </w:rPr>
              <w:t>Family member</w:t>
            </w:r>
          </w:p>
        </w:tc>
        <w:tc>
          <w:tcPr>
            <w:tcW w:w="1559" w:type="dxa"/>
            <w:noWrap/>
          </w:tcPr>
          <w:p w14:paraId="4BCDFA0D" w14:textId="77777777" w:rsidR="009D0006" w:rsidRPr="00A25867" w:rsidRDefault="009D0006" w:rsidP="00333515">
            <w:pPr>
              <w:pStyle w:val="Tabletext"/>
            </w:pPr>
            <w:r>
              <w:t>127</w:t>
            </w:r>
          </w:p>
        </w:tc>
        <w:tc>
          <w:tcPr>
            <w:tcW w:w="1559" w:type="dxa"/>
            <w:noWrap/>
          </w:tcPr>
          <w:p w14:paraId="37FEA6F4" w14:textId="77777777" w:rsidR="009D0006" w:rsidRPr="00A25867" w:rsidRDefault="009D0006" w:rsidP="00333515">
            <w:pPr>
              <w:pStyle w:val="Tabletext"/>
            </w:pPr>
            <w:r>
              <w:t>74.7</w:t>
            </w:r>
          </w:p>
        </w:tc>
      </w:tr>
    </w:tbl>
    <w:p w14:paraId="240DAFB1" w14:textId="77777777" w:rsidR="009D0006" w:rsidRPr="004E23A0" w:rsidRDefault="009D0006" w:rsidP="00AB4A74">
      <w:pPr>
        <w:spacing w:before="360"/>
      </w:pPr>
      <w:r w:rsidRPr="00FB4C24">
        <w:t>As displayed in Table</w:t>
      </w:r>
      <w:r>
        <w:t>s</w:t>
      </w:r>
      <w:r w:rsidRPr="00FB4C24">
        <w:t xml:space="preserve"> </w:t>
      </w:r>
      <w:r w:rsidRPr="004E23A0">
        <w:t>10</w:t>
      </w:r>
      <w:r>
        <w:t>5.1-105.4</w:t>
      </w:r>
      <w:r w:rsidRPr="004E23A0">
        <w:t xml:space="preserve">, most of the adults with disability across residential areas in </w:t>
      </w:r>
      <w:r w:rsidRPr="004E23A0">
        <w:rPr>
          <w:i/>
          <w:iCs/>
        </w:rPr>
        <w:t xml:space="preserve">Private Lives 3 </w:t>
      </w:r>
      <w:r w:rsidRPr="004E23A0">
        <w:t>had experienced some form of family violence in their lifetime. More than 80% of participants who were residing in a rural or remote location had experienced violence from an intimate partner (81.6%; n = 137), followed by participants in an inner suburban area (70.4%; n = 660), participants in an outer suburban area (68.2%; n = 487) and participants in a regional city or town (68.2%; n = 392).</w:t>
      </w:r>
      <w:bookmarkEnd w:id="864"/>
      <w:bookmarkEnd w:id="865"/>
    </w:p>
    <w:p w14:paraId="3C19EB1F" w14:textId="77777777" w:rsidR="009D0006" w:rsidRDefault="009D0006" w:rsidP="009D0006">
      <w:bookmarkStart w:id="866" w:name="_Toc88231242"/>
      <w:bookmarkStart w:id="867" w:name="_Toc94628158"/>
      <w:r w:rsidRPr="004E23A0">
        <w:t>Approximately 80% of participants who were residing in a regional city or town had experienced violence from a family member (80.2%; n = 470), followed by participants in an outer suburban area (79.6%; n = 593), participants in an inner suburban area (75.9%; n = 710) and participants in a rural or remote area (74.7%; n = 127).</w:t>
      </w:r>
      <w:bookmarkEnd w:id="866"/>
      <w:bookmarkEnd w:id="867"/>
    </w:p>
    <w:p w14:paraId="495DEB96" w14:textId="354961D9" w:rsidR="009D0006" w:rsidRPr="00C5739E" w:rsidRDefault="009D0006" w:rsidP="009401DC">
      <w:pPr>
        <w:pStyle w:val="Heading2Numbered"/>
      </w:pPr>
      <w:bookmarkStart w:id="868" w:name="_Toc115968647"/>
      <w:bookmarkStart w:id="869" w:name="_Toc119662473"/>
      <w:r w:rsidRPr="00C5739E">
        <w:t>Suicidal ideation and suicide attempts</w:t>
      </w:r>
      <w:bookmarkEnd w:id="868"/>
      <w:bookmarkEnd w:id="869"/>
    </w:p>
    <w:p w14:paraId="3323C5D7" w14:textId="5B3B81D2" w:rsidR="009D0006" w:rsidRDefault="009D0006" w:rsidP="009401DC">
      <w:pPr>
        <w:pStyle w:val="Heading3Numbered"/>
      </w:pPr>
      <w:bookmarkStart w:id="870" w:name="_Toc115968648"/>
      <w:r w:rsidRPr="002C3FF9">
        <w:t>Suicidal ideation</w:t>
      </w:r>
      <w:r>
        <w:t xml:space="preserve"> </w:t>
      </w:r>
      <w:r w:rsidRPr="002C3FF9">
        <w:t>– young people aged 14-</w:t>
      </w:r>
      <w:r>
        <w:t>21</w:t>
      </w:r>
      <w:r w:rsidRPr="002C3FF9">
        <w:t xml:space="preserve"> years</w:t>
      </w:r>
      <w:bookmarkEnd w:id="870"/>
    </w:p>
    <w:p w14:paraId="7E69959B" w14:textId="0DFF056D" w:rsidR="009D0006" w:rsidRDefault="009D0006" w:rsidP="00333515">
      <w:pPr>
        <w:pStyle w:val="Tableheading"/>
      </w:pPr>
      <w:bookmarkStart w:id="871" w:name="_Toc117062823"/>
      <w:bookmarkStart w:id="872" w:name="_Toc119651508"/>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106</w:t>
      </w:r>
      <w:r w:rsidRPr="004B71BD">
        <w:rPr>
          <w:bCs/>
        </w:rPr>
        <w:fldChar w:fldCharType="end"/>
      </w:r>
      <w:r>
        <w:rPr>
          <w:bCs/>
        </w:rPr>
        <w:t>.1-106.4</w:t>
      </w:r>
      <w:r>
        <w:t xml:space="preserve">: </w:t>
      </w:r>
      <w:r w:rsidRPr="00C5739E">
        <w:t xml:space="preserve">Suicidal ideation </w:t>
      </w:r>
      <w:r>
        <w:t xml:space="preserve">among young people with disability aged 14-21 years, grouped </w:t>
      </w:r>
      <w:r w:rsidRPr="00C5739E">
        <w:t xml:space="preserve">by </w:t>
      </w:r>
      <w:r>
        <w:t xml:space="preserve">area of residence </w:t>
      </w:r>
      <w:r w:rsidRPr="00C5739E">
        <w:t xml:space="preserve">(n = </w:t>
      </w:r>
      <w:r>
        <w:t>2337</w:t>
      </w:r>
      <w:r w:rsidRPr="00C5739E">
        <w:t>)</w:t>
      </w:r>
      <w:bookmarkEnd w:id="871"/>
      <w:bookmarkEnd w:id="872"/>
    </w:p>
    <w:p w14:paraId="69400F6D" w14:textId="77777777" w:rsidR="00650B64" w:rsidRDefault="00650B64">
      <w:pPr>
        <w:spacing w:before="0"/>
        <w:rPr>
          <w:rFonts w:eastAsiaTheme="majorEastAsia" w:cstheme="majorBidi"/>
          <w:b/>
          <w:color w:val="000000" w:themeColor="text1"/>
        </w:rPr>
      </w:pPr>
      <w:r>
        <w:br w:type="page"/>
      </w:r>
    </w:p>
    <w:p w14:paraId="339D469B" w14:textId="12C34BCF" w:rsidR="009D0006" w:rsidRPr="002C3FF9" w:rsidRDefault="009D0006" w:rsidP="00333515">
      <w:pPr>
        <w:pStyle w:val="Tableheading"/>
      </w:pPr>
      <w:r>
        <w:t>Table 106.</w:t>
      </w:r>
      <w:r>
        <w:lastRenderedPageBreak/>
        <w:t>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43301B2" w14:textId="77777777" w:rsidTr="0033351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33AA8658" w14:textId="77777777" w:rsidR="009D0006" w:rsidRPr="009F2612" w:rsidRDefault="009D0006" w:rsidP="00333515">
            <w:pPr>
              <w:pStyle w:val="Tableheader"/>
              <w:rPr>
                <w:bCs/>
              </w:rPr>
            </w:pPr>
            <w:r>
              <w:t>Suicidal ideation</w:t>
            </w:r>
          </w:p>
        </w:tc>
        <w:tc>
          <w:tcPr>
            <w:tcW w:w="1559" w:type="dxa"/>
            <w:noWrap/>
            <w:hideMark/>
          </w:tcPr>
          <w:p w14:paraId="2FF0B63C" w14:textId="77777777" w:rsidR="009D0006" w:rsidRPr="00A7267B" w:rsidRDefault="009D0006" w:rsidP="00333515">
            <w:pPr>
              <w:pStyle w:val="Tableheader"/>
              <w:rPr>
                <w:bCs/>
              </w:rPr>
            </w:pPr>
            <w:r w:rsidRPr="00A7267B">
              <w:rPr>
                <w:bCs/>
              </w:rPr>
              <w:t>n</w:t>
            </w:r>
          </w:p>
        </w:tc>
        <w:tc>
          <w:tcPr>
            <w:tcW w:w="1559" w:type="dxa"/>
            <w:noWrap/>
            <w:hideMark/>
          </w:tcPr>
          <w:p w14:paraId="408BF496" w14:textId="77777777" w:rsidR="009D0006" w:rsidRPr="00A7267B" w:rsidRDefault="009D0006" w:rsidP="00333515">
            <w:pPr>
              <w:pStyle w:val="Tableheader"/>
              <w:rPr>
                <w:bCs/>
              </w:rPr>
            </w:pPr>
            <w:r w:rsidRPr="00A7267B">
              <w:rPr>
                <w:bCs/>
              </w:rPr>
              <w:t>%</w:t>
            </w:r>
          </w:p>
        </w:tc>
      </w:tr>
      <w:tr w:rsidR="009D0006" w:rsidRPr="00A25867" w14:paraId="49846837" w14:textId="77777777" w:rsidTr="0033351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3D4F663" w14:textId="77777777" w:rsidR="009D0006" w:rsidRPr="00A25867" w:rsidRDefault="009D0006" w:rsidP="00333515">
            <w:pPr>
              <w:pStyle w:val="Tabletext"/>
            </w:pPr>
            <w:r>
              <w:rPr>
                <w:lang w:val="en-US"/>
              </w:rPr>
              <w:t>Past 12 months</w:t>
            </w:r>
          </w:p>
        </w:tc>
        <w:tc>
          <w:tcPr>
            <w:tcW w:w="1559" w:type="dxa"/>
            <w:noWrap/>
          </w:tcPr>
          <w:p w14:paraId="5BFCFCF2" w14:textId="77777777" w:rsidR="009D0006" w:rsidRPr="00A25867" w:rsidRDefault="009D0006" w:rsidP="00333515">
            <w:pPr>
              <w:pStyle w:val="Tabletext"/>
            </w:pPr>
            <w:r>
              <w:t>111</w:t>
            </w:r>
          </w:p>
        </w:tc>
        <w:tc>
          <w:tcPr>
            <w:tcW w:w="1559" w:type="dxa"/>
            <w:noWrap/>
          </w:tcPr>
          <w:p w14:paraId="1380A69C" w14:textId="77777777" w:rsidR="009D0006" w:rsidRPr="00A25867" w:rsidRDefault="009D0006" w:rsidP="00333515">
            <w:pPr>
              <w:pStyle w:val="Tabletext"/>
            </w:pPr>
            <w:r>
              <w:t>66.5</w:t>
            </w:r>
          </w:p>
        </w:tc>
      </w:tr>
      <w:tr w:rsidR="009D0006" w:rsidRPr="00A25867" w14:paraId="698F9E59" w14:textId="77777777" w:rsidTr="0033351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79EF300" w14:textId="77777777" w:rsidR="009D0006" w:rsidRPr="00A25867" w:rsidRDefault="009D0006" w:rsidP="00333515">
            <w:pPr>
              <w:pStyle w:val="Tabletext"/>
            </w:pPr>
            <w:r>
              <w:rPr>
                <w:lang w:val="en-US"/>
              </w:rPr>
              <w:t>Ever</w:t>
            </w:r>
          </w:p>
        </w:tc>
        <w:tc>
          <w:tcPr>
            <w:tcW w:w="1559" w:type="dxa"/>
            <w:noWrap/>
          </w:tcPr>
          <w:p w14:paraId="27DD2BDB" w14:textId="77777777" w:rsidR="009D0006" w:rsidRPr="00A25867" w:rsidRDefault="009D0006" w:rsidP="00333515">
            <w:pPr>
              <w:pStyle w:val="Tabletext"/>
            </w:pPr>
            <w:r>
              <w:t>145</w:t>
            </w:r>
          </w:p>
        </w:tc>
        <w:tc>
          <w:tcPr>
            <w:tcW w:w="1559" w:type="dxa"/>
            <w:noWrap/>
          </w:tcPr>
          <w:p w14:paraId="6AE836EA" w14:textId="77777777" w:rsidR="009D0006" w:rsidRPr="00A25867" w:rsidRDefault="009D0006" w:rsidP="00333515">
            <w:pPr>
              <w:pStyle w:val="Tabletext"/>
            </w:pPr>
            <w:r>
              <w:t>86.8</w:t>
            </w:r>
          </w:p>
        </w:tc>
      </w:tr>
    </w:tbl>
    <w:p w14:paraId="45BAB98A" w14:textId="77777777" w:rsidR="009D0006" w:rsidRDefault="009D0006" w:rsidP="00333515">
      <w:pPr>
        <w:pStyle w:val="Tableheading"/>
        <w:rPr>
          <w:lang w:val="en-GB"/>
        </w:rPr>
      </w:pPr>
      <w:r>
        <w:rPr>
          <w:lang w:val="en-GB"/>
        </w:rPr>
        <w:t>Table 106.2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421B2C9" w14:textId="77777777" w:rsidTr="0033351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276CAA9E" w14:textId="77777777" w:rsidR="009D0006" w:rsidRPr="009F2612" w:rsidRDefault="009D0006" w:rsidP="00333515">
            <w:pPr>
              <w:pStyle w:val="Tableheader"/>
              <w:rPr>
                <w:bCs/>
              </w:rPr>
            </w:pPr>
            <w:r>
              <w:t>Suicidal ideation</w:t>
            </w:r>
          </w:p>
        </w:tc>
        <w:tc>
          <w:tcPr>
            <w:tcW w:w="1559" w:type="dxa"/>
            <w:noWrap/>
            <w:hideMark/>
          </w:tcPr>
          <w:p w14:paraId="0EDA2DD1" w14:textId="77777777" w:rsidR="009D0006" w:rsidRPr="00A7267B" w:rsidRDefault="009D0006" w:rsidP="00333515">
            <w:pPr>
              <w:pStyle w:val="Tableheader"/>
              <w:rPr>
                <w:bCs/>
              </w:rPr>
            </w:pPr>
            <w:r w:rsidRPr="00A7267B">
              <w:rPr>
                <w:bCs/>
              </w:rPr>
              <w:t>n</w:t>
            </w:r>
          </w:p>
        </w:tc>
        <w:tc>
          <w:tcPr>
            <w:tcW w:w="1559" w:type="dxa"/>
            <w:noWrap/>
            <w:hideMark/>
          </w:tcPr>
          <w:p w14:paraId="631C6A2A" w14:textId="77777777" w:rsidR="009D0006" w:rsidRPr="00A7267B" w:rsidRDefault="009D0006" w:rsidP="00333515">
            <w:pPr>
              <w:pStyle w:val="Tableheader"/>
              <w:rPr>
                <w:bCs/>
              </w:rPr>
            </w:pPr>
            <w:r w:rsidRPr="00A7267B">
              <w:rPr>
                <w:bCs/>
              </w:rPr>
              <w:t>%</w:t>
            </w:r>
          </w:p>
        </w:tc>
      </w:tr>
      <w:tr w:rsidR="009D0006" w:rsidRPr="00A25867" w14:paraId="2BAC06AC" w14:textId="77777777" w:rsidTr="0033351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BD4A795" w14:textId="77777777" w:rsidR="009D0006" w:rsidRPr="00A25867" w:rsidRDefault="009D0006" w:rsidP="00333515">
            <w:pPr>
              <w:pStyle w:val="Tabletext"/>
            </w:pPr>
            <w:r>
              <w:rPr>
                <w:lang w:val="en-US"/>
              </w:rPr>
              <w:t>Past 12 months</w:t>
            </w:r>
          </w:p>
        </w:tc>
        <w:tc>
          <w:tcPr>
            <w:tcW w:w="1559" w:type="dxa"/>
            <w:noWrap/>
          </w:tcPr>
          <w:p w14:paraId="182DBB73" w14:textId="77777777" w:rsidR="009D0006" w:rsidRPr="00A25867" w:rsidRDefault="009D0006" w:rsidP="00333515">
            <w:pPr>
              <w:pStyle w:val="Tabletext"/>
            </w:pPr>
            <w:r>
              <w:t>982</w:t>
            </w:r>
          </w:p>
        </w:tc>
        <w:tc>
          <w:tcPr>
            <w:tcW w:w="1559" w:type="dxa"/>
            <w:noWrap/>
          </w:tcPr>
          <w:p w14:paraId="2D7CE6B9" w14:textId="77777777" w:rsidR="009D0006" w:rsidRPr="00A25867" w:rsidRDefault="009D0006" w:rsidP="00333515">
            <w:pPr>
              <w:pStyle w:val="Tabletext"/>
            </w:pPr>
            <w:r>
              <w:t>69.3</w:t>
            </w:r>
          </w:p>
        </w:tc>
      </w:tr>
      <w:tr w:rsidR="009D0006" w:rsidRPr="00A25867" w14:paraId="337F0726" w14:textId="77777777" w:rsidTr="0033351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0188C88F" w14:textId="77777777" w:rsidR="009D0006" w:rsidRPr="00A25867" w:rsidRDefault="009D0006" w:rsidP="00333515">
            <w:pPr>
              <w:pStyle w:val="Tabletext"/>
            </w:pPr>
            <w:r>
              <w:rPr>
                <w:lang w:val="en-US"/>
              </w:rPr>
              <w:t>Ever</w:t>
            </w:r>
          </w:p>
        </w:tc>
        <w:tc>
          <w:tcPr>
            <w:tcW w:w="1559" w:type="dxa"/>
            <w:noWrap/>
          </w:tcPr>
          <w:p w14:paraId="7782C1C7" w14:textId="77777777" w:rsidR="009D0006" w:rsidRPr="00A25867" w:rsidRDefault="009D0006" w:rsidP="00333515">
            <w:pPr>
              <w:pStyle w:val="Tabletext"/>
            </w:pPr>
            <w:r>
              <w:t>1266</w:t>
            </w:r>
          </w:p>
        </w:tc>
        <w:tc>
          <w:tcPr>
            <w:tcW w:w="1559" w:type="dxa"/>
            <w:noWrap/>
          </w:tcPr>
          <w:p w14:paraId="6E50F976" w14:textId="77777777" w:rsidR="009D0006" w:rsidRPr="00A25867" w:rsidRDefault="009D0006" w:rsidP="00333515">
            <w:pPr>
              <w:pStyle w:val="Tabletext"/>
            </w:pPr>
            <w:r>
              <w:t>89.3</w:t>
            </w:r>
          </w:p>
        </w:tc>
      </w:tr>
    </w:tbl>
    <w:p w14:paraId="2B420A35" w14:textId="77777777" w:rsidR="009D0006" w:rsidRDefault="009D0006" w:rsidP="00333515">
      <w:pPr>
        <w:pStyle w:val="Tableheading"/>
        <w:rPr>
          <w:lang w:val="en-GB"/>
        </w:rPr>
      </w:pPr>
      <w:r>
        <w:rPr>
          <w:lang w:val="en-GB"/>
        </w:rPr>
        <w:t>Table 106.3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B398726" w14:textId="77777777" w:rsidTr="0033351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1F8E5F15" w14:textId="77777777" w:rsidR="009D0006" w:rsidRPr="009F2612" w:rsidRDefault="009D0006" w:rsidP="00333515">
            <w:pPr>
              <w:pStyle w:val="Tableheader"/>
              <w:rPr>
                <w:bCs/>
              </w:rPr>
            </w:pPr>
            <w:r>
              <w:t>Suicidal ideation</w:t>
            </w:r>
          </w:p>
        </w:tc>
        <w:tc>
          <w:tcPr>
            <w:tcW w:w="1559" w:type="dxa"/>
            <w:noWrap/>
            <w:hideMark/>
          </w:tcPr>
          <w:p w14:paraId="33E27B93" w14:textId="77777777" w:rsidR="009D0006" w:rsidRPr="00A7267B" w:rsidRDefault="009D0006" w:rsidP="00333515">
            <w:pPr>
              <w:pStyle w:val="Tableheader"/>
              <w:rPr>
                <w:bCs/>
              </w:rPr>
            </w:pPr>
            <w:r w:rsidRPr="00A7267B">
              <w:rPr>
                <w:bCs/>
              </w:rPr>
              <w:t>n</w:t>
            </w:r>
          </w:p>
        </w:tc>
        <w:tc>
          <w:tcPr>
            <w:tcW w:w="1559" w:type="dxa"/>
            <w:noWrap/>
            <w:hideMark/>
          </w:tcPr>
          <w:p w14:paraId="12AB932B" w14:textId="77777777" w:rsidR="009D0006" w:rsidRPr="00A7267B" w:rsidRDefault="009D0006" w:rsidP="00333515">
            <w:pPr>
              <w:pStyle w:val="Tableheader"/>
              <w:rPr>
                <w:bCs/>
              </w:rPr>
            </w:pPr>
            <w:r w:rsidRPr="00A7267B">
              <w:rPr>
                <w:bCs/>
              </w:rPr>
              <w:t>%</w:t>
            </w:r>
          </w:p>
        </w:tc>
      </w:tr>
      <w:tr w:rsidR="009D0006" w:rsidRPr="00A25867" w14:paraId="73D637C0" w14:textId="77777777" w:rsidTr="0033351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4902B54A" w14:textId="77777777" w:rsidR="009D0006" w:rsidRPr="00A25867" w:rsidRDefault="009D0006" w:rsidP="00333515">
            <w:pPr>
              <w:pStyle w:val="Tabletext"/>
            </w:pPr>
            <w:r>
              <w:rPr>
                <w:lang w:val="en-US"/>
              </w:rPr>
              <w:t>Past 12 months</w:t>
            </w:r>
          </w:p>
        </w:tc>
        <w:tc>
          <w:tcPr>
            <w:tcW w:w="1559" w:type="dxa"/>
            <w:noWrap/>
          </w:tcPr>
          <w:p w14:paraId="07F1B4B9" w14:textId="77777777" w:rsidR="009D0006" w:rsidRPr="00A25867" w:rsidRDefault="009D0006" w:rsidP="00333515">
            <w:pPr>
              <w:pStyle w:val="Tabletext"/>
            </w:pPr>
            <w:r>
              <w:t>438</w:t>
            </w:r>
          </w:p>
        </w:tc>
        <w:tc>
          <w:tcPr>
            <w:tcW w:w="1559" w:type="dxa"/>
            <w:noWrap/>
          </w:tcPr>
          <w:p w14:paraId="5EAED2B4" w14:textId="77777777" w:rsidR="009D0006" w:rsidRPr="00A25867" w:rsidRDefault="009D0006" w:rsidP="00333515">
            <w:pPr>
              <w:pStyle w:val="Tabletext"/>
            </w:pPr>
            <w:r>
              <w:t>71.0</w:t>
            </w:r>
          </w:p>
        </w:tc>
      </w:tr>
      <w:tr w:rsidR="009D0006" w:rsidRPr="00A25867" w14:paraId="4F31995C" w14:textId="77777777" w:rsidTr="0033351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C25C452" w14:textId="77777777" w:rsidR="009D0006" w:rsidRPr="00A25867" w:rsidRDefault="009D0006" w:rsidP="00333515">
            <w:pPr>
              <w:pStyle w:val="Tabletext"/>
            </w:pPr>
            <w:r>
              <w:rPr>
                <w:lang w:val="en-US"/>
              </w:rPr>
              <w:t>Ever</w:t>
            </w:r>
          </w:p>
        </w:tc>
        <w:tc>
          <w:tcPr>
            <w:tcW w:w="1559" w:type="dxa"/>
            <w:noWrap/>
          </w:tcPr>
          <w:p w14:paraId="4FE97C7E" w14:textId="77777777" w:rsidR="009D0006" w:rsidRPr="00A25867" w:rsidRDefault="009D0006" w:rsidP="00333515">
            <w:pPr>
              <w:pStyle w:val="Tabletext"/>
            </w:pPr>
            <w:r>
              <w:t>553</w:t>
            </w:r>
          </w:p>
        </w:tc>
        <w:tc>
          <w:tcPr>
            <w:tcW w:w="1559" w:type="dxa"/>
            <w:noWrap/>
          </w:tcPr>
          <w:p w14:paraId="4B59CD9B" w14:textId="77777777" w:rsidR="009D0006" w:rsidRPr="00A25867" w:rsidRDefault="009D0006" w:rsidP="00333515">
            <w:pPr>
              <w:pStyle w:val="Tabletext"/>
            </w:pPr>
            <w:r>
              <w:t>89.6</w:t>
            </w:r>
          </w:p>
        </w:tc>
      </w:tr>
    </w:tbl>
    <w:p w14:paraId="3CD54766" w14:textId="77777777" w:rsidR="009D0006" w:rsidRDefault="009D0006" w:rsidP="00333515">
      <w:pPr>
        <w:pStyle w:val="Tableheading"/>
        <w:rPr>
          <w:lang w:val="en-GB"/>
        </w:rPr>
      </w:pPr>
      <w:r>
        <w:rPr>
          <w:lang w:val="en-GB"/>
        </w:rPr>
        <w:t>Table 106.4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40D422EF" w14:textId="77777777" w:rsidTr="00333515">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5D20D9E3" w14:textId="77777777" w:rsidR="009D0006" w:rsidRPr="009F2612" w:rsidRDefault="009D0006" w:rsidP="00333515">
            <w:pPr>
              <w:pStyle w:val="Tableheader"/>
              <w:rPr>
                <w:bCs/>
              </w:rPr>
            </w:pPr>
            <w:r>
              <w:t>Suicidal ideation</w:t>
            </w:r>
          </w:p>
        </w:tc>
        <w:tc>
          <w:tcPr>
            <w:tcW w:w="1559" w:type="dxa"/>
            <w:noWrap/>
            <w:hideMark/>
          </w:tcPr>
          <w:p w14:paraId="5053BE65" w14:textId="77777777" w:rsidR="009D0006" w:rsidRPr="00A7267B" w:rsidRDefault="009D0006" w:rsidP="00333515">
            <w:pPr>
              <w:pStyle w:val="Tableheader"/>
              <w:rPr>
                <w:bCs/>
              </w:rPr>
            </w:pPr>
            <w:r w:rsidRPr="00A7267B">
              <w:rPr>
                <w:bCs/>
              </w:rPr>
              <w:t>n</w:t>
            </w:r>
          </w:p>
        </w:tc>
        <w:tc>
          <w:tcPr>
            <w:tcW w:w="1559" w:type="dxa"/>
            <w:noWrap/>
            <w:hideMark/>
          </w:tcPr>
          <w:p w14:paraId="37BBF5DE" w14:textId="77777777" w:rsidR="009D0006" w:rsidRPr="00A7267B" w:rsidRDefault="009D0006" w:rsidP="00333515">
            <w:pPr>
              <w:pStyle w:val="Tableheader"/>
              <w:rPr>
                <w:bCs/>
              </w:rPr>
            </w:pPr>
            <w:r w:rsidRPr="00A7267B">
              <w:rPr>
                <w:bCs/>
              </w:rPr>
              <w:t>%</w:t>
            </w:r>
          </w:p>
        </w:tc>
      </w:tr>
      <w:tr w:rsidR="009D0006" w:rsidRPr="00A25867" w14:paraId="7D3401B8" w14:textId="77777777" w:rsidTr="00333515">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254D0A23" w14:textId="77777777" w:rsidR="009D0006" w:rsidRPr="00A25867" w:rsidRDefault="009D0006" w:rsidP="00333515">
            <w:pPr>
              <w:pStyle w:val="Tabletext"/>
            </w:pPr>
            <w:r>
              <w:rPr>
                <w:lang w:val="en-US"/>
              </w:rPr>
              <w:t>Past 12 months</w:t>
            </w:r>
          </w:p>
        </w:tc>
        <w:tc>
          <w:tcPr>
            <w:tcW w:w="1559" w:type="dxa"/>
            <w:noWrap/>
          </w:tcPr>
          <w:p w14:paraId="178A95FE" w14:textId="77777777" w:rsidR="009D0006" w:rsidRPr="00A25867" w:rsidRDefault="009D0006" w:rsidP="00333515">
            <w:pPr>
              <w:pStyle w:val="Tabletext"/>
            </w:pPr>
            <w:r>
              <w:t>221</w:t>
            </w:r>
          </w:p>
        </w:tc>
        <w:tc>
          <w:tcPr>
            <w:tcW w:w="1559" w:type="dxa"/>
            <w:noWrap/>
          </w:tcPr>
          <w:p w14:paraId="3AA8EA5F" w14:textId="77777777" w:rsidR="009D0006" w:rsidRPr="00A25867" w:rsidRDefault="009D0006" w:rsidP="00333515">
            <w:pPr>
              <w:pStyle w:val="Tabletext"/>
            </w:pPr>
            <w:r>
              <w:t>77.5</w:t>
            </w:r>
          </w:p>
        </w:tc>
      </w:tr>
      <w:tr w:rsidR="009D0006" w:rsidRPr="00A25867" w14:paraId="242A54E4" w14:textId="77777777" w:rsidTr="00333515">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4F32ED6C" w14:textId="77777777" w:rsidR="009D0006" w:rsidRPr="00A25867" w:rsidRDefault="009D0006" w:rsidP="00333515">
            <w:pPr>
              <w:pStyle w:val="Tabletext"/>
            </w:pPr>
            <w:r>
              <w:rPr>
                <w:lang w:val="en-US"/>
              </w:rPr>
              <w:t>Ever</w:t>
            </w:r>
          </w:p>
        </w:tc>
        <w:tc>
          <w:tcPr>
            <w:tcW w:w="1559" w:type="dxa"/>
            <w:noWrap/>
          </w:tcPr>
          <w:p w14:paraId="6FCB328E" w14:textId="77777777" w:rsidR="009D0006" w:rsidRPr="00A25867" w:rsidRDefault="009D0006" w:rsidP="00333515">
            <w:pPr>
              <w:pStyle w:val="Tabletext"/>
            </w:pPr>
            <w:r>
              <w:t>257</w:t>
            </w:r>
          </w:p>
        </w:tc>
        <w:tc>
          <w:tcPr>
            <w:tcW w:w="1559" w:type="dxa"/>
            <w:noWrap/>
          </w:tcPr>
          <w:p w14:paraId="615F681F" w14:textId="77777777" w:rsidR="009D0006" w:rsidRPr="00A25867" w:rsidRDefault="009D0006" w:rsidP="00333515">
            <w:pPr>
              <w:pStyle w:val="Tabletext"/>
            </w:pPr>
            <w:r>
              <w:t>90.2</w:t>
            </w:r>
          </w:p>
        </w:tc>
      </w:tr>
    </w:tbl>
    <w:p w14:paraId="07076A53" w14:textId="77777777" w:rsidR="009D0006" w:rsidRDefault="009D0006" w:rsidP="00AB4A74">
      <w:pPr>
        <w:spacing w:before="360"/>
      </w:pPr>
      <w:r w:rsidRPr="003271DA">
        <w:t>As displayed in Table</w:t>
      </w:r>
      <w:r>
        <w:t>s</w:t>
      </w:r>
      <w:r w:rsidRPr="003271DA">
        <w:t xml:space="preserve"> </w:t>
      </w:r>
      <w:r>
        <w:t xml:space="preserve">106.1-106.4, more than three-quarters of participants with disability in </w:t>
      </w:r>
      <w:r>
        <w:rPr>
          <w:i/>
          <w:iCs/>
        </w:rPr>
        <w:t>Writing Themselves In 4</w:t>
      </w:r>
      <w:r>
        <w:t xml:space="preserve"> who were residing in a rural or remote area had experienced suicidal ideation in the past 12 months (77.5%; n = 221), followed by participants in a regional city or town (71.0%; n = 438), participants in an outer suburban area (69.3%; n = 982) and participants in an inner suburban area (66.5%; n = 111).</w:t>
      </w:r>
    </w:p>
    <w:p w14:paraId="4286AE2C" w14:textId="77777777" w:rsidR="009D0006" w:rsidRPr="003271DA" w:rsidRDefault="009D0006" w:rsidP="009D0006">
      <w:r>
        <w:t xml:space="preserve">The majority of participants across residential areas in </w:t>
      </w:r>
      <w:r>
        <w:rPr>
          <w:i/>
          <w:iCs/>
        </w:rPr>
        <w:t xml:space="preserve">Writing Themselves In 4 </w:t>
      </w:r>
      <w:r>
        <w:t>had experienced suicidal ideation ever in their lifetime. Approximately 90% of participants who were residing in a rural or remote area had experienced suicidal ideation ever in their lifetime (90.2%; n = 257), followed by participants in a regional city or town (89.6%; n = 553), participants in an outer suburban area (89.3%; n = 1266) and participants in an inner suburban area (86.8%; n = 145).</w:t>
      </w:r>
    </w:p>
    <w:p w14:paraId="43D4946B" w14:textId="14F033C7" w:rsidR="009D0006" w:rsidRPr="00C5739E" w:rsidRDefault="009D0006" w:rsidP="009401DC">
      <w:pPr>
        <w:pStyle w:val="Heading3Numbered"/>
      </w:pPr>
      <w:bookmarkStart w:id="873" w:name="_Toc115968649"/>
      <w:r w:rsidRPr="00C5739E">
        <w:t>Suicidal i</w:t>
      </w:r>
      <w:r w:rsidRPr="00C5739E">
        <w:lastRenderedPageBreak/>
        <w:t>deation</w:t>
      </w:r>
      <w:r>
        <w:t xml:space="preserve"> </w:t>
      </w:r>
      <w:r w:rsidRPr="00C5739E">
        <w:t>– adults aged 18+ years</w:t>
      </w:r>
      <w:bookmarkEnd w:id="873"/>
    </w:p>
    <w:p w14:paraId="4D4E9CD2" w14:textId="6704E020" w:rsidR="009D0006" w:rsidRDefault="009D0006" w:rsidP="00333515">
      <w:pPr>
        <w:pStyle w:val="Tableheading"/>
      </w:pPr>
      <w:bookmarkStart w:id="874" w:name="_Toc117062824"/>
      <w:bookmarkStart w:id="875" w:name="_Toc119651509"/>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107</w:t>
      </w:r>
      <w:r w:rsidRPr="004B71BD">
        <w:rPr>
          <w:bCs/>
        </w:rPr>
        <w:fldChar w:fldCharType="end"/>
      </w:r>
      <w:r>
        <w:rPr>
          <w:bCs/>
        </w:rPr>
        <w:t>.1-107.4</w:t>
      </w:r>
      <w:r>
        <w:t xml:space="preserve">: </w:t>
      </w:r>
      <w:r w:rsidRPr="00C5739E">
        <w:t xml:space="preserve">Suicidal ideation </w:t>
      </w:r>
      <w:r>
        <w:t xml:space="preserve">among adults with disability aged 18+ years, grouped </w:t>
      </w:r>
      <w:r w:rsidRPr="00C5739E">
        <w:t xml:space="preserve">by </w:t>
      </w:r>
      <w:r>
        <w:t>area of residence</w:t>
      </w:r>
      <w:r w:rsidRPr="00C5739E">
        <w:t xml:space="preserve"> (n = </w:t>
      </w:r>
      <w:r>
        <w:t>2596</w:t>
      </w:r>
      <w:r w:rsidRPr="00C5739E">
        <w:t>)</w:t>
      </w:r>
      <w:bookmarkEnd w:id="874"/>
      <w:bookmarkEnd w:id="875"/>
    </w:p>
    <w:p w14:paraId="5BE2F6DC" w14:textId="77777777" w:rsidR="009D0006" w:rsidRPr="00C5739E" w:rsidRDefault="009D0006" w:rsidP="00333515">
      <w:pPr>
        <w:pStyle w:val="Tableheading"/>
      </w:pPr>
      <w:r>
        <w:t>Table 107.1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629373D8" w14:textId="77777777" w:rsidTr="00333515">
        <w:trPr>
          <w:cnfStyle w:val="100000000000" w:firstRow="1" w:lastRow="0" w:firstColumn="0" w:lastColumn="0" w:oddVBand="0" w:evenVBand="0" w:oddHBand="0" w:evenHBand="0" w:firstRowFirstColumn="0" w:firstRowLastColumn="0" w:lastRowFirstColumn="0" w:lastRowLastColumn="0"/>
          <w:trHeight w:val="305"/>
        </w:trPr>
        <w:tc>
          <w:tcPr>
            <w:tcW w:w="6746" w:type="dxa"/>
            <w:noWrap/>
            <w:hideMark/>
          </w:tcPr>
          <w:p w14:paraId="2D253635" w14:textId="77777777" w:rsidR="009D0006" w:rsidRPr="009F2612" w:rsidRDefault="009D0006" w:rsidP="00333515">
            <w:pPr>
              <w:pStyle w:val="Tableheader"/>
              <w:rPr>
                <w:bCs/>
              </w:rPr>
            </w:pPr>
            <w:r>
              <w:t>Suicidal ideation</w:t>
            </w:r>
          </w:p>
        </w:tc>
        <w:tc>
          <w:tcPr>
            <w:tcW w:w="1559" w:type="dxa"/>
            <w:noWrap/>
            <w:hideMark/>
          </w:tcPr>
          <w:p w14:paraId="079D5265" w14:textId="77777777" w:rsidR="009D0006" w:rsidRPr="00C85502" w:rsidRDefault="009D0006" w:rsidP="00333515">
            <w:pPr>
              <w:pStyle w:val="Tableheader"/>
              <w:rPr>
                <w:bCs/>
              </w:rPr>
            </w:pPr>
            <w:r w:rsidRPr="00C85502">
              <w:rPr>
                <w:bCs/>
              </w:rPr>
              <w:t>n</w:t>
            </w:r>
          </w:p>
        </w:tc>
        <w:tc>
          <w:tcPr>
            <w:tcW w:w="1559" w:type="dxa"/>
            <w:noWrap/>
            <w:hideMark/>
          </w:tcPr>
          <w:p w14:paraId="396E9694" w14:textId="77777777" w:rsidR="009D0006" w:rsidRPr="00C85502" w:rsidRDefault="009D0006" w:rsidP="00333515">
            <w:pPr>
              <w:pStyle w:val="Tableheader"/>
              <w:rPr>
                <w:bCs/>
              </w:rPr>
            </w:pPr>
            <w:r w:rsidRPr="00C85502">
              <w:rPr>
                <w:bCs/>
              </w:rPr>
              <w:t>%</w:t>
            </w:r>
          </w:p>
        </w:tc>
      </w:tr>
      <w:tr w:rsidR="009D0006" w:rsidRPr="00A25867" w14:paraId="5B7E5CCA" w14:textId="77777777" w:rsidTr="00333515">
        <w:trPr>
          <w:cnfStyle w:val="000000100000" w:firstRow="0" w:lastRow="0" w:firstColumn="0" w:lastColumn="0" w:oddVBand="0" w:evenVBand="0" w:oddHBand="1" w:evenHBand="0" w:firstRowFirstColumn="0" w:firstRowLastColumn="0" w:lastRowFirstColumn="0" w:lastRowLastColumn="0"/>
          <w:trHeight w:val="305"/>
        </w:trPr>
        <w:tc>
          <w:tcPr>
            <w:tcW w:w="6746" w:type="dxa"/>
            <w:noWrap/>
            <w:hideMark/>
          </w:tcPr>
          <w:p w14:paraId="4DD01BA1" w14:textId="77777777" w:rsidR="009D0006" w:rsidRPr="00A25867" w:rsidRDefault="009D0006" w:rsidP="00333515">
            <w:pPr>
              <w:pStyle w:val="Tabletext"/>
            </w:pPr>
            <w:r>
              <w:rPr>
                <w:lang w:val="en-US"/>
              </w:rPr>
              <w:t>Past 12 months</w:t>
            </w:r>
          </w:p>
        </w:tc>
        <w:tc>
          <w:tcPr>
            <w:tcW w:w="1559" w:type="dxa"/>
            <w:noWrap/>
          </w:tcPr>
          <w:p w14:paraId="43C0DA7C" w14:textId="77777777" w:rsidR="009D0006" w:rsidRPr="00A25867" w:rsidRDefault="009D0006" w:rsidP="00333515">
            <w:pPr>
              <w:pStyle w:val="Tabletext"/>
            </w:pPr>
            <w:r>
              <w:t>596</w:t>
            </w:r>
          </w:p>
        </w:tc>
        <w:tc>
          <w:tcPr>
            <w:tcW w:w="1559" w:type="dxa"/>
            <w:noWrap/>
          </w:tcPr>
          <w:p w14:paraId="588AAF92" w14:textId="77777777" w:rsidR="009D0006" w:rsidRPr="00A25867" w:rsidRDefault="009D0006" w:rsidP="00333515">
            <w:pPr>
              <w:pStyle w:val="Tabletext"/>
            </w:pPr>
            <w:r>
              <w:t>59.0</w:t>
            </w:r>
          </w:p>
        </w:tc>
      </w:tr>
      <w:tr w:rsidR="009D0006" w:rsidRPr="00A25867" w14:paraId="0F6ED4D3" w14:textId="77777777" w:rsidTr="00333515">
        <w:trPr>
          <w:cnfStyle w:val="000000010000" w:firstRow="0" w:lastRow="0" w:firstColumn="0" w:lastColumn="0" w:oddVBand="0" w:evenVBand="0" w:oddHBand="0" w:evenHBand="1" w:firstRowFirstColumn="0" w:firstRowLastColumn="0" w:lastRowFirstColumn="0" w:lastRowLastColumn="0"/>
          <w:trHeight w:val="305"/>
        </w:trPr>
        <w:tc>
          <w:tcPr>
            <w:tcW w:w="6746" w:type="dxa"/>
            <w:noWrap/>
            <w:hideMark/>
          </w:tcPr>
          <w:p w14:paraId="19BA88AD" w14:textId="77777777" w:rsidR="009D0006" w:rsidRPr="00A25867" w:rsidRDefault="009D0006" w:rsidP="00333515">
            <w:pPr>
              <w:pStyle w:val="Tabletext"/>
            </w:pPr>
            <w:r>
              <w:rPr>
                <w:lang w:val="en-US"/>
              </w:rPr>
              <w:t>Ever</w:t>
            </w:r>
          </w:p>
        </w:tc>
        <w:tc>
          <w:tcPr>
            <w:tcW w:w="1559" w:type="dxa"/>
            <w:noWrap/>
          </w:tcPr>
          <w:p w14:paraId="241A1FC7" w14:textId="77777777" w:rsidR="009D0006" w:rsidRPr="00A25867" w:rsidRDefault="009D0006" w:rsidP="00333515">
            <w:pPr>
              <w:pStyle w:val="Tabletext"/>
            </w:pPr>
            <w:r>
              <w:t>887</w:t>
            </w:r>
          </w:p>
        </w:tc>
        <w:tc>
          <w:tcPr>
            <w:tcW w:w="1559" w:type="dxa"/>
            <w:noWrap/>
          </w:tcPr>
          <w:p w14:paraId="1941E159" w14:textId="77777777" w:rsidR="009D0006" w:rsidRPr="00A25867" w:rsidRDefault="009D0006" w:rsidP="00333515">
            <w:pPr>
              <w:pStyle w:val="Tabletext"/>
            </w:pPr>
            <w:r>
              <w:t>87.8</w:t>
            </w:r>
          </w:p>
        </w:tc>
      </w:tr>
    </w:tbl>
    <w:p w14:paraId="29E74CB0" w14:textId="77777777" w:rsidR="009D0006" w:rsidRDefault="009D0006" w:rsidP="00333515">
      <w:pPr>
        <w:pStyle w:val="Tableheading"/>
        <w:rPr>
          <w:lang w:bidi="en-US"/>
        </w:rPr>
      </w:pPr>
      <w:r>
        <w:rPr>
          <w:lang w:bidi="en-US"/>
        </w:rPr>
        <w:t>Table 107.2 Outer suburban</w:t>
      </w:r>
    </w:p>
    <w:tbl>
      <w:tblPr>
        <w:tblStyle w:val="RCTable"/>
        <w:tblW w:w="9864" w:type="dxa"/>
        <w:tblLayout w:type="fixed"/>
        <w:tblLook w:val="04A0" w:firstRow="1" w:lastRow="0" w:firstColumn="1" w:lastColumn="0" w:noHBand="0" w:noVBand="1"/>
      </w:tblPr>
      <w:tblGrid>
        <w:gridCol w:w="6746"/>
        <w:gridCol w:w="1559"/>
        <w:gridCol w:w="1559"/>
      </w:tblGrid>
      <w:tr w:rsidR="009D0006" w:rsidRPr="00A25867" w14:paraId="134EE626" w14:textId="77777777" w:rsidTr="0082031B">
        <w:trPr>
          <w:cnfStyle w:val="100000000000" w:firstRow="1" w:lastRow="0" w:firstColumn="0" w:lastColumn="0" w:oddVBand="0" w:evenVBand="0" w:oddHBand="0" w:evenHBand="0" w:firstRowFirstColumn="0" w:firstRowLastColumn="0" w:lastRowFirstColumn="0" w:lastRowLastColumn="0"/>
          <w:trHeight w:val="279"/>
        </w:trPr>
        <w:tc>
          <w:tcPr>
            <w:tcW w:w="6746" w:type="dxa"/>
            <w:noWrap/>
            <w:hideMark/>
          </w:tcPr>
          <w:p w14:paraId="2975D1F5" w14:textId="77777777" w:rsidR="009D0006" w:rsidRPr="009F2612" w:rsidRDefault="009D0006" w:rsidP="0082031B">
            <w:pPr>
              <w:pStyle w:val="Tableheader"/>
              <w:rPr>
                <w:bCs/>
              </w:rPr>
            </w:pPr>
            <w:r>
              <w:t>Suicidal ideation</w:t>
            </w:r>
          </w:p>
        </w:tc>
        <w:tc>
          <w:tcPr>
            <w:tcW w:w="1559" w:type="dxa"/>
            <w:noWrap/>
            <w:hideMark/>
          </w:tcPr>
          <w:p w14:paraId="28046B90" w14:textId="77777777" w:rsidR="009D0006" w:rsidRPr="00C85502" w:rsidRDefault="009D0006" w:rsidP="0082031B">
            <w:pPr>
              <w:pStyle w:val="Tableheader"/>
              <w:rPr>
                <w:bCs/>
              </w:rPr>
            </w:pPr>
            <w:r w:rsidRPr="00C85502">
              <w:rPr>
                <w:bCs/>
              </w:rPr>
              <w:t>n</w:t>
            </w:r>
          </w:p>
        </w:tc>
        <w:tc>
          <w:tcPr>
            <w:tcW w:w="1559" w:type="dxa"/>
            <w:noWrap/>
            <w:hideMark/>
          </w:tcPr>
          <w:p w14:paraId="4C9F38B2" w14:textId="77777777" w:rsidR="009D0006" w:rsidRPr="00C85502" w:rsidRDefault="009D0006" w:rsidP="0082031B">
            <w:pPr>
              <w:pStyle w:val="Tableheader"/>
              <w:rPr>
                <w:bCs/>
              </w:rPr>
            </w:pPr>
            <w:r w:rsidRPr="00C85502">
              <w:rPr>
                <w:bCs/>
              </w:rPr>
              <w:t>%</w:t>
            </w:r>
          </w:p>
        </w:tc>
      </w:tr>
      <w:tr w:rsidR="009D0006" w:rsidRPr="00A25867" w14:paraId="6BF3ACA6" w14:textId="77777777" w:rsidTr="0082031B">
        <w:trPr>
          <w:cnfStyle w:val="000000100000" w:firstRow="0" w:lastRow="0" w:firstColumn="0" w:lastColumn="0" w:oddVBand="0" w:evenVBand="0" w:oddHBand="1" w:evenHBand="0" w:firstRowFirstColumn="0" w:firstRowLastColumn="0" w:lastRowFirstColumn="0" w:lastRowLastColumn="0"/>
          <w:trHeight w:val="279"/>
        </w:trPr>
        <w:tc>
          <w:tcPr>
            <w:tcW w:w="6746" w:type="dxa"/>
            <w:noWrap/>
            <w:hideMark/>
          </w:tcPr>
          <w:p w14:paraId="54DFFF58" w14:textId="77777777" w:rsidR="009D0006" w:rsidRPr="00A25867" w:rsidRDefault="009D0006" w:rsidP="0082031B">
            <w:pPr>
              <w:pStyle w:val="Tabletext"/>
            </w:pPr>
            <w:r>
              <w:rPr>
                <w:lang w:val="en-US"/>
              </w:rPr>
              <w:t>Past 12 months</w:t>
            </w:r>
          </w:p>
        </w:tc>
        <w:tc>
          <w:tcPr>
            <w:tcW w:w="1559" w:type="dxa"/>
            <w:noWrap/>
          </w:tcPr>
          <w:p w14:paraId="3053AE02" w14:textId="77777777" w:rsidR="009D0006" w:rsidRPr="00A25867" w:rsidRDefault="009D0006" w:rsidP="0082031B">
            <w:pPr>
              <w:pStyle w:val="Tabletext"/>
            </w:pPr>
            <w:r>
              <w:t>489</w:t>
            </w:r>
          </w:p>
        </w:tc>
        <w:tc>
          <w:tcPr>
            <w:tcW w:w="1559" w:type="dxa"/>
            <w:noWrap/>
          </w:tcPr>
          <w:p w14:paraId="154750CE" w14:textId="77777777" w:rsidR="009D0006" w:rsidRPr="00A25867" w:rsidRDefault="009D0006" w:rsidP="0082031B">
            <w:pPr>
              <w:pStyle w:val="Tabletext"/>
            </w:pPr>
            <w:r>
              <w:t>63.0</w:t>
            </w:r>
          </w:p>
        </w:tc>
      </w:tr>
      <w:tr w:rsidR="009D0006" w:rsidRPr="00A25867" w14:paraId="4D40FACD" w14:textId="77777777" w:rsidTr="0082031B">
        <w:trPr>
          <w:cnfStyle w:val="000000010000" w:firstRow="0" w:lastRow="0" w:firstColumn="0" w:lastColumn="0" w:oddVBand="0" w:evenVBand="0" w:oddHBand="0" w:evenHBand="1" w:firstRowFirstColumn="0" w:firstRowLastColumn="0" w:lastRowFirstColumn="0" w:lastRowLastColumn="0"/>
          <w:trHeight w:val="279"/>
        </w:trPr>
        <w:tc>
          <w:tcPr>
            <w:tcW w:w="6746" w:type="dxa"/>
            <w:noWrap/>
            <w:hideMark/>
          </w:tcPr>
          <w:p w14:paraId="7E3356E2" w14:textId="77777777" w:rsidR="009D0006" w:rsidRPr="00A25867" w:rsidRDefault="009D0006" w:rsidP="0082031B">
            <w:pPr>
              <w:pStyle w:val="Tabletext"/>
            </w:pPr>
            <w:r>
              <w:rPr>
                <w:lang w:val="en-US"/>
              </w:rPr>
              <w:t>Ever</w:t>
            </w:r>
          </w:p>
        </w:tc>
        <w:tc>
          <w:tcPr>
            <w:tcW w:w="1559" w:type="dxa"/>
            <w:noWrap/>
          </w:tcPr>
          <w:p w14:paraId="1299229A" w14:textId="77777777" w:rsidR="009D0006" w:rsidRPr="00A25867" w:rsidRDefault="009D0006" w:rsidP="0082031B">
            <w:pPr>
              <w:pStyle w:val="Tabletext"/>
            </w:pPr>
            <w:r>
              <w:t>700</w:t>
            </w:r>
          </w:p>
        </w:tc>
        <w:tc>
          <w:tcPr>
            <w:tcW w:w="1559" w:type="dxa"/>
            <w:noWrap/>
          </w:tcPr>
          <w:p w14:paraId="17D12339" w14:textId="77777777" w:rsidR="009D0006" w:rsidRPr="00A25867" w:rsidRDefault="009D0006" w:rsidP="0082031B">
            <w:pPr>
              <w:pStyle w:val="Tabletext"/>
            </w:pPr>
            <w:r>
              <w:t>90.2</w:t>
            </w:r>
          </w:p>
        </w:tc>
      </w:tr>
    </w:tbl>
    <w:p w14:paraId="50E2740C" w14:textId="77777777" w:rsidR="009D0006" w:rsidRDefault="009D0006" w:rsidP="0082031B">
      <w:pPr>
        <w:pStyle w:val="Tableheading"/>
        <w:rPr>
          <w:lang w:bidi="en-US"/>
        </w:rPr>
      </w:pPr>
      <w:r>
        <w:rPr>
          <w:lang w:bidi="en-US"/>
        </w:rPr>
        <w:t>Table 107.3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61750F7F" w14:textId="77777777" w:rsidTr="0082031B">
        <w:trPr>
          <w:cnfStyle w:val="100000000000" w:firstRow="1" w:lastRow="0" w:firstColumn="0" w:lastColumn="0" w:oddVBand="0" w:evenVBand="0" w:oddHBand="0" w:evenHBand="0" w:firstRowFirstColumn="0" w:firstRowLastColumn="0" w:lastRowFirstColumn="0" w:lastRowLastColumn="0"/>
          <w:trHeight w:val="331"/>
        </w:trPr>
        <w:tc>
          <w:tcPr>
            <w:tcW w:w="6746" w:type="dxa"/>
            <w:noWrap/>
            <w:hideMark/>
          </w:tcPr>
          <w:p w14:paraId="1A8AC794" w14:textId="77777777" w:rsidR="009D0006" w:rsidRPr="009F2612" w:rsidRDefault="009D0006" w:rsidP="0082031B">
            <w:pPr>
              <w:pStyle w:val="Tableheader"/>
              <w:rPr>
                <w:bCs/>
              </w:rPr>
            </w:pPr>
            <w:r>
              <w:t>Suicidal ideation</w:t>
            </w:r>
          </w:p>
        </w:tc>
        <w:tc>
          <w:tcPr>
            <w:tcW w:w="1559" w:type="dxa"/>
            <w:noWrap/>
            <w:hideMark/>
          </w:tcPr>
          <w:p w14:paraId="59173CB9" w14:textId="77777777" w:rsidR="009D0006" w:rsidRPr="00A309EE" w:rsidRDefault="009D0006" w:rsidP="0082031B">
            <w:pPr>
              <w:pStyle w:val="Tableheader"/>
              <w:rPr>
                <w:bCs/>
              </w:rPr>
            </w:pPr>
            <w:r w:rsidRPr="00A309EE">
              <w:rPr>
                <w:bCs/>
              </w:rPr>
              <w:t>n</w:t>
            </w:r>
          </w:p>
        </w:tc>
        <w:tc>
          <w:tcPr>
            <w:tcW w:w="1559" w:type="dxa"/>
            <w:noWrap/>
            <w:hideMark/>
          </w:tcPr>
          <w:p w14:paraId="6B817BBE" w14:textId="77777777" w:rsidR="009D0006" w:rsidRPr="00A309EE" w:rsidRDefault="009D0006" w:rsidP="0082031B">
            <w:pPr>
              <w:pStyle w:val="Tableheader"/>
              <w:rPr>
                <w:bCs/>
              </w:rPr>
            </w:pPr>
            <w:r w:rsidRPr="00A309EE">
              <w:rPr>
                <w:bCs/>
              </w:rPr>
              <w:t>%</w:t>
            </w:r>
          </w:p>
        </w:tc>
      </w:tr>
      <w:tr w:rsidR="009D0006" w:rsidRPr="00A25867" w14:paraId="60602C7B" w14:textId="77777777" w:rsidTr="0082031B">
        <w:trPr>
          <w:cnfStyle w:val="000000100000" w:firstRow="0" w:lastRow="0" w:firstColumn="0" w:lastColumn="0" w:oddVBand="0" w:evenVBand="0" w:oddHBand="1" w:evenHBand="0" w:firstRowFirstColumn="0" w:firstRowLastColumn="0" w:lastRowFirstColumn="0" w:lastRowLastColumn="0"/>
          <w:trHeight w:val="331"/>
        </w:trPr>
        <w:tc>
          <w:tcPr>
            <w:tcW w:w="6746" w:type="dxa"/>
            <w:noWrap/>
            <w:hideMark/>
          </w:tcPr>
          <w:p w14:paraId="62E0757E" w14:textId="77777777" w:rsidR="009D0006" w:rsidRPr="00A25867" w:rsidRDefault="009D0006" w:rsidP="0082031B">
            <w:pPr>
              <w:pStyle w:val="Tabletext"/>
            </w:pPr>
            <w:r>
              <w:rPr>
                <w:lang w:val="en-US"/>
              </w:rPr>
              <w:t>Past 12 months</w:t>
            </w:r>
          </w:p>
        </w:tc>
        <w:tc>
          <w:tcPr>
            <w:tcW w:w="1559" w:type="dxa"/>
            <w:noWrap/>
          </w:tcPr>
          <w:p w14:paraId="5808545D" w14:textId="77777777" w:rsidR="009D0006" w:rsidRPr="00A25867" w:rsidRDefault="009D0006" w:rsidP="0082031B">
            <w:pPr>
              <w:pStyle w:val="Tabletext"/>
            </w:pPr>
            <w:r>
              <w:t>355</w:t>
            </w:r>
          </w:p>
        </w:tc>
        <w:tc>
          <w:tcPr>
            <w:tcW w:w="1559" w:type="dxa"/>
            <w:noWrap/>
          </w:tcPr>
          <w:p w14:paraId="52995BB6" w14:textId="77777777" w:rsidR="009D0006" w:rsidRPr="00A25867" w:rsidRDefault="009D0006" w:rsidP="0082031B">
            <w:pPr>
              <w:pStyle w:val="Tabletext"/>
            </w:pPr>
            <w:r>
              <w:t>56.8</w:t>
            </w:r>
          </w:p>
        </w:tc>
      </w:tr>
      <w:tr w:rsidR="009D0006" w:rsidRPr="00A25867" w14:paraId="7823748A" w14:textId="77777777" w:rsidTr="0082031B">
        <w:trPr>
          <w:cnfStyle w:val="000000010000" w:firstRow="0" w:lastRow="0" w:firstColumn="0" w:lastColumn="0" w:oddVBand="0" w:evenVBand="0" w:oddHBand="0" w:evenHBand="1" w:firstRowFirstColumn="0" w:firstRowLastColumn="0" w:lastRowFirstColumn="0" w:lastRowLastColumn="0"/>
          <w:trHeight w:val="331"/>
        </w:trPr>
        <w:tc>
          <w:tcPr>
            <w:tcW w:w="6746" w:type="dxa"/>
            <w:noWrap/>
            <w:hideMark/>
          </w:tcPr>
          <w:p w14:paraId="649762F1" w14:textId="77777777" w:rsidR="009D0006" w:rsidRPr="00A25867" w:rsidRDefault="009D0006" w:rsidP="0082031B">
            <w:pPr>
              <w:pStyle w:val="Tabletext"/>
            </w:pPr>
            <w:r>
              <w:rPr>
                <w:lang w:val="en-US"/>
              </w:rPr>
              <w:t>Ever</w:t>
            </w:r>
          </w:p>
        </w:tc>
        <w:tc>
          <w:tcPr>
            <w:tcW w:w="1559" w:type="dxa"/>
            <w:noWrap/>
          </w:tcPr>
          <w:p w14:paraId="1EBBA5D9" w14:textId="77777777" w:rsidR="009D0006" w:rsidRPr="00A25867" w:rsidRDefault="009D0006" w:rsidP="0082031B">
            <w:pPr>
              <w:pStyle w:val="Tabletext"/>
            </w:pPr>
            <w:r>
              <w:t>541</w:t>
            </w:r>
          </w:p>
        </w:tc>
        <w:tc>
          <w:tcPr>
            <w:tcW w:w="1559" w:type="dxa"/>
            <w:noWrap/>
          </w:tcPr>
          <w:p w14:paraId="1FD637B2" w14:textId="77777777" w:rsidR="009D0006" w:rsidRPr="00A25867" w:rsidRDefault="009D0006" w:rsidP="0082031B">
            <w:pPr>
              <w:pStyle w:val="Tabletext"/>
            </w:pPr>
            <w:r>
              <w:t>86.6</w:t>
            </w:r>
          </w:p>
        </w:tc>
      </w:tr>
    </w:tbl>
    <w:p w14:paraId="033AB9EA" w14:textId="77777777" w:rsidR="009D0006" w:rsidRDefault="009D0006" w:rsidP="0082031B">
      <w:pPr>
        <w:pStyle w:val="Tableheading"/>
        <w:rPr>
          <w:lang w:bidi="en-US"/>
        </w:rPr>
      </w:pPr>
      <w:r>
        <w:rPr>
          <w:lang w:bidi="en-US"/>
        </w:rPr>
        <w:t>Table 107.4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AA0E625" w14:textId="77777777" w:rsidTr="0082031B">
        <w:trPr>
          <w:cnfStyle w:val="100000000000" w:firstRow="1" w:lastRow="0" w:firstColumn="0" w:lastColumn="0" w:oddVBand="0" w:evenVBand="0" w:oddHBand="0" w:evenHBand="0" w:firstRowFirstColumn="0" w:firstRowLastColumn="0" w:lastRowFirstColumn="0" w:lastRowLastColumn="0"/>
          <w:trHeight w:val="349"/>
        </w:trPr>
        <w:tc>
          <w:tcPr>
            <w:tcW w:w="6746" w:type="dxa"/>
            <w:noWrap/>
            <w:hideMark/>
          </w:tcPr>
          <w:p w14:paraId="7EFAE925" w14:textId="77777777" w:rsidR="009D0006" w:rsidRPr="0082031B" w:rsidRDefault="009D0006" w:rsidP="0082031B">
            <w:pPr>
              <w:pStyle w:val="Tableheader"/>
            </w:pPr>
            <w:r w:rsidRPr="0082031B">
              <w:t xml:space="preserve">Suicidal ideation </w:t>
            </w:r>
          </w:p>
        </w:tc>
        <w:tc>
          <w:tcPr>
            <w:tcW w:w="3118" w:type="dxa"/>
            <w:gridSpan w:val="2"/>
            <w:noWrap/>
            <w:hideMark/>
          </w:tcPr>
          <w:p w14:paraId="7ACF37E9" w14:textId="77777777" w:rsidR="009D0006" w:rsidRPr="0082031B" w:rsidRDefault="009D0006" w:rsidP="0082031B">
            <w:pPr>
              <w:pStyle w:val="Tableheader"/>
            </w:pPr>
            <w:r w:rsidRPr="0082031B">
              <w:t>Rural or remote</w:t>
            </w:r>
          </w:p>
        </w:tc>
      </w:tr>
      <w:tr w:rsidR="009D0006" w:rsidRPr="00A25867" w14:paraId="05E05B6E" w14:textId="77777777" w:rsidTr="0082031B">
        <w:trPr>
          <w:cnfStyle w:val="000000100000" w:firstRow="0" w:lastRow="0" w:firstColumn="0" w:lastColumn="0" w:oddVBand="0" w:evenVBand="0" w:oddHBand="1" w:evenHBand="0" w:firstRowFirstColumn="0" w:firstRowLastColumn="0" w:lastRowFirstColumn="0" w:lastRowLastColumn="0"/>
          <w:trHeight w:val="349"/>
        </w:trPr>
        <w:tc>
          <w:tcPr>
            <w:tcW w:w="6746" w:type="dxa"/>
            <w:noWrap/>
            <w:hideMark/>
          </w:tcPr>
          <w:p w14:paraId="09AA0711" w14:textId="77777777" w:rsidR="009D0006" w:rsidRPr="009F2612" w:rsidRDefault="009D0006" w:rsidP="0082031B">
            <w:pPr>
              <w:pStyle w:val="Tabletext"/>
              <w:rPr>
                <w:b/>
                <w:bCs/>
              </w:rPr>
            </w:pPr>
            <w:r>
              <w:t>Suicidal ideation</w:t>
            </w:r>
          </w:p>
        </w:tc>
        <w:tc>
          <w:tcPr>
            <w:tcW w:w="1559" w:type="dxa"/>
            <w:noWrap/>
            <w:hideMark/>
          </w:tcPr>
          <w:p w14:paraId="5ADDC0C2" w14:textId="77777777" w:rsidR="009D0006" w:rsidRPr="00A25867" w:rsidRDefault="009D0006" w:rsidP="0082031B">
            <w:pPr>
              <w:pStyle w:val="Tabletext"/>
              <w:rPr>
                <w:b/>
                <w:bCs/>
              </w:rPr>
            </w:pPr>
            <w:r>
              <w:rPr>
                <w:b/>
                <w:bCs/>
              </w:rPr>
              <w:t>n</w:t>
            </w:r>
          </w:p>
        </w:tc>
        <w:tc>
          <w:tcPr>
            <w:tcW w:w="1559" w:type="dxa"/>
            <w:noWrap/>
            <w:hideMark/>
          </w:tcPr>
          <w:p w14:paraId="0838CB6A" w14:textId="77777777" w:rsidR="009D0006" w:rsidRPr="00A25867" w:rsidRDefault="009D0006" w:rsidP="0082031B">
            <w:pPr>
              <w:pStyle w:val="Tabletext"/>
              <w:rPr>
                <w:b/>
                <w:bCs/>
              </w:rPr>
            </w:pPr>
            <w:r w:rsidRPr="00A25867">
              <w:rPr>
                <w:b/>
                <w:bCs/>
              </w:rPr>
              <w:t>%</w:t>
            </w:r>
          </w:p>
        </w:tc>
      </w:tr>
      <w:tr w:rsidR="009D0006" w:rsidRPr="00A25867" w14:paraId="26336E51" w14:textId="77777777" w:rsidTr="0082031B">
        <w:trPr>
          <w:cnfStyle w:val="000000010000" w:firstRow="0" w:lastRow="0" w:firstColumn="0" w:lastColumn="0" w:oddVBand="0" w:evenVBand="0" w:oddHBand="0" w:evenHBand="1" w:firstRowFirstColumn="0" w:firstRowLastColumn="0" w:lastRowFirstColumn="0" w:lastRowLastColumn="0"/>
          <w:trHeight w:val="349"/>
        </w:trPr>
        <w:tc>
          <w:tcPr>
            <w:tcW w:w="6746" w:type="dxa"/>
            <w:noWrap/>
            <w:hideMark/>
          </w:tcPr>
          <w:p w14:paraId="0B204E1A" w14:textId="77777777" w:rsidR="009D0006" w:rsidRPr="00A25867" w:rsidRDefault="009D0006" w:rsidP="0082031B">
            <w:pPr>
              <w:pStyle w:val="Tabletext"/>
            </w:pPr>
            <w:r>
              <w:rPr>
                <w:lang w:val="en-US"/>
              </w:rPr>
              <w:t>Past 12 months</w:t>
            </w:r>
          </w:p>
        </w:tc>
        <w:tc>
          <w:tcPr>
            <w:tcW w:w="1559" w:type="dxa"/>
            <w:noWrap/>
          </w:tcPr>
          <w:p w14:paraId="7160E554" w14:textId="77777777" w:rsidR="009D0006" w:rsidRPr="00A25867" w:rsidRDefault="009D0006" w:rsidP="0082031B">
            <w:pPr>
              <w:pStyle w:val="Tabletext"/>
            </w:pPr>
            <w:r>
              <w:t>114</w:t>
            </w:r>
          </w:p>
        </w:tc>
        <w:tc>
          <w:tcPr>
            <w:tcW w:w="1559" w:type="dxa"/>
            <w:noWrap/>
          </w:tcPr>
          <w:p w14:paraId="2D4AB5F6" w14:textId="77777777" w:rsidR="009D0006" w:rsidRPr="00A25867" w:rsidRDefault="009D0006" w:rsidP="0082031B">
            <w:pPr>
              <w:pStyle w:val="Tabletext"/>
            </w:pPr>
            <w:r>
              <w:t>61.6</w:t>
            </w:r>
          </w:p>
        </w:tc>
      </w:tr>
      <w:tr w:rsidR="009D0006" w:rsidRPr="00A25867" w14:paraId="33E7B843" w14:textId="77777777" w:rsidTr="0082031B">
        <w:trPr>
          <w:cnfStyle w:val="000000100000" w:firstRow="0" w:lastRow="0" w:firstColumn="0" w:lastColumn="0" w:oddVBand="0" w:evenVBand="0" w:oddHBand="1" w:evenHBand="0" w:firstRowFirstColumn="0" w:firstRowLastColumn="0" w:lastRowFirstColumn="0" w:lastRowLastColumn="0"/>
          <w:trHeight w:val="349"/>
        </w:trPr>
        <w:tc>
          <w:tcPr>
            <w:tcW w:w="6746" w:type="dxa"/>
            <w:noWrap/>
            <w:hideMark/>
          </w:tcPr>
          <w:p w14:paraId="1E1BEC00" w14:textId="77777777" w:rsidR="009D0006" w:rsidRPr="00A25867" w:rsidRDefault="009D0006" w:rsidP="0082031B">
            <w:pPr>
              <w:pStyle w:val="Tabletext"/>
            </w:pPr>
            <w:r>
              <w:rPr>
                <w:lang w:val="en-US"/>
              </w:rPr>
              <w:t>Ever</w:t>
            </w:r>
          </w:p>
        </w:tc>
        <w:tc>
          <w:tcPr>
            <w:tcW w:w="1559" w:type="dxa"/>
            <w:noWrap/>
          </w:tcPr>
          <w:p w14:paraId="303975EC" w14:textId="77777777" w:rsidR="009D0006" w:rsidRPr="00A25867" w:rsidRDefault="009D0006" w:rsidP="0082031B">
            <w:pPr>
              <w:pStyle w:val="Tabletext"/>
            </w:pPr>
            <w:r>
              <w:t>163</w:t>
            </w:r>
          </w:p>
        </w:tc>
        <w:tc>
          <w:tcPr>
            <w:tcW w:w="1559" w:type="dxa"/>
            <w:noWrap/>
          </w:tcPr>
          <w:p w14:paraId="276DA1DF" w14:textId="77777777" w:rsidR="009D0006" w:rsidRPr="00A25867" w:rsidRDefault="009D0006" w:rsidP="0082031B">
            <w:pPr>
              <w:pStyle w:val="Tabletext"/>
            </w:pPr>
            <w:r>
              <w:t>88.1</w:t>
            </w:r>
          </w:p>
        </w:tc>
      </w:tr>
    </w:tbl>
    <w:p w14:paraId="5B94AA6B" w14:textId="77777777" w:rsidR="009D0006" w:rsidRDefault="009D0006" w:rsidP="00AB4A74">
      <w:pPr>
        <w:spacing w:before="360"/>
      </w:pPr>
      <w:r>
        <w:t>As shown in Tables 107.1-107.4, almost two-thirds of p</w:t>
      </w:r>
      <w:r w:rsidRPr="003271DA">
        <w:t xml:space="preserve">articipants with disability in </w:t>
      </w:r>
      <w:r>
        <w:rPr>
          <w:i/>
          <w:iCs/>
        </w:rPr>
        <w:t>Private Lives 3</w:t>
      </w:r>
      <w:r>
        <w:t xml:space="preserve"> who were residing in an outer suburban area had experienced suicidal ideation in the past 12 months (63.0%; n = 489), followed by participants in a rural or remote area (61.6%; n = 114), participants in an inner suburban area (59.0%; n = 596) and participants in a regional city or town (56.8%; n = 355).</w:t>
      </w:r>
    </w:p>
    <w:p w14:paraId="715AC108" w14:textId="77777777" w:rsidR="009D0006" w:rsidRPr="003271DA" w:rsidRDefault="009D0006" w:rsidP="009D0006">
      <w:r>
        <w:t xml:space="preserve">The majority of participants across all residential locations in </w:t>
      </w:r>
      <w:r>
        <w:rPr>
          <w:i/>
          <w:iCs/>
        </w:rPr>
        <w:t xml:space="preserve">Private Lives 3 </w:t>
      </w:r>
      <w:r>
        <w:t>had experienced suicidal ideation at some stage in their lifetime. Approximately 90% of participants who were residing in an outer suburban area had experienced suicidal ideation ever in their lifetime (90.2%; n = 700), followed by participants in a rural or remote are</w:t>
      </w:r>
      <w:r>
        <w:lastRenderedPageBreak/>
        <w:t>a (88.1%; n = 163), participants in an inner suburban area (87.8%; n = 887) and participants in a regional city or town (86.6%; n = 541).</w:t>
      </w:r>
    </w:p>
    <w:p w14:paraId="41AC3AE7" w14:textId="5DFF0EA4" w:rsidR="009D0006" w:rsidRDefault="009D0006" w:rsidP="009401DC">
      <w:pPr>
        <w:pStyle w:val="Heading3Numbered"/>
      </w:pPr>
      <w:bookmarkStart w:id="876" w:name="_Toc115968650"/>
      <w:r w:rsidRPr="00C5739E">
        <w:t>Suicide attempts</w:t>
      </w:r>
      <w:r>
        <w:t xml:space="preserve"> </w:t>
      </w:r>
      <w:r w:rsidRPr="00C5739E">
        <w:t>– young people aged 14-</w:t>
      </w:r>
      <w:r>
        <w:t>21</w:t>
      </w:r>
      <w:r w:rsidRPr="00C5739E">
        <w:t xml:space="preserve"> years</w:t>
      </w:r>
      <w:bookmarkEnd w:id="876"/>
    </w:p>
    <w:p w14:paraId="075C9872" w14:textId="69B01C8C" w:rsidR="009D0006" w:rsidRDefault="009D0006" w:rsidP="0082031B">
      <w:pPr>
        <w:pStyle w:val="Tableheading"/>
      </w:pPr>
      <w:bookmarkStart w:id="877" w:name="_Toc117062825"/>
      <w:bookmarkStart w:id="878" w:name="_Toc119651510"/>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108</w:t>
      </w:r>
      <w:r w:rsidRPr="004B71BD">
        <w:rPr>
          <w:bCs/>
        </w:rPr>
        <w:fldChar w:fldCharType="end"/>
      </w:r>
      <w:r>
        <w:rPr>
          <w:bCs/>
        </w:rPr>
        <w:t>.1-108.4</w:t>
      </w:r>
      <w:r>
        <w:t xml:space="preserve">: </w:t>
      </w:r>
      <w:r w:rsidRPr="00C5739E">
        <w:t>Suicid</w:t>
      </w:r>
      <w:r>
        <w:t>e</w:t>
      </w:r>
      <w:r w:rsidRPr="00C5739E">
        <w:t xml:space="preserve"> </w:t>
      </w:r>
      <w:r>
        <w:t>attempt</w:t>
      </w:r>
      <w:r w:rsidRPr="00C5739E">
        <w:t xml:space="preserve"> </w:t>
      </w:r>
      <w:r>
        <w:t xml:space="preserve">among young people with disability aged 14-21 years, grouped </w:t>
      </w:r>
      <w:r w:rsidRPr="00C5739E">
        <w:t xml:space="preserve">by </w:t>
      </w:r>
      <w:r>
        <w:t>area of residence</w:t>
      </w:r>
      <w:r w:rsidRPr="00C5739E">
        <w:t xml:space="preserve"> (n = </w:t>
      </w:r>
      <w:r>
        <w:t>2317</w:t>
      </w:r>
      <w:r w:rsidRPr="00C5739E">
        <w:t>)</w:t>
      </w:r>
      <w:bookmarkEnd w:id="877"/>
      <w:bookmarkEnd w:id="878"/>
    </w:p>
    <w:p w14:paraId="06510FCE" w14:textId="77777777" w:rsidR="009D0006" w:rsidRPr="002C3FF9" w:rsidRDefault="009D0006" w:rsidP="0082031B">
      <w:pPr>
        <w:pStyle w:val="Tableheading"/>
      </w:pPr>
      <w:r>
        <w:t>Table 108.1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5592F57" w14:textId="77777777" w:rsidTr="0082031B">
        <w:trPr>
          <w:cnfStyle w:val="100000000000" w:firstRow="1" w:lastRow="0" w:firstColumn="0" w:lastColumn="0" w:oddVBand="0" w:evenVBand="0" w:oddHBand="0" w:evenHBand="0" w:firstRowFirstColumn="0" w:firstRowLastColumn="0" w:lastRowFirstColumn="0" w:lastRowLastColumn="0"/>
          <w:trHeight w:val="349"/>
        </w:trPr>
        <w:tc>
          <w:tcPr>
            <w:tcW w:w="6746" w:type="dxa"/>
            <w:noWrap/>
            <w:hideMark/>
          </w:tcPr>
          <w:p w14:paraId="6ED802C3" w14:textId="77777777" w:rsidR="009D0006" w:rsidRPr="009F2612" w:rsidRDefault="009D0006" w:rsidP="0082031B">
            <w:pPr>
              <w:pStyle w:val="Tableheader"/>
              <w:rPr>
                <w:bCs/>
              </w:rPr>
            </w:pPr>
            <w:r>
              <w:t>Suicide attempt</w:t>
            </w:r>
          </w:p>
        </w:tc>
        <w:tc>
          <w:tcPr>
            <w:tcW w:w="1559" w:type="dxa"/>
            <w:noWrap/>
            <w:hideMark/>
          </w:tcPr>
          <w:p w14:paraId="6FEEE421" w14:textId="77777777" w:rsidR="009D0006" w:rsidRPr="003920A5" w:rsidRDefault="009D0006" w:rsidP="0082031B">
            <w:pPr>
              <w:pStyle w:val="Tableheader"/>
              <w:rPr>
                <w:bCs/>
              </w:rPr>
            </w:pPr>
            <w:r w:rsidRPr="003920A5">
              <w:rPr>
                <w:bCs/>
              </w:rPr>
              <w:t>n</w:t>
            </w:r>
          </w:p>
        </w:tc>
        <w:tc>
          <w:tcPr>
            <w:tcW w:w="1559" w:type="dxa"/>
            <w:noWrap/>
            <w:hideMark/>
          </w:tcPr>
          <w:p w14:paraId="3AB2B868" w14:textId="77777777" w:rsidR="009D0006" w:rsidRPr="003920A5" w:rsidRDefault="009D0006" w:rsidP="0082031B">
            <w:pPr>
              <w:pStyle w:val="Tableheader"/>
              <w:rPr>
                <w:bCs/>
              </w:rPr>
            </w:pPr>
            <w:r w:rsidRPr="003920A5">
              <w:rPr>
                <w:bCs/>
              </w:rPr>
              <w:t>%</w:t>
            </w:r>
          </w:p>
        </w:tc>
      </w:tr>
      <w:tr w:rsidR="009D0006" w:rsidRPr="00A25867" w14:paraId="7E67E09A" w14:textId="77777777" w:rsidTr="0082031B">
        <w:trPr>
          <w:cnfStyle w:val="000000100000" w:firstRow="0" w:lastRow="0" w:firstColumn="0" w:lastColumn="0" w:oddVBand="0" w:evenVBand="0" w:oddHBand="1" w:evenHBand="0" w:firstRowFirstColumn="0" w:firstRowLastColumn="0" w:lastRowFirstColumn="0" w:lastRowLastColumn="0"/>
          <w:trHeight w:val="349"/>
        </w:trPr>
        <w:tc>
          <w:tcPr>
            <w:tcW w:w="6746" w:type="dxa"/>
            <w:noWrap/>
            <w:hideMark/>
          </w:tcPr>
          <w:p w14:paraId="797A1A55" w14:textId="77777777" w:rsidR="009D0006" w:rsidRPr="00A25867" w:rsidRDefault="009D0006" w:rsidP="0082031B">
            <w:pPr>
              <w:pStyle w:val="Tabletext"/>
            </w:pPr>
            <w:r>
              <w:rPr>
                <w:lang w:val="en-US"/>
              </w:rPr>
              <w:t>Past 12 months</w:t>
            </w:r>
          </w:p>
        </w:tc>
        <w:tc>
          <w:tcPr>
            <w:tcW w:w="1559" w:type="dxa"/>
            <w:noWrap/>
          </w:tcPr>
          <w:p w14:paraId="5C51274A" w14:textId="77777777" w:rsidR="009D0006" w:rsidRPr="00A25867" w:rsidRDefault="009D0006" w:rsidP="0082031B">
            <w:pPr>
              <w:pStyle w:val="Tabletext"/>
            </w:pPr>
            <w:r>
              <w:t>21</w:t>
            </w:r>
          </w:p>
        </w:tc>
        <w:tc>
          <w:tcPr>
            <w:tcW w:w="1559" w:type="dxa"/>
            <w:noWrap/>
          </w:tcPr>
          <w:p w14:paraId="305D17D4" w14:textId="77777777" w:rsidR="009D0006" w:rsidRPr="00A25867" w:rsidRDefault="009D0006" w:rsidP="0082031B">
            <w:pPr>
              <w:pStyle w:val="Tabletext"/>
            </w:pPr>
            <w:r>
              <w:t>12.7</w:t>
            </w:r>
          </w:p>
        </w:tc>
      </w:tr>
      <w:tr w:rsidR="009D0006" w:rsidRPr="00A25867" w14:paraId="0E2C2DE7" w14:textId="77777777" w:rsidTr="0082031B">
        <w:trPr>
          <w:cnfStyle w:val="000000010000" w:firstRow="0" w:lastRow="0" w:firstColumn="0" w:lastColumn="0" w:oddVBand="0" w:evenVBand="0" w:oddHBand="0" w:evenHBand="1" w:firstRowFirstColumn="0" w:firstRowLastColumn="0" w:lastRowFirstColumn="0" w:lastRowLastColumn="0"/>
          <w:trHeight w:val="349"/>
        </w:trPr>
        <w:tc>
          <w:tcPr>
            <w:tcW w:w="6746" w:type="dxa"/>
            <w:noWrap/>
            <w:hideMark/>
          </w:tcPr>
          <w:p w14:paraId="722063CF" w14:textId="77777777" w:rsidR="009D0006" w:rsidRPr="00A25867" w:rsidRDefault="009D0006" w:rsidP="0082031B">
            <w:pPr>
              <w:pStyle w:val="Tabletext"/>
            </w:pPr>
            <w:r>
              <w:rPr>
                <w:lang w:val="en-US"/>
              </w:rPr>
              <w:t>Ever</w:t>
            </w:r>
          </w:p>
        </w:tc>
        <w:tc>
          <w:tcPr>
            <w:tcW w:w="1559" w:type="dxa"/>
            <w:noWrap/>
          </w:tcPr>
          <w:p w14:paraId="5FA203BE" w14:textId="77777777" w:rsidR="009D0006" w:rsidRPr="00A25867" w:rsidRDefault="009D0006" w:rsidP="0082031B">
            <w:pPr>
              <w:pStyle w:val="Tabletext"/>
            </w:pPr>
            <w:r>
              <w:t>67</w:t>
            </w:r>
          </w:p>
        </w:tc>
        <w:tc>
          <w:tcPr>
            <w:tcW w:w="1559" w:type="dxa"/>
            <w:noWrap/>
          </w:tcPr>
          <w:p w14:paraId="6576807D" w14:textId="77777777" w:rsidR="009D0006" w:rsidRPr="00A25867" w:rsidRDefault="009D0006" w:rsidP="0082031B">
            <w:pPr>
              <w:pStyle w:val="Tabletext"/>
            </w:pPr>
            <w:r>
              <w:t>40.6</w:t>
            </w:r>
          </w:p>
        </w:tc>
      </w:tr>
    </w:tbl>
    <w:p w14:paraId="4FE9BF5F" w14:textId="77777777" w:rsidR="009D0006" w:rsidRDefault="009D0006" w:rsidP="0082031B">
      <w:pPr>
        <w:pStyle w:val="Tableheading"/>
        <w:rPr>
          <w:lang w:val="en-GB"/>
        </w:rPr>
      </w:pPr>
      <w:r>
        <w:rPr>
          <w:lang w:val="en-GB"/>
        </w:rPr>
        <w:t>Table 108.2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18B29D7A" w14:textId="77777777" w:rsidTr="0082031B">
        <w:trPr>
          <w:cnfStyle w:val="100000000000" w:firstRow="1" w:lastRow="0" w:firstColumn="0" w:lastColumn="0" w:oddVBand="0" w:evenVBand="0" w:oddHBand="0" w:evenHBand="0" w:firstRowFirstColumn="0" w:firstRowLastColumn="0" w:lastRowFirstColumn="0" w:lastRowLastColumn="0"/>
          <w:trHeight w:val="296"/>
        </w:trPr>
        <w:tc>
          <w:tcPr>
            <w:tcW w:w="6746" w:type="dxa"/>
            <w:noWrap/>
            <w:hideMark/>
          </w:tcPr>
          <w:p w14:paraId="555F9227" w14:textId="77777777" w:rsidR="009D0006" w:rsidRPr="009F2612" w:rsidRDefault="009D0006" w:rsidP="0082031B">
            <w:pPr>
              <w:pStyle w:val="Tableheader"/>
              <w:rPr>
                <w:bCs/>
              </w:rPr>
            </w:pPr>
            <w:r>
              <w:t>Suicide attempt</w:t>
            </w:r>
          </w:p>
        </w:tc>
        <w:tc>
          <w:tcPr>
            <w:tcW w:w="1559" w:type="dxa"/>
            <w:noWrap/>
            <w:hideMark/>
          </w:tcPr>
          <w:p w14:paraId="4E76B88F" w14:textId="77777777" w:rsidR="009D0006" w:rsidRPr="0036207E" w:rsidRDefault="009D0006" w:rsidP="0082031B">
            <w:pPr>
              <w:pStyle w:val="Tableheader"/>
              <w:rPr>
                <w:bCs/>
              </w:rPr>
            </w:pPr>
            <w:r w:rsidRPr="0036207E">
              <w:rPr>
                <w:bCs/>
              </w:rPr>
              <w:t>n</w:t>
            </w:r>
          </w:p>
        </w:tc>
        <w:tc>
          <w:tcPr>
            <w:tcW w:w="1559" w:type="dxa"/>
            <w:noWrap/>
            <w:hideMark/>
          </w:tcPr>
          <w:p w14:paraId="3B933059" w14:textId="77777777" w:rsidR="009D0006" w:rsidRPr="0036207E" w:rsidRDefault="009D0006" w:rsidP="0082031B">
            <w:pPr>
              <w:pStyle w:val="Tableheader"/>
              <w:rPr>
                <w:bCs/>
              </w:rPr>
            </w:pPr>
            <w:r w:rsidRPr="0036207E">
              <w:rPr>
                <w:bCs/>
              </w:rPr>
              <w:t>%</w:t>
            </w:r>
          </w:p>
        </w:tc>
      </w:tr>
      <w:tr w:rsidR="009D0006" w:rsidRPr="00A25867" w14:paraId="757C7D55" w14:textId="77777777" w:rsidTr="0082031B">
        <w:trPr>
          <w:cnfStyle w:val="000000100000" w:firstRow="0" w:lastRow="0" w:firstColumn="0" w:lastColumn="0" w:oddVBand="0" w:evenVBand="0" w:oddHBand="1" w:evenHBand="0" w:firstRowFirstColumn="0" w:firstRowLastColumn="0" w:lastRowFirstColumn="0" w:lastRowLastColumn="0"/>
          <w:trHeight w:val="296"/>
        </w:trPr>
        <w:tc>
          <w:tcPr>
            <w:tcW w:w="6746" w:type="dxa"/>
            <w:noWrap/>
            <w:hideMark/>
          </w:tcPr>
          <w:p w14:paraId="17500E51" w14:textId="77777777" w:rsidR="009D0006" w:rsidRPr="00A25867" w:rsidRDefault="009D0006" w:rsidP="0082031B">
            <w:pPr>
              <w:pStyle w:val="Tabletext"/>
            </w:pPr>
            <w:r>
              <w:rPr>
                <w:lang w:val="en-US"/>
              </w:rPr>
              <w:t>Past 12 months</w:t>
            </w:r>
          </w:p>
        </w:tc>
        <w:tc>
          <w:tcPr>
            <w:tcW w:w="1559" w:type="dxa"/>
            <w:noWrap/>
          </w:tcPr>
          <w:p w14:paraId="7541E75B" w14:textId="77777777" w:rsidR="009D0006" w:rsidRPr="00A25867" w:rsidRDefault="009D0006" w:rsidP="0082031B">
            <w:pPr>
              <w:pStyle w:val="Tabletext"/>
            </w:pPr>
            <w:r>
              <w:t>226</w:t>
            </w:r>
          </w:p>
        </w:tc>
        <w:tc>
          <w:tcPr>
            <w:tcW w:w="1559" w:type="dxa"/>
            <w:noWrap/>
          </w:tcPr>
          <w:p w14:paraId="7C557528" w14:textId="77777777" w:rsidR="009D0006" w:rsidRPr="00A25867" w:rsidRDefault="009D0006" w:rsidP="0082031B">
            <w:pPr>
              <w:pStyle w:val="Tabletext"/>
            </w:pPr>
            <w:r>
              <w:t>16.1</w:t>
            </w:r>
          </w:p>
        </w:tc>
      </w:tr>
      <w:tr w:rsidR="009D0006" w:rsidRPr="00A25867" w14:paraId="35550978" w14:textId="77777777" w:rsidTr="0082031B">
        <w:trPr>
          <w:cnfStyle w:val="000000010000" w:firstRow="0" w:lastRow="0" w:firstColumn="0" w:lastColumn="0" w:oddVBand="0" w:evenVBand="0" w:oddHBand="0" w:evenHBand="1" w:firstRowFirstColumn="0" w:firstRowLastColumn="0" w:lastRowFirstColumn="0" w:lastRowLastColumn="0"/>
          <w:trHeight w:val="296"/>
        </w:trPr>
        <w:tc>
          <w:tcPr>
            <w:tcW w:w="6746" w:type="dxa"/>
            <w:noWrap/>
            <w:hideMark/>
          </w:tcPr>
          <w:p w14:paraId="43E1252F" w14:textId="77777777" w:rsidR="009D0006" w:rsidRPr="00A25867" w:rsidRDefault="009D0006" w:rsidP="0082031B">
            <w:pPr>
              <w:pStyle w:val="Tabletext"/>
            </w:pPr>
            <w:r>
              <w:rPr>
                <w:lang w:val="en-US"/>
              </w:rPr>
              <w:t>Ever</w:t>
            </w:r>
          </w:p>
        </w:tc>
        <w:tc>
          <w:tcPr>
            <w:tcW w:w="1559" w:type="dxa"/>
            <w:noWrap/>
          </w:tcPr>
          <w:p w14:paraId="2F5C46EE" w14:textId="77777777" w:rsidR="009D0006" w:rsidRPr="00A25867" w:rsidRDefault="009D0006" w:rsidP="0082031B">
            <w:pPr>
              <w:pStyle w:val="Tabletext"/>
            </w:pPr>
            <w:r>
              <w:t>548</w:t>
            </w:r>
          </w:p>
        </w:tc>
        <w:tc>
          <w:tcPr>
            <w:tcW w:w="1559" w:type="dxa"/>
            <w:noWrap/>
          </w:tcPr>
          <w:p w14:paraId="0219DD8D" w14:textId="77777777" w:rsidR="009D0006" w:rsidRPr="00A25867" w:rsidRDefault="009D0006" w:rsidP="0082031B">
            <w:pPr>
              <w:pStyle w:val="Tabletext"/>
            </w:pPr>
            <w:r>
              <w:t>39.0</w:t>
            </w:r>
          </w:p>
        </w:tc>
      </w:tr>
    </w:tbl>
    <w:p w14:paraId="1A59109F" w14:textId="77777777" w:rsidR="009D0006" w:rsidRDefault="009D0006" w:rsidP="0082031B">
      <w:pPr>
        <w:pStyle w:val="Tableheading"/>
        <w:rPr>
          <w:lang w:val="en-GB"/>
        </w:rPr>
      </w:pPr>
      <w:r>
        <w:rPr>
          <w:lang w:val="en-GB"/>
        </w:rPr>
        <w:t>Table 108.3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7A4B853A" w14:textId="77777777" w:rsidTr="0082031B">
        <w:trPr>
          <w:cnfStyle w:val="100000000000" w:firstRow="1" w:lastRow="0" w:firstColumn="0" w:lastColumn="0" w:oddVBand="0" w:evenVBand="0" w:oddHBand="0" w:evenHBand="0" w:firstRowFirstColumn="0" w:firstRowLastColumn="0" w:lastRowFirstColumn="0" w:lastRowLastColumn="0"/>
          <w:trHeight w:val="301"/>
        </w:trPr>
        <w:tc>
          <w:tcPr>
            <w:tcW w:w="6746" w:type="dxa"/>
            <w:noWrap/>
            <w:hideMark/>
          </w:tcPr>
          <w:p w14:paraId="65DF6DF0" w14:textId="77777777" w:rsidR="009D0006" w:rsidRPr="009F2612" w:rsidRDefault="009D0006" w:rsidP="0082031B">
            <w:pPr>
              <w:pStyle w:val="Tableheader"/>
              <w:rPr>
                <w:bCs/>
              </w:rPr>
            </w:pPr>
            <w:r>
              <w:t>Suicide attempt</w:t>
            </w:r>
          </w:p>
        </w:tc>
        <w:tc>
          <w:tcPr>
            <w:tcW w:w="1559" w:type="dxa"/>
            <w:noWrap/>
            <w:hideMark/>
          </w:tcPr>
          <w:p w14:paraId="478989A5" w14:textId="77777777" w:rsidR="009D0006" w:rsidRPr="0036207E" w:rsidRDefault="009D0006" w:rsidP="0082031B">
            <w:pPr>
              <w:pStyle w:val="Tableheader"/>
              <w:rPr>
                <w:bCs/>
              </w:rPr>
            </w:pPr>
            <w:r w:rsidRPr="0036207E">
              <w:rPr>
                <w:bCs/>
              </w:rPr>
              <w:t>n</w:t>
            </w:r>
          </w:p>
        </w:tc>
        <w:tc>
          <w:tcPr>
            <w:tcW w:w="1559" w:type="dxa"/>
            <w:noWrap/>
            <w:hideMark/>
          </w:tcPr>
          <w:p w14:paraId="027269A5" w14:textId="77777777" w:rsidR="009D0006" w:rsidRPr="0036207E" w:rsidRDefault="009D0006" w:rsidP="0082031B">
            <w:pPr>
              <w:pStyle w:val="Tableheader"/>
              <w:rPr>
                <w:bCs/>
              </w:rPr>
            </w:pPr>
            <w:r w:rsidRPr="0036207E">
              <w:rPr>
                <w:bCs/>
              </w:rPr>
              <w:t>%</w:t>
            </w:r>
          </w:p>
        </w:tc>
      </w:tr>
      <w:tr w:rsidR="009D0006" w:rsidRPr="00A25867" w14:paraId="08F33A70" w14:textId="77777777" w:rsidTr="0082031B">
        <w:trPr>
          <w:cnfStyle w:val="000000100000" w:firstRow="0" w:lastRow="0" w:firstColumn="0" w:lastColumn="0" w:oddVBand="0" w:evenVBand="0" w:oddHBand="1" w:evenHBand="0" w:firstRowFirstColumn="0" w:firstRowLastColumn="0" w:lastRowFirstColumn="0" w:lastRowLastColumn="0"/>
          <w:trHeight w:val="301"/>
        </w:trPr>
        <w:tc>
          <w:tcPr>
            <w:tcW w:w="6746" w:type="dxa"/>
            <w:noWrap/>
            <w:hideMark/>
          </w:tcPr>
          <w:p w14:paraId="3E42FB4F" w14:textId="77777777" w:rsidR="009D0006" w:rsidRPr="00A25867" w:rsidRDefault="009D0006" w:rsidP="0082031B">
            <w:pPr>
              <w:pStyle w:val="Tabletext"/>
            </w:pPr>
            <w:r>
              <w:rPr>
                <w:lang w:val="en-US"/>
              </w:rPr>
              <w:t>Past 12 months</w:t>
            </w:r>
          </w:p>
        </w:tc>
        <w:tc>
          <w:tcPr>
            <w:tcW w:w="1559" w:type="dxa"/>
            <w:noWrap/>
          </w:tcPr>
          <w:p w14:paraId="2AAFCC35" w14:textId="77777777" w:rsidR="009D0006" w:rsidRPr="00A25867" w:rsidRDefault="009D0006" w:rsidP="0082031B">
            <w:pPr>
              <w:pStyle w:val="Tabletext"/>
            </w:pPr>
            <w:r>
              <w:t>85</w:t>
            </w:r>
          </w:p>
        </w:tc>
        <w:tc>
          <w:tcPr>
            <w:tcW w:w="1559" w:type="dxa"/>
            <w:noWrap/>
          </w:tcPr>
          <w:p w14:paraId="3539E42C" w14:textId="77777777" w:rsidR="009D0006" w:rsidRPr="00A25867" w:rsidRDefault="009D0006" w:rsidP="0082031B">
            <w:pPr>
              <w:pStyle w:val="Tabletext"/>
            </w:pPr>
            <w:r>
              <w:t>13.9</w:t>
            </w:r>
          </w:p>
        </w:tc>
      </w:tr>
      <w:tr w:rsidR="009D0006" w:rsidRPr="00A25867" w14:paraId="4C6B34BE" w14:textId="77777777" w:rsidTr="0082031B">
        <w:trPr>
          <w:cnfStyle w:val="000000010000" w:firstRow="0" w:lastRow="0" w:firstColumn="0" w:lastColumn="0" w:oddVBand="0" w:evenVBand="0" w:oddHBand="0" w:evenHBand="1" w:firstRowFirstColumn="0" w:firstRowLastColumn="0" w:lastRowFirstColumn="0" w:lastRowLastColumn="0"/>
          <w:trHeight w:val="301"/>
        </w:trPr>
        <w:tc>
          <w:tcPr>
            <w:tcW w:w="6746" w:type="dxa"/>
            <w:noWrap/>
            <w:hideMark/>
          </w:tcPr>
          <w:p w14:paraId="761594FB" w14:textId="77777777" w:rsidR="009D0006" w:rsidRPr="00A25867" w:rsidRDefault="009D0006" w:rsidP="0082031B">
            <w:pPr>
              <w:pStyle w:val="Tabletext"/>
            </w:pPr>
            <w:r>
              <w:rPr>
                <w:lang w:val="en-US"/>
              </w:rPr>
              <w:t>Ever</w:t>
            </w:r>
          </w:p>
        </w:tc>
        <w:tc>
          <w:tcPr>
            <w:tcW w:w="1559" w:type="dxa"/>
            <w:noWrap/>
          </w:tcPr>
          <w:p w14:paraId="35014729" w14:textId="77777777" w:rsidR="009D0006" w:rsidRPr="00A25867" w:rsidRDefault="009D0006" w:rsidP="0082031B">
            <w:pPr>
              <w:pStyle w:val="Tabletext"/>
            </w:pPr>
            <w:r>
              <w:t>236</w:t>
            </w:r>
          </w:p>
        </w:tc>
        <w:tc>
          <w:tcPr>
            <w:tcW w:w="1559" w:type="dxa"/>
            <w:noWrap/>
          </w:tcPr>
          <w:p w14:paraId="0D13D1FB" w14:textId="77777777" w:rsidR="009D0006" w:rsidRPr="00A25867" w:rsidRDefault="009D0006" w:rsidP="0082031B">
            <w:pPr>
              <w:pStyle w:val="Tabletext"/>
            </w:pPr>
            <w:r>
              <w:t>38.7</w:t>
            </w:r>
          </w:p>
        </w:tc>
      </w:tr>
    </w:tbl>
    <w:p w14:paraId="47D33D75" w14:textId="77777777" w:rsidR="009D0006" w:rsidRDefault="009D0006" w:rsidP="0082031B">
      <w:pPr>
        <w:pStyle w:val="Tableheading"/>
        <w:rPr>
          <w:lang w:val="en-GB"/>
        </w:rPr>
      </w:pPr>
      <w:r>
        <w:rPr>
          <w:lang w:val="en-GB"/>
        </w:rPr>
        <w:t>Table 108.4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08410C99" w14:textId="77777777" w:rsidTr="0082031B">
        <w:trPr>
          <w:cnfStyle w:val="100000000000" w:firstRow="1" w:lastRow="0" w:firstColumn="0" w:lastColumn="0" w:oddVBand="0" w:evenVBand="0" w:oddHBand="0" w:evenHBand="0" w:firstRowFirstColumn="0" w:firstRowLastColumn="0" w:lastRowFirstColumn="0" w:lastRowLastColumn="0"/>
          <w:trHeight w:val="289"/>
        </w:trPr>
        <w:tc>
          <w:tcPr>
            <w:tcW w:w="6746" w:type="dxa"/>
            <w:noWrap/>
            <w:hideMark/>
          </w:tcPr>
          <w:p w14:paraId="0DE98294" w14:textId="77777777" w:rsidR="009D0006" w:rsidRPr="009F2612" w:rsidRDefault="009D0006" w:rsidP="0082031B">
            <w:pPr>
              <w:pStyle w:val="Tableheader"/>
              <w:rPr>
                <w:bCs/>
              </w:rPr>
            </w:pPr>
            <w:r>
              <w:t>Suicide attempt</w:t>
            </w:r>
          </w:p>
        </w:tc>
        <w:tc>
          <w:tcPr>
            <w:tcW w:w="1559" w:type="dxa"/>
            <w:noWrap/>
            <w:hideMark/>
          </w:tcPr>
          <w:p w14:paraId="52432FC5" w14:textId="77777777" w:rsidR="009D0006" w:rsidRPr="0036207E" w:rsidRDefault="009D0006" w:rsidP="0082031B">
            <w:pPr>
              <w:pStyle w:val="Tableheader"/>
              <w:rPr>
                <w:bCs/>
              </w:rPr>
            </w:pPr>
            <w:r w:rsidRPr="0036207E">
              <w:rPr>
                <w:bCs/>
              </w:rPr>
              <w:t>n</w:t>
            </w:r>
          </w:p>
        </w:tc>
        <w:tc>
          <w:tcPr>
            <w:tcW w:w="1559" w:type="dxa"/>
            <w:noWrap/>
            <w:hideMark/>
          </w:tcPr>
          <w:p w14:paraId="768C87C2" w14:textId="77777777" w:rsidR="009D0006" w:rsidRPr="0036207E" w:rsidRDefault="009D0006" w:rsidP="0082031B">
            <w:pPr>
              <w:pStyle w:val="Tableheader"/>
              <w:rPr>
                <w:bCs/>
              </w:rPr>
            </w:pPr>
            <w:r w:rsidRPr="0036207E">
              <w:rPr>
                <w:bCs/>
              </w:rPr>
              <w:t>%</w:t>
            </w:r>
          </w:p>
        </w:tc>
      </w:tr>
      <w:tr w:rsidR="009D0006" w:rsidRPr="00A25867" w14:paraId="093B0BD4" w14:textId="77777777" w:rsidTr="0082031B">
        <w:trPr>
          <w:cnfStyle w:val="000000100000" w:firstRow="0" w:lastRow="0" w:firstColumn="0" w:lastColumn="0" w:oddVBand="0" w:evenVBand="0" w:oddHBand="1" w:evenHBand="0" w:firstRowFirstColumn="0" w:firstRowLastColumn="0" w:lastRowFirstColumn="0" w:lastRowLastColumn="0"/>
          <w:trHeight w:val="289"/>
        </w:trPr>
        <w:tc>
          <w:tcPr>
            <w:tcW w:w="6746" w:type="dxa"/>
            <w:noWrap/>
            <w:hideMark/>
          </w:tcPr>
          <w:p w14:paraId="428D0B72" w14:textId="77777777" w:rsidR="009D0006" w:rsidRPr="00A25867" w:rsidRDefault="009D0006" w:rsidP="0082031B">
            <w:pPr>
              <w:pStyle w:val="Tabletext"/>
            </w:pPr>
            <w:r>
              <w:rPr>
                <w:lang w:val="en-US"/>
              </w:rPr>
              <w:t>Past 12 months</w:t>
            </w:r>
          </w:p>
        </w:tc>
        <w:tc>
          <w:tcPr>
            <w:tcW w:w="1559" w:type="dxa"/>
            <w:noWrap/>
          </w:tcPr>
          <w:p w14:paraId="37FCE14B" w14:textId="77777777" w:rsidR="009D0006" w:rsidRPr="00A25867" w:rsidRDefault="009D0006" w:rsidP="0082031B">
            <w:pPr>
              <w:pStyle w:val="Tabletext"/>
            </w:pPr>
            <w:r>
              <w:t>55</w:t>
            </w:r>
          </w:p>
        </w:tc>
        <w:tc>
          <w:tcPr>
            <w:tcW w:w="1559" w:type="dxa"/>
            <w:noWrap/>
          </w:tcPr>
          <w:p w14:paraId="7B5BBBA8" w14:textId="77777777" w:rsidR="009D0006" w:rsidRPr="00A25867" w:rsidRDefault="009D0006" w:rsidP="0082031B">
            <w:pPr>
              <w:pStyle w:val="Tabletext"/>
            </w:pPr>
            <w:r>
              <w:t>19.4</w:t>
            </w:r>
          </w:p>
        </w:tc>
      </w:tr>
      <w:tr w:rsidR="009D0006" w:rsidRPr="00A25867" w14:paraId="0BDA41E0" w14:textId="77777777" w:rsidTr="0082031B">
        <w:trPr>
          <w:cnfStyle w:val="000000010000" w:firstRow="0" w:lastRow="0" w:firstColumn="0" w:lastColumn="0" w:oddVBand="0" w:evenVBand="0" w:oddHBand="0" w:evenHBand="1" w:firstRowFirstColumn="0" w:firstRowLastColumn="0" w:lastRowFirstColumn="0" w:lastRowLastColumn="0"/>
          <w:trHeight w:val="289"/>
        </w:trPr>
        <w:tc>
          <w:tcPr>
            <w:tcW w:w="6746" w:type="dxa"/>
            <w:noWrap/>
            <w:hideMark/>
          </w:tcPr>
          <w:p w14:paraId="394177CB" w14:textId="77777777" w:rsidR="009D0006" w:rsidRPr="00A25867" w:rsidRDefault="009D0006" w:rsidP="0082031B">
            <w:pPr>
              <w:pStyle w:val="Tabletext"/>
            </w:pPr>
            <w:r>
              <w:rPr>
                <w:lang w:val="en-US"/>
              </w:rPr>
              <w:t>Ever</w:t>
            </w:r>
          </w:p>
        </w:tc>
        <w:tc>
          <w:tcPr>
            <w:tcW w:w="1559" w:type="dxa"/>
            <w:noWrap/>
          </w:tcPr>
          <w:p w14:paraId="1F9D6DEE" w14:textId="77777777" w:rsidR="009D0006" w:rsidRPr="00A25867" w:rsidRDefault="009D0006" w:rsidP="0082031B">
            <w:pPr>
              <w:pStyle w:val="Tabletext"/>
            </w:pPr>
            <w:r>
              <w:t>119</w:t>
            </w:r>
          </w:p>
        </w:tc>
        <w:tc>
          <w:tcPr>
            <w:tcW w:w="1559" w:type="dxa"/>
            <w:noWrap/>
          </w:tcPr>
          <w:p w14:paraId="758F0C5D" w14:textId="77777777" w:rsidR="009D0006" w:rsidRPr="00A25867" w:rsidRDefault="009D0006" w:rsidP="0082031B">
            <w:pPr>
              <w:pStyle w:val="Tabletext"/>
            </w:pPr>
            <w:r>
              <w:t>42.0</w:t>
            </w:r>
          </w:p>
        </w:tc>
      </w:tr>
    </w:tbl>
    <w:p w14:paraId="4F1DEC0A" w14:textId="77777777" w:rsidR="009D0006" w:rsidRDefault="009D0006" w:rsidP="00AB4A74">
      <w:pPr>
        <w:spacing w:before="360"/>
      </w:pPr>
      <w:r w:rsidRPr="003271DA">
        <w:t>As displayed in Table</w:t>
      </w:r>
      <w:r>
        <w:t>s</w:t>
      </w:r>
      <w:r w:rsidRPr="003271DA">
        <w:t xml:space="preserve"> </w:t>
      </w:r>
      <w:r>
        <w:t xml:space="preserve">108.1-108.4, almost one-fifth of participants with disability in </w:t>
      </w:r>
      <w:r>
        <w:rPr>
          <w:i/>
          <w:iCs/>
        </w:rPr>
        <w:t xml:space="preserve">Writing Themselves In 4 </w:t>
      </w:r>
      <w:r>
        <w:t xml:space="preserve">who were residing in a rural or remote area had attempted suicide in the past 12 months (19.4%; n = 55), followed by participants in an outer suburban area (16.1%; n = 226), participants in a regional city or town 13.9%; n = 85) and participants in an inner suburban area (12.7%; n = 21). </w:t>
      </w:r>
    </w:p>
    <w:p w14:paraId="49F52847" w14:textId="77777777" w:rsidR="009D0006" w:rsidRDefault="009D0006" w:rsidP="009D0006">
      <w:r>
        <w:t xml:space="preserve">More than two-fifths of participants in </w:t>
      </w:r>
      <w:r>
        <w:rPr>
          <w:i/>
          <w:iCs/>
        </w:rPr>
        <w:t>Writing Themselves In</w:t>
      </w:r>
      <w:r>
        <w:t xml:space="preserve"> who were residing in a rural or remote area had attempted suicide in their lifetime (42.0%; n = 119), followed by participan</w:t>
      </w:r>
      <w:r>
        <w:lastRenderedPageBreak/>
        <w:t>ts in an inner suburban area (40.6%; n = 67), participants in an outer suburban area (39.0%; n = 548) and participants in a regional city or town (38.7%; n = 236).</w:t>
      </w:r>
    </w:p>
    <w:p w14:paraId="4769D7D5" w14:textId="1CE19002" w:rsidR="009D0006" w:rsidRPr="00C5739E" w:rsidRDefault="009D0006" w:rsidP="009401DC">
      <w:pPr>
        <w:pStyle w:val="Heading3Numbered"/>
      </w:pPr>
      <w:bookmarkStart w:id="879" w:name="_Toc115968651"/>
      <w:r w:rsidRPr="00C5739E">
        <w:t>Suicide attempts</w:t>
      </w:r>
      <w:r>
        <w:t xml:space="preserve"> </w:t>
      </w:r>
      <w:r w:rsidRPr="00C5739E">
        <w:t>– adults aged 18+ years</w:t>
      </w:r>
      <w:bookmarkEnd w:id="879"/>
    </w:p>
    <w:p w14:paraId="4289D308" w14:textId="564883F6" w:rsidR="009D0006" w:rsidRDefault="009D0006" w:rsidP="0082031B">
      <w:pPr>
        <w:pStyle w:val="Tableheading"/>
      </w:pPr>
      <w:bookmarkStart w:id="880" w:name="_Toc117062826"/>
      <w:bookmarkStart w:id="881" w:name="_Toc119651511"/>
      <w:r w:rsidRPr="004B71BD">
        <w:rPr>
          <w:bCs/>
        </w:rPr>
        <w:t>Table</w:t>
      </w:r>
      <w:r>
        <w:rPr>
          <w:bCs/>
        </w:rPr>
        <w:t>s</w:t>
      </w:r>
      <w:r w:rsidRPr="004B71BD">
        <w:rPr>
          <w:bCs/>
        </w:rPr>
        <w:t xml:space="preserve"> </w:t>
      </w:r>
      <w:r w:rsidRPr="004B71BD">
        <w:rPr>
          <w:bCs/>
        </w:rPr>
        <w:fldChar w:fldCharType="begin"/>
      </w:r>
      <w:r w:rsidRPr="004B71BD">
        <w:rPr>
          <w:bCs/>
        </w:rPr>
        <w:instrText xml:space="preserve"> SEQ Table \* ARABIC </w:instrText>
      </w:r>
      <w:r w:rsidRPr="004B71BD">
        <w:rPr>
          <w:bCs/>
        </w:rPr>
        <w:fldChar w:fldCharType="separate"/>
      </w:r>
      <w:r>
        <w:rPr>
          <w:bCs/>
          <w:noProof/>
        </w:rPr>
        <w:t>109</w:t>
      </w:r>
      <w:r w:rsidRPr="004B71BD">
        <w:rPr>
          <w:bCs/>
        </w:rPr>
        <w:fldChar w:fldCharType="end"/>
      </w:r>
      <w:r>
        <w:rPr>
          <w:bCs/>
        </w:rPr>
        <w:t>.1-109.4</w:t>
      </w:r>
      <w:r>
        <w:t xml:space="preserve">: </w:t>
      </w:r>
      <w:r w:rsidRPr="00C5739E">
        <w:t xml:space="preserve">Suicide attempt </w:t>
      </w:r>
      <w:r>
        <w:t xml:space="preserve">among adults with disability aged 18+ years, grouped </w:t>
      </w:r>
      <w:r w:rsidRPr="00C5739E">
        <w:t xml:space="preserve">by </w:t>
      </w:r>
      <w:r>
        <w:t xml:space="preserve">area of residence </w:t>
      </w:r>
      <w:r w:rsidRPr="00C5739E">
        <w:t xml:space="preserve">(n = </w:t>
      </w:r>
      <w:r>
        <w:t>2170</w:t>
      </w:r>
      <w:r w:rsidRPr="00C5739E">
        <w:t>)</w:t>
      </w:r>
      <w:bookmarkEnd w:id="880"/>
      <w:bookmarkEnd w:id="881"/>
    </w:p>
    <w:p w14:paraId="3C71ACC7" w14:textId="77777777" w:rsidR="009D0006" w:rsidRPr="00C5739E" w:rsidRDefault="009D0006" w:rsidP="0082031B">
      <w:pPr>
        <w:pStyle w:val="Tableheading"/>
      </w:pPr>
      <w:r>
        <w:t>Table 109.1 Inner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0F6BA951" w14:textId="77777777" w:rsidTr="00C72085">
        <w:trPr>
          <w:cnfStyle w:val="100000000000" w:firstRow="1" w:lastRow="0" w:firstColumn="0" w:lastColumn="0" w:oddVBand="0" w:evenVBand="0" w:oddHBand="0" w:evenHBand="0" w:firstRowFirstColumn="0" w:firstRowLastColumn="0" w:lastRowFirstColumn="0" w:lastRowLastColumn="0"/>
          <w:trHeight w:val="301"/>
        </w:trPr>
        <w:tc>
          <w:tcPr>
            <w:tcW w:w="6746" w:type="dxa"/>
            <w:noWrap/>
            <w:hideMark/>
          </w:tcPr>
          <w:p w14:paraId="6FFE2415" w14:textId="77777777" w:rsidR="009D0006" w:rsidRPr="009F2612" w:rsidRDefault="009D0006" w:rsidP="00C72085">
            <w:pPr>
              <w:pStyle w:val="Tableheader"/>
              <w:rPr>
                <w:bCs/>
              </w:rPr>
            </w:pPr>
            <w:r>
              <w:t>Suicide attempt</w:t>
            </w:r>
          </w:p>
        </w:tc>
        <w:tc>
          <w:tcPr>
            <w:tcW w:w="1559" w:type="dxa"/>
            <w:noWrap/>
            <w:hideMark/>
          </w:tcPr>
          <w:p w14:paraId="03BB3903" w14:textId="77777777" w:rsidR="009D0006" w:rsidRPr="00883EC4" w:rsidRDefault="009D0006" w:rsidP="00C72085">
            <w:pPr>
              <w:pStyle w:val="Tableheader"/>
              <w:rPr>
                <w:bCs/>
              </w:rPr>
            </w:pPr>
            <w:r w:rsidRPr="00883EC4">
              <w:rPr>
                <w:bCs/>
              </w:rPr>
              <w:t>n</w:t>
            </w:r>
          </w:p>
        </w:tc>
        <w:tc>
          <w:tcPr>
            <w:tcW w:w="1559" w:type="dxa"/>
            <w:noWrap/>
            <w:hideMark/>
          </w:tcPr>
          <w:p w14:paraId="4086D379" w14:textId="77777777" w:rsidR="009D0006" w:rsidRPr="00883EC4" w:rsidRDefault="009D0006" w:rsidP="00C72085">
            <w:pPr>
              <w:pStyle w:val="Tableheader"/>
              <w:rPr>
                <w:bCs/>
              </w:rPr>
            </w:pPr>
            <w:r w:rsidRPr="00883EC4">
              <w:rPr>
                <w:bCs/>
              </w:rPr>
              <w:t>%</w:t>
            </w:r>
          </w:p>
        </w:tc>
      </w:tr>
      <w:tr w:rsidR="009D0006" w:rsidRPr="00A25867" w14:paraId="25DD7C59" w14:textId="77777777" w:rsidTr="00C72085">
        <w:trPr>
          <w:cnfStyle w:val="000000100000" w:firstRow="0" w:lastRow="0" w:firstColumn="0" w:lastColumn="0" w:oddVBand="0" w:evenVBand="0" w:oddHBand="1" w:evenHBand="0" w:firstRowFirstColumn="0" w:firstRowLastColumn="0" w:lastRowFirstColumn="0" w:lastRowLastColumn="0"/>
          <w:trHeight w:val="301"/>
        </w:trPr>
        <w:tc>
          <w:tcPr>
            <w:tcW w:w="6746" w:type="dxa"/>
            <w:noWrap/>
            <w:hideMark/>
          </w:tcPr>
          <w:p w14:paraId="304B5288" w14:textId="77777777" w:rsidR="009D0006" w:rsidRPr="00A25867" w:rsidRDefault="009D0006" w:rsidP="00C72085">
            <w:pPr>
              <w:pStyle w:val="Tabletext"/>
            </w:pPr>
            <w:r>
              <w:rPr>
                <w:lang w:val="en-US"/>
              </w:rPr>
              <w:t>Past 12 months</w:t>
            </w:r>
          </w:p>
        </w:tc>
        <w:tc>
          <w:tcPr>
            <w:tcW w:w="1559" w:type="dxa"/>
            <w:noWrap/>
          </w:tcPr>
          <w:p w14:paraId="54A9F788" w14:textId="77777777" w:rsidR="009D0006" w:rsidRPr="00A25867" w:rsidRDefault="009D0006" w:rsidP="00C72085">
            <w:pPr>
              <w:pStyle w:val="Tabletext"/>
            </w:pPr>
            <w:r>
              <w:t>57</w:t>
            </w:r>
          </w:p>
        </w:tc>
        <w:tc>
          <w:tcPr>
            <w:tcW w:w="1559" w:type="dxa"/>
            <w:noWrap/>
          </w:tcPr>
          <w:p w14:paraId="178A0B3A" w14:textId="77777777" w:rsidR="009D0006" w:rsidRPr="00A25867" w:rsidRDefault="009D0006" w:rsidP="00C72085">
            <w:pPr>
              <w:pStyle w:val="Tabletext"/>
            </w:pPr>
            <w:r>
              <w:t>6.8</w:t>
            </w:r>
          </w:p>
        </w:tc>
      </w:tr>
      <w:tr w:rsidR="009D0006" w:rsidRPr="00A25867" w14:paraId="06965F23" w14:textId="77777777" w:rsidTr="00C72085">
        <w:trPr>
          <w:cnfStyle w:val="000000010000" w:firstRow="0" w:lastRow="0" w:firstColumn="0" w:lastColumn="0" w:oddVBand="0" w:evenVBand="0" w:oddHBand="0" w:evenHBand="1" w:firstRowFirstColumn="0" w:firstRowLastColumn="0" w:lastRowFirstColumn="0" w:lastRowLastColumn="0"/>
          <w:trHeight w:val="301"/>
        </w:trPr>
        <w:tc>
          <w:tcPr>
            <w:tcW w:w="6746" w:type="dxa"/>
            <w:noWrap/>
            <w:hideMark/>
          </w:tcPr>
          <w:p w14:paraId="3CF838BA" w14:textId="77777777" w:rsidR="009D0006" w:rsidRPr="00A25867" w:rsidRDefault="009D0006" w:rsidP="00C72085">
            <w:pPr>
              <w:pStyle w:val="Tabletext"/>
            </w:pPr>
            <w:r>
              <w:rPr>
                <w:lang w:val="en-US"/>
              </w:rPr>
              <w:t>Ever</w:t>
            </w:r>
          </w:p>
        </w:tc>
        <w:tc>
          <w:tcPr>
            <w:tcW w:w="1559" w:type="dxa"/>
            <w:noWrap/>
          </w:tcPr>
          <w:p w14:paraId="19A4FB9C" w14:textId="77777777" w:rsidR="009D0006" w:rsidRPr="00A25867" w:rsidRDefault="009D0006" w:rsidP="00C72085">
            <w:pPr>
              <w:pStyle w:val="Tabletext"/>
            </w:pPr>
            <w:r>
              <w:t>341</w:t>
            </w:r>
          </w:p>
        </w:tc>
        <w:tc>
          <w:tcPr>
            <w:tcW w:w="1559" w:type="dxa"/>
            <w:noWrap/>
          </w:tcPr>
          <w:p w14:paraId="69554073" w14:textId="77777777" w:rsidR="009D0006" w:rsidRPr="00A25867" w:rsidRDefault="009D0006" w:rsidP="00C72085">
            <w:pPr>
              <w:pStyle w:val="Tabletext"/>
            </w:pPr>
            <w:r>
              <w:t>40.7</w:t>
            </w:r>
          </w:p>
        </w:tc>
      </w:tr>
    </w:tbl>
    <w:p w14:paraId="51CC6FA5" w14:textId="77777777" w:rsidR="009D0006" w:rsidRDefault="009D0006" w:rsidP="00C72085">
      <w:pPr>
        <w:pStyle w:val="Tableheading"/>
      </w:pPr>
      <w:r>
        <w:t>Table 109.2 Outer suburban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17887166" w14:textId="77777777" w:rsidTr="00C72085">
        <w:trPr>
          <w:cnfStyle w:val="100000000000" w:firstRow="1" w:lastRow="0" w:firstColumn="0" w:lastColumn="0" w:oddVBand="0" w:evenVBand="0" w:oddHBand="0" w:evenHBand="0" w:firstRowFirstColumn="0" w:firstRowLastColumn="0" w:lastRowFirstColumn="0" w:lastRowLastColumn="0"/>
          <w:trHeight w:val="290"/>
        </w:trPr>
        <w:tc>
          <w:tcPr>
            <w:tcW w:w="6746" w:type="dxa"/>
            <w:noWrap/>
            <w:hideMark/>
          </w:tcPr>
          <w:p w14:paraId="2AE3F40B" w14:textId="77777777" w:rsidR="009D0006" w:rsidRPr="009F2612" w:rsidRDefault="009D0006" w:rsidP="00C72085">
            <w:pPr>
              <w:pStyle w:val="Tableheader"/>
              <w:rPr>
                <w:bCs/>
              </w:rPr>
            </w:pPr>
            <w:r>
              <w:t>Suicide attempt</w:t>
            </w:r>
          </w:p>
        </w:tc>
        <w:tc>
          <w:tcPr>
            <w:tcW w:w="1559" w:type="dxa"/>
            <w:noWrap/>
            <w:hideMark/>
          </w:tcPr>
          <w:p w14:paraId="06162171" w14:textId="77777777" w:rsidR="009D0006" w:rsidRPr="00883EC4" w:rsidRDefault="009D0006" w:rsidP="00C72085">
            <w:pPr>
              <w:pStyle w:val="Tableheader"/>
              <w:rPr>
                <w:bCs/>
              </w:rPr>
            </w:pPr>
            <w:r w:rsidRPr="00883EC4">
              <w:rPr>
                <w:bCs/>
              </w:rPr>
              <w:t>n</w:t>
            </w:r>
          </w:p>
        </w:tc>
        <w:tc>
          <w:tcPr>
            <w:tcW w:w="1559" w:type="dxa"/>
            <w:noWrap/>
            <w:hideMark/>
          </w:tcPr>
          <w:p w14:paraId="1A0D9E8E" w14:textId="77777777" w:rsidR="009D0006" w:rsidRPr="00883EC4" w:rsidRDefault="009D0006" w:rsidP="00C72085">
            <w:pPr>
              <w:pStyle w:val="Tableheader"/>
              <w:rPr>
                <w:bCs/>
              </w:rPr>
            </w:pPr>
            <w:r w:rsidRPr="00883EC4">
              <w:rPr>
                <w:bCs/>
              </w:rPr>
              <w:t>%</w:t>
            </w:r>
          </w:p>
        </w:tc>
      </w:tr>
      <w:tr w:rsidR="009D0006" w:rsidRPr="00A25867" w14:paraId="04B06335" w14:textId="77777777" w:rsidTr="00C72085">
        <w:trPr>
          <w:cnfStyle w:val="000000100000" w:firstRow="0" w:lastRow="0" w:firstColumn="0" w:lastColumn="0" w:oddVBand="0" w:evenVBand="0" w:oddHBand="1" w:evenHBand="0" w:firstRowFirstColumn="0" w:firstRowLastColumn="0" w:lastRowFirstColumn="0" w:lastRowLastColumn="0"/>
          <w:trHeight w:val="290"/>
        </w:trPr>
        <w:tc>
          <w:tcPr>
            <w:tcW w:w="6746" w:type="dxa"/>
            <w:noWrap/>
            <w:hideMark/>
          </w:tcPr>
          <w:p w14:paraId="6873184A" w14:textId="77777777" w:rsidR="009D0006" w:rsidRPr="00A25867" w:rsidRDefault="009D0006" w:rsidP="00C72085">
            <w:pPr>
              <w:pStyle w:val="Tabletext"/>
            </w:pPr>
            <w:r>
              <w:rPr>
                <w:lang w:val="en-US"/>
              </w:rPr>
              <w:t>Past 12 months</w:t>
            </w:r>
          </w:p>
        </w:tc>
        <w:tc>
          <w:tcPr>
            <w:tcW w:w="1559" w:type="dxa"/>
            <w:noWrap/>
          </w:tcPr>
          <w:p w14:paraId="2277BE9A" w14:textId="77777777" w:rsidR="009D0006" w:rsidRPr="00A25867" w:rsidRDefault="009D0006" w:rsidP="00C72085">
            <w:pPr>
              <w:pStyle w:val="Tabletext"/>
            </w:pPr>
            <w:r>
              <w:t>62</w:t>
            </w:r>
          </w:p>
        </w:tc>
        <w:tc>
          <w:tcPr>
            <w:tcW w:w="1559" w:type="dxa"/>
            <w:noWrap/>
          </w:tcPr>
          <w:p w14:paraId="66D7ED1D" w14:textId="77777777" w:rsidR="009D0006" w:rsidRPr="00A25867" w:rsidRDefault="009D0006" w:rsidP="00C72085">
            <w:pPr>
              <w:pStyle w:val="Tabletext"/>
            </w:pPr>
            <w:r>
              <w:t>9.5</w:t>
            </w:r>
          </w:p>
        </w:tc>
      </w:tr>
      <w:tr w:rsidR="009D0006" w:rsidRPr="00A25867" w14:paraId="3A63DF49" w14:textId="77777777" w:rsidTr="00C72085">
        <w:trPr>
          <w:cnfStyle w:val="000000010000" w:firstRow="0" w:lastRow="0" w:firstColumn="0" w:lastColumn="0" w:oddVBand="0" w:evenVBand="0" w:oddHBand="0" w:evenHBand="1" w:firstRowFirstColumn="0" w:firstRowLastColumn="0" w:lastRowFirstColumn="0" w:lastRowLastColumn="0"/>
          <w:trHeight w:val="290"/>
        </w:trPr>
        <w:tc>
          <w:tcPr>
            <w:tcW w:w="6746" w:type="dxa"/>
            <w:noWrap/>
            <w:hideMark/>
          </w:tcPr>
          <w:p w14:paraId="7DDA8A6B" w14:textId="77777777" w:rsidR="009D0006" w:rsidRPr="00A25867" w:rsidRDefault="009D0006" w:rsidP="00C72085">
            <w:pPr>
              <w:pStyle w:val="Tabletext"/>
            </w:pPr>
            <w:r>
              <w:rPr>
                <w:lang w:val="en-US"/>
              </w:rPr>
              <w:t>Ever</w:t>
            </w:r>
          </w:p>
        </w:tc>
        <w:tc>
          <w:tcPr>
            <w:tcW w:w="1559" w:type="dxa"/>
            <w:noWrap/>
          </w:tcPr>
          <w:p w14:paraId="43FD247B" w14:textId="77777777" w:rsidR="009D0006" w:rsidRPr="00A25867" w:rsidRDefault="009D0006" w:rsidP="00C72085">
            <w:pPr>
              <w:pStyle w:val="Tabletext"/>
            </w:pPr>
            <w:r>
              <w:t>291</w:t>
            </w:r>
          </w:p>
        </w:tc>
        <w:tc>
          <w:tcPr>
            <w:tcW w:w="1559" w:type="dxa"/>
            <w:noWrap/>
          </w:tcPr>
          <w:p w14:paraId="616D5507" w14:textId="77777777" w:rsidR="009D0006" w:rsidRPr="00A25867" w:rsidRDefault="009D0006" w:rsidP="00C72085">
            <w:pPr>
              <w:pStyle w:val="Tabletext"/>
            </w:pPr>
            <w:r>
              <w:t>44.6</w:t>
            </w:r>
          </w:p>
        </w:tc>
      </w:tr>
    </w:tbl>
    <w:p w14:paraId="2479C305" w14:textId="77777777" w:rsidR="009D0006" w:rsidRDefault="009D0006" w:rsidP="00C72085">
      <w:pPr>
        <w:pStyle w:val="Tableheading"/>
      </w:pPr>
      <w:r>
        <w:t>Table 109.3 Regional city or town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5033C1D5" w14:textId="77777777" w:rsidTr="00C72085">
        <w:trPr>
          <w:cnfStyle w:val="100000000000" w:firstRow="1" w:lastRow="0" w:firstColumn="0" w:lastColumn="0" w:oddVBand="0" w:evenVBand="0" w:oddHBand="0" w:evenHBand="0" w:firstRowFirstColumn="0" w:firstRowLastColumn="0" w:lastRowFirstColumn="0" w:lastRowLastColumn="0"/>
          <w:trHeight w:val="306"/>
        </w:trPr>
        <w:tc>
          <w:tcPr>
            <w:tcW w:w="6746" w:type="dxa"/>
            <w:noWrap/>
            <w:hideMark/>
          </w:tcPr>
          <w:p w14:paraId="6E3B65F0" w14:textId="77777777" w:rsidR="009D0006" w:rsidRPr="009F2612" w:rsidRDefault="009D0006" w:rsidP="00C72085">
            <w:pPr>
              <w:pStyle w:val="Tableheader"/>
              <w:rPr>
                <w:bCs/>
              </w:rPr>
            </w:pPr>
            <w:r>
              <w:t>Suicide attempt</w:t>
            </w:r>
          </w:p>
        </w:tc>
        <w:tc>
          <w:tcPr>
            <w:tcW w:w="1559" w:type="dxa"/>
            <w:noWrap/>
            <w:hideMark/>
          </w:tcPr>
          <w:p w14:paraId="77C2A132" w14:textId="77777777" w:rsidR="009D0006" w:rsidRPr="00883EC4" w:rsidRDefault="009D0006" w:rsidP="00C72085">
            <w:pPr>
              <w:pStyle w:val="Tableheader"/>
              <w:rPr>
                <w:bCs/>
              </w:rPr>
            </w:pPr>
            <w:r w:rsidRPr="00883EC4">
              <w:rPr>
                <w:bCs/>
              </w:rPr>
              <w:t>n</w:t>
            </w:r>
          </w:p>
        </w:tc>
        <w:tc>
          <w:tcPr>
            <w:tcW w:w="1559" w:type="dxa"/>
            <w:noWrap/>
            <w:hideMark/>
          </w:tcPr>
          <w:p w14:paraId="00AEE27F" w14:textId="77777777" w:rsidR="009D0006" w:rsidRPr="00883EC4" w:rsidRDefault="009D0006" w:rsidP="00C72085">
            <w:pPr>
              <w:pStyle w:val="Tableheader"/>
              <w:rPr>
                <w:bCs/>
              </w:rPr>
            </w:pPr>
            <w:r w:rsidRPr="00883EC4">
              <w:rPr>
                <w:bCs/>
              </w:rPr>
              <w:t>%</w:t>
            </w:r>
          </w:p>
        </w:tc>
      </w:tr>
      <w:tr w:rsidR="009D0006" w:rsidRPr="00A25867" w14:paraId="41F4CE79" w14:textId="77777777" w:rsidTr="00C72085">
        <w:trPr>
          <w:cnfStyle w:val="000000100000" w:firstRow="0" w:lastRow="0" w:firstColumn="0" w:lastColumn="0" w:oddVBand="0" w:evenVBand="0" w:oddHBand="1" w:evenHBand="0" w:firstRowFirstColumn="0" w:firstRowLastColumn="0" w:lastRowFirstColumn="0" w:lastRowLastColumn="0"/>
          <w:trHeight w:val="306"/>
        </w:trPr>
        <w:tc>
          <w:tcPr>
            <w:tcW w:w="6746" w:type="dxa"/>
            <w:noWrap/>
            <w:hideMark/>
          </w:tcPr>
          <w:p w14:paraId="6C9FDBD9" w14:textId="77777777" w:rsidR="009D0006" w:rsidRPr="00A25867" w:rsidRDefault="009D0006" w:rsidP="00C72085">
            <w:pPr>
              <w:pStyle w:val="Tabletext"/>
            </w:pPr>
            <w:r>
              <w:rPr>
                <w:lang w:val="en-US"/>
              </w:rPr>
              <w:t>Past 12 months</w:t>
            </w:r>
          </w:p>
        </w:tc>
        <w:tc>
          <w:tcPr>
            <w:tcW w:w="1559" w:type="dxa"/>
            <w:noWrap/>
          </w:tcPr>
          <w:p w14:paraId="4BC20679" w14:textId="77777777" w:rsidR="009D0006" w:rsidRPr="00A25867" w:rsidRDefault="009D0006" w:rsidP="00C72085">
            <w:pPr>
              <w:pStyle w:val="Tabletext"/>
            </w:pPr>
            <w:r>
              <w:t>47</w:t>
            </w:r>
          </w:p>
        </w:tc>
        <w:tc>
          <w:tcPr>
            <w:tcW w:w="1559" w:type="dxa"/>
            <w:noWrap/>
          </w:tcPr>
          <w:p w14:paraId="6D7F267F" w14:textId="77777777" w:rsidR="009D0006" w:rsidRPr="00A25867" w:rsidRDefault="009D0006" w:rsidP="00C72085">
            <w:pPr>
              <w:pStyle w:val="Tabletext"/>
            </w:pPr>
            <w:r>
              <w:t>8.9</w:t>
            </w:r>
          </w:p>
        </w:tc>
      </w:tr>
      <w:tr w:rsidR="009D0006" w:rsidRPr="00A25867" w14:paraId="68749762" w14:textId="77777777" w:rsidTr="00C72085">
        <w:trPr>
          <w:cnfStyle w:val="000000010000" w:firstRow="0" w:lastRow="0" w:firstColumn="0" w:lastColumn="0" w:oddVBand="0" w:evenVBand="0" w:oddHBand="0" w:evenHBand="1" w:firstRowFirstColumn="0" w:firstRowLastColumn="0" w:lastRowFirstColumn="0" w:lastRowLastColumn="0"/>
          <w:trHeight w:val="306"/>
        </w:trPr>
        <w:tc>
          <w:tcPr>
            <w:tcW w:w="6746" w:type="dxa"/>
            <w:noWrap/>
            <w:hideMark/>
          </w:tcPr>
          <w:p w14:paraId="67A1C701" w14:textId="77777777" w:rsidR="009D0006" w:rsidRPr="00A25867" w:rsidRDefault="009D0006" w:rsidP="00C72085">
            <w:pPr>
              <w:pStyle w:val="Tabletext"/>
            </w:pPr>
            <w:r>
              <w:rPr>
                <w:lang w:val="en-US"/>
              </w:rPr>
              <w:t>Ever</w:t>
            </w:r>
          </w:p>
        </w:tc>
        <w:tc>
          <w:tcPr>
            <w:tcW w:w="1559" w:type="dxa"/>
            <w:noWrap/>
          </w:tcPr>
          <w:p w14:paraId="445C6367" w14:textId="77777777" w:rsidR="009D0006" w:rsidRPr="00A25867" w:rsidRDefault="009D0006" w:rsidP="00C72085">
            <w:pPr>
              <w:pStyle w:val="Tabletext"/>
            </w:pPr>
            <w:r>
              <w:t>229</w:t>
            </w:r>
          </w:p>
        </w:tc>
        <w:tc>
          <w:tcPr>
            <w:tcW w:w="1559" w:type="dxa"/>
            <w:noWrap/>
          </w:tcPr>
          <w:p w14:paraId="275E51CB" w14:textId="77777777" w:rsidR="009D0006" w:rsidRPr="00A25867" w:rsidRDefault="009D0006" w:rsidP="00C72085">
            <w:pPr>
              <w:pStyle w:val="Tabletext"/>
            </w:pPr>
            <w:r>
              <w:t>43.1</w:t>
            </w:r>
          </w:p>
        </w:tc>
      </w:tr>
    </w:tbl>
    <w:p w14:paraId="5BE0851C" w14:textId="77777777" w:rsidR="009D0006" w:rsidRDefault="009D0006" w:rsidP="00C72085">
      <w:pPr>
        <w:pStyle w:val="Tableheading"/>
      </w:pPr>
      <w:r>
        <w:t>Table 109.4 Rural or remote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A25867" w14:paraId="137E92D6" w14:textId="77777777" w:rsidTr="00C72085">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4F5F5C56" w14:textId="77777777" w:rsidR="009D0006" w:rsidRPr="009F2612" w:rsidRDefault="009D0006" w:rsidP="00C72085">
            <w:pPr>
              <w:pStyle w:val="Tableheader"/>
              <w:rPr>
                <w:bCs/>
              </w:rPr>
            </w:pPr>
            <w:r>
              <w:t>Suicide attempt</w:t>
            </w:r>
          </w:p>
        </w:tc>
        <w:tc>
          <w:tcPr>
            <w:tcW w:w="1559" w:type="dxa"/>
            <w:noWrap/>
            <w:hideMark/>
          </w:tcPr>
          <w:p w14:paraId="18662EEE" w14:textId="77777777" w:rsidR="009D0006" w:rsidRPr="00883EC4" w:rsidRDefault="009D0006" w:rsidP="00C72085">
            <w:pPr>
              <w:pStyle w:val="Tableheader"/>
              <w:rPr>
                <w:bCs/>
              </w:rPr>
            </w:pPr>
            <w:r w:rsidRPr="00883EC4">
              <w:rPr>
                <w:bCs/>
              </w:rPr>
              <w:t>n</w:t>
            </w:r>
          </w:p>
        </w:tc>
        <w:tc>
          <w:tcPr>
            <w:tcW w:w="1559" w:type="dxa"/>
            <w:noWrap/>
            <w:hideMark/>
          </w:tcPr>
          <w:p w14:paraId="23231237" w14:textId="77777777" w:rsidR="009D0006" w:rsidRPr="00883EC4" w:rsidRDefault="009D0006" w:rsidP="00C72085">
            <w:pPr>
              <w:pStyle w:val="Tableheader"/>
              <w:rPr>
                <w:bCs/>
              </w:rPr>
            </w:pPr>
            <w:r w:rsidRPr="00883EC4">
              <w:rPr>
                <w:bCs/>
              </w:rPr>
              <w:t>%</w:t>
            </w:r>
          </w:p>
        </w:tc>
      </w:tr>
      <w:tr w:rsidR="009D0006" w:rsidRPr="00A25867" w14:paraId="236C8737" w14:textId="77777777" w:rsidTr="00C72085">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79D3E0D3" w14:textId="77777777" w:rsidR="009D0006" w:rsidRPr="00A25867" w:rsidRDefault="009D0006" w:rsidP="00C72085">
            <w:pPr>
              <w:pStyle w:val="Tabletext"/>
            </w:pPr>
            <w:r>
              <w:rPr>
                <w:lang w:val="en-US"/>
              </w:rPr>
              <w:t>Past 12 months</w:t>
            </w:r>
          </w:p>
        </w:tc>
        <w:tc>
          <w:tcPr>
            <w:tcW w:w="1559" w:type="dxa"/>
            <w:noWrap/>
          </w:tcPr>
          <w:p w14:paraId="5064EAA0" w14:textId="77777777" w:rsidR="009D0006" w:rsidRPr="00A25867" w:rsidRDefault="009D0006" w:rsidP="00C72085">
            <w:pPr>
              <w:pStyle w:val="Tabletext"/>
            </w:pPr>
            <w:r>
              <w:t>18</w:t>
            </w:r>
          </w:p>
        </w:tc>
        <w:tc>
          <w:tcPr>
            <w:tcW w:w="1559" w:type="dxa"/>
            <w:noWrap/>
          </w:tcPr>
          <w:p w14:paraId="4A89CC39" w14:textId="77777777" w:rsidR="009D0006" w:rsidRPr="00A25867" w:rsidRDefault="009D0006" w:rsidP="00C72085">
            <w:pPr>
              <w:pStyle w:val="Tabletext"/>
            </w:pPr>
            <w:r>
              <w:t>12.2</w:t>
            </w:r>
          </w:p>
        </w:tc>
      </w:tr>
      <w:tr w:rsidR="009D0006" w:rsidRPr="00A25867" w14:paraId="790C74D5" w14:textId="77777777" w:rsidTr="00C72085">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158C2106" w14:textId="77777777" w:rsidR="009D0006" w:rsidRPr="00A25867" w:rsidRDefault="009D0006" w:rsidP="00C72085">
            <w:pPr>
              <w:pStyle w:val="Tabletext"/>
            </w:pPr>
            <w:r>
              <w:rPr>
                <w:lang w:val="en-US"/>
              </w:rPr>
              <w:t>Ever</w:t>
            </w:r>
          </w:p>
        </w:tc>
        <w:tc>
          <w:tcPr>
            <w:tcW w:w="1559" w:type="dxa"/>
            <w:noWrap/>
          </w:tcPr>
          <w:p w14:paraId="3BDBA711" w14:textId="77777777" w:rsidR="009D0006" w:rsidRPr="00A25867" w:rsidRDefault="009D0006" w:rsidP="00C72085">
            <w:pPr>
              <w:pStyle w:val="Tabletext"/>
            </w:pPr>
            <w:r>
              <w:t>79</w:t>
            </w:r>
          </w:p>
        </w:tc>
        <w:tc>
          <w:tcPr>
            <w:tcW w:w="1559" w:type="dxa"/>
            <w:noWrap/>
          </w:tcPr>
          <w:p w14:paraId="74A50061" w14:textId="77777777" w:rsidR="009D0006" w:rsidRPr="00A25867" w:rsidRDefault="009D0006" w:rsidP="00C72085">
            <w:pPr>
              <w:pStyle w:val="Tabletext"/>
            </w:pPr>
            <w:r>
              <w:t>53.4</w:t>
            </w:r>
          </w:p>
        </w:tc>
      </w:tr>
    </w:tbl>
    <w:p w14:paraId="6DEB0949" w14:textId="77777777" w:rsidR="009D0006" w:rsidRDefault="009D0006" w:rsidP="00AB4A74">
      <w:pPr>
        <w:spacing w:before="360"/>
      </w:pPr>
      <w:r>
        <w:t>As displayed in Tables 109.1-109.4, a</w:t>
      </w:r>
      <w:r w:rsidRPr="003271DA">
        <w:t xml:space="preserve"> little more than </w:t>
      </w:r>
      <w:r>
        <w:t>1 in 10</w:t>
      </w:r>
      <w:r w:rsidRPr="003271DA">
        <w:t xml:space="preserve"> participants with disability in </w:t>
      </w:r>
      <w:r>
        <w:rPr>
          <w:i/>
          <w:iCs/>
        </w:rPr>
        <w:t>Private Lives 3</w:t>
      </w:r>
      <w:r>
        <w:t xml:space="preserve"> who were residing in a rural or remote area had attempted suicide in the past 12 months (12.2%; n = 18), followed by participants in an outer suburban area (9.5%; n = 62), participants in a regional city or town (8.9%; n = 47) and participants in an inner suburban area (6.8%; n = 57).</w:t>
      </w:r>
    </w:p>
    <w:p w14:paraId="6CD023BD" w14:textId="77777777" w:rsidR="009D0006" w:rsidRPr="003271DA" w:rsidRDefault="009D0006" w:rsidP="009D0006">
      <w:r>
        <w:t xml:space="preserve">More than half of participants in </w:t>
      </w:r>
      <w:r>
        <w:rPr>
          <w:i/>
          <w:iCs/>
        </w:rPr>
        <w:t>Private Lives 3</w:t>
      </w:r>
      <w:r>
        <w:t xml:space="preserve"> who were residing in a rural and remote area had attempted suicide ever in their lifetime (53.4%; n = 79), followed by participants in an oute</w:t>
      </w:r>
      <w:r>
        <w:lastRenderedPageBreak/>
        <w:t>r suburban area (44.6%; n = 291), participants in a regional city or town (43.1%; n = 229) and participants in an inner suburban area (40.7%; n = 341).</w:t>
      </w:r>
    </w:p>
    <w:p w14:paraId="07F7EAFF" w14:textId="145E5BD2" w:rsidR="009D0006" w:rsidRDefault="009D0006" w:rsidP="009401DC">
      <w:pPr>
        <w:pStyle w:val="Heading2Numbered"/>
      </w:pPr>
      <w:bookmarkStart w:id="882" w:name="_Toc115968652"/>
      <w:bookmarkStart w:id="883" w:name="_Toc119662474"/>
      <w:r w:rsidRPr="00C5739E">
        <w:t>Summary</w:t>
      </w:r>
      <w:bookmarkEnd w:id="882"/>
      <w:bookmarkEnd w:id="883"/>
    </w:p>
    <w:p w14:paraId="4CFEEA50" w14:textId="77777777" w:rsidR="009D0006" w:rsidRDefault="009D0006" w:rsidP="009D0006">
      <w:r>
        <w:t xml:space="preserve">A greater proportion of participants with disability aged 18+ years in </w:t>
      </w:r>
      <w:r>
        <w:rPr>
          <w:i/>
          <w:iCs/>
        </w:rPr>
        <w:t>Private Lives 3</w:t>
      </w:r>
      <w:r>
        <w:t xml:space="preserve"> who were residing in inner suburban areas reported feeling a part of Australia’s LGBTIQ community and accepted at LGBTIQ venues than those residing in a regional city or town or a rural or remote area.</w:t>
      </w:r>
    </w:p>
    <w:p w14:paraId="6A6FE94F" w14:textId="77777777" w:rsidR="009D0006" w:rsidRDefault="009D0006" w:rsidP="009D0006">
      <w:r>
        <w:t xml:space="preserve">Participants with disability aged 14-21 years in </w:t>
      </w:r>
      <w:r>
        <w:rPr>
          <w:i/>
          <w:iCs/>
        </w:rPr>
        <w:t>Writing Themselves In 4</w:t>
      </w:r>
      <w:r>
        <w:t xml:space="preserve"> who were residing in a rural or remote area were more likely to have experienced verbal or physical harassment or assault in the past 12 months due to their sexual orientation or gender identity, but less likely to have experienced sexual assault than those living in an inner suburban or outer suburban area, or regional city or town.</w:t>
      </w:r>
    </w:p>
    <w:p w14:paraId="62566B44" w14:textId="77777777" w:rsidR="009D0006" w:rsidRDefault="009D0006" w:rsidP="009D0006">
      <w:r>
        <w:t xml:space="preserve">Among adults aged 18+ years in </w:t>
      </w:r>
      <w:r>
        <w:rPr>
          <w:i/>
          <w:iCs/>
        </w:rPr>
        <w:t>Private Lives 3</w:t>
      </w:r>
      <w:r>
        <w:t xml:space="preserve"> with disability, those residing in a rural or remote area, or a regional town or city were more likely to report experiencing sexual assault, verbal harassment and social exclusion in the past 12 months due to their sexual orientation or gender identity than those residing in inner suburban and outer suburban areas.</w:t>
      </w:r>
    </w:p>
    <w:p w14:paraId="7F329F42" w14:textId="35F8C2DF" w:rsidR="009401DC" w:rsidRDefault="009D0006" w:rsidP="009401DC">
      <w:r>
        <w:t xml:space="preserve">Among both participants with disability aged 14-21 years in </w:t>
      </w:r>
      <w:r w:rsidRPr="004B71BD">
        <w:rPr>
          <w:i/>
          <w:iCs/>
        </w:rPr>
        <w:t>Writing Themselves In 4</w:t>
      </w:r>
      <w:r>
        <w:t xml:space="preserve"> and adults aged 18+ years in </w:t>
      </w:r>
      <w:r>
        <w:rPr>
          <w:i/>
          <w:iCs/>
        </w:rPr>
        <w:t>Private Lives 3</w:t>
      </w:r>
      <w:r>
        <w:t xml:space="preserve">, those residing in rural or remote areas reported the highest levels of suicide attempts in the past 12 months, followed by those residing in outer suburban areas, then those in regional cities or towns. Participants residing in inner suburban areas reported lower levels of suicide attempts in the past 12 months than other </w:t>
      </w:r>
      <w:r w:rsidRPr="009401DC">
        <w:t>areas of residence</w:t>
      </w:r>
      <w:bookmarkStart w:id="884" w:name="_Toc115968653"/>
      <w:r w:rsidR="009401DC" w:rsidRPr="009401DC">
        <w:t>.</w:t>
      </w:r>
      <w:r w:rsidR="009401DC">
        <w:br w:type="page"/>
      </w:r>
    </w:p>
    <w:p w14:paraId="69E19218" w14:textId="447F19A9" w:rsidR="009D0006" w:rsidRPr="009401DC" w:rsidRDefault="009401DC" w:rsidP="009401DC">
      <w:pPr>
        <w:pStyle w:val="Heading1Numbered"/>
        <w:rPr>
          <w:iCs/>
          <w:lang w:bidi="en-US"/>
        </w:rPr>
      </w:pPr>
      <w:bookmarkStart w:id="885" w:name="_Toc119662475"/>
      <w:r w:rsidRPr="009401DC">
        <w:t>I</w:t>
      </w:r>
      <w:r w:rsidR="009D0006" w:rsidRPr="009401DC">
        <w:t>ntersecti</w:t>
      </w:r>
      <w:r w:rsidR="009D0006" w:rsidRPr="009401DC">
        <w:lastRenderedPageBreak/>
        <w:t>ons</w:t>
      </w:r>
      <w:r w:rsidR="009D0006" w:rsidRPr="009401DC">
        <w:rPr>
          <w:lang w:bidi="en-US"/>
        </w:rPr>
        <w:t>: gender and disability</w:t>
      </w:r>
      <w:bookmarkEnd w:id="884"/>
      <w:bookmarkEnd w:id="885"/>
    </w:p>
    <w:p w14:paraId="0DAEA360" w14:textId="77777777" w:rsidR="009D0006" w:rsidRDefault="009D0006" w:rsidP="009D0006">
      <w:r w:rsidRPr="009401DC">
        <w:rPr>
          <w:lang w:val="en-US"/>
        </w:rPr>
        <w:t>Differences regarding mental health, suicidal</w:t>
      </w:r>
      <w:r>
        <w:rPr>
          <w:lang w:val="en-US"/>
        </w:rPr>
        <w:t xml:space="preserve"> ideation, suicide attempts and wellbeing exist </w:t>
      </w:r>
      <w:r w:rsidRPr="009761D5">
        <w:rPr>
          <w:lang w:val="en-US"/>
        </w:rPr>
        <w:t xml:space="preserve">between </w:t>
      </w:r>
      <w:r>
        <w:rPr>
          <w:lang w:val="en-US"/>
        </w:rPr>
        <w:t>lesbian, gay, bisexual and trans and gender diverse populations.</w:t>
      </w:r>
      <w:r w:rsidRPr="009761D5">
        <w:fldChar w:fldCharType="begin"/>
      </w:r>
      <w:r>
        <w:rPr>
          <w:lang w:val="en-US"/>
        </w:rPr>
        <w:instrText xml:space="preserve"> ADDIN ZOTERO_ITEM CSL_CITATION {"citationID":"n7md4pWT","properties":{"formattedCitation":"(97,98)","plainCitation":"(97,98)","noteIndex":0},"citationItems":[{"id":"hc6yy1rM/hoO0hyjm","uris":["http://zotero.org/users/4948307/items/UVGL8UBE"],"itemData":{"id":538,"type":"article-journal","abstract":"Background\nLesbian, gay and bisexual (LGB) people may be at higher risk of mental disorders than heterosexual people.\n\nMethod\nWe conducted a systematic review and meta-analysis of the prevalence of mental disorder, substance misuse, suicide, suicidal ideation and deliberate self harm in LGB people. We searched Medline, Embase, PsycInfo, Cinahl, the Cochrane Library Database, the Web of Knowledge, the Applied Social Sciences Index and Abstracts, the International Bibliography of the Social Sciences, Sociological Abstracts, the Campbell Collaboration and grey literature databases for articles published January 1966 to April 2005. We also used Google and Google Scholar and contacted authors where necessary. We searched all terms related to homosexual, lesbian and bisexual people and all terms related to mental disorders, suicide, and deliberate self harm. We included papers on population based studies which contained concurrent heterosexual comparison groups and valid definition of sexual orientation and mental health outcomes.\n\nResults\nOf 13706 papers identified, 476 were initially selected and 28 (25 studies) met inclusion criteria. Only one study met all our four quality criteria and seven met three of these criteria. Data was extracted on 214,344 heterosexual and 11,971 non heterosexual people. Meta-analyses revealed a two fold excess in suicide attempts in lesbian, gay and bisexual people [pooled risk ratio for lifetime risk 2.47 (CI 1.87, 3.28)]. The risk for depression and anxiety disorders (over a period of 12 months or a lifetime) on meta-analyses were at least 1.5 times higher in lesbian, gay and bisexual people (RR range 1.54–2.58) and alcohol and other substance dependence over 12 months was also 1.5 times higher (RR range 1.51–4.00). Results were similar in both sexes but meta analyses revealed that lesbian and bisexual women were particularly at risk of substance dependence (alcohol 12 months: RR 4.00, CI 2.85, 5.61; drug dependence: RR 3.50, CI 1.87, 6.53; any substance use disorder RR 3.42, CI 1.97–5.92), while lifetime prevalence of suicide attempt was especially high in gay and bisexual men (RR 4.28, CI 2.32, 7.88).\n\nConclusion\nLGB people are at higher risk of mental disorder, suicidal ideation, substance misuse, and deliberate self harm than heterosexual people.","container-title":"BMC Psychiatry","DOI":"10.1186/1471-244X-8-70","ISSN":"1471-244X","journalAbbreviation":"BMC Psychiatry","note":"PMID: 18706118\nPMCID: PMC2533652","page":"70","source":"PubMed Central","title":"A systematic review of mental disorder, suicide, and deliberate self harm in lesbian, gay and bisexual people","volume":"8","author":[{"family":"King","given":"Michael"},{"family":"Semlyen","given":"Joanna"},{"family":"Tai","given":"Sharon See"},{"family":"Killaspy","given":"Helen"},{"family":"Osborn","given":"David"},{"family":"Popelyuk","given":"Dmitri"},{"family":"Nazareth","given":"Irwin"}],"issued":{"date-parts":[["2008",8,18]]}}},{"id":"hc6yy1rM/cmRkt8RN","uris":["http://zotero.org/users/4948307/items/IPUDU2LH"],"itemData":{"id":659,"type":"article-journal","abstract":"Over the past decade, evidence has accumulated to suggest that bisexual people experience higher rates of poor mental health outcomes compared to both heterosexual and gay/lesbian individuals. However, no previous meta-analyses have been conducted to establish the magnitude of these disparities. To address this research gap, we conducted a systematic review and meta-analysis of studies that reported bisexual-specific data on standardized measures of depression or anxiety. Of the 1,074 full-text articles reviewed, 1,023 were ineligible, predominantly because they did not report separate data for bisexual people (n = 562 studies). Ultimately, 52 eligible studies could be pooled in the analysis. Results indicate that across both outcomes, there is a consistent pattern of lowest rates of depression and anxiety among heterosexual people, while bisexual people exhibit higher or equivalent rates in comparison to lesbian/gay people. On the basis of empirical and theoretical literature, we propose three interrelated contributors to these disparities: experiences of sexual orientation-based discrimination, bisexual invisibility/erasure, and lack of bisexual-affirmative support. Implications for interventions to improve the health and well-being of bisexual people are proposed.","container-title":"The Journal of Sex Research","DOI":"10.1080/00224499.2017.1387755","ISSN":"0022-4499","issue":"4-5","journalAbbreviation":"The Journal of Sex Research","page":"435-456","title":"Prevalence of Depression and Anxiety Among Bisexual People Compared to Gay, Lesbian, and Heterosexual Individuals:A Systematic Review and Meta-Analysis","volume":"55","author":[{"family":"Ross","given":"Lori E."},{"family":"Salway","given":"Travis"},{"family":"Tarasoff","given":"Lesley A."},{"family":"MacKay","given":"Jenna M."},{"family":"Hawkins","given":"Blake W."},{"family":"Fehr","given":"Charles P."}],"issued":{"date-parts":[["2018",6,13]]}}}],"schema":"https://github.com/citation-style-language/schema/raw/master/csl-citation.json"} </w:instrText>
      </w:r>
      <w:r w:rsidRPr="009761D5">
        <w:fldChar w:fldCharType="separate"/>
      </w:r>
      <w:r>
        <w:rPr>
          <w:lang w:val="en-GB"/>
        </w:rPr>
        <w:t>(97,98)</w:t>
      </w:r>
      <w:r w:rsidRPr="009761D5">
        <w:fldChar w:fldCharType="end"/>
      </w:r>
      <w:r w:rsidRPr="009761D5">
        <w:rPr>
          <w:lang w:val="en-US"/>
        </w:rPr>
        <w:t xml:space="preserve"> For </w:t>
      </w:r>
      <w:r>
        <w:rPr>
          <w:lang w:val="en-US"/>
        </w:rPr>
        <w:t>example</w:t>
      </w:r>
      <w:r w:rsidRPr="009761D5">
        <w:rPr>
          <w:lang w:val="en-US"/>
        </w:rPr>
        <w:t xml:space="preserve">, trans and gender diverse adults and young people </w:t>
      </w:r>
      <w:r>
        <w:rPr>
          <w:lang w:val="en-US"/>
        </w:rPr>
        <w:t>have been observed to report</w:t>
      </w:r>
      <w:r w:rsidRPr="009761D5">
        <w:rPr>
          <w:lang w:val="en-US"/>
        </w:rPr>
        <w:t xml:space="preserve"> higher levels of psychological distress than cisgender men and women</w:t>
      </w:r>
      <w:r>
        <w:rPr>
          <w:lang w:val="en-US"/>
        </w:rPr>
        <w:t>.</w:t>
      </w:r>
      <w:r w:rsidRPr="009761D5">
        <w:fldChar w:fldCharType="begin"/>
      </w:r>
      <w:r>
        <w:rPr>
          <w:lang w:val="en-US"/>
        </w:rPr>
        <w:instrText xml:space="preserve"> ADDIN ZOTERO_ITEM CSL_CITATION {"citationID":"4bWwTPPj","properties":{"formattedCitation":"(19,42)","plainCitation":"(19,42)","noteIndex":0},"citationItems":[{"id":"hc6yy1rM/P5PebYJw","uris":["http://zotero.org/users/4948307/items/IBICD2LU"],"itemData":{"id":92,"type":"report","abstract":"\"Private Lives 2 (PL2) is a report on the second national survey of the health and wellbeing of gay, lesbian, bisexual, and transgender (GLBT) Australians. The first Private Lives (PL1) was released in 2006 and was, at that time, the largest survey of its kind conducted anywhere in the world. In 2011, 3,835 GLBT respondents successfully completed PL2\"--Page v.","event-place":"Melbourne","language":"en","note":"OCLC: 794443116","publisher":"Australian Research Centre in Sex, Health and Society, La Trobe University","publisher-place":"Melbourne","source":"Open WorldCat","title":"Private Lives 2: The second national survey of the health and wellbeing of gay, lesbian, bisexual and transgender (GLBT) Australians","title-short":"Private lives 2","author":[{"family":"Leonard","given":"William"},{"family":"Pitts","given":"Marian"},{"family":"Mitchell","given":"Anne"},{"family":"Lyons","given":"Anthony"},{"family":"Smith","given":"Anthony"},{"family":"Couch","given":"Murray"},{"family":"Barrett","given":"Anna"}],"issued":{"date-parts":[["2012"]]}}},{"id":"hc6yy1rM/PWqbjEoR","uris":["http://zotero.org/users/4948307/items/LQK6IU72"],"itemData":{"id":100,"type":"book","title":"Growing up Queer: Issues facing Young Australians who are Gender Variant and Sexuality Diverse","author":[{"family":"Robinson","given":"Kerry"},{"family":"Bansel","given":"Peter"},{"family":"Denson","given":"Nida"},{"family":"Ovenden","given":"Georgia"},{"family":"Davies","given":"Cristyn"}],"issued":{"date-parts":[["2014",1,1]]}}}],"schema":"https://github.com/citation-style-language/schema/raw/master/csl-citation.json"} </w:instrText>
      </w:r>
      <w:r w:rsidRPr="009761D5">
        <w:fldChar w:fldCharType="separate"/>
      </w:r>
      <w:r>
        <w:rPr>
          <w:lang w:val="en-GB"/>
        </w:rPr>
        <w:t>(19,42)</w:t>
      </w:r>
      <w:r w:rsidRPr="009761D5">
        <w:fldChar w:fldCharType="end"/>
      </w:r>
      <w:r w:rsidRPr="00D10225">
        <w:rPr>
          <w:lang w:bidi="en-US"/>
        </w:rPr>
        <w:t xml:space="preserve"> </w:t>
      </w:r>
      <w:r>
        <w:rPr>
          <w:lang w:bidi="en-US"/>
        </w:rPr>
        <w:t xml:space="preserve">This chapter focuses on participants with disability and examines variations in their experiences according to gender </w:t>
      </w:r>
      <w:r w:rsidRPr="002E40A3">
        <w:t xml:space="preserve">in </w:t>
      </w:r>
      <w:r w:rsidRPr="00460C07">
        <w:rPr>
          <w:i/>
          <w:iCs/>
        </w:rPr>
        <w:t>Writing Themselves In 4</w:t>
      </w:r>
      <w:r w:rsidRPr="002E40A3">
        <w:t xml:space="preserve"> and </w:t>
      </w:r>
      <w:r w:rsidRPr="00460C07">
        <w:rPr>
          <w:i/>
          <w:iCs/>
        </w:rPr>
        <w:t>Private Lives 3</w:t>
      </w:r>
      <w:r w:rsidRPr="002E40A3">
        <w:t>.</w:t>
      </w:r>
    </w:p>
    <w:p w14:paraId="7FBE48A0" w14:textId="77777777" w:rsidR="009D0006" w:rsidRDefault="009D0006" w:rsidP="009D0006">
      <w:pPr>
        <w:rPr>
          <w:lang w:bidi="en-US"/>
        </w:rPr>
      </w:pPr>
      <w:r>
        <w:rPr>
          <w:lang w:bidi="en-US"/>
        </w:rPr>
        <w:t>Participants were provided with a wide range of options to indicate their gender. From these responses, five gender categories were developed by an overarching a Gender Advisory Board that was established to make decisions about the gender categories to be used in reporting the results. The five categories included:</w:t>
      </w:r>
    </w:p>
    <w:p w14:paraId="41F52F84" w14:textId="121E8F6D" w:rsidR="009D0006" w:rsidRPr="00DB27EE" w:rsidRDefault="009D0006" w:rsidP="00C72085">
      <w:pPr>
        <w:pStyle w:val="Numberlist"/>
        <w:rPr>
          <w:lang w:bidi="en-US"/>
        </w:rPr>
      </w:pPr>
      <w:r w:rsidRPr="00DB27EE">
        <w:rPr>
          <w:lang w:bidi="en-US"/>
        </w:rPr>
        <w:t xml:space="preserve">Cisgender </w:t>
      </w:r>
      <w:r>
        <w:rPr>
          <w:lang w:bidi="en-US"/>
        </w:rPr>
        <w:t>woman</w:t>
      </w:r>
      <w:r w:rsidRPr="00DB27EE">
        <w:rPr>
          <w:lang w:bidi="en-US"/>
        </w:rPr>
        <w:t xml:space="preserve">: participants who were assigned female at birth and who chose only female as their gender identity </w:t>
      </w:r>
    </w:p>
    <w:p w14:paraId="762CAB80" w14:textId="6464DF5E" w:rsidR="009D0006" w:rsidRPr="00DB27EE" w:rsidRDefault="009D0006" w:rsidP="00C72085">
      <w:pPr>
        <w:pStyle w:val="Numberlist"/>
        <w:rPr>
          <w:lang w:bidi="en-US"/>
        </w:rPr>
      </w:pPr>
      <w:r w:rsidRPr="00DB27EE">
        <w:rPr>
          <w:lang w:bidi="en-US"/>
        </w:rPr>
        <w:t xml:space="preserve">Cisgender </w:t>
      </w:r>
      <w:r>
        <w:rPr>
          <w:lang w:bidi="en-US"/>
        </w:rPr>
        <w:t>man</w:t>
      </w:r>
      <w:r w:rsidRPr="00DB27EE">
        <w:rPr>
          <w:lang w:bidi="en-US"/>
        </w:rPr>
        <w:t xml:space="preserve">: participants who were assigned male at birth and who chose only male as their gender identity </w:t>
      </w:r>
    </w:p>
    <w:p w14:paraId="2ABC3175" w14:textId="592EAC61" w:rsidR="009D0006" w:rsidRPr="00DB27EE" w:rsidRDefault="009D0006" w:rsidP="00C72085">
      <w:pPr>
        <w:pStyle w:val="Numberlist"/>
        <w:rPr>
          <w:lang w:bidi="en-US"/>
        </w:rPr>
      </w:pPr>
      <w:r w:rsidRPr="00DB27EE">
        <w:rPr>
          <w:lang w:bidi="en-US"/>
        </w:rPr>
        <w:t>Trans woman: participants who were assigned male at birth and who chose only ‘female’, ‘trans woman’ or ‘</w:t>
      </w:r>
      <w:r>
        <w:rPr>
          <w:lang w:bidi="en-US"/>
        </w:rPr>
        <w:t>S</w:t>
      </w:r>
      <w:r w:rsidRPr="00DB27EE">
        <w:rPr>
          <w:lang w:bidi="en-US"/>
        </w:rPr>
        <w:t>istergirl’ as their gender identity</w:t>
      </w:r>
      <w:r>
        <w:rPr>
          <w:rStyle w:val="FootnoteReference"/>
          <w:lang w:bidi="en-US"/>
        </w:rPr>
        <w:footnoteReference w:id="2"/>
      </w:r>
      <w:r w:rsidRPr="00DB27EE">
        <w:rPr>
          <w:lang w:bidi="en-US"/>
        </w:rPr>
        <w:t xml:space="preserve"> </w:t>
      </w:r>
    </w:p>
    <w:p w14:paraId="10C214F9" w14:textId="0F1BFFD3" w:rsidR="009D0006" w:rsidRPr="00DB27EE" w:rsidRDefault="009D0006" w:rsidP="00C72085">
      <w:pPr>
        <w:pStyle w:val="Numberlist"/>
        <w:rPr>
          <w:lang w:bidi="en-US"/>
        </w:rPr>
      </w:pPr>
      <w:r w:rsidRPr="00DB27EE">
        <w:rPr>
          <w:lang w:bidi="en-US"/>
        </w:rPr>
        <w:t>Trans man: participants who were assigned female at birth and who chose only ‘male’, ‘trans man’ or ‘</w:t>
      </w:r>
      <w:r>
        <w:rPr>
          <w:lang w:bidi="en-US"/>
        </w:rPr>
        <w:t>B</w:t>
      </w:r>
      <w:r w:rsidRPr="00DB27EE">
        <w:rPr>
          <w:lang w:bidi="en-US"/>
        </w:rPr>
        <w:t>rotherboy’ as their gender identity</w:t>
      </w:r>
      <w:r w:rsidRPr="00604CF5">
        <w:rPr>
          <w:vertAlign w:val="superscript"/>
          <w:lang w:bidi="en-US"/>
        </w:rPr>
        <w:t>d</w:t>
      </w:r>
      <w:r w:rsidRPr="00DB27EE">
        <w:rPr>
          <w:lang w:bidi="en-US"/>
        </w:rPr>
        <w:t xml:space="preserve"> </w:t>
      </w:r>
    </w:p>
    <w:p w14:paraId="00AB422B" w14:textId="31862C6D" w:rsidR="009D0006" w:rsidRPr="00CC2594" w:rsidRDefault="009D0006" w:rsidP="00C72085">
      <w:pPr>
        <w:pStyle w:val="Numberlist"/>
        <w:rPr>
          <w:lang w:bidi="en-US"/>
        </w:rPr>
      </w:pPr>
      <w:r w:rsidRPr="00DB27EE">
        <w:rPr>
          <w:lang w:bidi="en-US"/>
        </w:rPr>
        <w:t xml:space="preserve">Non-binary: participants who </w:t>
      </w:r>
      <w:r w:rsidRPr="00CC2594">
        <w:rPr>
          <w:lang w:bidi="en-US"/>
        </w:rPr>
        <w:t>chose a gender identity listed that was not a binary identity or who did not find it possible to choose a single gender identity</w:t>
      </w:r>
    </w:p>
    <w:p w14:paraId="45161774" w14:textId="77777777" w:rsidR="009D0006" w:rsidRDefault="009D0006" w:rsidP="009D0006">
      <w:pPr>
        <w:rPr>
          <w:lang w:bidi="en-US"/>
        </w:rPr>
      </w:pPr>
      <w:r>
        <w:rPr>
          <w:lang w:bidi="en-US"/>
        </w:rPr>
        <w:t xml:space="preserve">Please see the </w:t>
      </w:r>
      <w:r w:rsidRPr="00F77C35">
        <w:rPr>
          <w:i/>
        </w:rPr>
        <w:t>Writing Themselves In 4</w:t>
      </w:r>
      <w:r>
        <w:fldChar w:fldCharType="begin"/>
      </w:r>
      <w:r>
        <w:instrText xml:space="preserve"> ADDIN ZOTERO_ITEM CSL_CITATION {"citationID":"1gkeS33f","properties":{"formattedCitation":"(1)","plainCitation":"(1)","noteIndex":0},"citationItems":[{"id":"hc6yy1rM/ZY4LR28S","uris":["http://zotero.org/users/4948307/items/7BM38QY5"],"itemData":{"id":3331,"type":"report","abstract":"The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fldChar w:fldCharType="begin"/>
      </w:r>
      <w:r>
        <w:instrText xml:space="preserve"> ADDIN ZOTERO_ITEM CSL_CITATION {"citationID":"9dNDnCbg","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r>
        <w:t xml:space="preserve"> </w:t>
      </w:r>
      <w:r>
        <w:rPr>
          <w:lang w:bidi="en-US"/>
        </w:rPr>
        <w:t xml:space="preserve">national reports for full details of the gender questions and the development of the gender categories used in the results. </w:t>
      </w:r>
    </w:p>
    <w:p w14:paraId="7B8EA0F1" w14:textId="2358C200" w:rsidR="009D0006" w:rsidRPr="00C5739E" w:rsidRDefault="009D0006" w:rsidP="009401DC">
      <w:pPr>
        <w:pStyle w:val="Heading2Numbered"/>
      </w:pPr>
      <w:bookmarkStart w:id="886" w:name="_Toc115968654"/>
      <w:bookmarkStart w:id="887" w:name="_Toc119662476"/>
      <w:r w:rsidRPr="00C5739E">
        <w:t xml:space="preserve">Community </w:t>
      </w:r>
      <w:r w:rsidRPr="00C5739E">
        <w:lastRenderedPageBreak/>
        <w:t>belonging</w:t>
      </w:r>
      <w:bookmarkEnd w:id="886"/>
      <w:bookmarkEnd w:id="887"/>
      <w:r w:rsidRPr="00C5739E">
        <w:t xml:space="preserve"> </w:t>
      </w:r>
    </w:p>
    <w:p w14:paraId="29C1471F" w14:textId="1F173D70" w:rsidR="009D0006" w:rsidRPr="00DF32F2" w:rsidRDefault="009D0006" w:rsidP="009401DC">
      <w:pPr>
        <w:pStyle w:val="Heading3Numbered"/>
      </w:pPr>
      <w:bookmarkStart w:id="888" w:name="_Toc115968655"/>
      <w:r w:rsidRPr="00DF32F2">
        <w:t>Feel</w:t>
      </w:r>
      <w:r>
        <w:t>ing</w:t>
      </w:r>
      <w:r w:rsidRPr="00DF32F2">
        <w:t xml:space="preserve"> part of Australia’s LGBTIQ community – adults aged 18+ years</w:t>
      </w:r>
      <w:bookmarkEnd w:id="888"/>
    </w:p>
    <w:p w14:paraId="76D2369E" w14:textId="77777777" w:rsidR="009D0006" w:rsidRPr="00C5739E" w:rsidRDefault="009D0006" w:rsidP="009D0006">
      <w:r w:rsidRPr="00C5739E">
        <w:t>Participants were asked the extent to which ‘you feel you're a part of the Australian LGBTIQ community’</w:t>
      </w:r>
      <w:r>
        <w:t>.</w:t>
      </w:r>
      <w:r w:rsidRPr="00C5739E">
        <w:t xml:space="preserve"> </w:t>
      </w:r>
      <w:r>
        <w:t>R</w:t>
      </w:r>
      <w:r w:rsidRPr="00C5739E">
        <w:t xml:space="preserve">esponse options </w:t>
      </w:r>
      <w:r>
        <w:t xml:space="preserve">were </w:t>
      </w:r>
      <w:r w:rsidRPr="00C5739E">
        <w:t xml:space="preserve">provided on a </w:t>
      </w:r>
      <w:r>
        <w:t>5</w:t>
      </w:r>
      <w:r w:rsidRPr="00C5739E">
        <w:t xml:space="preserve">-point scale ranging from ‘strongly disagree’ to </w:t>
      </w:r>
      <w:r w:rsidRPr="008E7B91">
        <w:t>strongly agree’</w:t>
      </w:r>
      <w:r>
        <w:t>.</w:t>
      </w:r>
      <w:r w:rsidRPr="008E7B91">
        <w:t xml:space="preserve"> Tables 1</w:t>
      </w:r>
      <w:r>
        <w:t>10</w:t>
      </w:r>
      <w:r w:rsidRPr="008E7B91">
        <w:t xml:space="preserve"> and 1</w:t>
      </w:r>
      <w:r>
        <w:t>11</w:t>
      </w:r>
      <w:r w:rsidRPr="008E7B91">
        <w:t xml:space="preserve"> display these results </w:t>
      </w:r>
      <w:r w:rsidRPr="008E7B91">
        <w:rPr>
          <w:bCs/>
        </w:rPr>
        <w:t>according</w:t>
      </w:r>
      <w:r w:rsidRPr="00C5739E">
        <w:rPr>
          <w:bCs/>
        </w:rPr>
        <w:t xml:space="preserve"> to </w:t>
      </w:r>
      <w:r>
        <w:t>participants’ gender</w:t>
      </w:r>
      <w:r w:rsidRPr="00C5739E">
        <w:t>.</w:t>
      </w:r>
    </w:p>
    <w:p w14:paraId="2D8861DE" w14:textId="0FAC6134" w:rsidR="009D0006" w:rsidRDefault="009D0006" w:rsidP="00423E50">
      <w:pPr>
        <w:pStyle w:val="Tableheading"/>
      </w:pPr>
      <w:bookmarkStart w:id="889" w:name="_Toc117062827"/>
      <w:bookmarkStart w:id="890" w:name="_Toc119651512"/>
      <w:r w:rsidRPr="002D0458">
        <w:rPr>
          <w:bCs/>
        </w:rPr>
        <w:t>Table</w:t>
      </w:r>
      <w:r>
        <w:rPr>
          <w:bCs/>
        </w:rPr>
        <w:t>s</w:t>
      </w:r>
      <w:r w:rsidRPr="002D0458">
        <w:rPr>
          <w:bCs/>
        </w:rPr>
        <w:t xml:space="preserve"> </w:t>
      </w:r>
      <w:r w:rsidRPr="002D0458">
        <w:rPr>
          <w:bCs/>
        </w:rPr>
        <w:fldChar w:fldCharType="begin"/>
      </w:r>
      <w:r w:rsidRPr="002D0458">
        <w:rPr>
          <w:bCs/>
        </w:rPr>
        <w:instrText xml:space="preserve"> SEQ Table \* ARABIC </w:instrText>
      </w:r>
      <w:r w:rsidRPr="002D0458">
        <w:rPr>
          <w:bCs/>
        </w:rPr>
        <w:fldChar w:fldCharType="separate"/>
      </w:r>
      <w:r>
        <w:rPr>
          <w:bCs/>
          <w:noProof/>
        </w:rPr>
        <w:t>110</w:t>
      </w:r>
      <w:r w:rsidRPr="002D0458">
        <w:rPr>
          <w:bCs/>
        </w:rPr>
        <w:fldChar w:fldCharType="end"/>
      </w:r>
      <w:r>
        <w:rPr>
          <w:bCs/>
        </w:rPr>
        <w:t>.1-110.5</w:t>
      </w:r>
      <w:r>
        <w:t xml:space="preserve">: </w:t>
      </w:r>
      <w:r w:rsidRPr="00C5739E">
        <w:t xml:space="preserve">You feel you’re part of Australia’s LGBTIQ community </w:t>
      </w:r>
      <w:r>
        <w:t xml:space="preserve">among adults with disability aged 18+ years, grouped </w:t>
      </w:r>
      <w:r w:rsidRPr="00C5739E">
        <w:t xml:space="preserve">by </w:t>
      </w:r>
      <w:r>
        <w:t xml:space="preserve">gender </w:t>
      </w:r>
      <w:r w:rsidRPr="00C5739E">
        <w:t xml:space="preserve">(n = </w:t>
      </w:r>
      <w:r>
        <w:t>2596</w:t>
      </w:r>
      <w:r w:rsidRPr="00C5739E">
        <w:t>)</w:t>
      </w:r>
      <w:bookmarkEnd w:id="889"/>
      <w:bookmarkEnd w:id="890"/>
    </w:p>
    <w:p w14:paraId="641F4934" w14:textId="77777777" w:rsidR="009D0006" w:rsidRPr="00C5739E" w:rsidRDefault="009D0006" w:rsidP="00423E50">
      <w:pPr>
        <w:pStyle w:val="Tableheading"/>
      </w:pPr>
      <w:r>
        <w:t>Table 110.1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09004B8" w14:textId="77777777" w:rsidTr="00EF4EA2">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1F483BA4" w14:textId="77777777" w:rsidR="009D0006" w:rsidRPr="00BC3468" w:rsidRDefault="009D0006" w:rsidP="00EF4EA2">
            <w:pPr>
              <w:pStyle w:val="Tableheader"/>
            </w:pPr>
            <w:r>
              <w:t>Feel part of LGBTIQ community</w:t>
            </w:r>
          </w:p>
        </w:tc>
        <w:tc>
          <w:tcPr>
            <w:tcW w:w="1559" w:type="dxa"/>
            <w:noWrap/>
            <w:hideMark/>
          </w:tcPr>
          <w:p w14:paraId="3124BDB3" w14:textId="77777777" w:rsidR="009D0006" w:rsidRPr="003E3171" w:rsidRDefault="009D0006" w:rsidP="00EF4EA2">
            <w:pPr>
              <w:pStyle w:val="Tableheader"/>
              <w:rPr>
                <w:bCs/>
              </w:rPr>
            </w:pPr>
            <w:r w:rsidRPr="003E3171">
              <w:rPr>
                <w:bCs/>
              </w:rPr>
              <w:t>n</w:t>
            </w:r>
          </w:p>
        </w:tc>
        <w:tc>
          <w:tcPr>
            <w:tcW w:w="1559" w:type="dxa"/>
            <w:noWrap/>
            <w:hideMark/>
          </w:tcPr>
          <w:p w14:paraId="698E3B90" w14:textId="77777777" w:rsidR="009D0006" w:rsidRPr="003E3171" w:rsidRDefault="009D0006" w:rsidP="00EF4EA2">
            <w:pPr>
              <w:pStyle w:val="Tableheader"/>
              <w:rPr>
                <w:bCs/>
              </w:rPr>
            </w:pPr>
            <w:r w:rsidRPr="003E3171">
              <w:rPr>
                <w:bCs/>
              </w:rPr>
              <w:t>%</w:t>
            </w:r>
          </w:p>
        </w:tc>
      </w:tr>
      <w:tr w:rsidR="009D0006" w:rsidRPr="00BC3468" w14:paraId="13DECD02" w14:textId="77777777" w:rsidTr="00EF4EA2">
        <w:trPr>
          <w:cnfStyle w:val="000000100000" w:firstRow="0" w:lastRow="0" w:firstColumn="0" w:lastColumn="0" w:oddVBand="0" w:evenVBand="0" w:oddHBand="1" w:evenHBand="0" w:firstRowFirstColumn="0" w:firstRowLastColumn="0" w:lastRowFirstColumn="0" w:lastRowLastColumn="0"/>
          <w:trHeight w:val="316"/>
        </w:trPr>
        <w:tc>
          <w:tcPr>
            <w:tcW w:w="6746" w:type="dxa"/>
            <w:noWrap/>
            <w:hideMark/>
          </w:tcPr>
          <w:p w14:paraId="0011AE8F" w14:textId="77777777" w:rsidR="009D0006" w:rsidRPr="00BC3468" w:rsidRDefault="009D0006" w:rsidP="00EF4EA2">
            <w:pPr>
              <w:pStyle w:val="Tabletext"/>
            </w:pPr>
            <w:r w:rsidRPr="00BC3468">
              <w:t>Do not agree</w:t>
            </w:r>
          </w:p>
        </w:tc>
        <w:tc>
          <w:tcPr>
            <w:tcW w:w="1559" w:type="dxa"/>
            <w:noWrap/>
          </w:tcPr>
          <w:p w14:paraId="416261C4" w14:textId="77777777" w:rsidR="009D0006" w:rsidRPr="00BC3468" w:rsidRDefault="009D0006" w:rsidP="00EF4EA2">
            <w:pPr>
              <w:pStyle w:val="Tabletext"/>
            </w:pPr>
            <w:r>
              <w:t>553</w:t>
            </w:r>
          </w:p>
        </w:tc>
        <w:tc>
          <w:tcPr>
            <w:tcW w:w="1559" w:type="dxa"/>
            <w:noWrap/>
          </w:tcPr>
          <w:p w14:paraId="764D706C" w14:textId="77777777" w:rsidR="009D0006" w:rsidRPr="00BC3468" w:rsidRDefault="009D0006" w:rsidP="00EF4EA2">
            <w:pPr>
              <w:pStyle w:val="Tabletext"/>
            </w:pPr>
            <w:r>
              <w:t>45.2</w:t>
            </w:r>
          </w:p>
        </w:tc>
      </w:tr>
      <w:tr w:rsidR="009D0006" w:rsidRPr="00BC3468" w14:paraId="4FEC2491" w14:textId="77777777" w:rsidTr="00EF4EA2">
        <w:trPr>
          <w:cnfStyle w:val="000000010000" w:firstRow="0" w:lastRow="0" w:firstColumn="0" w:lastColumn="0" w:oddVBand="0" w:evenVBand="0" w:oddHBand="0" w:evenHBand="1" w:firstRowFirstColumn="0" w:firstRowLastColumn="0" w:lastRowFirstColumn="0" w:lastRowLastColumn="0"/>
          <w:trHeight w:val="316"/>
        </w:trPr>
        <w:tc>
          <w:tcPr>
            <w:tcW w:w="6746" w:type="dxa"/>
            <w:noWrap/>
            <w:hideMark/>
          </w:tcPr>
          <w:p w14:paraId="656B7D3F" w14:textId="77777777" w:rsidR="009D0006" w:rsidRPr="00BC3468" w:rsidRDefault="009D0006" w:rsidP="00EF4EA2">
            <w:pPr>
              <w:pStyle w:val="Tabletext"/>
            </w:pPr>
            <w:r w:rsidRPr="00BC3468">
              <w:t>Agree</w:t>
            </w:r>
            <w:r>
              <w:t xml:space="preserve"> or </w:t>
            </w:r>
            <w:r w:rsidRPr="00BC3468">
              <w:t>strongly agree</w:t>
            </w:r>
          </w:p>
        </w:tc>
        <w:tc>
          <w:tcPr>
            <w:tcW w:w="1559" w:type="dxa"/>
            <w:noWrap/>
          </w:tcPr>
          <w:p w14:paraId="67B0CA94" w14:textId="77777777" w:rsidR="009D0006" w:rsidRPr="00BC3468" w:rsidRDefault="009D0006" w:rsidP="00EF4EA2">
            <w:pPr>
              <w:pStyle w:val="Tabletext"/>
            </w:pPr>
            <w:r>
              <w:t>671</w:t>
            </w:r>
          </w:p>
        </w:tc>
        <w:tc>
          <w:tcPr>
            <w:tcW w:w="1559" w:type="dxa"/>
            <w:noWrap/>
          </w:tcPr>
          <w:p w14:paraId="045870CD" w14:textId="77777777" w:rsidR="009D0006" w:rsidRPr="00BC3468" w:rsidRDefault="009D0006" w:rsidP="00EF4EA2">
            <w:pPr>
              <w:pStyle w:val="Tabletext"/>
            </w:pPr>
            <w:r>
              <w:t>54.8</w:t>
            </w:r>
          </w:p>
        </w:tc>
      </w:tr>
    </w:tbl>
    <w:p w14:paraId="31439C14" w14:textId="77777777" w:rsidR="009D0006" w:rsidRDefault="009D0006" w:rsidP="00EF4EA2">
      <w:pPr>
        <w:pStyle w:val="Tableheading"/>
      </w:pPr>
      <w:r>
        <w:t>Table 110.2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7925735" w14:textId="77777777" w:rsidTr="00EF4EA2">
        <w:trPr>
          <w:cnfStyle w:val="100000000000" w:firstRow="1" w:lastRow="0" w:firstColumn="0" w:lastColumn="0" w:oddVBand="0" w:evenVBand="0" w:oddHBand="0" w:evenHBand="0" w:firstRowFirstColumn="0" w:firstRowLastColumn="0" w:lastRowFirstColumn="0" w:lastRowLastColumn="0"/>
          <w:trHeight w:val="312"/>
        </w:trPr>
        <w:tc>
          <w:tcPr>
            <w:tcW w:w="6746" w:type="dxa"/>
            <w:noWrap/>
            <w:hideMark/>
          </w:tcPr>
          <w:p w14:paraId="09C77719" w14:textId="77777777" w:rsidR="009D0006" w:rsidRPr="00BC3468" w:rsidRDefault="009D0006" w:rsidP="00EF4EA2">
            <w:pPr>
              <w:pStyle w:val="Tableheader"/>
            </w:pPr>
            <w:r>
              <w:t>Feel part of LGBTIQ community</w:t>
            </w:r>
          </w:p>
        </w:tc>
        <w:tc>
          <w:tcPr>
            <w:tcW w:w="1559" w:type="dxa"/>
            <w:noWrap/>
            <w:hideMark/>
          </w:tcPr>
          <w:p w14:paraId="4430A6AA" w14:textId="77777777" w:rsidR="009D0006" w:rsidRPr="003E3171" w:rsidRDefault="009D0006" w:rsidP="00EF4EA2">
            <w:pPr>
              <w:pStyle w:val="Tableheader"/>
              <w:rPr>
                <w:bCs/>
              </w:rPr>
            </w:pPr>
            <w:r w:rsidRPr="003E3171">
              <w:rPr>
                <w:bCs/>
              </w:rPr>
              <w:t>n</w:t>
            </w:r>
          </w:p>
        </w:tc>
        <w:tc>
          <w:tcPr>
            <w:tcW w:w="1559" w:type="dxa"/>
            <w:noWrap/>
            <w:hideMark/>
          </w:tcPr>
          <w:p w14:paraId="1976A486" w14:textId="77777777" w:rsidR="009D0006" w:rsidRPr="003E3171" w:rsidRDefault="009D0006" w:rsidP="00EF4EA2">
            <w:pPr>
              <w:pStyle w:val="Tableheader"/>
              <w:rPr>
                <w:bCs/>
              </w:rPr>
            </w:pPr>
            <w:r w:rsidRPr="003E3171">
              <w:rPr>
                <w:bCs/>
              </w:rPr>
              <w:t>%</w:t>
            </w:r>
          </w:p>
        </w:tc>
      </w:tr>
      <w:tr w:rsidR="009D0006" w:rsidRPr="00BC3468" w14:paraId="456E1D00" w14:textId="77777777" w:rsidTr="00EF4EA2">
        <w:trPr>
          <w:cnfStyle w:val="000000100000" w:firstRow="0" w:lastRow="0" w:firstColumn="0" w:lastColumn="0" w:oddVBand="0" w:evenVBand="0" w:oddHBand="1" w:evenHBand="0" w:firstRowFirstColumn="0" w:firstRowLastColumn="0" w:lastRowFirstColumn="0" w:lastRowLastColumn="0"/>
          <w:trHeight w:val="139"/>
        </w:trPr>
        <w:tc>
          <w:tcPr>
            <w:tcW w:w="6746" w:type="dxa"/>
            <w:noWrap/>
            <w:hideMark/>
          </w:tcPr>
          <w:p w14:paraId="442884BD" w14:textId="77777777" w:rsidR="009D0006" w:rsidRPr="00BC3468" w:rsidRDefault="009D0006" w:rsidP="00EF4EA2">
            <w:pPr>
              <w:pStyle w:val="Tabletext"/>
            </w:pPr>
            <w:r w:rsidRPr="00BC3468">
              <w:t>Do not agree</w:t>
            </w:r>
          </w:p>
        </w:tc>
        <w:tc>
          <w:tcPr>
            <w:tcW w:w="1559" w:type="dxa"/>
            <w:noWrap/>
          </w:tcPr>
          <w:p w14:paraId="6179237F" w14:textId="77777777" w:rsidR="009D0006" w:rsidRPr="00BC3468" w:rsidRDefault="009D0006" w:rsidP="00EF4EA2">
            <w:pPr>
              <w:pStyle w:val="Tabletext"/>
            </w:pPr>
            <w:r>
              <w:t>286</w:t>
            </w:r>
          </w:p>
        </w:tc>
        <w:tc>
          <w:tcPr>
            <w:tcW w:w="1559" w:type="dxa"/>
            <w:noWrap/>
          </w:tcPr>
          <w:p w14:paraId="7F539AFF" w14:textId="77777777" w:rsidR="009D0006" w:rsidRPr="00BC3468" w:rsidRDefault="009D0006" w:rsidP="00EF4EA2">
            <w:pPr>
              <w:pStyle w:val="Tabletext"/>
            </w:pPr>
            <w:r>
              <w:t>55.6</w:t>
            </w:r>
          </w:p>
        </w:tc>
      </w:tr>
      <w:tr w:rsidR="009D0006" w:rsidRPr="00BC3468" w14:paraId="3C198B21" w14:textId="77777777" w:rsidTr="00EF4EA2">
        <w:trPr>
          <w:cnfStyle w:val="000000010000" w:firstRow="0" w:lastRow="0" w:firstColumn="0" w:lastColumn="0" w:oddVBand="0" w:evenVBand="0" w:oddHBand="0" w:evenHBand="1" w:firstRowFirstColumn="0" w:firstRowLastColumn="0" w:lastRowFirstColumn="0" w:lastRowLastColumn="0"/>
          <w:trHeight w:val="312"/>
        </w:trPr>
        <w:tc>
          <w:tcPr>
            <w:tcW w:w="6746" w:type="dxa"/>
            <w:noWrap/>
            <w:hideMark/>
          </w:tcPr>
          <w:p w14:paraId="2C5B664A" w14:textId="77777777" w:rsidR="009D0006" w:rsidRPr="00BC3468" w:rsidRDefault="009D0006" w:rsidP="00EF4EA2">
            <w:pPr>
              <w:pStyle w:val="Tabletext"/>
            </w:pPr>
            <w:r w:rsidRPr="00BC3468">
              <w:t>Agree</w:t>
            </w:r>
            <w:r>
              <w:t xml:space="preserve"> or </w:t>
            </w:r>
            <w:r w:rsidRPr="00BC3468">
              <w:t>strongly agree</w:t>
            </w:r>
          </w:p>
        </w:tc>
        <w:tc>
          <w:tcPr>
            <w:tcW w:w="1559" w:type="dxa"/>
            <w:noWrap/>
          </w:tcPr>
          <w:p w14:paraId="496FDDD4" w14:textId="77777777" w:rsidR="009D0006" w:rsidRPr="00BC3468" w:rsidRDefault="009D0006" w:rsidP="00EF4EA2">
            <w:pPr>
              <w:pStyle w:val="Tabletext"/>
            </w:pPr>
            <w:r>
              <w:t>228</w:t>
            </w:r>
          </w:p>
        </w:tc>
        <w:tc>
          <w:tcPr>
            <w:tcW w:w="1559" w:type="dxa"/>
            <w:noWrap/>
          </w:tcPr>
          <w:p w14:paraId="639DE9A7" w14:textId="77777777" w:rsidR="009D0006" w:rsidRPr="00BC3468" w:rsidRDefault="009D0006" w:rsidP="00EF4EA2">
            <w:pPr>
              <w:pStyle w:val="Tabletext"/>
            </w:pPr>
            <w:r>
              <w:t>44.4</w:t>
            </w:r>
          </w:p>
        </w:tc>
      </w:tr>
    </w:tbl>
    <w:p w14:paraId="3AFB3433" w14:textId="77777777" w:rsidR="009D0006" w:rsidRDefault="009D0006" w:rsidP="00EF4EA2">
      <w:pPr>
        <w:pStyle w:val="Tableheading"/>
      </w:pPr>
      <w:r>
        <w:t>Table 110.3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559A057" w14:textId="77777777" w:rsidTr="00EF4EA2">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520E5FBE" w14:textId="77777777" w:rsidR="009D0006" w:rsidRPr="00BC3468" w:rsidRDefault="009D0006" w:rsidP="00EF4EA2">
            <w:pPr>
              <w:pStyle w:val="Tableheader"/>
            </w:pPr>
            <w:r>
              <w:t>Feel part of LGBTIQ community</w:t>
            </w:r>
          </w:p>
        </w:tc>
        <w:tc>
          <w:tcPr>
            <w:tcW w:w="1559" w:type="dxa"/>
          </w:tcPr>
          <w:p w14:paraId="0C7BE65A" w14:textId="77777777" w:rsidR="009D0006" w:rsidRPr="003E3171" w:rsidRDefault="009D0006" w:rsidP="00EF4EA2">
            <w:pPr>
              <w:pStyle w:val="Tableheader"/>
              <w:rPr>
                <w:bCs/>
              </w:rPr>
            </w:pPr>
            <w:r w:rsidRPr="003E3171">
              <w:rPr>
                <w:bCs/>
              </w:rPr>
              <w:t>n</w:t>
            </w:r>
          </w:p>
        </w:tc>
        <w:tc>
          <w:tcPr>
            <w:tcW w:w="1559" w:type="dxa"/>
          </w:tcPr>
          <w:p w14:paraId="0840B482" w14:textId="77777777" w:rsidR="009D0006" w:rsidRPr="003E3171" w:rsidRDefault="009D0006" w:rsidP="00EF4EA2">
            <w:pPr>
              <w:pStyle w:val="Tableheader"/>
              <w:rPr>
                <w:bCs/>
              </w:rPr>
            </w:pPr>
            <w:r w:rsidRPr="003E3171">
              <w:rPr>
                <w:bCs/>
              </w:rPr>
              <w:t>%</w:t>
            </w:r>
          </w:p>
        </w:tc>
      </w:tr>
      <w:tr w:rsidR="009D0006" w:rsidRPr="00BC3468" w14:paraId="7F549CCE" w14:textId="77777777" w:rsidTr="00EF4EA2">
        <w:trPr>
          <w:cnfStyle w:val="000000100000" w:firstRow="0" w:lastRow="0" w:firstColumn="0" w:lastColumn="0" w:oddVBand="0" w:evenVBand="0" w:oddHBand="1" w:evenHBand="0" w:firstRowFirstColumn="0" w:firstRowLastColumn="0" w:lastRowFirstColumn="0" w:lastRowLastColumn="0"/>
          <w:trHeight w:val="316"/>
        </w:trPr>
        <w:tc>
          <w:tcPr>
            <w:tcW w:w="6746" w:type="dxa"/>
            <w:noWrap/>
            <w:hideMark/>
          </w:tcPr>
          <w:p w14:paraId="4A68FD86" w14:textId="77777777" w:rsidR="009D0006" w:rsidRPr="00BC3468" w:rsidRDefault="009D0006" w:rsidP="00EF4EA2">
            <w:pPr>
              <w:pStyle w:val="Tabletext"/>
            </w:pPr>
            <w:r w:rsidRPr="00BC3468">
              <w:t>Do not agree</w:t>
            </w:r>
          </w:p>
        </w:tc>
        <w:tc>
          <w:tcPr>
            <w:tcW w:w="1559" w:type="dxa"/>
          </w:tcPr>
          <w:p w14:paraId="38D2E84E" w14:textId="77777777" w:rsidR="009D0006" w:rsidRPr="00BC3468" w:rsidRDefault="009D0006" w:rsidP="00EF4EA2">
            <w:pPr>
              <w:pStyle w:val="Tabletext"/>
            </w:pPr>
            <w:r>
              <w:t>64</w:t>
            </w:r>
          </w:p>
        </w:tc>
        <w:tc>
          <w:tcPr>
            <w:tcW w:w="1559" w:type="dxa"/>
          </w:tcPr>
          <w:p w14:paraId="0E26BE06" w14:textId="77777777" w:rsidR="009D0006" w:rsidRPr="00BC3468" w:rsidRDefault="009D0006" w:rsidP="00EF4EA2">
            <w:pPr>
              <w:pStyle w:val="Tabletext"/>
            </w:pPr>
            <w:r>
              <w:t>48.5</w:t>
            </w:r>
          </w:p>
        </w:tc>
      </w:tr>
      <w:tr w:rsidR="009D0006" w:rsidRPr="00BC3468" w14:paraId="2DCA26B4" w14:textId="77777777" w:rsidTr="00EF4EA2">
        <w:trPr>
          <w:cnfStyle w:val="000000010000" w:firstRow="0" w:lastRow="0" w:firstColumn="0" w:lastColumn="0" w:oddVBand="0" w:evenVBand="0" w:oddHBand="0" w:evenHBand="1" w:firstRowFirstColumn="0" w:firstRowLastColumn="0" w:lastRowFirstColumn="0" w:lastRowLastColumn="0"/>
          <w:trHeight w:val="316"/>
        </w:trPr>
        <w:tc>
          <w:tcPr>
            <w:tcW w:w="6746" w:type="dxa"/>
            <w:noWrap/>
            <w:hideMark/>
          </w:tcPr>
          <w:p w14:paraId="6C10869D" w14:textId="77777777" w:rsidR="009D0006" w:rsidRPr="00BC3468" w:rsidRDefault="009D0006" w:rsidP="00EF4EA2">
            <w:pPr>
              <w:pStyle w:val="Tabletext"/>
            </w:pPr>
            <w:r w:rsidRPr="00BC3468">
              <w:t>Agree</w:t>
            </w:r>
            <w:r>
              <w:t xml:space="preserve"> or </w:t>
            </w:r>
            <w:r w:rsidRPr="00BC3468">
              <w:t>strongly agree</w:t>
            </w:r>
          </w:p>
        </w:tc>
        <w:tc>
          <w:tcPr>
            <w:tcW w:w="1559" w:type="dxa"/>
          </w:tcPr>
          <w:p w14:paraId="510937EF" w14:textId="77777777" w:rsidR="009D0006" w:rsidRPr="00BC3468" w:rsidRDefault="009D0006" w:rsidP="00EF4EA2">
            <w:pPr>
              <w:pStyle w:val="Tabletext"/>
            </w:pPr>
            <w:r>
              <w:t>68</w:t>
            </w:r>
          </w:p>
        </w:tc>
        <w:tc>
          <w:tcPr>
            <w:tcW w:w="1559" w:type="dxa"/>
          </w:tcPr>
          <w:p w14:paraId="69B3B240" w14:textId="77777777" w:rsidR="009D0006" w:rsidRPr="00BC3468" w:rsidRDefault="009D0006" w:rsidP="00EF4EA2">
            <w:pPr>
              <w:pStyle w:val="Tabletext"/>
            </w:pPr>
            <w:r>
              <w:t>51.5</w:t>
            </w:r>
          </w:p>
        </w:tc>
      </w:tr>
    </w:tbl>
    <w:p w14:paraId="3F3B9EFB" w14:textId="77777777" w:rsidR="009D0006" w:rsidRDefault="009D0006" w:rsidP="00EF4EA2">
      <w:pPr>
        <w:pStyle w:val="Tableheading"/>
      </w:pPr>
      <w:r>
        <w:t>Table 110.4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3EB4FAB" w14:textId="77777777" w:rsidTr="00EF4EA2">
        <w:trPr>
          <w:cnfStyle w:val="100000000000" w:firstRow="1" w:lastRow="0" w:firstColumn="0" w:lastColumn="0" w:oddVBand="0" w:evenVBand="0" w:oddHBand="0" w:evenHBand="0" w:firstRowFirstColumn="0" w:firstRowLastColumn="0" w:lastRowFirstColumn="0" w:lastRowLastColumn="0"/>
          <w:trHeight w:val="320"/>
        </w:trPr>
        <w:tc>
          <w:tcPr>
            <w:tcW w:w="6746" w:type="dxa"/>
            <w:noWrap/>
            <w:hideMark/>
          </w:tcPr>
          <w:p w14:paraId="6D4EE9FC" w14:textId="77777777" w:rsidR="009D0006" w:rsidRPr="00BC3468" w:rsidRDefault="009D0006" w:rsidP="00EF4EA2">
            <w:pPr>
              <w:pStyle w:val="Tableheader"/>
            </w:pPr>
            <w:r>
              <w:t>Feel part of LGBTIQ community</w:t>
            </w:r>
          </w:p>
        </w:tc>
        <w:tc>
          <w:tcPr>
            <w:tcW w:w="1559" w:type="dxa"/>
            <w:noWrap/>
            <w:hideMark/>
          </w:tcPr>
          <w:p w14:paraId="07734A7B" w14:textId="77777777" w:rsidR="009D0006" w:rsidRPr="003E3171" w:rsidRDefault="009D0006" w:rsidP="00EF4EA2">
            <w:pPr>
              <w:pStyle w:val="Tableheader"/>
              <w:rPr>
                <w:bCs/>
              </w:rPr>
            </w:pPr>
            <w:r w:rsidRPr="003E3171">
              <w:rPr>
                <w:bCs/>
              </w:rPr>
              <w:t>n</w:t>
            </w:r>
          </w:p>
        </w:tc>
        <w:tc>
          <w:tcPr>
            <w:tcW w:w="1559" w:type="dxa"/>
            <w:noWrap/>
            <w:hideMark/>
          </w:tcPr>
          <w:p w14:paraId="6CFD13BE" w14:textId="77777777" w:rsidR="009D0006" w:rsidRPr="003E3171" w:rsidRDefault="009D0006" w:rsidP="00EF4EA2">
            <w:pPr>
              <w:pStyle w:val="Tableheader"/>
              <w:rPr>
                <w:bCs/>
              </w:rPr>
            </w:pPr>
            <w:r w:rsidRPr="003E3171">
              <w:rPr>
                <w:bCs/>
              </w:rPr>
              <w:t>%</w:t>
            </w:r>
          </w:p>
        </w:tc>
      </w:tr>
      <w:tr w:rsidR="009D0006" w:rsidRPr="00BC3468" w14:paraId="2933E7E9" w14:textId="77777777" w:rsidTr="00EF4EA2">
        <w:trPr>
          <w:cnfStyle w:val="000000100000" w:firstRow="0" w:lastRow="0" w:firstColumn="0" w:lastColumn="0" w:oddVBand="0" w:evenVBand="0" w:oddHBand="1" w:evenHBand="0" w:firstRowFirstColumn="0" w:firstRowLastColumn="0" w:lastRowFirstColumn="0" w:lastRowLastColumn="0"/>
          <w:trHeight w:val="320"/>
        </w:trPr>
        <w:tc>
          <w:tcPr>
            <w:tcW w:w="6746" w:type="dxa"/>
            <w:noWrap/>
            <w:hideMark/>
          </w:tcPr>
          <w:p w14:paraId="355C1F79" w14:textId="77777777" w:rsidR="009D0006" w:rsidRPr="00BC3468" w:rsidRDefault="009D0006" w:rsidP="00EF4EA2">
            <w:pPr>
              <w:pStyle w:val="Tabletext"/>
            </w:pPr>
            <w:r w:rsidRPr="00BC3468">
              <w:t>Do not agree</w:t>
            </w:r>
          </w:p>
        </w:tc>
        <w:tc>
          <w:tcPr>
            <w:tcW w:w="1559" w:type="dxa"/>
            <w:noWrap/>
          </w:tcPr>
          <w:p w14:paraId="2A304252" w14:textId="77777777" w:rsidR="009D0006" w:rsidRPr="00BC3468" w:rsidRDefault="009D0006" w:rsidP="00EF4EA2">
            <w:pPr>
              <w:pStyle w:val="Tabletext"/>
            </w:pPr>
            <w:r>
              <w:t>66</w:t>
            </w:r>
          </w:p>
        </w:tc>
        <w:tc>
          <w:tcPr>
            <w:tcW w:w="1559" w:type="dxa"/>
            <w:noWrap/>
          </w:tcPr>
          <w:p w14:paraId="186D03B5" w14:textId="77777777" w:rsidR="009D0006" w:rsidRPr="00BC3468" w:rsidRDefault="009D0006" w:rsidP="00EF4EA2">
            <w:pPr>
              <w:pStyle w:val="Tabletext"/>
            </w:pPr>
            <w:r>
              <w:t>39.8</w:t>
            </w:r>
          </w:p>
        </w:tc>
      </w:tr>
      <w:tr w:rsidR="009D0006" w:rsidRPr="00BC3468" w14:paraId="465A316D" w14:textId="77777777" w:rsidTr="00EF4EA2">
        <w:trPr>
          <w:cnfStyle w:val="000000010000" w:firstRow="0" w:lastRow="0" w:firstColumn="0" w:lastColumn="0" w:oddVBand="0" w:evenVBand="0" w:oddHBand="0" w:evenHBand="1" w:firstRowFirstColumn="0" w:firstRowLastColumn="0" w:lastRowFirstColumn="0" w:lastRowLastColumn="0"/>
          <w:trHeight w:val="320"/>
        </w:trPr>
        <w:tc>
          <w:tcPr>
            <w:tcW w:w="6746" w:type="dxa"/>
            <w:noWrap/>
            <w:hideMark/>
          </w:tcPr>
          <w:p w14:paraId="47548F1D" w14:textId="77777777" w:rsidR="009D0006" w:rsidRPr="00BC3468" w:rsidRDefault="009D0006" w:rsidP="00EF4EA2">
            <w:pPr>
              <w:pStyle w:val="Tabletext"/>
            </w:pPr>
            <w:r w:rsidRPr="00BC3468">
              <w:t>Agree</w:t>
            </w:r>
            <w:r>
              <w:t xml:space="preserve"> or </w:t>
            </w:r>
            <w:r w:rsidRPr="00BC3468">
              <w:t>strongly agree</w:t>
            </w:r>
          </w:p>
        </w:tc>
        <w:tc>
          <w:tcPr>
            <w:tcW w:w="1559" w:type="dxa"/>
            <w:noWrap/>
          </w:tcPr>
          <w:p w14:paraId="12033197" w14:textId="77777777" w:rsidR="009D0006" w:rsidRPr="00BC3468" w:rsidRDefault="009D0006" w:rsidP="00EF4EA2">
            <w:pPr>
              <w:pStyle w:val="Tabletext"/>
            </w:pPr>
            <w:r>
              <w:t>100</w:t>
            </w:r>
          </w:p>
        </w:tc>
        <w:tc>
          <w:tcPr>
            <w:tcW w:w="1559" w:type="dxa"/>
            <w:noWrap/>
          </w:tcPr>
          <w:p w14:paraId="1F923078" w14:textId="77777777" w:rsidR="009D0006" w:rsidRPr="00BC3468" w:rsidRDefault="009D0006" w:rsidP="00EF4EA2">
            <w:pPr>
              <w:pStyle w:val="Tabletext"/>
            </w:pPr>
            <w:r>
              <w:t>60.2</w:t>
            </w:r>
          </w:p>
        </w:tc>
      </w:tr>
    </w:tbl>
    <w:p w14:paraId="0D270788" w14:textId="77777777" w:rsidR="009D0006" w:rsidRDefault="009D0006" w:rsidP="00EF4EA2">
      <w:pPr>
        <w:pStyle w:val="Tableheading"/>
      </w:pPr>
      <w:r>
        <w:t>Table 110.5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7B5F8C0" w14:textId="77777777" w:rsidTr="00650B64">
        <w:trPr>
          <w:cnfStyle w:val="100000000000" w:firstRow="1" w:lastRow="0" w:firstColumn="0" w:lastColumn="0" w:oddVBand="0" w:evenVBand="0" w:oddHBand="0" w:evenHBand="0" w:firstRowFirstColumn="0" w:firstRowLastColumn="0" w:lastRowFirstColumn="0" w:lastRowLastColumn="0"/>
          <w:trHeight w:val="286"/>
          <w:tblHeader/>
        </w:trPr>
        <w:tc>
          <w:tcPr>
            <w:tcW w:w="6746" w:type="dxa"/>
            <w:noWrap/>
            <w:hideMark/>
          </w:tcPr>
          <w:p w14:paraId="2D589338" w14:textId="77777777" w:rsidR="009D0006" w:rsidRPr="00BC3468" w:rsidRDefault="009D0006" w:rsidP="00EF4EA2">
            <w:pPr>
              <w:pStyle w:val="Tableheader"/>
            </w:pPr>
            <w:r>
              <w:t>Feel part of LGBTIQ community</w:t>
            </w:r>
          </w:p>
        </w:tc>
        <w:tc>
          <w:tcPr>
            <w:tcW w:w="1559" w:type="dxa"/>
            <w:noWrap/>
            <w:hideMark/>
          </w:tcPr>
          <w:p w14:paraId="3A14A8A1" w14:textId="77777777" w:rsidR="009D0006" w:rsidRPr="003E3171" w:rsidRDefault="009D0006" w:rsidP="00EF4EA2">
            <w:pPr>
              <w:pStyle w:val="Tableheader"/>
              <w:rPr>
                <w:bCs/>
              </w:rPr>
            </w:pPr>
            <w:r w:rsidRPr="003E3171">
              <w:rPr>
                <w:bCs/>
              </w:rPr>
              <w:t>n</w:t>
            </w:r>
          </w:p>
        </w:tc>
        <w:tc>
          <w:tcPr>
            <w:tcW w:w="1559" w:type="dxa"/>
            <w:noWrap/>
            <w:hideMark/>
          </w:tcPr>
          <w:p w14:paraId="459607CC" w14:textId="77777777" w:rsidR="009D0006" w:rsidRPr="003E3171" w:rsidRDefault="009D0006" w:rsidP="00EF4EA2">
            <w:pPr>
              <w:pStyle w:val="Tableheader"/>
              <w:rPr>
                <w:bCs/>
              </w:rPr>
            </w:pPr>
            <w:r w:rsidRPr="003E3171">
              <w:rPr>
                <w:bCs/>
              </w:rPr>
              <w:t>%</w:t>
            </w:r>
          </w:p>
        </w:tc>
      </w:tr>
      <w:tr w:rsidR="009D0006" w:rsidRPr="00BC3468" w14:paraId="0132E0F2" w14:textId="77777777" w:rsidTr="00EF4EA2">
        <w:trPr>
          <w:cnfStyle w:val="000000100000" w:firstRow="0" w:lastRow="0" w:firstColumn="0" w:lastColumn="0" w:oddVBand="0" w:evenVBand="0" w:oddHBand="1" w:evenHBand="0" w:firstRowFirstColumn="0" w:firstRowLastColumn="0" w:lastRowFirstColumn="0" w:lastRowLastColumn="0"/>
          <w:trHeight w:val="286"/>
        </w:trPr>
        <w:tc>
          <w:tcPr>
            <w:tcW w:w="6746" w:type="dxa"/>
            <w:noWrap/>
            <w:hideMark/>
          </w:tcPr>
          <w:p w14:paraId="0B1496D9" w14:textId="77777777" w:rsidR="009D0006" w:rsidRPr="00BC3468" w:rsidRDefault="009D0006" w:rsidP="00EF4EA2">
            <w:pPr>
              <w:pStyle w:val="Tabletext"/>
            </w:pPr>
            <w:r w:rsidRPr="00BC3468">
              <w:t>Do not agree</w:t>
            </w:r>
          </w:p>
        </w:tc>
        <w:tc>
          <w:tcPr>
            <w:tcW w:w="1559" w:type="dxa"/>
            <w:noWrap/>
          </w:tcPr>
          <w:p w14:paraId="2FEBC60B" w14:textId="77777777" w:rsidR="009D0006" w:rsidRPr="00BC3468" w:rsidRDefault="009D0006" w:rsidP="00EF4EA2">
            <w:pPr>
              <w:pStyle w:val="Tabletext"/>
            </w:pPr>
            <w:r>
              <w:t>200</w:t>
            </w:r>
          </w:p>
        </w:tc>
        <w:tc>
          <w:tcPr>
            <w:tcW w:w="1559" w:type="dxa"/>
            <w:noWrap/>
          </w:tcPr>
          <w:p w14:paraId="03196B37" w14:textId="77777777" w:rsidR="009D0006" w:rsidRPr="00BC3468" w:rsidRDefault="009D0006" w:rsidP="00EF4EA2">
            <w:pPr>
              <w:pStyle w:val="Tabletext"/>
            </w:pPr>
            <w:r>
              <w:t>35.7</w:t>
            </w:r>
          </w:p>
        </w:tc>
      </w:tr>
      <w:tr w:rsidR="009D0006" w:rsidRPr="00BC3468" w14:paraId="35DC2E13" w14:textId="77777777" w:rsidTr="00EF4EA2">
        <w:trPr>
          <w:cnfStyle w:val="000000010000" w:firstRow="0" w:lastRow="0" w:firstColumn="0" w:lastColumn="0" w:oddVBand="0" w:evenVBand="0" w:oddHBand="0" w:evenHBand="1" w:firstRowFirstColumn="0" w:firstRowLastColumn="0" w:lastRowFirstColumn="0" w:lastRowLastColumn="0"/>
          <w:trHeight w:val="286"/>
        </w:trPr>
        <w:tc>
          <w:tcPr>
            <w:tcW w:w="6746" w:type="dxa"/>
            <w:noWrap/>
            <w:hideMark/>
          </w:tcPr>
          <w:p w14:paraId="17EC4DBB" w14:textId="77777777" w:rsidR="009D0006" w:rsidRPr="00BC3468" w:rsidRDefault="009D0006" w:rsidP="00EF4EA2">
            <w:pPr>
              <w:pStyle w:val="Tabletext"/>
            </w:pPr>
            <w:r w:rsidRPr="00BC3468">
              <w:t>Agree</w:t>
            </w:r>
            <w:r>
              <w:t xml:space="preserve"> or </w:t>
            </w:r>
            <w:r w:rsidRPr="00BC3468">
              <w:t>s</w:t>
            </w:r>
            <w:r w:rsidRPr="00BC3468">
              <w:lastRenderedPageBreak/>
              <w:t>trongly agree</w:t>
            </w:r>
          </w:p>
        </w:tc>
        <w:tc>
          <w:tcPr>
            <w:tcW w:w="1559" w:type="dxa"/>
            <w:noWrap/>
          </w:tcPr>
          <w:p w14:paraId="5F6EB0AE" w14:textId="77777777" w:rsidR="009D0006" w:rsidRPr="00BC3468" w:rsidRDefault="009D0006" w:rsidP="00EF4EA2">
            <w:pPr>
              <w:pStyle w:val="Tabletext"/>
            </w:pPr>
            <w:r>
              <w:t>360</w:t>
            </w:r>
          </w:p>
        </w:tc>
        <w:tc>
          <w:tcPr>
            <w:tcW w:w="1559" w:type="dxa"/>
            <w:noWrap/>
          </w:tcPr>
          <w:p w14:paraId="347CE14E" w14:textId="77777777" w:rsidR="009D0006" w:rsidRPr="00BC3468" w:rsidRDefault="009D0006" w:rsidP="00EF4EA2">
            <w:pPr>
              <w:pStyle w:val="Tabletext"/>
            </w:pPr>
            <w:r>
              <w:t>64.3</w:t>
            </w:r>
          </w:p>
        </w:tc>
      </w:tr>
    </w:tbl>
    <w:p w14:paraId="5AE06658" w14:textId="77777777" w:rsidR="009D0006" w:rsidRPr="003A2535" w:rsidRDefault="009D0006" w:rsidP="00650B64">
      <w:r w:rsidRPr="003A2535">
        <w:t>As shown in Table</w:t>
      </w:r>
      <w:r>
        <w:t>s</w:t>
      </w:r>
      <w:r w:rsidRPr="003A2535">
        <w:t xml:space="preserve"> </w:t>
      </w:r>
      <w:r>
        <w:t xml:space="preserve">110.1-110.5, among participants with disability in </w:t>
      </w:r>
      <w:r>
        <w:rPr>
          <w:i/>
          <w:iCs/>
        </w:rPr>
        <w:t xml:space="preserve">Private Lives 3 </w:t>
      </w:r>
      <w:r>
        <w:t xml:space="preserve">almost two-thirds of </w:t>
      </w:r>
      <w:r w:rsidRPr="005A6E89">
        <w:t>non-binary</w:t>
      </w:r>
      <w:r>
        <w:t xml:space="preserve"> people felt that they were a part of Australia’s LGBTIQ community (64.3%; n = 360), followed by trans men (60.2%; n = 100), cisgender women (54.8%; n = 671), trans women (51.5%; n = 68) and cisgender men (44.4%; n = 228). </w:t>
      </w:r>
    </w:p>
    <w:p w14:paraId="6DC316D5" w14:textId="599CB772" w:rsidR="009D0006" w:rsidRPr="00C5739E" w:rsidRDefault="009D0006" w:rsidP="00650B64">
      <w:pPr>
        <w:pStyle w:val="Heading3Numbered"/>
        <w:spacing w:before="240"/>
      </w:pPr>
      <w:bookmarkStart w:id="891" w:name="_Toc115968656"/>
      <w:r w:rsidRPr="00C5739E">
        <w:t>Attended an LGBTIQA+ youth event in the past 12 months – young people aged 14-21 years</w:t>
      </w:r>
      <w:bookmarkEnd w:id="891"/>
    </w:p>
    <w:p w14:paraId="704FD38D" w14:textId="77777777" w:rsidR="009D0006" w:rsidRPr="00C5739E" w:rsidRDefault="009D0006" w:rsidP="009D0006">
      <w:r w:rsidRPr="00C5739E">
        <w:t xml:space="preserve">Participants were asked how often they had attended an </w:t>
      </w:r>
      <w:r w:rsidRPr="00C5739E">
        <w:rPr>
          <w:lang w:val="en-US"/>
        </w:rPr>
        <w:t xml:space="preserve">LGBTIQA+ youth event </w:t>
      </w:r>
      <w:r w:rsidRPr="00C5739E">
        <w:t>in the past 12 months. Response options were ‘never’, ‘annually’, ‘monthly’ and ‘weekly’</w:t>
      </w:r>
      <w:r>
        <w:t>.</w:t>
      </w:r>
      <w:r w:rsidRPr="00C5739E">
        <w:t xml:space="preserve"> Table </w:t>
      </w:r>
      <w:r>
        <w:t>109</w:t>
      </w:r>
      <w:r w:rsidRPr="00C5739E">
        <w:t xml:space="preserve"> displays the results for any attendance in the past 12 months. </w:t>
      </w:r>
    </w:p>
    <w:p w14:paraId="4173B0E6" w14:textId="1AE47F47" w:rsidR="009D0006" w:rsidRPr="00650B64" w:rsidRDefault="009D0006" w:rsidP="00650B64">
      <w:pPr>
        <w:pStyle w:val="Tableheading"/>
        <w:spacing w:before="120"/>
        <w:rPr>
          <w:w w:val="101"/>
        </w:rPr>
      </w:pPr>
      <w:bookmarkStart w:id="892" w:name="_Toc117062828"/>
      <w:bookmarkStart w:id="893" w:name="_Toc119651513"/>
      <w:r w:rsidRPr="00650B64">
        <w:rPr>
          <w:bCs/>
          <w:w w:val="101"/>
        </w:rPr>
        <w:t xml:space="preserve">Tables </w:t>
      </w:r>
      <w:r w:rsidRPr="00650B64">
        <w:rPr>
          <w:bCs/>
          <w:w w:val="101"/>
        </w:rPr>
        <w:fldChar w:fldCharType="begin"/>
      </w:r>
      <w:r w:rsidRPr="00650B64">
        <w:rPr>
          <w:bCs/>
          <w:w w:val="101"/>
        </w:rPr>
        <w:instrText xml:space="preserve"> SEQ Table \* ARABIC </w:instrText>
      </w:r>
      <w:r w:rsidRPr="00650B64">
        <w:rPr>
          <w:bCs/>
          <w:w w:val="101"/>
        </w:rPr>
        <w:fldChar w:fldCharType="separate"/>
      </w:r>
      <w:r w:rsidRPr="00650B64">
        <w:rPr>
          <w:bCs/>
          <w:noProof/>
          <w:w w:val="101"/>
        </w:rPr>
        <w:t>111</w:t>
      </w:r>
      <w:r w:rsidRPr="00650B64">
        <w:rPr>
          <w:bCs/>
          <w:w w:val="101"/>
        </w:rPr>
        <w:fldChar w:fldCharType="end"/>
      </w:r>
      <w:r w:rsidRPr="00650B64">
        <w:rPr>
          <w:bCs/>
          <w:w w:val="101"/>
        </w:rPr>
        <w:t>.1-111.5</w:t>
      </w:r>
      <w:r w:rsidRPr="00650B64">
        <w:rPr>
          <w:w w:val="101"/>
        </w:rPr>
        <w:t>: Attended an LGBTIQA+ youth event in the past 12 months among young people with disability aged 14-21 years, grouped by gender (n = 2347)</w:t>
      </w:r>
      <w:bookmarkEnd w:id="892"/>
      <w:bookmarkEnd w:id="893"/>
    </w:p>
    <w:p w14:paraId="0E5637F5" w14:textId="77777777" w:rsidR="009D0006" w:rsidRPr="00C5739E" w:rsidRDefault="009D0006" w:rsidP="00017FD9">
      <w:pPr>
        <w:pStyle w:val="Tableheading"/>
      </w:pPr>
      <w:r>
        <w:t>Table 111.1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D0554AA" w14:textId="77777777" w:rsidTr="00017FD9">
        <w:trPr>
          <w:cnfStyle w:val="100000000000" w:firstRow="1" w:lastRow="0" w:firstColumn="0" w:lastColumn="0" w:oddVBand="0" w:evenVBand="0" w:oddHBand="0" w:evenHBand="0" w:firstRowFirstColumn="0" w:firstRowLastColumn="0" w:lastRowFirstColumn="0" w:lastRowLastColumn="0"/>
          <w:trHeight w:val="323"/>
        </w:trPr>
        <w:tc>
          <w:tcPr>
            <w:tcW w:w="6746" w:type="dxa"/>
            <w:noWrap/>
            <w:hideMark/>
          </w:tcPr>
          <w:p w14:paraId="1CAD61A9" w14:textId="77777777" w:rsidR="009D0006" w:rsidRPr="00BC3468" w:rsidRDefault="009D0006" w:rsidP="00017FD9">
            <w:pPr>
              <w:pStyle w:val="Tableheader"/>
            </w:pPr>
            <w:r>
              <w:t>Attended LGBTIQA+ event</w:t>
            </w:r>
          </w:p>
        </w:tc>
        <w:tc>
          <w:tcPr>
            <w:tcW w:w="1559" w:type="dxa"/>
            <w:noWrap/>
            <w:hideMark/>
          </w:tcPr>
          <w:p w14:paraId="428857F4" w14:textId="77777777" w:rsidR="009D0006" w:rsidRPr="003E3171" w:rsidRDefault="009D0006" w:rsidP="00017FD9">
            <w:pPr>
              <w:pStyle w:val="Tableheader"/>
              <w:rPr>
                <w:bCs/>
              </w:rPr>
            </w:pPr>
            <w:r w:rsidRPr="003E3171">
              <w:rPr>
                <w:bCs/>
              </w:rPr>
              <w:t>n</w:t>
            </w:r>
          </w:p>
        </w:tc>
        <w:tc>
          <w:tcPr>
            <w:tcW w:w="1559" w:type="dxa"/>
            <w:noWrap/>
            <w:hideMark/>
          </w:tcPr>
          <w:p w14:paraId="03A2F107" w14:textId="77777777" w:rsidR="009D0006" w:rsidRPr="003E3171" w:rsidRDefault="009D0006" w:rsidP="00017FD9">
            <w:pPr>
              <w:pStyle w:val="Tableheader"/>
              <w:rPr>
                <w:bCs/>
              </w:rPr>
            </w:pPr>
            <w:r w:rsidRPr="003E3171">
              <w:rPr>
                <w:bCs/>
              </w:rPr>
              <w:t>%</w:t>
            </w:r>
          </w:p>
        </w:tc>
      </w:tr>
      <w:tr w:rsidR="009D0006" w:rsidRPr="00BC3468" w14:paraId="32DDE24A" w14:textId="77777777" w:rsidTr="00017FD9">
        <w:trPr>
          <w:cnfStyle w:val="000000100000" w:firstRow="0" w:lastRow="0" w:firstColumn="0" w:lastColumn="0" w:oddVBand="0" w:evenVBand="0" w:oddHBand="1" w:evenHBand="0" w:firstRowFirstColumn="0" w:firstRowLastColumn="0" w:lastRowFirstColumn="0" w:lastRowLastColumn="0"/>
          <w:trHeight w:val="323"/>
        </w:trPr>
        <w:tc>
          <w:tcPr>
            <w:tcW w:w="6746" w:type="dxa"/>
            <w:noWrap/>
            <w:hideMark/>
          </w:tcPr>
          <w:p w14:paraId="708DBD4B" w14:textId="77777777" w:rsidR="009D0006" w:rsidRPr="00BC3468" w:rsidRDefault="009D0006" w:rsidP="00017FD9">
            <w:pPr>
              <w:pStyle w:val="Tabletext"/>
            </w:pPr>
            <w:r>
              <w:t>No</w:t>
            </w:r>
          </w:p>
        </w:tc>
        <w:tc>
          <w:tcPr>
            <w:tcW w:w="1559" w:type="dxa"/>
            <w:noWrap/>
          </w:tcPr>
          <w:p w14:paraId="08A3E7A7" w14:textId="77777777" w:rsidR="009D0006" w:rsidRPr="00BC3468" w:rsidRDefault="009D0006" w:rsidP="00017FD9">
            <w:pPr>
              <w:pStyle w:val="Tabletext"/>
            </w:pPr>
            <w:r>
              <w:t>972</w:t>
            </w:r>
          </w:p>
        </w:tc>
        <w:tc>
          <w:tcPr>
            <w:tcW w:w="1559" w:type="dxa"/>
            <w:noWrap/>
          </w:tcPr>
          <w:p w14:paraId="12FA9975" w14:textId="77777777" w:rsidR="009D0006" w:rsidRPr="00BC3468" w:rsidRDefault="009D0006" w:rsidP="00017FD9">
            <w:pPr>
              <w:pStyle w:val="Tabletext"/>
            </w:pPr>
            <w:r>
              <w:t>86.8</w:t>
            </w:r>
          </w:p>
        </w:tc>
      </w:tr>
      <w:tr w:rsidR="009D0006" w:rsidRPr="00BC3468" w14:paraId="06833EDC" w14:textId="77777777" w:rsidTr="00017FD9">
        <w:trPr>
          <w:cnfStyle w:val="000000010000" w:firstRow="0" w:lastRow="0" w:firstColumn="0" w:lastColumn="0" w:oddVBand="0" w:evenVBand="0" w:oddHBand="0" w:evenHBand="1" w:firstRowFirstColumn="0" w:firstRowLastColumn="0" w:lastRowFirstColumn="0" w:lastRowLastColumn="0"/>
          <w:trHeight w:val="323"/>
        </w:trPr>
        <w:tc>
          <w:tcPr>
            <w:tcW w:w="6746" w:type="dxa"/>
            <w:noWrap/>
            <w:hideMark/>
          </w:tcPr>
          <w:p w14:paraId="053F00FC" w14:textId="77777777" w:rsidR="009D0006" w:rsidRPr="00BC3468" w:rsidRDefault="009D0006" w:rsidP="00017FD9">
            <w:pPr>
              <w:pStyle w:val="Tabletext"/>
            </w:pPr>
            <w:r>
              <w:t>Yes</w:t>
            </w:r>
          </w:p>
        </w:tc>
        <w:tc>
          <w:tcPr>
            <w:tcW w:w="1559" w:type="dxa"/>
            <w:noWrap/>
          </w:tcPr>
          <w:p w14:paraId="5D157DB1" w14:textId="77777777" w:rsidR="009D0006" w:rsidRPr="00BC3468" w:rsidRDefault="009D0006" w:rsidP="00017FD9">
            <w:pPr>
              <w:pStyle w:val="Tabletext"/>
            </w:pPr>
            <w:r>
              <w:t>148</w:t>
            </w:r>
          </w:p>
        </w:tc>
        <w:tc>
          <w:tcPr>
            <w:tcW w:w="1559" w:type="dxa"/>
            <w:noWrap/>
          </w:tcPr>
          <w:p w14:paraId="1C83C758" w14:textId="77777777" w:rsidR="009D0006" w:rsidRPr="00BC3468" w:rsidRDefault="009D0006" w:rsidP="00017FD9">
            <w:pPr>
              <w:pStyle w:val="Tabletext"/>
            </w:pPr>
            <w:r>
              <w:t>13.2</w:t>
            </w:r>
          </w:p>
        </w:tc>
      </w:tr>
    </w:tbl>
    <w:p w14:paraId="740F20C3" w14:textId="77777777" w:rsidR="009D0006" w:rsidRDefault="009D0006" w:rsidP="00017FD9">
      <w:pPr>
        <w:pStyle w:val="Tableheading"/>
      </w:pPr>
      <w:r>
        <w:t>Table 111.2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DE0E90E" w14:textId="77777777" w:rsidTr="00017FD9">
        <w:trPr>
          <w:cnfStyle w:val="100000000000" w:firstRow="1" w:lastRow="0" w:firstColumn="0" w:lastColumn="0" w:oddVBand="0" w:evenVBand="0" w:oddHBand="0" w:evenHBand="0" w:firstRowFirstColumn="0" w:firstRowLastColumn="0" w:lastRowFirstColumn="0" w:lastRowLastColumn="0"/>
          <w:trHeight w:val="286"/>
        </w:trPr>
        <w:tc>
          <w:tcPr>
            <w:tcW w:w="6746" w:type="dxa"/>
            <w:noWrap/>
            <w:hideMark/>
          </w:tcPr>
          <w:p w14:paraId="0368C471" w14:textId="77777777" w:rsidR="009D0006" w:rsidRPr="00BC3468" w:rsidRDefault="009D0006" w:rsidP="00017FD9">
            <w:pPr>
              <w:pStyle w:val="Tableheader"/>
            </w:pPr>
            <w:r>
              <w:t>Attended LGBTIQA+ event</w:t>
            </w:r>
          </w:p>
        </w:tc>
        <w:tc>
          <w:tcPr>
            <w:tcW w:w="1559" w:type="dxa"/>
            <w:noWrap/>
            <w:hideMark/>
          </w:tcPr>
          <w:p w14:paraId="6544D03B" w14:textId="77777777" w:rsidR="009D0006" w:rsidRPr="003E3171" w:rsidRDefault="009D0006" w:rsidP="00017FD9">
            <w:pPr>
              <w:pStyle w:val="Tableheader"/>
              <w:rPr>
                <w:bCs/>
              </w:rPr>
            </w:pPr>
            <w:r w:rsidRPr="003E3171">
              <w:rPr>
                <w:bCs/>
              </w:rPr>
              <w:t>n</w:t>
            </w:r>
          </w:p>
        </w:tc>
        <w:tc>
          <w:tcPr>
            <w:tcW w:w="1559" w:type="dxa"/>
            <w:noWrap/>
            <w:hideMark/>
          </w:tcPr>
          <w:p w14:paraId="1BF55595" w14:textId="77777777" w:rsidR="009D0006" w:rsidRPr="003E3171" w:rsidRDefault="009D0006" w:rsidP="00017FD9">
            <w:pPr>
              <w:pStyle w:val="Tableheader"/>
              <w:rPr>
                <w:bCs/>
              </w:rPr>
            </w:pPr>
            <w:r w:rsidRPr="003E3171">
              <w:rPr>
                <w:bCs/>
              </w:rPr>
              <w:t>%</w:t>
            </w:r>
          </w:p>
        </w:tc>
      </w:tr>
      <w:tr w:rsidR="009D0006" w:rsidRPr="00BC3468" w14:paraId="232D9E75" w14:textId="77777777" w:rsidTr="00017FD9">
        <w:trPr>
          <w:cnfStyle w:val="000000100000" w:firstRow="0" w:lastRow="0" w:firstColumn="0" w:lastColumn="0" w:oddVBand="0" w:evenVBand="0" w:oddHBand="1" w:evenHBand="0" w:firstRowFirstColumn="0" w:firstRowLastColumn="0" w:lastRowFirstColumn="0" w:lastRowLastColumn="0"/>
          <w:trHeight w:val="286"/>
        </w:trPr>
        <w:tc>
          <w:tcPr>
            <w:tcW w:w="6746" w:type="dxa"/>
            <w:noWrap/>
            <w:hideMark/>
          </w:tcPr>
          <w:p w14:paraId="28599335" w14:textId="77777777" w:rsidR="009D0006" w:rsidRPr="00BC3468" w:rsidRDefault="009D0006" w:rsidP="00017FD9">
            <w:pPr>
              <w:pStyle w:val="Tabletext"/>
            </w:pPr>
            <w:r>
              <w:t>No</w:t>
            </w:r>
          </w:p>
        </w:tc>
        <w:tc>
          <w:tcPr>
            <w:tcW w:w="1559" w:type="dxa"/>
            <w:noWrap/>
          </w:tcPr>
          <w:p w14:paraId="0F7118EC" w14:textId="77777777" w:rsidR="009D0006" w:rsidRPr="00BC3468" w:rsidRDefault="009D0006" w:rsidP="00017FD9">
            <w:pPr>
              <w:pStyle w:val="Tabletext"/>
            </w:pPr>
            <w:r>
              <w:t>254</w:t>
            </w:r>
          </w:p>
        </w:tc>
        <w:tc>
          <w:tcPr>
            <w:tcW w:w="1559" w:type="dxa"/>
            <w:noWrap/>
          </w:tcPr>
          <w:p w14:paraId="00D5BFD9" w14:textId="77777777" w:rsidR="009D0006" w:rsidRPr="00BC3468" w:rsidRDefault="009D0006" w:rsidP="00017FD9">
            <w:pPr>
              <w:pStyle w:val="Tabletext"/>
            </w:pPr>
            <w:r>
              <w:t>87.6</w:t>
            </w:r>
          </w:p>
        </w:tc>
      </w:tr>
      <w:tr w:rsidR="009D0006" w:rsidRPr="00BC3468" w14:paraId="6108B6E8" w14:textId="77777777" w:rsidTr="00017FD9">
        <w:trPr>
          <w:cnfStyle w:val="000000010000" w:firstRow="0" w:lastRow="0" w:firstColumn="0" w:lastColumn="0" w:oddVBand="0" w:evenVBand="0" w:oddHBand="0" w:evenHBand="1" w:firstRowFirstColumn="0" w:firstRowLastColumn="0" w:lastRowFirstColumn="0" w:lastRowLastColumn="0"/>
          <w:trHeight w:val="286"/>
        </w:trPr>
        <w:tc>
          <w:tcPr>
            <w:tcW w:w="6746" w:type="dxa"/>
            <w:noWrap/>
            <w:hideMark/>
          </w:tcPr>
          <w:p w14:paraId="2824B1F1" w14:textId="77777777" w:rsidR="009D0006" w:rsidRPr="00BC3468" w:rsidRDefault="009D0006" w:rsidP="00017FD9">
            <w:pPr>
              <w:pStyle w:val="Tabletext"/>
            </w:pPr>
            <w:r>
              <w:t>Yes</w:t>
            </w:r>
          </w:p>
        </w:tc>
        <w:tc>
          <w:tcPr>
            <w:tcW w:w="1559" w:type="dxa"/>
            <w:noWrap/>
          </w:tcPr>
          <w:p w14:paraId="22CB3BD0" w14:textId="77777777" w:rsidR="009D0006" w:rsidRPr="00BC3468" w:rsidRDefault="009D0006" w:rsidP="00017FD9">
            <w:pPr>
              <w:pStyle w:val="Tabletext"/>
            </w:pPr>
            <w:r>
              <w:t>36</w:t>
            </w:r>
          </w:p>
        </w:tc>
        <w:tc>
          <w:tcPr>
            <w:tcW w:w="1559" w:type="dxa"/>
            <w:noWrap/>
          </w:tcPr>
          <w:p w14:paraId="69C260CE" w14:textId="77777777" w:rsidR="009D0006" w:rsidRPr="00BC3468" w:rsidRDefault="009D0006" w:rsidP="00017FD9">
            <w:pPr>
              <w:pStyle w:val="Tabletext"/>
            </w:pPr>
            <w:r>
              <w:t>12.4</w:t>
            </w:r>
          </w:p>
        </w:tc>
      </w:tr>
    </w:tbl>
    <w:p w14:paraId="265DD260" w14:textId="77777777" w:rsidR="009D0006" w:rsidRDefault="009D0006" w:rsidP="00017FD9">
      <w:pPr>
        <w:pStyle w:val="Tableheading"/>
      </w:pPr>
      <w:r>
        <w:t>Table 111.3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58AF957" w14:textId="77777777" w:rsidTr="00017FD9">
        <w:trPr>
          <w:cnfStyle w:val="100000000000" w:firstRow="1" w:lastRow="0" w:firstColumn="0" w:lastColumn="0" w:oddVBand="0" w:evenVBand="0" w:oddHBand="0" w:evenHBand="0" w:firstRowFirstColumn="0" w:firstRowLastColumn="0" w:lastRowFirstColumn="0" w:lastRowLastColumn="0"/>
          <w:trHeight w:val="315"/>
        </w:trPr>
        <w:tc>
          <w:tcPr>
            <w:tcW w:w="6746" w:type="dxa"/>
            <w:noWrap/>
            <w:hideMark/>
          </w:tcPr>
          <w:p w14:paraId="785C7C85" w14:textId="77777777" w:rsidR="009D0006" w:rsidRPr="00BC3468" w:rsidRDefault="009D0006" w:rsidP="00017FD9">
            <w:pPr>
              <w:pStyle w:val="Tableheader"/>
            </w:pPr>
            <w:r>
              <w:t>Attended LGBTIQA+ event</w:t>
            </w:r>
          </w:p>
        </w:tc>
        <w:tc>
          <w:tcPr>
            <w:tcW w:w="1559" w:type="dxa"/>
          </w:tcPr>
          <w:p w14:paraId="0F21FDBE" w14:textId="77777777" w:rsidR="009D0006" w:rsidRPr="003E3171" w:rsidRDefault="009D0006" w:rsidP="00017FD9">
            <w:pPr>
              <w:pStyle w:val="Tableheader"/>
              <w:rPr>
                <w:bCs/>
              </w:rPr>
            </w:pPr>
            <w:r w:rsidRPr="003E3171">
              <w:rPr>
                <w:bCs/>
              </w:rPr>
              <w:t>n</w:t>
            </w:r>
          </w:p>
        </w:tc>
        <w:tc>
          <w:tcPr>
            <w:tcW w:w="1559" w:type="dxa"/>
          </w:tcPr>
          <w:p w14:paraId="26102C94" w14:textId="77777777" w:rsidR="009D0006" w:rsidRPr="003E3171" w:rsidRDefault="009D0006" w:rsidP="00017FD9">
            <w:pPr>
              <w:pStyle w:val="Tableheader"/>
              <w:rPr>
                <w:bCs/>
              </w:rPr>
            </w:pPr>
            <w:r w:rsidRPr="003E3171">
              <w:rPr>
                <w:bCs/>
              </w:rPr>
              <w:t>%</w:t>
            </w:r>
          </w:p>
        </w:tc>
      </w:tr>
      <w:tr w:rsidR="009D0006" w:rsidRPr="00BC3468" w14:paraId="22125BB1" w14:textId="77777777" w:rsidTr="00017FD9">
        <w:trPr>
          <w:cnfStyle w:val="000000100000" w:firstRow="0" w:lastRow="0" w:firstColumn="0" w:lastColumn="0" w:oddVBand="0" w:evenVBand="0" w:oddHBand="1" w:evenHBand="0" w:firstRowFirstColumn="0" w:firstRowLastColumn="0" w:lastRowFirstColumn="0" w:lastRowLastColumn="0"/>
          <w:trHeight w:val="315"/>
        </w:trPr>
        <w:tc>
          <w:tcPr>
            <w:tcW w:w="6746" w:type="dxa"/>
            <w:noWrap/>
            <w:hideMark/>
          </w:tcPr>
          <w:p w14:paraId="4F8C54B3" w14:textId="77777777" w:rsidR="009D0006" w:rsidRPr="00BC3468" w:rsidRDefault="009D0006" w:rsidP="00017FD9">
            <w:pPr>
              <w:pStyle w:val="Tabletext"/>
            </w:pPr>
            <w:r>
              <w:t>No</w:t>
            </w:r>
          </w:p>
        </w:tc>
        <w:tc>
          <w:tcPr>
            <w:tcW w:w="1559" w:type="dxa"/>
          </w:tcPr>
          <w:p w14:paraId="559A258D" w14:textId="77777777" w:rsidR="009D0006" w:rsidRPr="00BC3468" w:rsidRDefault="009D0006" w:rsidP="00017FD9">
            <w:pPr>
              <w:pStyle w:val="Tabletext"/>
            </w:pPr>
            <w:r>
              <w:t>33</w:t>
            </w:r>
          </w:p>
        </w:tc>
        <w:tc>
          <w:tcPr>
            <w:tcW w:w="1559" w:type="dxa"/>
          </w:tcPr>
          <w:p w14:paraId="159F79DA" w14:textId="77777777" w:rsidR="009D0006" w:rsidRPr="00BC3468" w:rsidRDefault="009D0006" w:rsidP="00017FD9">
            <w:pPr>
              <w:pStyle w:val="Tabletext"/>
            </w:pPr>
            <w:r>
              <w:t>73.3</w:t>
            </w:r>
          </w:p>
        </w:tc>
      </w:tr>
      <w:tr w:rsidR="009D0006" w:rsidRPr="00BC3468" w14:paraId="01AED6AE" w14:textId="77777777" w:rsidTr="00017FD9">
        <w:trPr>
          <w:cnfStyle w:val="000000010000" w:firstRow="0" w:lastRow="0" w:firstColumn="0" w:lastColumn="0" w:oddVBand="0" w:evenVBand="0" w:oddHBand="0" w:evenHBand="1" w:firstRowFirstColumn="0" w:firstRowLastColumn="0" w:lastRowFirstColumn="0" w:lastRowLastColumn="0"/>
          <w:trHeight w:val="315"/>
        </w:trPr>
        <w:tc>
          <w:tcPr>
            <w:tcW w:w="6746" w:type="dxa"/>
            <w:noWrap/>
            <w:hideMark/>
          </w:tcPr>
          <w:p w14:paraId="35545152" w14:textId="77777777" w:rsidR="009D0006" w:rsidRPr="00BC3468" w:rsidRDefault="009D0006" w:rsidP="00017FD9">
            <w:pPr>
              <w:pStyle w:val="Tabletext"/>
            </w:pPr>
            <w:r>
              <w:t>Yes</w:t>
            </w:r>
          </w:p>
        </w:tc>
        <w:tc>
          <w:tcPr>
            <w:tcW w:w="1559" w:type="dxa"/>
          </w:tcPr>
          <w:p w14:paraId="7EC07D38" w14:textId="77777777" w:rsidR="009D0006" w:rsidRPr="00BC3468" w:rsidRDefault="009D0006" w:rsidP="00017FD9">
            <w:pPr>
              <w:pStyle w:val="Tabletext"/>
            </w:pPr>
            <w:r>
              <w:t>12</w:t>
            </w:r>
          </w:p>
        </w:tc>
        <w:tc>
          <w:tcPr>
            <w:tcW w:w="1559" w:type="dxa"/>
          </w:tcPr>
          <w:p w14:paraId="3990C3A8" w14:textId="77777777" w:rsidR="009D0006" w:rsidRPr="00BC3468" w:rsidRDefault="009D0006" w:rsidP="00017FD9">
            <w:pPr>
              <w:pStyle w:val="Tabletext"/>
            </w:pPr>
            <w:r>
              <w:t>26.7</w:t>
            </w:r>
          </w:p>
        </w:tc>
      </w:tr>
    </w:tbl>
    <w:p w14:paraId="2B6E921A" w14:textId="77777777" w:rsidR="009D0006" w:rsidRDefault="009D0006" w:rsidP="00017FD9">
      <w:pPr>
        <w:pStyle w:val="Tableheading"/>
      </w:pPr>
      <w:r>
        <w:t>Table 111.4 Trans man</w:t>
      </w:r>
    </w:p>
    <w:tbl>
      <w:tblPr>
        <w:tblStyle w:val="RCTable"/>
        <w:tblW w:w="9864" w:type="dxa"/>
        <w:tblLayout w:type="fixed"/>
        <w:tblLook w:val="04A0" w:firstRow="1" w:lastRow="0" w:firstColumn="1" w:lastColumn="0" w:noHBand="0" w:noVBand="1"/>
      </w:tblPr>
      <w:tblGrid>
        <w:gridCol w:w="6746"/>
        <w:gridCol w:w="1559"/>
        <w:gridCol w:w="1559"/>
      </w:tblGrid>
      <w:tr w:rsidR="009D0006" w:rsidRPr="00BC3468" w14:paraId="5BD905DE" w14:textId="77777777" w:rsidTr="00017FD9">
        <w:trPr>
          <w:cnfStyle w:val="100000000000" w:firstRow="1" w:lastRow="0" w:firstColumn="0" w:lastColumn="0" w:oddVBand="0" w:evenVBand="0" w:oddHBand="0" w:evenHBand="0" w:firstRowFirstColumn="0" w:firstRowLastColumn="0" w:lastRowFirstColumn="0" w:lastRowLastColumn="0"/>
          <w:trHeight w:val="329"/>
        </w:trPr>
        <w:tc>
          <w:tcPr>
            <w:tcW w:w="6746" w:type="dxa"/>
            <w:noWrap/>
            <w:hideMark/>
          </w:tcPr>
          <w:p w14:paraId="4BE7AE76" w14:textId="77777777" w:rsidR="009D0006" w:rsidRPr="00BC3468" w:rsidRDefault="009D0006" w:rsidP="00017FD9">
            <w:pPr>
              <w:pStyle w:val="Tableheader"/>
            </w:pPr>
            <w:r>
              <w:t>Attended LGBTIQA+ event</w:t>
            </w:r>
          </w:p>
        </w:tc>
        <w:tc>
          <w:tcPr>
            <w:tcW w:w="1559" w:type="dxa"/>
            <w:noWrap/>
            <w:hideMark/>
          </w:tcPr>
          <w:p w14:paraId="121CCC7F" w14:textId="77777777" w:rsidR="009D0006" w:rsidRPr="00F64E56" w:rsidRDefault="009D0006" w:rsidP="00017FD9">
            <w:pPr>
              <w:pStyle w:val="Tableheader"/>
              <w:rPr>
                <w:bCs/>
              </w:rPr>
            </w:pPr>
            <w:r w:rsidRPr="00F64E56">
              <w:rPr>
                <w:bCs/>
              </w:rPr>
              <w:t>n</w:t>
            </w:r>
          </w:p>
        </w:tc>
        <w:tc>
          <w:tcPr>
            <w:tcW w:w="1559" w:type="dxa"/>
            <w:noWrap/>
            <w:hideMark/>
          </w:tcPr>
          <w:p w14:paraId="75DDDFA0" w14:textId="77777777" w:rsidR="009D0006" w:rsidRPr="00F64E56" w:rsidRDefault="009D0006" w:rsidP="00017FD9">
            <w:pPr>
              <w:pStyle w:val="Tableheader"/>
              <w:rPr>
                <w:bCs/>
              </w:rPr>
            </w:pPr>
            <w:r w:rsidRPr="00F64E56">
              <w:rPr>
                <w:bCs/>
              </w:rPr>
              <w:t>%</w:t>
            </w:r>
          </w:p>
        </w:tc>
      </w:tr>
      <w:tr w:rsidR="009D0006" w:rsidRPr="00BC3468" w14:paraId="15D4248C" w14:textId="77777777" w:rsidTr="00017FD9">
        <w:trPr>
          <w:cnfStyle w:val="000000100000" w:firstRow="0" w:lastRow="0" w:firstColumn="0" w:lastColumn="0" w:oddVBand="0" w:evenVBand="0" w:oddHBand="1" w:evenHBand="0" w:firstRowFirstColumn="0" w:firstRowLastColumn="0" w:lastRowFirstColumn="0" w:lastRowLastColumn="0"/>
          <w:trHeight w:val="329"/>
        </w:trPr>
        <w:tc>
          <w:tcPr>
            <w:tcW w:w="6746" w:type="dxa"/>
            <w:noWrap/>
            <w:hideMark/>
          </w:tcPr>
          <w:p w14:paraId="2FC30285" w14:textId="77777777" w:rsidR="009D0006" w:rsidRPr="00BC3468" w:rsidRDefault="009D0006" w:rsidP="00017FD9">
            <w:pPr>
              <w:pStyle w:val="Tabletext"/>
            </w:pPr>
            <w:r>
              <w:t>No</w:t>
            </w:r>
          </w:p>
        </w:tc>
        <w:tc>
          <w:tcPr>
            <w:tcW w:w="1559" w:type="dxa"/>
            <w:noWrap/>
          </w:tcPr>
          <w:p w14:paraId="67447F3B" w14:textId="77777777" w:rsidR="009D0006" w:rsidRPr="00BC3468" w:rsidRDefault="009D0006" w:rsidP="00017FD9">
            <w:pPr>
              <w:pStyle w:val="Tabletext"/>
            </w:pPr>
            <w:r>
              <w:t>161</w:t>
            </w:r>
          </w:p>
        </w:tc>
        <w:tc>
          <w:tcPr>
            <w:tcW w:w="1559" w:type="dxa"/>
            <w:noWrap/>
          </w:tcPr>
          <w:p w14:paraId="49D1EF3F" w14:textId="77777777" w:rsidR="009D0006" w:rsidRPr="00BC3468" w:rsidRDefault="009D0006" w:rsidP="00017FD9">
            <w:pPr>
              <w:pStyle w:val="Tabletext"/>
            </w:pPr>
            <w:r>
              <w:t>68.5</w:t>
            </w:r>
          </w:p>
        </w:tc>
      </w:tr>
      <w:tr w:rsidR="009D0006" w:rsidRPr="00BC3468" w14:paraId="29E2F821" w14:textId="77777777" w:rsidTr="00017FD9">
        <w:trPr>
          <w:cnfStyle w:val="000000010000" w:firstRow="0" w:lastRow="0" w:firstColumn="0" w:lastColumn="0" w:oddVBand="0" w:evenVBand="0" w:oddHBand="0" w:evenHBand="1" w:firstRowFirstColumn="0" w:firstRowLastColumn="0" w:lastRowFirstColumn="0" w:lastRowLastColumn="0"/>
          <w:trHeight w:val="329"/>
        </w:trPr>
        <w:tc>
          <w:tcPr>
            <w:tcW w:w="6746" w:type="dxa"/>
            <w:noWrap/>
            <w:hideMark/>
          </w:tcPr>
          <w:p w14:paraId="068ACE7A" w14:textId="77777777" w:rsidR="009D0006" w:rsidRPr="00BC3468" w:rsidRDefault="009D0006" w:rsidP="00017FD9">
            <w:pPr>
              <w:pStyle w:val="Tabletext"/>
            </w:pPr>
            <w:r>
              <w:t>Yes</w:t>
            </w:r>
          </w:p>
        </w:tc>
        <w:tc>
          <w:tcPr>
            <w:tcW w:w="1559" w:type="dxa"/>
            <w:noWrap/>
          </w:tcPr>
          <w:p w14:paraId="161FD9F7" w14:textId="77777777" w:rsidR="009D0006" w:rsidRPr="00BC3468" w:rsidRDefault="009D0006" w:rsidP="00017FD9">
            <w:pPr>
              <w:pStyle w:val="Tabletext"/>
            </w:pPr>
            <w:r>
              <w:t>74</w:t>
            </w:r>
          </w:p>
        </w:tc>
        <w:tc>
          <w:tcPr>
            <w:tcW w:w="1559" w:type="dxa"/>
            <w:noWrap/>
          </w:tcPr>
          <w:p w14:paraId="5EF9A2AF" w14:textId="77777777" w:rsidR="009D0006" w:rsidRPr="00BC3468" w:rsidRDefault="009D0006" w:rsidP="00017FD9">
            <w:pPr>
              <w:pStyle w:val="Tabletext"/>
            </w:pPr>
            <w:r>
              <w:t>31.5</w:t>
            </w:r>
          </w:p>
        </w:tc>
      </w:tr>
    </w:tbl>
    <w:p w14:paraId="0355DAB1" w14:textId="77777777" w:rsidR="009D0006" w:rsidRDefault="009D0006" w:rsidP="00017FD9">
      <w:pPr>
        <w:pStyle w:val="Tableheading"/>
      </w:pPr>
      <w:r>
        <w:t>Table 111.</w:t>
      </w:r>
      <w:r>
        <w:lastRenderedPageBreak/>
        <w:t>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3F6F7EA" w14:textId="77777777" w:rsidTr="00017FD9">
        <w:trPr>
          <w:cnfStyle w:val="100000000000" w:firstRow="1" w:lastRow="0" w:firstColumn="0" w:lastColumn="0" w:oddVBand="0" w:evenVBand="0" w:oddHBand="0" w:evenHBand="0" w:firstRowFirstColumn="0" w:firstRowLastColumn="0" w:lastRowFirstColumn="0" w:lastRowLastColumn="0"/>
          <w:trHeight w:val="299"/>
        </w:trPr>
        <w:tc>
          <w:tcPr>
            <w:tcW w:w="6746" w:type="dxa"/>
            <w:noWrap/>
            <w:hideMark/>
          </w:tcPr>
          <w:p w14:paraId="0FB35D78" w14:textId="77777777" w:rsidR="009D0006" w:rsidRPr="00BC3468" w:rsidRDefault="009D0006" w:rsidP="00017FD9">
            <w:pPr>
              <w:pStyle w:val="Tableheader"/>
            </w:pPr>
            <w:r>
              <w:t>Attended LGBTIQA+ event</w:t>
            </w:r>
          </w:p>
        </w:tc>
        <w:tc>
          <w:tcPr>
            <w:tcW w:w="1559" w:type="dxa"/>
            <w:noWrap/>
            <w:hideMark/>
          </w:tcPr>
          <w:p w14:paraId="6F157BAA" w14:textId="77777777" w:rsidR="009D0006" w:rsidRPr="00F64E56" w:rsidRDefault="009D0006" w:rsidP="00017FD9">
            <w:pPr>
              <w:pStyle w:val="Tableheader"/>
              <w:rPr>
                <w:bCs/>
              </w:rPr>
            </w:pPr>
            <w:r w:rsidRPr="00F64E56">
              <w:rPr>
                <w:bCs/>
              </w:rPr>
              <w:t>n</w:t>
            </w:r>
          </w:p>
        </w:tc>
        <w:tc>
          <w:tcPr>
            <w:tcW w:w="1559" w:type="dxa"/>
            <w:noWrap/>
            <w:hideMark/>
          </w:tcPr>
          <w:p w14:paraId="26361601" w14:textId="77777777" w:rsidR="009D0006" w:rsidRPr="00F64E56" w:rsidRDefault="009D0006" w:rsidP="00017FD9">
            <w:pPr>
              <w:pStyle w:val="Tableheader"/>
              <w:rPr>
                <w:bCs/>
              </w:rPr>
            </w:pPr>
            <w:r w:rsidRPr="00F64E56">
              <w:rPr>
                <w:bCs/>
              </w:rPr>
              <w:t>%</w:t>
            </w:r>
          </w:p>
        </w:tc>
      </w:tr>
      <w:tr w:rsidR="009D0006" w:rsidRPr="00BC3468" w14:paraId="50FA1828" w14:textId="77777777" w:rsidTr="00017FD9">
        <w:trPr>
          <w:cnfStyle w:val="000000100000" w:firstRow="0" w:lastRow="0" w:firstColumn="0" w:lastColumn="0" w:oddVBand="0" w:evenVBand="0" w:oddHBand="1" w:evenHBand="0" w:firstRowFirstColumn="0" w:firstRowLastColumn="0" w:lastRowFirstColumn="0" w:lastRowLastColumn="0"/>
          <w:trHeight w:val="299"/>
        </w:trPr>
        <w:tc>
          <w:tcPr>
            <w:tcW w:w="6746" w:type="dxa"/>
            <w:noWrap/>
            <w:hideMark/>
          </w:tcPr>
          <w:p w14:paraId="34916D6D" w14:textId="77777777" w:rsidR="009D0006" w:rsidRPr="00BC3468" w:rsidRDefault="009D0006" w:rsidP="00017FD9">
            <w:pPr>
              <w:pStyle w:val="Tabletext"/>
            </w:pPr>
            <w:r>
              <w:t>No</w:t>
            </w:r>
          </w:p>
        </w:tc>
        <w:tc>
          <w:tcPr>
            <w:tcW w:w="1559" w:type="dxa"/>
            <w:noWrap/>
          </w:tcPr>
          <w:p w14:paraId="4A1FC8E3" w14:textId="77777777" w:rsidR="009D0006" w:rsidRPr="00BC3468" w:rsidRDefault="009D0006" w:rsidP="00017FD9">
            <w:pPr>
              <w:pStyle w:val="Tabletext"/>
            </w:pPr>
            <w:r>
              <w:t>503</w:t>
            </w:r>
          </w:p>
        </w:tc>
        <w:tc>
          <w:tcPr>
            <w:tcW w:w="1559" w:type="dxa"/>
            <w:noWrap/>
          </w:tcPr>
          <w:p w14:paraId="406A8195" w14:textId="77777777" w:rsidR="009D0006" w:rsidRPr="00BC3468" w:rsidRDefault="009D0006" w:rsidP="00017FD9">
            <w:pPr>
              <w:pStyle w:val="Tabletext"/>
            </w:pPr>
            <w:r>
              <w:t>76.6</w:t>
            </w:r>
          </w:p>
        </w:tc>
      </w:tr>
      <w:tr w:rsidR="009D0006" w:rsidRPr="00BC3468" w14:paraId="00751C1D" w14:textId="77777777" w:rsidTr="00017FD9">
        <w:trPr>
          <w:cnfStyle w:val="000000010000" w:firstRow="0" w:lastRow="0" w:firstColumn="0" w:lastColumn="0" w:oddVBand="0" w:evenVBand="0" w:oddHBand="0" w:evenHBand="1" w:firstRowFirstColumn="0" w:firstRowLastColumn="0" w:lastRowFirstColumn="0" w:lastRowLastColumn="0"/>
          <w:trHeight w:val="299"/>
        </w:trPr>
        <w:tc>
          <w:tcPr>
            <w:tcW w:w="6746" w:type="dxa"/>
            <w:noWrap/>
            <w:hideMark/>
          </w:tcPr>
          <w:p w14:paraId="257D8702" w14:textId="77777777" w:rsidR="009D0006" w:rsidRPr="00BC3468" w:rsidRDefault="009D0006" w:rsidP="00017FD9">
            <w:pPr>
              <w:pStyle w:val="Tabletext"/>
            </w:pPr>
            <w:r>
              <w:t>Yes</w:t>
            </w:r>
          </w:p>
        </w:tc>
        <w:tc>
          <w:tcPr>
            <w:tcW w:w="1559" w:type="dxa"/>
            <w:noWrap/>
          </w:tcPr>
          <w:p w14:paraId="5BB10E59" w14:textId="77777777" w:rsidR="009D0006" w:rsidRPr="00BC3468" w:rsidRDefault="009D0006" w:rsidP="00017FD9">
            <w:pPr>
              <w:pStyle w:val="Tabletext"/>
            </w:pPr>
            <w:r>
              <w:t>154</w:t>
            </w:r>
          </w:p>
        </w:tc>
        <w:tc>
          <w:tcPr>
            <w:tcW w:w="1559" w:type="dxa"/>
            <w:noWrap/>
          </w:tcPr>
          <w:p w14:paraId="32805622" w14:textId="77777777" w:rsidR="009D0006" w:rsidRPr="00BC3468" w:rsidRDefault="009D0006" w:rsidP="00017FD9">
            <w:pPr>
              <w:pStyle w:val="Tabletext"/>
            </w:pPr>
            <w:r>
              <w:t>23.4</w:t>
            </w:r>
          </w:p>
        </w:tc>
      </w:tr>
    </w:tbl>
    <w:p w14:paraId="27C43C22" w14:textId="77777777" w:rsidR="009D0006" w:rsidRPr="00971810" w:rsidRDefault="009D0006" w:rsidP="00AB4A74">
      <w:pPr>
        <w:spacing w:before="360"/>
      </w:pPr>
      <w:r>
        <w:t xml:space="preserve">As displayed in Tables 111.1-111.5, among participants reporting disability in </w:t>
      </w:r>
      <w:r>
        <w:rPr>
          <w:i/>
          <w:iCs/>
        </w:rPr>
        <w:t xml:space="preserve">Writing Themselves In 4, </w:t>
      </w:r>
      <w:r>
        <w:t xml:space="preserve">trans men had the greatest proportion who had attended an LGBTIQA+ event in the past 12 months (31.5%; n = 74), followed by trans women (26.7%; n = 12), non-binary people (23.4%, n = 154), cisgender women (13.2%; n = 148) and cisgender men (12.4%; n = 36). </w:t>
      </w:r>
    </w:p>
    <w:p w14:paraId="769C89B7" w14:textId="6C366E5F" w:rsidR="009D0006" w:rsidRPr="00C5739E" w:rsidRDefault="009D0006" w:rsidP="009401DC">
      <w:pPr>
        <w:pStyle w:val="Heading2Numbered"/>
      </w:pPr>
      <w:bookmarkStart w:id="894" w:name="_Toc115968657"/>
      <w:bookmarkStart w:id="895" w:name="_Toc119662477"/>
      <w:r w:rsidRPr="00C5739E">
        <w:t>Feelings of acceptance – adults aged 18+ years</w:t>
      </w:r>
      <w:bookmarkEnd w:id="894"/>
      <w:bookmarkEnd w:id="895"/>
    </w:p>
    <w:p w14:paraId="6E5C22F5" w14:textId="77777777" w:rsidR="009D0006" w:rsidRPr="00C5739E" w:rsidRDefault="009D0006" w:rsidP="009D0006">
      <w:r w:rsidRPr="00C5739E">
        <w:t>Table</w:t>
      </w:r>
      <w:r>
        <w:t>s 112.1-112.5</w:t>
      </w:r>
      <w:r w:rsidRPr="00C5739E">
        <w:t xml:space="preserve"> display the numbers and percentages of participants in </w:t>
      </w:r>
      <w:r w:rsidRPr="002D0458">
        <w:rPr>
          <w:i/>
          <w:iCs/>
        </w:rPr>
        <w:t>Private Lives 3</w:t>
      </w:r>
      <w:r>
        <w:t xml:space="preserve"> </w:t>
      </w:r>
      <w:r w:rsidRPr="00C5739E">
        <w:t xml:space="preserve">who felt they were accepted ‘a lot’ or ‘always’ in a range of situations according to </w:t>
      </w:r>
      <w:r>
        <w:t>their gender</w:t>
      </w:r>
      <w:r w:rsidRPr="00C5739E">
        <w:t>.</w:t>
      </w:r>
    </w:p>
    <w:p w14:paraId="5FB601C5" w14:textId="0FDF1E2F" w:rsidR="009D0006" w:rsidRDefault="009D0006" w:rsidP="00017FD9">
      <w:pPr>
        <w:pStyle w:val="Tableheading"/>
      </w:pPr>
      <w:bookmarkStart w:id="896" w:name="_Toc117062829"/>
      <w:bookmarkStart w:id="897" w:name="_Toc119651514"/>
      <w:r w:rsidRPr="002D0458">
        <w:t>Table</w:t>
      </w:r>
      <w:r>
        <w:t>s</w:t>
      </w:r>
      <w:r w:rsidRPr="002D0458">
        <w:t xml:space="preserve"> </w:t>
      </w:r>
      <w:r w:rsidR="00C9023A">
        <w:fldChar w:fldCharType="begin"/>
      </w:r>
      <w:r w:rsidR="00C9023A">
        <w:instrText xml:space="preserve"> SEQ Table \* ARABIC </w:instrText>
      </w:r>
      <w:r w:rsidR="00C9023A">
        <w:fldChar w:fldCharType="separate"/>
      </w:r>
      <w:r>
        <w:rPr>
          <w:noProof/>
        </w:rPr>
        <w:t>112</w:t>
      </w:r>
      <w:r w:rsidR="00C9023A">
        <w:rPr>
          <w:noProof/>
        </w:rPr>
        <w:fldChar w:fldCharType="end"/>
      </w:r>
      <w:r>
        <w:t>.1-112.5: Proportion of adults with disability aged 18+ years</w:t>
      </w:r>
      <w:r w:rsidRPr="00C5739E">
        <w:t xml:space="preserve"> </w:t>
      </w:r>
      <w:r>
        <w:t>who c</w:t>
      </w:r>
      <w:r w:rsidRPr="00C5739E">
        <w:t>urrently feel accepted ‘a lot’ or ‘always’</w:t>
      </w:r>
      <w:r>
        <w:t>, grouped</w:t>
      </w:r>
      <w:r w:rsidRPr="00ED3C71">
        <w:t xml:space="preserve"> </w:t>
      </w:r>
      <w:r w:rsidRPr="00C5739E">
        <w:t xml:space="preserve">by </w:t>
      </w:r>
      <w:r>
        <w:t>gender</w:t>
      </w:r>
      <w:bookmarkEnd w:id="896"/>
      <w:bookmarkEnd w:id="897"/>
    </w:p>
    <w:p w14:paraId="646ECAA4" w14:textId="77777777" w:rsidR="009D0006" w:rsidRDefault="009D0006" w:rsidP="00017FD9">
      <w:pPr>
        <w:pStyle w:val="Tableheading"/>
      </w:pPr>
      <w:r>
        <w:t>Table 112.1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8E9CFB7" w14:textId="77777777" w:rsidTr="0016445B">
        <w:trPr>
          <w:cnfStyle w:val="100000000000" w:firstRow="1" w:lastRow="0" w:firstColumn="0" w:lastColumn="0" w:oddVBand="0" w:evenVBand="0" w:oddHBand="0" w:evenHBand="0" w:firstRowFirstColumn="0" w:firstRowLastColumn="0" w:lastRowFirstColumn="0" w:lastRowLastColumn="0"/>
          <w:trHeight w:val="319"/>
        </w:trPr>
        <w:tc>
          <w:tcPr>
            <w:tcW w:w="6746" w:type="dxa"/>
            <w:noWrap/>
            <w:hideMark/>
          </w:tcPr>
          <w:p w14:paraId="0960DAE3" w14:textId="77777777" w:rsidR="009D0006" w:rsidRPr="00BC3468" w:rsidRDefault="009D0006" w:rsidP="0016445B">
            <w:pPr>
              <w:pStyle w:val="Tableheader"/>
            </w:pPr>
            <w:r>
              <w:t>Feel accepted in these settings</w:t>
            </w:r>
          </w:p>
        </w:tc>
        <w:tc>
          <w:tcPr>
            <w:tcW w:w="1559" w:type="dxa"/>
            <w:noWrap/>
            <w:hideMark/>
          </w:tcPr>
          <w:p w14:paraId="63B9D9C1" w14:textId="77777777" w:rsidR="009D0006" w:rsidRPr="00C44F0E" w:rsidRDefault="009D0006" w:rsidP="0016445B">
            <w:pPr>
              <w:pStyle w:val="Tableheader"/>
              <w:rPr>
                <w:bCs/>
              </w:rPr>
            </w:pPr>
            <w:r w:rsidRPr="00C44F0E">
              <w:rPr>
                <w:bCs/>
              </w:rPr>
              <w:t>n</w:t>
            </w:r>
          </w:p>
        </w:tc>
        <w:tc>
          <w:tcPr>
            <w:tcW w:w="1559" w:type="dxa"/>
            <w:noWrap/>
            <w:hideMark/>
          </w:tcPr>
          <w:p w14:paraId="6BE3B028" w14:textId="77777777" w:rsidR="009D0006" w:rsidRPr="00C44F0E" w:rsidRDefault="009D0006" w:rsidP="0016445B">
            <w:pPr>
              <w:pStyle w:val="Tableheader"/>
              <w:rPr>
                <w:bCs/>
              </w:rPr>
            </w:pPr>
            <w:r w:rsidRPr="00C44F0E">
              <w:rPr>
                <w:bCs/>
              </w:rPr>
              <w:t>%</w:t>
            </w:r>
          </w:p>
        </w:tc>
      </w:tr>
      <w:tr w:rsidR="009D0006" w:rsidRPr="00BC3468" w14:paraId="370DDF9F" w14:textId="77777777" w:rsidTr="0016445B">
        <w:trPr>
          <w:cnfStyle w:val="000000100000" w:firstRow="0" w:lastRow="0" w:firstColumn="0" w:lastColumn="0" w:oddVBand="0" w:evenVBand="0" w:oddHBand="1" w:evenHBand="0" w:firstRowFirstColumn="0" w:firstRowLastColumn="0" w:lastRowFirstColumn="0" w:lastRowLastColumn="0"/>
          <w:trHeight w:val="319"/>
        </w:trPr>
        <w:tc>
          <w:tcPr>
            <w:tcW w:w="6746" w:type="dxa"/>
            <w:noWrap/>
          </w:tcPr>
          <w:p w14:paraId="5CD26995" w14:textId="77777777" w:rsidR="009D0006" w:rsidRPr="006830D8" w:rsidRDefault="009D0006" w:rsidP="0016445B">
            <w:pPr>
              <w:pStyle w:val="Tabletext"/>
            </w:pPr>
            <w:r w:rsidRPr="006830D8">
              <w:rPr>
                <w:lang w:val="en-US"/>
              </w:rPr>
              <w:t>LGBTIQ venue</w:t>
            </w:r>
          </w:p>
        </w:tc>
        <w:tc>
          <w:tcPr>
            <w:tcW w:w="1559" w:type="dxa"/>
            <w:noWrap/>
          </w:tcPr>
          <w:p w14:paraId="0F296B9F" w14:textId="77777777" w:rsidR="009D0006" w:rsidRPr="006830D8" w:rsidRDefault="009D0006" w:rsidP="0016445B">
            <w:pPr>
              <w:pStyle w:val="Tabletext"/>
            </w:pPr>
            <w:r w:rsidRPr="006830D8">
              <w:t>600</w:t>
            </w:r>
          </w:p>
        </w:tc>
        <w:tc>
          <w:tcPr>
            <w:tcW w:w="1559" w:type="dxa"/>
            <w:noWrap/>
          </w:tcPr>
          <w:p w14:paraId="43127B38" w14:textId="77777777" w:rsidR="009D0006" w:rsidRPr="006830D8" w:rsidRDefault="009D0006" w:rsidP="0016445B">
            <w:pPr>
              <w:pStyle w:val="Tabletext"/>
            </w:pPr>
            <w:r w:rsidRPr="006830D8">
              <w:t>59.7</w:t>
            </w:r>
          </w:p>
        </w:tc>
      </w:tr>
      <w:tr w:rsidR="009D0006" w:rsidRPr="00BC3468" w14:paraId="22C89548" w14:textId="77777777" w:rsidTr="0016445B">
        <w:trPr>
          <w:cnfStyle w:val="000000010000" w:firstRow="0" w:lastRow="0" w:firstColumn="0" w:lastColumn="0" w:oddVBand="0" w:evenVBand="0" w:oddHBand="0" w:evenHBand="1" w:firstRowFirstColumn="0" w:firstRowLastColumn="0" w:lastRowFirstColumn="0" w:lastRowLastColumn="0"/>
          <w:trHeight w:val="319"/>
        </w:trPr>
        <w:tc>
          <w:tcPr>
            <w:tcW w:w="6746" w:type="dxa"/>
            <w:noWrap/>
          </w:tcPr>
          <w:p w14:paraId="2A48AD28" w14:textId="77777777" w:rsidR="009D0006" w:rsidRPr="006830D8" w:rsidRDefault="009D0006" w:rsidP="0016445B">
            <w:pPr>
              <w:pStyle w:val="Tabletext"/>
            </w:pPr>
            <w:r w:rsidRPr="006830D8">
              <w:rPr>
                <w:lang w:val="en-US"/>
              </w:rPr>
              <w:t>At work</w:t>
            </w:r>
          </w:p>
        </w:tc>
        <w:tc>
          <w:tcPr>
            <w:tcW w:w="1559" w:type="dxa"/>
            <w:noWrap/>
          </w:tcPr>
          <w:p w14:paraId="41279B91" w14:textId="77777777" w:rsidR="009D0006" w:rsidRPr="006830D8" w:rsidRDefault="009D0006" w:rsidP="0016445B">
            <w:pPr>
              <w:pStyle w:val="Tabletext"/>
            </w:pPr>
            <w:r w:rsidRPr="006830D8">
              <w:t>432</w:t>
            </w:r>
          </w:p>
        </w:tc>
        <w:tc>
          <w:tcPr>
            <w:tcW w:w="1559" w:type="dxa"/>
            <w:noWrap/>
          </w:tcPr>
          <w:p w14:paraId="2787E0D2" w14:textId="77777777" w:rsidR="009D0006" w:rsidRPr="006830D8" w:rsidRDefault="009D0006" w:rsidP="0016445B">
            <w:pPr>
              <w:pStyle w:val="Tabletext"/>
            </w:pPr>
            <w:r w:rsidRPr="006830D8">
              <w:t>51.7</w:t>
            </w:r>
          </w:p>
        </w:tc>
      </w:tr>
      <w:tr w:rsidR="009D0006" w:rsidRPr="00BC3468" w14:paraId="3A951D94" w14:textId="77777777" w:rsidTr="0016445B">
        <w:trPr>
          <w:cnfStyle w:val="000000100000" w:firstRow="0" w:lastRow="0" w:firstColumn="0" w:lastColumn="0" w:oddVBand="0" w:evenVBand="0" w:oddHBand="1" w:evenHBand="0" w:firstRowFirstColumn="0" w:firstRowLastColumn="0" w:lastRowFirstColumn="0" w:lastRowLastColumn="0"/>
          <w:trHeight w:val="319"/>
        </w:trPr>
        <w:tc>
          <w:tcPr>
            <w:tcW w:w="6746" w:type="dxa"/>
            <w:noWrap/>
          </w:tcPr>
          <w:p w14:paraId="0413BF74" w14:textId="77777777" w:rsidR="009D0006" w:rsidRPr="006830D8" w:rsidRDefault="009D0006" w:rsidP="0016445B">
            <w:pPr>
              <w:pStyle w:val="Tabletext"/>
            </w:pPr>
            <w:r w:rsidRPr="006830D8">
              <w:rPr>
                <w:lang w:val="en-US"/>
              </w:rPr>
              <w:t>At an educational institution</w:t>
            </w:r>
          </w:p>
        </w:tc>
        <w:tc>
          <w:tcPr>
            <w:tcW w:w="1559" w:type="dxa"/>
            <w:noWrap/>
          </w:tcPr>
          <w:p w14:paraId="04A485E2" w14:textId="77777777" w:rsidR="009D0006" w:rsidRPr="006830D8" w:rsidRDefault="009D0006" w:rsidP="0016445B">
            <w:pPr>
              <w:pStyle w:val="Tabletext"/>
            </w:pPr>
            <w:r w:rsidRPr="006830D8">
              <w:t>406</w:t>
            </w:r>
          </w:p>
        </w:tc>
        <w:tc>
          <w:tcPr>
            <w:tcW w:w="1559" w:type="dxa"/>
            <w:noWrap/>
          </w:tcPr>
          <w:p w14:paraId="36B0E02E" w14:textId="77777777" w:rsidR="009D0006" w:rsidRPr="006830D8" w:rsidRDefault="009D0006" w:rsidP="0016445B">
            <w:pPr>
              <w:pStyle w:val="Tabletext"/>
            </w:pPr>
            <w:r w:rsidRPr="006830D8">
              <w:t>51.0</w:t>
            </w:r>
          </w:p>
        </w:tc>
      </w:tr>
      <w:tr w:rsidR="009D0006" w:rsidRPr="00BC3468" w14:paraId="6D520B03" w14:textId="77777777" w:rsidTr="0016445B">
        <w:trPr>
          <w:cnfStyle w:val="000000010000" w:firstRow="0" w:lastRow="0" w:firstColumn="0" w:lastColumn="0" w:oddVBand="0" w:evenVBand="0" w:oddHBand="0" w:evenHBand="1" w:firstRowFirstColumn="0" w:firstRowLastColumn="0" w:lastRowFirstColumn="0" w:lastRowLastColumn="0"/>
          <w:trHeight w:val="319"/>
        </w:trPr>
        <w:tc>
          <w:tcPr>
            <w:tcW w:w="6746" w:type="dxa"/>
            <w:noWrap/>
          </w:tcPr>
          <w:p w14:paraId="059C7A94" w14:textId="77777777" w:rsidR="009D0006" w:rsidRPr="006830D8" w:rsidRDefault="009D0006" w:rsidP="0016445B">
            <w:pPr>
              <w:pStyle w:val="Tabletext"/>
            </w:pPr>
            <w:r w:rsidRPr="006830D8">
              <w:rPr>
                <w:lang w:val="en-US"/>
              </w:rPr>
              <w:t>In public (e.g.</w:t>
            </w:r>
            <w:r>
              <w:rPr>
                <w:lang w:val="en-US"/>
              </w:rPr>
              <w:t>,</w:t>
            </w:r>
            <w:r w:rsidRPr="006830D8">
              <w:rPr>
                <w:lang w:val="en-US"/>
              </w:rPr>
              <w:t xml:space="preserve"> in the street/park)</w:t>
            </w:r>
          </w:p>
        </w:tc>
        <w:tc>
          <w:tcPr>
            <w:tcW w:w="1559" w:type="dxa"/>
            <w:noWrap/>
          </w:tcPr>
          <w:p w14:paraId="5F174200" w14:textId="77777777" w:rsidR="009D0006" w:rsidRPr="006830D8" w:rsidRDefault="009D0006" w:rsidP="0016445B">
            <w:pPr>
              <w:pStyle w:val="Tabletext"/>
            </w:pPr>
            <w:r w:rsidRPr="006830D8">
              <w:t>303</w:t>
            </w:r>
          </w:p>
        </w:tc>
        <w:tc>
          <w:tcPr>
            <w:tcW w:w="1559" w:type="dxa"/>
            <w:noWrap/>
          </w:tcPr>
          <w:p w14:paraId="1A4BE9B9" w14:textId="77777777" w:rsidR="009D0006" w:rsidRPr="006830D8" w:rsidRDefault="009D0006" w:rsidP="0016445B">
            <w:pPr>
              <w:pStyle w:val="Tabletext"/>
            </w:pPr>
            <w:r w:rsidRPr="006830D8">
              <w:t>27.0</w:t>
            </w:r>
          </w:p>
        </w:tc>
      </w:tr>
      <w:tr w:rsidR="009D0006" w:rsidRPr="00BC3468" w14:paraId="7B30917D" w14:textId="77777777" w:rsidTr="0016445B">
        <w:trPr>
          <w:cnfStyle w:val="000000100000" w:firstRow="0" w:lastRow="0" w:firstColumn="0" w:lastColumn="0" w:oddVBand="0" w:evenVBand="0" w:oddHBand="1" w:evenHBand="0" w:firstRowFirstColumn="0" w:firstRowLastColumn="0" w:lastRowFirstColumn="0" w:lastRowLastColumn="0"/>
          <w:trHeight w:val="319"/>
        </w:trPr>
        <w:tc>
          <w:tcPr>
            <w:tcW w:w="6746" w:type="dxa"/>
            <w:noWrap/>
          </w:tcPr>
          <w:p w14:paraId="7F7D63C1" w14:textId="77777777" w:rsidR="009D0006" w:rsidRPr="006830D8" w:rsidRDefault="009D0006" w:rsidP="0016445B">
            <w:pPr>
              <w:pStyle w:val="Tabletext"/>
            </w:pPr>
            <w:r w:rsidRPr="006830D8">
              <w:rPr>
                <w:lang w:val="en-US"/>
              </w:rPr>
              <w:t>With family members</w:t>
            </w:r>
          </w:p>
        </w:tc>
        <w:tc>
          <w:tcPr>
            <w:tcW w:w="1559" w:type="dxa"/>
            <w:noWrap/>
          </w:tcPr>
          <w:p w14:paraId="0868D216" w14:textId="77777777" w:rsidR="009D0006" w:rsidRPr="006830D8" w:rsidRDefault="009D0006" w:rsidP="0016445B">
            <w:pPr>
              <w:pStyle w:val="Tabletext"/>
            </w:pPr>
            <w:r w:rsidRPr="006830D8">
              <w:t>538</w:t>
            </w:r>
          </w:p>
        </w:tc>
        <w:tc>
          <w:tcPr>
            <w:tcW w:w="1559" w:type="dxa"/>
            <w:noWrap/>
          </w:tcPr>
          <w:p w14:paraId="385049EB" w14:textId="77777777" w:rsidR="009D0006" w:rsidRPr="006830D8" w:rsidRDefault="009D0006" w:rsidP="0016445B">
            <w:pPr>
              <w:pStyle w:val="Tabletext"/>
            </w:pPr>
            <w:r w:rsidRPr="006830D8">
              <w:t>46.1</w:t>
            </w:r>
          </w:p>
        </w:tc>
      </w:tr>
      <w:tr w:rsidR="009D0006" w:rsidRPr="00BC3468" w14:paraId="7DE01493" w14:textId="77777777" w:rsidTr="0016445B">
        <w:trPr>
          <w:cnfStyle w:val="000000010000" w:firstRow="0" w:lastRow="0" w:firstColumn="0" w:lastColumn="0" w:oddVBand="0" w:evenVBand="0" w:oddHBand="0" w:evenHBand="1" w:firstRowFirstColumn="0" w:firstRowLastColumn="0" w:lastRowFirstColumn="0" w:lastRowLastColumn="0"/>
          <w:trHeight w:val="319"/>
        </w:trPr>
        <w:tc>
          <w:tcPr>
            <w:tcW w:w="6746" w:type="dxa"/>
            <w:noWrap/>
          </w:tcPr>
          <w:p w14:paraId="114A4F71" w14:textId="77777777" w:rsidR="009D0006" w:rsidRPr="006830D8" w:rsidRDefault="009D0006" w:rsidP="0016445B">
            <w:pPr>
              <w:pStyle w:val="Tabletext"/>
            </w:pPr>
            <w:r w:rsidRPr="006830D8">
              <w:rPr>
                <w:lang w:val="en-US"/>
              </w:rPr>
              <w:t>Accessing a health or support service</w:t>
            </w:r>
          </w:p>
        </w:tc>
        <w:tc>
          <w:tcPr>
            <w:tcW w:w="1559" w:type="dxa"/>
            <w:noWrap/>
          </w:tcPr>
          <w:p w14:paraId="6AD64C3C" w14:textId="77777777" w:rsidR="009D0006" w:rsidRPr="006830D8" w:rsidRDefault="009D0006" w:rsidP="0016445B">
            <w:pPr>
              <w:pStyle w:val="Tabletext"/>
            </w:pPr>
            <w:r w:rsidRPr="006830D8">
              <w:t>424</w:t>
            </w:r>
          </w:p>
        </w:tc>
        <w:tc>
          <w:tcPr>
            <w:tcW w:w="1559" w:type="dxa"/>
            <w:noWrap/>
          </w:tcPr>
          <w:p w14:paraId="3A377DC0" w14:textId="77777777" w:rsidR="009D0006" w:rsidRPr="006830D8" w:rsidRDefault="009D0006" w:rsidP="0016445B">
            <w:pPr>
              <w:pStyle w:val="Tabletext"/>
            </w:pPr>
            <w:r w:rsidRPr="006830D8">
              <w:t>38.1</w:t>
            </w:r>
          </w:p>
        </w:tc>
      </w:tr>
      <w:tr w:rsidR="009D0006" w:rsidRPr="00BC3468" w14:paraId="0F2381CD" w14:textId="77777777" w:rsidTr="0016445B">
        <w:trPr>
          <w:cnfStyle w:val="000000100000" w:firstRow="0" w:lastRow="0" w:firstColumn="0" w:lastColumn="0" w:oddVBand="0" w:evenVBand="0" w:oddHBand="1" w:evenHBand="0" w:firstRowFirstColumn="0" w:firstRowLastColumn="0" w:lastRowFirstColumn="0" w:lastRowLastColumn="0"/>
          <w:trHeight w:val="319"/>
        </w:trPr>
        <w:tc>
          <w:tcPr>
            <w:tcW w:w="6746" w:type="dxa"/>
            <w:noWrap/>
          </w:tcPr>
          <w:p w14:paraId="188245D7" w14:textId="77777777" w:rsidR="009D0006" w:rsidRPr="006830D8" w:rsidRDefault="009D0006" w:rsidP="0016445B">
            <w:pPr>
              <w:pStyle w:val="Tabletext"/>
            </w:pPr>
            <w:r w:rsidRPr="006830D8">
              <w:rPr>
                <w:lang w:val="en-US"/>
              </w:rPr>
              <w:t>Religious or faith-based events or services</w:t>
            </w:r>
          </w:p>
        </w:tc>
        <w:tc>
          <w:tcPr>
            <w:tcW w:w="1559" w:type="dxa"/>
            <w:noWrap/>
          </w:tcPr>
          <w:p w14:paraId="58BDF516" w14:textId="77777777" w:rsidR="009D0006" w:rsidRPr="006830D8" w:rsidRDefault="009D0006" w:rsidP="0016445B">
            <w:pPr>
              <w:pStyle w:val="Tabletext"/>
            </w:pPr>
            <w:r w:rsidRPr="006830D8">
              <w:t>63</w:t>
            </w:r>
          </w:p>
        </w:tc>
        <w:tc>
          <w:tcPr>
            <w:tcW w:w="1559" w:type="dxa"/>
            <w:noWrap/>
          </w:tcPr>
          <w:p w14:paraId="0A703EBD" w14:textId="77777777" w:rsidR="009D0006" w:rsidRPr="006830D8" w:rsidRDefault="009D0006" w:rsidP="0016445B">
            <w:pPr>
              <w:pStyle w:val="Tabletext"/>
            </w:pPr>
            <w:r w:rsidRPr="006830D8">
              <w:t>9.5</w:t>
            </w:r>
          </w:p>
        </w:tc>
      </w:tr>
    </w:tbl>
    <w:p w14:paraId="60373E3B" w14:textId="77777777" w:rsidR="009D0006" w:rsidRDefault="009D0006" w:rsidP="0016445B">
      <w:pPr>
        <w:pStyle w:val="Tableheading"/>
      </w:pPr>
      <w:r>
        <w:t>Table 112.2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7D85452" w14:textId="77777777" w:rsidTr="00650B64">
        <w:trPr>
          <w:cnfStyle w:val="100000000000" w:firstRow="1" w:lastRow="0" w:firstColumn="0" w:lastColumn="0" w:oddVBand="0" w:evenVBand="0" w:oddHBand="0" w:evenHBand="0" w:firstRowFirstColumn="0" w:firstRowLastColumn="0" w:lastRowFirstColumn="0" w:lastRowLastColumn="0"/>
          <w:trHeight w:val="211"/>
          <w:tblHeader/>
        </w:trPr>
        <w:tc>
          <w:tcPr>
            <w:tcW w:w="6746" w:type="dxa"/>
            <w:noWrap/>
            <w:hideMark/>
          </w:tcPr>
          <w:p w14:paraId="425B5671" w14:textId="77777777" w:rsidR="009D0006" w:rsidRPr="00BC3468" w:rsidRDefault="009D0006" w:rsidP="0016445B">
            <w:pPr>
              <w:pStyle w:val="Tableheader"/>
            </w:pPr>
            <w:r>
              <w:t>Feel accepted in these settings</w:t>
            </w:r>
          </w:p>
        </w:tc>
        <w:tc>
          <w:tcPr>
            <w:tcW w:w="1559" w:type="dxa"/>
            <w:noWrap/>
            <w:hideMark/>
          </w:tcPr>
          <w:p w14:paraId="4510144D" w14:textId="77777777" w:rsidR="009D0006" w:rsidRPr="00C44F0E" w:rsidRDefault="009D0006" w:rsidP="0016445B">
            <w:pPr>
              <w:pStyle w:val="Tableheader"/>
              <w:rPr>
                <w:bCs/>
              </w:rPr>
            </w:pPr>
            <w:r w:rsidRPr="00C44F0E">
              <w:rPr>
                <w:bCs/>
              </w:rPr>
              <w:t>n</w:t>
            </w:r>
          </w:p>
        </w:tc>
        <w:tc>
          <w:tcPr>
            <w:tcW w:w="1559" w:type="dxa"/>
            <w:noWrap/>
            <w:hideMark/>
          </w:tcPr>
          <w:p w14:paraId="14E7B35B" w14:textId="77777777" w:rsidR="009D0006" w:rsidRPr="00C44F0E" w:rsidRDefault="009D0006" w:rsidP="0016445B">
            <w:pPr>
              <w:pStyle w:val="Tableheader"/>
              <w:rPr>
                <w:bCs/>
              </w:rPr>
            </w:pPr>
            <w:r w:rsidRPr="00C44F0E">
              <w:rPr>
                <w:bCs/>
              </w:rPr>
              <w:t>%</w:t>
            </w:r>
          </w:p>
        </w:tc>
      </w:tr>
      <w:tr w:rsidR="009D0006" w:rsidRPr="00BC3468" w14:paraId="43F35029" w14:textId="77777777" w:rsidTr="0016445B">
        <w:trPr>
          <w:cnfStyle w:val="000000100000" w:firstRow="0" w:lastRow="0" w:firstColumn="0" w:lastColumn="0" w:oddVBand="0" w:evenVBand="0" w:oddHBand="1" w:evenHBand="0" w:firstRowFirstColumn="0" w:firstRowLastColumn="0" w:lastRowFirstColumn="0" w:lastRowLastColumn="0"/>
          <w:trHeight w:val="211"/>
        </w:trPr>
        <w:tc>
          <w:tcPr>
            <w:tcW w:w="6746" w:type="dxa"/>
            <w:noWrap/>
          </w:tcPr>
          <w:p w14:paraId="61279259" w14:textId="77777777" w:rsidR="009D0006" w:rsidRPr="006830D8" w:rsidRDefault="009D0006" w:rsidP="0016445B">
            <w:pPr>
              <w:pStyle w:val="Tabletext"/>
            </w:pPr>
            <w:r w:rsidRPr="006830D8">
              <w:rPr>
                <w:lang w:val="en-US"/>
              </w:rPr>
              <w:t>LGBTIQ venue</w:t>
            </w:r>
          </w:p>
        </w:tc>
        <w:tc>
          <w:tcPr>
            <w:tcW w:w="1559" w:type="dxa"/>
            <w:noWrap/>
          </w:tcPr>
          <w:p w14:paraId="462641E3" w14:textId="77777777" w:rsidR="009D0006" w:rsidRPr="006830D8" w:rsidRDefault="009D0006" w:rsidP="0016445B">
            <w:pPr>
              <w:pStyle w:val="Tabletext"/>
            </w:pPr>
            <w:r w:rsidRPr="006830D8">
              <w:t>233</w:t>
            </w:r>
          </w:p>
        </w:tc>
        <w:tc>
          <w:tcPr>
            <w:tcW w:w="1559" w:type="dxa"/>
            <w:noWrap/>
          </w:tcPr>
          <w:p w14:paraId="44BA8E56" w14:textId="77777777" w:rsidR="009D0006" w:rsidRPr="006830D8" w:rsidRDefault="009D0006" w:rsidP="0016445B">
            <w:pPr>
              <w:pStyle w:val="Tabletext"/>
            </w:pPr>
            <w:r w:rsidRPr="006830D8">
              <w:t>54.4</w:t>
            </w:r>
          </w:p>
        </w:tc>
      </w:tr>
      <w:tr w:rsidR="009D0006" w:rsidRPr="00BC3468" w14:paraId="6307C686" w14:textId="77777777" w:rsidTr="0016445B">
        <w:trPr>
          <w:cnfStyle w:val="000000010000" w:firstRow="0" w:lastRow="0" w:firstColumn="0" w:lastColumn="0" w:oddVBand="0" w:evenVBand="0" w:oddHBand="0" w:evenHBand="1" w:firstRowFirstColumn="0" w:firstRowLastColumn="0" w:lastRowFirstColumn="0" w:lastRowLastColumn="0"/>
          <w:trHeight w:val="211"/>
        </w:trPr>
        <w:tc>
          <w:tcPr>
            <w:tcW w:w="6746" w:type="dxa"/>
            <w:noWrap/>
          </w:tcPr>
          <w:p w14:paraId="68570358" w14:textId="77777777" w:rsidR="009D0006" w:rsidRPr="006830D8" w:rsidRDefault="009D0006" w:rsidP="0016445B">
            <w:pPr>
              <w:pStyle w:val="Tabletext"/>
            </w:pPr>
            <w:r w:rsidRPr="006830D8">
              <w:rPr>
                <w:lang w:val="en-US"/>
              </w:rPr>
              <w:t>At work</w:t>
            </w:r>
          </w:p>
        </w:tc>
        <w:tc>
          <w:tcPr>
            <w:tcW w:w="1559" w:type="dxa"/>
            <w:noWrap/>
          </w:tcPr>
          <w:p w14:paraId="6D2827A0" w14:textId="77777777" w:rsidR="009D0006" w:rsidRPr="006830D8" w:rsidRDefault="009D0006" w:rsidP="0016445B">
            <w:pPr>
              <w:pStyle w:val="Tabletext"/>
            </w:pPr>
            <w:r w:rsidRPr="006830D8">
              <w:t>198</w:t>
            </w:r>
          </w:p>
        </w:tc>
        <w:tc>
          <w:tcPr>
            <w:tcW w:w="1559" w:type="dxa"/>
            <w:noWrap/>
          </w:tcPr>
          <w:p w14:paraId="38850B1A" w14:textId="77777777" w:rsidR="009D0006" w:rsidRPr="006830D8" w:rsidRDefault="009D0006" w:rsidP="0016445B">
            <w:pPr>
              <w:pStyle w:val="Tabletext"/>
            </w:pPr>
            <w:r w:rsidRPr="006830D8">
              <w:t>54.5</w:t>
            </w:r>
          </w:p>
        </w:tc>
      </w:tr>
      <w:tr w:rsidR="009D0006" w:rsidRPr="00BC3468" w14:paraId="35F291E3" w14:textId="77777777" w:rsidTr="0016445B">
        <w:trPr>
          <w:cnfStyle w:val="000000100000" w:firstRow="0" w:lastRow="0" w:firstColumn="0" w:lastColumn="0" w:oddVBand="0" w:evenVBand="0" w:oddHBand="1" w:evenHBand="0" w:firstRowFirstColumn="0" w:firstRowLastColumn="0" w:lastRowFirstColumn="0" w:lastRowLastColumn="0"/>
          <w:trHeight w:val="211"/>
        </w:trPr>
        <w:tc>
          <w:tcPr>
            <w:tcW w:w="6746" w:type="dxa"/>
            <w:noWrap/>
          </w:tcPr>
          <w:p w14:paraId="3C57F9F7" w14:textId="77777777" w:rsidR="009D0006" w:rsidRPr="006830D8" w:rsidRDefault="009D0006" w:rsidP="0016445B">
            <w:pPr>
              <w:pStyle w:val="Tabletext"/>
            </w:pPr>
            <w:r w:rsidRPr="006830D8">
              <w:rPr>
                <w:lang w:val="en-US"/>
              </w:rPr>
              <w:t>At an educ</w:t>
            </w:r>
            <w:r w:rsidRPr="006830D8">
              <w:rPr>
                <w:lang w:val="en-US"/>
              </w:rPr>
              <w:lastRenderedPageBreak/>
              <w:t>ational institution</w:t>
            </w:r>
          </w:p>
        </w:tc>
        <w:tc>
          <w:tcPr>
            <w:tcW w:w="1559" w:type="dxa"/>
            <w:noWrap/>
          </w:tcPr>
          <w:p w14:paraId="161D592B" w14:textId="77777777" w:rsidR="009D0006" w:rsidRPr="006830D8" w:rsidRDefault="009D0006" w:rsidP="0016445B">
            <w:pPr>
              <w:pStyle w:val="Tabletext"/>
            </w:pPr>
            <w:r w:rsidRPr="006830D8">
              <w:t>156</w:t>
            </w:r>
          </w:p>
        </w:tc>
        <w:tc>
          <w:tcPr>
            <w:tcW w:w="1559" w:type="dxa"/>
            <w:noWrap/>
          </w:tcPr>
          <w:p w14:paraId="7EF27154" w14:textId="77777777" w:rsidR="009D0006" w:rsidRPr="006830D8" w:rsidRDefault="009D0006" w:rsidP="0016445B">
            <w:pPr>
              <w:pStyle w:val="Tabletext"/>
            </w:pPr>
            <w:r w:rsidRPr="006830D8">
              <w:t>53.6</w:t>
            </w:r>
          </w:p>
        </w:tc>
      </w:tr>
      <w:tr w:rsidR="009D0006" w:rsidRPr="00BC3468" w14:paraId="380F164D" w14:textId="77777777" w:rsidTr="0016445B">
        <w:trPr>
          <w:cnfStyle w:val="000000010000" w:firstRow="0" w:lastRow="0" w:firstColumn="0" w:lastColumn="0" w:oddVBand="0" w:evenVBand="0" w:oddHBand="0" w:evenHBand="1" w:firstRowFirstColumn="0" w:firstRowLastColumn="0" w:lastRowFirstColumn="0" w:lastRowLastColumn="0"/>
          <w:trHeight w:val="211"/>
        </w:trPr>
        <w:tc>
          <w:tcPr>
            <w:tcW w:w="6746" w:type="dxa"/>
            <w:noWrap/>
          </w:tcPr>
          <w:p w14:paraId="35D37A5F" w14:textId="77777777" w:rsidR="009D0006" w:rsidRPr="006830D8" w:rsidRDefault="009D0006" w:rsidP="0016445B">
            <w:pPr>
              <w:pStyle w:val="Tabletext"/>
            </w:pPr>
            <w:r w:rsidRPr="006830D8">
              <w:rPr>
                <w:lang w:val="en-US"/>
              </w:rPr>
              <w:t>In public (e.g.</w:t>
            </w:r>
            <w:r>
              <w:rPr>
                <w:lang w:val="en-US"/>
              </w:rPr>
              <w:t>,</w:t>
            </w:r>
            <w:r w:rsidRPr="006830D8">
              <w:rPr>
                <w:lang w:val="en-US"/>
              </w:rPr>
              <w:t xml:space="preserve"> in the street/park)</w:t>
            </w:r>
          </w:p>
        </w:tc>
        <w:tc>
          <w:tcPr>
            <w:tcW w:w="1559" w:type="dxa"/>
            <w:noWrap/>
          </w:tcPr>
          <w:p w14:paraId="0D0A5E3D" w14:textId="77777777" w:rsidR="009D0006" w:rsidRPr="006830D8" w:rsidRDefault="009D0006" w:rsidP="0016445B">
            <w:pPr>
              <w:pStyle w:val="Tabletext"/>
            </w:pPr>
            <w:r w:rsidRPr="006830D8">
              <w:t>143</w:t>
            </w:r>
          </w:p>
        </w:tc>
        <w:tc>
          <w:tcPr>
            <w:tcW w:w="1559" w:type="dxa"/>
            <w:noWrap/>
          </w:tcPr>
          <w:p w14:paraId="61CE07D3" w14:textId="77777777" w:rsidR="009D0006" w:rsidRPr="006830D8" w:rsidRDefault="009D0006" w:rsidP="0016445B">
            <w:pPr>
              <w:pStyle w:val="Tabletext"/>
            </w:pPr>
            <w:r w:rsidRPr="006830D8">
              <w:t>29.9</w:t>
            </w:r>
          </w:p>
        </w:tc>
      </w:tr>
      <w:tr w:rsidR="009D0006" w:rsidRPr="00BC3468" w14:paraId="6D71042E" w14:textId="77777777" w:rsidTr="0016445B">
        <w:trPr>
          <w:cnfStyle w:val="000000100000" w:firstRow="0" w:lastRow="0" w:firstColumn="0" w:lastColumn="0" w:oddVBand="0" w:evenVBand="0" w:oddHBand="1" w:evenHBand="0" w:firstRowFirstColumn="0" w:firstRowLastColumn="0" w:lastRowFirstColumn="0" w:lastRowLastColumn="0"/>
          <w:trHeight w:val="211"/>
        </w:trPr>
        <w:tc>
          <w:tcPr>
            <w:tcW w:w="6746" w:type="dxa"/>
            <w:noWrap/>
          </w:tcPr>
          <w:p w14:paraId="35D749FC" w14:textId="77777777" w:rsidR="009D0006" w:rsidRPr="006830D8" w:rsidRDefault="009D0006" w:rsidP="0016445B">
            <w:pPr>
              <w:pStyle w:val="Tabletext"/>
            </w:pPr>
            <w:r w:rsidRPr="006830D8">
              <w:rPr>
                <w:lang w:val="en-US"/>
              </w:rPr>
              <w:t>With family members</w:t>
            </w:r>
          </w:p>
        </w:tc>
        <w:tc>
          <w:tcPr>
            <w:tcW w:w="1559" w:type="dxa"/>
            <w:noWrap/>
          </w:tcPr>
          <w:p w14:paraId="1F3E235D" w14:textId="77777777" w:rsidR="009D0006" w:rsidRPr="006830D8" w:rsidRDefault="009D0006" w:rsidP="0016445B">
            <w:pPr>
              <w:pStyle w:val="Tabletext"/>
            </w:pPr>
            <w:r w:rsidRPr="006830D8">
              <w:t>262</w:t>
            </w:r>
          </w:p>
        </w:tc>
        <w:tc>
          <w:tcPr>
            <w:tcW w:w="1559" w:type="dxa"/>
            <w:noWrap/>
          </w:tcPr>
          <w:p w14:paraId="2DDF5FF5" w14:textId="77777777" w:rsidR="009D0006" w:rsidRPr="006830D8" w:rsidRDefault="009D0006" w:rsidP="0016445B">
            <w:pPr>
              <w:pStyle w:val="Tabletext"/>
            </w:pPr>
            <w:r w:rsidRPr="006830D8">
              <w:t>52.8</w:t>
            </w:r>
          </w:p>
        </w:tc>
      </w:tr>
      <w:tr w:rsidR="009D0006" w:rsidRPr="00BC3468" w14:paraId="2497FFD0" w14:textId="77777777" w:rsidTr="0016445B">
        <w:trPr>
          <w:cnfStyle w:val="000000010000" w:firstRow="0" w:lastRow="0" w:firstColumn="0" w:lastColumn="0" w:oddVBand="0" w:evenVBand="0" w:oddHBand="0" w:evenHBand="1" w:firstRowFirstColumn="0" w:firstRowLastColumn="0" w:lastRowFirstColumn="0" w:lastRowLastColumn="0"/>
          <w:trHeight w:val="211"/>
        </w:trPr>
        <w:tc>
          <w:tcPr>
            <w:tcW w:w="6746" w:type="dxa"/>
            <w:noWrap/>
          </w:tcPr>
          <w:p w14:paraId="23BA522C" w14:textId="77777777" w:rsidR="009D0006" w:rsidRPr="006830D8" w:rsidRDefault="009D0006" w:rsidP="0016445B">
            <w:pPr>
              <w:pStyle w:val="Tabletext"/>
            </w:pPr>
            <w:r w:rsidRPr="006830D8">
              <w:rPr>
                <w:lang w:val="en-US"/>
              </w:rPr>
              <w:t>Accessing a health or support service</w:t>
            </w:r>
          </w:p>
        </w:tc>
        <w:tc>
          <w:tcPr>
            <w:tcW w:w="1559" w:type="dxa"/>
            <w:noWrap/>
          </w:tcPr>
          <w:p w14:paraId="3DEF2665" w14:textId="77777777" w:rsidR="009D0006" w:rsidRPr="006830D8" w:rsidRDefault="009D0006" w:rsidP="0016445B">
            <w:pPr>
              <w:pStyle w:val="Tabletext"/>
            </w:pPr>
            <w:r w:rsidRPr="006830D8">
              <w:t>213</w:t>
            </w:r>
          </w:p>
        </w:tc>
        <w:tc>
          <w:tcPr>
            <w:tcW w:w="1559" w:type="dxa"/>
            <w:noWrap/>
          </w:tcPr>
          <w:p w14:paraId="1AA0C450" w14:textId="77777777" w:rsidR="009D0006" w:rsidRPr="006830D8" w:rsidRDefault="009D0006" w:rsidP="0016445B">
            <w:pPr>
              <w:pStyle w:val="Tabletext"/>
            </w:pPr>
            <w:r w:rsidRPr="006830D8">
              <w:t>45.8</w:t>
            </w:r>
          </w:p>
        </w:tc>
      </w:tr>
      <w:tr w:rsidR="009D0006" w:rsidRPr="00BC3468" w14:paraId="503E838C" w14:textId="77777777" w:rsidTr="0016445B">
        <w:trPr>
          <w:cnfStyle w:val="000000100000" w:firstRow="0" w:lastRow="0" w:firstColumn="0" w:lastColumn="0" w:oddVBand="0" w:evenVBand="0" w:oddHBand="1" w:evenHBand="0" w:firstRowFirstColumn="0" w:firstRowLastColumn="0" w:lastRowFirstColumn="0" w:lastRowLastColumn="0"/>
          <w:trHeight w:val="211"/>
        </w:trPr>
        <w:tc>
          <w:tcPr>
            <w:tcW w:w="6746" w:type="dxa"/>
            <w:noWrap/>
          </w:tcPr>
          <w:p w14:paraId="763DA4BA" w14:textId="77777777" w:rsidR="009D0006" w:rsidRPr="006830D8" w:rsidRDefault="009D0006" w:rsidP="0016445B">
            <w:pPr>
              <w:pStyle w:val="Tabletext"/>
            </w:pPr>
            <w:r w:rsidRPr="006830D8">
              <w:rPr>
                <w:lang w:val="en-US"/>
              </w:rPr>
              <w:t>Religious or faith-based events or services</w:t>
            </w:r>
          </w:p>
        </w:tc>
        <w:tc>
          <w:tcPr>
            <w:tcW w:w="1559" w:type="dxa"/>
            <w:noWrap/>
          </w:tcPr>
          <w:p w14:paraId="35E56F6D" w14:textId="77777777" w:rsidR="009D0006" w:rsidRPr="006830D8" w:rsidRDefault="009D0006" w:rsidP="0016445B">
            <w:pPr>
              <w:pStyle w:val="Tabletext"/>
            </w:pPr>
            <w:r w:rsidRPr="006830D8">
              <w:t>36</w:t>
            </w:r>
          </w:p>
        </w:tc>
        <w:tc>
          <w:tcPr>
            <w:tcW w:w="1559" w:type="dxa"/>
            <w:noWrap/>
          </w:tcPr>
          <w:p w14:paraId="3DF08C2E" w14:textId="77777777" w:rsidR="009D0006" w:rsidRPr="006830D8" w:rsidRDefault="009D0006" w:rsidP="0016445B">
            <w:pPr>
              <w:pStyle w:val="Tabletext"/>
            </w:pPr>
            <w:r w:rsidRPr="006830D8">
              <w:t>12.9</w:t>
            </w:r>
          </w:p>
        </w:tc>
      </w:tr>
    </w:tbl>
    <w:p w14:paraId="09496C9A" w14:textId="77777777" w:rsidR="009D0006" w:rsidRDefault="009D0006" w:rsidP="0016445B">
      <w:pPr>
        <w:pStyle w:val="Tableheading"/>
      </w:pPr>
      <w:r>
        <w:t>Table 112.3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C44F0E" w14:paraId="27045944" w14:textId="77777777" w:rsidTr="0016445B">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60D80225" w14:textId="77777777" w:rsidR="009D0006" w:rsidRPr="00BC3468" w:rsidRDefault="009D0006" w:rsidP="0016445B">
            <w:pPr>
              <w:pStyle w:val="Tableheader"/>
            </w:pPr>
            <w:r>
              <w:t>Feel accepted in these settings</w:t>
            </w:r>
          </w:p>
        </w:tc>
        <w:tc>
          <w:tcPr>
            <w:tcW w:w="1559" w:type="dxa"/>
          </w:tcPr>
          <w:p w14:paraId="59D73A1A" w14:textId="77777777" w:rsidR="009D0006" w:rsidRPr="00C44F0E" w:rsidRDefault="009D0006" w:rsidP="0016445B">
            <w:pPr>
              <w:pStyle w:val="Tableheader"/>
              <w:rPr>
                <w:bCs/>
              </w:rPr>
            </w:pPr>
            <w:r w:rsidRPr="00C44F0E">
              <w:rPr>
                <w:bCs/>
              </w:rPr>
              <w:t>n</w:t>
            </w:r>
          </w:p>
        </w:tc>
        <w:tc>
          <w:tcPr>
            <w:tcW w:w="1559" w:type="dxa"/>
          </w:tcPr>
          <w:p w14:paraId="30DCF088" w14:textId="77777777" w:rsidR="009D0006" w:rsidRPr="00C44F0E" w:rsidRDefault="009D0006" w:rsidP="0016445B">
            <w:pPr>
              <w:pStyle w:val="Tableheader"/>
              <w:rPr>
                <w:bCs/>
              </w:rPr>
            </w:pPr>
            <w:r w:rsidRPr="00C44F0E">
              <w:rPr>
                <w:bCs/>
              </w:rPr>
              <w:t>%</w:t>
            </w:r>
          </w:p>
        </w:tc>
      </w:tr>
      <w:tr w:rsidR="009D0006" w:rsidRPr="00BC3468" w14:paraId="7AAF2D71" w14:textId="77777777" w:rsidTr="0016445B">
        <w:trPr>
          <w:cnfStyle w:val="000000100000" w:firstRow="0" w:lastRow="0" w:firstColumn="0" w:lastColumn="0" w:oddVBand="0" w:evenVBand="0" w:oddHBand="1" w:evenHBand="0" w:firstRowFirstColumn="0" w:firstRowLastColumn="0" w:lastRowFirstColumn="0" w:lastRowLastColumn="0"/>
          <w:trHeight w:val="316"/>
        </w:trPr>
        <w:tc>
          <w:tcPr>
            <w:tcW w:w="6746" w:type="dxa"/>
            <w:noWrap/>
          </w:tcPr>
          <w:p w14:paraId="6CE14098" w14:textId="77777777" w:rsidR="009D0006" w:rsidRPr="006830D8" w:rsidRDefault="009D0006" w:rsidP="0016445B">
            <w:pPr>
              <w:pStyle w:val="Tabletext"/>
            </w:pPr>
            <w:r w:rsidRPr="006830D8">
              <w:rPr>
                <w:lang w:val="en-US"/>
              </w:rPr>
              <w:t>LGBTIQ venue</w:t>
            </w:r>
          </w:p>
        </w:tc>
        <w:tc>
          <w:tcPr>
            <w:tcW w:w="1559" w:type="dxa"/>
          </w:tcPr>
          <w:p w14:paraId="1877FE95" w14:textId="77777777" w:rsidR="009D0006" w:rsidRPr="006830D8" w:rsidRDefault="009D0006" w:rsidP="0016445B">
            <w:pPr>
              <w:pStyle w:val="Tabletext"/>
            </w:pPr>
            <w:r w:rsidRPr="006830D8">
              <w:t>63</w:t>
            </w:r>
          </w:p>
        </w:tc>
        <w:tc>
          <w:tcPr>
            <w:tcW w:w="1559" w:type="dxa"/>
          </w:tcPr>
          <w:p w14:paraId="4E6E5B3E" w14:textId="77777777" w:rsidR="009D0006" w:rsidRPr="006830D8" w:rsidRDefault="009D0006" w:rsidP="0016445B">
            <w:pPr>
              <w:pStyle w:val="Tabletext"/>
            </w:pPr>
            <w:r w:rsidRPr="006830D8">
              <w:t>64.3</w:t>
            </w:r>
          </w:p>
        </w:tc>
      </w:tr>
      <w:tr w:rsidR="009D0006" w:rsidRPr="00BC3468" w14:paraId="7BCB9C5C" w14:textId="77777777" w:rsidTr="0016445B">
        <w:trPr>
          <w:cnfStyle w:val="000000010000" w:firstRow="0" w:lastRow="0" w:firstColumn="0" w:lastColumn="0" w:oddVBand="0" w:evenVBand="0" w:oddHBand="0" w:evenHBand="1" w:firstRowFirstColumn="0" w:firstRowLastColumn="0" w:lastRowFirstColumn="0" w:lastRowLastColumn="0"/>
          <w:trHeight w:val="316"/>
        </w:trPr>
        <w:tc>
          <w:tcPr>
            <w:tcW w:w="6746" w:type="dxa"/>
            <w:noWrap/>
          </w:tcPr>
          <w:p w14:paraId="2D6F32AD" w14:textId="77777777" w:rsidR="009D0006" w:rsidRPr="006830D8" w:rsidRDefault="009D0006" w:rsidP="0016445B">
            <w:pPr>
              <w:pStyle w:val="Tabletext"/>
            </w:pPr>
            <w:r w:rsidRPr="006830D8">
              <w:rPr>
                <w:lang w:val="en-US"/>
              </w:rPr>
              <w:t>At work</w:t>
            </w:r>
          </w:p>
        </w:tc>
        <w:tc>
          <w:tcPr>
            <w:tcW w:w="1559" w:type="dxa"/>
          </w:tcPr>
          <w:p w14:paraId="1DF7DC9C" w14:textId="77777777" w:rsidR="009D0006" w:rsidRPr="006830D8" w:rsidRDefault="009D0006" w:rsidP="0016445B">
            <w:pPr>
              <w:pStyle w:val="Tabletext"/>
            </w:pPr>
            <w:r w:rsidRPr="006830D8">
              <w:t>27</w:t>
            </w:r>
          </w:p>
        </w:tc>
        <w:tc>
          <w:tcPr>
            <w:tcW w:w="1559" w:type="dxa"/>
          </w:tcPr>
          <w:p w14:paraId="48D70445" w14:textId="77777777" w:rsidR="009D0006" w:rsidRPr="006830D8" w:rsidRDefault="009D0006" w:rsidP="0016445B">
            <w:pPr>
              <w:pStyle w:val="Tabletext"/>
            </w:pPr>
            <w:r w:rsidRPr="006830D8">
              <w:t>41.5</w:t>
            </w:r>
          </w:p>
        </w:tc>
      </w:tr>
      <w:tr w:rsidR="009D0006" w:rsidRPr="00BC3468" w14:paraId="7E4F6009" w14:textId="77777777" w:rsidTr="0016445B">
        <w:trPr>
          <w:cnfStyle w:val="000000100000" w:firstRow="0" w:lastRow="0" w:firstColumn="0" w:lastColumn="0" w:oddVBand="0" w:evenVBand="0" w:oddHBand="1" w:evenHBand="0" w:firstRowFirstColumn="0" w:firstRowLastColumn="0" w:lastRowFirstColumn="0" w:lastRowLastColumn="0"/>
          <w:trHeight w:val="316"/>
        </w:trPr>
        <w:tc>
          <w:tcPr>
            <w:tcW w:w="6746" w:type="dxa"/>
            <w:noWrap/>
          </w:tcPr>
          <w:p w14:paraId="4D3A78B2" w14:textId="77777777" w:rsidR="009D0006" w:rsidRPr="006830D8" w:rsidRDefault="009D0006" w:rsidP="0016445B">
            <w:pPr>
              <w:pStyle w:val="Tabletext"/>
            </w:pPr>
            <w:r w:rsidRPr="006830D8">
              <w:rPr>
                <w:lang w:val="en-US"/>
              </w:rPr>
              <w:t>At an educational institution</w:t>
            </w:r>
          </w:p>
        </w:tc>
        <w:tc>
          <w:tcPr>
            <w:tcW w:w="1559" w:type="dxa"/>
          </w:tcPr>
          <w:p w14:paraId="5735277E" w14:textId="77777777" w:rsidR="009D0006" w:rsidRPr="006830D8" w:rsidRDefault="009D0006" w:rsidP="0016445B">
            <w:pPr>
              <w:pStyle w:val="Tabletext"/>
            </w:pPr>
            <w:r w:rsidRPr="006830D8">
              <w:t>22</w:t>
            </w:r>
          </w:p>
        </w:tc>
        <w:tc>
          <w:tcPr>
            <w:tcW w:w="1559" w:type="dxa"/>
          </w:tcPr>
          <w:p w14:paraId="2D38FD04" w14:textId="77777777" w:rsidR="009D0006" w:rsidRPr="006830D8" w:rsidRDefault="009D0006" w:rsidP="0016445B">
            <w:pPr>
              <w:pStyle w:val="Tabletext"/>
            </w:pPr>
            <w:r w:rsidRPr="006830D8">
              <w:t>32.4</w:t>
            </w:r>
          </w:p>
        </w:tc>
      </w:tr>
      <w:tr w:rsidR="009D0006" w:rsidRPr="00BC3468" w14:paraId="2F8AE587" w14:textId="77777777" w:rsidTr="0016445B">
        <w:trPr>
          <w:cnfStyle w:val="000000010000" w:firstRow="0" w:lastRow="0" w:firstColumn="0" w:lastColumn="0" w:oddVBand="0" w:evenVBand="0" w:oddHBand="0" w:evenHBand="1" w:firstRowFirstColumn="0" w:firstRowLastColumn="0" w:lastRowFirstColumn="0" w:lastRowLastColumn="0"/>
          <w:trHeight w:val="316"/>
        </w:trPr>
        <w:tc>
          <w:tcPr>
            <w:tcW w:w="6746" w:type="dxa"/>
            <w:noWrap/>
          </w:tcPr>
          <w:p w14:paraId="46243474" w14:textId="77777777" w:rsidR="009D0006" w:rsidRPr="006830D8" w:rsidRDefault="009D0006" w:rsidP="0016445B">
            <w:pPr>
              <w:pStyle w:val="Tabletext"/>
            </w:pPr>
            <w:r w:rsidRPr="006830D8">
              <w:rPr>
                <w:lang w:val="en-US"/>
              </w:rPr>
              <w:t>In public (e.g.</w:t>
            </w:r>
            <w:r>
              <w:rPr>
                <w:lang w:val="en-US"/>
              </w:rPr>
              <w:t>,</w:t>
            </w:r>
            <w:r w:rsidRPr="006830D8">
              <w:rPr>
                <w:lang w:val="en-US"/>
              </w:rPr>
              <w:t xml:space="preserve"> in the street/park)</w:t>
            </w:r>
          </w:p>
        </w:tc>
        <w:tc>
          <w:tcPr>
            <w:tcW w:w="1559" w:type="dxa"/>
          </w:tcPr>
          <w:p w14:paraId="75FD114A" w14:textId="77777777" w:rsidR="009D0006" w:rsidRPr="006830D8" w:rsidRDefault="009D0006" w:rsidP="0016445B">
            <w:pPr>
              <w:pStyle w:val="Tabletext"/>
            </w:pPr>
            <w:r w:rsidRPr="006830D8">
              <w:t>28</w:t>
            </w:r>
          </w:p>
        </w:tc>
        <w:tc>
          <w:tcPr>
            <w:tcW w:w="1559" w:type="dxa"/>
          </w:tcPr>
          <w:p w14:paraId="088D4B35" w14:textId="77777777" w:rsidR="009D0006" w:rsidRPr="006830D8" w:rsidRDefault="009D0006" w:rsidP="0016445B">
            <w:pPr>
              <w:pStyle w:val="Tabletext"/>
            </w:pPr>
            <w:r w:rsidRPr="006830D8">
              <w:t>22.0</w:t>
            </w:r>
          </w:p>
        </w:tc>
      </w:tr>
      <w:tr w:rsidR="009D0006" w:rsidRPr="00BC3468" w14:paraId="4E4F8818" w14:textId="77777777" w:rsidTr="0016445B">
        <w:trPr>
          <w:cnfStyle w:val="000000100000" w:firstRow="0" w:lastRow="0" w:firstColumn="0" w:lastColumn="0" w:oddVBand="0" w:evenVBand="0" w:oddHBand="1" w:evenHBand="0" w:firstRowFirstColumn="0" w:firstRowLastColumn="0" w:lastRowFirstColumn="0" w:lastRowLastColumn="0"/>
          <w:trHeight w:val="316"/>
        </w:trPr>
        <w:tc>
          <w:tcPr>
            <w:tcW w:w="6746" w:type="dxa"/>
            <w:noWrap/>
          </w:tcPr>
          <w:p w14:paraId="7E944B80" w14:textId="77777777" w:rsidR="009D0006" w:rsidRPr="006830D8" w:rsidRDefault="009D0006" w:rsidP="0016445B">
            <w:pPr>
              <w:pStyle w:val="Tabletext"/>
            </w:pPr>
            <w:r w:rsidRPr="006830D8">
              <w:rPr>
                <w:lang w:val="en-US"/>
              </w:rPr>
              <w:t>With family members</w:t>
            </w:r>
          </w:p>
        </w:tc>
        <w:tc>
          <w:tcPr>
            <w:tcW w:w="1559" w:type="dxa"/>
          </w:tcPr>
          <w:p w14:paraId="1A215714" w14:textId="77777777" w:rsidR="009D0006" w:rsidRPr="006830D8" w:rsidRDefault="009D0006" w:rsidP="0016445B">
            <w:pPr>
              <w:pStyle w:val="Tabletext"/>
            </w:pPr>
            <w:r w:rsidRPr="006830D8">
              <w:t>45</w:t>
            </w:r>
          </w:p>
        </w:tc>
        <w:tc>
          <w:tcPr>
            <w:tcW w:w="1559" w:type="dxa"/>
          </w:tcPr>
          <w:p w14:paraId="0C164B33" w14:textId="77777777" w:rsidR="009D0006" w:rsidRPr="006830D8" w:rsidRDefault="009D0006" w:rsidP="0016445B">
            <w:pPr>
              <w:pStyle w:val="Tabletext"/>
            </w:pPr>
            <w:r w:rsidRPr="006830D8">
              <w:t>36.0</w:t>
            </w:r>
          </w:p>
        </w:tc>
      </w:tr>
      <w:tr w:rsidR="009D0006" w:rsidRPr="00BC3468" w14:paraId="66A89315" w14:textId="77777777" w:rsidTr="0016445B">
        <w:trPr>
          <w:cnfStyle w:val="000000010000" w:firstRow="0" w:lastRow="0" w:firstColumn="0" w:lastColumn="0" w:oddVBand="0" w:evenVBand="0" w:oddHBand="0" w:evenHBand="1" w:firstRowFirstColumn="0" w:firstRowLastColumn="0" w:lastRowFirstColumn="0" w:lastRowLastColumn="0"/>
          <w:trHeight w:val="316"/>
        </w:trPr>
        <w:tc>
          <w:tcPr>
            <w:tcW w:w="6746" w:type="dxa"/>
            <w:noWrap/>
          </w:tcPr>
          <w:p w14:paraId="5C24CCC5" w14:textId="77777777" w:rsidR="009D0006" w:rsidRPr="006830D8" w:rsidRDefault="009D0006" w:rsidP="0016445B">
            <w:pPr>
              <w:pStyle w:val="Tabletext"/>
            </w:pPr>
            <w:r w:rsidRPr="006830D8">
              <w:rPr>
                <w:lang w:val="en-US"/>
              </w:rPr>
              <w:t>Accessing a health or support service</w:t>
            </w:r>
          </w:p>
        </w:tc>
        <w:tc>
          <w:tcPr>
            <w:tcW w:w="1559" w:type="dxa"/>
          </w:tcPr>
          <w:p w14:paraId="0AD0896C" w14:textId="77777777" w:rsidR="009D0006" w:rsidRPr="006830D8" w:rsidRDefault="009D0006" w:rsidP="0016445B">
            <w:pPr>
              <w:pStyle w:val="Tabletext"/>
            </w:pPr>
            <w:r w:rsidRPr="006830D8">
              <w:t>50</w:t>
            </w:r>
          </w:p>
        </w:tc>
        <w:tc>
          <w:tcPr>
            <w:tcW w:w="1559" w:type="dxa"/>
          </w:tcPr>
          <w:p w14:paraId="7D349E44" w14:textId="77777777" w:rsidR="009D0006" w:rsidRPr="006830D8" w:rsidRDefault="009D0006" w:rsidP="0016445B">
            <w:pPr>
              <w:pStyle w:val="Tabletext"/>
            </w:pPr>
            <w:r w:rsidRPr="006830D8">
              <w:t>39.4</w:t>
            </w:r>
          </w:p>
        </w:tc>
      </w:tr>
      <w:tr w:rsidR="009D0006" w:rsidRPr="00BC3468" w14:paraId="03A9B208" w14:textId="77777777" w:rsidTr="0016445B">
        <w:trPr>
          <w:cnfStyle w:val="000000100000" w:firstRow="0" w:lastRow="0" w:firstColumn="0" w:lastColumn="0" w:oddVBand="0" w:evenVBand="0" w:oddHBand="1" w:evenHBand="0" w:firstRowFirstColumn="0" w:firstRowLastColumn="0" w:lastRowFirstColumn="0" w:lastRowLastColumn="0"/>
          <w:trHeight w:val="316"/>
        </w:trPr>
        <w:tc>
          <w:tcPr>
            <w:tcW w:w="6746" w:type="dxa"/>
            <w:noWrap/>
          </w:tcPr>
          <w:p w14:paraId="6C1F7A8C" w14:textId="77777777" w:rsidR="009D0006" w:rsidRPr="006830D8" w:rsidRDefault="009D0006" w:rsidP="0016445B">
            <w:pPr>
              <w:pStyle w:val="Tabletext"/>
            </w:pPr>
            <w:r w:rsidRPr="006830D8">
              <w:rPr>
                <w:lang w:val="en-US"/>
              </w:rPr>
              <w:t>Religious or faith-based events or services</w:t>
            </w:r>
          </w:p>
        </w:tc>
        <w:tc>
          <w:tcPr>
            <w:tcW w:w="1559" w:type="dxa"/>
          </w:tcPr>
          <w:p w14:paraId="0EAD389C" w14:textId="77777777" w:rsidR="009D0006" w:rsidRPr="006830D8" w:rsidRDefault="009D0006" w:rsidP="0016445B">
            <w:pPr>
              <w:pStyle w:val="Tabletext"/>
            </w:pPr>
            <w:r w:rsidRPr="006830D8">
              <w:t>6</w:t>
            </w:r>
          </w:p>
        </w:tc>
        <w:tc>
          <w:tcPr>
            <w:tcW w:w="1559" w:type="dxa"/>
          </w:tcPr>
          <w:p w14:paraId="266173F1" w14:textId="77777777" w:rsidR="009D0006" w:rsidRPr="006830D8" w:rsidRDefault="009D0006" w:rsidP="0016445B">
            <w:pPr>
              <w:pStyle w:val="Tabletext"/>
            </w:pPr>
            <w:r w:rsidRPr="006830D8">
              <w:t>12.0</w:t>
            </w:r>
          </w:p>
        </w:tc>
      </w:tr>
    </w:tbl>
    <w:p w14:paraId="201F8957" w14:textId="77777777" w:rsidR="009D0006" w:rsidRDefault="009D0006" w:rsidP="0016445B">
      <w:pPr>
        <w:pStyle w:val="Tableheading"/>
      </w:pPr>
      <w:r>
        <w:t>Table 112.4 Trans man</w:t>
      </w:r>
    </w:p>
    <w:tbl>
      <w:tblPr>
        <w:tblStyle w:val="RCTable2"/>
        <w:tblW w:w="9864" w:type="dxa"/>
        <w:tblInd w:w="-23" w:type="dxa"/>
        <w:tblLayout w:type="fixed"/>
        <w:tblLook w:val="04A0" w:firstRow="1" w:lastRow="0" w:firstColumn="1" w:lastColumn="0" w:noHBand="0" w:noVBand="1"/>
      </w:tblPr>
      <w:tblGrid>
        <w:gridCol w:w="6746"/>
        <w:gridCol w:w="1559"/>
        <w:gridCol w:w="1559"/>
      </w:tblGrid>
      <w:tr w:rsidR="009D0006" w:rsidRPr="00BC3468" w14:paraId="0B6467E5" w14:textId="77777777" w:rsidTr="0016445B">
        <w:trPr>
          <w:cnfStyle w:val="100000000000" w:firstRow="1" w:lastRow="0" w:firstColumn="0" w:lastColumn="0" w:oddVBand="0" w:evenVBand="0" w:oddHBand="0" w:evenHBand="0" w:firstRowFirstColumn="0" w:firstRowLastColumn="0" w:lastRowFirstColumn="0" w:lastRowLastColumn="0"/>
          <w:trHeight w:val="317"/>
        </w:trPr>
        <w:tc>
          <w:tcPr>
            <w:tcW w:w="6746" w:type="dxa"/>
            <w:noWrap/>
            <w:hideMark/>
          </w:tcPr>
          <w:p w14:paraId="74E49D6D" w14:textId="77777777" w:rsidR="009D0006" w:rsidRPr="00BC3468" w:rsidRDefault="009D0006" w:rsidP="0016445B">
            <w:pPr>
              <w:pStyle w:val="Tableheader"/>
            </w:pPr>
            <w:r>
              <w:t>Feel accepted in these settings</w:t>
            </w:r>
          </w:p>
        </w:tc>
        <w:tc>
          <w:tcPr>
            <w:tcW w:w="1559" w:type="dxa"/>
            <w:noWrap/>
            <w:hideMark/>
          </w:tcPr>
          <w:p w14:paraId="0178621A" w14:textId="77777777" w:rsidR="009D0006" w:rsidRPr="002E3FEF" w:rsidRDefault="009D0006" w:rsidP="0016445B">
            <w:pPr>
              <w:pStyle w:val="Tableheader"/>
              <w:rPr>
                <w:bCs/>
              </w:rPr>
            </w:pPr>
            <w:r w:rsidRPr="002E3FEF">
              <w:rPr>
                <w:bCs/>
              </w:rPr>
              <w:t>n</w:t>
            </w:r>
          </w:p>
        </w:tc>
        <w:tc>
          <w:tcPr>
            <w:tcW w:w="1559" w:type="dxa"/>
            <w:noWrap/>
            <w:hideMark/>
          </w:tcPr>
          <w:p w14:paraId="02582A88" w14:textId="77777777" w:rsidR="009D0006" w:rsidRPr="002E3FEF" w:rsidRDefault="009D0006" w:rsidP="0016445B">
            <w:pPr>
              <w:pStyle w:val="Tableheader"/>
              <w:rPr>
                <w:bCs/>
              </w:rPr>
            </w:pPr>
            <w:r w:rsidRPr="002E3FEF">
              <w:rPr>
                <w:bCs/>
              </w:rPr>
              <w:t>%</w:t>
            </w:r>
          </w:p>
        </w:tc>
      </w:tr>
      <w:tr w:rsidR="009D0006" w:rsidRPr="00BC3468" w14:paraId="33ACAFEA" w14:textId="77777777" w:rsidTr="0016445B">
        <w:trPr>
          <w:cnfStyle w:val="000000100000" w:firstRow="0" w:lastRow="0" w:firstColumn="0" w:lastColumn="0" w:oddVBand="0" w:evenVBand="0" w:oddHBand="1" w:evenHBand="0" w:firstRowFirstColumn="0" w:firstRowLastColumn="0" w:lastRowFirstColumn="0" w:lastRowLastColumn="0"/>
          <w:trHeight w:val="317"/>
        </w:trPr>
        <w:tc>
          <w:tcPr>
            <w:tcW w:w="6746" w:type="dxa"/>
            <w:noWrap/>
          </w:tcPr>
          <w:p w14:paraId="25F27BEB" w14:textId="77777777" w:rsidR="009D0006" w:rsidRPr="006830D8" w:rsidRDefault="009D0006" w:rsidP="0016445B">
            <w:pPr>
              <w:pStyle w:val="Tabletext"/>
            </w:pPr>
            <w:r w:rsidRPr="006830D8">
              <w:rPr>
                <w:lang w:val="en-US"/>
              </w:rPr>
              <w:t>LGBTIQ venue</w:t>
            </w:r>
          </w:p>
        </w:tc>
        <w:tc>
          <w:tcPr>
            <w:tcW w:w="1559" w:type="dxa"/>
            <w:noWrap/>
          </w:tcPr>
          <w:p w14:paraId="6288A8A7" w14:textId="77777777" w:rsidR="009D0006" w:rsidRPr="006830D8" w:rsidRDefault="009D0006" w:rsidP="0016445B">
            <w:pPr>
              <w:pStyle w:val="Tabletext"/>
            </w:pPr>
            <w:r w:rsidRPr="006830D8">
              <w:t>81</w:t>
            </w:r>
          </w:p>
        </w:tc>
        <w:tc>
          <w:tcPr>
            <w:tcW w:w="1559" w:type="dxa"/>
            <w:noWrap/>
          </w:tcPr>
          <w:p w14:paraId="2FBAFDF0" w14:textId="77777777" w:rsidR="009D0006" w:rsidRPr="006830D8" w:rsidRDefault="009D0006" w:rsidP="0016445B">
            <w:pPr>
              <w:pStyle w:val="Tabletext"/>
            </w:pPr>
            <w:r w:rsidRPr="006830D8">
              <w:t>65.3</w:t>
            </w:r>
          </w:p>
        </w:tc>
      </w:tr>
      <w:tr w:rsidR="009D0006" w:rsidRPr="00BC3468" w14:paraId="3CBF839A" w14:textId="77777777" w:rsidTr="0016445B">
        <w:trPr>
          <w:cnfStyle w:val="000000010000" w:firstRow="0" w:lastRow="0" w:firstColumn="0" w:lastColumn="0" w:oddVBand="0" w:evenVBand="0" w:oddHBand="0" w:evenHBand="1" w:firstRowFirstColumn="0" w:firstRowLastColumn="0" w:lastRowFirstColumn="0" w:lastRowLastColumn="0"/>
          <w:trHeight w:val="317"/>
        </w:trPr>
        <w:tc>
          <w:tcPr>
            <w:tcW w:w="6746" w:type="dxa"/>
            <w:noWrap/>
          </w:tcPr>
          <w:p w14:paraId="02E561AE" w14:textId="77777777" w:rsidR="009D0006" w:rsidRPr="006830D8" w:rsidRDefault="009D0006" w:rsidP="0016445B">
            <w:pPr>
              <w:pStyle w:val="Tabletext"/>
            </w:pPr>
            <w:r w:rsidRPr="006830D8">
              <w:rPr>
                <w:lang w:val="en-US"/>
              </w:rPr>
              <w:t>At work</w:t>
            </w:r>
          </w:p>
        </w:tc>
        <w:tc>
          <w:tcPr>
            <w:tcW w:w="1559" w:type="dxa"/>
            <w:noWrap/>
          </w:tcPr>
          <w:p w14:paraId="34E0F022" w14:textId="77777777" w:rsidR="009D0006" w:rsidRPr="006830D8" w:rsidRDefault="009D0006" w:rsidP="0016445B">
            <w:pPr>
              <w:pStyle w:val="Tabletext"/>
            </w:pPr>
            <w:r w:rsidRPr="006830D8">
              <w:t>51</w:t>
            </w:r>
          </w:p>
        </w:tc>
        <w:tc>
          <w:tcPr>
            <w:tcW w:w="1559" w:type="dxa"/>
            <w:noWrap/>
          </w:tcPr>
          <w:p w14:paraId="34690A5E" w14:textId="77777777" w:rsidR="009D0006" w:rsidRPr="006830D8" w:rsidRDefault="009D0006" w:rsidP="0016445B">
            <w:pPr>
              <w:pStyle w:val="Tabletext"/>
            </w:pPr>
            <w:r w:rsidRPr="006830D8">
              <w:t>48.6</w:t>
            </w:r>
          </w:p>
        </w:tc>
      </w:tr>
      <w:tr w:rsidR="009D0006" w:rsidRPr="00BC3468" w14:paraId="49F5C267" w14:textId="77777777" w:rsidTr="0016445B">
        <w:trPr>
          <w:cnfStyle w:val="000000100000" w:firstRow="0" w:lastRow="0" w:firstColumn="0" w:lastColumn="0" w:oddVBand="0" w:evenVBand="0" w:oddHBand="1" w:evenHBand="0" w:firstRowFirstColumn="0" w:firstRowLastColumn="0" w:lastRowFirstColumn="0" w:lastRowLastColumn="0"/>
          <w:trHeight w:val="317"/>
        </w:trPr>
        <w:tc>
          <w:tcPr>
            <w:tcW w:w="6746" w:type="dxa"/>
            <w:noWrap/>
          </w:tcPr>
          <w:p w14:paraId="1A28816A" w14:textId="77777777" w:rsidR="009D0006" w:rsidRPr="006830D8" w:rsidRDefault="009D0006" w:rsidP="0016445B">
            <w:pPr>
              <w:pStyle w:val="Tabletext"/>
            </w:pPr>
            <w:r w:rsidRPr="006830D8">
              <w:rPr>
                <w:lang w:val="en-US"/>
              </w:rPr>
              <w:t>At an educational institution</w:t>
            </w:r>
          </w:p>
        </w:tc>
        <w:tc>
          <w:tcPr>
            <w:tcW w:w="1559" w:type="dxa"/>
            <w:noWrap/>
          </w:tcPr>
          <w:p w14:paraId="1EF98A83" w14:textId="77777777" w:rsidR="009D0006" w:rsidRPr="006830D8" w:rsidRDefault="009D0006" w:rsidP="0016445B">
            <w:pPr>
              <w:pStyle w:val="Tabletext"/>
            </w:pPr>
            <w:r w:rsidRPr="006830D8">
              <w:t>50</w:t>
            </w:r>
          </w:p>
        </w:tc>
        <w:tc>
          <w:tcPr>
            <w:tcW w:w="1559" w:type="dxa"/>
            <w:noWrap/>
          </w:tcPr>
          <w:p w14:paraId="6643969C" w14:textId="77777777" w:rsidR="009D0006" w:rsidRPr="006830D8" w:rsidRDefault="009D0006" w:rsidP="0016445B">
            <w:pPr>
              <w:pStyle w:val="Tabletext"/>
            </w:pPr>
            <w:r w:rsidRPr="006830D8">
              <w:t>42.4</w:t>
            </w:r>
          </w:p>
        </w:tc>
      </w:tr>
      <w:tr w:rsidR="009D0006" w:rsidRPr="00BC3468" w14:paraId="63FE9339" w14:textId="77777777" w:rsidTr="0016445B">
        <w:trPr>
          <w:cnfStyle w:val="000000010000" w:firstRow="0" w:lastRow="0" w:firstColumn="0" w:lastColumn="0" w:oddVBand="0" w:evenVBand="0" w:oddHBand="0" w:evenHBand="1" w:firstRowFirstColumn="0" w:firstRowLastColumn="0" w:lastRowFirstColumn="0" w:lastRowLastColumn="0"/>
          <w:trHeight w:val="317"/>
        </w:trPr>
        <w:tc>
          <w:tcPr>
            <w:tcW w:w="6746" w:type="dxa"/>
            <w:noWrap/>
          </w:tcPr>
          <w:p w14:paraId="742FBA30" w14:textId="77777777" w:rsidR="009D0006" w:rsidRPr="006830D8" w:rsidRDefault="009D0006" w:rsidP="0016445B">
            <w:pPr>
              <w:pStyle w:val="Tabletext"/>
            </w:pPr>
            <w:r w:rsidRPr="006830D8">
              <w:rPr>
                <w:lang w:val="en-US"/>
              </w:rPr>
              <w:t>In public (e.g.</w:t>
            </w:r>
            <w:r>
              <w:rPr>
                <w:lang w:val="en-US"/>
              </w:rPr>
              <w:t>,</w:t>
            </w:r>
            <w:r w:rsidRPr="006830D8">
              <w:rPr>
                <w:lang w:val="en-US"/>
              </w:rPr>
              <w:t xml:space="preserve"> in the street/park)</w:t>
            </w:r>
          </w:p>
        </w:tc>
        <w:tc>
          <w:tcPr>
            <w:tcW w:w="1559" w:type="dxa"/>
            <w:noWrap/>
          </w:tcPr>
          <w:p w14:paraId="6606BC4B" w14:textId="77777777" w:rsidR="009D0006" w:rsidRPr="006830D8" w:rsidRDefault="009D0006" w:rsidP="0016445B">
            <w:pPr>
              <w:pStyle w:val="Tabletext"/>
            </w:pPr>
            <w:r w:rsidRPr="006830D8">
              <w:t>42</w:t>
            </w:r>
          </w:p>
        </w:tc>
        <w:tc>
          <w:tcPr>
            <w:tcW w:w="1559" w:type="dxa"/>
            <w:noWrap/>
          </w:tcPr>
          <w:p w14:paraId="2B728900" w14:textId="77777777" w:rsidR="009D0006" w:rsidRPr="006830D8" w:rsidRDefault="009D0006" w:rsidP="0016445B">
            <w:pPr>
              <w:pStyle w:val="Tabletext"/>
            </w:pPr>
            <w:r w:rsidRPr="006830D8">
              <w:t>25.1</w:t>
            </w:r>
          </w:p>
        </w:tc>
      </w:tr>
      <w:tr w:rsidR="009D0006" w:rsidRPr="00BC3468" w14:paraId="201A1708" w14:textId="77777777" w:rsidTr="0016445B">
        <w:trPr>
          <w:cnfStyle w:val="000000100000" w:firstRow="0" w:lastRow="0" w:firstColumn="0" w:lastColumn="0" w:oddVBand="0" w:evenVBand="0" w:oddHBand="1" w:evenHBand="0" w:firstRowFirstColumn="0" w:firstRowLastColumn="0" w:lastRowFirstColumn="0" w:lastRowLastColumn="0"/>
          <w:trHeight w:val="317"/>
        </w:trPr>
        <w:tc>
          <w:tcPr>
            <w:tcW w:w="6746" w:type="dxa"/>
            <w:noWrap/>
          </w:tcPr>
          <w:p w14:paraId="3862E3D3" w14:textId="77777777" w:rsidR="009D0006" w:rsidRPr="006830D8" w:rsidRDefault="009D0006" w:rsidP="0016445B">
            <w:pPr>
              <w:pStyle w:val="Tabletext"/>
            </w:pPr>
            <w:r w:rsidRPr="006830D8">
              <w:rPr>
                <w:lang w:val="en-US"/>
              </w:rPr>
              <w:t>With family members</w:t>
            </w:r>
          </w:p>
        </w:tc>
        <w:tc>
          <w:tcPr>
            <w:tcW w:w="1559" w:type="dxa"/>
            <w:noWrap/>
          </w:tcPr>
          <w:p w14:paraId="44CAE1A1" w14:textId="77777777" w:rsidR="009D0006" w:rsidRPr="006830D8" w:rsidRDefault="009D0006" w:rsidP="0016445B">
            <w:pPr>
              <w:pStyle w:val="Tabletext"/>
            </w:pPr>
            <w:r w:rsidRPr="006830D8">
              <w:t>74</w:t>
            </w:r>
          </w:p>
        </w:tc>
        <w:tc>
          <w:tcPr>
            <w:tcW w:w="1559" w:type="dxa"/>
            <w:noWrap/>
          </w:tcPr>
          <w:p w14:paraId="363EBE5F" w14:textId="77777777" w:rsidR="009D0006" w:rsidRPr="006830D8" w:rsidRDefault="009D0006" w:rsidP="0016445B">
            <w:pPr>
              <w:pStyle w:val="Tabletext"/>
            </w:pPr>
            <w:r w:rsidRPr="006830D8">
              <w:t>44.3</w:t>
            </w:r>
          </w:p>
        </w:tc>
      </w:tr>
      <w:tr w:rsidR="009D0006" w:rsidRPr="00BC3468" w14:paraId="28B1EEFA" w14:textId="77777777" w:rsidTr="0016445B">
        <w:trPr>
          <w:cnfStyle w:val="000000010000" w:firstRow="0" w:lastRow="0" w:firstColumn="0" w:lastColumn="0" w:oddVBand="0" w:evenVBand="0" w:oddHBand="0" w:evenHBand="1" w:firstRowFirstColumn="0" w:firstRowLastColumn="0" w:lastRowFirstColumn="0" w:lastRowLastColumn="0"/>
          <w:trHeight w:val="317"/>
        </w:trPr>
        <w:tc>
          <w:tcPr>
            <w:tcW w:w="6746" w:type="dxa"/>
            <w:noWrap/>
          </w:tcPr>
          <w:p w14:paraId="23F2638D" w14:textId="77777777" w:rsidR="009D0006" w:rsidRPr="006830D8" w:rsidRDefault="009D0006" w:rsidP="0016445B">
            <w:pPr>
              <w:pStyle w:val="Tabletext"/>
            </w:pPr>
            <w:r w:rsidRPr="006830D8">
              <w:rPr>
                <w:lang w:val="en-US"/>
              </w:rPr>
              <w:t>Accessing a health or support service</w:t>
            </w:r>
          </w:p>
        </w:tc>
        <w:tc>
          <w:tcPr>
            <w:tcW w:w="1559" w:type="dxa"/>
            <w:noWrap/>
          </w:tcPr>
          <w:p w14:paraId="24E1E34E" w14:textId="77777777" w:rsidR="009D0006" w:rsidRPr="006830D8" w:rsidRDefault="009D0006" w:rsidP="0016445B">
            <w:pPr>
              <w:pStyle w:val="Tabletext"/>
            </w:pPr>
            <w:r w:rsidRPr="006830D8">
              <w:t>41</w:t>
            </w:r>
          </w:p>
        </w:tc>
        <w:tc>
          <w:tcPr>
            <w:tcW w:w="1559" w:type="dxa"/>
            <w:noWrap/>
          </w:tcPr>
          <w:p w14:paraId="08D9DAF7" w14:textId="77777777" w:rsidR="009D0006" w:rsidRPr="006830D8" w:rsidRDefault="009D0006" w:rsidP="0016445B">
            <w:pPr>
              <w:pStyle w:val="Tabletext"/>
            </w:pPr>
            <w:r w:rsidRPr="006830D8">
              <w:t>25.3</w:t>
            </w:r>
          </w:p>
        </w:tc>
      </w:tr>
      <w:tr w:rsidR="009D0006" w:rsidRPr="00BC3468" w14:paraId="25E8CD62" w14:textId="77777777" w:rsidTr="0016445B">
        <w:trPr>
          <w:cnfStyle w:val="000000100000" w:firstRow="0" w:lastRow="0" w:firstColumn="0" w:lastColumn="0" w:oddVBand="0" w:evenVBand="0" w:oddHBand="1" w:evenHBand="0" w:firstRowFirstColumn="0" w:firstRowLastColumn="0" w:lastRowFirstColumn="0" w:lastRowLastColumn="0"/>
          <w:trHeight w:val="317"/>
        </w:trPr>
        <w:tc>
          <w:tcPr>
            <w:tcW w:w="6746" w:type="dxa"/>
            <w:noWrap/>
          </w:tcPr>
          <w:p w14:paraId="4D29BDF8" w14:textId="77777777" w:rsidR="009D0006" w:rsidRPr="006830D8" w:rsidRDefault="009D0006" w:rsidP="0016445B">
            <w:pPr>
              <w:pStyle w:val="Tabletext"/>
            </w:pPr>
            <w:r w:rsidRPr="006830D8">
              <w:rPr>
                <w:lang w:val="en-US"/>
              </w:rPr>
              <w:t>Religious or faith-based events or services</w:t>
            </w:r>
          </w:p>
        </w:tc>
        <w:tc>
          <w:tcPr>
            <w:tcW w:w="1559" w:type="dxa"/>
            <w:noWrap/>
          </w:tcPr>
          <w:p w14:paraId="5569A211" w14:textId="77777777" w:rsidR="009D0006" w:rsidRPr="006830D8" w:rsidRDefault="009D0006" w:rsidP="0016445B">
            <w:pPr>
              <w:pStyle w:val="Tabletext"/>
            </w:pPr>
            <w:r w:rsidRPr="006830D8">
              <w:t>8</w:t>
            </w:r>
          </w:p>
        </w:tc>
        <w:tc>
          <w:tcPr>
            <w:tcW w:w="1559" w:type="dxa"/>
            <w:noWrap/>
          </w:tcPr>
          <w:p w14:paraId="507B513F" w14:textId="77777777" w:rsidR="009D0006" w:rsidRPr="006830D8" w:rsidRDefault="009D0006" w:rsidP="0016445B">
            <w:pPr>
              <w:pStyle w:val="Tabletext"/>
            </w:pPr>
            <w:r w:rsidRPr="006830D8">
              <w:t>10.0</w:t>
            </w:r>
          </w:p>
        </w:tc>
      </w:tr>
    </w:tbl>
    <w:p w14:paraId="6F1BE6DD" w14:textId="77777777" w:rsidR="009D0006" w:rsidRDefault="009D0006" w:rsidP="0016445B">
      <w:pPr>
        <w:pStyle w:val="Tableheading"/>
      </w:pPr>
      <w:r>
        <w:t>Table 112.5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F24FFF2" w14:textId="77777777" w:rsidTr="00650B64">
        <w:trPr>
          <w:cnfStyle w:val="100000000000" w:firstRow="1" w:lastRow="0" w:firstColumn="0" w:lastColumn="0" w:oddVBand="0" w:evenVBand="0" w:oddHBand="0" w:evenHBand="0" w:firstRowFirstColumn="0" w:firstRowLastColumn="0" w:lastRowFirstColumn="0" w:lastRowLastColumn="0"/>
          <w:trHeight w:val="301"/>
          <w:tblHeader/>
        </w:trPr>
        <w:tc>
          <w:tcPr>
            <w:tcW w:w="6746" w:type="dxa"/>
            <w:noWrap/>
            <w:hideMark/>
          </w:tcPr>
          <w:p w14:paraId="1C74AA51" w14:textId="77777777" w:rsidR="009D0006" w:rsidRPr="00BC3468" w:rsidRDefault="009D0006" w:rsidP="0016445B">
            <w:pPr>
              <w:pStyle w:val="Tableheader"/>
            </w:pPr>
            <w:r>
              <w:t>Feel accepted in these settings</w:t>
            </w:r>
          </w:p>
        </w:tc>
        <w:tc>
          <w:tcPr>
            <w:tcW w:w="1559" w:type="dxa"/>
            <w:noWrap/>
            <w:hideMark/>
          </w:tcPr>
          <w:p w14:paraId="42B6ACFC" w14:textId="77777777" w:rsidR="009D0006" w:rsidRPr="002E3FEF" w:rsidRDefault="009D0006" w:rsidP="0016445B">
            <w:pPr>
              <w:pStyle w:val="Tableheader"/>
              <w:rPr>
                <w:bCs/>
              </w:rPr>
            </w:pPr>
            <w:r w:rsidRPr="002E3FEF">
              <w:rPr>
                <w:bCs/>
              </w:rPr>
              <w:t>n</w:t>
            </w:r>
          </w:p>
        </w:tc>
        <w:tc>
          <w:tcPr>
            <w:tcW w:w="1559" w:type="dxa"/>
            <w:noWrap/>
            <w:hideMark/>
          </w:tcPr>
          <w:p w14:paraId="751704ED" w14:textId="77777777" w:rsidR="009D0006" w:rsidRPr="002E3FEF" w:rsidRDefault="009D0006" w:rsidP="0016445B">
            <w:pPr>
              <w:pStyle w:val="Tableheader"/>
              <w:rPr>
                <w:bCs/>
              </w:rPr>
            </w:pPr>
            <w:r w:rsidRPr="002E3FEF">
              <w:rPr>
                <w:bCs/>
              </w:rPr>
              <w:t>%</w:t>
            </w:r>
          </w:p>
        </w:tc>
      </w:tr>
      <w:tr w:rsidR="009D0006" w:rsidRPr="00BC3468" w14:paraId="6CEC2066" w14:textId="77777777" w:rsidTr="0016445B">
        <w:trPr>
          <w:cnfStyle w:val="000000100000" w:firstRow="0" w:lastRow="0" w:firstColumn="0" w:lastColumn="0" w:oddVBand="0" w:evenVBand="0" w:oddHBand="1" w:evenHBand="0" w:firstRowFirstColumn="0" w:firstRowLastColumn="0" w:lastRowFirstColumn="0" w:lastRowLastColumn="0"/>
          <w:trHeight w:val="301"/>
        </w:trPr>
        <w:tc>
          <w:tcPr>
            <w:tcW w:w="6746" w:type="dxa"/>
            <w:noWrap/>
          </w:tcPr>
          <w:p w14:paraId="197BA688" w14:textId="77777777" w:rsidR="009D0006" w:rsidRPr="006830D8" w:rsidRDefault="009D0006" w:rsidP="0016445B">
            <w:pPr>
              <w:pStyle w:val="Tabletext"/>
            </w:pPr>
            <w:r w:rsidRPr="006830D8">
              <w:rPr>
                <w:lang w:val="en-US"/>
              </w:rPr>
              <w:t>LGBTIQ venue</w:t>
            </w:r>
          </w:p>
        </w:tc>
        <w:tc>
          <w:tcPr>
            <w:tcW w:w="1559" w:type="dxa"/>
            <w:noWrap/>
          </w:tcPr>
          <w:p w14:paraId="37B06B0D" w14:textId="77777777" w:rsidR="009D0006" w:rsidRPr="006830D8" w:rsidRDefault="009D0006" w:rsidP="0016445B">
            <w:pPr>
              <w:pStyle w:val="Tabletext"/>
            </w:pPr>
            <w:r w:rsidRPr="006830D8">
              <w:t>295</w:t>
            </w:r>
          </w:p>
        </w:tc>
        <w:tc>
          <w:tcPr>
            <w:tcW w:w="1559" w:type="dxa"/>
            <w:noWrap/>
          </w:tcPr>
          <w:p w14:paraId="06079BAE" w14:textId="77777777" w:rsidR="009D0006" w:rsidRPr="00BC3468" w:rsidRDefault="009D0006" w:rsidP="0016445B">
            <w:pPr>
              <w:pStyle w:val="Tabletext"/>
            </w:pPr>
            <w:r w:rsidRPr="006830D8">
              <w:t>61.5</w:t>
            </w:r>
          </w:p>
        </w:tc>
      </w:tr>
      <w:tr w:rsidR="009D0006" w:rsidRPr="00BC3468" w14:paraId="39EA8B0B" w14:textId="77777777" w:rsidTr="0016445B">
        <w:trPr>
          <w:cnfStyle w:val="000000010000" w:firstRow="0" w:lastRow="0" w:firstColumn="0" w:lastColumn="0" w:oddVBand="0" w:evenVBand="0" w:oddHBand="0" w:evenHBand="1" w:firstRowFirstColumn="0" w:firstRowLastColumn="0" w:lastRowFirstColumn="0" w:lastRowLastColumn="0"/>
          <w:trHeight w:val="301"/>
        </w:trPr>
        <w:tc>
          <w:tcPr>
            <w:tcW w:w="6746" w:type="dxa"/>
            <w:noWrap/>
          </w:tcPr>
          <w:p w14:paraId="39A3E01E" w14:textId="77777777" w:rsidR="009D0006" w:rsidRPr="006830D8" w:rsidRDefault="009D0006" w:rsidP="0016445B">
            <w:pPr>
              <w:pStyle w:val="Tabletext"/>
            </w:pPr>
            <w:r w:rsidRPr="006830D8">
              <w:rPr>
                <w:lang w:val="en-US"/>
              </w:rPr>
              <w:t>At work</w:t>
            </w:r>
          </w:p>
        </w:tc>
        <w:tc>
          <w:tcPr>
            <w:tcW w:w="1559" w:type="dxa"/>
            <w:noWrap/>
          </w:tcPr>
          <w:p w14:paraId="5ED9AA80" w14:textId="77777777" w:rsidR="009D0006" w:rsidRPr="006830D8" w:rsidRDefault="009D0006" w:rsidP="0016445B">
            <w:pPr>
              <w:pStyle w:val="Tabletext"/>
            </w:pPr>
            <w:r w:rsidRPr="006830D8">
              <w:t>138</w:t>
            </w:r>
          </w:p>
        </w:tc>
        <w:tc>
          <w:tcPr>
            <w:tcW w:w="1559" w:type="dxa"/>
            <w:noWrap/>
          </w:tcPr>
          <w:p w14:paraId="5F6ED4E7" w14:textId="77777777" w:rsidR="009D0006" w:rsidRPr="00BC3468" w:rsidRDefault="009D0006" w:rsidP="0016445B">
            <w:pPr>
              <w:pStyle w:val="Tabletext"/>
            </w:pPr>
            <w:r w:rsidRPr="006830D8">
              <w:t>38.3</w:t>
            </w:r>
          </w:p>
        </w:tc>
      </w:tr>
      <w:tr w:rsidR="009D0006" w:rsidRPr="00BC3468" w14:paraId="11FCE54E" w14:textId="77777777" w:rsidTr="0016445B">
        <w:trPr>
          <w:cnfStyle w:val="000000100000" w:firstRow="0" w:lastRow="0" w:firstColumn="0" w:lastColumn="0" w:oddVBand="0" w:evenVBand="0" w:oddHBand="1" w:evenHBand="0" w:firstRowFirstColumn="0" w:firstRowLastColumn="0" w:lastRowFirstColumn="0" w:lastRowLastColumn="0"/>
          <w:trHeight w:val="301"/>
        </w:trPr>
        <w:tc>
          <w:tcPr>
            <w:tcW w:w="6746" w:type="dxa"/>
            <w:noWrap/>
          </w:tcPr>
          <w:p w14:paraId="75E4F8C3" w14:textId="77777777" w:rsidR="009D0006" w:rsidRPr="006830D8" w:rsidRDefault="009D0006" w:rsidP="0016445B">
            <w:pPr>
              <w:pStyle w:val="Tabletext"/>
            </w:pPr>
            <w:r w:rsidRPr="006830D8">
              <w:rPr>
                <w:lang w:val="en-US"/>
              </w:rPr>
              <w:t>At an educational institution</w:t>
            </w:r>
          </w:p>
        </w:tc>
        <w:tc>
          <w:tcPr>
            <w:tcW w:w="1559" w:type="dxa"/>
            <w:noWrap/>
          </w:tcPr>
          <w:p w14:paraId="6C2853E3" w14:textId="77777777" w:rsidR="009D0006" w:rsidRPr="006830D8" w:rsidRDefault="009D0006" w:rsidP="0016445B">
            <w:pPr>
              <w:pStyle w:val="Tabletext"/>
            </w:pPr>
            <w:r w:rsidRPr="006830D8">
              <w:t>123</w:t>
            </w:r>
          </w:p>
        </w:tc>
        <w:tc>
          <w:tcPr>
            <w:tcW w:w="1559" w:type="dxa"/>
            <w:noWrap/>
          </w:tcPr>
          <w:p w14:paraId="62271FD4" w14:textId="77777777" w:rsidR="009D0006" w:rsidRPr="00BC3468" w:rsidRDefault="009D0006" w:rsidP="0016445B">
            <w:pPr>
              <w:pStyle w:val="Tabletext"/>
            </w:pPr>
            <w:r w:rsidRPr="006830D8">
              <w:t>33.9</w:t>
            </w:r>
          </w:p>
        </w:tc>
      </w:tr>
      <w:tr w:rsidR="009D0006" w:rsidRPr="00BC3468" w14:paraId="706E8276" w14:textId="77777777" w:rsidTr="0016445B">
        <w:trPr>
          <w:cnfStyle w:val="000000010000" w:firstRow="0" w:lastRow="0" w:firstColumn="0" w:lastColumn="0" w:oddVBand="0" w:evenVBand="0" w:oddHBand="0" w:evenHBand="1" w:firstRowFirstColumn="0" w:firstRowLastColumn="0" w:lastRowFirstColumn="0" w:lastRowLastColumn="0"/>
          <w:trHeight w:val="301"/>
        </w:trPr>
        <w:tc>
          <w:tcPr>
            <w:tcW w:w="6746" w:type="dxa"/>
            <w:noWrap/>
          </w:tcPr>
          <w:p w14:paraId="2DF59A48" w14:textId="77777777" w:rsidR="009D0006" w:rsidRPr="006830D8" w:rsidRDefault="009D0006" w:rsidP="0016445B">
            <w:pPr>
              <w:pStyle w:val="Tabletext"/>
            </w:pPr>
            <w:r w:rsidRPr="006830D8">
              <w:rPr>
                <w:lang w:val="en-US"/>
              </w:rPr>
              <w:t>In public (e.g.</w:t>
            </w:r>
            <w:r>
              <w:rPr>
                <w:lang w:val="en-US"/>
              </w:rPr>
              <w:t>,</w:t>
            </w:r>
            <w:r w:rsidRPr="006830D8">
              <w:rPr>
                <w:lang w:val="en-US"/>
              </w:rPr>
              <w:t xml:space="preserve"> in the street/park)</w:t>
            </w:r>
          </w:p>
        </w:tc>
        <w:tc>
          <w:tcPr>
            <w:tcW w:w="1559" w:type="dxa"/>
            <w:noWrap/>
          </w:tcPr>
          <w:p w14:paraId="422C97CB" w14:textId="77777777" w:rsidR="009D0006" w:rsidRPr="006830D8" w:rsidRDefault="009D0006" w:rsidP="0016445B">
            <w:pPr>
              <w:pStyle w:val="Tabletext"/>
            </w:pPr>
            <w:r w:rsidRPr="006830D8">
              <w:t>62</w:t>
            </w:r>
          </w:p>
        </w:tc>
        <w:tc>
          <w:tcPr>
            <w:tcW w:w="1559" w:type="dxa"/>
            <w:noWrap/>
          </w:tcPr>
          <w:p w14:paraId="43C82634" w14:textId="77777777" w:rsidR="009D0006" w:rsidRPr="00BC3468" w:rsidRDefault="009D0006" w:rsidP="0016445B">
            <w:pPr>
              <w:pStyle w:val="Tabletext"/>
            </w:pPr>
            <w:r w:rsidRPr="006830D8">
              <w:t>11.7</w:t>
            </w:r>
          </w:p>
        </w:tc>
      </w:tr>
      <w:tr w:rsidR="009D0006" w:rsidRPr="00BC3468" w14:paraId="0779E1DC" w14:textId="77777777" w:rsidTr="0016445B">
        <w:trPr>
          <w:cnfStyle w:val="000000100000" w:firstRow="0" w:lastRow="0" w:firstColumn="0" w:lastColumn="0" w:oddVBand="0" w:evenVBand="0" w:oddHBand="1" w:evenHBand="0" w:firstRowFirstColumn="0" w:firstRowLastColumn="0" w:lastRowFirstColumn="0" w:lastRowLastColumn="0"/>
          <w:trHeight w:val="301"/>
        </w:trPr>
        <w:tc>
          <w:tcPr>
            <w:tcW w:w="6746" w:type="dxa"/>
            <w:noWrap/>
          </w:tcPr>
          <w:p w14:paraId="5A8FE672" w14:textId="77777777" w:rsidR="009D0006" w:rsidRPr="006830D8" w:rsidRDefault="009D0006" w:rsidP="0016445B">
            <w:pPr>
              <w:pStyle w:val="Tabletext"/>
            </w:pPr>
            <w:r w:rsidRPr="006830D8">
              <w:rPr>
                <w:lang w:val="en-US"/>
              </w:rPr>
              <w:t>With famil</w:t>
            </w:r>
            <w:r w:rsidRPr="006830D8">
              <w:rPr>
                <w:lang w:val="en-US"/>
              </w:rPr>
              <w:lastRenderedPageBreak/>
              <w:t>y members</w:t>
            </w:r>
          </w:p>
        </w:tc>
        <w:tc>
          <w:tcPr>
            <w:tcW w:w="1559" w:type="dxa"/>
            <w:noWrap/>
          </w:tcPr>
          <w:p w14:paraId="5D888DBC" w14:textId="77777777" w:rsidR="009D0006" w:rsidRPr="006830D8" w:rsidRDefault="009D0006" w:rsidP="0016445B">
            <w:pPr>
              <w:pStyle w:val="Tabletext"/>
            </w:pPr>
            <w:r w:rsidRPr="006830D8">
              <w:t>162</w:t>
            </w:r>
          </w:p>
        </w:tc>
        <w:tc>
          <w:tcPr>
            <w:tcW w:w="1559" w:type="dxa"/>
            <w:noWrap/>
          </w:tcPr>
          <w:p w14:paraId="5AB25BD5" w14:textId="77777777" w:rsidR="009D0006" w:rsidRPr="00BC3468" w:rsidRDefault="009D0006" w:rsidP="0016445B">
            <w:pPr>
              <w:pStyle w:val="Tabletext"/>
            </w:pPr>
            <w:r w:rsidRPr="006830D8">
              <w:t>29.8</w:t>
            </w:r>
          </w:p>
        </w:tc>
      </w:tr>
      <w:tr w:rsidR="009D0006" w:rsidRPr="00BC3468" w14:paraId="588635B9" w14:textId="77777777" w:rsidTr="0016445B">
        <w:trPr>
          <w:cnfStyle w:val="000000010000" w:firstRow="0" w:lastRow="0" w:firstColumn="0" w:lastColumn="0" w:oddVBand="0" w:evenVBand="0" w:oddHBand="0" w:evenHBand="1" w:firstRowFirstColumn="0" w:firstRowLastColumn="0" w:lastRowFirstColumn="0" w:lastRowLastColumn="0"/>
          <w:trHeight w:val="301"/>
        </w:trPr>
        <w:tc>
          <w:tcPr>
            <w:tcW w:w="6746" w:type="dxa"/>
            <w:noWrap/>
          </w:tcPr>
          <w:p w14:paraId="69DA627A" w14:textId="77777777" w:rsidR="009D0006" w:rsidRPr="006830D8" w:rsidRDefault="009D0006" w:rsidP="0016445B">
            <w:pPr>
              <w:pStyle w:val="Tabletext"/>
            </w:pPr>
            <w:r w:rsidRPr="006830D8">
              <w:rPr>
                <w:lang w:val="en-US"/>
              </w:rPr>
              <w:t>Accessing a health or support service</w:t>
            </w:r>
          </w:p>
        </w:tc>
        <w:tc>
          <w:tcPr>
            <w:tcW w:w="1559" w:type="dxa"/>
            <w:noWrap/>
          </w:tcPr>
          <w:p w14:paraId="7A00CCF1" w14:textId="77777777" w:rsidR="009D0006" w:rsidRPr="006830D8" w:rsidRDefault="009D0006" w:rsidP="0016445B">
            <w:pPr>
              <w:pStyle w:val="Tabletext"/>
            </w:pPr>
            <w:r w:rsidRPr="006830D8">
              <w:t>104</w:t>
            </w:r>
          </w:p>
        </w:tc>
        <w:tc>
          <w:tcPr>
            <w:tcW w:w="1559" w:type="dxa"/>
            <w:noWrap/>
          </w:tcPr>
          <w:p w14:paraId="0BC3259A" w14:textId="77777777" w:rsidR="009D0006" w:rsidRPr="00BC3468" w:rsidRDefault="009D0006" w:rsidP="0016445B">
            <w:pPr>
              <w:pStyle w:val="Tabletext"/>
            </w:pPr>
            <w:r w:rsidRPr="006830D8">
              <w:t>19.4</w:t>
            </w:r>
          </w:p>
        </w:tc>
      </w:tr>
      <w:tr w:rsidR="009D0006" w:rsidRPr="00BC3468" w14:paraId="5B7D8996" w14:textId="77777777" w:rsidTr="0016445B">
        <w:trPr>
          <w:cnfStyle w:val="000000100000" w:firstRow="0" w:lastRow="0" w:firstColumn="0" w:lastColumn="0" w:oddVBand="0" w:evenVBand="0" w:oddHBand="1" w:evenHBand="0" w:firstRowFirstColumn="0" w:firstRowLastColumn="0" w:lastRowFirstColumn="0" w:lastRowLastColumn="0"/>
          <w:trHeight w:val="301"/>
        </w:trPr>
        <w:tc>
          <w:tcPr>
            <w:tcW w:w="6746" w:type="dxa"/>
            <w:noWrap/>
          </w:tcPr>
          <w:p w14:paraId="2FC7DD90" w14:textId="77777777" w:rsidR="009D0006" w:rsidRPr="006830D8" w:rsidRDefault="009D0006" w:rsidP="0016445B">
            <w:pPr>
              <w:pStyle w:val="Tabletext"/>
            </w:pPr>
            <w:r w:rsidRPr="006830D8">
              <w:rPr>
                <w:lang w:val="en-US"/>
              </w:rPr>
              <w:t>Religious or faith-based events or services</w:t>
            </w:r>
          </w:p>
        </w:tc>
        <w:tc>
          <w:tcPr>
            <w:tcW w:w="1559" w:type="dxa"/>
            <w:noWrap/>
          </w:tcPr>
          <w:p w14:paraId="218BB19C" w14:textId="77777777" w:rsidR="009D0006" w:rsidRPr="006830D8" w:rsidRDefault="009D0006" w:rsidP="0016445B">
            <w:pPr>
              <w:pStyle w:val="Tabletext"/>
            </w:pPr>
            <w:r w:rsidRPr="006830D8">
              <w:t>20</w:t>
            </w:r>
          </w:p>
        </w:tc>
        <w:tc>
          <w:tcPr>
            <w:tcW w:w="1559" w:type="dxa"/>
            <w:noWrap/>
          </w:tcPr>
          <w:p w14:paraId="07296E6A" w14:textId="77777777" w:rsidR="009D0006" w:rsidRPr="00BC3468" w:rsidRDefault="009D0006" w:rsidP="0016445B">
            <w:pPr>
              <w:pStyle w:val="Tabletext"/>
            </w:pPr>
            <w:r w:rsidRPr="006830D8">
              <w:t>6.8</w:t>
            </w:r>
          </w:p>
        </w:tc>
      </w:tr>
    </w:tbl>
    <w:p w14:paraId="7A14185B" w14:textId="77777777" w:rsidR="009D0006" w:rsidRPr="0016445B" w:rsidRDefault="009D0006" w:rsidP="0016445B">
      <w:pPr>
        <w:pStyle w:val="TableTextNotebelow"/>
        <w:rPr>
          <w:i/>
        </w:rPr>
      </w:pPr>
      <w:r w:rsidRPr="0016445B">
        <w:rPr>
          <w:i/>
        </w:rPr>
        <w:t>Note: Responses were analysed among participants who reported that a situation was applicable to them therefore an overall ‘n’ is not provided.</w:t>
      </w:r>
    </w:p>
    <w:p w14:paraId="7C27D11B" w14:textId="063F5239" w:rsidR="009D0006" w:rsidRDefault="009D0006" w:rsidP="00AB4A74">
      <w:pPr>
        <w:spacing w:before="360"/>
      </w:pPr>
      <w:r w:rsidRPr="00971810">
        <w:t>As displayed in Table</w:t>
      </w:r>
      <w:r>
        <w:t>s</w:t>
      </w:r>
      <w:r w:rsidRPr="00971810">
        <w:t xml:space="preserve"> </w:t>
      </w:r>
      <w:r>
        <w:t xml:space="preserve">112.1-112.5, among participants with disability in </w:t>
      </w:r>
      <w:r>
        <w:rPr>
          <w:i/>
          <w:iCs/>
        </w:rPr>
        <w:t>Private Lives 3</w:t>
      </w:r>
      <w:r>
        <w:t xml:space="preserve"> almost two-thirds of trans men felt accepted at an LGBTIQ venue (65.3%; n = 81), followed by trans women (64.3%; n = 63), non-binary people (61.5%; n = 295), cisgender women (51.7%; n = 600) and cisgender men (54.4%; n = 233).</w:t>
      </w:r>
    </w:p>
    <w:p w14:paraId="1E8DEF93" w14:textId="77777777" w:rsidR="009D0006" w:rsidRDefault="009D0006" w:rsidP="009D0006">
      <w:r>
        <w:t>More than half of cisgender men felt accepted at work (54.5%; n = 198), followed by cisgender women (51.7%; n = 432), trans men (48.6%; n = 51), trans women (41.5%; n = 27) and non-binary people (38.3%; n = 138).</w:t>
      </w:r>
    </w:p>
    <w:p w14:paraId="462C8A22" w14:textId="77777777" w:rsidR="009D0006" w:rsidRDefault="009D0006" w:rsidP="009D0006">
      <w:r>
        <w:t>More than half of cisgender men felt accepted at their educational institution (53.6%; n = 156), followed by cisgender women (51.0%; n = 156), trans men (42.4%; n = 50), non-binary people (33.9%; n = 123) and trans women (32.4%; n = 22).</w:t>
      </w:r>
    </w:p>
    <w:p w14:paraId="35BC08E1" w14:textId="77777777" w:rsidR="009D0006" w:rsidRDefault="009D0006" w:rsidP="009D0006">
      <w:r>
        <w:t>Less than one-third of cisgender men felt accepted in public spaces (29.9%; n = 143), followed by cisgender women (27.0%; n = 303) and trans men (25.1%; n = 42). Less than one-quarter of trans women felt accepted in public spaces (22.0%; n = 27), followed by approximately 1 in 10 non-binary people (11.7%; n = 62).</w:t>
      </w:r>
    </w:p>
    <w:p w14:paraId="09AD6101" w14:textId="77777777" w:rsidR="009D0006" w:rsidRDefault="009D0006" w:rsidP="009D0006">
      <w:r>
        <w:t>A little more than half of cisgender men felt accepted with family members (52.8%; n = 262), followed by cisgender women (46.1%; n = 538), trans men (44.3%; n = 74) and trans women (36.0%; n = 45). Less than one-third of non-binary people felt accepted with family members (29.8%; n = 162).</w:t>
      </w:r>
    </w:p>
    <w:p w14:paraId="5B6F1EDB" w14:textId="77777777" w:rsidR="009D0006" w:rsidRDefault="009D0006" w:rsidP="009D0006">
      <w:r>
        <w:t>Under one-half of cisgender men felt accepted accessing a health or support service (45.8%; n = 213), followed by trans women (39.4%; n = 50), cisgender women (38.1%; n = 424), trans men. Approximately one-quarter of trans men felt accepted accessing a health or support service (25.3%; n = 41), followed by non-binary people (19.4%; n = 104).</w:t>
      </w:r>
    </w:p>
    <w:p w14:paraId="50FF99F0" w14:textId="77777777" w:rsidR="009D0006" w:rsidRPr="00971810" w:rsidRDefault="009D0006" w:rsidP="009D0006">
      <w:r>
        <w:t>Small proportions of participants with disability felt accepted at religious or faith-based events or services across all genders. A little over 1 in 10 cisgender men felt accepted at a religiou</w:t>
      </w:r>
      <w:r>
        <w:lastRenderedPageBreak/>
        <w:t>s of faith-based event or service (12.9%; n = 36), followed by trans women (12.0%; n = 6), trans men (10.0%; n = 8), cisgender women (9.5%; n = 63) and non-binary people (6.8%; n = 20).</w:t>
      </w:r>
    </w:p>
    <w:p w14:paraId="78C178FB" w14:textId="7F352A2B" w:rsidR="009D0006" w:rsidRPr="00563F98" w:rsidRDefault="009D0006" w:rsidP="009401DC">
      <w:pPr>
        <w:pStyle w:val="Heading2Numbered"/>
      </w:pPr>
      <w:bookmarkStart w:id="898" w:name="_Toc115968658"/>
      <w:bookmarkStart w:id="899" w:name="_Toc119662478"/>
      <w:r w:rsidRPr="00563F98">
        <w:t>Psychological distress (K10)</w:t>
      </w:r>
      <w:bookmarkEnd w:id="898"/>
      <w:bookmarkEnd w:id="899"/>
      <w:r w:rsidRPr="00563F98">
        <w:t xml:space="preserve"> </w:t>
      </w:r>
    </w:p>
    <w:p w14:paraId="314B2B7F" w14:textId="359FB6F9" w:rsidR="009D0006" w:rsidRPr="00C5739E" w:rsidRDefault="009D0006" w:rsidP="009401DC">
      <w:pPr>
        <w:pStyle w:val="Heading3Numbered"/>
      </w:pPr>
      <w:bookmarkStart w:id="900" w:name="_Toc115968659"/>
      <w:r w:rsidRPr="00C5739E">
        <w:t>Psychological distress – young people aged 14-21 years</w:t>
      </w:r>
      <w:bookmarkEnd w:id="900"/>
    </w:p>
    <w:p w14:paraId="2BD079C9" w14:textId="77777777" w:rsidR="009D0006" w:rsidRPr="00563F98" w:rsidRDefault="009D0006" w:rsidP="009D0006">
      <w:r w:rsidRPr="00563F98">
        <w:t>Table</w:t>
      </w:r>
      <w:r>
        <w:t>s</w:t>
      </w:r>
      <w:r w:rsidRPr="00563F98">
        <w:t xml:space="preserve"> </w:t>
      </w:r>
      <w:r>
        <w:t>113.1-113.5</w:t>
      </w:r>
      <w:r w:rsidRPr="00563F98">
        <w:t xml:space="preserve"> display the K10 psychological distress levels of participants </w:t>
      </w:r>
      <w:r>
        <w:t xml:space="preserve">aged 14-21 years </w:t>
      </w:r>
      <w:r w:rsidRPr="00563F98">
        <w:t xml:space="preserve">according to </w:t>
      </w:r>
      <w:r>
        <w:t>their gender</w:t>
      </w:r>
      <w:r w:rsidRPr="00563F98">
        <w:t>.</w:t>
      </w:r>
    </w:p>
    <w:p w14:paraId="77DCD4E8" w14:textId="7AAE966F" w:rsidR="009D0006" w:rsidRDefault="009D0006" w:rsidP="0016445B">
      <w:pPr>
        <w:pStyle w:val="Tableheading"/>
      </w:pPr>
      <w:bookmarkStart w:id="901" w:name="_Toc117062830"/>
      <w:bookmarkStart w:id="902" w:name="_Toc119651515"/>
      <w:r w:rsidRPr="00C5739E">
        <w:t>Table</w:t>
      </w:r>
      <w:r>
        <w:t>s</w:t>
      </w:r>
      <w:r w:rsidRPr="00C5739E">
        <w:t xml:space="preserve"> </w:t>
      </w:r>
      <w:r>
        <w:rPr>
          <w:noProof/>
        </w:rPr>
        <w:fldChar w:fldCharType="begin"/>
      </w:r>
      <w:r>
        <w:rPr>
          <w:noProof/>
        </w:rPr>
        <w:instrText xml:space="preserve"> SEQ Table \* ARABIC </w:instrText>
      </w:r>
      <w:r>
        <w:rPr>
          <w:noProof/>
        </w:rPr>
        <w:fldChar w:fldCharType="separate"/>
      </w:r>
      <w:r>
        <w:rPr>
          <w:noProof/>
        </w:rPr>
        <w:t>113</w:t>
      </w:r>
      <w:r>
        <w:rPr>
          <w:noProof/>
        </w:rPr>
        <w:fldChar w:fldCharType="end"/>
      </w:r>
      <w:r>
        <w:rPr>
          <w:noProof/>
        </w:rPr>
        <w:t xml:space="preserve">.1-113.5: </w:t>
      </w:r>
      <w:r>
        <w:t>Psychological distress</w:t>
      </w:r>
      <w:r w:rsidRPr="00C5739E">
        <w:t xml:space="preserve"> </w:t>
      </w:r>
      <w:r>
        <w:t xml:space="preserve">among young people with disability aged 14-21 years, grouped by gender </w:t>
      </w:r>
      <w:r w:rsidRPr="00C5739E">
        <w:t xml:space="preserve">(n = </w:t>
      </w:r>
      <w:r>
        <w:t>2392</w:t>
      </w:r>
      <w:r w:rsidRPr="00C5739E">
        <w:t>)</w:t>
      </w:r>
      <w:bookmarkEnd w:id="901"/>
      <w:bookmarkEnd w:id="902"/>
    </w:p>
    <w:p w14:paraId="6DE0ADA8" w14:textId="77777777" w:rsidR="009D0006" w:rsidRPr="00C5739E" w:rsidRDefault="009D0006" w:rsidP="0016445B">
      <w:pPr>
        <w:pStyle w:val="Tableheading"/>
      </w:pPr>
      <w:r>
        <w:t>Table 113.1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FA76BEC" w14:textId="77777777" w:rsidTr="0016445B">
        <w:trPr>
          <w:cnfStyle w:val="100000000000" w:firstRow="1" w:lastRow="0" w:firstColumn="0" w:lastColumn="0" w:oddVBand="0" w:evenVBand="0" w:oddHBand="0" w:evenHBand="0" w:firstRowFirstColumn="0" w:firstRowLastColumn="0" w:lastRowFirstColumn="0" w:lastRowLastColumn="0"/>
          <w:trHeight w:val="332"/>
        </w:trPr>
        <w:tc>
          <w:tcPr>
            <w:tcW w:w="6746" w:type="dxa"/>
            <w:noWrap/>
            <w:hideMark/>
          </w:tcPr>
          <w:p w14:paraId="5F72FD17" w14:textId="77777777" w:rsidR="009D0006" w:rsidRPr="00BC3468" w:rsidRDefault="009D0006" w:rsidP="0016445B">
            <w:pPr>
              <w:pStyle w:val="Tableheader"/>
            </w:pPr>
            <w:r>
              <w:t>Psychological distress</w:t>
            </w:r>
          </w:p>
        </w:tc>
        <w:tc>
          <w:tcPr>
            <w:tcW w:w="1559" w:type="dxa"/>
            <w:noWrap/>
            <w:hideMark/>
          </w:tcPr>
          <w:p w14:paraId="59644D52" w14:textId="77777777" w:rsidR="009D0006" w:rsidRPr="002E3FEF" w:rsidRDefault="009D0006" w:rsidP="0016445B">
            <w:pPr>
              <w:pStyle w:val="Tableheader"/>
              <w:rPr>
                <w:bCs/>
              </w:rPr>
            </w:pPr>
            <w:r w:rsidRPr="002E3FEF">
              <w:rPr>
                <w:bCs/>
              </w:rPr>
              <w:t>n</w:t>
            </w:r>
          </w:p>
        </w:tc>
        <w:tc>
          <w:tcPr>
            <w:tcW w:w="1559" w:type="dxa"/>
            <w:noWrap/>
            <w:hideMark/>
          </w:tcPr>
          <w:p w14:paraId="77F72731" w14:textId="77777777" w:rsidR="009D0006" w:rsidRPr="002E3FEF" w:rsidRDefault="009D0006" w:rsidP="0016445B">
            <w:pPr>
              <w:pStyle w:val="Tableheader"/>
              <w:rPr>
                <w:bCs/>
              </w:rPr>
            </w:pPr>
            <w:r w:rsidRPr="002E3FEF">
              <w:rPr>
                <w:bCs/>
              </w:rPr>
              <w:t>%</w:t>
            </w:r>
          </w:p>
        </w:tc>
      </w:tr>
      <w:tr w:rsidR="009D0006" w:rsidRPr="00BC3468" w14:paraId="2034DC12" w14:textId="77777777" w:rsidTr="0016445B">
        <w:trPr>
          <w:cnfStyle w:val="000000100000" w:firstRow="0" w:lastRow="0" w:firstColumn="0" w:lastColumn="0" w:oddVBand="0" w:evenVBand="0" w:oddHBand="1" w:evenHBand="0" w:firstRowFirstColumn="0" w:firstRowLastColumn="0" w:lastRowFirstColumn="0" w:lastRowLastColumn="0"/>
          <w:trHeight w:val="332"/>
        </w:trPr>
        <w:tc>
          <w:tcPr>
            <w:tcW w:w="6746" w:type="dxa"/>
            <w:noWrap/>
            <w:hideMark/>
          </w:tcPr>
          <w:p w14:paraId="34E436F2" w14:textId="77777777" w:rsidR="009D0006" w:rsidRPr="00BC3468" w:rsidRDefault="009D0006" w:rsidP="0016445B">
            <w:pPr>
              <w:pStyle w:val="Tabletext"/>
            </w:pPr>
            <w:r>
              <w:t>Low or moderate</w:t>
            </w:r>
          </w:p>
        </w:tc>
        <w:tc>
          <w:tcPr>
            <w:tcW w:w="1559" w:type="dxa"/>
            <w:noWrap/>
          </w:tcPr>
          <w:p w14:paraId="321C9F35" w14:textId="77777777" w:rsidR="009D0006" w:rsidRPr="00BC3468" w:rsidRDefault="009D0006" w:rsidP="0016445B">
            <w:pPr>
              <w:pStyle w:val="Tabletext"/>
            </w:pPr>
            <w:r>
              <w:t>97</w:t>
            </w:r>
          </w:p>
        </w:tc>
        <w:tc>
          <w:tcPr>
            <w:tcW w:w="1559" w:type="dxa"/>
            <w:noWrap/>
          </w:tcPr>
          <w:p w14:paraId="0F147E10" w14:textId="77777777" w:rsidR="009D0006" w:rsidRPr="00BC3468" w:rsidRDefault="009D0006" w:rsidP="0016445B">
            <w:pPr>
              <w:pStyle w:val="Tabletext"/>
            </w:pPr>
            <w:r>
              <w:t>8.5</w:t>
            </w:r>
          </w:p>
        </w:tc>
      </w:tr>
      <w:tr w:rsidR="009D0006" w:rsidRPr="00BC3468" w14:paraId="12913340" w14:textId="77777777" w:rsidTr="0016445B">
        <w:trPr>
          <w:cnfStyle w:val="000000010000" w:firstRow="0" w:lastRow="0" w:firstColumn="0" w:lastColumn="0" w:oddVBand="0" w:evenVBand="0" w:oddHBand="0" w:evenHBand="1" w:firstRowFirstColumn="0" w:firstRowLastColumn="0" w:lastRowFirstColumn="0" w:lastRowLastColumn="0"/>
          <w:trHeight w:val="332"/>
        </w:trPr>
        <w:tc>
          <w:tcPr>
            <w:tcW w:w="6746" w:type="dxa"/>
            <w:noWrap/>
            <w:hideMark/>
          </w:tcPr>
          <w:p w14:paraId="26EB511E" w14:textId="77777777" w:rsidR="009D0006" w:rsidRPr="00BC3468" w:rsidRDefault="009D0006" w:rsidP="0016445B">
            <w:pPr>
              <w:pStyle w:val="Tabletext"/>
            </w:pPr>
            <w:r>
              <w:t>High or very high</w:t>
            </w:r>
          </w:p>
        </w:tc>
        <w:tc>
          <w:tcPr>
            <w:tcW w:w="1559" w:type="dxa"/>
            <w:noWrap/>
          </w:tcPr>
          <w:p w14:paraId="2C93B6AE" w14:textId="77777777" w:rsidR="009D0006" w:rsidRPr="00BC3468" w:rsidRDefault="009D0006" w:rsidP="0016445B">
            <w:pPr>
              <w:pStyle w:val="Tabletext"/>
            </w:pPr>
            <w:r>
              <w:t>1048</w:t>
            </w:r>
          </w:p>
        </w:tc>
        <w:tc>
          <w:tcPr>
            <w:tcW w:w="1559" w:type="dxa"/>
            <w:noWrap/>
          </w:tcPr>
          <w:p w14:paraId="39D3EF54" w14:textId="77777777" w:rsidR="009D0006" w:rsidRPr="00BC3468" w:rsidRDefault="009D0006" w:rsidP="0016445B">
            <w:pPr>
              <w:pStyle w:val="Tabletext"/>
            </w:pPr>
            <w:r>
              <w:t>91.5</w:t>
            </w:r>
          </w:p>
        </w:tc>
      </w:tr>
    </w:tbl>
    <w:p w14:paraId="6767C789" w14:textId="77777777" w:rsidR="009D0006" w:rsidRDefault="009D0006" w:rsidP="0016445B">
      <w:pPr>
        <w:pStyle w:val="Tableheading"/>
      </w:pPr>
      <w:r>
        <w:t>Table 113.2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045F35E" w14:textId="77777777" w:rsidTr="0016445B">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135EAFD5" w14:textId="77777777" w:rsidR="009D0006" w:rsidRPr="00BC3468" w:rsidRDefault="009D0006" w:rsidP="0016445B">
            <w:pPr>
              <w:pStyle w:val="Tableheader"/>
            </w:pPr>
            <w:r>
              <w:t>Psychological distress</w:t>
            </w:r>
          </w:p>
        </w:tc>
        <w:tc>
          <w:tcPr>
            <w:tcW w:w="1559" w:type="dxa"/>
            <w:noWrap/>
            <w:hideMark/>
          </w:tcPr>
          <w:p w14:paraId="328C48C9" w14:textId="77777777" w:rsidR="009D0006" w:rsidRPr="002E3FEF" w:rsidRDefault="009D0006" w:rsidP="0016445B">
            <w:pPr>
              <w:pStyle w:val="Tableheader"/>
              <w:rPr>
                <w:bCs/>
              </w:rPr>
            </w:pPr>
            <w:r w:rsidRPr="002E3FEF">
              <w:rPr>
                <w:bCs/>
              </w:rPr>
              <w:t>n</w:t>
            </w:r>
          </w:p>
        </w:tc>
        <w:tc>
          <w:tcPr>
            <w:tcW w:w="1559" w:type="dxa"/>
            <w:noWrap/>
            <w:hideMark/>
          </w:tcPr>
          <w:p w14:paraId="4AD108A8" w14:textId="77777777" w:rsidR="009D0006" w:rsidRPr="002E3FEF" w:rsidRDefault="009D0006" w:rsidP="0016445B">
            <w:pPr>
              <w:pStyle w:val="Tableheader"/>
              <w:rPr>
                <w:bCs/>
              </w:rPr>
            </w:pPr>
            <w:r w:rsidRPr="002E3FEF">
              <w:rPr>
                <w:bCs/>
              </w:rPr>
              <w:t>%</w:t>
            </w:r>
          </w:p>
        </w:tc>
      </w:tr>
      <w:tr w:rsidR="009D0006" w:rsidRPr="00BC3468" w14:paraId="0D9A85E6" w14:textId="77777777" w:rsidTr="0016445B">
        <w:trPr>
          <w:cnfStyle w:val="000000100000" w:firstRow="0" w:lastRow="0" w:firstColumn="0" w:lastColumn="0" w:oddVBand="0" w:evenVBand="0" w:oddHBand="1" w:evenHBand="0" w:firstRowFirstColumn="0" w:firstRowLastColumn="0" w:lastRowFirstColumn="0" w:lastRowLastColumn="0"/>
          <w:trHeight w:val="316"/>
        </w:trPr>
        <w:tc>
          <w:tcPr>
            <w:tcW w:w="6746" w:type="dxa"/>
            <w:noWrap/>
            <w:hideMark/>
          </w:tcPr>
          <w:p w14:paraId="26962AED" w14:textId="77777777" w:rsidR="009D0006" w:rsidRPr="00BC3468" w:rsidRDefault="009D0006" w:rsidP="0016445B">
            <w:pPr>
              <w:pStyle w:val="Tabletext"/>
            </w:pPr>
            <w:r>
              <w:t>Low or moderate</w:t>
            </w:r>
          </w:p>
        </w:tc>
        <w:tc>
          <w:tcPr>
            <w:tcW w:w="1559" w:type="dxa"/>
            <w:noWrap/>
          </w:tcPr>
          <w:p w14:paraId="69F98E67" w14:textId="77777777" w:rsidR="009D0006" w:rsidRPr="00BC3468" w:rsidRDefault="009D0006" w:rsidP="0016445B">
            <w:pPr>
              <w:pStyle w:val="Tabletext"/>
            </w:pPr>
            <w:r>
              <w:t>38</w:t>
            </w:r>
          </w:p>
        </w:tc>
        <w:tc>
          <w:tcPr>
            <w:tcW w:w="1559" w:type="dxa"/>
            <w:noWrap/>
          </w:tcPr>
          <w:p w14:paraId="25D8EA20" w14:textId="77777777" w:rsidR="009D0006" w:rsidRPr="00BC3468" w:rsidRDefault="009D0006" w:rsidP="0016445B">
            <w:pPr>
              <w:pStyle w:val="Tabletext"/>
            </w:pPr>
            <w:r>
              <w:t>12.8</w:t>
            </w:r>
          </w:p>
        </w:tc>
      </w:tr>
      <w:tr w:rsidR="009D0006" w:rsidRPr="00BC3468" w14:paraId="2DE1E27D" w14:textId="77777777" w:rsidTr="0016445B">
        <w:trPr>
          <w:cnfStyle w:val="000000010000" w:firstRow="0" w:lastRow="0" w:firstColumn="0" w:lastColumn="0" w:oddVBand="0" w:evenVBand="0" w:oddHBand="0" w:evenHBand="1" w:firstRowFirstColumn="0" w:firstRowLastColumn="0" w:lastRowFirstColumn="0" w:lastRowLastColumn="0"/>
          <w:trHeight w:val="316"/>
        </w:trPr>
        <w:tc>
          <w:tcPr>
            <w:tcW w:w="6746" w:type="dxa"/>
            <w:noWrap/>
            <w:hideMark/>
          </w:tcPr>
          <w:p w14:paraId="7C0F8BD6" w14:textId="77777777" w:rsidR="009D0006" w:rsidRPr="00BC3468" w:rsidRDefault="009D0006" w:rsidP="0016445B">
            <w:pPr>
              <w:pStyle w:val="Tabletext"/>
            </w:pPr>
            <w:r>
              <w:t>High or very high</w:t>
            </w:r>
          </w:p>
        </w:tc>
        <w:tc>
          <w:tcPr>
            <w:tcW w:w="1559" w:type="dxa"/>
            <w:noWrap/>
          </w:tcPr>
          <w:p w14:paraId="7B749549" w14:textId="77777777" w:rsidR="009D0006" w:rsidRPr="00BC3468" w:rsidRDefault="009D0006" w:rsidP="0016445B">
            <w:pPr>
              <w:pStyle w:val="Tabletext"/>
            </w:pPr>
            <w:r>
              <w:t>259</w:t>
            </w:r>
          </w:p>
        </w:tc>
        <w:tc>
          <w:tcPr>
            <w:tcW w:w="1559" w:type="dxa"/>
            <w:noWrap/>
          </w:tcPr>
          <w:p w14:paraId="42901E29" w14:textId="77777777" w:rsidR="009D0006" w:rsidRPr="00BC3468" w:rsidRDefault="009D0006" w:rsidP="0016445B">
            <w:pPr>
              <w:pStyle w:val="Tabletext"/>
            </w:pPr>
            <w:r>
              <w:t>87.2</w:t>
            </w:r>
          </w:p>
        </w:tc>
      </w:tr>
    </w:tbl>
    <w:p w14:paraId="4DBA95D9" w14:textId="77777777" w:rsidR="009D0006" w:rsidRDefault="009D0006" w:rsidP="0016445B">
      <w:pPr>
        <w:pStyle w:val="Tableheading"/>
      </w:pPr>
      <w:r>
        <w:t>Table 113.3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342EFDB" w14:textId="77777777" w:rsidTr="00983324">
        <w:trPr>
          <w:cnfStyle w:val="100000000000" w:firstRow="1" w:lastRow="0" w:firstColumn="0" w:lastColumn="0" w:oddVBand="0" w:evenVBand="0" w:oddHBand="0" w:evenHBand="0" w:firstRowFirstColumn="0" w:firstRowLastColumn="0" w:lastRowFirstColumn="0" w:lastRowLastColumn="0"/>
          <w:trHeight w:val="298"/>
        </w:trPr>
        <w:tc>
          <w:tcPr>
            <w:tcW w:w="6746" w:type="dxa"/>
            <w:noWrap/>
            <w:hideMark/>
          </w:tcPr>
          <w:p w14:paraId="0A1387C4" w14:textId="77777777" w:rsidR="009D0006" w:rsidRPr="00BC3468" w:rsidRDefault="009D0006" w:rsidP="00983324">
            <w:pPr>
              <w:pStyle w:val="Tableheader"/>
            </w:pPr>
            <w:r>
              <w:t>Psychological distress</w:t>
            </w:r>
          </w:p>
        </w:tc>
        <w:tc>
          <w:tcPr>
            <w:tcW w:w="1559" w:type="dxa"/>
          </w:tcPr>
          <w:p w14:paraId="2A4C2D31" w14:textId="77777777" w:rsidR="009D0006" w:rsidRPr="002E3FEF" w:rsidRDefault="009D0006" w:rsidP="00983324">
            <w:pPr>
              <w:pStyle w:val="Tableheader"/>
              <w:rPr>
                <w:bCs/>
              </w:rPr>
            </w:pPr>
            <w:r w:rsidRPr="002E3FEF">
              <w:rPr>
                <w:bCs/>
              </w:rPr>
              <w:t>n</w:t>
            </w:r>
          </w:p>
        </w:tc>
        <w:tc>
          <w:tcPr>
            <w:tcW w:w="1559" w:type="dxa"/>
          </w:tcPr>
          <w:p w14:paraId="476E731D" w14:textId="77777777" w:rsidR="009D0006" w:rsidRPr="002E3FEF" w:rsidRDefault="009D0006" w:rsidP="00983324">
            <w:pPr>
              <w:pStyle w:val="Tableheader"/>
              <w:rPr>
                <w:bCs/>
              </w:rPr>
            </w:pPr>
            <w:r w:rsidRPr="002E3FEF">
              <w:rPr>
                <w:bCs/>
              </w:rPr>
              <w:t>%</w:t>
            </w:r>
          </w:p>
        </w:tc>
      </w:tr>
      <w:tr w:rsidR="009D0006" w:rsidRPr="00BC3468" w14:paraId="2CD3181B" w14:textId="77777777" w:rsidTr="00983324">
        <w:trPr>
          <w:cnfStyle w:val="000000100000" w:firstRow="0" w:lastRow="0" w:firstColumn="0" w:lastColumn="0" w:oddVBand="0" w:evenVBand="0" w:oddHBand="1" w:evenHBand="0" w:firstRowFirstColumn="0" w:firstRowLastColumn="0" w:lastRowFirstColumn="0" w:lastRowLastColumn="0"/>
          <w:trHeight w:val="298"/>
        </w:trPr>
        <w:tc>
          <w:tcPr>
            <w:tcW w:w="6746" w:type="dxa"/>
            <w:noWrap/>
            <w:hideMark/>
          </w:tcPr>
          <w:p w14:paraId="69F899F8" w14:textId="77777777" w:rsidR="009D0006" w:rsidRPr="00BC3468" w:rsidRDefault="009D0006" w:rsidP="00983324">
            <w:pPr>
              <w:pStyle w:val="Tabletext"/>
            </w:pPr>
            <w:r>
              <w:t>Low or moderate</w:t>
            </w:r>
          </w:p>
        </w:tc>
        <w:tc>
          <w:tcPr>
            <w:tcW w:w="1559" w:type="dxa"/>
          </w:tcPr>
          <w:p w14:paraId="0137B137" w14:textId="77777777" w:rsidR="009D0006" w:rsidRPr="00BC3468" w:rsidRDefault="009D0006" w:rsidP="00983324">
            <w:pPr>
              <w:pStyle w:val="Tabletext"/>
            </w:pPr>
            <w:r>
              <w:t>5</w:t>
            </w:r>
          </w:p>
        </w:tc>
        <w:tc>
          <w:tcPr>
            <w:tcW w:w="1559" w:type="dxa"/>
          </w:tcPr>
          <w:p w14:paraId="50963098" w14:textId="77777777" w:rsidR="009D0006" w:rsidRPr="00BC3468" w:rsidRDefault="009D0006" w:rsidP="00983324">
            <w:pPr>
              <w:pStyle w:val="Tabletext"/>
            </w:pPr>
            <w:r>
              <w:t>10.9</w:t>
            </w:r>
          </w:p>
        </w:tc>
      </w:tr>
      <w:tr w:rsidR="009D0006" w:rsidRPr="00BC3468" w14:paraId="1D8D48A8" w14:textId="77777777" w:rsidTr="00983324">
        <w:trPr>
          <w:cnfStyle w:val="000000010000" w:firstRow="0" w:lastRow="0" w:firstColumn="0" w:lastColumn="0" w:oddVBand="0" w:evenVBand="0" w:oddHBand="0" w:evenHBand="1" w:firstRowFirstColumn="0" w:firstRowLastColumn="0" w:lastRowFirstColumn="0" w:lastRowLastColumn="0"/>
          <w:trHeight w:val="298"/>
        </w:trPr>
        <w:tc>
          <w:tcPr>
            <w:tcW w:w="6746" w:type="dxa"/>
            <w:noWrap/>
            <w:hideMark/>
          </w:tcPr>
          <w:p w14:paraId="39507D6E" w14:textId="77777777" w:rsidR="009D0006" w:rsidRPr="00BC3468" w:rsidRDefault="009D0006" w:rsidP="00983324">
            <w:pPr>
              <w:pStyle w:val="Tabletext"/>
            </w:pPr>
            <w:r>
              <w:t>High or very high</w:t>
            </w:r>
          </w:p>
        </w:tc>
        <w:tc>
          <w:tcPr>
            <w:tcW w:w="1559" w:type="dxa"/>
          </w:tcPr>
          <w:p w14:paraId="5FE8B296" w14:textId="77777777" w:rsidR="009D0006" w:rsidRPr="00BC3468" w:rsidRDefault="009D0006" w:rsidP="00983324">
            <w:pPr>
              <w:pStyle w:val="Tabletext"/>
            </w:pPr>
            <w:r>
              <w:t>41</w:t>
            </w:r>
          </w:p>
        </w:tc>
        <w:tc>
          <w:tcPr>
            <w:tcW w:w="1559" w:type="dxa"/>
          </w:tcPr>
          <w:p w14:paraId="7D180539" w14:textId="77777777" w:rsidR="009D0006" w:rsidRPr="00BC3468" w:rsidRDefault="009D0006" w:rsidP="00983324">
            <w:pPr>
              <w:pStyle w:val="Tabletext"/>
            </w:pPr>
            <w:r>
              <w:t>89.1</w:t>
            </w:r>
          </w:p>
        </w:tc>
      </w:tr>
    </w:tbl>
    <w:p w14:paraId="51D92DA8" w14:textId="77777777" w:rsidR="009D0006" w:rsidRDefault="009D0006" w:rsidP="00983324">
      <w:pPr>
        <w:pStyle w:val="Tableheading"/>
      </w:pPr>
      <w:r>
        <w:t>Table 113.4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652F01E" w14:textId="77777777" w:rsidTr="00983324">
        <w:trPr>
          <w:cnfStyle w:val="100000000000" w:firstRow="1" w:lastRow="0" w:firstColumn="0" w:lastColumn="0" w:oddVBand="0" w:evenVBand="0" w:oddHBand="0" w:evenHBand="0" w:firstRowFirstColumn="0" w:firstRowLastColumn="0" w:lastRowFirstColumn="0" w:lastRowLastColumn="0"/>
          <w:trHeight w:val="314"/>
        </w:trPr>
        <w:tc>
          <w:tcPr>
            <w:tcW w:w="6746" w:type="dxa"/>
            <w:noWrap/>
            <w:hideMark/>
          </w:tcPr>
          <w:p w14:paraId="13B95ED3" w14:textId="77777777" w:rsidR="009D0006" w:rsidRPr="00BC3468" w:rsidRDefault="009D0006" w:rsidP="00983324">
            <w:pPr>
              <w:pStyle w:val="Tableheader"/>
            </w:pPr>
            <w:r>
              <w:t>Psychological distress</w:t>
            </w:r>
          </w:p>
        </w:tc>
        <w:tc>
          <w:tcPr>
            <w:tcW w:w="1559" w:type="dxa"/>
            <w:noWrap/>
            <w:hideMark/>
          </w:tcPr>
          <w:p w14:paraId="4977817E" w14:textId="77777777" w:rsidR="009D0006" w:rsidRPr="002E3FEF" w:rsidRDefault="009D0006" w:rsidP="00983324">
            <w:pPr>
              <w:pStyle w:val="Tableheader"/>
              <w:rPr>
                <w:bCs/>
              </w:rPr>
            </w:pPr>
            <w:r w:rsidRPr="002E3FEF">
              <w:rPr>
                <w:bCs/>
              </w:rPr>
              <w:t>n</w:t>
            </w:r>
          </w:p>
        </w:tc>
        <w:tc>
          <w:tcPr>
            <w:tcW w:w="1559" w:type="dxa"/>
            <w:noWrap/>
            <w:hideMark/>
          </w:tcPr>
          <w:p w14:paraId="08AFAB80" w14:textId="77777777" w:rsidR="009D0006" w:rsidRPr="002E3FEF" w:rsidRDefault="009D0006" w:rsidP="00983324">
            <w:pPr>
              <w:pStyle w:val="Tableheader"/>
              <w:rPr>
                <w:bCs/>
              </w:rPr>
            </w:pPr>
            <w:r w:rsidRPr="002E3FEF">
              <w:rPr>
                <w:bCs/>
              </w:rPr>
              <w:t>%</w:t>
            </w:r>
          </w:p>
        </w:tc>
      </w:tr>
      <w:tr w:rsidR="009D0006" w:rsidRPr="00BC3468" w14:paraId="385F66C7" w14:textId="77777777" w:rsidTr="00983324">
        <w:trPr>
          <w:cnfStyle w:val="000000100000" w:firstRow="0" w:lastRow="0" w:firstColumn="0" w:lastColumn="0" w:oddVBand="0" w:evenVBand="0" w:oddHBand="1" w:evenHBand="0" w:firstRowFirstColumn="0" w:firstRowLastColumn="0" w:lastRowFirstColumn="0" w:lastRowLastColumn="0"/>
          <w:trHeight w:val="314"/>
        </w:trPr>
        <w:tc>
          <w:tcPr>
            <w:tcW w:w="6746" w:type="dxa"/>
            <w:noWrap/>
            <w:hideMark/>
          </w:tcPr>
          <w:p w14:paraId="46D28597" w14:textId="77777777" w:rsidR="009D0006" w:rsidRPr="00BC3468" w:rsidRDefault="009D0006" w:rsidP="00983324">
            <w:pPr>
              <w:pStyle w:val="Tabletext"/>
            </w:pPr>
            <w:r>
              <w:t>Low or moderate</w:t>
            </w:r>
          </w:p>
        </w:tc>
        <w:tc>
          <w:tcPr>
            <w:tcW w:w="1559" w:type="dxa"/>
            <w:noWrap/>
          </w:tcPr>
          <w:p w14:paraId="155BD1C4" w14:textId="77777777" w:rsidR="009D0006" w:rsidRPr="00BC3468" w:rsidRDefault="009D0006" w:rsidP="00983324">
            <w:pPr>
              <w:pStyle w:val="Tabletext"/>
            </w:pPr>
            <w:r>
              <w:t>16</w:t>
            </w:r>
          </w:p>
        </w:tc>
        <w:tc>
          <w:tcPr>
            <w:tcW w:w="1559" w:type="dxa"/>
            <w:noWrap/>
          </w:tcPr>
          <w:p w14:paraId="7E8B12DB" w14:textId="77777777" w:rsidR="009D0006" w:rsidRPr="00BC3468" w:rsidRDefault="009D0006" w:rsidP="00983324">
            <w:pPr>
              <w:pStyle w:val="Tabletext"/>
            </w:pPr>
            <w:r>
              <w:t>6.7</w:t>
            </w:r>
          </w:p>
        </w:tc>
      </w:tr>
      <w:tr w:rsidR="009D0006" w:rsidRPr="00BC3468" w14:paraId="7AEDF98B" w14:textId="77777777" w:rsidTr="00983324">
        <w:trPr>
          <w:cnfStyle w:val="000000010000" w:firstRow="0" w:lastRow="0" w:firstColumn="0" w:lastColumn="0" w:oddVBand="0" w:evenVBand="0" w:oddHBand="0" w:evenHBand="1" w:firstRowFirstColumn="0" w:firstRowLastColumn="0" w:lastRowFirstColumn="0" w:lastRowLastColumn="0"/>
          <w:trHeight w:val="314"/>
        </w:trPr>
        <w:tc>
          <w:tcPr>
            <w:tcW w:w="6746" w:type="dxa"/>
            <w:noWrap/>
            <w:hideMark/>
          </w:tcPr>
          <w:p w14:paraId="3EF6A6A7" w14:textId="77777777" w:rsidR="009D0006" w:rsidRPr="00BC3468" w:rsidRDefault="009D0006" w:rsidP="00983324">
            <w:pPr>
              <w:pStyle w:val="Tabletext"/>
            </w:pPr>
            <w:r>
              <w:t>High or very high</w:t>
            </w:r>
          </w:p>
        </w:tc>
        <w:tc>
          <w:tcPr>
            <w:tcW w:w="1559" w:type="dxa"/>
            <w:noWrap/>
          </w:tcPr>
          <w:p w14:paraId="17641DA7" w14:textId="77777777" w:rsidR="009D0006" w:rsidRPr="00BC3468" w:rsidRDefault="009D0006" w:rsidP="00983324">
            <w:pPr>
              <w:pStyle w:val="Tabletext"/>
            </w:pPr>
            <w:r>
              <w:t>222</w:t>
            </w:r>
          </w:p>
        </w:tc>
        <w:tc>
          <w:tcPr>
            <w:tcW w:w="1559" w:type="dxa"/>
            <w:noWrap/>
          </w:tcPr>
          <w:p w14:paraId="76D23FFE" w14:textId="77777777" w:rsidR="009D0006" w:rsidRPr="00BC3468" w:rsidRDefault="009D0006" w:rsidP="00983324">
            <w:pPr>
              <w:pStyle w:val="Tabletext"/>
            </w:pPr>
            <w:r>
              <w:t>93.3</w:t>
            </w:r>
          </w:p>
        </w:tc>
      </w:tr>
    </w:tbl>
    <w:p w14:paraId="168B3685" w14:textId="77777777" w:rsidR="009D0006" w:rsidRDefault="009D0006" w:rsidP="00983324">
      <w:pPr>
        <w:pStyle w:val="Tableheading"/>
      </w:pPr>
      <w:r>
        <w:t>Table 113.</w:t>
      </w:r>
      <w:r>
        <w:lastRenderedPageBreak/>
        <w:t>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D0D3051" w14:textId="77777777" w:rsidTr="00983324">
        <w:trPr>
          <w:cnfStyle w:val="100000000000" w:firstRow="1" w:lastRow="0" w:firstColumn="0" w:lastColumn="0" w:oddVBand="0" w:evenVBand="0" w:oddHBand="0" w:evenHBand="0" w:firstRowFirstColumn="0" w:firstRowLastColumn="0" w:lastRowFirstColumn="0" w:lastRowLastColumn="0"/>
          <w:trHeight w:val="273"/>
        </w:trPr>
        <w:tc>
          <w:tcPr>
            <w:tcW w:w="6746" w:type="dxa"/>
            <w:noWrap/>
            <w:hideMark/>
          </w:tcPr>
          <w:p w14:paraId="75B74AE1" w14:textId="77777777" w:rsidR="009D0006" w:rsidRPr="00BC3468" w:rsidRDefault="009D0006" w:rsidP="00983324">
            <w:pPr>
              <w:pStyle w:val="Tableheader"/>
            </w:pPr>
            <w:r>
              <w:t>Psychological distress</w:t>
            </w:r>
          </w:p>
        </w:tc>
        <w:tc>
          <w:tcPr>
            <w:tcW w:w="1559" w:type="dxa"/>
            <w:noWrap/>
            <w:hideMark/>
          </w:tcPr>
          <w:p w14:paraId="13C08D48" w14:textId="77777777" w:rsidR="009D0006" w:rsidRPr="002E3FEF" w:rsidRDefault="009D0006" w:rsidP="00983324">
            <w:pPr>
              <w:pStyle w:val="Tableheader"/>
              <w:rPr>
                <w:bCs/>
              </w:rPr>
            </w:pPr>
            <w:r w:rsidRPr="002E3FEF">
              <w:rPr>
                <w:bCs/>
              </w:rPr>
              <w:t>n</w:t>
            </w:r>
          </w:p>
        </w:tc>
        <w:tc>
          <w:tcPr>
            <w:tcW w:w="1559" w:type="dxa"/>
            <w:noWrap/>
            <w:hideMark/>
          </w:tcPr>
          <w:p w14:paraId="5CF8BA3A" w14:textId="77777777" w:rsidR="009D0006" w:rsidRPr="002E3FEF" w:rsidRDefault="009D0006" w:rsidP="00983324">
            <w:pPr>
              <w:pStyle w:val="Tableheader"/>
              <w:rPr>
                <w:bCs/>
              </w:rPr>
            </w:pPr>
            <w:r w:rsidRPr="002E3FEF">
              <w:rPr>
                <w:bCs/>
              </w:rPr>
              <w:t>%</w:t>
            </w:r>
          </w:p>
        </w:tc>
      </w:tr>
      <w:tr w:rsidR="009D0006" w:rsidRPr="00BC3468" w14:paraId="6D048C7D" w14:textId="77777777" w:rsidTr="00983324">
        <w:trPr>
          <w:cnfStyle w:val="000000100000" w:firstRow="0" w:lastRow="0" w:firstColumn="0" w:lastColumn="0" w:oddVBand="0" w:evenVBand="0" w:oddHBand="1" w:evenHBand="0" w:firstRowFirstColumn="0" w:firstRowLastColumn="0" w:lastRowFirstColumn="0" w:lastRowLastColumn="0"/>
          <w:trHeight w:val="273"/>
        </w:trPr>
        <w:tc>
          <w:tcPr>
            <w:tcW w:w="6746" w:type="dxa"/>
            <w:noWrap/>
            <w:hideMark/>
          </w:tcPr>
          <w:p w14:paraId="0E0366D3" w14:textId="77777777" w:rsidR="009D0006" w:rsidRPr="00BC3468" w:rsidRDefault="009D0006" w:rsidP="00983324">
            <w:pPr>
              <w:pStyle w:val="Tabletext"/>
            </w:pPr>
            <w:r>
              <w:t>Low or moderate</w:t>
            </w:r>
          </w:p>
        </w:tc>
        <w:tc>
          <w:tcPr>
            <w:tcW w:w="1559" w:type="dxa"/>
            <w:noWrap/>
          </w:tcPr>
          <w:p w14:paraId="338C6680" w14:textId="77777777" w:rsidR="009D0006" w:rsidRPr="00BC3468" w:rsidRDefault="009D0006" w:rsidP="00983324">
            <w:pPr>
              <w:pStyle w:val="Tabletext"/>
            </w:pPr>
            <w:r>
              <w:t>34</w:t>
            </w:r>
          </w:p>
        </w:tc>
        <w:tc>
          <w:tcPr>
            <w:tcW w:w="1559" w:type="dxa"/>
            <w:noWrap/>
          </w:tcPr>
          <w:p w14:paraId="2C44F8AB" w14:textId="77777777" w:rsidR="009D0006" w:rsidRPr="00BC3468" w:rsidRDefault="009D0006" w:rsidP="00983324">
            <w:pPr>
              <w:pStyle w:val="Tabletext"/>
            </w:pPr>
            <w:r>
              <w:t>5.1</w:t>
            </w:r>
          </w:p>
        </w:tc>
      </w:tr>
      <w:tr w:rsidR="009D0006" w:rsidRPr="00BC3468" w14:paraId="4BF2727D" w14:textId="77777777" w:rsidTr="00983324">
        <w:trPr>
          <w:cnfStyle w:val="000000010000" w:firstRow="0" w:lastRow="0" w:firstColumn="0" w:lastColumn="0" w:oddVBand="0" w:evenVBand="0" w:oddHBand="0" w:evenHBand="1" w:firstRowFirstColumn="0" w:firstRowLastColumn="0" w:lastRowFirstColumn="0" w:lastRowLastColumn="0"/>
          <w:trHeight w:val="273"/>
        </w:trPr>
        <w:tc>
          <w:tcPr>
            <w:tcW w:w="6746" w:type="dxa"/>
            <w:noWrap/>
            <w:hideMark/>
          </w:tcPr>
          <w:p w14:paraId="628E857A" w14:textId="77777777" w:rsidR="009D0006" w:rsidRPr="00BC3468" w:rsidRDefault="009D0006" w:rsidP="00983324">
            <w:pPr>
              <w:pStyle w:val="Tabletext"/>
            </w:pPr>
            <w:r>
              <w:t>High or very high</w:t>
            </w:r>
          </w:p>
        </w:tc>
        <w:tc>
          <w:tcPr>
            <w:tcW w:w="1559" w:type="dxa"/>
            <w:noWrap/>
          </w:tcPr>
          <w:p w14:paraId="10A39315" w14:textId="77777777" w:rsidR="009D0006" w:rsidRPr="00BC3468" w:rsidRDefault="009D0006" w:rsidP="00983324">
            <w:pPr>
              <w:pStyle w:val="Tabletext"/>
            </w:pPr>
            <w:r>
              <w:t>632</w:t>
            </w:r>
          </w:p>
        </w:tc>
        <w:tc>
          <w:tcPr>
            <w:tcW w:w="1559" w:type="dxa"/>
            <w:noWrap/>
          </w:tcPr>
          <w:p w14:paraId="6E4E4679" w14:textId="77777777" w:rsidR="009D0006" w:rsidRPr="00BC3468" w:rsidRDefault="009D0006" w:rsidP="00983324">
            <w:pPr>
              <w:pStyle w:val="Tabletext"/>
            </w:pPr>
            <w:r>
              <w:t>94.9</w:t>
            </w:r>
          </w:p>
        </w:tc>
      </w:tr>
    </w:tbl>
    <w:p w14:paraId="2F1EF9DB" w14:textId="77777777" w:rsidR="009D0006" w:rsidRDefault="009D0006" w:rsidP="00AB4A74">
      <w:pPr>
        <w:spacing w:before="360"/>
      </w:pPr>
      <w:r>
        <w:t>As displayed in Tables 113.1-113.5, t</w:t>
      </w:r>
      <w:r w:rsidRPr="00971810">
        <w:t>he vast majority of participants</w:t>
      </w:r>
      <w:r>
        <w:t xml:space="preserve"> with disability</w:t>
      </w:r>
      <w:r w:rsidRPr="00971810">
        <w:t xml:space="preserve"> </w:t>
      </w:r>
      <w:r>
        <w:t xml:space="preserve">in </w:t>
      </w:r>
      <w:r>
        <w:rPr>
          <w:i/>
          <w:iCs/>
        </w:rPr>
        <w:t>Writing Themselves In 4</w:t>
      </w:r>
      <w:r>
        <w:t xml:space="preserve"> across all genders reported high or very high levels of psychological distress. More than 90% of non-binary people reported high or very high psychological distress (94.9%; n = 632), followed by trans men (93.3%; n = 222), cisgender women (91.5%; n = 1048), trans women (89.1%; n = 41) and cisgender men (87.2%; n = 259).</w:t>
      </w:r>
    </w:p>
    <w:p w14:paraId="5264153C" w14:textId="4B3B31F8" w:rsidR="009D0006" w:rsidRPr="00C5739E" w:rsidRDefault="009D0006" w:rsidP="009401DC">
      <w:pPr>
        <w:pStyle w:val="Heading3Numbered"/>
      </w:pPr>
      <w:bookmarkStart w:id="903" w:name="_Toc115968660"/>
      <w:r w:rsidRPr="00C5739E">
        <w:t>Psychological distress – adults aged 18+ years</w:t>
      </w:r>
      <w:bookmarkEnd w:id="903"/>
    </w:p>
    <w:p w14:paraId="648F6DFF" w14:textId="77777777" w:rsidR="009D0006" w:rsidRPr="00563F98" w:rsidRDefault="009D0006" w:rsidP="009D0006">
      <w:r w:rsidRPr="00563F98">
        <w:t>Table</w:t>
      </w:r>
      <w:r>
        <w:t>s</w:t>
      </w:r>
      <w:r w:rsidRPr="00563F98">
        <w:t xml:space="preserve"> </w:t>
      </w:r>
      <w:r>
        <w:t>114.1-114.5</w:t>
      </w:r>
      <w:r w:rsidRPr="00563F98">
        <w:t xml:space="preserve"> display the K10 psychological distress levels of participants </w:t>
      </w:r>
      <w:r>
        <w:t xml:space="preserve">aged 18+ years </w:t>
      </w:r>
      <w:r w:rsidRPr="00563F98">
        <w:t xml:space="preserve">according to </w:t>
      </w:r>
      <w:r>
        <w:t>their gender</w:t>
      </w:r>
      <w:r w:rsidRPr="00563F98">
        <w:t>.</w:t>
      </w:r>
    </w:p>
    <w:p w14:paraId="6D7BA940" w14:textId="090D8AED" w:rsidR="009D0006" w:rsidRDefault="009D0006" w:rsidP="00983324">
      <w:pPr>
        <w:pStyle w:val="Tableheading"/>
      </w:pPr>
      <w:bookmarkStart w:id="904" w:name="_Toc117062831"/>
      <w:bookmarkStart w:id="905" w:name="_Toc119651516"/>
      <w:r w:rsidRPr="00C5739E">
        <w:t>Table</w:t>
      </w:r>
      <w:r>
        <w:t>s</w:t>
      </w:r>
      <w:r w:rsidRPr="00C5739E">
        <w:t xml:space="preserve"> </w:t>
      </w:r>
      <w:r>
        <w:rPr>
          <w:noProof/>
        </w:rPr>
        <w:fldChar w:fldCharType="begin"/>
      </w:r>
      <w:r>
        <w:rPr>
          <w:noProof/>
        </w:rPr>
        <w:instrText xml:space="preserve"> SEQ Table \* ARABIC </w:instrText>
      </w:r>
      <w:r>
        <w:rPr>
          <w:noProof/>
        </w:rPr>
        <w:fldChar w:fldCharType="separate"/>
      </w:r>
      <w:r>
        <w:rPr>
          <w:noProof/>
        </w:rPr>
        <w:t>114</w:t>
      </w:r>
      <w:r>
        <w:rPr>
          <w:noProof/>
        </w:rPr>
        <w:fldChar w:fldCharType="end"/>
      </w:r>
      <w:r>
        <w:rPr>
          <w:noProof/>
        </w:rPr>
        <w:t>.1-114.5</w:t>
      </w:r>
      <w:r>
        <w:t>: Psychological distress</w:t>
      </w:r>
      <w:r w:rsidRPr="00C5739E">
        <w:t xml:space="preserve"> </w:t>
      </w:r>
      <w:r>
        <w:t xml:space="preserve">among adults with disability aged 18+ years, grouped by gender </w:t>
      </w:r>
      <w:r w:rsidRPr="00C5739E">
        <w:t xml:space="preserve">(n = </w:t>
      </w:r>
      <w:r>
        <w:t>2542</w:t>
      </w:r>
      <w:r w:rsidRPr="00C5739E">
        <w:t>)</w:t>
      </w:r>
      <w:bookmarkEnd w:id="904"/>
      <w:bookmarkEnd w:id="905"/>
    </w:p>
    <w:p w14:paraId="3C18DF61" w14:textId="77777777" w:rsidR="009D0006" w:rsidRPr="00563F98" w:rsidRDefault="009D0006" w:rsidP="00983324">
      <w:pPr>
        <w:pStyle w:val="Tableheading"/>
      </w:pPr>
      <w:r>
        <w:t>Table 114.1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E52FA82" w14:textId="77777777" w:rsidTr="00983324">
        <w:trPr>
          <w:cnfStyle w:val="100000000000" w:firstRow="1" w:lastRow="0" w:firstColumn="0" w:lastColumn="0" w:oddVBand="0" w:evenVBand="0" w:oddHBand="0" w:evenHBand="0" w:firstRowFirstColumn="0" w:firstRowLastColumn="0" w:lastRowFirstColumn="0" w:lastRowLastColumn="0"/>
          <w:trHeight w:val="329"/>
        </w:trPr>
        <w:tc>
          <w:tcPr>
            <w:tcW w:w="6746" w:type="dxa"/>
            <w:noWrap/>
            <w:hideMark/>
          </w:tcPr>
          <w:p w14:paraId="213E7211" w14:textId="77777777" w:rsidR="009D0006" w:rsidRPr="00BC3468" w:rsidRDefault="009D0006" w:rsidP="00983324">
            <w:pPr>
              <w:pStyle w:val="Tableheader"/>
            </w:pPr>
            <w:r>
              <w:t>Psychological distress</w:t>
            </w:r>
          </w:p>
        </w:tc>
        <w:tc>
          <w:tcPr>
            <w:tcW w:w="1559" w:type="dxa"/>
            <w:noWrap/>
            <w:hideMark/>
          </w:tcPr>
          <w:p w14:paraId="73AACA3E" w14:textId="77777777" w:rsidR="009D0006" w:rsidRPr="00211ECB" w:rsidRDefault="009D0006" w:rsidP="00983324">
            <w:pPr>
              <w:pStyle w:val="Tableheader"/>
              <w:rPr>
                <w:bCs/>
              </w:rPr>
            </w:pPr>
            <w:r w:rsidRPr="00211ECB">
              <w:rPr>
                <w:bCs/>
              </w:rPr>
              <w:t>n</w:t>
            </w:r>
          </w:p>
        </w:tc>
        <w:tc>
          <w:tcPr>
            <w:tcW w:w="1559" w:type="dxa"/>
            <w:noWrap/>
            <w:hideMark/>
          </w:tcPr>
          <w:p w14:paraId="7A1DA514" w14:textId="77777777" w:rsidR="009D0006" w:rsidRPr="00211ECB" w:rsidRDefault="009D0006" w:rsidP="00983324">
            <w:pPr>
              <w:pStyle w:val="Tableheader"/>
              <w:rPr>
                <w:bCs/>
              </w:rPr>
            </w:pPr>
            <w:r w:rsidRPr="00211ECB">
              <w:rPr>
                <w:bCs/>
              </w:rPr>
              <w:t>%</w:t>
            </w:r>
          </w:p>
        </w:tc>
      </w:tr>
      <w:tr w:rsidR="009D0006" w:rsidRPr="00BC3468" w14:paraId="0747F452" w14:textId="77777777" w:rsidTr="00983324">
        <w:trPr>
          <w:cnfStyle w:val="000000100000" w:firstRow="0" w:lastRow="0" w:firstColumn="0" w:lastColumn="0" w:oddVBand="0" w:evenVBand="0" w:oddHBand="1" w:evenHBand="0" w:firstRowFirstColumn="0" w:firstRowLastColumn="0" w:lastRowFirstColumn="0" w:lastRowLastColumn="0"/>
          <w:trHeight w:val="329"/>
        </w:trPr>
        <w:tc>
          <w:tcPr>
            <w:tcW w:w="6746" w:type="dxa"/>
            <w:noWrap/>
            <w:hideMark/>
          </w:tcPr>
          <w:p w14:paraId="30612C03" w14:textId="77777777" w:rsidR="009D0006" w:rsidRPr="00BC3468" w:rsidRDefault="009D0006" w:rsidP="00983324">
            <w:pPr>
              <w:pStyle w:val="Tabletext"/>
            </w:pPr>
            <w:r>
              <w:t>Low or moderate</w:t>
            </w:r>
          </w:p>
        </w:tc>
        <w:tc>
          <w:tcPr>
            <w:tcW w:w="1559" w:type="dxa"/>
            <w:noWrap/>
          </w:tcPr>
          <w:p w14:paraId="1AE24051" w14:textId="77777777" w:rsidR="009D0006" w:rsidRPr="00BC3468" w:rsidRDefault="009D0006" w:rsidP="00983324">
            <w:pPr>
              <w:pStyle w:val="Tabletext"/>
            </w:pPr>
            <w:r>
              <w:t>273</w:t>
            </w:r>
          </w:p>
        </w:tc>
        <w:tc>
          <w:tcPr>
            <w:tcW w:w="1559" w:type="dxa"/>
            <w:noWrap/>
          </w:tcPr>
          <w:p w14:paraId="74CA1301" w14:textId="77777777" w:rsidR="009D0006" w:rsidRPr="00BC3468" w:rsidRDefault="009D0006" w:rsidP="00983324">
            <w:pPr>
              <w:pStyle w:val="Tabletext"/>
            </w:pPr>
            <w:r>
              <w:t>22.9</w:t>
            </w:r>
          </w:p>
        </w:tc>
      </w:tr>
      <w:tr w:rsidR="009D0006" w:rsidRPr="00BC3468" w14:paraId="6F1F95DF" w14:textId="77777777" w:rsidTr="00983324">
        <w:trPr>
          <w:cnfStyle w:val="000000010000" w:firstRow="0" w:lastRow="0" w:firstColumn="0" w:lastColumn="0" w:oddVBand="0" w:evenVBand="0" w:oddHBand="0" w:evenHBand="1" w:firstRowFirstColumn="0" w:firstRowLastColumn="0" w:lastRowFirstColumn="0" w:lastRowLastColumn="0"/>
          <w:trHeight w:val="329"/>
        </w:trPr>
        <w:tc>
          <w:tcPr>
            <w:tcW w:w="6746" w:type="dxa"/>
            <w:noWrap/>
            <w:hideMark/>
          </w:tcPr>
          <w:p w14:paraId="6E749114" w14:textId="77777777" w:rsidR="009D0006" w:rsidRPr="00BC3468" w:rsidRDefault="009D0006" w:rsidP="00983324">
            <w:pPr>
              <w:pStyle w:val="Tabletext"/>
            </w:pPr>
            <w:r>
              <w:t>High or very high</w:t>
            </w:r>
          </w:p>
        </w:tc>
        <w:tc>
          <w:tcPr>
            <w:tcW w:w="1559" w:type="dxa"/>
            <w:noWrap/>
          </w:tcPr>
          <w:p w14:paraId="08EE9B50" w14:textId="77777777" w:rsidR="009D0006" w:rsidRPr="00BC3468" w:rsidRDefault="009D0006" w:rsidP="00983324">
            <w:pPr>
              <w:pStyle w:val="Tabletext"/>
            </w:pPr>
            <w:r>
              <w:t>919</w:t>
            </w:r>
          </w:p>
        </w:tc>
        <w:tc>
          <w:tcPr>
            <w:tcW w:w="1559" w:type="dxa"/>
            <w:noWrap/>
          </w:tcPr>
          <w:p w14:paraId="44C90708" w14:textId="77777777" w:rsidR="009D0006" w:rsidRPr="00BC3468" w:rsidRDefault="009D0006" w:rsidP="00983324">
            <w:pPr>
              <w:pStyle w:val="Tabletext"/>
            </w:pPr>
            <w:r>
              <w:t>77.1</w:t>
            </w:r>
          </w:p>
        </w:tc>
      </w:tr>
    </w:tbl>
    <w:p w14:paraId="29C56F4B" w14:textId="77777777" w:rsidR="009D0006" w:rsidRDefault="009D0006" w:rsidP="00983324">
      <w:pPr>
        <w:pStyle w:val="Tableheading"/>
      </w:pPr>
      <w:r>
        <w:t>Table 114.2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52D7C60" w14:textId="77777777" w:rsidTr="00983324">
        <w:trPr>
          <w:cnfStyle w:val="100000000000" w:firstRow="1" w:lastRow="0" w:firstColumn="0" w:lastColumn="0" w:oddVBand="0" w:evenVBand="0" w:oddHBand="0" w:evenHBand="0" w:firstRowFirstColumn="0" w:firstRowLastColumn="0" w:lastRowFirstColumn="0" w:lastRowLastColumn="0"/>
          <w:trHeight w:val="304"/>
        </w:trPr>
        <w:tc>
          <w:tcPr>
            <w:tcW w:w="6746" w:type="dxa"/>
            <w:noWrap/>
            <w:hideMark/>
          </w:tcPr>
          <w:p w14:paraId="164B5DA6" w14:textId="77777777" w:rsidR="009D0006" w:rsidRPr="00BC3468" w:rsidRDefault="009D0006" w:rsidP="00983324">
            <w:pPr>
              <w:pStyle w:val="Tableheader"/>
            </w:pPr>
            <w:r>
              <w:t>Psychological distress</w:t>
            </w:r>
          </w:p>
        </w:tc>
        <w:tc>
          <w:tcPr>
            <w:tcW w:w="1559" w:type="dxa"/>
            <w:noWrap/>
            <w:hideMark/>
          </w:tcPr>
          <w:p w14:paraId="64547521" w14:textId="77777777" w:rsidR="009D0006" w:rsidRPr="00211ECB" w:rsidRDefault="009D0006" w:rsidP="00983324">
            <w:pPr>
              <w:pStyle w:val="Tableheader"/>
              <w:rPr>
                <w:bCs/>
              </w:rPr>
            </w:pPr>
            <w:r w:rsidRPr="00211ECB">
              <w:rPr>
                <w:bCs/>
              </w:rPr>
              <w:t>n</w:t>
            </w:r>
          </w:p>
        </w:tc>
        <w:tc>
          <w:tcPr>
            <w:tcW w:w="1559" w:type="dxa"/>
            <w:noWrap/>
            <w:hideMark/>
          </w:tcPr>
          <w:p w14:paraId="171E6C4D" w14:textId="77777777" w:rsidR="009D0006" w:rsidRPr="00211ECB" w:rsidRDefault="009D0006" w:rsidP="00983324">
            <w:pPr>
              <w:pStyle w:val="Tableheader"/>
              <w:rPr>
                <w:bCs/>
              </w:rPr>
            </w:pPr>
            <w:r w:rsidRPr="00211ECB">
              <w:rPr>
                <w:bCs/>
              </w:rPr>
              <w:t>%</w:t>
            </w:r>
          </w:p>
        </w:tc>
      </w:tr>
      <w:tr w:rsidR="009D0006" w:rsidRPr="00BC3468" w14:paraId="58B289F9" w14:textId="77777777" w:rsidTr="00983324">
        <w:trPr>
          <w:cnfStyle w:val="000000100000" w:firstRow="0" w:lastRow="0" w:firstColumn="0" w:lastColumn="0" w:oddVBand="0" w:evenVBand="0" w:oddHBand="1" w:evenHBand="0" w:firstRowFirstColumn="0" w:firstRowLastColumn="0" w:lastRowFirstColumn="0" w:lastRowLastColumn="0"/>
          <w:trHeight w:val="304"/>
        </w:trPr>
        <w:tc>
          <w:tcPr>
            <w:tcW w:w="6746" w:type="dxa"/>
            <w:noWrap/>
            <w:hideMark/>
          </w:tcPr>
          <w:p w14:paraId="3D091D68" w14:textId="77777777" w:rsidR="009D0006" w:rsidRPr="00BC3468" w:rsidRDefault="009D0006" w:rsidP="00983324">
            <w:pPr>
              <w:pStyle w:val="Tabletext"/>
            </w:pPr>
            <w:r>
              <w:t>Low or moderate</w:t>
            </w:r>
          </w:p>
        </w:tc>
        <w:tc>
          <w:tcPr>
            <w:tcW w:w="1559" w:type="dxa"/>
            <w:noWrap/>
          </w:tcPr>
          <w:p w14:paraId="21B9F0E8" w14:textId="77777777" w:rsidR="009D0006" w:rsidRPr="00BC3468" w:rsidRDefault="009D0006" w:rsidP="00983324">
            <w:pPr>
              <w:pStyle w:val="Tabletext"/>
            </w:pPr>
            <w:r>
              <w:t>155</w:t>
            </w:r>
          </w:p>
        </w:tc>
        <w:tc>
          <w:tcPr>
            <w:tcW w:w="1559" w:type="dxa"/>
            <w:noWrap/>
          </w:tcPr>
          <w:p w14:paraId="755BAAC0" w14:textId="77777777" w:rsidR="009D0006" w:rsidRPr="00BC3468" w:rsidRDefault="009D0006" w:rsidP="00983324">
            <w:pPr>
              <w:pStyle w:val="Tabletext"/>
            </w:pPr>
            <w:r>
              <w:t>30.7</w:t>
            </w:r>
          </w:p>
        </w:tc>
      </w:tr>
      <w:tr w:rsidR="009D0006" w:rsidRPr="00BC3468" w14:paraId="70D7D044" w14:textId="77777777" w:rsidTr="00983324">
        <w:trPr>
          <w:cnfStyle w:val="000000010000" w:firstRow="0" w:lastRow="0" w:firstColumn="0" w:lastColumn="0" w:oddVBand="0" w:evenVBand="0" w:oddHBand="0" w:evenHBand="1" w:firstRowFirstColumn="0" w:firstRowLastColumn="0" w:lastRowFirstColumn="0" w:lastRowLastColumn="0"/>
          <w:trHeight w:val="304"/>
        </w:trPr>
        <w:tc>
          <w:tcPr>
            <w:tcW w:w="6746" w:type="dxa"/>
            <w:noWrap/>
            <w:hideMark/>
          </w:tcPr>
          <w:p w14:paraId="546409F8" w14:textId="77777777" w:rsidR="009D0006" w:rsidRPr="00BC3468" w:rsidRDefault="009D0006" w:rsidP="00983324">
            <w:pPr>
              <w:pStyle w:val="Tabletext"/>
            </w:pPr>
            <w:r>
              <w:t>High or very high</w:t>
            </w:r>
          </w:p>
        </w:tc>
        <w:tc>
          <w:tcPr>
            <w:tcW w:w="1559" w:type="dxa"/>
            <w:noWrap/>
          </w:tcPr>
          <w:p w14:paraId="1CDF5A3E" w14:textId="77777777" w:rsidR="009D0006" w:rsidRPr="00BC3468" w:rsidRDefault="009D0006" w:rsidP="00983324">
            <w:pPr>
              <w:pStyle w:val="Tabletext"/>
            </w:pPr>
            <w:r>
              <w:t>350</w:t>
            </w:r>
          </w:p>
        </w:tc>
        <w:tc>
          <w:tcPr>
            <w:tcW w:w="1559" w:type="dxa"/>
            <w:noWrap/>
          </w:tcPr>
          <w:p w14:paraId="3F95CC9F" w14:textId="77777777" w:rsidR="009D0006" w:rsidRPr="00BC3468" w:rsidRDefault="009D0006" w:rsidP="00983324">
            <w:pPr>
              <w:pStyle w:val="Tabletext"/>
            </w:pPr>
            <w:r>
              <w:t>69.3</w:t>
            </w:r>
          </w:p>
        </w:tc>
      </w:tr>
    </w:tbl>
    <w:p w14:paraId="225DBF1C" w14:textId="77777777" w:rsidR="009D0006" w:rsidRDefault="009D0006" w:rsidP="00983324">
      <w:pPr>
        <w:pStyle w:val="Tableheading"/>
      </w:pPr>
      <w:r>
        <w:t>Table 114.3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CB44EF4" w14:textId="77777777" w:rsidTr="00983324">
        <w:trPr>
          <w:cnfStyle w:val="100000000000" w:firstRow="1" w:lastRow="0" w:firstColumn="0" w:lastColumn="0" w:oddVBand="0" w:evenVBand="0" w:oddHBand="0" w:evenHBand="0" w:firstRowFirstColumn="0" w:firstRowLastColumn="0" w:lastRowFirstColumn="0" w:lastRowLastColumn="0"/>
          <w:trHeight w:val="312"/>
        </w:trPr>
        <w:tc>
          <w:tcPr>
            <w:tcW w:w="6746" w:type="dxa"/>
            <w:noWrap/>
            <w:hideMark/>
          </w:tcPr>
          <w:p w14:paraId="01795923" w14:textId="77777777" w:rsidR="009D0006" w:rsidRPr="00BC3468" w:rsidRDefault="009D0006" w:rsidP="00983324">
            <w:pPr>
              <w:pStyle w:val="Tableheader"/>
            </w:pPr>
            <w:r>
              <w:t>Psychological distress</w:t>
            </w:r>
          </w:p>
        </w:tc>
        <w:tc>
          <w:tcPr>
            <w:tcW w:w="1559" w:type="dxa"/>
          </w:tcPr>
          <w:p w14:paraId="275D3D87" w14:textId="77777777" w:rsidR="009D0006" w:rsidRPr="00211ECB" w:rsidRDefault="009D0006" w:rsidP="00983324">
            <w:pPr>
              <w:pStyle w:val="Tableheader"/>
              <w:rPr>
                <w:bCs/>
              </w:rPr>
            </w:pPr>
            <w:r w:rsidRPr="00211ECB">
              <w:rPr>
                <w:bCs/>
              </w:rPr>
              <w:t>n</w:t>
            </w:r>
          </w:p>
        </w:tc>
        <w:tc>
          <w:tcPr>
            <w:tcW w:w="1559" w:type="dxa"/>
          </w:tcPr>
          <w:p w14:paraId="3F0E2528" w14:textId="77777777" w:rsidR="009D0006" w:rsidRPr="00211ECB" w:rsidRDefault="009D0006" w:rsidP="00983324">
            <w:pPr>
              <w:pStyle w:val="Tableheader"/>
              <w:rPr>
                <w:bCs/>
              </w:rPr>
            </w:pPr>
            <w:r w:rsidRPr="00211ECB">
              <w:rPr>
                <w:bCs/>
              </w:rPr>
              <w:t>%</w:t>
            </w:r>
          </w:p>
        </w:tc>
      </w:tr>
      <w:tr w:rsidR="009D0006" w:rsidRPr="00BC3468" w14:paraId="0891F326" w14:textId="77777777" w:rsidTr="00983324">
        <w:trPr>
          <w:cnfStyle w:val="000000100000" w:firstRow="0" w:lastRow="0" w:firstColumn="0" w:lastColumn="0" w:oddVBand="0" w:evenVBand="0" w:oddHBand="1" w:evenHBand="0" w:firstRowFirstColumn="0" w:firstRowLastColumn="0" w:lastRowFirstColumn="0" w:lastRowLastColumn="0"/>
          <w:trHeight w:val="312"/>
        </w:trPr>
        <w:tc>
          <w:tcPr>
            <w:tcW w:w="6746" w:type="dxa"/>
            <w:noWrap/>
            <w:hideMark/>
          </w:tcPr>
          <w:p w14:paraId="4C45B983" w14:textId="77777777" w:rsidR="009D0006" w:rsidRPr="00BC3468" w:rsidRDefault="009D0006" w:rsidP="00983324">
            <w:pPr>
              <w:pStyle w:val="Tabletext"/>
            </w:pPr>
            <w:r>
              <w:t>Low or moderate</w:t>
            </w:r>
          </w:p>
        </w:tc>
        <w:tc>
          <w:tcPr>
            <w:tcW w:w="1559" w:type="dxa"/>
          </w:tcPr>
          <w:p w14:paraId="29EAAC62" w14:textId="77777777" w:rsidR="009D0006" w:rsidRPr="00BC3468" w:rsidRDefault="009D0006" w:rsidP="00983324">
            <w:pPr>
              <w:pStyle w:val="Tabletext"/>
            </w:pPr>
            <w:r>
              <w:t>20</w:t>
            </w:r>
          </w:p>
        </w:tc>
        <w:tc>
          <w:tcPr>
            <w:tcW w:w="1559" w:type="dxa"/>
          </w:tcPr>
          <w:p w14:paraId="2AE4049E" w14:textId="77777777" w:rsidR="009D0006" w:rsidRPr="00BC3468" w:rsidRDefault="009D0006" w:rsidP="00983324">
            <w:pPr>
              <w:pStyle w:val="Tabletext"/>
            </w:pPr>
            <w:r>
              <w:t>15.4</w:t>
            </w:r>
          </w:p>
        </w:tc>
      </w:tr>
      <w:tr w:rsidR="009D0006" w:rsidRPr="00BC3468" w14:paraId="4DDD1AA6" w14:textId="77777777" w:rsidTr="00983324">
        <w:trPr>
          <w:cnfStyle w:val="000000010000" w:firstRow="0" w:lastRow="0" w:firstColumn="0" w:lastColumn="0" w:oddVBand="0" w:evenVBand="0" w:oddHBand="0" w:evenHBand="1" w:firstRowFirstColumn="0" w:firstRowLastColumn="0" w:lastRowFirstColumn="0" w:lastRowLastColumn="0"/>
          <w:trHeight w:val="312"/>
        </w:trPr>
        <w:tc>
          <w:tcPr>
            <w:tcW w:w="6746" w:type="dxa"/>
            <w:noWrap/>
            <w:hideMark/>
          </w:tcPr>
          <w:p w14:paraId="6229B2CC" w14:textId="77777777" w:rsidR="009D0006" w:rsidRPr="00BC3468" w:rsidRDefault="009D0006" w:rsidP="00983324">
            <w:pPr>
              <w:pStyle w:val="Tabletext"/>
            </w:pPr>
            <w:r>
              <w:t>High or very high</w:t>
            </w:r>
          </w:p>
        </w:tc>
        <w:tc>
          <w:tcPr>
            <w:tcW w:w="1559" w:type="dxa"/>
          </w:tcPr>
          <w:p w14:paraId="74BD2C93" w14:textId="77777777" w:rsidR="009D0006" w:rsidRPr="00BC3468" w:rsidRDefault="009D0006" w:rsidP="00983324">
            <w:pPr>
              <w:pStyle w:val="Tabletext"/>
            </w:pPr>
            <w:r>
              <w:t>110</w:t>
            </w:r>
          </w:p>
        </w:tc>
        <w:tc>
          <w:tcPr>
            <w:tcW w:w="1559" w:type="dxa"/>
          </w:tcPr>
          <w:p w14:paraId="1863F5E5" w14:textId="77777777" w:rsidR="009D0006" w:rsidRPr="00BC3468" w:rsidRDefault="009D0006" w:rsidP="00983324">
            <w:pPr>
              <w:pStyle w:val="Tabletext"/>
            </w:pPr>
            <w:r>
              <w:t>84.6</w:t>
            </w:r>
          </w:p>
        </w:tc>
      </w:tr>
    </w:tbl>
    <w:p w14:paraId="36541E95" w14:textId="77777777" w:rsidR="009D0006" w:rsidRDefault="009D0006" w:rsidP="00983324">
      <w:pPr>
        <w:pStyle w:val="Tableheading"/>
      </w:pPr>
      <w:r>
        <w:t>Table 114.</w:t>
      </w:r>
      <w:r>
        <w:lastRenderedPageBreak/>
        <w:t>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836F61E" w14:textId="77777777" w:rsidTr="00983324">
        <w:trPr>
          <w:cnfStyle w:val="100000000000" w:firstRow="1" w:lastRow="0" w:firstColumn="0" w:lastColumn="0" w:oddVBand="0" w:evenVBand="0" w:oddHBand="0" w:evenHBand="0" w:firstRowFirstColumn="0" w:firstRowLastColumn="0" w:lastRowFirstColumn="0" w:lastRowLastColumn="0"/>
          <w:trHeight w:val="250"/>
        </w:trPr>
        <w:tc>
          <w:tcPr>
            <w:tcW w:w="6746" w:type="dxa"/>
            <w:noWrap/>
            <w:hideMark/>
          </w:tcPr>
          <w:p w14:paraId="54261085" w14:textId="77777777" w:rsidR="009D0006" w:rsidRPr="00BC3468" w:rsidRDefault="009D0006" w:rsidP="00983324">
            <w:pPr>
              <w:pStyle w:val="Tableheader"/>
            </w:pPr>
            <w:r>
              <w:t>Psychological distress</w:t>
            </w:r>
          </w:p>
        </w:tc>
        <w:tc>
          <w:tcPr>
            <w:tcW w:w="1559" w:type="dxa"/>
            <w:noWrap/>
            <w:hideMark/>
          </w:tcPr>
          <w:p w14:paraId="5354A8B7" w14:textId="77777777" w:rsidR="009D0006" w:rsidRPr="00211ECB" w:rsidRDefault="009D0006" w:rsidP="00983324">
            <w:pPr>
              <w:pStyle w:val="Tableheader"/>
              <w:rPr>
                <w:bCs/>
              </w:rPr>
            </w:pPr>
            <w:r w:rsidRPr="00211ECB">
              <w:rPr>
                <w:bCs/>
              </w:rPr>
              <w:t>n</w:t>
            </w:r>
          </w:p>
        </w:tc>
        <w:tc>
          <w:tcPr>
            <w:tcW w:w="1559" w:type="dxa"/>
            <w:noWrap/>
            <w:hideMark/>
          </w:tcPr>
          <w:p w14:paraId="71D94B9F" w14:textId="77777777" w:rsidR="009D0006" w:rsidRPr="00211ECB" w:rsidRDefault="009D0006" w:rsidP="00983324">
            <w:pPr>
              <w:pStyle w:val="Tableheader"/>
              <w:rPr>
                <w:bCs/>
              </w:rPr>
            </w:pPr>
            <w:r w:rsidRPr="00211ECB">
              <w:rPr>
                <w:bCs/>
              </w:rPr>
              <w:t>%</w:t>
            </w:r>
          </w:p>
        </w:tc>
      </w:tr>
      <w:tr w:rsidR="009D0006" w:rsidRPr="00BC3468" w14:paraId="3F00E6B1" w14:textId="77777777" w:rsidTr="00983324">
        <w:trPr>
          <w:cnfStyle w:val="000000100000" w:firstRow="0" w:lastRow="0" w:firstColumn="0" w:lastColumn="0" w:oddVBand="0" w:evenVBand="0" w:oddHBand="1" w:evenHBand="0" w:firstRowFirstColumn="0" w:firstRowLastColumn="0" w:lastRowFirstColumn="0" w:lastRowLastColumn="0"/>
          <w:trHeight w:val="241"/>
        </w:trPr>
        <w:tc>
          <w:tcPr>
            <w:tcW w:w="6746" w:type="dxa"/>
            <w:noWrap/>
            <w:hideMark/>
          </w:tcPr>
          <w:p w14:paraId="2F8CB158" w14:textId="77777777" w:rsidR="009D0006" w:rsidRPr="00BC3468" w:rsidRDefault="009D0006" w:rsidP="00983324">
            <w:pPr>
              <w:pStyle w:val="Tabletext"/>
            </w:pPr>
            <w:r>
              <w:t>Low or moderate</w:t>
            </w:r>
          </w:p>
        </w:tc>
        <w:tc>
          <w:tcPr>
            <w:tcW w:w="1559" w:type="dxa"/>
            <w:noWrap/>
          </w:tcPr>
          <w:p w14:paraId="437C4BA5" w14:textId="77777777" w:rsidR="009D0006" w:rsidRPr="00BC3468" w:rsidRDefault="009D0006" w:rsidP="00983324">
            <w:pPr>
              <w:pStyle w:val="Tabletext"/>
            </w:pPr>
            <w:r>
              <w:t>22</w:t>
            </w:r>
          </w:p>
        </w:tc>
        <w:tc>
          <w:tcPr>
            <w:tcW w:w="1559" w:type="dxa"/>
            <w:noWrap/>
          </w:tcPr>
          <w:p w14:paraId="126EC825" w14:textId="77777777" w:rsidR="009D0006" w:rsidRPr="00BC3468" w:rsidRDefault="009D0006" w:rsidP="00983324">
            <w:pPr>
              <w:pStyle w:val="Tabletext"/>
            </w:pPr>
            <w:r>
              <w:t>13.6</w:t>
            </w:r>
          </w:p>
        </w:tc>
      </w:tr>
      <w:tr w:rsidR="009D0006" w:rsidRPr="00BC3468" w14:paraId="33F6DB73" w14:textId="77777777" w:rsidTr="00983324">
        <w:trPr>
          <w:cnfStyle w:val="000000010000" w:firstRow="0" w:lastRow="0" w:firstColumn="0" w:lastColumn="0" w:oddVBand="0" w:evenVBand="0" w:oddHBand="0" w:evenHBand="1" w:firstRowFirstColumn="0" w:firstRowLastColumn="0" w:lastRowFirstColumn="0" w:lastRowLastColumn="0"/>
          <w:trHeight w:val="132"/>
        </w:trPr>
        <w:tc>
          <w:tcPr>
            <w:tcW w:w="6746" w:type="dxa"/>
            <w:noWrap/>
            <w:hideMark/>
          </w:tcPr>
          <w:p w14:paraId="209EF76F" w14:textId="77777777" w:rsidR="009D0006" w:rsidRPr="00BC3468" w:rsidRDefault="009D0006" w:rsidP="00983324">
            <w:pPr>
              <w:pStyle w:val="Tabletext"/>
            </w:pPr>
            <w:r>
              <w:t>High or very high</w:t>
            </w:r>
          </w:p>
        </w:tc>
        <w:tc>
          <w:tcPr>
            <w:tcW w:w="1559" w:type="dxa"/>
            <w:noWrap/>
          </w:tcPr>
          <w:p w14:paraId="0D871CB8" w14:textId="77777777" w:rsidR="009D0006" w:rsidRPr="00BC3468" w:rsidRDefault="009D0006" w:rsidP="00983324">
            <w:pPr>
              <w:pStyle w:val="Tabletext"/>
            </w:pPr>
            <w:r>
              <w:t>140</w:t>
            </w:r>
          </w:p>
        </w:tc>
        <w:tc>
          <w:tcPr>
            <w:tcW w:w="1559" w:type="dxa"/>
            <w:noWrap/>
          </w:tcPr>
          <w:p w14:paraId="13656596" w14:textId="77777777" w:rsidR="009D0006" w:rsidRPr="00BC3468" w:rsidRDefault="009D0006" w:rsidP="00983324">
            <w:pPr>
              <w:pStyle w:val="Tabletext"/>
            </w:pPr>
            <w:r>
              <w:t>86.4</w:t>
            </w:r>
          </w:p>
        </w:tc>
      </w:tr>
    </w:tbl>
    <w:p w14:paraId="204D87D9" w14:textId="77777777" w:rsidR="009D0006" w:rsidRDefault="009D0006" w:rsidP="00983324">
      <w:pPr>
        <w:pStyle w:val="Tableheading"/>
      </w:pPr>
      <w:r>
        <w:t>Table 114.5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E7037FE" w14:textId="77777777" w:rsidTr="00983324">
        <w:trPr>
          <w:cnfStyle w:val="100000000000" w:firstRow="1" w:lastRow="0" w:firstColumn="0" w:lastColumn="0" w:oddVBand="0" w:evenVBand="0" w:oddHBand="0" w:evenHBand="0" w:firstRowFirstColumn="0" w:firstRowLastColumn="0" w:lastRowFirstColumn="0" w:lastRowLastColumn="0"/>
          <w:trHeight w:val="296"/>
        </w:trPr>
        <w:tc>
          <w:tcPr>
            <w:tcW w:w="6746" w:type="dxa"/>
            <w:noWrap/>
            <w:hideMark/>
          </w:tcPr>
          <w:p w14:paraId="596144BB" w14:textId="77777777" w:rsidR="009D0006" w:rsidRPr="00BC3468" w:rsidRDefault="009D0006" w:rsidP="00983324">
            <w:pPr>
              <w:pStyle w:val="Tableheader"/>
            </w:pPr>
            <w:r>
              <w:t>Psychological distress</w:t>
            </w:r>
          </w:p>
        </w:tc>
        <w:tc>
          <w:tcPr>
            <w:tcW w:w="1559" w:type="dxa"/>
            <w:noWrap/>
            <w:hideMark/>
          </w:tcPr>
          <w:p w14:paraId="03969CEB" w14:textId="77777777" w:rsidR="009D0006" w:rsidRPr="00211ECB" w:rsidRDefault="009D0006" w:rsidP="00983324">
            <w:pPr>
              <w:pStyle w:val="Tableheader"/>
              <w:rPr>
                <w:bCs/>
              </w:rPr>
            </w:pPr>
            <w:r w:rsidRPr="00211ECB">
              <w:rPr>
                <w:bCs/>
              </w:rPr>
              <w:t>n</w:t>
            </w:r>
          </w:p>
        </w:tc>
        <w:tc>
          <w:tcPr>
            <w:tcW w:w="1559" w:type="dxa"/>
            <w:noWrap/>
            <w:hideMark/>
          </w:tcPr>
          <w:p w14:paraId="440E94D3" w14:textId="77777777" w:rsidR="009D0006" w:rsidRPr="00211ECB" w:rsidRDefault="009D0006" w:rsidP="00983324">
            <w:pPr>
              <w:pStyle w:val="Tableheader"/>
              <w:rPr>
                <w:bCs/>
              </w:rPr>
            </w:pPr>
            <w:r w:rsidRPr="00211ECB">
              <w:rPr>
                <w:bCs/>
              </w:rPr>
              <w:t>%</w:t>
            </w:r>
          </w:p>
        </w:tc>
      </w:tr>
      <w:tr w:rsidR="009D0006" w:rsidRPr="00BC3468" w14:paraId="6FE6BD34" w14:textId="77777777" w:rsidTr="00983324">
        <w:trPr>
          <w:cnfStyle w:val="000000100000" w:firstRow="0" w:lastRow="0" w:firstColumn="0" w:lastColumn="0" w:oddVBand="0" w:evenVBand="0" w:oddHBand="1" w:evenHBand="0" w:firstRowFirstColumn="0" w:firstRowLastColumn="0" w:lastRowFirstColumn="0" w:lastRowLastColumn="0"/>
          <w:trHeight w:val="296"/>
        </w:trPr>
        <w:tc>
          <w:tcPr>
            <w:tcW w:w="6746" w:type="dxa"/>
            <w:noWrap/>
            <w:hideMark/>
          </w:tcPr>
          <w:p w14:paraId="32210735" w14:textId="77777777" w:rsidR="009D0006" w:rsidRPr="00BC3468" w:rsidRDefault="009D0006" w:rsidP="00983324">
            <w:pPr>
              <w:pStyle w:val="Tabletext"/>
            </w:pPr>
            <w:r>
              <w:t>Low or moderate</w:t>
            </w:r>
          </w:p>
        </w:tc>
        <w:tc>
          <w:tcPr>
            <w:tcW w:w="1559" w:type="dxa"/>
            <w:noWrap/>
          </w:tcPr>
          <w:p w14:paraId="381E4084" w14:textId="77777777" w:rsidR="009D0006" w:rsidRPr="00BC3468" w:rsidRDefault="009D0006" w:rsidP="00983324">
            <w:pPr>
              <w:pStyle w:val="Tabletext"/>
            </w:pPr>
            <w:r>
              <w:t>93</w:t>
            </w:r>
          </w:p>
        </w:tc>
        <w:tc>
          <w:tcPr>
            <w:tcW w:w="1559" w:type="dxa"/>
            <w:noWrap/>
          </w:tcPr>
          <w:p w14:paraId="7B9DCDA2" w14:textId="77777777" w:rsidR="009D0006" w:rsidRPr="00BC3468" w:rsidRDefault="009D0006" w:rsidP="00983324">
            <w:pPr>
              <w:pStyle w:val="Tabletext"/>
            </w:pPr>
            <w:r>
              <w:t>16.8</w:t>
            </w:r>
          </w:p>
        </w:tc>
      </w:tr>
      <w:tr w:rsidR="009D0006" w:rsidRPr="00BC3468" w14:paraId="216F9534" w14:textId="77777777" w:rsidTr="00983324">
        <w:trPr>
          <w:cnfStyle w:val="000000010000" w:firstRow="0" w:lastRow="0" w:firstColumn="0" w:lastColumn="0" w:oddVBand="0" w:evenVBand="0" w:oddHBand="0" w:evenHBand="1" w:firstRowFirstColumn="0" w:firstRowLastColumn="0" w:lastRowFirstColumn="0" w:lastRowLastColumn="0"/>
          <w:trHeight w:val="296"/>
        </w:trPr>
        <w:tc>
          <w:tcPr>
            <w:tcW w:w="6746" w:type="dxa"/>
            <w:noWrap/>
            <w:hideMark/>
          </w:tcPr>
          <w:p w14:paraId="01F56FC0" w14:textId="77777777" w:rsidR="009D0006" w:rsidRPr="00BC3468" w:rsidRDefault="009D0006" w:rsidP="00983324">
            <w:pPr>
              <w:pStyle w:val="Tabletext"/>
            </w:pPr>
            <w:r>
              <w:t>High or very high</w:t>
            </w:r>
          </w:p>
        </w:tc>
        <w:tc>
          <w:tcPr>
            <w:tcW w:w="1559" w:type="dxa"/>
            <w:noWrap/>
          </w:tcPr>
          <w:p w14:paraId="3FCCD5F7" w14:textId="77777777" w:rsidR="009D0006" w:rsidRPr="00BC3468" w:rsidRDefault="009D0006" w:rsidP="00983324">
            <w:pPr>
              <w:pStyle w:val="Tabletext"/>
            </w:pPr>
            <w:r>
              <w:t>460</w:t>
            </w:r>
          </w:p>
        </w:tc>
        <w:tc>
          <w:tcPr>
            <w:tcW w:w="1559" w:type="dxa"/>
            <w:noWrap/>
          </w:tcPr>
          <w:p w14:paraId="30394DEF" w14:textId="77777777" w:rsidR="009D0006" w:rsidRPr="00BC3468" w:rsidRDefault="009D0006" w:rsidP="00983324">
            <w:pPr>
              <w:pStyle w:val="Tabletext"/>
            </w:pPr>
            <w:r>
              <w:t>83.2</w:t>
            </w:r>
          </w:p>
        </w:tc>
      </w:tr>
    </w:tbl>
    <w:p w14:paraId="50BBBB64" w14:textId="77777777" w:rsidR="009D0006" w:rsidRPr="00C5739E" w:rsidRDefault="009D0006" w:rsidP="00AB4A74">
      <w:pPr>
        <w:spacing w:before="360"/>
        <w:rPr>
          <w:bCs/>
          <w:sz w:val="18"/>
          <w:szCs w:val="18"/>
        </w:rPr>
      </w:pPr>
      <w:r>
        <w:t>As displayed in Tables 114.1-114.5, t</w:t>
      </w:r>
      <w:r w:rsidRPr="007B2E75">
        <w:t>he majority of participants</w:t>
      </w:r>
      <w:r>
        <w:t xml:space="preserve"> with disability</w:t>
      </w:r>
      <w:r w:rsidRPr="007B2E75">
        <w:t xml:space="preserve"> </w:t>
      </w:r>
      <w:r>
        <w:t xml:space="preserve">in </w:t>
      </w:r>
      <w:r>
        <w:rPr>
          <w:i/>
          <w:iCs/>
        </w:rPr>
        <w:t xml:space="preserve">Private Lives 3 </w:t>
      </w:r>
      <w:r>
        <w:t>across all genders reported high or very high levels of psychological distress. More than 80% of trans men reported high or very high psychological distress (83.2%; n = 460), followed by trans women (84.6%; n = 110), non-binary people (83.2%; n = 460), cisgender women (77.1%; n = 919) and cisgender men (69.3%; n = 350).</w:t>
      </w:r>
    </w:p>
    <w:p w14:paraId="4D10BA74" w14:textId="38F8C3D2" w:rsidR="009D0006" w:rsidRPr="00C5739E" w:rsidRDefault="009D0006" w:rsidP="009401DC">
      <w:pPr>
        <w:pStyle w:val="Heading2Numbered"/>
      </w:pPr>
      <w:bookmarkStart w:id="906" w:name="_Toc115968661"/>
      <w:bookmarkStart w:id="907" w:name="_Toc119662479"/>
      <w:r w:rsidRPr="00C5739E">
        <w:t>Experiences of discrimination, harassment and assault</w:t>
      </w:r>
      <w:bookmarkEnd w:id="906"/>
      <w:bookmarkEnd w:id="907"/>
    </w:p>
    <w:p w14:paraId="15CDC6CA" w14:textId="3A7D2921" w:rsidR="009D0006" w:rsidRPr="00C5739E" w:rsidRDefault="009D0006" w:rsidP="009401DC">
      <w:pPr>
        <w:pStyle w:val="Heading3Numbered"/>
      </w:pPr>
      <w:bookmarkStart w:id="908" w:name="_Toc115968662"/>
      <w:r>
        <w:t>H</w:t>
      </w:r>
      <w:r w:rsidRPr="00C5739E">
        <w:t>arassment or assault in the past 12 months – young people aged 14-21 years</w:t>
      </w:r>
      <w:bookmarkEnd w:id="908"/>
    </w:p>
    <w:p w14:paraId="124FF446" w14:textId="77777777" w:rsidR="009D0006" w:rsidRPr="00C5739E" w:rsidRDefault="009D0006" w:rsidP="009D0006">
      <w:r w:rsidRPr="00C5739E">
        <w:t xml:space="preserve">Participants </w:t>
      </w:r>
      <w:r>
        <w:t xml:space="preserve">from </w:t>
      </w:r>
      <w:r w:rsidRPr="002D0458">
        <w:rPr>
          <w:i/>
          <w:iCs/>
        </w:rPr>
        <w:t>Writing Themselves In 4</w:t>
      </w:r>
      <w:r>
        <w:t xml:space="preserve"> </w:t>
      </w:r>
      <w:r w:rsidRPr="00C5739E">
        <w:t xml:space="preserve">were asked if they had experienced any of the following </w:t>
      </w:r>
      <w:r>
        <w:t xml:space="preserve">forms of </w:t>
      </w:r>
      <w:r w:rsidRPr="00C5739E">
        <w:t>harassment or assault based on their sexuality or gender identity in the past 12 months:</w:t>
      </w:r>
    </w:p>
    <w:p w14:paraId="205AE072" w14:textId="77777777" w:rsidR="009D0006" w:rsidRPr="00C5739E" w:rsidRDefault="009D0006" w:rsidP="00660CDF">
      <w:pPr>
        <w:pStyle w:val="Bulletlist"/>
        <w:rPr>
          <w:lang w:val="en-US"/>
        </w:rPr>
      </w:pPr>
      <w:r w:rsidRPr="00C5739E">
        <w:rPr>
          <w:lang w:val="en-US"/>
        </w:rPr>
        <w:t>Verbal (e.g.</w:t>
      </w:r>
      <w:r>
        <w:rPr>
          <w:lang w:val="en-US"/>
        </w:rPr>
        <w:t>,</w:t>
      </w:r>
      <w:r w:rsidRPr="00C5739E">
        <w:rPr>
          <w:lang w:val="en-US"/>
        </w:rPr>
        <w:t xml:space="preserve"> been called names or threatened)</w:t>
      </w:r>
    </w:p>
    <w:p w14:paraId="59614609" w14:textId="77777777" w:rsidR="009D0006" w:rsidRPr="00C5739E" w:rsidRDefault="009D0006" w:rsidP="00660CDF">
      <w:pPr>
        <w:pStyle w:val="Bulletlist"/>
        <w:rPr>
          <w:lang w:val="en-US"/>
        </w:rPr>
      </w:pPr>
      <w:r w:rsidRPr="00C5739E">
        <w:rPr>
          <w:lang w:val="en-US"/>
        </w:rPr>
        <w:t>Physical (e.g.</w:t>
      </w:r>
      <w:r>
        <w:rPr>
          <w:lang w:val="en-US"/>
        </w:rPr>
        <w:t>,</w:t>
      </w:r>
      <w:r w:rsidRPr="00C5739E">
        <w:rPr>
          <w:lang w:val="en-US"/>
        </w:rPr>
        <w:t xml:space="preserve"> being shoved, punched or injured with a weapon)</w:t>
      </w:r>
    </w:p>
    <w:p w14:paraId="03C8B232" w14:textId="77777777" w:rsidR="009D0006" w:rsidRPr="00C5739E" w:rsidRDefault="009D0006" w:rsidP="00660CDF">
      <w:pPr>
        <w:pStyle w:val="Bulletlist"/>
        <w:rPr>
          <w:lang w:val="en-US"/>
        </w:rPr>
      </w:pPr>
      <w:r w:rsidRPr="00C5739E">
        <w:rPr>
          <w:lang w:val="en-US"/>
        </w:rPr>
        <w:t>Sexual (e.g.</w:t>
      </w:r>
      <w:r>
        <w:rPr>
          <w:lang w:val="en-US"/>
        </w:rPr>
        <w:t>,</w:t>
      </w:r>
      <w:r w:rsidRPr="00C5739E">
        <w:rPr>
          <w:lang w:val="en-US"/>
        </w:rPr>
        <w:t xml:space="preserve"> unwanted touching, sexual remarks, sexual messages or being forced to perform any unwanted sexual act)</w:t>
      </w:r>
    </w:p>
    <w:p w14:paraId="4568E35B" w14:textId="0204FB84" w:rsidR="009D0006" w:rsidRDefault="009D0006" w:rsidP="00660CDF">
      <w:pPr>
        <w:pStyle w:val="Tableheading"/>
      </w:pPr>
      <w:bookmarkStart w:id="909" w:name="_Toc117062832"/>
      <w:bookmarkStart w:id="910" w:name="_Toc119651517"/>
      <w:r w:rsidRPr="002D0458">
        <w:rPr>
          <w:bCs/>
        </w:rPr>
        <w:t xml:space="preserve">Table </w:t>
      </w:r>
      <w:r w:rsidRPr="002D0458">
        <w:rPr>
          <w:bCs/>
        </w:rPr>
        <w:fldChar w:fldCharType="begin"/>
      </w:r>
      <w:r w:rsidRPr="002D0458">
        <w:rPr>
          <w:bCs/>
        </w:rPr>
        <w:instrText xml:space="preserve"> SE</w:instrText>
      </w:r>
      <w:r w:rsidRPr="002D0458">
        <w:rPr>
          <w:bCs/>
        </w:rPr>
        <w:lastRenderedPageBreak/>
        <w:instrText xml:space="preserve">Q Table \* ARABIC </w:instrText>
      </w:r>
      <w:r w:rsidRPr="002D0458">
        <w:rPr>
          <w:bCs/>
        </w:rPr>
        <w:fldChar w:fldCharType="separate"/>
      </w:r>
      <w:r>
        <w:rPr>
          <w:bCs/>
          <w:noProof/>
        </w:rPr>
        <w:t>115</w:t>
      </w:r>
      <w:r w:rsidRPr="002D0458">
        <w:rPr>
          <w:bCs/>
        </w:rPr>
        <w:fldChar w:fldCharType="end"/>
      </w:r>
      <w:r>
        <w:rPr>
          <w:bCs/>
        </w:rPr>
        <w:t>.1-115.5</w:t>
      </w:r>
      <w:r>
        <w:t xml:space="preserve">: </w:t>
      </w:r>
      <w:r w:rsidRPr="00C5739E">
        <w:t xml:space="preserve">Experiences of </w:t>
      </w:r>
      <w:r>
        <w:t xml:space="preserve">verbal (n = 2325), physical (n = 2066) or sexual (n = 2139) </w:t>
      </w:r>
      <w:r w:rsidRPr="00C5739E">
        <w:t xml:space="preserve">harassment </w:t>
      </w:r>
      <w:r>
        <w:t xml:space="preserve">or assault </w:t>
      </w:r>
      <w:r w:rsidRPr="00C5739E">
        <w:t xml:space="preserve">relating to sexuality or gender identity </w:t>
      </w:r>
      <w:r>
        <w:t>among young people with disability aged 14-21 years, grouped by gender</w:t>
      </w:r>
      <w:bookmarkEnd w:id="909"/>
      <w:bookmarkEnd w:id="910"/>
    </w:p>
    <w:p w14:paraId="63E706ED" w14:textId="77777777" w:rsidR="009D0006" w:rsidRPr="00C5739E" w:rsidRDefault="009D0006" w:rsidP="00660CDF">
      <w:pPr>
        <w:pStyle w:val="Tableheading"/>
      </w:pPr>
      <w:r>
        <w:t>Table 115.1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F58A733" w14:textId="77777777" w:rsidTr="00660CDF">
        <w:trPr>
          <w:cnfStyle w:val="100000000000" w:firstRow="1" w:lastRow="0" w:firstColumn="0" w:lastColumn="0" w:oddVBand="0" w:evenVBand="0" w:oddHBand="0" w:evenHBand="0" w:firstRowFirstColumn="0" w:firstRowLastColumn="0" w:lastRowFirstColumn="0" w:lastRowLastColumn="0"/>
          <w:trHeight w:val="287"/>
        </w:trPr>
        <w:tc>
          <w:tcPr>
            <w:tcW w:w="6746" w:type="dxa"/>
            <w:noWrap/>
            <w:hideMark/>
          </w:tcPr>
          <w:p w14:paraId="3101AF61" w14:textId="77777777" w:rsidR="009D0006" w:rsidRPr="00BC3468" w:rsidRDefault="009D0006" w:rsidP="00660CDF">
            <w:pPr>
              <w:pStyle w:val="Tableheader"/>
            </w:pPr>
            <w:r>
              <w:t>Harassment or assault in past 12 months</w:t>
            </w:r>
          </w:p>
        </w:tc>
        <w:tc>
          <w:tcPr>
            <w:tcW w:w="1559" w:type="dxa"/>
            <w:noWrap/>
            <w:hideMark/>
          </w:tcPr>
          <w:p w14:paraId="28B1EAB1" w14:textId="77777777" w:rsidR="009D0006" w:rsidRPr="006341B3" w:rsidRDefault="009D0006" w:rsidP="00660CDF">
            <w:pPr>
              <w:pStyle w:val="Tableheader"/>
              <w:rPr>
                <w:bCs/>
              </w:rPr>
            </w:pPr>
            <w:r w:rsidRPr="006341B3">
              <w:rPr>
                <w:bCs/>
              </w:rPr>
              <w:t>n</w:t>
            </w:r>
          </w:p>
        </w:tc>
        <w:tc>
          <w:tcPr>
            <w:tcW w:w="1559" w:type="dxa"/>
            <w:noWrap/>
            <w:hideMark/>
          </w:tcPr>
          <w:p w14:paraId="4C854298" w14:textId="77777777" w:rsidR="009D0006" w:rsidRPr="006341B3" w:rsidRDefault="009D0006" w:rsidP="00660CDF">
            <w:pPr>
              <w:pStyle w:val="Tableheader"/>
              <w:rPr>
                <w:bCs/>
              </w:rPr>
            </w:pPr>
            <w:r w:rsidRPr="006341B3">
              <w:rPr>
                <w:bCs/>
              </w:rPr>
              <w:t>%</w:t>
            </w:r>
          </w:p>
        </w:tc>
      </w:tr>
      <w:tr w:rsidR="009D0006" w:rsidRPr="00BC3468" w14:paraId="71391897" w14:textId="77777777" w:rsidTr="00660CDF">
        <w:trPr>
          <w:cnfStyle w:val="000000100000" w:firstRow="0" w:lastRow="0" w:firstColumn="0" w:lastColumn="0" w:oddVBand="0" w:evenVBand="0" w:oddHBand="1" w:evenHBand="0" w:firstRowFirstColumn="0" w:firstRowLastColumn="0" w:lastRowFirstColumn="0" w:lastRowLastColumn="0"/>
          <w:trHeight w:val="287"/>
        </w:trPr>
        <w:tc>
          <w:tcPr>
            <w:tcW w:w="6746" w:type="dxa"/>
            <w:noWrap/>
            <w:hideMark/>
          </w:tcPr>
          <w:p w14:paraId="77130B2B" w14:textId="77777777" w:rsidR="009D0006" w:rsidRPr="00C42CEA" w:rsidRDefault="009D0006" w:rsidP="00660CDF">
            <w:pPr>
              <w:pStyle w:val="Tabletext"/>
            </w:pPr>
            <w:r w:rsidRPr="00C42CEA">
              <w:t>Verbal</w:t>
            </w:r>
          </w:p>
        </w:tc>
        <w:tc>
          <w:tcPr>
            <w:tcW w:w="1559" w:type="dxa"/>
            <w:noWrap/>
          </w:tcPr>
          <w:p w14:paraId="30A060F1" w14:textId="77777777" w:rsidR="009D0006" w:rsidRPr="00C42CEA" w:rsidRDefault="009D0006" w:rsidP="00660CDF">
            <w:pPr>
              <w:pStyle w:val="Tabletext"/>
            </w:pPr>
            <w:r w:rsidRPr="00C42CEA">
              <w:t>393</w:t>
            </w:r>
          </w:p>
        </w:tc>
        <w:tc>
          <w:tcPr>
            <w:tcW w:w="1559" w:type="dxa"/>
            <w:noWrap/>
          </w:tcPr>
          <w:p w14:paraId="13B3BBD2" w14:textId="77777777" w:rsidR="009D0006" w:rsidRPr="00C42CEA" w:rsidRDefault="009D0006" w:rsidP="00660CDF">
            <w:pPr>
              <w:pStyle w:val="Tabletext"/>
            </w:pPr>
            <w:r w:rsidRPr="00C42CEA">
              <w:t>35.3</w:t>
            </w:r>
          </w:p>
        </w:tc>
      </w:tr>
      <w:tr w:rsidR="009D0006" w:rsidRPr="00BC3468" w14:paraId="524608E7" w14:textId="77777777" w:rsidTr="00660CDF">
        <w:trPr>
          <w:cnfStyle w:val="000000010000" w:firstRow="0" w:lastRow="0" w:firstColumn="0" w:lastColumn="0" w:oddVBand="0" w:evenVBand="0" w:oddHBand="0" w:evenHBand="1" w:firstRowFirstColumn="0" w:firstRowLastColumn="0" w:lastRowFirstColumn="0" w:lastRowLastColumn="0"/>
          <w:trHeight w:val="287"/>
        </w:trPr>
        <w:tc>
          <w:tcPr>
            <w:tcW w:w="6746" w:type="dxa"/>
            <w:noWrap/>
            <w:hideMark/>
          </w:tcPr>
          <w:p w14:paraId="367146A0" w14:textId="77777777" w:rsidR="009D0006" w:rsidRPr="00C42CEA" w:rsidRDefault="009D0006" w:rsidP="00660CDF">
            <w:pPr>
              <w:pStyle w:val="Tabletext"/>
            </w:pPr>
            <w:r w:rsidRPr="00C42CEA">
              <w:t>Physical</w:t>
            </w:r>
          </w:p>
        </w:tc>
        <w:tc>
          <w:tcPr>
            <w:tcW w:w="1559" w:type="dxa"/>
            <w:noWrap/>
          </w:tcPr>
          <w:p w14:paraId="32AF4603" w14:textId="77777777" w:rsidR="009D0006" w:rsidRPr="00C42CEA" w:rsidRDefault="009D0006" w:rsidP="00660CDF">
            <w:pPr>
              <w:pStyle w:val="Tabletext"/>
            </w:pPr>
            <w:r w:rsidRPr="00C42CEA">
              <w:t>71</w:t>
            </w:r>
          </w:p>
        </w:tc>
        <w:tc>
          <w:tcPr>
            <w:tcW w:w="1559" w:type="dxa"/>
            <w:noWrap/>
          </w:tcPr>
          <w:p w14:paraId="091DAB6C" w14:textId="77777777" w:rsidR="009D0006" w:rsidRPr="00C42CEA" w:rsidRDefault="009D0006" w:rsidP="00660CDF">
            <w:pPr>
              <w:pStyle w:val="Tabletext"/>
            </w:pPr>
            <w:r w:rsidRPr="00C42CEA">
              <w:t>7.2</w:t>
            </w:r>
          </w:p>
        </w:tc>
      </w:tr>
      <w:tr w:rsidR="009D0006" w:rsidRPr="00BC3468" w14:paraId="143CB1B6" w14:textId="77777777" w:rsidTr="00660CDF">
        <w:trPr>
          <w:cnfStyle w:val="000000100000" w:firstRow="0" w:lastRow="0" w:firstColumn="0" w:lastColumn="0" w:oddVBand="0" w:evenVBand="0" w:oddHBand="1" w:evenHBand="0" w:firstRowFirstColumn="0" w:firstRowLastColumn="0" w:lastRowFirstColumn="0" w:lastRowLastColumn="0"/>
          <w:trHeight w:val="287"/>
        </w:trPr>
        <w:tc>
          <w:tcPr>
            <w:tcW w:w="6746" w:type="dxa"/>
            <w:noWrap/>
            <w:hideMark/>
          </w:tcPr>
          <w:p w14:paraId="63D0685F" w14:textId="77777777" w:rsidR="009D0006" w:rsidRPr="00C42CEA" w:rsidRDefault="009D0006" w:rsidP="00660CDF">
            <w:pPr>
              <w:pStyle w:val="Tabletext"/>
            </w:pPr>
            <w:r w:rsidRPr="00C42CEA">
              <w:t>Sexual</w:t>
            </w:r>
          </w:p>
        </w:tc>
        <w:tc>
          <w:tcPr>
            <w:tcW w:w="1559" w:type="dxa"/>
            <w:noWrap/>
          </w:tcPr>
          <w:p w14:paraId="4D40F847" w14:textId="77777777" w:rsidR="009D0006" w:rsidRPr="00C42CEA" w:rsidRDefault="009D0006" w:rsidP="00660CDF">
            <w:pPr>
              <w:pStyle w:val="Tabletext"/>
            </w:pPr>
            <w:r w:rsidRPr="00C42CEA">
              <w:t>290</w:t>
            </w:r>
          </w:p>
        </w:tc>
        <w:tc>
          <w:tcPr>
            <w:tcW w:w="1559" w:type="dxa"/>
            <w:noWrap/>
          </w:tcPr>
          <w:p w14:paraId="5081879F" w14:textId="77777777" w:rsidR="009D0006" w:rsidRPr="00C42CEA" w:rsidRDefault="009D0006" w:rsidP="00660CDF">
            <w:pPr>
              <w:pStyle w:val="Tabletext"/>
            </w:pPr>
            <w:r w:rsidRPr="00C42CEA">
              <w:t>28.4</w:t>
            </w:r>
          </w:p>
        </w:tc>
      </w:tr>
    </w:tbl>
    <w:p w14:paraId="777A4983" w14:textId="77777777" w:rsidR="009D0006" w:rsidRDefault="009D0006" w:rsidP="00660CDF">
      <w:pPr>
        <w:pStyle w:val="Tableheading"/>
      </w:pPr>
      <w:r>
        <w:t>Table 115.2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D565213" w14:textId="77777777" w:rsidTr="00660CDF">
        <w:trPr>
          <w:cnfStyle w:val="100000000000" w:firstRow="1" w:lastRow="0" w:firstColumn="0" w:lastColumn="0" w:oddVBand="0" w:evenVBand="0" w:oddHBand="0" w:evenHBand="0" w:firstRowFirstColumn="0" w:firstRowLastColumn="0" w:lastRowFirstColumn="0" w:lastRowLastColumn="0"/>
          <w:trHeight w:val="440"/>
        </w:trPr>
        <w:tc>
          <w:tcPr>
            <w:tcW w:w="6746" w:type="dxa"/>
            <w:noWrap/>
            <w:hideMark/>
          </w:tcPr>
          <w:p w14:paraId="296321D9" w14:textId="77777777" w:rsidR="009D0006" w:rsidRPr="00BC3468" w:rsidRDefault="009D0006" w:rsidP="00660CDF">
            <w:pPr>
              <w:pStyle w:val="Tableheader"/>
            </w:pPr>
            <w:r>
              <w:t>Harassment or assault in past 12 months</w:t>
            </w:r>
          </w:p>
        </w:tc>
        <w:tc>
          <w:tcPr>
            <w:tcW w:w="1559" w:type="dxa"/>
            <w:noWrap/>
            <w:hideMark/>
          </w:tcPr>
          <w:p w14:paraId="5B165407" w14:textId="77777777" w:rsidR="009D0006" w:rsidRPr="006341B3" w:rsidRDefault="009D0006" w:rsidP="00660CDF">
            <w:pPr>
              <w:pStyle w:val="Tableheader"/>
              <w:rPr>
                <w:bCs/>
              </w:rPr>
            </w:pPr>
            <w:r w:rsidRPr="006341B3">
              <w:rPr>
                <w:bCs/>
              </w:rPr>
              <w:t>n</w:t>
            </w:r>
          </w:p>
        </w:tc>
        <w:tc>
          <w:tcPr>
            <w:tcW w:w="1559" w:type="dxa"/>
            <w:noWrap/>
            <w:hideMark/>
          </w:tcPr>
          <w:p w14:paraId="02A2745A" w14:textId="77777777" w:rsidR="009D0006" w:rsidRPr="006341B3" w:rsidRDefault="009D0006" w:rsidP="00660CDF">
            <w:pPr>
              <w:pStyle w:val="Tableheader"/>
              <w:rPr>
                <w:bCs/>
              </w:rPr>
            </w:pPr>
            <w:r w:rsidRPr="006341B3">
              <w:rPr>
                <w:bCs/>
              </w:rPr>
              <w:t>%</w:t>
            </w:r>
          </w:p>
        </w:tc>
      </w:tr>
      <w:tr w:rsidR="009D0006" w:rsidRPr="00BC3468" w14:paraId="200628B9" w14:textId="77777777" w:rsidTr="00660CDF">
        <w:trPr>
          <w:cnfStyle w:val="000000100000" w:firstRow="0" w:lastRow="0" w:firstColumn="0" w:lastColumn="0" w:oddVBand="0" w:evenVBand="0" w:oddHBand="1" w:evenHBand="0" w:firstRowFirstColumn="0" w:firstRowLastColumn="0" w:lastRowFirstColumn="0" w:lastRowLastColumn="0"/>
          <w:trHeight w:val="253"/>
        </w:trPr>
        <w:tc>
          <w:tcPr>
            <w:tcW w:w="6746" w:type="dxa"/>
            <w:noWrap/>
            <w:hideMark/>
          </w:tcPr>
          <w:p w14:paraId="63977147" w14:textId="77777777" w:rsidR="009D0006" w:rsidRPr="00C42CEA" w:rsidRDefault="009D0006" w:rsidP="00660CDF">
            <w:pPr>
              <w:pStyle w:val="Tabletext"/>
            </w:pPr>
            <w:r w:rsidRPr="00C42CEA">
              <w:t>Verbal</w:t>
            </w:r>
          </w:p>
        </w:tc>
        <w:tc>
          <w:tcPr>
            <w:tcW w:w="1559" w:type="dxa"/>
            <w:noWrap/>
          </w:tcPr>
          <w:p w14:paraId="43E1A17C" w14:textId="77777777" w:rsidR="009D0006" w:rsidRPr="00C42CEA" w:rsidRDefault="009D0006" w:rsidP="00660CDF">
            <w:pPr>
              <w:pStyle w:val="Tabletext"/>
            </w:pPr>
            <w:r w:rsidRPr="00C42CEA">
              <w:t>159</w:t>
            </w:r>
          </w:p>
        </w:tc>
        <w:tc>
          <w:tcPr>
            <w:tcW w:w="1559" w:type="dxa"/>
            <w:noWrap/>
          </w:tcPr>
          <w:p w14:paraId="41FCF314" w14:textId="77777777" w:rsidR="009D0006" w:rsidRPr="00C42CEA" w:rsidRDefault="009D0006" w:rsidP="00660CDF">
            <w:pPr>
              <w:pStyle w:val="Tabletext"/>
            </w:pPr>
            <w:r w:rsidRPr="00C42CEA">
              <w:t>54.6</w:t>
            </w:r>
          </w:p>
        </w:tc>
      </w:tr>
      <w:tr w:rsidR="009D0006" w:rsidRPr="00BC3468" w14:paraId="4F60212D" w14:textId="77777777" w:rsidTr="00660CDF">
        <w:trPr>
          <w:cnfStyle w:val="000000010000" w:firstRow="0" w:lastRow="0" w:firstColumn="0" w:lastColumn="0" w:oddVBand="0" w:evenVBand="0" w:oddHBand="0" w:evenHBand="1" w:firstRowFirstColumn="0" w:firstRowLastColumn="0" w:lastRowFirstColumn="0" w:lastRowLastColumn="0"/>
          <w:trHeight w:val="274"/>
        </w:trPr>
        <w:tc>
          <w:tcPr>
            <w:tcW w:w="6746" w:type="dxa"/>
            <w:noWrap/>
            <w:hideMark/>
          </w:tcPr>
          <w:p w14:paraId="27550E9C" w14:textId="77777777" w:rsidR="009D0006" w:rsidRPr="00C42CEA" w:rsidRDefault="009D0006" w:rsidP="00660CDF">
            <w:pPr>
              <w:pStyle w:val="Tabletext"/>
            </w:pPr>
            <w:r w:rsidRPr="00C42CEA">
              <w:t>Physical</w:t>
            </w:r>
          </w:p>
        </w:tc>
        <w:tc>
          <w:tcPr>
            <w:tcW w:w="1559" w:type="dxa"/>
            <w:noWrap/>
          </w:tcPr>
          <w:p w14:paraId="051E4281" w14:textId="77777777" w:rsidR="009D0006" w:rsidRPr="00C42CEA" w:rsidRDefault="009D0006" w:rsidP="00660CDF">
            <w:pPr>
              <w:pStyle w:val="Tabletext"/>
            </w:pPr>
            <w:r w:rsidRPr="00C42CEA">
              <w:t>47</w:t>
            </w:r>
          </w:p>
        </w:tc>
        <w:tc>
          <w:tcPr>
            <w:tcW w:w="1559" w:type="dxa"/>
            <w:noWrap/>
          </w:tcPr>
          <w:p w14:paraId="74E9FB71" w14:textId="77777777" w:rsidR="009D0006" w:rsidRPr="00C42CEA" w:rsidRDefault="009D0006" w:rsidP="00660CDF">
            <w:pPr>
              <w:pStyle w:val="Tabletext"/>
            </w:pPr>
            <w:r w:rsidRPr="00C42CEA">
              <w:t>18.4</w:t>
            </w:r>
          </w:p>
        </w:tc>
      </w:tr>
      <w:tr w:rsidR="009D0006" w:rsidRPr="00BC3468" w14:paraId="23B29890" w14:textId="77777777" w:rsidTr="00660CDF">
        <w:trPr>
          <w:cnfStyle w:val="000000100000" w:firstRow="0" w:lastRow="0" w:firstColumn="0" w:lastColumn="0" w:oddVBand="0" w:evenVBand="0" w:oddHBand="1" w:evenHBand="0" w:firstRowFirstColumn="0" w:firstRowLastColumn="0" w:lastRowFirstColumn="0" w:lastRowLastColumn="0"/>
          <w:trHeight w:val="51"/>
        </w:trPr>
        <w:tc>
          <w:tcPr>
            <w:tcW w:w="6746" w:type="dxa"/>
            <w:noWrap/>
            <w:hideMark/>
          </w:tcPr>
          <w:p w14:paraId="35E59064" w14:textId="77777777" w:rsidR="009D0006" w:rsidRPr="00C42CEA" w:rsidRDefault="009D0006" w:rsidP="00660CDF">
            <w:pPr>
              <w:pStyle w:val="Tabletext"/>
            </w:pPr>
            <w:r w:rsidRPr="00C42CEA">
              <w:t>Sexual</w:t>
            </w:r>
          </w:p>
        </w:tc>
        <w:tc>
          <w:tcPr>
            <w:tcW w:w="1559" w:type="dxa"/>
            <w:noWrap/>
          </w:tcPr>
          <w:p w14:paraId="42E12C63" w14:textId="77777777" w:rsidR="009D0006" w:rsidRPr="00C42CEA" w:rsidRDefault="009D0006" w:rsidP="00660CDF">
            <w:pPr>
              <w:pStyle w:val="Tabletext"/>
            </w:pPr>
            <w:r w:rsidRPr="00C42CEA">
              <w:t>75</w:t>
            </w:r>
          </w:p>
        </w:tc>
        <w:tc>
          <w:tcPr>
            <w:tcW w:w="1559" w:type="dxa"/>
            <w:noWrap/>
          </w:tcPr>
          <w:p w14:paraId="5370A68F" w14:textId="77777777" w:rsidR="009D0006" w:rsidRPr="00C42CEA" w:rsidRDefault="009D0006" w:rsidP="00660CDF">
            <w:pPr>
              <w:pStyle w:val="Tabletext"/>
            </w:pPr>
            <w:r w:rsidRPr="00C42CEA">
              <w:t>28.6</w:t>
            </w:r>
          </w:p>
        </w:tc>
      </w:tr>
    </w:tbl>
    <w:p w14:paraId="15939346" w14:textId="77777777" w:rsidR="009D0006" w:rsidRDefault="009D0006" w:rsidP="00660CDF">
      <w:pPr>
        <w:pStyle w:val="Tableheader"/>
      </w:pPr>
      <w:r>
        <w:t>Table 115.3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FC4A48E" w14:textId="77777777" w:rsidTr="00660CDF">
        <w:trPr>
          <w:cnfStyle w:val="100000000000" w:firstRow="1" w:lastRow="0" w:firstColumn="0" w:lastColumn="0" w:oddVBand="0" w:evenVBand="0" w:oddHBand="0" w:evenHBand="0" w:firstRowFirstColumn="0" w:firstRowLastColumn="0" w:lastRowFirstColumn="0" w:lastRowLastColumn="0"/>
          <w:trHeight w:val="299"/>
        </w:trPr>
        <w:tc>
          <w:tcPr>
            <w:tcW w:w="6746" w:type="dxa"/>
            <w:noWrap/>
            <w:hideMark/>
          </w:tcPr>
          <w:p w14:paraId="5985986E" w14:textId="77777777" w:rsidR="009D0006" w:rsidRPr="00BC3468" w:rsidRDefault="009D0006" w:rsidP="00660CDF">
            <w:pPr>
              <w:pStyle w:val="Tableheader"/>
            </w:pPr>
            <w:r>
              <w:t>Harassment or assault in past 12 months</w:t>
            </w:r>
          </w:p>
        </w:tc>
        <w:tc>
          <w:tcPr>
            <w:tcW w:w="1559" w:type="dxa"/>
          </w:tcPr>
          <w:p w14:paraId="7535900B" w14:textId="77777777" w:rsidR="009D0006" w:rsidRPr="006341B3" w:rsidRDefault="009D0006" w:rsidP="00660CDF">
            <w:pPr>
              <w:pStyle w:val="Tableheader"/>
              <w:rPr>
                <w:bCs/>
              </w:rPr>
            </w:pPr>
            <w:r w:rsidRPr="006341B3">
              <w:rPr>
                <w:bCs/>
              </w:rPr>
              <w:t>n</w:t>
            </w:r>
          </w:p>
        </w:tc>
        <w:tc>
          <w:tcPr>
            <w:tcW w:w="1559" w:type="dxa"/>
          </w:tcPr>
          <w:p w14:paraId="22E3FF44" w14:textId="77777777" w:rsidR="009D0006" w:rsidRPr="006341B3" w:rsidRDefault="009D0006" w:rsidP="00660CDF">
            <w:pPr>
              <w:pStyle w:val="Tableheader"/>
              <w:rPr>
                <w:bCs/>
              </w:rPr>
            </w:pPr>
            <w:r w:rsidRPr="006341B3">
              <w:rPr>
                <w:bCs/>
              </w:rPr>
              <w:t>%</w:t>
            </w:r>
          </w:p>
        </w:tc>
      </w:tr>
      <w:tr w:rsidR="009D0006" w:rsidRPr="00BC3468" w14:paraId="1533F5E7" w14:textId="77777777" w:rsidTr="00660CDF">
        <w:trPr>
          <w:cnfStyle w:val="000000100000" w:firstRow="0" w:lastRow="0" w:firstColumn="0" w:lastColumn="0" w:oddVBand="0" w:evenVBand="0" w:oddHBand="1" w:evenHBand="0" w:firstRowFirstColumn="0" w:firstRowLastColumn="0" w:lastRowFirstColumn="0" w:lastRowLastColumn="0"/>
          <w:trHeight w:val="299"/>
        </w:trPr>
        <w:tc>
          <w:tcPr>
            <w:tcW w:w="6746" w:type="dxa"/>
            <w:noWrap/>
            <w:hideMark/>
          </w:tcPr>
          <w:p w14:paraId="55E98EB0" w14:textId="77777777" w:rsidR="009D0006" w:rsidRPr="00C42CEA" w:rsidRDefault="009D0006" w:rsidP="00660CDF">
            <w:pPr>
              <w:pStyle w:val="Tabletext"/>
            </w:pPr>
            <w:r w:rsidRPr="00C42CEA">
              <w:t>Verbal</w:t>
            </w:r>
          </w:p>
        </w:tc>
        <w:tc>
          <w:tcPr>
            <w:tcW w:w="1559" w:type="dxa"/>
          </w:tcPr>
          <w:p w14:paraId="7C13CB21" w14:textId="77777777" w:rsidR="009D0006" w:rsidRPr="00C42CEA" w:rsidRDefault="009D0006" w:rsidP="00660CDF">
            <w:pPr>
              <w:pStyle w:val="Tabletext"/>
            </w:pPr>
            <w:r w:rsidRPr="00C42CEA">
              <w:t>31</w:t>
            </w:r>
          </w:p>
        </w:tc>
        <w:tc>
          <w:tcPr>
            <w:tcW w:w="1559" w:type="dxa"/>
          </w:tcPr>
          <w:p w14:paraId="1E649EFC" w14:textId="77777777" w:rsidR="009D0006" w:rsidRPr="00C42CEA" w:rsidRDefault="009D0006" w:rsidP="00660CDF">
            <w:pPr>
              <w:pStyle w:val="Tabletext"/>
            </w:pPr>
            <w:r w:rsidRPr="00C42CEA">
              <w:t>68.9</w:t>
            </w:r>
          </w:p>
        </w:tc>
      </w:tr>
      <w:tr w:rsidR="009D0006" w:rsidRPr="00BC3468" w14:paraId="19F0791B" w14:textId="77777777" w:rsidTr="00660CDF">
        <w:trPr>
          <w:cnfStyle w:val="000000010000" w:firstRow="0" w:lastRow="0" w:firstColumn="0" w:lastColumn="0" w:oddVBand="0" w:evenVBand="0" w:oddHBand="0" w:evenHBand="1" w:firstRowFirstColumn="0" w:firstRowLastColumn="0" w:lastRowFirstColumn="0" w:lastRowLastColumn="0"/>
          <w:trHeight w:val="299"/>
        </w:trPr>
        <w:tc>
          <w:tcPr>
            <w:tcW w:w="6746" w:type="dxa"/>
            <w:noWrap/>
            <w:hideMark/>
          </w:tcPr>
          <w:p w14:paraId="056D55EB" w14:textId="77777777" w:rsidR="009D0006" w:rsidRPr="00C42CEA" w:rsidRDefault="009D0006" w:rsidP="00660CDF">
            <w:pPr>
              <w:pStyle w:val="Tabletext"/>
            </w:pPr>
            <w:r w:rsidRPr="00C42CEA">
              <w:t>Physical</w:t>
            </w:r>
          </w:p>
        </w:tc>
        <w:tc>
          <w:tcPr>
            <w:tcW w:w="1559" w:type="dxa"/>
          </w:tcPr>
          <w:p w14:paraId="4E85D849" w14:textId="77777777" w:rsidR="009D0006" w:rsidRPr="00C42CEA" w:rsidRDefault="009D0006" w:rsidP="00660CDF">
            <w:pPr>
              <w:pStyle w:val="Tabletext"/>
            </w:pPr>
            <w:r w:rsidRPr="00C42CEA">
              <w:t>8</w:t>
            </w:r>
          </w:p>
        </w:tc>
        <w:tc>
          <w:tcPr>
            <w:tcW w:w="1559" w:type="dxa"/>
          </w:tcPr>
          <w:p w14:paraId="7FC74008" w14:textId="77777777" w:rsidR="009D0006" w:rsidRPr="00C42CEA" w:rsidRDefault="009D0006" w:rsidP="00660CDF">
            <w:pPr>
              <w:pStyle w:val="Tabletext"/>
            </w:pPr>
            <w:r w:rsidRPr="00C42CEA">
              <w:t>21.1</w:t>
            </w:r>
          </w:p>
        </w:tc>
      </w:tr>
      <w:tr w:rsidR="009D0006" w:rsidRPr="00BC3468" w14:paraId="33022A48" w14:textId="77777777" w:rsidTr="00660CDF">
        <w:trPr>
          <w:cnfStyle w:val="000000100000" w:firstRow="0" w:lastRow="0" w:firstColumn="0" w:lastColumn="0" w:oddVBand="0" w:evenVBand="0" w:oddHBand="1" w:evenHBand="0" w:firstRowFirstColumn="0" w:firstRowLastColumn="0" w:lastRowFirstColumn="0" w:lastRowLastColumn="0"/>
          <w:trHeight w:val="299"/>
        </w:trPr>
        <w:tc>
          <w:tcPr>
            <w:tcW w:w="6746" w:type="dxa"/>
            <w:noWrap/>
            <w:hideMark/>
          </w:tcPr>
          <w:p w14:paraId="3962C093" w14:textId="77777777" w:rsidR="009D0006" w:rsidRPr="00C42CEA" w:rsidRDefault="009D0006" w:rsidP="00660CDF">
            <w:pPr>
              <w:pStyle w:val="Tabletext"/>
            </w:pPr>
            <w:r w:rsidRPr="00C42CEA">
              <w:t>Sexual</w:t>
            </w:r>
          </w:p>
        </w:tc>
        <w:tc>
          <w:tcPr>
            <w:tcW w:w="1559" w:type="dxa"/>
          </w:tcPr>
          <w:p w14:paraId="1C8290FC" w14:textId="77777777" w:rsidR="009D0006" w:rsidRPr="00C42CEA" w:rsidRDefault="009D0006" w:rsidP="00660CDF">
            <w:pPr>
              <w:pStyle w:val="Tabletext"/>
            </w:pPr>
            <w:r w:rsidRPr="00C42CEA">
              <w:t>22</w:t>
            </w:r>
          </w:p>
        </w:tc>
        <w:tc>
          <w:tcPr>
            <w:tcW w:w="1559" w:type="dxa"/>
          </w:tcPr>
          <w:p w14:paraId="5800D542" w14:textId="77777777" w:rsidR="009D0006" w:rsidRPr="00C42CEA" w:rsidRDefault="009D0006" w:rsidP="00660CDF">
            <w:pPr>
              <w:pStyle w:val="Tabletext"/>
            </w:pPr>
            <w:r w:rsidRPr="00C42CEA">
              <w:t>55.0</w:t>
            </w:r>
          </w:p>
        </w:tc>
      </w:tr>
    </w:tbl>
    <w:p w14:paraId="751CD5CF" w14:textId="77777777" w:rsidR="009D0006" w:rsidRDefault="009D0006" w:rsidP="00660CDF">
      <w:pPr>
        <w:pStyle w:val="Tableheading"/>
      </w:pPr>
      <w:r>
        <w:t>Table 115.4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9AFA8D5" w14:textId="77777777" w:rsidTr="00660CDF">
        <w:trPr>
          <w:cnfStyle w:val="100000000000" w:firstRow="1" w:lastRow="0" w:firstColumn="0" w:lastColumn="0" w:oddVBand="0" w:evenVBand="0" w:oddHBand="0" w:evenHBand="0" w:firstRowFirstColumn="0" w:firstRowLastColumn="0" w:lastRowFirstColumn="0" w:lastRowLastColumn="0"/>
          <w:trHeight w:val="303"/>
        </w:trPr>
        <w:tc>
          <w:tcPr>
            <w:tcW w:w="6746" w:type="dxa"/>
            <w:noWrap/>
            <w:hideMark/>
          </w:tcPr>
          <w:p w14:paraId="6E43553E" w14:textId="77777777" w:rsidR="009D0006" w:rsidRPr="00BC3468" w:rsidRDefault="009D0006" w:rsidP="00660CDF">
            <w:pPr>
              <w:pStyle w:val="Tableheader"/>
            </w:pPr>
            <w:r>
              <w:t>Harassment or assault in past 12 months</w:t>
            </w:r>
          </w:p>
        </w:tc>
        <w:tc>
          <w:tcPr>
            <w:tcW w:w="1559" w:type="dxa"/>
            <w:noWrap/>
            <w:hideMark/>
          </w:tcPr>
          <w:p w14:paraId="282A0CDB" w14:textId="77777777" w:rsidR="009D0006" w:rsidRPr="006341B3" w:rsidRDefault="009D0006" w:rsidP="00660CDF">
            <w:pPr>
              <w:pStyle w:val="Tableheader"/>
              <w:rPr>
                <w:bCs/>
              </w:rPr>
            </w:pPr>
            <w:r w:rsidRPr="006341B3">
              <w:rPr>
                <w:bCs/>
              </w:rPr>
              <w:t>n</w:t>
            </w:r>
          </w:p>
        </w:tc>
        <w:tc>
          <w:tcPr>
            <w:tcW w:w="1559" w:type="dxa"/>
            <w:noWrap/>
            <w:hideMark/>
          </w:tcPr>
          <w:p w14:paraId="703C0599" w14:textId="77777777" w:rsidR="009D0006" w:rsidRPr="006341B3" w:rsidRDefault="009D0006" w:rsidP="00660CDF">
            <w:pPr>
              <w:pStyle w:val="Tableheader"/>
              <w:rPr>
                <w:bCs/>
              </w:rPr>
            </w:pPr>
            <w:r w:rsidRPr="006341B3">
              <w:rPr>
                <w:bCs/>
              </w:rPr>
              <w:t>%</w:t>
            </w:r>
          </w:p>
        </w:tc>
      </w:tr>
      <w:tr w:rsidR="009D0006" w:rsidRPr="00BC3468" w14:paraId="04B9D0E8" w14:textId="77777777" w:rsidTr="00660CDF">
        <w:trPr>
          <w:cnfStyle w:val="000000100000" w:firstRow="0" w:lastRow="0" w:firstColumn="0" w:lastColumn="0" w:oddVBand="0" w:evenVBand="0" w:oddHBand="1" w:evenHBand="0" w:firstRowFirstColumn="0" w:firstRowLastColumn="0" w:lastRowFirstColumn="0" w:lastRowLastColumn="0"/>
          <w:trHeight w:val="303"/>
        </w:trPr>
        <w:tc>
          <w:tcPr>
            <w:tcW w:w="6746" w:type="dxa"/>
            <w:noWrap/>
            <w:hideMark/>
          </w:tcPr>
          <w:p w14:paraId="72ECBCBB" w14:textId="77777777" w:rsidR="009D0006" w:rsidRPr="00C42CEA" w:rsidRDefault="009D0006" w:rsidP="00660CDF">
            <w:pPr>
              <w:pStyle w:val="Tabletext"/>
            </w:pPr>
            <w:r w:rsidRPr="00C42CEA">
              <w:t>Verbal</w:t>
            </w:r>
          </w:p>
        </w:tc>
        <w:tc>
          <w:tcPr>
            <w:tcW w:w="1559" w:type="dxa"/>
            <w:noWrap/>
          </w:tcPr>
          <w:p w14:paraId="7F114B77" w14:textId="77777777" w:rsidR="009D0006" w:rsidRPr="00C42CEA" w:rsidRDefault="009D0006" w:rsidP="00660CDF">
            <w:pPr>
              <w:pStyle w:val="Tabletext"/>
            </w:pPr>
            <w:r w:rsidRPr="00C42CEA">
              <w:t>169</w:t>
            </w:r>
          </w:p>
        </w:tc>
        <w:tc>
          <w:tcPr>
            <w:tcW w:w="1559" w:type="dxa"/>
            <w:noWrap/>
          </w:tcPr>
          <w:p w14:paraId="5589060C" w14:textId="77777777" w:rsidR="009D0006" w:rsidRPr="00C42CEA" w:rsidRDefault="009D0006" w:rsidP="00660CDF">
            <w:pPr>
              <w:pStyle w:val="Tabletext"/>
            </w:pPr>
            <w:r w:rsidRPr="00C42CEA">
              <w:t>72.5</w:t>
            </w:r>
          </w:p>
        </w:tc>
      </w:tr>
      <w:tr w:rsidR="009D0006" w:rsidRPr="00BC3468" w14:paraId="04A60D1A" w14:textId="77777777" w:rsidTr="00660CDF">
        <w:trPr>
          <w:cnfStyle w:val="000000010000" w:firstRow="0" w:lastRow="0" w:firstColumn="0" w:lastColumn="0" w:oddVBand="0" w:evenVBand="0" w:oddHBand="0" w:evenHBand="1" w:firstRowFirstColumn="0" w:firstRowLastColumn="0" w:lastRowFirstColumn="0" w:lastRowLastColumn="0"/>
          <w:trHeight w:val="303"/>
        </w:trPr>
        <w:tc>
          <w:tcPr>
            <w:tcW w:w="6746" w:type="dxa"/>
            <w:noWrap/>
            <w:hideMark/>
          </w:tcPr>
          <w:p w14:paraId="678FFFE3" w14:textId="77777777" w:rsidR="009D0006" w:rsidRPr="00C42CEA" w:rsidRDefault="009D0006" w:rsidP="00660CDF">
            <w:pPr>
              <w:pStyle w:val="Tabletext"/>
            </w:pPr>
            <w:r w:rsidRPr="00C42CEA">
              <w:t>Physical</w:t>
            </w:r>
          </w:p>
        </w:tc>
        <w:tc>
          <w:tcPr>
            <w:tcW w:w="1559" w:type="dxa"/>
            <w:noWrap/>
          </w:tcPr>
          <w:p w14:paraId="1A589CBB" w14:textId="77777777" w:rsidR="009D0006" w:rsidRPr="00C42CEA" w:rsidRDefault="009D0006" w:rsidP="00660CDF">
            <w:pPr>
              <w:pStyle w:val="Tabletext"/>
            </w:pPr>
            <w:r w:rsidRPr="00C42CEA">
              <w:t>39</w:t>
            </w:r>
          </w:p>
        </w:tc>
        <w:tc>
          <w:tcPr>
            <w:tcW w:w="1559" w:type="dxa"/>
            <w:noWrap/>
          </w:tcPr>
          <w:p w14:paraId="54816FAC" w14:textId="77777777" w:rsidR="009D0006" w:rsidRPr="00C42CEA" w:rsidRDefault="009D0006" w:rsidP="00660CDF">
            <w:pPr>
              <w:pStyle w:val="Tabletext"/>
            </w:pPr>
            <w:r w:rsidRPr="00C42CEA">
              <w:t>18.9</w:t>
            </w:r>
          </w:p>
        </w:tc>
      </w:tr>
      <w:tr w:rsidR="009D0006" w:rsidRPr="00BC3468" w14:paraId="74BAA143" w14:textId="77777777" w:rsidTr="00660CDF">
        <w:trPr>
          <w:cnfStyle w:val="000000100000" w:firstRow="0" w:lastRow="0" w:firstColumn="0" w:lastColumn="0" w:oddVBand="0" w:evenVBand="0" w:oddHBand="1" w:evenHBand="0" w:firstRowFirstColumn="0" w:firstRowLastColumn="0" w:lastRowFirstColumn="0" w:lastRowLastColumn="0"/>
          <w:trHeight w:val="303"/>
        </w:trPr>
        <w:tc>
          <w:tcPr>
            <w:tcW w:w="6746" w:type="dxa"/>
            <w:noWrap/>
            <w:hideMark/>
          </w:tcPr>
          <w:p w14:paraId="71515C55" w14:textId="77777777" w:rsidR="009D0006" w:rsidRPr="00C42CEA" w:rsidRDefault="009D0006" w:rsidP="00660CDF">
            <w:pPr>
              <w:pStyle w:val="Tabletext"/>
            </w:pPr>
            <w:r w:rsidRPr="00C42CEA">
              <w:t>Sexual</w:t>
            </w:r>
          </w:p>
        </w:tc>
        <w:tc>
          <w:tcPr>
            <w:tcW w:w="1559" w:type="dxa"/>
            <w:noWrap/>
          </w:tcPr>
          <w:p w14:paraId="59502A6E" w14:textId="77777777" w:rsidR="009D0006" w:rsidRPr="00C42CEA" w:rsidRDefault="009D0006" w:rsidP="00660CDF">
            <w:pPr>
              <w:pStyle w:val="Tabletext"/>
            </w:pPr>
            <w:r w:rsidRPr="00C42CEA">
              <w:t>63</w:t>
            </w:r>
          </w:p>
        </w:tc>
        <w:tc>
          <w:tcPr>
            <w:tcW w:w="1559" w:type="dxa"/>
            <w:noWrap/>
          </w:tcPr>
          <w:p w14:paraId="73789A0C" w14:textId="77777777" w:rsidR="009D0006" w:rsidRPr="00C42CEA" w:rsidRDefault="009D0006" w:rsidP="00660CDF">
            <w:pPr>
              <w:pStyle w:val="Tabletext"/>
            </w:pPr>
            <w:r w:rsidRPr="00C42CEA">
              <w:t>29.9</w:t>
            </w:r>
          </w:p>
        </w:tc>
      </w:tr>
    </w:tbl>
    <w:p w14:paraId="36C97E8D" w14:textId="77777777" w:rsidR="009D0006" w:rsidRDefault="009D0006" w:rsidP="00660CDF">
      <w:pPr>
        <w:pStyle w:val="Tableheading"/>
      </w:pPr>
      <w:r>
        <w:t>Table 115.5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731FFD9" w14:textId="77777777" w:rsidTr="00660CDF">
        <w:trPr>
          <w:cnfStyle w:val="100000000000" w:firstRow="1" w:lastRow="0" w:firstColumn="0" w:lastColumn="0" w:oddVBand="0" w:evenVBand="0" w:oddHBand="0" w:evenHBand="0" w:firstRowFirstColumn="0" w:firstRowLastColumn="0" w:lastRowFirstColumn="0" w:lastRowLastColumn="0"/>
          <w:trHeight w:val="277"/>
        </w:trPr>
        <w:tc>
          <w:tcPr>
            <w:tcW w:w="6746" w:type="dxa"/>
            <w:noWrap/>
            <w:hideMark/>
          </w:tcPr>
          <w:p w14:paraId="6B08C0C2" w14:textId="77777777" w:rsidR="009D0006" w:rsidRPr="00BC3468" w:rsidRDefault="009D0006" w:rsidP="00660CDF">
            <w:pPr>
              <w:pStyle w:val="Tableheader"/>
            </w:pPr>
            <w:r>
              <w:t>Harassment or assault in past 12 months</w:t>
            </w:r>
          </w:p>
        </w:tc>
        <w:tc>
          <w:tcPr>
            <w:tcW w:w="1559" w:type="dxa"/>
            <w:noWrap/>
            <w:hideMark/>
          </w:tcPr>
          <w:p w14:paraId="49D7D500" w14:textId="77777777" w:rsidR="009D0006" w:rsidRPr="006341B3" w:rsidRDefault="009D0006" w:rsidP="00660CDF">
            <w:pPr>
              <w:pStyle w:val="Tableheader"/>
              <w:rPr>
                <w:bCs/>
              </w:rPr>
            </w:pPr>
            <w:r w:rsidRPr="006341B3">
              <w:rPr>
                <w:bCs/>
              </w:rPr>
              <w:t>n</w:t>
            </w:r>
          </w:p>
        </w:tc>
        <w:tc>
          <w:tcPr>
            <w:tcW w:w="1559" w:type="dxa"/>
            <w:noWrap/>
            <w:hideMark/>
          </w:tcPr>
          <w:p w14:paraId="78134B05" w14:textId="77777777" w:rsidR="009D0006" w:rsidRPr="006341B3" w:rsidRDefault="009D0006" w:rsidP="00660CDF">
            <w:pPr>
              <w:pStyle w:val="Tableheader"/>
              <w:rPr>
                <w:bCs/>
              </w:rPr>
            </w:pPr>
            <w:r w:rsidRPr="006341B3">
              <w:rPr>
                <w:bCs/>
              </w:rPr>
              <w:t>%</w:t>
            </w:r>
          </w:p>
        </w:tc>
      </w:tr>
      <w:tr w:rsidR="009D0006" w:rsidRPr="00BC3468" w14:paraId="586825FC" w14:textId="77777777" w:rsidTr="00660CDF">
        <w:trPr>
          <w:cnfStyle w:val="000000100000" w:firstRow="0" w:lastRow="0" w:firstColumn="0" w:lastColumn="0" w:oddVBand="0" w:evenVBand="0" w:oddHBand="1" w:evenHBand="0" w:firstRowFirstColumn="0" w:firstRowLastColumn="0" w:lastRowFirstColumn="0" w:lastRowLastColumn="0"/>
          <w:trHeight w:val="277"/>
        </w:trPr>
        <w:tc>
          <w:tcPr>
            <w:tcW w:w="6746" w:type="dxa"/>
            <w:noWrap/>
            <w:hideMark/>
          </w:tcPr>
          <w:p w14:paraId="7430D336" w14:textId="77777777" w:rsidR="009D0006" w:rsidRPr="00C42CEA" w:rsidRDefault="009D0006" w:rsidP="00660CDF">
            <w:pPr>
              <w:pStyle w:val="Tabletext"/>
            </w:pPr>
            <w:r w:rsidRPr="00C42CEA">
              <w:t>Verbal</w:t>
            </w:r>
          </w:p>
        </w:tc>
        <w:tc>
          <w:tcPr>
            <w:tcW w:w="1559" w:type="dxa"/>
            <w:noWrap/>
          </w:tcPr>
          <w:p w14:paraId="1023C557" w14:textId="77777777" w:rsidR="009D0006" w:rsidRPr="00C42CEA" w:rsidRDefault="009D0006" w:rsidP="00660CDF">
            <w:pPr>
              <w:pStyle w:val="Tabletext"/>
            </w:pPr>
            <w:r w:rsidRPr="00C42CEA">
              <w:t>370</w:t>
            </w:r>
          </w:p>
        </w:tc>
        <w:tc>
          <w:tcPr>
            <w:tcW w:w="1559" w:type="dxa"/>
            <w:noWrap/>
          </w:tcPr>
          <w:p w14:paraId="475664DC" w14:textId="77777777" w:rsidR="009D0006" w:rsidRPr="00BC3468" w:rsidRDefault="009D0006" w:rsidP="00660CDF">
            <w:pPr>
              <w:pStyle w:val="Tabletext"/>
            </w:pPr>
            <w:r w:rsidRPr="00C42CEA">
              <w:t>57.6</w:t>
            </w:r>
          </w:p>
        </w:tc>
      </w:tr>
      <w:tr w:rsidR="009D0006" w:rsidRPr="00BC3468" w14:paraId="2A4F1E01" w14:textId="77777777" w:rsidTr="00660CDF">
        <w:trPr>
          <w:cnfStyle w:val="000000010000" w:firstRow="0" w:lastRow="0" w:firstColumn="0" w:lastColumn="0" w:oddVBand="0" w:evenVBand="0" w:oddHBand="0" w:evenHBand="1" w:firstRowFirstColumn="0" w:firstRowLastColumn="0" w:lastRowFirstColumn="0" w:lastRowLastColumn="0"/>
          <w:trHeight w:val="277"/>
        </w:trPr>
        <w:tc>
          <w:tcPr>
            <w:tcW w:w="6746" w:type="dxa"/>
            <w:noWrap/>
            <w:hideMark/>
          </w:tcPr>
          <w:p w14:paraId="2E861B20" w14:textId="77777777" w:rsidR="009D0006" w:rsidRPr="00C42CEA" w:rsidRDefault="009D0006" w:rsidP="00660CDF">
            <w:pPr>
              <w:pStyle w:val="Tabletext"/>
            </w:pPr>
            <w:r w:rsidRPr="00C42CEA">
              <w:t>Physical</w:t>
            </w:r>
          </w:p>
        </w:tc>
        <w:tc>
          <w:tcPr>
            <w:tcW w:w="1559" w:type="dxa"/>
            <w:noWrap/>
          </w:tcPr>
          <w:p w14:paraId="69CB67A6" w14:textId="77777777" w:rsidR="009D0006" w:rsidRPr="00C42CEA" w:rsidRDefault="009D0006" w:rsidP="00660CDF">
            <w:pPr>
              <w:pStyle w:val="Tabletext"/>
            </w:pPr>
            <w:r w:rsidRPr="00C42CEA">
              <w:t>84</w:t>
            </w:r>
          </w:p>
        </w:tc>
        <w:tc>
          <w:tcPr>
            <w:tcW w:w="1559" w:type="dxa"/>
            <w:noWrap/>
          </w:tcPr>
          <w:p w14:paraId="3B544105" w14:textId="77777777" w:rsidR="009D0006" w:rsidRPr="00BC3468" w:rsidRDefault="009D0006" w:rsidP="00660CDF">
            <w:pPr>
              <w:pStyle w:val="Tabletext"/>
            </w:pPr>
            <w:r w:rsidRPr="00C42CEA">
              <w:t>14.3</w:t>
            </w:r>
          </w:p>
        </w:tc>
      </w:tr>
      <w:tr w:rsidR="009D0006" w:rsidRPr="00BC3468" w14:paraId="6E48BD74" w14:textId="77777777" w:rsidTr="00660CDF">
        <w:trPr>
          <w:cnfStyle w:val="000000100000" w:firstRow="0" w:lastRow="0" w:firstColumn="0" w:lastColumn="0" w:oddVBand="0" w:evenVBand="0" w:oddHBand="1" w:evenHBand="0" w:firstRowFirstColumn="0" w:firstRowLastColumn="0" w:lastRowFirstColumn="0" w:lastRowLastColumn="0"/>
          <w:trHeight w:val="277"/>
        </w:trPr>
        <w:tc>
          <w:tcPr>
            <w:tcW w:w="6746" w:type="dxa"/>
            <w:noWrap/>
            <w:hideMark/>
          </w:tcPr>
          <w:p w14:paraId="383EE741" w14:textId="77777777" w:rsidR="009D0006" w:rsidRPr="00C42CEA" w:rsidRDefault="009D0006" w:rsidP="00660CDF">
            <w:pPr>
              <w:pStyle w:val="Tabletext"/>
            </w:pPr>
            <w:r w:rsidRPr="00C42CEA">
              <w:t>Sexual</w:t>
            </w:r>
          </w:p>
        </w:tc>
        <w:tc>
          <w:tcPr>
            <w:tcW w:w="1559" w:type="dxa"/>
            <w:noWrap/>
          </w:tcPr>
          <w:p w14:paraId="603A68C0" w14:textId="77777777" w:rsidR="009D0006" w:rsidRPr="00C42CEA" w:rsidRDefault="009D0006" w:rsidP="00660CDF">
            <w:pPr>
              <w:pStyle w:val="Tabletext"/>
            </w:pPr>
            <w:r w:rsidRPr="00C42CEA">
              <w:t>185</w:t>
            </w:r>
          </w:p>
        </w:tc>
        <w:tc>
          <w:tcPr>
            <w:tcW w:w="1559" w:type="dxa"/>
            <w:noWrap/>
          </w:tcPr>
          <w:p w14:paraId="3BD17A2C" w14:textId="77777777" w:rsidR="009D0006" w:rsidRPr="00BC3468" w:rsidRDefault="009D0006" w:rsidP="00660CDF">
            <w:pPr>
              <w:pStyle w:val="Tabletext"/>
            </w:pPr>
            <w:r w:rsidRPr="00C42CEA">
              <w:t>30.6</w:t>
            </w:r>
          </w:p>
        </w:tc>
      </w:tr>
    </w:tbl>
    <w:p w14:paraId="7798F250" w14:textId="77777777" w:rsidR="009D0006" w:rsidRDefault="009D0006" w:rsidP="00AB4A74">
      <w:pPr>
        <w:spacing w:before="360"/>
      </w:pPr>
      <w:r w:rsidRPr="00971810">
        <w:t>As displayed in Table</w:t>
      </w:r>
      <w:r>
        <w:t>s</w:t>
      </w:r>
      <w:r w:rsidRPr="00971810">
        <w:t xml:space="preserve"> </w:t>
      </w:r>
      <w:r>
        <w:t>115.1-115.5</w:t>
      </w:r>
      <w:r w:rsidRPr="00971810">
        <w:t>,</w:t>
      </w:r>
      <w:r>
        <w:t xml:space="preserve"> among </w:t>
      </w:r>
      <w:r w:rsidRPr="00971810">
        <w:t xml:space="preserve">participants with </w:t>
      </w:r>
      <w:r>
        <w:t xml:space="preserve">disability in </w:t>
      </w:r>
      <w:r>
        <w:rPr>
          <w:i/>
          <w:iCs/>
        </w:rPr>
        <w:t>Writing Themselves In 4</w:t>
      </w:r>
      <w:r>
        <w:t xml:space="preserve"> almost three-quarters of trans men had experienced verbal harassment in the pas</w:t>
      </w:r>
      <w:r>
        <w:lastRenderedPageBreak/>
        <w:t>t 12 months (72.5%; n = 169), followed by trans women (68.9%; n = 31), non-binary people (57.6%; n = 370), cisgender men (54.6%; n = 159) and cisgender women (35.3%; n = 393).</w:t>
      </w:r>
    </w:p>
    <w:p w14:paraId="4194EBE9" w14:textId="77777777" w:rsidR="009D0006" w:rsidRDefault="009D0006" w:rsidP="009D0006">
      <w:r>
        <w:t>Just over one-fifth of trans women had experienced physical harassment in the past 12 months (21.1%; n = 8), followed by trans men (18.9%; n = 39), cisgender men (18.4%; n = 47), non-binary people (14.3%; n = 84) and cisgender women (7.2%; n = 71).</w:t>
      </w:r>
    </w:p>
    <w:p w14:paraId="092B256F" w14:textId="77777777" w:rsidR="009D0006" w:rsidRPr="00B56A84" w:rsidRDefault="009D0006" w:rsidP="009D0006">
      <w:r>
        <w:t>More than half of trans women had experienced sexual assault in the past 12 months (55.0%; n = 22), followed by almost one-third of non-binary people (30.6%; n = 185), trans men (29.9%; n = 63), cisgender men (28.6%; n = 75) and cisgender women (28.4%; n = 290).</w:t>
      </w:r>
    </w:p>
    <w:p w14:paraId="1CB1F24C" w14:textId="6E9FA8A8" w:rsidR="009D0006" w:rsidRPr="00C5739E" w:rsidRDefault="009D0006" w:rsidP="009401DC">
      <w:pPr>
        <w:pStyle w:val="Heading3Numbered"/>
      </w:pPr>
      <w:bookmarkStart w:id="911" w:name="_Toc115968663"/>
      <w:r>
        <w:t>H</w:t>
      </w:r>
      <w:r w:rsidRPr="00C5739E">
        <w:t>arassment</w:t>
      </w:r>
      <w:r>
        <w:t>, assault</w:t>
      </w:r>
      <w:r w:rsidRPr="00C5739E">
        <w:t xml:space="preserve"> </w:t>
      </w:r>
      <w:r>
        <w:t>and</w:t>
      </w:r>
      <w:r w:rsidRPr="00C5739E">
        <w:t xml:space="preserve"> </w:t>
      </w:r>
      <w:r>
        <w:t xml:space="preserve">social </w:t>
      </w:r>
      <w:r w:rsidRPr="00C5739E">
        <w:t>exclusion in the past 12 months based on sexuality or gender identity – adults aged 18+ years</w:t>
      </w:r>
      <w:bookmarkEnd w:id="911"/>
    </w:p>
    <w:p w14:paraId="71A90AAC" w14:textId="1EACEC7C" w:rsidR="009D0006" w:rsidRDefault="009D0006" w:rsidP="009B15F5">
      <w:pPr>
        <w:pStyle w:val="Tableheading"/>
      </w:pPr>
      <w:bookmarkStart w:id="912" w:name="_Toc117062833"/>
      <w:bookmarkStart w:id="913" w:name="_Toc119651518"/>
      <w:r w:rsidRPr="004B5CDE">
        <w:t>Table</w:t>
      </w:r>
      <w:r>
        <w:t>s</w:t>
      </w:r>
      <w:r w:rsidRPr="004B5CDE">
        <w:t xml:space="preserve"> </w:t>
      </w:r>
      <w:r>
        <w:rPr>
          <w:noProof/>
        </w:rPr>
        <w:fldChar w:fldCharType="begin"/>
      </w:r>
      <w:r>
        <w:rPr>
          <w:noProof/>
        </w:rPr>
        <w:instrText xml:space="preserve"> SEQ Table \* ARABIC </w:instrText>
      </w:r>
      <w:r>
        <w:rPr>
          <w:noProof/>
        </w:rPr>
        <w:fldChar w:fldCharType="separate"/>
      </w:r>
      <w:r>
        <w:rPr>
          <w:noProof/>
        </w:rPr>
        <w:t>116</w:t>
      </w:r>
      <w:r>
        <w:rPr>
          <w:noProof/>
        </w:rPr>
        <w:fldChar w:fldCharType="end"/>
      </w:r>
      <w:r>
        <w:rPr>
          <w:noProof/>
        </w:rPr>
        <w:t>.1-116.5</w:t>
      </w:r>
      <w:r>
        <w:t xml:space="preserve">: </w:t>
      </w:r>
      <w:r w:rsidRPr="004B5CDE">
        <w:t xml:space="preserve">Experiences of </w:t>
      </w:r>
      <w:r>
        <w:t>harassment, assault and social exclusion</w:t>
      </w:r>
      <w:r w:rsidRPr="00C5739E">
        <w:t xml:space="preserve"> </w:t>
      </w:r>
      <w:r w:rsidRPr="004B5CDE">
        <w:t xml:space="preserve">due to sexual orientation or gender identity in the past 12 months </w:t>
      </w:r>
      <w:r>
        <w:t>among adults with disability aged 18+ years, grouped by gender</w:t>
      </w:r>
      <w:bookmarkEnd w:id="912"/>
      <w:bookmarkEnd w:id="913"/>
    </w:p>
    <w:p w14:paraId="7D0B6A1B" w14:textId="77777777" w:rsidR="009D0006" w:rsidRPr="004B5CDE" w:rsidRDefault="009D0006" w:rsidP="009B15F5">
      <w:pPr>
        <w:pStyle w:val="Tableheading"/>
      </w:pPr>
      <w:r>
        <w:t>Table 116.1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E929CB2" w14:textId="77777777" w:rsidTr="00513F7E">
        <w:trPr>
          <w:cnfStyle w:val="100000000000" w:firstRow="1" w:lastRow="0" w:firstColumn="0" w:lastColumn="0" w:oddVBand="0" w:evenVBand="0" w:oddHBand="0" w:evenHBand="0" w:firstRowFirstColumn="0" w:firstRowLastColumn="0" w:lastRowFirstColumn="0" w:lastRowLastColumn="0"/>
          <w:trHeight w:val="319"/>
        </w:trPr>
        <w:tc>
          <w:tcPr>
            <w:tcW w:w="6746" w:type="dxa"/>
            <w:noWrap/>
            <w:hideMark/>
          </w:tcPr>
          <w:p w14:paraId="39F2974D" w14:textId="77777777" w:rsidR="009D0006" w:rsidRPr="00BC3468" w:rsidRDefault="009D0006" w:rsidP="00513F7E">
            <w:pPr>
              <w:pStyle w:val="Tableheader"/>
            </w:pPr>
            <w:r>
              <w:t>Harassment or assault in past 12 months</w:t>
            </w:r>
          </w:p>
        </w:tc>
        <w:tc>
          <w:tcPr>
            <w:tcW w:w="1559" w:type="dxa"/>
            <w:noWrap/>
            <w:hideMark/>
          </w:tcPr>
          <w:p w14:paraId="2AA34ACD" w14:textId="77777777" w:rsidR="009D0006" w:rsidRPr="00C66B63" w:rsidRDefault="009D0006" w:rsidP="00513F7E">
            <w:pPr>
              <w:pStyle w:val="Tableheader"/>
              <w:rPr>
                <w:bCs/>
              </w:rPr>
            </w:pPr>
            <w:r w:rsidRPr="00C66B63">
              <w:rPr>
                <w:bCs/>
              </w:rPr>
              <w:t>n</w:t>
            </w:r>
          </w:p>
        </w:tc>
        <w:tc>
          <w:tcPr>
            <w:tcW w:w="1559" w:type="dxa"/>
            <w:noWrap/>
            <w:hideMark/>
          </w:tcPr>
          <w:p w14:paraId="55796E8B" w14:textId="77777777" w:rsidR="009D0006" w:rsidRPr="00C66B63" w:rsidRDefault="009D0006" w:rsidP="00513F7E">
            <w:pPr>
              <w:pStyle w:val="Tableheader"/>
              <w:rPr>
                <w:bCs/>
              </w:rPr>
            </w:pPr>
            <w:r w:rsidRPr="00C66B63">
              <w:rPr>
                <w:bCs/>
              </w:rPr>
              <w:t>%</w:t>
            </w:r>
          </w:p>
        </w:tc>
      </w:tr>
      <w:tr w:rsidR="009D0006" w:rsidRPr="00BC3468" w14:paraId="47D54345" w14:textId="77777777" w:rsidTr="00513F7E">
        <w:trPr>
          <w:cnfStyle w:val="000000100000" w:firstRow="0" w:lastRow="0" w:firstColumn="0" w:lastColumn="0" w:oddVBand="0" w:evenVBand="0" w:oddHBand="1" w:evenHBand="0" w:firstRowFirstColumn="0" w:firstRowLastColumn="0" w:lastRowFirstColumn="0" w:lastRowLastColumn="0"/>
          <w:trHeight w:val="319"/>
        </w:trPr>
        <w:tc>
          <w:tcPr>
            <w:tcW w:w="6746" w:type="dxa"/>
            <w:noWrap/>
            <w:hideMark/>
          </w:tcPr>
          <w:p w14:paraId="4992161B" w14:textId="77777777" w:rsidR="009D0006" w:rsidRPr="00BC3468" w:rsidRDefault="009D0006" w:rsidP="00513F7E">
            <w:pPr>
              <w:pStyle w:val="Tabletext"/>
            </w:pPr>
            <w:r w:rsidRPr="00EF597C">
              <w:rPr>
                <w:lang w:val="en-US"/>
              </w:rPr>
              <w:t>Socially excluded</w:t>
            </w:r>
          </w:p>
        </w:tc>
        <w:tc>
          <w:tcPr>
            <w:tcW w:w="1559" w:type="dxa"/>
            <w:noWrap/>
          </w:tcPr>
          <w:p w14:paraId="0466E18E" w14:textId="77777777" w:rsidR="009D0006" w:rsidRPr="00BC3468" w:rsidRDefault="009D0006" w:rsidP="00513F7E">
            <w:pPr>
              <w:pStyle w:val="Tabletext"/>
            </w:pPr>
            <w:r>
              <w:t>486</w:t>
            </w:r>
          </w:p>
        </w:tc>
        <w:tc>
          <w:tcPr>
            <w:tcW w:w="1559" w:type="dxa"/>
            <w:noWrap/>
          </w:tcPr>
          <w:p w14:paraId="79E7AC98" w14:textId="77777777" w:rsidR="009D0006" w:rsidRPr="00BC3468" w:rsidRDefault="009D0006" w:rsidP="00513F7E">
            <w:pPr>
              <w:pStyle w:val="Tabletext"/>
            </w:pPr>
            <w:r>
              <w:t>44.4</w:t>
            </w:r>
          </w:p>
        </w:tc>
      </w:tr>
      <w:tr w:rsidR="009D0006" w:rsidRPr="00BC3468" w14:paraId="4D1B6F56" w14:textId="77777777" w:rsidTr="00513F7E">
        <w:trPr>
          <w:cnfStyle w:val="000000010000" w:firstRow="0" w:lastRow="0" w:firstColumn="0" w:lastColumn="0" w:oddVBand="0" w:evenVBand="0" w:oddHBand="0" w:evenHBand="1" w:firstRowFirstColumn="0" w:firstRowLastColumn="0" w:lastRowFirstColumn="0" w:lastRowLastColumn="0"/>
          <w:trHeight w:val="319"/>
        </w:trPr>
        <w:tc>
          <w:tcPr>
            <w:tcW w:w="6746" w:type="dxa"/>
            <w:noWrap/>
            <w:hideMark/>
          </w:tcPr>
          <w:p w14:paraId="5B82983D" w14:textId="77777777" w:rsidR="009D0006" w:rsidRPr="00A55DFC" w:rsidRDefault="009D0006" w:rsidP="00513F7E">
            <w:pPr>
              <w:pStyle w:val="Tabletext"/>
            </w:pPr>
            <w:r w:rsidRPr="00A55DFC">
              <w:rPr>
                <w:lang w:val="en-US"/>
              </w:rPr>
              <w:t>Verbal abuse (including hateful or obscene phone calls)</w:t>
            </w:r>
          </w:p>
        </w:tc>
        <w:tc>
          <w:tcPr>
            <w:tcW w:w="1559" w:type="dxa"/>
            <w:noWrap/>
          </w:tcPr>
          <w:p w14:paraId="3C1744C3" w14:textId="77777777" w:rsidR="009D0006" w:rsidRPr="00A55DFC" w:rsidRDefault="009D0006" w:rsidP="00513F7E">
            <w:pPr>
              <w:pStyle w:val="Tabletext"/>
            </w:pPr>
            <w:r w:rsidRPr="00A55DFC">
              <w:t>361</w:t>
            </w:r>
          </w:p>
        </w:tc>
        <w:tc>
          <w:tcPr>
            <w:tcW w:w="1559" w:type="dxa"/>
            <w:noWrap/>
          </w:tcPr>
          <w:p w14:paraId="63B5B631" w14:textId="77777777" w:rsidR="009D0006" w:rsidRPr="00A55DFC" w:rsidRDefault="009D0006" w:rsidP="00513F7E">
            <w:pPr>
              <w:pStyle w:val="Tabletext"/>
            </w:pPr>
            <w:r w:rsidRPr="00A55DFC">
              <w:t>33.5</w:t>
            </w:r>
          </w:p>
        </w:tc>
      </w:tr>
      <w:tr w:rsidR="009D0006" w:rsidRPr="00BC3468" w14:paraId="2AEF2CAD" w14:textId="77777777" w:rsidTr="00513F7E">
        <w:trPr>
          <w:cnfStyle w:val="000000100000" w:firstRow="0" w:lastRow="0" w:firstColumn="0" w:lastColumn="0" w:oddVBand="0" w:evenVBand="0" w:oddHBand="1" w:evenHBand="0" w:firstRowFirstColumn="0" w:firstRowLastColumn="0" w:lastRowFirstColumn="0" w:lastRowLastColumn="0"/>
          <w:trHeight w:val="319"/>
        </w:trPr>
        <w:tc>
          <w:tcPr>
            <w:tcW w:w="6746" w:type="dxa"/>
            <w:noWrap/>
            <w:hideMark/>
          </w:tcPr>
          <w:p w14:paraId="308B018C" w14:textId="77777777" w:rsidR="009D0006" w:rsidRPr="00A55DFC" w:rsidRDefault="009D0006" w:rsidP="00513F7E">
            <w:pPr>
              <w:pStyle w:val="Tabletext"/>
            </w:pPr>
            <w:r w:rsidRPr="00A55DFC">
              <w:rPr>
                <w:lang w:val="en-US"/>
              </w:rPr>
              <w:t>Harassment such as being spat at and offensive gestures</w:t>
            </w:r>
          </w:p>
        </w:tc>
        <w:tc>
          <w:tcPr>
            <w:tcW w:w="1559" w:type="dxa"/>
            <w:noWrap/>
          </w:tcPr>
          <w:p w14:paraId="5FC72063" w14:textId="77777777" w:rsidR="009D0006" w:rsidRPr="00A55DFC" w:rsidRDefault="009D0006" w:rsidP="00513F7E">
            <w:pPr>
              <w:pStyle w:val="Tabletext"/>
            </w:pPr>
            <w:r w:rsidRPr="00A55DFC">
              <w:t>263</w:t>
            </w:r>
          </w:p>
        </w:tc>
        <w:tc>
          <w:tcPr>
            <w:tcW w:w="1559" w:type="dxa"/>
            <w:noWrap/>
          </w:tcPr>
          <w:p w14:paraId="75326F92" w14:textId="77777777" w:rsidR="009D0006" w:rsidRPr="00A55DFC" w:rsidRDefault="009D0006" w:rsidP="00513F7E">
            <w:pPr>
              <w:pStyle w:val="Tabletext"/>
            </w:pPr>
            <w:r w:rsidRPr="00A55DFC">
              <w:t>24.4</w:t>
            </w:r>
          </w:p>
        </w:tc>
      </w:tr>
      <w:tr w:rsidR="009D0006" w:rsidRPr="00BC3468" w14:paraId="4B868F74" w14:textId="77777777" w:rsidTr="00513F7E">
        <w:trPr>
          <w:cnfStyle w:val="000000010000" w:firstRow="0" w:lastRow="0" w:firstColumn="0" w:lastColumn="0" w:oddVBand="0" w:evenVBand="0" w:oddHBand="0" w:evenHBand="1" w:firstRowFirstColumn="0" w:firstRowLastColumn="0" w:lastRowFirstColumn="0" w:lastRowLastColumn="0"/>
          <w:trHeight w:val="319"/>
        </w:trPr>
        <w:tc>
          <w:tcPr>
            <w:tcW w:w="6746" w:type="dxa"/>
            <w:noWrap/>
            <w:hideMark/>
          </w:tcPr>
          <w:p w14:paraId="3491AD68" w14:textId="77777777" w:rsidR="009D0006" w:rsidRPr="00971810" w:rsidRDefault="009D0006" w:rsidP="00513F7E">
            <w:pPr>
              <w:pStyle w:val="Tabletext"/>
            </w:pPr>
            <w:r w:rsidRPr="00971810">
              <w:rPr>
                <w:lang w:val="en-US"/>
              </w:rPr>
              <w:t>Sexual assault</w:t>
            </w:r>
          </w:p>
        </w:tc>
        <w:tc>
          <w:tcPr>
            <w:tcW w:w="1559" w:type="dxa"/>
            <w:noWrap/>
          </w:tcPr>
          <w:p w14:paraId="53B65056" w14:textId="77777777" w:rsidR="009D0006" w:rsidRPr="00971810" w:rsidRDefault="009D0006" w:rsidP="00513F7E">
            <w:pPr>
              <w:pStyle w:val="Tabletext"/>
            </w:pPr>
            <w:r w:rsidRPr="00971810">
              <w:t>177</w:t>
            </w:r>
          </w:p>
        </w:tc>
        <w:tc>
          <w:tcPr>
            <w:tcW w:w="1559" w:type="dxa"/>
            <w:noWrap/>
          </w:tcPr>
          <w:p w14:paraId="1434E01E" w14:textId="77777777" w:rsidR="009D0006" w:rsidRPr="00971810" w:rsidRDefault="009D0006" w:rsidP="00513F7E">
            <w:pPr>
              <w:pStyle w:val="Tabletext"/>
            </w:pPr>
            <w:r w:rsidRPr="00971810">
              <w:t>16.8</w:t>
            </w:r>
          </w:p>
        </w:tc>
      </w:tr>
    </w:tbl>
    <w:p w14:paraId="043A2398" w14:textId="77777777" w:rsidR="009D0006" w:rsidRDefault="009D0006" w:rsidP="00513F7E">
      <w:pPr>
        <w:pStyle w:val="Tableheading"/>
      </w:pPr>
      <w:r>
        <w:t>Table 116.2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21BC687" w14:textId="77777777" w:rsidTr="00513F7E">
        <w:trPr>
          <w:cnfStyle w:val="100000000000" w:firstRow="1" w:lastRow="0" w:firstColumn="0" w:lastColumn="0" w:oddVBand="0" w:evenVBand="0" w:oddHBand="0" w:evenHBand="0" w:firstRowFirstColumn="0" w:firstRowLastColumn="0" w:lastRowFirstColumn="0" w:lastRowLastColumn="0"/>
          <w:trHeight w:val="309"/>
        </w:trPr>
        <w:tc>
          <w:tcPr>
            <w:tcW w:w="6746" w:type="dxa"/>
            <w:noWrap/>
            <w:hideMark/>
          </w:tcPr>
          <w:p w14:paraId="45743883" w14:textId="77777777" w:rsidR="009D0006" w:rsidRPr="00BC3468" w:rsidRDefault="009D0006" w:rsidP="00513F7E">
            <w:pPr>
              <w:pStyle w:val="Tableheader"/>
            </w:pPr>
            <w:r>
              <w:t>Harassment or assault in past 12 months</w:t>
            </w:r>
          </w:p>
        </w:tc>
        <w:tc>
          <w:tcPr>
            <w:tcW w:w="1559" w:type="dxa"/>
            <w:noWrap/>
            <w:hideMark/>
          </w:tcPr>
          <w:p w14:paraId="16A8DF92" w14:textId="77777777" w:rsidR="009D0006" w:rsidRPr="00C66B63" w:rsidRDefault="009D0006" w:rsidP="00513F7E">
            <w:pPr>
              <w:pStyle w:val="Tableheader"/>
              <w:rPr>
                <w:bCs/>
              </w:rPr>
            </w:pPr>
            <w:r w:rsidRPr="00C66B63">
              <w:rPr>
                <w:bCs/>
              </w:rPr>
              <w:t>n</w:t>
            </w:r>
          </w:p>
        </w:tc>
        <w:tc>
          <w:tcPr>
            <w:tcW w:w="1559" w:type="dxa"/>
            <w:noWrap/>
            <w:hideMark/>
          </w:tcPr>
          <w:p w14:paraId="67959FAE" w14:textId="77777777" w:rsidR="009D0006" w:rsidRPr="00C66B63" w:rsidRDefault="009D0006" w:rsidP="00513F7E">
            <w:pPr>
              <w:pStyle w:val="Tableheader"/>
              <w:rPr>
                <w:bCs/>
              </w:rPr>
            </w:pPr>
            <w:r w:rsidRPr="00C66B63">
              <w:rPr>
                <w:bCs/>
              </w:rPr>
              <w:t>%</w:t>
            </w:r>
          </w:p>
        </w:tc>
      </w:tr>
      <w:tr w:rsidR="009D0006" w:rsidRPr="00BC3468" w14:paraId="4DED7ACA" w14:textId="77777777" w:rsidTr="00513F7E">
        <w:trPr>
          <w:cnfStyle w:val="000000100000" w:firstRow="0" w:lastRow="0" w:firstColumn="0" w:lastColumn="0" w:oddVBand="0" w:evenVBand="0" w:oddHBand="1" w:evenHBand="0" w:firstRowFirstColumn="0" w:firstRowLastColumn="0" w:lastRowFirstColumn="0" w:lastRowLastColumn="0"/>
          <w:trHeight w:val="309"/>
        </w:trPr>
        <w:tc>
          <w:tcPr>
            <w:tcW w:w="6746" w:type="dxa"/>
            <w:noWrap/>
            <w:hideMark/>
          </w:tcPr>
          <w:p w14:paraId="2E9C0D99" w14:textId="77777777" w:rsidR="009D0006" w:rsidRPr="00BC3468" w:rsidRDefault="009D0006" w:rsidP="00513F7E">
            <w:pPr>
              <w:pStyle w:val="Tabletext"/>
            </w:pPr>
            <w:r w:rsidRPr="00EF597C">
              <w:rPr>
                <w:lang w:val="en-US"/>
              </w:rPr>
              <w:t>Socially excluded</w:t>
            </w:r>
          </w:p>
        </w:tc>
        <w:tc>
          <w:tcPr>
            <w:tcW w:w="1559" w:type="dxa"/>
            <w:noWrap/>
          </w:tcPr>
          <w:p w14:paraId="33C2776E" w14:textId="77777777" w:rsidR="009D0006" w:rsidRPr="00BC3468" w:rsidRDefault="009D0006" w:rsidP="00513F7E">
            <w:pPr>
              <w:pStyle w:val="Tabletext"/>
            </w:pPr>
            <w:r>
              <w:t>188</w:t>
            </w:r>
          </w:p>
        </w:tc>
        <w:tc>
          <w:tcPr>
            <w:tcW w:w="1559" w:type="dxa"/>
            <w:noWrap/>
          </w:tcPr>
          <w:p w14:paraId="466C906D" w14:textId="77777777" w:rsidR="009D0006" w:rsidRPr="00BC3468" w:rsidRDefault="009D0006" w:rsidP="00513F7E">
            <w:pPr>
              <w:pStyle w:val="Tabletext"/>
            </w:pPr>
            <w:r>
              <w:t>43.2</w:t>
            </w:r>
          </w:p>
        </w:tc>
      </w:tr>
      <w:tr w:rsidR="009D0006" w:rsidRPr="00BC3468" w14:paraId="588B4068" w14:textId="77777777" w:rsidTr="00513F7E">
        <w:trPr>
          <w:cnfStyle w:val="000000010000" w:firstRow="0" w:lastRow="0" w:firstColumn="0" w:lastColumn="0" w:oddVBand="0" w:evenVBand="0" w:oddHBand="0" w:evenHBand="1" w:firstRowFirstColumn="0" w:firstRowLastColumn="0" w:lastRowFirstColumn="0" w:lastRowLastColumn="0"/>
          <w:trHeight w:val="309"/>
        </w:trPr>
        <w:tc>
          <w:tcPr>
            <w:tcW w:w="6746" w:type="dxa"/>
            <w:noWrap/>
            <w:hideMark/>
          </w:tcPr>
          <w:p w14:paraId="2A8C8561" w14:textId="77777777" w:rsidR="009D0006" w:rsidRPr="00A55DFC" w:rsidRDefault="009D0006" w:rsidP="00513F7E">
            <w:pPr>
              <w:pStyle w:val="Tabletext"/>
            </w:pPr>
            <w:r w:rsidRPr="00A55DFC">
              <w:rPr>
                <w:lang w:val="en-US"/>
              </w:rPr>
              <w:t>Verbal abuse (including hateful or obscene phone calls)</w:t>
            </w:r>
          </w:p>
        </w:tc>
        <w:tc>
          <w:tcPr>
            <w:tcW w:w="1559" w:type="dxa"/>
            <w:noWrap/>
          </w:tcPr>
          <w:p w14:paraId="6BE5A696" w14:textId="77777777" w:rsidR="009D0006" w:rsidRPr="00A55DFC" w:rsidRDefault="009D0006" w:rsidP="00513F7E">
            <w:pPr>
              <w:pStyle w:val="Tabletext"/>
            </w:pPr>
            <w:r w:rsidRPr="00A55DFC">
              <w:t>172</w:t>
            </w:r>
          </w:p>
        </w:tc>
        <w:tc>
          <w:tcPr>
            <w:tcW w:w="1559" w:type="dxa"/>
            <w:noWrap/>
          </w:tcPr>
          <w:p w14:paraId="6434CC37" w14:textId="77777777" w:rsidR="009D0006" w:rsidRPr="00A55DFC" w:rsidRDefault="009D0006" w:rsidP="00513F7E">
            <w:pPr>
              <w:pStyle w:val="Tabletext"/>
            </w:pPr>
            <w:r w:rsidRPr="00A55DFC">
              <w:t>38.9</w:t>
            </w:r>
          </w:p>
        </w:tc>
      </w:tr>
      <w:tr w:rsidR="009D0006" w:rsidRPr="00BC3468" w14:paraId="58A35101" w14:textId="77777777" w:rsidTr="00513F7E">
        <w:trPr>
          <w:cnfStyle w:val="000000100000" w:firstRow="0" w:lastRow="0" w:firstColumn="0" w:lastColumn="0" w:oddVBand="0" w:evenVBand="0" w:oddHBand="1" w:evenHBand="0" w:firstRowFirstColumn="0" w:firstRowLastColumn="0" w:lastRowFirstColumn="0" w:lastRowLastColumn="0"/>
          <w:trHeight w:val="309"/>
        </w:trPr>
        <w:tc>
          <w:tcPr>
            <w:tcW w:w="6746" w:type="dxa"/>
            <w:noWrap/>
            <w:hideMark/>
          </w:tcPr>
          <w:p w14:paraId="7132BB3B" w14:textId="77777777" w:rsidR="009D0006" w:rsidRPr="00A55DFC" w:rsidRDefault="009D0006" w:rsidP="00513F7E">
            <w:pPr>
              <w:pStyle w:val="Tabletext"/>
            </w:pPr>
            <w:r w:rsidRPr="00A55DFC">
              <w:rPr>
                <w:lang w:val="en-US"/>
              </w:rPr>
              <w:t>Harassment such as being spat at and offensive gestures</w:t>
            </w:r>
          </w:p>
        </w:tc>
        <w:tc>
          <w:tcPr>
            <w:tcW w:w="1559" w:type="dxa"/>
            <w:noWrap/>
          </w:tcPr>
          <w:p w14:paraId="4245C463" w14:textId="77777777" w:rsidR="009D0006" w:rsidRPr="00A55DFC" w:rsidRDefault="009D0006" w:rsidP="00513F7E">
            <w:pPr>
              <w:pStyle w:val="Tabletext"/>
            </w:pPr>
            <w:r w:rsidRPr="00A55DFC">
              <w:t>121</w:t>
            </w:r>
          </w:p>
        </w:tc>
        <w:tc>
          <w:tcPr>
            <w:tcW w:w="1559" w:type="dxa"/>
            <w:noWrap/>
          </w:tcPr>
          <w:p w14:paraId="098BF0D8" w14:textId="77777777" w:rsidR="009D0006" w:rsidRPr="00A55DFC" w:rsidRDefault="009D0006" w:rsidP="00513F7E">
            <w:pPr>
              <w:pStyle w:val="Tabletext"/>
            </w:pPr>
            <w:r w:rsidRPr="00A55DFC">
              <w:t>27.6</w:t>
            </w:r>
          </w:p>
        </w:tc>
      </w:tr>
      <w:tr w:rsidR="009D0006" w:rsidRPr="00BC3468" w14:paraId="48AE9C83" w14:textId="77777777" w:rsidTr="00513F7E">
        <w:trPr>
          <w:cnfStyle w:val="000000010000" w:firstRow="0" w:lastRow="0" w:firstColumn="0" w:lastColumn="0" w:oddVBand="0" w:evenVBand="0" w:oddHBand="0" w:evenHBand="1" w:firstRowFirstColumn="0" w:firstRowLastColumn="0" w:lastRowFirstColumn="0" w:lastRowLastColumn="0"/>
          <w:trHeight w:val="309"/>
        </w:trPr>
        <w:tc>
          <w:tcPr>
            <w:tcW w:w="6746" w:type="dxa"/>
            <w:noWrap/>
            <w:hideMark/>
          </w:tcPr>
          <w:p w14:paraId="0C677898" w14:textId="77777777" w:rsidR="009D0006" w:rsidRPr="00971810" w:rsidRDefault="009D0006" w:rsidP="00513F7E">
            <w:pPr>
              <w:pStyle w:val="Tabletext"/>
            </w:pPr>
            <w:r w:rsidRPr="00971810">
              <w:rPr>
                <w:lang w:val="en-US"/>
              </w:rPr>
              <w:t>Sexual assault</w:t>
            </w:r>
          </w:p>
        </w:tc>
        <w:tc>
          <w:tcPr>
            <w:tcW w:w="1559" w:type="dxa"/>
            <w:noWrap/>
          </w:tcPr>
          <w:p w14:paraId="788A21E7" w14:textId="77777777" w:rsidR="009D0006" w:rsidRPr="00971810" w:rsidRDefault="009D0006" w:rsidP="00513F7E">
            <w:pPr>
              <w:pStyle w:val="Tabletext"/>
            </w:pPr>
            <w:r w:rsidRPr="00971810">
              <w:t>58</w:t>
            </w:r>
          </w:p>
        </w:tc>
        <w:tc>
          <w:tcPr>
            <w:tcW w:w="1559" w:type="dxa"/>
            <w:noWrap/>
          </w:tcPr>
          <w:p w14:paraId="66438E15" w14:textId="77777777" w:rsidR="009D0006" w:rsidRPr="00971810" w:rsidRDefault="009D0006" w:rsidP="00513F7E">
            <w:pPr>
              <w:pStyle w:val="Tabletext"/>
            </w:pPr>
            <w:r w:rsidRPr="00971810">
              <w:t>14.0</w:t>
            </w:r>
          </w:p>
        </w:tc>
      </w:tr>
    </w:tbl>
    <w:p w14:paraId="67B8CBE4" w14:textId="77777777" w:rsidR="00650B64" w:rsidRDefault="00650B64">
      <w:pPr>
        <w:spacing w:before="0"/>
        <w:rPr>
          <w:rFonts w:eastAsiaTheme="majorEastAsia" w:cstheme="majorBidi"/>
          <w:b/>
          <w:color w:val="000000" w:themeColor="text1"/>
        </w:rPr>
      </w:pPr>
      <w:r>
        <w:br w:type="page"/>
      </w:r>
    </w:p>
    <w:p w14:paraId="6DB7221B" w14:textId="1BE628D2" w:rsidR="009D0006" w:rsidRDefault="009D0006" w:rsidP="00513F7E">
      <w:pPr>
        <w:pStyle w:val="Tableheading"/>
      </w:pPr>
      <w:r>
        <w:t>Table 116.</w:t>
      </w:r>
      <w:r>
        <w:lastRenderedPageBreak/>
        <w:t>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0237031" w14:textId="77777777" w:rsidTr="00513F7E">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25A461D1" w14:textId="77777777" w:rsidR="009D0006" w:rsidRPr="00BC3468" w:rsidRDefault="009D0006" w:rsidP="00513F7E">
            <w:pPr>
              <w:pStyle w:val="Tableheader"/>
            </w:pPr>
            <w:r>
              <w:t>Harassment or assault in past 12 months</w:t>
            </w:r>
          </w:p>
        </w:tc>
        <w:tc>
          <w:tcPr>
            <w:tcW w:w="1559" w:type="dxa"/>
          </w:tcPr>
          <w:p w14:paraId="2E495A15" w14:textId="77777777" w:rsidR="009D0006" w:rsidRPr="00C66B63" w:rsidRDefault="009D0006" w:rsidP="00513F7E">
            <w:pPr>
              <w:pStyle w:val="Tableheader"/>
              <w:rPr>
                <w:bCs/>
              </w:rPr>
            </w:pPr>
            <w:r w:rsidRPr="00C66B63">
              <w:rPr>
                <w:bCs/>
              </w:rPr>
              <w:t>n</w:t>
            </w:r>
          </w:p>
        </w:tc>
        <w:tc>
          <w:tcPr>
            <w:tcW w:w="1559" w:type="dxa"/>
          </w:tcPr>
          <w:p w14:paraId="4F119239" w14:textId="77777777" w:rsidR="009D0006" w:rsidRPr="00C66B63" w:rsidRDefault="009D0006" w:rsidP="00513F7E">
            <w:pPr>
              <w:pStyle w:val="Tableheader"/>
              <w:rPr>
                <w:bCs/>
              </w:rPr>
            </w:pPr>
            <w:r w:rsidRPr="00C66B63">
              <w:rPr>
                <w:bCs/>
              </w:rPr>
              <w:t>%</w:t>
            </w:r>
          </w:p>
        </w:tc>
      </w:tr>
      <w:tr w:rsidR="009D0006" w:rsidRPr="00BC3468" w14:paraId="380E651D" w14:textId="77777777" w:rsidTr="00513F7E">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1A93FFB0" w14:textId="77777777" w:rsidR="009D0006" w:rsidRPr="00BC3468" w:rsidRDefault="009D0006" w:rsidP="00513F7E">
            <w:pPr>
              <w:pStyle w:val="Tabletext"/>
            </w:pPr>
            <w:r w:rsidRPr="00EF597C">
              <w:rPr>
                <w:lang w:val="en-US"/>
              </w:rPr>
              <w:t>Socially excluded</w:t>
            </w:r>
          </w:p>
        </w:tc>
        <w:tc>
          <w:tcPr>
            <w:tcW w:w="1559" w:type="dxa"/>
          </w:tcPr>
          <w:p w14:paraId="3AC4CE64" w14:textId="77777777" w:rsidR="009D0006" w:rsidRPr="00BC3468" w:rsidRDefault="009D0006" w:rsidP="00513F7E">
            <w:pPr>
              <w:pStyle w:val="Tabletext"/>
            </w:pPr>
            <w:r>
              <w:t>70</w:t>
            </w:r>
          </w:p>
        </w:tc>
        <w:tc>
          <w:tcPr>
            <w:tcW w:w="1559" w:type="dxa"/>
          </w:tcPr>
          <w:p w14:paraId="2B2EA8CC" w14:textId="77777777" w:rsidR="009D0006" w:rsidRPr="00BC3468" w:rsidRDefault="009D0006" w:rsidP="00513F7E">
            <w:pPr>
              <w:pStyle w:val="Tabletext"/>
            </w:pPr>
            <w:r>
              <w:t>60.9</w:t>
            </w:r>
          </w:p>
        </w:tc>
      </w:tr>
      <w:tr w:rsidR="009D0006" w:rsidRPr="00BC3468" w14:paraId="54412A2C" w14:textId="77777777" w:rsidTr="00513F7E">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1B49DC8F" w14:textId="77777777" w:rsidR="009D0006" w:rsidRPr="00A55DFC" w:rsidRDefault="009D0006" w:rsidP="00513F7E">
            <w:pPr>
              <w:pStyle w:val="Tabletext"/>
            </w:pPr>
            <w:r w:rsidRPr="00A55DFC">
              <w:rPr>
                <w:lang w:val="en-US"/>
              </w:rPr>
              <w:t>Verbal abuse (including hateful or obscene phone calls)</w:t>
            </w:r>
          </w:p>
        </w:tc>
        <w:tc>
          <w:tcPr>
            <w:tcW w:w="1559" w:type="dxa"/>
          </w:tcPr>
          <w:p w14:paraId="7B9F1750" w14:textId="77777777" w:rsidR="009D0006" w:rsidRPr="00A55DFC" w:rsidRDefault="009D0006" w:rsidP="00513F7E">
            <w:pPr>
              <w:pStyle w:val="Tabletext"/>
            </w:pPr>
            <w:r w:rsidRPr="00A55DFC">
              <w:t>79</w:t>
            </w:r>
          </w:p>
        </w:tc>
        <w:tc>
          <w:tcPr>
            <w:tcW w:w="1559" w:type="dxa"/>
          </w:tcPr>
          <w:p w14:paraId="214E4F33" w14:textId="77777777" w:rsidR="009D0006" w:rsidRPr="00A55DFC" w:rsidRDefault="009D0006" w:rsidP="00513F7E">
            <w:pPr>
              <w:pStyle w:val="Tabletext"/>
            </w:pPr>
            <w:r w:rsidRPr="00A55DFC">
              <w:t>66.4</w:t>
            </w:r>
          </w:p>
        </w:tc>
      </w:tr>
      <w:tr w:rsidR="009D0006" w:rsidRPr="00BC3468" w14:paraId="52D9AB04" w14:textId="77777777" w:rsidTr="00513F7E">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62FBC13C" w14:textId="77777777" w:rsidR="009D0006" w:rsidRPr="00A55DFC" w:rsidRDefault="009D0006" w:rsidP="00513F7E">
            <w:pPr>
              <w:pStyle w:val="Tabletext"/>
            </w:pPr>
            <w:r w:rsidRPr="00A55DFC">
              <w:rPr>
                <w:lang w:val="en-US"/>
              </w:rPr>
              <w:t>Harassment such as being spat at and offensive gestures</w:t>
            </w:r>
          </w:p>
        </w:tc>
        <w:tc>
          <w:tcPr>
            <w:tcW w:w="1559" w:type="dxa"/>
          </w:tcPr>
          <w:p w14:paraId="6F31002C" w14:textId="77777777" w:rsidR="009D0006" w:rsidRPr="00A55DFC" w:rsidRDefault="009D0006" w:rsidP="00513F7E">
            <w:pPr>
              <w:pStyle w:val="Tabletext"/>
            </w:pPr>
            <w:r w:rsidRPr="00A55DFC">
              <w:t>53</w:t>
            </w:r>
          </w:p>
        </w:tc>
        <w:tc>
          <w:tcPr>
            <w:tcW w:w="1559" w:type="dxa"/>
          </w:tcPr>
          <w:p w14:paraId="45E08EF8" w14:textId="77777777" w:rsidR="009D0006" w:rsidRPr="00A55DFC" w:rsidRDefault="009D0006" w:rsidP="00513F7E">
            <w:pPr>
              <w:pStyle w:val="Tabletext"/>
            </w:pPr>
            <w:r w:rsidRPr="00A55DFC">
              <w:t>44.5</w:t>
            </w:r>
          </w:p>
        </w:tc>
      </w:tr>
      <w:tr w:rsidR="009D0006" w:rsidRPr="00BC3468" w14:paraId="5589F3F3" w14:textId="77777777" w:rsidTr="00513F7E">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03829A04" w14:textId="77777777" w:rsidR="009D0006" w:rsidRPr="00971810" w:rsidRDefault="009D0006" w:rsidP="00513F7E">
            <w:pPr>
              <w:pStyle w:val="Tabletext"/>
            </w:pPr>
            <w:r w:rsidRPr="00971810">
              <w:rPr>
                <w:lang w:val="en-US"/>
              </w:rPr>
              <w:t>Sexual assault</w:t>
            </w:r>
          </w:p>
        </w:tc>
        <w:tc>
          <w:tcPr>
            <w:tcW w:w="1559" w:type="dxa"/>
          </w:tcPr>
          <w:p w14:paraId="445B2B99" w14:textId="77777777" w:rsidR="009D0006" w:rsidRPr="00971810" w:rsidRDefault="009D0006" w:rsidP="00513F7E">
            <w:pPr>
              <w:pStyle w:val="Tabletext"/>
            </w:pPr>
            <w:r w:rsidRPr="00971810">
              <w:t>21</w:t>
            </w:r>
          </w:p>
        </w:tc>
        <w:tc>
          <w:tcPr>
            <w:tcW w:w="1559" w:type="dxa"/>
          </w:tcPr>
          <w:p w14:paraId="78A4637F" w14:textId="77777777" w:rsidR="009D0006" w:rsidRPr="00971810" w:rsidRDefault="009D0006" w:rsidP="00513F7E">
            <w:pPr>
              <w:pStyle w:val="Tabletext"/>
            </w:pPr>
            <w:r w:rsidRPr="00971810">
              <w:t>17.9</w:t>
            </w:r>
          </w:p>
        </w:tc>
      </w:tr>
    </w:tbl>
    <w:p w14:paraId="1BCE43AD" w14:textId="77777777" w:rsidR="009D0006" w:rsidRDefault="009D0006" w:rsidP="00513F7E">
      <w:pPr>
        <w:pStyle w:val="Tableheading"/>
      </w:pPr>
      <w:r>
        <w:t>Table 116.4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60AD32B" w14:textId="77777777" w:rsidTr="00513F7E">
        <w:trPr>
          <w:cnfStyle w:val="100000000000" w:firstRow="1" w:lastRow="0" w:firstColumn="0" w:lastColumn="0" w:oddVBand="0" w:evenVBand="0" w:oddHBand="0" w:evenHBand="0" w:firstRowFirstColumn="0" w:firstRowLastColumn="0" w:lastRowFirstColumn="0" w:lastRowLastColumn="0"/>
          <w:trHeight w:val="311"/>
        </w:trPr>
        <w:tc>
          <w:tcPr>
            <w:tcW w:w="6746" w:type="dxa"/>
            <w:noWrap/>
            <w:hideMark/>
          </w:tcPr>
          <w:p w14:paraId="5306FB5E" w14:textId="77777777" w:rsidR="009D0006" w:rsidRPr="00BC3468" w:rsidRDefault="009D0006" w:rsidP="00513F7E">
            <w:pPr>
              <w:pStyle w:val="Tableheader"/>
            </w:pPr>
            <w:r>
              <w:t>Harassment or assault in past 12 months</w:t>
            </w:r>
          </w:p>
        </w:tc>
        <w:tc>
          <w:tcPr>
            <w:tcW w:w="1559" w:type="dxa"/>
            <w:noWrap/>
            <w:hideMark/>
          </w:tcPr>
          <w:p w14:paraId="4DE635D7" w14:textId="77777777" w:rsidR="009D0006" w:rsidRPr="00C66B63" w:rsidRDefault="009D0006" w:rsidP="00513F7E">
            <w:pPr>
              <w:pStyle w:val="Tableheader"/>
              <w:rPr>
                <w:bCs/>
              </w:rPr>
            </w:pPr>
            <w:r w:rsidRPr="00C66B63">
              <w:rPr>
                <w:bCs/>
              </w:rPr>
              <w:t>n</w:t>
            </w:r>
          </w:p>
        </w:tc>
        <w:tc>
          <w:tcPr>
            <w:tcW w:w="1559" w:type="dxa"/>
            <w:noWrap/>
            <w:hideMark/>
          </w:tcPr>
          <w:p w14:paraId="13AC5A24" w14:textId="77777777" w:rsidR="009D0006" w:rsidRPr="00C66B63" w:rsidRDefault="009D0006" w:rsidP="00513F7E">
            <w:pPr>
              <w:pStyle w:val="Tableheader"/>
              <w:rPr>
                <w:bCs/>
              </w:rPr>
            </w:pPr>
            <w:r w:rsidRPr="00C66B63">
              <w:rPr>
                <w:bCs/>
              </w:rPr>
              <w:t>%</w:t>
            </w:r>
          </w:p>
        </w:tc>
      </w:tr>
      <w:tr w:rsidR="009D0006" w:rsidRPr="00BC3468" w14:paraId="19A38E11" w14:textId="77777777" w:rsidTr="00513F7E">
        <w:trPr>
          <w:cnfStyle w:val="000000100000" w:firstRow="0" w:lastRow="0" w:firstColumn="0" w:lastColumn="0" w:oddVBand="0" w:evenVBand="0" w:oddHBand="1" w:evenHBand="0" w:firstRowFirstColumn="0" w:firstRowLastColumn="0" w:lastRowFirstColumn="0" w:lastRowLastColumn="0"/>
          <w:trHeight w:val="311"/>
        </w:trPr>
        <w:tc>
          <w:tcPr>
            <w:tcW w:w="6746" w:type="dxa"/>
            <w:noWrap/>
            <w:hideMark/>
          </w:tcPr>
          <w:p w14:paraId="78540C62" w14:textId="77777777" w:rsidR="009D0006" w:rsidRPr="00BC3468" w:rsidRDefault="009D0006" w:rsidP="00513F7E">
            <w:pPr>
              <w:pStyle w:val="Tabletext"/>
            </w:pPr>
            <w:r w:rsidRPr="00EF597C">
              <w:rPr>
                <w:lang w:val="en-US"/>
              </w:rPr>
              <w:t>Socially excluded</w:t>
            </w:r>
          </w:p>
        </w:tc>
        <w:tc>
          <w:tcPr>
            <w:tcW w:w="1559" w:type="dxa"/>
            <w:noWrap/>
          </w:tcPr>
          <w:p w14:paraId="4B6BFDCB" w14:textId="77777777" w:rsidR="009D0006" w:rsidRPr="00BC3468" w:rsidRDefault="009D0006" w:rsidP="00513F7E">
            <w:pPr>
              <w:pStyle w:val="Tabletext"/>
            </w:pPr>
            <w:r>
              <w:t>93</w:t>
            </w:r>
          </w:p>
        </w:tc>
        <w:tc>
          <w:tcPr>
            <w:tcW w:w="1559" w:type="dxa"/>
            <w:noWrap/>
          </w:tcPr>
          <w:p w14:paraId="08F427B2" w14:textId="77777777" w:rsidR="009D0006" w:rsidRPr="00BC3468" w:rsidRDefault="009D0006" w:rsidP="00513F7E">
            <w:pPr>
              <w:pStyle w:val="Tabletext"/>
            </w:pPr>
            <w:r>
              <w:t>61.6</w:t>
            </w:r>
          </w:p>
        </w:tc>
      </w:tr>
      <w:tr w:rsidR="009D0006" w:rsidRPr="00BC3468" w14:paraId="34D5327B" w14:textId="77777777" w:rsidTr="00513F7E">
        <w:trPr>
          <w:cnfStyle w:val="000000010000" w:firstRow="0" w:lastRow="0" w:firstColumn="0" w:lastColumn="0" w:oddVBand="0" w:evenVBand="0" w:oddHBand="0" w:evenHBand="1" w:firstRowFirstColumn="0" w:firstRowLastColumn="0" w:lastRowFirstColumn="0" w:lastRowLastColumn="0"/>
          <w:trHeight w:val="311"/>
        </w:trPr>
        <w:tc>
          <w:tcPr>
            <w:tcW w:w="6746" w:type="dxa"/>
            <w:noWrap/>
            <w:hideMark/>
          </w:tcPr>
          <w:p w14:paraId="328DD0B5" w14:textId="77777777" w:rsidR="009D0006" w:rsidRPr="00A55DFC" w:rsidRDefault="009D0006" w:rsidP="00513F7E">
            <w:pPr>
              <w:pStyle w:val="Tabletext"/>
            </w:pPr>
            <w:r w:rsidRPr="00A55DFC">
              <w:rPr>
                <w:lang w:val="en-US"/>
              </w:rPr>
              <w:t>Verbal abuse (including hateful or obscene phone calls)</w:t>
            </w:r>
          </w:p>
        </w:tc>
        <w:tc>
          <w:tcPr>
            <w:tcW w:w="1559" w:type="dxa"/>
            <w:noWrap/>
          </w:tcPr>
          <w:p w14:paraId="058C81E1" w14:textId="77777777" w:rsidR="009D0006" w:rsidRPr="00A55DFC" w:rsidRDefault="009D0006" w:rsidP="00513F7E">
            <w:pPr>
              <w:pStyle w:val="Tabletext"/>
            </w:pPr>
            <w:r w:rsidRPr="00A55DFC">
              <w:t>78</w:t>
            </w:r>
          </w:p>
        </w:tc>
        <w:tc>
          <w:tcPr>
            <w:tcW w:w="1559" w:type="dxa"/>
            <w:noWrap/>
          </w:tcPr>
          <w:p w14:paraId="7A5F4B35" w14:textId="77777777" w:rsidR="009D0006" w:rsidRPr="00A55DFC" w:rsidRDefault="009D0006" w:rsidP="00513F7E">
            <w:pPr>
              <w:pStyle w:val="Tabletext"/>
            </w:pPr>
            <w:r w:rsidRPr="00A55DFC">
              <w:t>53.1</w:t>
            </w:r>
          </w:p>
        </w:tc>
      </w:tr>
      <w:tr w:rsidR="009D0006" w:rsidRPr="00BC3468" w14:paraId="03950855" w14:textId="77777777" w:rsidTr="00513F7E">
        <w:trPr>
          <w:cnfStyle w:val="000000100000" w:firstRow="0" w:lastRow="0" w:firstColumn="0" w:lastColumn="0" w:oddVBand="0" w:evenVBand="0" w:oddHBand="1" w:evenHBand="0" w:firstRowFirstColumn="0" w:firstRowLastColumn="0" w:lastRowFirstColumn="0" w:lastRowLastColumn="0"/>
          <w:trHeight w:val="311"/>
        </w:trPr>
        <w:tc>
          <w:tcPr>
            <w:tcW w:w="6746" w:type="dxa"/>
            <w:noWrap/>
            <w:hideMark/>
          </w:tcPr>
          <w:p w14:paraId="71FE66D5" w14:textId="77777777" w:rsidR="009D0006" w:rsidRPr="00A55DFC" w:rsidRDefault="009D0006" w:rsidP="00513F7E">
            <w:pPr>
              <w:pStyle w:val="Tabletext"/>
            </w:pPr>
            <w:r w:rsidRPr="00A55DFC">
              <w:rPr>
                <w:lang w:val="en-US"/>
              </w:rPr>
              <w:t>Harassment such as being spat at and offensive gestures</w:t>
            </w:r>
          </w:p>
        </w:tc>
        <w:tc>
          <w:tcPr>
            <w:tcW w:w="1559" w:type="dxa"/>
            <w:noWrap/>
          </w:tcPr>
          <w:p w14:paraId="47BBE487" w14:textId="77777777" w:rsidR="009D0006" w:rsidRPr="00A55DFC" w:rsidRDefault="009D0006" w:rsidP="00513F7E">
            <w:pPr>
              <w:pStyle w:val="Tabletext"/>
            </w:pPr>
            <w:r w:rsidRPr="00A55DFC">
              <w:t>54</w:t>
            </w:r>
          </w:p>
        </w:tc>
        <w:tc>
          <w:tcPr>
            <w:tcW w:w="1559" w:type="dxa"/>
            <w:noWrap/>
          </w:tcPr>
          <w:p w14:paraId="0E3ADF4B" w14:textId="77777777" w:rsidR="009D0006" w:rsidRPr="00A55DFC" w:rsidRDefault="009D0006" w:rsidP="00513F7E">
            <w:pPr>
              <w:pStyle w:val="Tabletext"/>
            </w:pPr>
            <w:r w:rsidRPr="00A55DFC">
              <w:t>36.2</w:t>
            </w:r>
          </w:p>
        </w:tc>
      </w:tr>
      <w:tr w:rsidR="009D0006" w:rsidRPr="00BC3468" w14:paraId="45661235" w14:textId="77777777" w:rsidTr="00513F7E">
        <w:trPr>
          <w:cnfStyle w:val="000000010000" w:firstRow="0" w:lastRow="0" w:firstColumn="0" w:lastColumn="0" w:oddVBand="0" w:evenVBand="0" w:oddHBand="0" w:evenHBand="1" w:firstRowFirstColumn="0" w:firstRowLastColumn="0" w:lastRowFirstColumn="0" w:lastRowLastColumn="0"/>
          <w:trHeight w:val="311"/>
        </w:trPr>
        <w:tc>
          <w:tcPr>
            <w:tcW w:w="6746" w:type="dxa"/>
            <w:noWrap/>
            <w:hideMark/>
          </w:tcPr>
          <w:p w14:paraId="076D4E51" w14:textId="77777777" w:rsidR="009D0006" w:rsidRPr="00971810" w:rsidRDefault="009D0006" w:rsidP="00513F7E">
            <w:pPr>
              <w:pStyle w:val="Tabletext"/>
            </w:pPr>
            <w:r w:rsidRPr="00971810">
              <w:rPr>
                <w:lang w:val="en-US"/>
              </w:rPr>
              <w:t>Sexual assault</w:t>
            </w:r>
          </w:p>
        </w:tc>
        <w:tc>
          <w:tcPr>
            <w:tcW w:w="1559" w:type="dxa"/>
            <w:noWrap/>
          </w:tcPr>
          <w:p w14:paraId="07623E10" w14:textId="77777777" w:rsidR="009D0006" w:rsidRPr="00971810" w:rsidRDefault="009D0006" w:rsidP="00513F7E">
            <w:pPr>
              <w:pStyle w:val="Tabletext"/>
            </w:pPr>
            <w:r w:rsidRPr="00971810">
              <w:t>25</w:t>
            </w:r>
          </w:p>
        </w:tc>
        <w:tc>
          <w:tcPr>
            <w:tcW w:w="1559" w:type="dxa"/>
            <w:noWrap/>
          </w:tcPr>
          <w:p w14:paraId="5EF3ADF9" w14:textId="77777777" w:rsidR="009D0006" w:rsidRPr="00971810" w:rsidRDefault="009D0006" w:rsidP="00513F7E">
            <w:pPr>
              <w:pStyle w:val="Tabletext"/>
            </w:pPr>
            <w:r w:rsidRPr="00971810">
              <w:t>17.6</w:t>
            </w:r>
          </w:p>
        </w:tc>
      </w:tr>
    </w:tbl>
    <w:p w14:paraId="77D5528B" w14:textId="77777777" w:rsidR="009D0006" w:rsidRDefault="009D0006" w:rsidP="00513F7E">
      <w:pPr>
        <w:pStyle w:val="Tableheading"/>
      </w:pPr>
      <w:r>
        <w:t>Table 116.5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85ED4BF" w14:textId="77777777" w:rsidTr="00513F7E">
        <w:trPr>
          <w:cnfStyle w:val="100000000000" w:firstRow="1" w:lastRow="0" w:firstColumn="0" w:lastColumn="0" w:oddVBand="0" w:evenVBand="0" w:oddHBand="0" w:evenHBand="0" w:firstRowFirstColumn="0" w:firstRowLastColumn="0" w:lastRowFirstColumn="0" w:lastRowLastColumn="0"/>
          <w:trHeight w:val="300"/>
        </w:trPr>
        <w:tc>
          <w:tcPr>
            <w:tcW w:w="6746" w:type="dxa"/>
            <w:noWrap/>
            <w:hideMark/>
          </w:tcPr>
          <w:p w14:paraId="4DCC8FCA" w14:textId="77777777" w:rsidR="009D0006" w:rsidRPr="00BC3468" w:rsidRDefault="009D0006" w:rsidP="00513F7E">
            <w:pPr>
              <w:pStyle w:val="Tableheader"/>
            </w:pPr>
            <w:r>
              <w:t>Harassment or assault in past 12 months</w:t>
            </w:r>
          </w:p>
        </w:tc>
        <w:tc>
          <w:tcPr>
            <w:tcW w:w="1559" w:type="dxa"/>
            <w:noWrap/>
            <w:hideMark/>
          </w:tcPr>
          <w:p w14:paraId="3BB50470" w14:textId="77777777" w:rsidR="009D0006" w:rsidRPr="00C66B63" w:rsidRDefault="009D0006" w:rsidP="00513F7E">
            <w:pPr>
              <w:pStyle w:val="Tableheader"/>
              <w:rPr>
                <w:bCs/>
              </w:rPr>
            </w:pPr>
            <w:r w:rsidRPr="00C66B63">
              <w:rPr>
                <w:bCs/>
              </w:rPr>
              <w:t>n</w:t>
            </w:r>
          </w:p>
        </w:tc>
        <w:tc>
          <w:tcPr>
            <w:tcW w:w="1559" w:type="dxa"/>
            <w:noWrap/>
            <w:hideMark/>
          </w:tcPr>
          <w:p w14:paraId="2A77FE2D" w14:textId="77777777" w:rsidR="009D0006" w:rsidRPr="00C66B63" w:rsidRDefault="009D0006" w:rsidP="00513F7E">
            <w:pPr>
              <w:pStyle w:val="Tableheader"/>
              <w:rPr>
                <w:bCs/>
              </w:rPr>
            </w:pPr>
            <w:r w:rsidRPr="00C66B63">
              <w:rPr>
                <w:bCs/>
              </w:rPr>
              <w:t>%</w:t>
            </w:r>
          </w:p>
        </w:tc>
      </w:tr>
      <w:tr w:rsidR="009D0006" w:rsidRPr="00BC3468" w14:paraId="0C030365" w14:textId="77777777" w:rsidTr="00513F7E">
        <w:trPr>
          <w:cnfStyle w:val="000000100000" w:firstRow="0" w:lastRow="0" w:firstColumn="0" w:lastColumn="0" w:oddVBand="0" w:evenVBand="0" w:oddHBand="1" w:evenHBand="0" w:firstRowFirstColumn="0" w:firstRowLastColumn="0" w:lastRowFirstColumn="0" w:lastRowLastColumn="0"/>
          <w:trHeight w:val="300"/>
        </w:trPr>
        <w:tc>
          <w:tcPr>
            <w:tcW w:w="6746" w:type="dxa"/>
            <w:noWrap/>
            <w:hideMark/>
          </w:tcPr>
          <w:p w14:paraId="49147967" w14:textId="77777777" w:rsidR="009D0006" w:rsidRPr="00BC3468" w:rsidRDefault="009D0006" w:rsidP="00513F7E">
            <w:pPr>
              <w:pStyle w:val="Tabletext"/>
            </w:pPr>
            <w:r w:rsidRPr="00EF597C">
              <w:rPr>
                <w:lang w:val="en-US"/>
              </w:rPr>
              <w:t>Socially excluded</w:t>
            </w:r>
          </w:p>
        </w:tc>
        <w:tc>
          <w:tcPr>
            <w:tcW w:w="1559" w:type="dxa"/>
            <w:noWrap/>
          </w:tcPr>
          <w:p w14:paraId="31825257" w14:textId="77777777" w:rsidR="009D0006" w:rsidRPr="00BC3468" w:rsidRDefault="009D0006" w:rsidP="00513F7E">
            <w:pPr>
              <w:pStyle w:val="Tabletext"/>
            </w:pPr>
            <w:r>
              <w:t>323</w:t>
            </w:r>
          </w:p>
        </w:tc>
        <w:tc>
          <w:tcPr>
            <w:tcW w:w="1559" w:type="dxa"/>
            <w:noWrap/>
          </w:tcPr>
          <w:p w14:paraId="6F9D98FD" w14:textId="77777777" w:rsidR="009D0006" w:rsidRPr="00BC3468" w:rsidRDefault="009D0006" w:rsidP="00513F7E">
            <w:pPr>
              <w:pStyle w:val="Tabletext"/>
            </w:pPr>
            <w:r>
              <w:t>62.8</w:t>
            </w:r>
          </w:p>
        </w:tc>
      </w:tr>
      <w:tr w:rsidR="009D0006" w:rsidRPr="00BC3468" w14:paraId="2170365E" w14:textId="77777777" w:rsidTr="00513F7E">
        <w:trPr>
          <w:cnfStyle w:val="000000010000" w:firstRow="0" w:lastRow="0" w:firstColumn="0" w:lastColumn="0" w:oddVBand="0" w:evenVBand="0" w:oddHBand="0" w:evenHBand="1" w:firstRowFirstColumn="0" w:firstRowLastColumn="0" w:lastRowFirstColumn="0" w:lastRowLastColumn="0"/>
          <w:trHeight w:val="300"/>
        </w:trPr>
        <w:tc>
          <w:tcPr>
            <w:tcW w:w="6746" w:type="dxa"/>
            <w:noWrap/>
            <w:hideMark/>
          </w:tcPr>
          <w:p w14:paraId="6AA5F94E" w14:textId="77777777" w:rsidR="009D0006" w:rsidRPr="00A55DFC" w:rsidRDefault="009D0006" w:rsidP="00513F7E">
            <w:pPr>
              <w:pStyle w:val="Tabletext"/>
            </w:pPr>
            <w:r w:rsidRPr="00A55DFC">
              <w:rPr>
                <w:lang w:val="en-US"/>
              </w:rPr>
              <w:t>Verbal abuse (including hateful or obscene phone calls)</w:t>
            </w:r>
          </w:p>
        </w:tc>
        <w:tc>
          <w:tcPr>
            <w:tcW w:w="1559" w:type="dxa"/>
            <w:noWrap/>
          </w:tcPr>
          <w:p w14:paraId="7C5A0757" w14:textId="77777777" w:rsidR="009D0006" w:rsidRPr="00A55DFC" w:rsidRDefault="009D0006" w:rsidP="00513F7E">
            <w:pPr>
              <w:pStyle w:val="Tabletext"/>
            </w:pPr>
            <w:r w:rsidRPr="00A55DFC">
              <w:t>282</w:t>
            </w:r>
          </w:p>
        </w:tc>
        <w:tc>
          <w:tcPr>
            <w:tcW w:w="1559" w:type="dxa"/>
            <w:noWrap/>
          </w:tcPr>
          <w:p w14:paraId="24D884ED" w14:textId="77777777" w:rsidR="009D0006" w:rsidRPr="00BC3468" w:rsidRDefault="009D0006" w:rsidP="00513F7E">
            <w:pPr>
              <w:pStyle w:val="Tabletext"/>
            </w:pPr>
            <w:r w:rsidRPr="00A55DFC">
              <w:t>55.4</w:t>
            </w:r>
          </w:p>
        </w:tc>
      </w:tr>
      <w:tr w:rsidR="009D0006" w:rsidRPr="00BC3468" w14:paraId="4CC92BD8" w14:textId="77777777" w:rsidTr="00513F7E">
        <w:trPr>
          <w:cnfStyle w:val="000000100000" w:firstRow="0" w:lastRow="0" w:firstColumn="0" w:lastColumn="0" w:oddVBand="0" w:evenVBand="0" w:oddHBand="1" w:evenHBand="0" w:firstRowFirstColumn="0" w:firstRowLastColumn="0" w:lastRowFirstColumn="0" w:lastRowLastColumn="0"/>
          <w:trHeight w:val="300"/>
        </w:trPr>
        <w:tc>
          <w:tcPr>
            <w:tcW w:w="6746" w:type="dxa"/>
            <w:noWrap/>
            <w:hideMark/>
          </w:tcPr>
          <w:p w14:paraId="68E26573" w14:textId="77777777" w:rsidR="009D0006" w:rsidRPr="00A55DFC" w:rsidRDefault="009D0006" w:rsidP="00513F7E">
            <w:pPr>
              <w:pStyle w:val="Tabletext"/>
            </w:pPr>
            <w:r w:rsidRPr="00A55DFC">
              <w:rPr>
                <w:lang w:val="en-US"/>
              </w:rPr>
              <w:t>Harassment such as being spat at and offensive gestures</w:t>
            </w:r>
          </w:p>
        </w:tc>
        <w:tc>
          <w:tcPr>
            <w:tcW w:w="1559" w:type="dxa"/>
            <w:noWrap/>
          </w:tcPr>
          <w:p w14:paraId="505ADA8C" w14:textId="77777777" w:rsidR="009D0006" w:rsidRPr="00A55DFC" w:rsidRDefault="009D0006" w:rsidP="00513F7E">
            <w:pPr>
              <w:pStyle w:val="Tabletext"/>
            </w:pPr>
            <w:r w:rsidRPr="00A55DFC">
              <w:t>204</w:t>
            </w:r>
          </w:p>
        </w:tc>
        <w:tc>
          <w:tcPr>
            <w:tcW w:w="1559" w:type="dxa"/>
            <w:noWrap/>
          </w:tcPr>
          <w:p w14:paraId="487F0AAB" w14:textId="77777777" w:rsidR="009D0006" w:rsidRPr="00BC3468" w:rsidRDefault="009D0006" w:rsidP="00513F7E">
            <w:pPr>
              <w:pStyle w:val="Tabletext"/>
            </w:pPr>
            <w:r w:rsidRPr="00A55DFC">
              <w:t>40.6</w:t>
            </w:r>
          </w:p>
        </w:tc>
      </w:tr>
      <w:tr w:rsidR="009D0006" w:rsidRPr="00BC3468" w14:paraId="41B676C3" w14:textId="77777777" w:rsidTr="00513F7E">
        <w:trPr>
          <w:cnfStyle w:val="000000010000" w:firstRow="0" w:lastRow="0" w:firstColumn="0" w:lastColumn="0" w:oddVBand="0" w:evenVBand="0" w:oddHBand="0" w:evenHBand="1" w:firstRowFirstColumn="0" w:firstRowLastColumn="0" w:lastRowFirstColumn="0" w:lastRowLastColumn="0"/>
          <w:trHeight w:val="300"/>
        </w:trPr>
        <w:tc>
          <w:tcPr>
            <w:tcW w:w="6746" w:type="dxa"/>
            <w:noWrap/>
            <w:hideMark/>
          </w:tcPr>
          <w:p w14:paraId="5CA3E29F" w14:textId="77777777" w:rsidR="009D0006" w:rsidRPr="00971810" w:rsidRDefault="009D0006" w:rsidP="00513F7E">
            <w:pPr>
              <w:pStyle w:val="Tabletext"/>
            </w:pPr>
            <w:r w:rsidRPr="00971810">
              <w:rPr>
                <w:lang w:val="en-US"/>
              </w:rPr>
              <w:t>Sexual assault</w:t>
            </w:r>
          </w:p>
        </w:tc>
        <w:tc>
          <w:tcPr>
            <w:tcW w:w="1559" w:type="dxa"/>
            <w:noWrap/>
          </w:tcPr>
          <w:p w14:paraId="1639CFD9" w14:textId="77777777" w:rsidR="009D0006" w:rsidRPr="00971810" w:rsidRDefault="009D0006" w:rsidP="00513F7E">
            <w:pPr>
              <w:pStyle w:val="Tabletext"/>
            </w:pPr>
            <w:r w:rsidRPr="00971810">
              <w:t>105</w:t>
            </w:r>
          </w:p>
        </w:tc>
        <w:tc>
          <w:tcPr>
            <w:tcW w:w="1559" w:type="dxa"/>
            <w:noWrap/>
          </w:tcPr>
          <w:p w14:paraId="42E76264" w14:textId="77777777" w:rsidR="009D0006" w:rsidRPr="00BC3468" w:rsidRDefault="009D0006" w:rsidP="00513F7E">
            <w:pPr>
              <w:pStyle w:val="Tabletext"/>
            </w:pPr>
            <w:r w:rsidRPr="00971810">
              <w:t>21.1</w:t>
            </w:r>
          </w:p>
        </w:tc>
      </w:tr>
    </w:tbl>
    <w:p w14:paraId="0FF6E7EA" w14:textId="77777777" w:rsidR="009D0006" w:rsidRPr="00513F7E" w:rsidRDefault="009D0006" w:rsidP="00513F7E">
      <w:pPr>
        <w:pStyle w:val="TableTextNotebelow"/>
        <w:rPr>
          <w:i/>
        </w:rPr>
      </w:pPr>
      <w:r w:rsidRPr="00513F7E">
        <w:rPr>
          <w:i/>
        </w:rPr>
        <w:t>Note: Responses were analysed among participants who reported that a situation was applicable to them therefore an overall ‘n’ is not provided.</w:t>
      </w:r>
    </w:p>
    <w:p w14:paraId="400B9649" w14:textId="77777777" w:rsidR="009D0006" w:rsidRDefault="009D0006" w:rsidP="00AB4A74">
      <w:pPr>
        <w:spacing w:before="360"/>
      </w:pPr>
      <w:r w:rsidRPr="00971810">
        <w:t>As shown in Table</w:t>
      </w:r>
      <w:r>
        <w:t>s</w:t>
      </w:r>
      <w:r w:rsidRPr="00971810">
        <w:t xml:space="preserve"> </w:t>
      </w:r>
      <w:r>
        <w:t xml:space="preserve">116.1-116.5, among participants with disability in </w:t>
      </w:r>
      <w:r>
        <w:rPr>
          <w:i/>
          <w:iCs/>
        </w:rPr>
        <w:t xml:space="preserve">Private Lives 3 </w:t>
      </w:r>
      <w:r>
        <w:t>more than 60% of non-binary people had experienced social exclusion in the past 12 months (62.8%; n = 323), followed by trans men (61.6%; n = 93), trans women (60.9%; n = 70), cisgender women (44.4%; n = 486) and cisgender men (43.2%; n = 188).</w:t>
      </w:r>
    </w:p>
    <w:p w14:paraId="17913747" w14:textId="77777777" w:rsidR="009D0006" w:rsidRDefault="009D0006" w:rsidP="009D0006">
      <w:r>
        <w:t>Approximately two-thirds of trans women had experienced verbal abuse including hateful or obscene phone calls (66.4%; n = 79), followed by more than half of non-binary people (55.4%; n = 282) and trans men (53.1%; n = 78). Almost two-fifths of cisgender men had experienced verbal abuse (38.9%; n = 172), followed by approximately one-third of cisgender women (33.5%; n = 361).</w:t>
      </w:r>
    </w:p>
    <w:p w14:paraId="39026095" w14:textId="77777777" w:rsidR="009D0006" w:rsidRDefault="009D0006" w:rsidP="009D0006">
      <w:r>
        <w:t xml:space="preserve">More than </w:t>
      </w:r>
      <w:r>
        <w:lastRenderedPageBreak/>
        <w:t>two-fifths of trans women had experienced harassment such as being spat at and offensive gestures (44.5%; n = 53), followed by non-binary people (40.6%; n = 204), trans men (36.2%; n = 54), cisgender men (27.6%; n = 121) and cisgender women (24.4%; n = 263).</w:t>
      </w:r>
    </w:p>
    <w:p w14:paraId="2B3FFA0A" w14:textId="77777777" w:rsidR="009D0006" w:rsidRDefault="009D0006" w:rsidP="009D0006">
      <w:r>
        <w:t>Just over one-fifth of non-binary people had experienced sexual assault in the past 12 months (21.1%; n = 105), followed by trans women (17.9%; n = 21), trans men (17.6%; n = 25), cisgender women (16.8%; n = 177) and cisgender men (14.0%; n = 58).</w:t>
      </w:r>
    </w:p>
    <w:p w14:paraId="444D95AD" w14:textId="7E1634C8" w:rsidR="009D0006" w:rsidRPr="00C5739E" w:rsidRDefault="009D0006" w:rsidP="009401DC">
      <w:pPr>
        <w:pStyle w:val="Heading2Numbered"/>
      </w:pPr>
      <w:bookmarkStart w:id="914" w:name="_Toc115968664"/>
      <w:bookmarkStart w:id="915" w:name="_Toc119662480"/>
      <w:r w:rsidRPr="00C5739E">
        <w:t xml:space="preserve">Experiences of </w:t>
      </w:r>
      <w:r>
        <w:t>family</w:t>
      </w:r>
      <w:r w:rsidRPr="00C5739E">
        <w:t xml:space="preserve"> violence – adults aged 18+ years</w:t>
      </w:r>
      <w:bookmarkEnd w:id="914"/>
      <w:bookmarkEnd w:id="915"/>
    </w:p>
    <w:p w14:paraId="6F73EB81" w14:textId="3E4D7281" w:rsidR="009D0006" w:rsidRDefault="009D0006" w:rsidP="00513F7E">
      <w:pPr>
        <w:pStyle w:val="Tableheading"/>
      </w:pPr>
      <w:bookmarkStart w:id="916" w:name="_Toc117062834"/>
      <w:bookmarkStart w:id="917" w:name="_Toc119651519"/>
      <w:r w:rsidRPr="004B5CDE">
        <w:t>Table</w:t>
      </w:r>
      <w:r>
        <w:t>s</w:t>
      </w:r>
      <w:r w:rsidRPr="004B5CDE">
        <w:t xml:space="preserve"> </w:t>
      </w:r>
      <w:r>
        <w:rPr>
          <w:noProof/>
        </w:rPr>
        <w:fldChar w:fldCharType="begin"/>
      </w:r>
      <w:r>
        <w:rPr>
          <w:noProof/>
        </w:rPr>
        <w:instrText xml:space="preserve"> SEQ Table \* ARABIC </w:instrText>
      </w:r>
      <w:r>
        <w:rPr>
          <w:noProof/>
        </w:rPr>
        <w:fldChar w:fldCharType="separate"/>
      </w:r>
      <w:r>
        <w:rPr>
          <w:noProof/>
        </w:rPr>
        <w:t>117</w:t>
      </w:r>
      <w:r>
        <w:rPr>
          <w:noProof/>
        </w:rPr>
        <w:fldChar w:fldCharType="end"/>
      </w:r>
      <w:r>
        <w:rPr>
          <w:noProof/>
        </w:rPr>
        <w:t>.1-117.5</w:t>
      </w:r>
      <w:r>
        <w:t>: Ever experienced violence</w:t>
      </w:r>
      <w:r w:rsidRPr="004B5CDE">
        <w:t xml:space="preserve"> </w:t>
      </w:r>
      <w:r>
        <w:t>from an intimate partner (n = 2594) or family member (n = 2594) among adults with disability aged 18+ years, grouped by gender</w:t>
      </w:r>
      <w:bookmarkEnd w:id="916"/>
      <w:bookmarkEnd w:id="917"/>
    </w:p>
    <w:p w14:paraId="4D1EB603" w14:textId="77777777" w:rsidR="009D0006" w:rsidRPr="004B5CDE" w:rsidRDefault="009D0006" w:rsidP="00513F7E">
      <w:pPr>
        <w:pStyle w:val="Tableheading"/>
      </w:pPr>
      <w:r>
        <w:t>Table 117.1 Cisgender woman</w:t>
      </w:r>
    </w:p>
    <w:tbl>
      <w:tblPr>
        <w:tblStyle w:val="RCTable"/>
        <w:tblW w:w="9864" w:type="dxa"/>
        <w:tblLayout w:type="fixed"/>
        <w:tblLook w:val="04A0" w:firstRow="1" w:lastRow="0" w:firstColumn="1" w:lastColumn="0" w:noHBand="0" w:noVBand="1"/>
      </w:tblPr>
      <w:tblGrid>
        <w:gridCol w:w="6746"/>
        <w:gridCol w:w="1559"/>
        <w:gridCol w:w="1559"/>
      </w:tblGrid>
      <w:tr w:rsidR="009D0006" w:rsidRPr="00BC3468" w14:paraId="431A5773" w14:textId="77777777" w:rsidTr="00BB51A5">
        <w:trPr>
          <w:cnfStyle w:val="100000000000" w:firstRow="1" w:lastRow="0" w:firstColumn="0" w:lastColumn="0" w:oddVBand="0" w:evenVBand="0" w:oddHBand="0" w:evenHBand="0" w:firstRowFirstColumn="0" w:firstRowLastColumn="0" w:lastRowFirstColumn="0" w:lastRowLastColumn="0"/>
          <w:trHeight w:val="306"/>
        </w:trPr>
        <w:tc>
          <w:tcPr>
            <w:tcW w:w="6746" w:type="dxa"/>
            <w:noWrap/>
            <w:hideMark/>
          </w:tcPr>
          <w:p w14:paraId="2E397E90" w14:textId="77777777" w:rsidR="009D0006" w:rsidRPr="00BC3468" w:rsidRDefault="009D0006" w:rsidP="00BB51A5">
            <w:pPr>
              <w:pStyle w:val="Tableheader"/>
            </w:pPr>
            <w:r>
              <w:t>Source of violence</w:t>
            </w:r>
          </w:p>
        </w:tc>
        <w:tc>
          <w:tcPr>
            <w:tcW w:w="1559" w:type="dxa"/>
            <w:noWrap/>
            <w:hideMark/>
          </w:tcPr>
          <w:p w14:paraId="6EB91C3F" w14:textId="77777777" w:rsidR="009D0006" w:rsidRPr="008119E4" w:rsidRDefault="009D0006" w:rsidP="00BB51A5">
            <w:pPr>
              <w:pStyle w:val="Tableheader"/>
              <w:rPr>
                <w:bCs/>
              </w:rPr>
            </w:pPr>
            <w:r w:rsidRPr="008119E4">
              <w:rPr>
                <w:bCs/>
              </w:rPr>
              <w:t>n</w:t>
            </w:r>
          </w:p>
        </w:tc>
        <w:tc>
          <w:tcPr>
            <w:tcW w:w="1559" w:type="dxa"/>
            <w:noWrap/>
            <w:hideMark/>
          </w:tcPr>
          <w:p w14:paraId="4E7D9718" w14:textId="77777777" w:rsidR="009D0006" w:rsidRPr="008119E4" w:rsidRDefault="009D0006" w:rsidP="00BB51A5">
            <w:pPr>
              <w:pStyle w:val="Tableheader"/>
              <w:rPr>
                <w:bCs/>
              </w:rPr>
            </w:pPr>
            <w:r w:rsidRPr="008119E4">
              <w:rPr>
                <w:bCs/>
              </w:rPr>
              <w:t>%</w:t>
            </w:r>
          </w:p>
        </w:tc>
      </w:tr>
      <w:tr w:rsidR="009D0006" w:rsidRPr="00BC3468" w14:paraId="4A513627" w14:textId="77777777" w:rsidTr="00BB51A5">
        <w:trPr>
          <w:cnfStyle w:val="000000100000" w:firstRow="0" w:lastRow="0" w:firstColumn="0" w:lastColumn="0" w:oddVBand="0" w:evenVBand="0" w:oddHBand="1" w:evenHBand="0" w:firstRowFirstColumn="0" w:firstRowLastColumn="0" w:lastRowFirstColumn="0" w:lastRowLastColumn="0"/>
          <w:trHeight w:val="306"/>
        </w:trPr>
        <w:tc>
          <w:tcPr>
            <w:tcW w:w="6746" w:type="dxa"/>
            <w:noWrap/>
            <w:hideMark/>
          </w:tcPr>
          <w:p w14:paraId="6499A78C" w14:textId="77777777" w:rsidR="009D0006" w:rsidRPr="00BC3468" w:rsidRDefault="009D0006" w:rsidP="00BB51A5">
            <w:pPr>
              <w:pStyle w:val="Tabletext"/>
            </w:pPr>
            <w:r>
              <w:rPr>
                <w:lang w:val="en-US"/>
              </w:rPr>
              <w:t>Intimate partner</w:t>
            </w:r>
          </w:p>
        </w:tc>
        <w:tc>
          <w:tcPr>
            <w:tcW w:w="1559" w:type="dxa"/>
            <w:noWrap/>
          </w:tcPr>
          <w:p w14:paraId="75BD9EB7" w14:textId="77777777" w:rsidR="009D0006" w:rsidRPr="00BC3468" w:rsidRDefault="009D0006" w:rsidP="00BB51A5">
            <w:pPr>
              <w:pStyle w:val="Tabletext"/>
            </w:pPr>
            <w:r>
              <w:t>785</w:t>
            </w:r>
          </w:p>
        </w:tc>
        <w:tc>
          <w:tcPr>
            <w:tcW w:w="1559" w:type="dxa"/>
            <w:noWrap/>
          </w:tcPr>
          <w:p w14:paraId="067ED22A" w14:textId="77777777" w:rsidR="009D0006" w:rsidRPr="00BC3468" w:rsidRDefault="009D0006" w:rsidP="00BB51A5">
            <w:pPr>
              <w:pStyle w:val="Tabletext"/>
            </w:pPr>
            <w:r>
              <w:t>69.2</w:t>
            </w:r>
          </w:p>
        </w:tc>
      </w:tr>
      <w:tr w:rsidR="009D0006" w:rsidRPr="00BC3468" w14:paraId="2AA3B0AC" w14:textId="77777777" w:rsidTr="00BB51A5">
        <w:trPr>
          <w:cnfStyle w:val="000000010000" w:firstRow="0" w:lastRow="0" w:firstColumn="0" w:lastColumn="0" w:oddVBand="0" w:evenVBand="0" w:oddHBand="0" w:evenHBand="1" w:firstRowFirstColumn="0" w:firstRowLastColumn="0" w:lastRowFirstColumn="0" w:lastRowLastColumn="0"/>
          <w:trHeight w:val="306"/>
        </w:trPr>
        <w:tc>
          <w:tcPr>
            <w:tcW w:w="6746" w:type="dxa"/>
            <w:noWrap/>
            <w:hideMark/>
          </w:tcPr>
          <w:p w14:paraId="2897460B" w14:textId="77777777" w:rsidR="009D0006" w:rsidRPr="00BC3468" w:rsidRDefault="009D0006" w:rsidP="00BB51A5">
            <w:pPr>
              <w:pStyle w:val="Tabletext"/>
            </w:pPr>
            <w:r>
              <w:rPr>
                <w:lang w:val="en-US"/>
              </w:rPr>
              <w:t>Family member</w:t>
            </w:r>
          </w:p>
        </w:tc>
        <w:tc>
          <w:tcPr>
            <w:tcW w:w="1559" w:type="dxa"/>
            <w:noWrap/>
          </w:tcPr>
          <w:p w14:paraId="4E66DF99" w14:textId="77777777" w:rsidR="009D0006" w:rsidRPr="00BC3468" w:rsidRDefault="009D0006" w:rsidP="00BB51A5">
            <w:pPr>
              <w:pStyle w:val="Tabletext"/>
            </w:pPr>
            <w:r>
              <w:t>877</w:t>
            </w:r>
          </w:p>
        </w:tc>
        <w:tc>
          <w:tcPr>
            <w:tcW w:w="1559" w:type="dxa"/>
            <w:noWrap/>
          </w:tcPr>
          <w:p w14:paraId="5B9CD4FC" w14:textId="77777777" w:rsidR="009D0006" w:rsidRPr="00BC3468" w:rsidRDefault="009D0006" w:rsidP="00BB51A5">
            <w:pPr>
              <w:pStyle w:val="Tabletext"/>
            </w:pPr>
            <w:r>
              <w:t>76.5</w:t>
            </w:r>
          </w:p>
        </w:tc>
      </w:tr>
    </w:tbl>
    <w:p w14:paraId="64BD8A41" w14:textId="77777777" w:rsidR="009D0006" w:rsidRDefault="009D0006" w:rsidP="00BB51A5">
      <w:pPr>
        <w:pStyle w:val="Tableheading"/>
        <w:rPr>
          <w:lang w:val="en-US"/>
        </w:rPr>
      </w:pPr>
      <w:r>
        <w:rPr>
          <w:lang w:val="en-US"/>
        </w:rPr>
        <w:t>Table 117.2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7246293" w14:textId="77777777" w:rsidTr="00BB51A5">
        <w:trPr>
          <w:cnfStyle w:val="100000000000" w:firstRow="1" w:lastRow="0" w:firstColumn="0" w:lastColumn="0" w:oddVBand="0" w:evenVBand="0" w:oddHBand="0" w:evenHBand="0" w:firstRowFirstColumn="0" w:firstRowLastColumn="0" w:lastRowFirstColumn="0" w:lastRowLastColumn="0"/>
          <w:trHeight w:val="276"/>
        </w:trPr>
        <w:tc>
          <w:tcPr>
            <w:tcW w:w="6746" w:type="dxa"/>
            <w:noWrap/>
            <w:hideMark/>
          </w:tcPr>
          <w:p w14:paraId="566DBC4C" w14:textId="77777777" w:rsidR="009D0006" w:rsidRPr="00BC3468" w:rsidRDefault="009D0006" w:rsidP="00BB51A5">
            <w:pPr>
              <w:pStyle w:val="Tableheader"/>
            </w:pPr>
            <w:r>
              <w:t>Source of violence</w:t>
            </w:r>
          </w:p>
        </w:tc>
        <w:tc>
          <w:tcPr>
            <w:tcW w:w="1559" w:type="dxa"/>
            <w:noWrap/>
            <w:hideMark/>
          </w:tcPr>
          <w:p w14:paraId="4ADDA3E6" w14:textId="77777777" w:rsidR="009D0006" w:rsidRPr="008119E4" w:rsidRDefault="009D0006" w:rsidP="00BB51A5">
            <w:pPr>
              <w:pStyle w:val="Tableheader"/>
              <w:rPr>
                <w:bCs/>
              </w:rPr>
            </w:pPr>
            <w:r w:rsidRPr="008119E4">
              <w:rPr>
                <w:bCs/>
              </w:rPr>
              <w:t>n</w:t>
            </w:r>
          </w:p>
        </w:tc>
        <w:tc>
          <w:tcPr>
            <w:tcW w:w="1559" w:type="dxa"/>
            <w:noWrap/>
            <w:hideMark/>
          </w:tcPr>
          <w:p w14:paraId="33E584CC" w14:textId="77777777" w:rsidR="009D0006" w:rsidRPr="008119E4" w:rsidRDefault="009D0006" w:rsidP="00BB51A5">
            <w:pPr>
              <w:pStyle w:val="Tableheader"/>
              <w:rPr>
                <w:bCs/>
              </w:rPr>
            </w:pPr>
            <w:r w:rsidRPr="008119E4">
              <w:rPr>
                <w:bCs/>
              </w:rPr>
              <w:t>%</w:t>
            </w:r>
          </w:p>
        </w:tc>
      </w:tr>
      <w:tr w:rsidR="009D0006" w:rsidRPr="00BC3468" w14:paraId="3F7EDB00" w14:textId="77777777" w:rsidTr="00BB51A5">
        <w:trPr>
          <w:cnfStyle w:val="000000100000" w:firstRow="0" w:lastRow="0" w:firstColumn="0" w:lastColumn="0" w:oddVBand="0" w:evenVBand="0" w:oddHBand="1" w:evenHBand="0" w:firstRowFirstColumn="0" w:firstRowLastColumn="0" w:lastRowFirstColumn="0" w:lastRowLastColumn="0"/>
          <w:trHeight w:val="276"/>
        </w:trPr>
        <w:tc>
          <w:tcPr>
            <w:tcW w:w="6746" w:type="dxa"/>
            <w:noWrap/>
            <w:hideMark/>
          </w:tcPr>
          <w:p w14:paraId="19E65A6D" w14:textId="77777777" w:rsidR="009D0006" w:rsidRPr="00BC3468" w:rsidRDefault="009D0006" w:rsidP="00BB51A5">
            <w:pPr>
              <w:pStyle w:val="Tabletext"/>
            </w:pPr>
            <w:r>
              <w:rPr>
                <w:lang w:val="en-US"/>
              </w:rPr>
              <w:t>Intimate partner</w:t>
            </w:r>
          </w:p>
        </w:tc>
        <w:tc>
          <w:tcPr>
            <w:tcW w:w="1559" w:type="dxa"/>
            <w:noWrap/>
          </w:tcPr>
          <w:p w14:paraId="3527C3D7" w14:textId="77777777" w:rsidR="009D0006" w:rsidRPr="00BC3468" w:rsidRDefault="009D0006" w:rsidP="00BB51A5">
            <w:pPr>
              <w:pStyle w:val="Tabletext"/>
            </w:pPr>
            <w:r>
              <w:t>308</w:t>
            </w:r>
          </w:p>
        </w:tc>
        <w:tc>
          <w:tcPr>
            <w:tcW w:w="1559" w:type="dxa"/>
            <w:noWrap/>
          </w:tcPr>
          <w:p w14:paraId="5190EA71" w14:textId="77777777" w:rsidR="009D0006" w:rsidRPr="00BC3468" w:rsidRDefault="009D0006" w:rsidP="00BB51A5">
            <w:pPr>
              <w:pStyle w:val="Tabletext"/>
            </w:pPr>
            <w:r>
              <w:t>67.7</w:t>
            </w:r>
          </w:p>
        </w:tc>
      </w:tr>
      <w:tr w:rsidR="009D0006" w:rsidRPr="00BC3468" w14:paraId="3A0E9AA3" w14:textId="77777777" w:rsidTr="00BB51A5">
        <w:trPr>
          <w:cnfStyle w:val="000000010000" w:firstRow="0" w:lastRow="0" w:firstColumn="0" w:lastColumn="0" w:oddVBand="0" w:evenVBand="0" w:oddHBand="0" w:evenHBand="1" w:firstRowFirstColumn="0" w:firstRowLastColumn="0" w:lastRowFirstColumn="0" w:lastRowLastColumn="0"/>
          <w:trHeight w:val="276"/>
        </w:trPr>
        <w:tc>
          <w:tcPr>
            <w:tcW w:w="6746" w:type="dxa"/>
            <w:noWrap/>
            <w:hideMark/>
          </w:tcPr>
          <w:p w14:paraId="00A462B3" w14:textId="77777777" w:rsidR="009D0006" w:rsidRPr="00BC3468" w:rsidRDefault="009D0006" w:rsidP="00BB51A5">
            <w:pPr>
              <w:pStyle w:val="Tabletext"/>
            </w:pPr>
            <w:r>
              <w:rPr>
                <w:lang w:val="en-US"/>
              </w:rPr>
              <w:t>Family member</w:t>
            </w:r>
          </w:p>
        </w:tc>
        <w:tc>
          <w:tcPr>
            <w:tcW w:w="1559" w:type="dxa"/>
            <w:noWrap/>
          </w:tcPr>
          <w:p w14:paraId="3D6B1C62" w14:textId="77777777" w:rsidR="009D0006" w:rsidRPr="00BC3468" w:rsidRDefault="009D0006" w:rsidP="00BB51A5">
            <w:pPr>
              <w:pStyle w:val="Tabletext"/>
            </w:pPr>
            <w:r>
              <w:t>320</w:t>
            </w:r>
          </w:p>
        </w:tc>
        <w:tc>
          <w:tcPr>
            <w:tcW w:w="1559" w:type="dxa"/>
            <w:noWrap/>
          </w:tcPr>
          <w:p w14:paraId="512CADA6" w14:textId="77777777" w:rsidR="009D0006" w:rsidRPr="00BC3468" w:rsidRDefault="009D0006" w:rsidP="00BB51A5">
            <w:pPr>
              <w:pStyle w:val="Tabletext"/>
            </w:pPr>
            <w:r>
              <w:t>70.2</w:t>
            </w:r>
          </w:p>
        </w:tc>
      </w:tr>
    </w:tbl>
    <w:p w14:paraId="5D4F372E" w14:textId="77777777" w:rsidR="009D0006" w:rsidRDefault="009D0006" w:rsidP="00BB51A5">
      <w:pPr>
        <w:pStyle w:val="Tableheading"/>
        <w:rPr>
          <w:lang w:val="en-US"/>
        </w:rPr>
      </w:pPr>
      <w:r>
        <w:rPr>
          <w:lang w:val="en-US"/>
        </w:rPr>
        <w:t>Table 117.3 Trans woman</w:t>
      </w:r>
    </w:p>
    <w:tbl>
      <w:tblPr>
        <w:tblStyle w:val="RCTable"/>
        <w:tblW w:w="9864" w:type="dxa"/>
        <w:tblLayout w:type="fixed"/>
        <w:tblLook w:val="04A0" w:firstRow="1" w:lastRow="0" w:firstColumn="1" w:lastColumn="0" w:noHBand="0" w:noVBand="1"/>
      </w:tblPr>
      <w:tblGrid>
        <w:gridCol w:w="6746"/>
        <w:gridCol w:w="1559"/>
        <w:gridCol w:w="1559"/>
      </w:tblGrid>
      <w:tr w:rsidR="009D0006" w:rsidRPr="00BC3468" w14:paraId="01017CE8" w14:textId="77777777" w:rsidTr="003E1758">
        <w:trPr>
          <w:cnfStyle w:val="100000000000" w:firstRow="1" w:lastRow="0" w:firstColumn="0" w:lastColumn="0" w:oddVBand="0" w:evenVBand="0" w:oddHBand="0" w:evenHBand="0" w:firstRowFirstColumn="0" w:firstRowLastColumn="0" w:lastRowFirstColumn="0" w:lastRowLastColumn="0"/>
          <w:trHeight w:val="317"/>
        </w:trPr>
        <w:tc>
          <w:tcPr>
            <w:tcW w:w="6746" w:type="dxa"/>
            <w:noWrap/>
            <w:hideMark/>
          </w:tcPr>
          <w:p w14:paraId="4304C2FE" w14:textId="77777777" w:rsidR="009D0006" w:rsidRPr="00BC3468" w:rsidRDefault="009D0006" w:rsidP="003E1758">
            <w:pPr>
              <w:pStyle w:val="Tableheader"/>
            </w:pPr>
            <w:r>
              <w:t>Source of violence</w:t>
            </w:r>
          </w:p>
        </w:tc>
        <w:tc>
          <w:tcPr>
            <w:tcW w:w="1559" w:type="dxa"/>
          </w:tcPr>
          <w:p w14:paraId="28B9579A" w14:textId="77777777" w:rsidR="009D0006" w:rsidRPr="008119E4" w:rsidRDefault="009D0006" w:rsidP="003E1758">
            <w:pPr>
              <w:pStyle w:val="Tableheader"/>
              <w:rPr>
                <w:bCs/>
              </w:rPr>
            </w:pPr>
            <w:r w:rsidRPr="008119E4">
              <w:rPr>
                <w:bCs/>
              </w:rPr>
              <w:t>n</w:t>
            </w:r>
          </w:p>
        </w:tc>
        <w:tc>
          <w:tcPr>
            <w:tcW w:w="1559" w:type="dxa"/>
          </w:tcPr>
          <w:p w14:paraId="696273CD" w14:textId="77777777" w:rsidR="009D0006" w:rsidRPr="008119E4" w:rsidRDefault="009D0006" w:rsidP="003E1758">
            <w:pPr>
              <w:pStyle w:val="Tableheader"/>
              <w:rPr>
                <w:bCs/>
              </w:rPr>
            </w:pPr>
            <w:r w:rsidRPr="008119E4">
              <w:rPr>
                <w:bCs/>
              </w:rPr>
              <w:t>%</w:t>
            </w:r>
          </w:p>
        </w:tc>
      </w:tr>
      <w:tr w:rsidR="009D0006" w:rsidRPr="00BC3468" w14:paraId="1D86418C" w14:textId="77777777" w:rsidTr="003E1758">
        <w:trPr>
          <w:cnfStyle w:val="000000100000" w:firstRow="0" w:lastRow="0" w:firstColumn="0" w:lastColumn="0" w:oddVBand="0" w:evenVBand="0" w:oddHBand="1" w:evenHBand="0" w:firstRowFirstColumn="0" w:firstRowLastColumn="0" w:lastRowFirstColumn="0" w:lastRowLastColumn="0"/>
          <w:trHeight w:val="317"/>
        </w:trPr>
        <w:tc>
          <w:tcPr>
            <w:tcW w:w="6746" w:type="dxa"/>
            <w:noWrap/>
            <w:hideMark/>
          </w:tcPr>
          <w:p w14:paraId="3121864E" w14:textId="77777777" w:rsidR="009D0006" w:rsidRPr="00BC3468" w:rsidRDefault="009D0006" w:rsidP="003E1758">
            <w:pPr>
              <w:pStyle w:val="Tabletext"/>
            </w:pPr>
            <w:r>
              <w:rPr>
                <w:lang w:val="en-US"/>
              </w:rPr>
              <w:t>Intimate partner</w:t>
            </w:r>
          </w:p>
        </w:tc>
        <w:tc>
          <w:tcPr>
            <w:tcW w:w="1559" w:type="dxa"/>
          </w:tcPr>
          <w:p w14:paraId="6E2A36C0" w14:textId="77777777" w:rsidR="009D0006" w:rsidRPr="00BC3468" w:rsidRDefault="009D0006" w:rsidP="003E1758">
            <w:pPr>
              <w:pStyle w:val="Tabletext"/>
            </w:pPr>
            <w:r>
              <w:t>79</w:t>
            </w:r>
          </w:p>
        </w:tc>
        <w:tc>
          <w:tcPr>
            <w:tcW w:w="1559" w:type="dxa"/>
          </w:tcPr>
          <w:p w14:paraId="648355FA" w14:textId="77777777" w:rsidR="009D0006" w:rsidRPr="00BC3468" w:rsidRDefault="009D0006" w:rsidP="003E1758">
            <w:pPr>
              <w:pStyle w:val="Tabletext"/>
            </w:pPr>
            <w:r>
              <w:t>66.9</w:t>
            </w:r>
          </w:p>
        </w:tc>
      </w:tr>
      <w:tr w:rsidR="009D0006" w:rsidRPr="00BC3468" w14:paraId="17B032E6" w14:textId="77777777" w:rsidTr="003E1758">
        <w:trPr>
          <w:cnfStyle w:val="000000010000" w:firstRow="0" w:lastRow="0" w:firstColumn="0" w:lastColumn="0" w:oddVBand="0" w:evenVBand="0" w:oddHBand="0" w:evenHBand="1" w:firstRowFirstColumn="0" w:firstRowLastColumn="0" w:lastRowFirstColumn="0" w:lastRowLastColumn="0"/>
          <w:trHeight w:val="317"/>
        </w:trPr>
        <w:tc>
          <w:tcPr>
            <w:tcW w:w="6746" w:type="dxa"/>
            <w:noWrap/>
            <w:hideMark/>
          </w:tcPr>
          <w:p w14:paraId="428D56A6" w14:textId="77777777" w:rsidR="009D0006" w:rsidRPr="00BC3468" w:rsidRDefault="009D0006" w:rsidP="003E1758">
            <w:pPr>
              <w:pStyle w:val="Tabletext"/>
            </w:pPr>
            <w:r>
              <w:rPr>
                <w:lang w:val="en-US"/>
              </w:rPr>
              <w:t>Family member</w:t>
            </w:r>
          </w:p>
        </w:tc>
        <w:tc>
          <w:tcPr>
            <w:tcW w:w="1559" w:type="dxa"/>
          </w:tcPr>
          <w:p w14:paraId="43420063" w14:textId="77777777" w:rsidR="009D0006" w:rsidRPr="00BC3468" w:rsidRDefault="009D0006" w:rsidP="003E1758">
            <w:pPr>
              <w:pStyle w:val="Tabletext"/>
            </w:pPr>
            <w:r>
              <w:t>94</w:t>
            </w:r>
          </w:p>
        </w:tc>
        <w:tc>
          <w:tcPr>
            <w:tcW w:w="1559" w:type="dxa"/>
          </w:tcPr>
          <w:p w14:paraId="5615A6E3" w14:textId="77777777" w:rsidR="009D0006" w:rsidRPr="00BC3468" w:rsidRDefault="009D0006" w:rsidP="003E1758">
            <w:pPr>
              <w:pStyle w:val="Tabletext"/>
            </w:pPr>
            <w:r>
              <w:t>77.7</w:t>
            </w:r>
          </w:p>
        </w:tc>
      </w:tr>
    </w:tbl>
    <w:p w14:paraId="5D9D72A0" w14:textId="77777777" w:rsidR="009D0006" w:rsidRDefault="009D0006" w:rsidP="003E1758">
      <w:pPr>
        <w:pStyle w:val="Tableheading"/>
        <w:rPr>
          <w:lang w:val="en-US"/>
        </w:rPr>
      </w:pPr>
      <w:r>
        <w:rPr>
          <w:lang w:val="en-US"/>
        </w:rPr>
        <w:t>Table 117.4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A2940FB" w14:textId="77777777" w:rsidTr="003E1758">
        <w:trPr>
          <w:cnfStyle w:val="100000000000" w:firstRow="1" w:lastRow="0" w:firstColumn="0" w:lastColumn="0" w:oddVBand="0" w:evenVBand="0" w:oddHBand="0" w:evenHBand="0" w:firstRowFirstColumn="0" w:firstRowLastColumn="0" w:lastRowFirstColumn="0" w:lastRowLastColumn="0"/>
          <w:trHeight w:val="301"/>
        </w:trPr>
        <w:tc>
          <w:tcPr>
            <w:tcW w:w="6746" w:type="dxa"/>
            <w:noWrap/>
            <w:hideMark/>
          </w:tcPr>
          <w:p w14:paraId="7C43527E" w14:textId="77777777" w:rsidR="009D0006" w:rsidRPr="00BC3468" w:rsidRDefault="009D0006" w:rsidP="003E1758">
            <w:pPr>
              <w:pStyle w:val="Tableheader"/>
            </w:pPr>
            <w:r>
              <w:t>Source of violence</w:t>
            </w:r>
          </w:p>
        </w:tc>
        <w:tc>
          <w:tcPr>
            <w:tcW w:w="1559" w:type="dxa"/>
            <w:noWrap/>
            <w:hideMark/>
          </w:tcPr>
          <w:p w14:paraId="3DC09AF8" w14:textId="77777777" w:rsidR="009D0006" w:rsidRPr="003E1758" w:rsidRDefault="009D0006" w:rsidP="003E1758">
            <w:pPr>
              <w:pStyle w:val="Tableheader"/>
            </w:pPr>
            <w:r w:rsidRPr="003E1758">
              <w:t>n</w:t>
            </w:r>
          </w:p>
        </w:tc>
        <w:tc>
          <w:tcPr>
            <w:tcW w:w="1559" w:type="dxa"/>
            <w:noWrap/>
            <w:hideMark/>
          </w:tcPr>
          <w:p w14:paraId="2105E4DA" w14:textId="77777777" w:rsidR="009D0006" w:rsidRPr="003E1758" w:rsidRDefault="009D0006" w:rsidP="003E1758">
            <w:pPr>
              <w:pStyle w:val="Tableheader"/>
            </w:pPr>
            <w:r w:rsidRPr="003E1758">
              <w:t>%</w:t>
            </w:r>
          </w:p>
        </w:tc>
      </w:tr>
      <w:tr w:rsidR="009D0006" w:rsidRPr="00BC3468" w14:paraId="1B20FA7E" w14:textId="77777777" w:rsidTr="003E1758">
        <w:trPr>
          <w:cnfStyle w:val="000000100000" w:firstRow="0" w:lastRow="0" w:firstColumn="0" w:lastColumn="0" w:oddVBand="0" w:evenVBand="0" w:oddHBand="1" w:evenHBand="0" w:firstRowFirstColumn="0" w:firstRowLastColumn="0" w:lastRowFirstColumn="0" w:lastRowLastColumn="0"/>
          <w:trHeight w:val="301"/>
        </w:trPr>
        <w:tc>
          <w:tcPr>
            <w:tcW w:w="6746" w:type="dxa"/>
            <w:noWrap/>
            <w:hideMark/>
          </w:tcPr>
          <w:p w14:paraId="1BAEC975" w14:textId="77777777" w:rsidR="009D0006" w:rsidRPr="00BC3468" w:rsidRDefault="009D0006" w:rsidP="003E1758">
            <w:pPr>
              <w:pStyle w:val="Tabletext"/>
            </w:pPr>
            <w:r>
              <w:rPr>
                <w:lang w:val="en-US"/>
              </w:rPr>
              <w:t>Intimate partner</w:t>
            </w:r>
          </w:p>
        </w:tc>
        <w:tc>
          <w:tcPr>
            <w:tcW w:w="1559" w:type="dxa"/>
            <w:noWrap/>
          </w:tcPr>
          <w:p w14:paraId="1B73531D" w14:textId="77777777" w:rsidR="009D0006" w:rsidRPr="003E1758" w:rsidRDefault="009D0006" w:rsidP="003E1758">
            <w:pPr>
              <w:pStyle w:val="Tabletext"/>
            </w:pPr>
            <w:r w:rsidRPr="003E1758">
              <w:t>106</w:t>
            </w:r>
          </w:p>
        </w:tc>
        <w:tc>
          <w:tcPr>
            <w:tcW w:w="1559" w:type="dxa"/>
            <w:noWrap/>
          </w:tcPr>
          <w:p w14:paraId="32484F8F" w14:textId="77777777" w:rsidR="009D0006" w:rsidRPr="003E1758" w:rsidRDefault="009D0006" w:rsidP="003E1758">
            <w:pPr>
              <w:pStyle w:val="Tabletext"/>
            </w:pPr>
            <w:r w:rsidRPr="003E1758">
              <w:t>67.5</w:t>
            </w:r>
          </w:p>
        </w:tc>
      </w:tr>
      <w:tr w:rsidR="009D0006" w:rsidRPr="00BC3468" w14:paraId="1EE4F623" w14:textId="77777777" w:rsidTr="003E1758">
        <w:trPr>
          <w:cnfStyle w:val="000000010000" w:firstRow="0" w:lastRow="0" w:firstColumn="0" w:lastColumn="0" w:oddVBand="0" w:evenVBand="0" w:oddHBand="0" w:evenHBand="1" w:firstRowFirstColumn="0" w:firstRowLastColumn="0" w:lastRowFirstColumn="0" w:lastRowLastColumn="0"/>
          <w:trHeight w:val="301"/>
        </w:trPr>
        <w:tc>
          <w:tcPr>
            <w:tcW w:w="6746" w:type="dxa"/>
            <w:noWrap/>
            <w:hideMark/>
          </w:tcPr>
          <w:p w14:paraId="5B366992" w14:textId="77777777" w:rsidR="009D0006" w:rsidRPr="00BC3468" w:rsidRDefault="009D0006" w:rsidP="003E1758">
            <w:pPr>
              <w:pStyle w:val="Tabletext"/>
            </w:pPr>
            <w:r>
              <w:rPr>
                <w:lang w:val="en-US"/>
              </w:rPr>
              <w:t>Family member</w:t>
            </w:r>
          </w:p>
        </w:tc>
        <w:tc>
          <w:tcPr>
            <w:tcW w:w="1559" w:type="dxa"/>
            <w:noWrap/>
          </w:tcPr>
          <w:p w14:paraId="517CEFE9" w14:textId="77777777" w:rsidR="009D0006" w:rsidRPr="003E1758" w:rsidRDefault="009D0006" w:rsidP="003E1758">
            <w:pPr>
              <w:pStyle w:val="Tabletext"/>
            </w:pPr>
            <w:r w:rsidRPr="003E1758">
              <w:t>138</w:t>
            </w:r>
          </w:p>
        </w:tc>
        <w:tc>
          <w:tcPr>
            <w:tcW w:w="1559" w:type="dxa"/>
            <w:noWrap/>
          </w:tcPr>
          <w:p w14:paraId="410CB0BC" w14:textId="77777777" w:rsidR="009D0006" w:rsidRPr="003E1758" w:rsidRDefault="009D0006" w:rsidP="003E1758">
            <w:pPr>
              <w:pStyle w:val="Tabletext"/>
            </w:pPr>
            <w:r w:rsidRPr="003E1758">
              <w:t>83.6</w:t>
            </w:r>
          </w:p>
        </w:tc>
      </w:tr>
    </w:tbl>
    <w:p w14:paraId="50C36E63" w14:textId="77777777" w:rsidR="009D0006" w:rsidRDefault="009D0006" w:rsidP="003E1758">
      <w:pPr>
        <w:pStyle w:val="Tableheading"/>
        <w:rPr>
          <w:lang w:val="en-US"/>
        </w:rPr>
      </w:pPr>
      <w:r>
        <w:rPr>
          <w:lang w:val="en-US"/>
        </w:rPr>
        <w:t>Table 117.</w:t>
      </w:r>
      <w:r>
        <w:rPr>
          <w:lang w:val="en-US"/>
        </w:rPr>
        <w:lastRenderedPageBreak/>
        <w:t>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ADF8768" w14:textId="77777777" w:rsidTr="003E1758">
        <w:trPr>
          <w:cnfStyle w:val="100000000000" w:firstRow="1" w:lastRow="0" w:firstColumn="0" w:lastColumn="0" w:oddVBand="0" w:evenVBand="0" w:oddHBand="0" w:evenHBand="0" w:firstRowFirstColumn="0" w:firstRowLastColumn="0" w:lastRowFirstColumn="0" w:lastRowLastColumn="0"/>
          <w:trHeight w:val="268"/>
        </w:trPr>
        <w:tc>
          <w:tcPr>
            <w:tcW w:w="6746" w:type="dxa"/>
            <w:noWrap/>
            <w:hideMark/>
          </w:tcPr>
          <w:p w14:paraId="746EA55A" w14:textId="77777777" w:rsidR="009D0006" w:rsidRPr="00BC3468" w:rsidRDefault="009D0006" w:rsidP="003E1758">
            <w:pPr>
              <w:pStyle w:val="Tableheader"/>
            </w:pPr>
            <w:r>
              <w:t>Source of violence</w:t>
            </w:r>
          </w:p>
        </w:tc>
        <w:tc>
          <w:tcPr>
            <w:tcW w:w="1559" w:type="dxa"/>
            <w:noWrap/>
            <w:hideMark/>
          </w:tcPr>
          <w:p w14:paraId="53CA6248" w14:textId="77777777" w:rsidR="009D0006" w:rsidRPr="008119E4" w:rsidRDefault="009D0006" w:rsidP="003E1758">
            <w:pPr>
              <w:pStyle w:val="Tableheader"/>
              <w:rPr>
                <w:bCs/>
              </w:rPr>
            </w:pPr>
            <w:r w:rsidRPr="008119E4">
              <w:rPr>
                <w:bCs/>
              </w:rPr>
              <w:t>n</w:t>
            </w:r>
          </w:p>
        </w:tc>
        <w:tc>
          <w:tcPr>
            <w:tcW w:w="1559" w:type="dxa"/>
            <w:noWrap/>
            <w:hideMark/>
          </w:tcPr>
          <w:p w14:paraId="16295646" w14:textId="77777777" w:rsidR="009D0006" w:rsidRPr="008119E4" w:rsidRDefault="009D0006" w:rsidP="003E1758">
            <w:pPr>
              <w:pStyle w:val="Tableheader"/>
              <w:rPr>
                <w:bCs/>
              </w:rPr>
            </w:pPr>
            <w:r w:rsidRPr="008119E4">
              <w:rPr>
                <w:bCs/>
              </w:rPr>
              <w:t>%</w:t>
            </w:r>
          </w:p>
        </w:tc>
      </w:tr>
      <w:tr w:rsidR="009D0006" w:rsidRPr="00BC3468" w14:paraId="2ED04BC4" w14:textId="77777777" w:rsidTr="003E1758">
        <w:trPr>
          <w:cnfStyle w:val="000000100000" w:firstRow="0" w:lastRow="0" w:firstColumn="0" w:lastColumn="0" w:oddVBand="0" w:evenVBand="0" w:oddHBand="1" w:evenHBand="0" w:firstRowFirstColumn="0" w:firstRowLastColumn="0" w:lastRowFirstColumn="0" w:lastRowLastColumn="0"/>
          <w:trHeight w:val="268"/>
        </w:trPr>
        <w:tc>
          <w:tcPr>
            <w:tcW w:w="6746" w:type="dxa"/>
            <w:noWrap/>
            <w:hideMark/>
          </w:tcPr>
          <w:p w14:paraId="7C5A81A9" w14:textId="77777777" w:rsidR="009D0006" w:rsidRPr="00BC3468" w:rsidRDefault="009D0006" w:rsidP="003E1758">
            <w:pPr>
              <w:pStyle w:val="Tabletext"/>
            </w:pPr>
            <w:r>
              <w:rPr>
                <w:lang w:val="en-US"/>
              </w:rPr>
              <w:t>Intimate partner</w:t>
            </w:r>
          </w:p>
        </w:tc>
        <w:tc>
          <w:tcPr>
            <w:tcW w:w="1559" w:type="dxa"/>
            <w:noWrap/>
          </w:tcPr>
          <w:p w14:paraId="372D2B47" w14:textId="77777777" w:rsidR="009D0006" w:rsidRPr="00BC3468" w:rsidRDefault="009D0006" w:rsidP="003E1758">
            <w:pPr>
              <w:pStyle w:val="Tabletext"/>
            </w:pPr>
            <w:r>
              <w:t>394</w:t>
            </w:r>
          </w:p>
        </w:tc>
        <w:tc>
          <w:tcPr>
            <w:tcW w:w="1559" w:type="dxa"/>
            <w:noWrap/>
          </w:tcPr>
          <w:p w14:paraId="5AE2186F" w14:textId="77777777" w:rsidR="009D0006" w:rsidRPr="00BC3468" w:rsidRDefault="009D0006" w:rsidP="003E1758">
            <w:pPr>
              <w:pStyle w:val="Tabletext"/>
            </w:pPr>
            <w:r>
              <w:t>75.2</w:t>
            </w:r>
          </w:p>
        </w:tc>
      </w:tr>
      <w:tr w:rsidR="009D0006" w:rsidRPr="00BC3468" w14:paraId="4F74CC38" w14:textId="77777777" w:rsidTr="003E1758">
        <w:trPr>
          <w:cnfStyle w:val="000000010000" w:firstRow="0" w:lastRow="0" w:firstColumn="0" w:lastColumn="0" w:oddVBand="0" w:evenVBand="0" w:oddHBand="0" w:evenHBand="1" w:firstRowFirstColumn="0" w:firstRowLastColumn="0" w:lastRowFirstColumn="0" w:lastRowLastColumn="0"/>
          <w:trHeight w:val="268"/>
        </w:trPr>
        <w:tc>
          <w:tcPr>
            <w:tcW w:w="6746" w:type="dxa"/>
            <w:noWrap/>
            <w:hideMark/>
          </w:tcPr>
          <w:p w14:paraId="07F77832" w14:textId="77777777" w:rsidR="009D0006" w:rsidRPr="00BC3468" w:rsidRDefault="009D0006" w:rsidP="003E1758">
            <w:pPr>
              <w:pStyle w:val="Tabletext"/>
            </w:pPr>
            <w:r>
              <w:rPr>
                <w:lang w:val="en-US"/>
              </w:rPr>
              <w:t>Family member</w:t>
            </w:r>
          </w:p>
        </w:tc>
        <w:tc>
          <w:tcPr>
            <w:tcW w:w="1559" w:type="dxa"/>
            <w:noWrap/>
          </w:tcPr>
          <w:p w14:paraId="3BCACF69" w14:textId="77777777" w:rsidR="009D0006" w:rsidRPr="00BC3468" w:rsidRDefault="009D0006" w:rsidP="003E1758">
            <w:pPr>
              <w:pStyle w:val="Tabletext"/>
            </w:pPr>
            <w:r>
              <w:t>461</w:t>
            </w:r>
          </w:p>
        </w:tc>
        <w:tc>
          <w:tcPr>
            <w:tcW w:w="1559" w:type="dxa"/>
            <w:noWrap/>
          </w:tcPr>
          <w:p w14:paraId="6E83C04A" w14:textId="77777777" w:rsidR="009D0006" w:rsidRPr="00BC3468" w:rsidRDefault="009D0006" w:rsidP="003E1758">
            <w:pPr>
              <w:pStyle w:val="Tabletext"/>
            </w:pPr>
            <w:r>
              <w:t>85.4</w:t>
            </w:r>
          </w:p>
        </w:tc>
      </w:tr>
    </w:tbl>
    <w:p w14:paraId="4ECB6B91" w14:textId="77777777" w:rsidR="009D0006" w:rsidRDefault="009D0006" w:rsidP="00AB4A74">
      <w:pPr>
        <w:spacing w:before="360"/>
      </w:pPr>
      <w:r w:rsidRPr="00971810">
        <w:t>As shown in Table</w:t>
      </w:r>
      <w:r>
        <w:t>s</w:t>
      </w:r>
      <w:r w:rsidRPr="00971810">
        <w:t xml:space="preserve"> </w:t>
      </w:r>
      <w:r>
        <w:t>117.1-117.5</w:t>
      </w:r>
      <w:r w:rsidRPr="00971810">
        <w:t>, non-</w:t>
      </w:r>
      <w:r w:rsidRPr="00A94DC7">
        <w:t>binary</w:t>
      </w:r>
      <w:r w:rsidRPr="00971810">
        <w:t xml:space="preserve"> people with disability in </w:t>
      </w:r>
      <w:r w:rsidRPr="00971810">
        <w:rPr>
          <w:i/>
          <w:iCs/>
        </w:rPr>
        <w:t xml:space="preserve">Private Lives 3 </w:t>
      </w:r>
      <w:r w:rsidRPr="00971810">
        <w:t xml:space="preserve">had the highest proportion who </w:t>
      </w:r>
      <w:r>
        <w:t>reported experiencing</w:t>
      </w:r>
      <w:r w:rsidRPr="00971810">
        <w:t xml:space="preserve"> violence from an intimate partner</w:t>
      </w:r>
      <w:r>
        <w:t xml:space="preserve"> in their lifetime</w:t>
      </w:r>
      <w:r w:rsidRPr="00971810">
        <w:t xml:space="preserve"> (75.2%; n = 394), followed by cisgender women (69.2%; n</w:t>
      </w:r>
      <w:r>
        <w:t xml:space="preserve"> = 785), cisgender men (67.7%; n = 308), trans men (67.5%; n = 106) and trans women (66.9%; n = 79).</w:t>
      </w:r>
    </w:p>
    <w:p w14:paraId="6CEA70BD" w14:textId="77777777" w:rsidR="009D0006" w:rsidRDefault="009D0006" w:rsidP="009D0006">
      <w:r>
        <w:t>More than 80% of non-binary people had experienced violence from a family member in their lifetime (85.4%; n = 461), followed by trans men (83.6%; n = 138), trans women (77.7%; n = 94), cisgender women (76.5%; n = 877) and cisgender men (70.2%; n = 320).</w:t>
      </w:r>
    </w:p>
    <w:p w14:paraId="448065A3" w14:textId="34F3D152" w:rsidR="009D0006" w:rsidRPr="00C5739E" w:rsidRDefault="009D0006" w:rsidP="009401DC">
      <w:pPr>
        <w:pStyle w:val="Heading2Numbered"/>
      </w:pPr>
      <w:bookmarkStart w:id="918" w:name="_Toc115968665"/>
      <w:bookmarkStart w:id="919" w:name="_Toc119662481"/>
      <w:r w:rsidRPr="00C5739E">
        <w:t>Suicidal ideation and suicide attempts</w:t>
      </w:r>
      <w:bookmarkEnd w:id="918"/>
      <w:bookmarkEnd w:id="919"/>
    </w:p>
    <w:p w14:paraId="0CC7E5A0" w14:textId="08B20997" w:rsidR="009D0006" w:rsidRDefault="009D0006" w:rsidP="009401DC">
      <w:pPr>
        <w:pStyle w:val="Heading3Numbered"/>
      </w:pPr>
      <w:bookmarkStart w:id="920" w:name="_Toc115968666"/>
      <w:r w:rsidRPr="00C5739E">
        <w:t>Suicidal ideation</w:t>
      </w:r>
      <w:r>
        <w:t xml:space="preserve"> </w:t>
      </w:r>
      <w:r w:rsidRPr="00C5739E">
        <w:t>– young people aged 14-</w:t>
      </w:r>
      <w:r>
        <w:t>21</w:t>
      </w:r>
      <w:r w:rsidRPr="00C5739E">
        <w:t xml:space="preserve"> years</w:t>
      </w:r>
      <w:bookmarkEnd w:id="920"/>
    </w:p>
    <w:p w14:paraId="6BC0E292" w14:textId="5202F230" w:rsidR="009D0006" w:rsidRDefault="009D0006" w:rsidP="003E1758">
      <w:pPr>
        <w:pStyle w:val="Tableheading"/>
      </w:pPr>
      <w:bookmarkStart w:id="921" w:name="_Toc117062835"/>
      <w:bookmarkStart w:id="922" w:name="_Toc119651520"/>
      <w:r w:rsidRPr="002D0458">
        <w:rPr>
          <w:bCs/>
        </w:rPr>
        <w:t>Table</w:t>
      </w:r>
      <w:r>
        <w:rPr>
          <w:bCs/>
        </w:rPr>
        <w:t>s</w:t>
      </w:r>
      <w:r w:rsidRPr="002D0458">
        <w:rPr>
          <w:bCs/>
        </w:rPr>
        <w:t xml:space="preserve"> </w:t>
      </w:r>
      <w:r w:rsidRPr="002D0458">
        <w:rPr>
          <w:bCs/>
        </w:rPr>
        <w:fldChar w:fldCharType="begin"/>
      </w:r>
      <w:r w:rsidRPr="002D0458">
        <w:rPr>
          <w:bCs/>
        </w:rPr>
        <w:instrText xml:space="preserve"> SEQ Table \* ARABIC </w:instrText>
      </w:r>
      <w:r w:rsidRPr="002D0458">
        <w:rPr>
          <w:bCs/>
        </w:rPr>
        <w:fldChar w:fldCharType="separate"/>
      </w:r>
      <w:r>
        <w:rPr>
          <w:bCs/>
          <w:noProof/>
        </w:rPr>
        <w:t>118</w:t>
      </w:r>
      <w:r w:rsidRPr="002D0458">
        <w:rPr>
          <w:bCs/>
        </w:rPr>
        <w:fldChar w:fldCharType="end"/>
      </w:r>
      <w:r>
        <w:rPr>
          <w:bCs/>
        </w:rPr>
        <w:t>.1-118.5</w:t>
      </w:r>
      <w:r>
        <w:t xml:space="preserve">: </w:t>
      </w:r>
      <w:r w:rsidRPr="00C5739E">
        <w:t xml:space="preserve">Suicidal ideation </w:t>
      </w:r>
      <w:r>
        <w:t>among young people with disability aged 14-21 years, grouped by gender</w:t>
      </w:r>
      <w:r w:rsidRPr="00C5739E">
        <w:t xml:space="preserve"> (n = </w:t>
      </w:r>
      <w:r>
        <w:t>2394</w:t>
      </w:r>
      <w:r w:rsidRPr="00C5739E">
        <w:t>)</w:t>
      </w:r>
      <w:bookmarkEnd w:id="921"/>
      <w:bookmarkEnd w:id="922"/>
    </w:p>
    <w:p w14:paraId="61C0E4C3" w14:textId="77777777" w:rsidR="009D0006" w:rsidRPr="00160540" w:rsidRDefault="009D0006" w:rsidP="003E1758">
      <w:pPr>
        <w:pStyle w:val="Tableheading"/>
      </w:pPr>
      <w:r>
        <w:t>Table 118.1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9874BE5" w14:textId="77777777" w:rsidTr="003E1758">
        <w:trPr>
          <w:cnfStyle w:val="100000000000" w:firstRow="1" w:lastRow="0" w:firstColumn="0" w:lastColumn="0" w:oddVBand="0" w:evenVBand="0" w:oddHBand="0" w:evenHBand="0" w:firstRowFirstColumn="0" w:firstRowLastColumn="0" w:lastRowFirstColumn="0" w:lastRowLastColumn="0"/>
          <w:trHeight w:val="285"/>
        </w:trPr>
        <w:tc>
          <w:tcPr>
            <w:tcW w:w="6746" w:type="dxa"/>
            <w:noWrap/>
            <w:hideMark/>
          </w:tcPr>
          <w:p w14:paraId="4014F211" w14:textId="77777777" w:rsidR="009D0006" w:rsidRPr="00BC3468" w:rsidRDefault="009D0006" w:rsidP="003E1758">
            <w:pPr>
              <w:pStyle w:val="Tableheader"/>
            </w:pPr>
            <w:r>
              <w:t>Suicidal ideation</w:t>
            </w:r>
          </w:p>
        </w:tc>
        <w:tc>
          <w:tcPr>
            <w:tcW w:w="1559" w:type="dxa"/>
            <w:noWrap/>
            <w:hideMark/>
          </w:tcPr>
          <w:p w14:paraId="7E975F39" w14:textId="77777777" w:rsidR="009D0006" w:rsidRPr="008119E4" w:rsidRDefault="009D0006" w:rsidP="003E1758">
            <w:pPr>
              <w:pStyle w:val="Tableheader"/>
              <w:rPr>
                <w:bCs/>
              </w:rPr>
            </w:pPr>
            <w:r w:rsidRPr="008119E4">
              <w:rPr>
                <w:bCs/>
              </w:rPr>
              <w:t>n</w:t>
            </w:r>
          </w:p>
        </w:tc>
        <w:tc>
          <w:tcPr>
            <w:tcW w:w="1559" w:type="dxa"/>
            <w:noWrap/>
            <w:hideMark/>
          </w:tcPr>
          <w:p w14:paraId="102D00E0" w14:textId="77777777" w:rsidR="009D0006" w:rsidRPr="008119E4" w:rsidRDefault="009D0006" w:rsidP="003E1758">
            <w:pPr>
              <w:pStyle w:val="Tableheader"/>
              <w:rPr>
                <w:bCs/>
              </w:rPr>
            </w:pPr>
            <w:r w:rsidRPr="008119E4">
              <w:rPr>
                <w:bCs/>
              </w:rPr>
              <w:t>%</w:t>
            </w:r>
          </w:p>
        </w:tc>
      </w:tr>
      <w:tr w:rsidR="009D0006" w:rsidRPr="00BC3468" w14:paraId="5BC64F82" w14:textId="77777777" w:rsidTr="003E1758">
        <w:trPr>
          <w:cnfStyle w:val="000000100000" w:firstRow="0" w:lastRow="0" w:firstColumn="0" w:lastColumn="0" w:oddVBand="0" w:evenVBand="0" w:oddHBand="1" w:evenHBand="0" w:firstRowFirstColumn="0" w:firstRowLastColumn="0" w:lastRowFirstColumn="0" w:lastRowLastColumn="0"/>
          <w:trHeight w:val="285"/>
        </w:trPr>
        <w:tc>
          <w:tcPr>
            <w:tcW w:w="6746" w:type="dxa"/>
            <w:noWrap/>
            <w:hideMark/>
          </w:tcPr>
          <w:p w14:paraId="467764B6" w14:textId="77777777" w:rsidR="009D0006" w:rsidRPr="00BC3468" w:rsidRDefault="009D0006" w:rsidP="003E1758">
            <w:pPr>
              <w:pStyle w:val="Tabletext"/>
            </w:pPr>
            <w:r>
              <w:rPr>
                <w:lang w:val="en-US"/>
              </w:rPr>
              <w:t>Past 12 months</w:t>
            </w:r>
          </w:p>
        </w:tc>
        <w:tc>
          <w:tcPr>
            <w:tcW w:w="1559" w:type="dxa"/>
            <w:noWrap/>
          </w:tcPr>
          <w:p w14:paraId="6D5F6FC2" w14:textId="77777777" w:rsidR="009D0006" w:rsidRPr="00BC3468" w:rsidRDefault="009D0006" w:rsidP="003E1758">
            <w:pPr>
              <w:pStyle w:val="Tabletext"/>
            </w:pPr>
            <w:r>
              <w:t>776</w:t>
            </w:r>
          </w:p>
        </w:tc>
        <w:tc>
          <w:tcPr>
            <w:tcW w:w="1559" w:type="dxa"/>
            <w:noWrap/>
          </w:tcPr>
          <w:p w14:paraId="014F56EC" w14:textId="77777777" w:rsidR="009D0006" w:rsidRPr="00BC3468" w:rsidRDefault="009D0006" w:rsidP="003E1758">
            <w:pPr>
              <w:pStyle w:val="Tabletext"/>
            </w:pPr>
            <w:r>
              <w:t>68.0</w:t>
            </w:r>
          </w:p>
        </w:tc>
      </w:tr>
      <w:tr w:rsidR="009D0006" w:rsidRPr="00BC3468" w14:paraId="6B725A87" w14:textId="77777777" w:rsidTr="003E1758">
        <w:trPr>
          <w:cnfStyle w:val="000000010000" w:firstRow="0" w:lastRow="0" w:firstColumn="0" w:lastColumn="0" w:oddVBand="0" w:evenVBand="0" w:oddHBand="0" w:evenHBand="1" w:firstRowFirstColumn="0" w:firstRowLastColumn="0" w:lastRowFirstColumn="0" w:lastRowLastColumn="0"/>
          <w:trHeight w:val="285"/>
        </w:trPr>
        <w:tc>
          <w:tcPr>
            <w:tcW w:w="6746" w:type="dxa"/>
            <w:noWrap/>
            <w:hideMark/>
          </w:tcPr>
          <w:p w14:paraId="61E51BC5" w14:textId="77777777" w:rsidR="009D0006" w:rsidRPr="00BC3468" w:rsidRDefault="009D0006" w:rsidP="003E1758">
            <w:pPr>
              <w:pStyle w:val="Tabletext"/>
            </w:pPr>
            <w:r>
              <w:rPr>
                <w:lang w:val="en-US"/>
              </w:rPr>
              <w:t>Ever</w:t>
            </w:r>
          </w:p>
        </w:tc>
        <w:tc>
          <w:tcPr>
            <w:tcW w:w="1559" w:type="dxa"/>
            <w:noWrap/>
          </w:tcPr>
          <w:p w14:paraId="2D674F4D" w14:textId="77777777" w:rsidR="009D0006" w:rsidRPr="00BC3468" w:rsidRDefault="009D0006" w:rsidP="003E1758">
            <w:pPr>
              <w:pStyle w:val="Tabletext"/>
            </w:pPr>
            <w:r>
              <w:t>1000</w:t>
            </w:r>
          </w:p>
        </w:tc>
        <w:tc>
          <w:tcPr>
            <w:tcW w:w="1559" w:type="dxa"/>
            <w:noWrap/>
          </w:tcPr>
          <w:p w14:paraId="6F5A04AD" w14:textId="77777777" w:rsidR="009D0006" w:rsidRPr="00BC3468" w:rsidRDefault="009D0006" w:rsidP="003E1758">
            <w:pPr>
              <w:pStyle w:val="Tabletext"/>
            </w:pPr>
            <w:r>
              <w:t>87.6</w:t>
            </w:r>
          </w:p>
        </w:tc>
      </w:tr>
    </w:tbl>
    <w:p w14:paraId="1D07ECA6" w14:textId="77777777" w:rsidR="009D0006" w:rsidRDefault="009D0006" w:rsidP="003E1758">
      <w:pPr>
        <w:pStyle w:val="Tableheading"/>
        <w:rPr>
          <w:lang w:val="en-GB"/>
        </w:rPr>
      </w:pPr>
      <w:r>
        <w:rPr>
          <w:lang w:val="en-GB"/>
        </w:rPr>
        <w:t>Table 118.2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1E6ED63" w14:textId="77777777" w:rsidTr="003E1758">
        <w:trPr>
          <w:cnfStyle w:val="100000000000" w:firstRow="1" w:lastRow="0" w:firstColumn="0" w:lastColumn="0" w:oddVBand="0" w:evenVBand="0" w:oddHBand="0" w:evenHBand="0" w:firstRowFirstColumn="0" w:firstRowLastColumn="0" w:lastRowFirstColumn="0" w:lastRowLastColumn="0"/>
          <w:trHeight w:val="331"/>
        </w:trPr>
        <w:tc>
          <w:tcPr>
            <w:tcW w:w="6746" w:type="dxa"/>
            <w:noWrap/>
            <w:hideMark/>
          </w:tcPr>
          <w:p w14:paraId="540E5CAB" w14:textId="77777777" w:rsidR="009D0006" w:rsidRPr="00BC3468" w:rsidRDefault="009D0006" w:rsidP="003E1758">
            <w:pPr>
              <w:pStyle w:val="Tableheader"/>
            </w:pPr>
            <w:r>
              <w:t>Suicidal ideation</w:t>
            </w:r>
          </w:p>
        </w:tc>
        <w:tc>
          <w:tcPr>
            <w:tcW w:w="1559" w:type="dxa"/>
            <w:noWrap/>
            <w:hideMark/>
          </w:tcPr>
          <w:p w14:paraId="4605E716" w14:textId="77777777" w:rsidR="009D0006" w:rsidRPr="008119E4" w:rsidRDefault="009D0006" w:rsidP="003E1758">
            <w:pPr>
              <w:pStyle w:val="Tableheader"/>
              <w:rPr>
                <w:bCs/>
              </w:rPr>
            </w:pPr>
            <w:r w:rsidRPr="008119E4">
              <w:rPr>
                <w:bCs/>
              </w:rPr>
              <w:t>n</w:t>
            </w:r>
          </w:p>
        </w:tc>
        <w:tc>
          <w:tcPr>
            <w:tcW w:w="1559" w:type="dxa"/>
            <w:noWrap/>
            <w:hideMark/>
          </w:tcPr>
          <w:p w14:paraId="6B7EFE19" w14:textId="77777777" w:rsidR="009D0006" w:rsidRPr="008119E4" w:rsidRDefault="009D0006" w:rsidP="003E1758">
            <w:pPr>
              <w:pStyle w:val="Tableheader"/>
              <w:rPr>
                <w:bCs/>
              </w:rPr>
            </w:pPr>
            <w:r w:rsidRPr="008119E4">
              <w:rPr>
                <w:bCs/>
              </w:rPr>
              <w:t>%</w:t>
            </w:r>
          </w:p>
        </w:tc>
      </w:tr>
      <w:tr w:rsidR="009D0006" w:rsidRPr="00BC3468" w14:paraId="07B617E3" w14:textId="77777777" w:rsidTr="003E1758">
        <w:trPr>
          <w:cnfStyle w:val="000000100000" w:firstRow="0" w:lastRow="0" w:firstColumn="0" w:lastColumn="0" w:oddVBand="0" w:evenVBand="0" w:oddHBand="1" w:evenHBand="0" w:firstRowFirstColumn="0" w:firstRowLastColumn="0" w:lastRowFirstColumn="0" w:lastRowLastColumn="0"/>
          <w:trHeight w:val="331"/>
        </w:trPr>
        <w:tc>
          <w:tcPr>
            <w:tcW w:w="6746" w:type="dxa"/>
            <w:noWrap/>
            <w:hideMark/>
          </w:tcPr>
          <w:p w14:paraId="132D9C73" w14:textId="77777777" w:rsidR="009D0006" w:rsidRPr="00BC3468" w:rsidRDefault="009D0006" w:rsidP="003E1758">
            <w:pPr>
              <w:pStyle w:val="Tabletext"/>
            </w:pPr>
            <w:r>
              <w:rPr>
                <w:lang w:val="en-US"/>
              </w:rPr>
              <w:t>Past 12 months</w:t>
            </w:r>
          </w:p>
        </w:tc>
        <w:tc>
          <w:tcPr>
            <w:tcW w:w="1559" w:type="dxa"/>
            <w:noWrap/>
          </w:tcPr>
          <w:p w14:paraId="57D7A512" w14:textId="77777777" w:rsidR="009D0006" w:rsidRPr="00BC3468" w:rsidRDefault="009D0006" w:rsidP="003E1758">
            <w:pPr>
              <w:pStyle w:val="Tabletext"/>
            </w:pPr>
            <w:r>
              <w:t>191</w:t>
            </w:r>
          </w:p>
        </w:tc>
        <w:tc>
          <w:tcPr>
            <w:tcW w:w="1559" w:type="dxa"/>
            <w:noWrap/>
          </w:tcPr>
          <w:p w14:paraId="06E4845A" w14:textId="77777777" w:rsidR="009D0006" w:rsidRPr="00BC3468" w:rsidRDefault="009D0006" w:rsidP="003E1758">
            <w:pPr>
              <w:pStyle w:val="Tabletext"/>
            </w:pPr>
            <w:r>
              <w:t>63.2</w:t>
            </w:r>
          </w:p>
        </w:tc>
      </w:tr>
      <w:tr w:rsidR="009D0006" w:rsidRPr="00BC3468" w14:paraId="310E71FA" w14:textId="77777777" w:rsidTr="003E1758">
        <w:trPr>
          <w:cnfStyle w:val="000000010000" w:firstRow="0" w:lastRow="0" w:firstColumn="0" w:lastColumn="0" w:oddVBand="0" w:evenVBand="0" w:oddHBand="0" w:evenHBand="1" w:firstRowFirstColumn="0" w:firstRowLastColumn="0" w:lastRowFirstColumn="0" w:lastRowLastColumn="0"/>
          <w:trHeight w:val="331"/>
        </w:trPr>
        <w:tc>
          <w:tcPr>
            <w:tcW w:w="6746" w:type="dxa"/>
            <w:noWrap/>
            <w:hideMark/>
          </w:tcPr>
          <w:p w14:paraId="6FBF12DD" w14:textId="77777777" w:rsidR="009D0006" w:rsidRPr="00BC3468" w:rsidRDefault="009D0006" w:rsidP="003E1758">
            <w:pPr>
              <w:pStyle w:val="Tabletext"/>
            </w:pPr>
            <w:r>
              <w:rPr>
                <w:lang w:val="en-US"/>
              </w:rPr>
              <w:t>Ever</w:t>
            </w:r>
          </w:p>
        </w:tc>
        <w:tc>
          <w:tcPr>
            <w:tcW w:w="1559" w:type="dxa"/>
            <w:noWrap/>
          </w:tcPr>
          <w:p w14:paraId="1043995B" w14:textId="77777777" w:rsidR="009D0006" w:rsidRPr="00BC3468" w:rsidRDefault="009D0006" w:rsidP="003E1758">
            <w:pPr>
              <w:pStyle w:val="Tabletext"/>
            </w:pPr>
            <w:r>
              <w:t>255</w:t>
            </w:r>
          </w:p>
        </w:tc>
        <w:tc>
          <w:tcPr>
            <w:tcW w:w="1559" w:type="dxa"/>
            <w:noWrap/>
          </w:tcPr>
          <w:p w14:paraId="0C5EEF49" w14:textId="77777777" w:rsidR="009D0006" w:rsidRPr="00BC3468" w:rsidRDefault="009D0006" w:rsidP="003E1758">
            <w:pPr>
              <w:pStyle w:val="Tabletext"/>
            </w:pPr>
            <w:r>
              <w:t>84.4</w:t>
            </w:r>
          </w:p>
        </w:tc>
      </w:tr>
    </w:tbl>
    <w:p w14:paraId="12374EFA" w14:textId="77777777" w:rsidR="009D0006" w:rsidRDefault="009D0006" w:rsidP="003E1758">
      <w:pPr>
        <w:pStyle w:val="Tableheading"/>
        <w:rPr>
          <w:lang w:val="en-GB"/>
        </w:rPr>
      </w:pPr>
      <w:r>
        <w:rPr>
          <w:lang w:val="en-GB"/>
        </w:rPr>
        <w:t>Table 118.3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4B4C039" w14:textId="77777777" w:rsidTr="003E1758">
        <w:trPr>
          <w:cnfStyle w:val="100000000000" w:firstRow="1" w:lastRow="0" w:firstColumn="0" w:lastColumn="0" w:oddVBand="0" w:evenVBand="0" w:oddHBand="0" w:evenHBand="0" w:firstRowFirstColumn="0" w:firstRowLastColumn="0" w:lastRowFirstColumn="0" w:lastRowLastColumn="0"/>
          <w:trHeight w:val="265"/>
        </w:trPr>
        <w:tc>
          <w:tcPr>
            <w:tcW w:w="6746" w:type="dxa"/>
            <w:noWrap/>
            <w:hideMark/>
          </w:tcPr>
          <w:p w14:paraId="6EDD8769" w14:textId="77777777" w:rsidR="009D0006" w:rsidRPr="00BC3468" w:rsidRDefault="009D0006" w:rsidP="003E1758">
            <w:pPr>
              <w:pStyle w:val="Tableheader"/>
            </w:pPr>
            <w:r>
              <w:t>Suicidal ideation</w:t>
            </w:r>
          </w:p>
        </w:tc>
        <w:tc>
          <w:tcPr>
            <w:tcW w:w="1559" w:type="dxa"/>
          </w:tcPr>
          <w:p w14:paraId="43A0C8FF" w14:textId="77777777" w:rsidR="009D0006" w:rsidRPr="008119E4" w:rsidRDefault="009D0006" w:rsidP="003E1758">
            <w:pPr>
              <w:pStyle w:val="Tableheader"/>
              <w:rPr>
                <w:bCs/>
              </w:rPr>
            </w:pPr>
            <w:r w:rsidRPr="008119E4">
              <w:rPr>
                <w:bCs/>
              </w:rPr>
              <w:t>n</w:t>
            </w:r>
          </w:p>
        </w:tc>
        <w:tc>
          <w:tcPr>
            <w:tcW w:w="1559" w:type="dxa"/>
          </w:tcPr>
          <w:p w14:paraId="0A4BB03D" w14:textId="77777777" w:rsidR="009D0006" w:rsidRPr="008119E4" w:rsidRDefault="009D0006" w:rsidP="003E1758">
            <w:pPr>
              <w:pStyle w:val="Tableheader"/>
              <w:rPr>
                <w:bCs/>
              </w:rPr>
            </w:pPr>
            <w:r w:rsidRPr="008119E4">
              <w:rPr>
                <w:bCs/>
              </w:rPr>
              <w:t>%</w:t>
            </w:r>
          </w:p>
        </w:tc>
      </w:tr>
      <w:tr w:rsidR="009D0006" w:rsidRPr="00BC3468" w14:paraId="41F055FC" w14:textId="77777777" w:rsidTr="003E1758">
        <w:trPr>
          <w:cnfStyle w:val="000000100000" w:firstRow="0" w:lastRow="0" w:firstColumn="0" w:lastColumn="0" w:oddVBand="0" w:evenVBand="0" w:oddHBand="1" w:evenHBand="0" w:firstRowFirstColumn="0" w:firstRowLastColumn="0" w:lastRowFirstColumn="0" w:lastRowLastColumn="0"/>
          <w:trHeight w:val="265"/>
        </w:trPr>
        <w:tc>
          <w:tcPr>
            <w:tcW w:w="6746" w:type="dxa"/>
            <w:noWrap/>
            <w:hideMark/>
          </w:tcPr>
          <w:p w14:paraId="753EF6B0" w14:textId="77777777" w:rsidR="009D0006" w:rsidRPr="00BC3468" w:rsidRDefault="009D0006" w:rsidP="003E1758">
            <w:pPr>
              <w:pStyle w:val="Tabletext"/>
            </w:pPr>
            <w:r>
              <w:rPr>
                <w:lang w:val="en-US"/>
              </w:rPr>
              <w:t>Past 12 months</w:t>
            </w:r>
          </w:p>
        </w:tc>
        <w:tc>
          <w:tcPr>
            <w:tcW w:w="1559" w:type="dxa"/>
          </w:tcPr>
          <w:p w14:paraId="0B8AAFAF" w14:textId="77777777" w:rsidR="009D0006" w:rsidRPr="00BC3468" w:rsidRDefault="009D0006" w:rsidP="003E1758">
            <w:pPr>
              <w:pStyle w:val="Tabletext"/>
            </w:pPr>
            <w:r>
              <w:t>36</w:t>
            </w:r>
          </w:p>
        </w:tc>
        <w:tc>
          <w:tcPr>
            <w:tcW w:w="1559" w:type="dxa"/>
          </w:tcPr>
          <w:p w14:paraId="628275DC" w14:textId="77777777" w:rsidR="009D0006" w:rsidRPr="00BC3468" w:rsidRDefault="009D0006" w:rsidP="003E1758">
            <w:pPr>
              <w:pStyle w:val="Tabletext"/>
            </w:pPr>
            <w:r>
              <w:t>78.3</w:t>
            </w:r>
          </w:p>
        </w:tc>
      </w:tr>
      <w:tr w:rsidR="009D0006" w:rsidRPr="00BC3468" w14:paraId="45B881C4" w14:textId="77777777" w:rsidTr="003E1758">
        <w:trPr>
          <w:cnfStyle w:val="000000010000" w:firstRow="0" w:lastRow="0" w:firstColumn="0" w:lastColumn="0" w:oddVBand="0" w:evenVBand="0" w:oddHBand="0" w:evenHBand="1" w:firstRowFirstColumn="0" w:firstRowLastColumn="0" w:lastRowFirstColumn="0" w:lastRowLastColumn="0"/>
          <w:trHeight w:val="265"/>
        </w:trPr>
        <w:tc>
          <w:tcPr>
            <w:tcW w:w="6746" w:type="dxa"/>
            <w:noWrap/>
            <w:hideMark/>
          </w:tcPr>
          <w:p w14:paraId="3C1F6EF4" w14:textId="77777777" w:rsidR="009D0006" w:rsidRPr="00BC3468" w:rsidRDefault="009D0006" w:rsidP="003E1758">
            <w:pPr>
              <w:pStyle w:val="Tabletext"/>
            </w:pPr>
            <w:r>
              <w:rPr>
                <w:lang w:val="en-US"/>
              </w:rPr>
              <w:t>Ever</w:t>
            </w:r>
          </w:p>
        </w:tc>
        <w:tc>
          <w:tcPr>
            <w:tcW w:w="1559" w:type="dxa"/>
          </w:tcPr>
          <w:p w14:paraId="1CF04848" w14:textId="77777777" w:rsidR="009D0006" w:rsidRPr="00BC3468" w:rsidRDefault="009D0006" w:rsidP="003E1758">
            <w:pPr>
              <w:pStyle w:val="Tabletext"/>
            </w:pPr>
            <w:r>
              <w:t>43</w:t>
            </w:r>
          </w:p>
        </w:tc>
        <w:tc>
          <w:tcPr>
            <w:tcW w:w="1559" w:type="dxa"/>
          </w:tcPr>
          <w:p w14:paraId="4911AA21" w14:textId="77777777" w:rsidR="009D0006" w:rsidRPr="00BC3468" w:rsidRDefault="009D0006" w:rsidP="003E1758">
            <w:pPr>
              <w:pStyle w:val="Tabletext"/>
            </w:pPr>
            <w:r>
              <w:t>93.5</w:t>
            </w:r>
          </w:p>
        </w:tc>
      </w:tr>
    </w:tbl>
    <w:p w14:paraId="52570482" w14:textId="77777777" w:rsidR="009D0006" w:rsidRDefault="009D0006" w:rsidP="003E1758">
      <w:pPr>
        <w:pStyle w:val="Tableheader"/>
        <w:rPr>
          <w:lang w:val="en-GB"/>
        </w:rPr>
      </w:pPr>
      <w:r>
        <w:rPr>
          <w:lang w:val="en-GB"/>
        </w:rPr>
        <w:t>Table 118.</w:t>
      </w:r>
      <w:r>
        <w:rPr>
          <w:lang w:val="en-GB"/>
        </w:rPr>
        <w:lastRenderedPageBreak/>
        <w:t>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329BE35" w14:textId="77777777" w:rsidTr="003E1758">
        <w:trPr>
          <w:cnfStyle w:val="100000000000" w:firstRow="1" w:lastRow="0" w:firstColumn="0" w:lastColumn="0" w:oddVBand="0" w:evenVBand="0" w:oddHBand="0" w:evenHBand="0" w:firstRowFirstColumn="0" w:firstRowLastColumn="0" w:lastRowFirstColumn="0" w:lastRowLastColumn="0"/>
          <w:trHeight w:val="256"/>
        </w:trPr>
        <w:tc>
          <w:tcPr>
            <w:tcW w:w="6746" w:type="dxa"/>
            <w:noWrap/>
            <w:hideMark/>
          </w:tcPr>
          <w:p w14:paraId="6F54D3ED" w14:textId="77777777" w:rsidR="009D0006" w:rsidRPr="00BC3468" w:rsidRDefault="009D0006" w:rsidP="003E1758">
            <w:pPr>
              <w:pStyle w:val="Tableheader"/>
            </w:pPr>
            <w:r>
              <w:t>Suicidal ideation</w:t>
            </w:r>
          </w:p>
        </w:tc>
        <w:tc>
          <w:tcPr>
            <w:tcW w:w="1559" w:type="dxa"/>
            <w:noWrap/>
            <w:hideMark/>
          </w:tcPr>
          <w:p w14:paraId="24533019" w14:textId="77777777" w:rsidR="009D0006" w:rsidRPr="00BC3468" w:rsidRDefault="009D0006" w:rsidP="003E1758">
            <w:pPr>
              <w:pStyle w:val="Tableheader"/>
              <w:rPr>
                <w:bCs/>
              </w:rPr>
            </w:pPr>
            <w:r w:rsidRPr="00BC3468">
              <w:rPr>
                <w:bCs/>
              </w:rPr>
              <w:t>n</w:t>
            </w:r>
          </w:p>
        </w:tc>
        <w:tc>
          <w:tcPr>
            <w:tcW w:w="1559" w:type="dxa"/>
            <w:noWrap/>
            <w:hideMark/>
          </w:tcPr>
          <w:p w14:paraId="2668F272" w14:textId="77777777" w:rsidR="009D0006" w:rsidRPr="00BC3468" w:rsidRDefault="009D0006" w:rsidP="003E1758">
            <w:pPr>
              <w:pStyle w:val="Tableheader"/>
              <w:rPr>
                <w:bCs/>
              </w:rPr>
            </w:pPr>
            <w:r w:rsidRPr="00BC3468">
              <w:rPr>
                <w:bCs/>
              </w:rPr>
              <w:t>%</w:t>
            </w:r>
          </w:p>
        </w:tc>
      </w:tr>
      <w:tr w:rsidR="009D0006" w:rsidRPr="00BC3468" w14:paraId="33B81F8F" w14:textId="77777777" w:rsidTr="003E1758">
        <w:trPr>
          <w:cnfStyle w:val="000000100000" w:firstRow="0" w:lastRow="0" w:firstColumn="0" w:lastColumn="0" w:oddVBand="0" w:evenVBand="0" w:oddHBand="1" w:evenHBand="0" w:firstRowFirstColumn="0" w:firstRowLastColumn="0" w:lastRowFirstColumn="0" w:lastRowLastColumn="0"/>
          <w:trHeight w:val="256"/>
        </w:trPr>
        <w:tc>
          <w:tcPr>
            <w:tcW w:w="6746" w:type="dxa"/>
            <w:noWrap/>
            <w:hideMark/>
          </w:tcPr>
          <w:p w14:paraId="1372B2FA" w14:textId="77777777" w:rsidR="009D0006" w:rsidRPr="00BC3468" w:rsidRDefault="009D0006" w:rsidP="003E1758">
            <w:pPr>
              <w:pStyle w:val="Tabletext"/>
            </w:pPr>
            <w:r>
              <w:rPr>
                <w:lang w:val="en-US"/>
              </w:rPr>
              <w:t>Past 12 months</w:t>
            </w:r>
          </w:p>
        </w:tc>
        <w:tc>
          <w:tcPr>
            <w:tcW w:w="1559" w:type="dxa"/>
            <w:noWrap/>
          </w:tcPr>
          <w:p w14:paraId="3248CB61" w14:textId="77777777" w:rsidR="009D0006" w:rsidRPr="00BC3468" w:rsidRDefault="009D0006" w:rsidP="003E1758">
            <w:pPr>
              <w:pStyle w:val="Tabletext"/>
            </w:pPr>
            <w:r>
              <w:t>178</w:t>
            </w:r>
          </w:p>
        </w:tc>
        <w:tc>
          <w:tcPr>
            <w:tcW w:w="1559" w:type="dxa"/>
            <w:noWrap/>
          </w:tcPr>
          <w:p w14:paraId="2DAF28AC" w14:textId="77777777" w:rsidR="009D0006" w:rsidRPr="00BC3468" w:rsidRDefault="009D0006" w:rsidP="003E1758">
            <w:pPr>
              <w:pStyle w:val="Tabletext"/>
            </w:pPr>
            <w:r>
              <w:t>74.5</w:t>
            </w:r>
          </w:p>
        </w:tc>
      </w:tr>
      <w:tr w:rsidR="009D0006" w:rsidRPr="00BC3468" w14:paraId="66443149" w14:textId="77777777" w:rsidTr="003E1758">
        <w:trPr>
          <w:cnfStyle w:val="000000010000" w:firstRow="0" w:lastRow="0" w:firstColumn="0" w:lastColumn="0" w:oddVBand="0" w:evenVBand="0" w:oddHBand="0" w:evenHBand="1" w:firstRowFirstColumn="0" w:firstRowLastColumn="0" w:lastRowFirstColumn="0" w:lastRowLastColumn="0"/>
          <w:trHeight w:val="256"/>
        </w:trPr>
        <w:tc>
          <w:tcPr>
            <w:tcW w:w="6746" w:type="dxa"/>
            <w:noWrap/>
            <w:hideMark/>
          </w:tcPr>
          <w:p w14:paraId="399F78F5" w14:textId="77777777" w:rsidR="009D0006" w:rsidRPr="00BC3468" w:rsidRDefault="009D0006" w:rsidP="003E1758">
            <w:pPr>
              <w:pStyle w:val="Tabletext"/>
            </w:pPr>
            <w:r>
              <w:rPr>
                <w:lang w:val="en-US"/>
              </w:rPr>
              <w:t>Ever</w:t>
            </w:r>
          </w:p>
        </w:tc>
        <w:tc>
          <w:tcPr>
            <w:tcW w:w="1559" w:type="dxa"/>
            <w:noWrap/>
          </w:tcPr>
          <w:p w14:paraId="35F017D6" w14:textId="77777777" w:rsidR="009D0006" w:rsidRPr="00BC3468" w:rsidRDefault="009D0006" w:rsidP="003E1758">
            <w:pPr>
              <w:pStyle w:val="Tabletext"/>
            </w:pPr>
            <w:r>
              <w:t>228</w:t>
            </w:r>
          </w:p>
        </w:tc>
        <w:tc>
          <w:tcPr>
            <w:tcW w:w="1559" w:type="dxa"/>
            <w:noWrap/>
          </w:tcPr>
          <w:p w14:paraId="56CF357F" w14:textId="77777777" w:rsidR="009D0006" w:rsidRPr="00BC3468" w:rsidRDefault="009D0006" w:rsidP="003E1758">
            <w:pPr>
              <w:pStyle w:val="Tabletext"/>
            </w:pPr>
            <w:r>
              <w:t>95.4</w:t>
            </w:r>
          </w:p>
        </w:tc>
      </w:tr>
    </w:tbl>
    <w:p w14:paraId="6123A9CA" w14:textId="77777777" w:rsidR="009D0006" w:rsidRDefault="009D0006" w:rsidP="003E1758">
      <w:pPr>
        <w:pStyle w:val="Tableheading"/>
        <w:rPr>
          <w:lang w:val="en-GB"/>
        </w:rPr>
      </w:pPr>
      <w:r>
        <w:rPr>
          <w:lang w:val="en-GB"/>
        </w:rPr>
        <w:t>Table 118.5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857D994" w14:textId="77777777" w:rsidTr="003E1758">
        <w:trPr>
          <w:cnfStyle w:val="100000000000" w:firstRow="1" w:lastRow="0" w:firstColumn="0" w:lastColumn="0" w:oddVBand="0" w:evenVBand="0" w:oddHBand="0" w:evenHBand="0" w:firstRowFirstColumn="0" w:firstRowLastColumn="0" w:lastRowFirstColumn="0" w:lastRowLastColumn="0"/>
          <w:trHeight w:val="242"/>
        </w:trPr>
        <w:tc>
          <w:tcPr>
            <w:tcW w:w="6746" w:type="dxa"/>
            <w:noWrap/>
            <w:hideMark/>
          </w:tcPr>
          <w:p w14:paraId="30359648" w14:textId="77777777" w:rsidR="009D0006" w:rsidRPr="00BC3468" w:rsidRDefault="009D0006" w:rsidP="003E1758">
            <w:pPr>
              <w:pStyle w:val="Tableheader"/>
            </w:pPr>
            <w:r>
              <w:t>Suicidal ideation</w:t>
            </w:r>
          </w:p>
        </w:tc>
        <w:tc>
          <w:tcPr>
            <w:tcW w:w="1559" w:type="dxa"/>
            <w:noWrap/>
            <w:hideMark/>
          </w:tcPr>
          <w:p w14:paraId="12D31137" w14:textId="77777777" w:rsidR="009D0006" w:rsidRPr="00BC3468" w:rsidRDefault="009D0006" w:rsidP="003E1758">
            <w:pPr>
              <w:pStyle w:val="Tableheader"/>
              <w:rPr>
                <w:bCs/>
              </w:rPr>
            </w:pPr>
            <w:r w:rsidRPr="00BC3468">
              <w:rPr>
                <w:bCs/>
              </w:rPr>
              <w:t>n</w:t>
            </w:r>
          </w:p>
        </w:tc>
        <w:tc>
          <w:tcPr>
            <w:tcW w:w="1559" w:type="dxa"/>
            <w:noWrap/>
            <w:hideMark/>
          </w:tcPr>
          <w:p w14:paraId="46482247" w14:textId="77777777" w:rsidR="009D0006" w:rsidRPr="00BC3468" w:rsidRDefault="009D0006" w:rsidP="003E1758">
            <w:pPr>
              <w:pStyle w:val="Tableheader"/>
              <w:rPr>
                <w:bCs/>
              </w:rPr>
            </w:pPr>
            <w:r w:rsidRPr="00BC3468">
              <w:rPr>
                <w:bCs/>
              </w:rPr>
              <w:t>%</w:t>
            </w:r>
          </w:p>
        </w:tc>
      </w:tr>
      <w:tr w:rsidR="009D0006" w:rsidRPr="00BC3468" w14:paraId="3963678D" w14:textId="77777777" w:rsidTr="003E1758">
        <w:trPr>
          <w:cnfStyle w:val="000000100000" w:firstRow="0" w:lastRow="0" w:firstColumn="0" w:lastColumn="0" w:oddVBand="0" w:evenVBand="0" w:oddHBand="1" w:evenHBand="0" w:firstRowFirstColumn="0" w:firstRowLastColumn="0" w:lastRowFirstColumn="0" w:lastRowLastColumn="0"/>
          <w:trHeight w:val="242"/>
        </w:trPr>
        <w:tc>
          <w:tcPr>
            <w:tcW w:w="6746" w:type="dxa"/>
            <w:noWrap/>
            <w:hideMark/>
          </w:tcPr>
          <w:p w14:paraId="3D42F029" w14:textId="77777777" w:rsidR="009D0006" w:rsidRPr="00BC3468" w:rsidRDefault="009D0006" w:rsidP="003E1758">
            <w:pPr>
              <w:pStyle w:val="Tabletext"/>
            </w:pPr>
            <w:r>
              <w:rPr>
                <w:lang w:val="en-US"/>
              </w:rPr>
              <w:t>Past 12 months</w:t>
            </w:r>
          </w:p>
        </w:tc>
        <w:tc>
          <w:tcPr>
            <w:tcW w:w="1559" w:type="dxa"/>
            <w:noWrap/>
          </w:tcPr>
          <w:p w14:paraId="4C04363A" w14:textId="77777777" w:rsidR="009D0006" w:rsidRPr="00BC3468" w:rsidRDefault="009D0006" w:rsidP="003E1758">
            <w:pPr>
              <w:pStyle w:val="Tabletext"/>
            </w:pPr>
            <w:r>
              <w:t>505</w:t>
            </w:r>
          </w:p>
        </w:tc>
        <w:tc>
          <w:tcPr>
            <w:tcW w:w="1559" w:type="dxa"/>
            <w:noWrap/>
          </w:tcPr>
          <w:p w14:paraId="58A12709" w14:textId="77777777" w:rsidR="009D0006" w:rsidRPr="00BC3468" w:rsidRDefault="009D0006" w:rsidP="003E1758">
            <w:pPr>
              <w:pStyle w:val="Tabletext"/>
            </w:pPr>
            <w:r>
              <w:t>75.9</w:t>
            </w:r>
          </w:p>
        </w:tc>
      </w:tr>
      <w:tr w:rsidR="009D0006" w:rsidRPr="00BC3468" w14:paraId="29FB680D" w14:textId="77777777" w:rsidTr="003E1758">
        <w:trPr>
          <w:cnfStyle w:val="000000010000" w:firstRow="0" w:lastRow="0" w:firstColumn="0" w:lastColumn="0" w:oddVBand="0" w:evenVBand="0" w:oddHBand="0" w:evenHBand="1" w:firstRowFirstColumn="0" w:firstRowLastColumn="0" w:lastRowFirstColumn="0" w:lastRowLastColumn="0"/>
          <w:trHeight w:val="242"/>
        </w:trPr>
        <w:tc>
          <w:tcPr>
            <w:tcW w:w="6746" w:type="dxa"/>
            <w:noWrap/>
            <w:hideMark/>
          </w:tcPr>
          <w:p w14:paraId="3588598D" w14:textId="77777777" w:rsidR="009D0006" w:rsidRPr="00BC3468" w:rsidRDefault="009D0006" w:rsidP="003E1758">
            <w:pPr>
              <w:pStyle w:val="Tabletext"/>
            </w:pPr>
            <w:r>
              <w:rPr>
                <w:lang w:val="en-US"/>
              </w:rPr>
              <w:t>Ever</w:t>
            </w:r>
          </w:p>
        </w:tc>
        <w:tc>
          <w:tcPr>
            <w:tcW w:w="1559" w:type="dxa"/>
            <w:noWrap/>
          </w:tcPr>
          <w:p w14:paraId="4AE03B15" w14:textId="77777777" w:rsidR="009D0006" w:rsidRPr="00BC3468" w:rsidRDefault="009D0006" w:rsidP="003E1758">
            <w:pPr>
              <w:pStyle w:val="Tabletext"/>
            </w:pPr>
            <w:r>
              <w:t>611</w:t>
            </w:r>
          </w:p>
        </w:tc>
        <w:tc>
          <w:tcPr>
            <w:tcW w:w="1559" w:type="dxa"/>
            <w:noWrap/>
          </w:tcPr>
          <w:p w14:paraId="17476BB3" w14:textId="77777777" w:rsidR="009D0006" w:rsidRPr="00BC3468" w:rsidRDefault="009D0006" w:rsidP="003E1758">
            <w:pPr>
              <w:pStyle w:val="Tabletext"/>
            </w:pPr>
            <w:r>
              <w:t>91.9</w:t>
            </w:r>
          </w:p>
        </w:tc>
      </w:tr>
    </w:tbl>
    <w:p w14:paraId="2CD39324" w14:textId="77777777" w:rsidR="009D0006" w:rsidRDefault="009D0006" w:rsidP="00AB4A74">
      <w:pPr>
        <w:spacing w:before="360"/>
      </w:pPr>
      <w:r w:rsidRPr="00971810">
        <w:t>As displayed in Table</w:t>
      </w:r>
      <w:r>
        <w:t>s</w:t>
      </w:r>
      <w:r w:rsidRPr="00971810">
        <w:t xml:space="preserve"> </w:t>
      </w:r>
      <w:r>
        <w:t>118.1-118.5</w:t>
      </w:r>
      <w:r w:rsidRPr="00971810">
        <w:t xml:space="preserve">, </w:t>
      </w:r>
      <w:r>
        <w:t xml:space="preserve">among participants with disability in </w:t>
      </w:r>
      <w:r>
        <w:rPr>
          <w:i/>
          <w:iCs/>
        </w:rPr>
        <w:t>Writing Themselves In 4</w:t>
      </w:r>
      <w:r>
        <w:t xml:space="preserve"> more than three-quarters of trans women had experienced suicidal ideation in the past 12 months (78.3%; n = 36), followed by non-binary people (75.9%; n = 505), trans men (74.5%; n = 178), cisgender women (68.0%; n = 776) and cisgender men (63.2%; n = 191). </w:t>
      </w:r>
    </w:p>
    <w:p w14:paraId="4BC08C71" w14:textId="77777777" w:rsidR="009D0006" w:rsidRPr="00971810" w:rsidRDefault="009D0006" w:rsidP="009D0006">
      <w:r>
        <w:t>The majority of participants with disability across all genders had experienced suicidal ideation at some stage in their lifetime. More than 90% of trans men had ever experienced suicidal ideation in their lifetime (95.4%; n = 228), followed by trans women (93.5%; n = 43), non-binary people (91.9%; n = 611), cisgender women (87.6%; n = 1000) and cisgender men (84.4%; n = 255).</w:t>
      </w:r>
    </w:p>
    <w:p w14:paraId="34D8A604" w14:textId="31268E51" w:rsidR="009D0006" w:rsidRPr="00C5739E" w:rsidRDefault="009D0006" w:rsidP="009401DC">
      <w:pPr>
        <w:pStyle w:val="Heading3Numbered"/>
      </w:pPr>
      <w:bookmarkStart w:id="923" w:name="_Toc115968667"/>
      <w:r w:rsidRPr="00C5739E">
        <w:t>Suicidal ideation</w:t>
      </w:r>
      <w:r>
        <w:t xml:space="preserve"> </w:t>
      </w:r>
      <w:r w:rsidRPr="00C5739E">
        <w:t>– adults aged 18+ years</w:t>
      </w:r>
      <w:bookmarkEnd w:id="923"/>
    </w:p>
    <w:p w14:paraId="7665AE8F" w14:textId="28D49FC6" w:rsidR="009D0006" w:rsidRDefault="009D0006" w:rsidP="003E1758">
      <w:pPr>
        <w:pStyle w:val="Tableheading"/>
      </w:pPr>
      <w:bookmarkStart w:id="924" w:name="_Toc117062836"/>
      <w:bookmarkStart w:id="925" w:name="_Toc119651521"/>
      <w:r w:rsidRPr="002D0458">
        <w:rPr>
          <w:bCs/>
        </w:rPr>
        <w:t>Table</w:t>
      </w:r>
      <w:r>
        <w:rPr>
          <w:bCs/>
        </w:rPr>
        <w:t>s</w:t>
      </w:r>
      <w:r w:rsidRPr="002D0458">
        <w:rPr>
          <w:bCs/>
        </w:rPr>
        <w:t xml:space="preserve"> </w:t>
      </w:r>
      <w:r w:rsidRPr="002D0458">
        <w:rPr>
          <w:bCs/>
        </w:rPr>
        <w:fldChar w:fldCharType="begin"/>
      </w:r>
      <w:r w:rsidRPr="002D0458">
        <w:rPr>
          <w:bCs/>
        </w:rPr>
        <w:instrText xml:space="preserve"> SEQ Table \* ARABIC </w:instrText>
      </w:r>
      <w:r w:rsidRPr="002D0458">
        <w:rPr>
          <w:bCs/>
        </w:rPr>
        <w:fldChar w:fldCharType="separate"/>
      </w:r>
      <w:r>
        <w:rPr>
          <w:bCs/>
          <w:noProof/>
        </w:rPr>
        <w:t>119</w:t>
      </w:r>
      <w:r w:rsidRPr="002D0458">
        <w:rPr>
          <w:bCs/>
        </w:rPr>
        <w:fldChar w:fldCharType="end"/>
      </w:r>
      <w:r>
        <w:rPr>
          <w:bCs/>
        </w:rPr>
        <w:t>.1-119.5</w:t>
      </w:r>
      <w:r>
        <w:t xml:space="preserve">: </w:t>
      </w:r>
      <w:r w:rsidRPr="00C5739E">
        <w:t xml:space="preserve">Suicidal ideation </w:t>
      </w:r>
      <w:r>
        <w:t>among adults with disability aged 18+ years, grouped by gender</w:t>
      </w:r>
      <w:r w:rsidRPr="00C5739E">
        <w:t xml:space="preserve"> (n = </w:t>
      </w:r>
      <w:r>
        <w:t>2590</w:t>
      </w:r>
      <w:r w:rsidRPr="00C5739E">
        <w:t>)</w:t>
      </w:r>
      <w:bookmarkEnd w:id="924"/>
      <w:bookmarkEnd w:id="925"/>
    </w:p>
    <w:p w14:paraId="35E68C40" w14:textId="77777777" w:rsidR="009D0006" w:rsidRDefault="009D0006" w:rsidP="003E1758">
      <w:pPr>
        <w:pStyle w:val="Tableheading"/>
      </w:pPr>
      <w:r>
        <w:t>Table 119.1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B9FA4D3" w14:textId="77777777" w:rsidTr="003E1758">
        <w:trPr>
          <w:cnfStyle w:val="100000000000" w:firstRow="1" w:lastRow="0" w:firstColumn="0" w:lastColumn="0" w:oddVBand="0" w:evenVBand="0" w:oddHBand="0" w:evenHBand="0" w:firstRowFirstColumn="0" w:firstRowLastColumn="0" w:lastRowFirstColumn="0" w:lastRowLastColumn="0"/>
          <w:trHeight w:val="297"/>
        </w:trPr>
        <w:tc>
          <w:tcPr>
            <w:tcW w:w="6746" w:type="dxa"/>
            <w:noWrap/>
            <w:hideMark/>
          </w:tcPr>
          <w:p w14:paraId="689F4718" w14:textId="77777777" w:rsidR="009D0006" w:rsidRPr="00BC3468" w:rsidRDefault="009D0006" w:rsidP="003E1758">
            <w:pPr>
              <w:pStyle w:val="Tableheader"/>
            </w:pPr>
            <w:r>
              <w:t>Suicidal ideation</w:t>
            </w:r>
          </w:p>
        </w:tc>
        <w:tc>
          <w:tcPr>
            <w:tcW w:w="1559" w:type="dxa"/>
            <w:noWrap/>
            <w:hideMark/>
          </w:tcPr>
          <w:p w14:paraId="41774760" w14:textId="77777777" w:rsidR="009D0006" w:rsidRPr="00790283" w:rsidRDefault="009D0006" w:rsidP="003E1758">
            <w:pPr>
              <w:pStyle w:val="Tableheader"/>
              <w:rPr>
                <w:bCs/>
              </w:rPr>
            </w:pPr>
            <w:r w:rsidRPr="00790283">
              <w:rPr>
                <w:bCs/>
              </w:rPr>
              <w:t>n</w:t>
            </w:r>
          </w:p>
        </w:tc>
        <w:tc>
          <w:tcPr>
            <w:tcW w:w="1559" w:type="dxa"/>
            <w:noWrap/>
            <w:hideMark/>
          </w:tcPr>
          <w:p w14:paraId="17F9F7AF" w14:textId="77777777" w:rsidR="009D0006" w:rsidRPr="00790283" w:rsidRDefault="009D0006" w:rsidP="003E1758">
            <w:pPr>
              <w:pStyle w:val="Tableheader"/>
              <w:rPr>
                <w:bCs/>
              </w:rPr>
            </w:pPr>
            <w:r w:rsidRPr="00790283">
              <w:rPr>
                <w:bCs/>
              </w:rPr>
              <w:t>%</w:t>
            </w:r>
          </w:p>
        </w:tc>
      </w:tr>
      <w:tr w:rsidR="009D0006" w:rsidRPr="00BC3468" w14:paraId="4BABF956" w14:textId="77777777" w:rsidTr="003E1758">
        <w:trPr>
          <w:cnfStyle w:val="000000100000" w:firstRow="0" w:lastRow="0" w:firstColumn="0" w:lastColumn="0" w:oddVBand="0" w:evenVBand="0" w:oddHBand="1" w:evenHBand="0" w:firstRowFirstColumn="0" w:firstRowLastColumn="0" w:lastRowFirstColumn="0" w:lastRowLastColumn="0"/>
          <w:trHeight w:val="297"/>
        </w:trPr>
        <w:tc>
          <w:tcPr>
            <w:tcW w:w="6746" w:type="dxa"/>
            <w:noWrap/>
            <w:hideMark/>
          </w:tcPr>
          <w:p w14:paraId="668331F4" w14:textId="77777777" w:rsidR="009D0006" w:rsidRPr="00BC3468" w:rsidRDefault="009D0006" w:rsidP="003E1758">
            <w:pPr>
              <w:pStyle w:val="Tabletext"/>
            </w:pPr>
            <w:r>
              <w:rPr>
                <w:lang w:val="en-US"/>
              </w:rPr>
              <w:t>Past 12 months</w:t>
            </w:r>
          </w:p>
        </w:tc>
        <w:tc>
          <w:tcPr>
            <w:tcW w:w="1559" w:type="dxa"/>
            <w:noWrap/>
          </w:tcPr>
          <w:p w14:paraId="52204EDB" w14:textId="77777777" w:rsidR="009D0006" w:rsidRPr="00BC3468" w:rsidRDefault="009D0006" w:rsidP="003E1758">
            <w:pPr>
              <w:pStyle w:val="Tabletext"/>
            </w:pPr>
            <w:r>
              <w:t>674</w:t>
            </w:r>
          </w:p>
        </w:tc>
        <w:tc>
          <w:tcPr>
            <w:tcW w:w="1559" w:type="dxa"/>
            <w:noWrap/>
          </w:tcPr>
          <w:p w14:paraId="3C7E1302" w14:textId="77777777" w:rsidR="009D0006" w:rsidRPr="00BC3468" w:rsidRDefault="009D0006" w:rsidP="003E1758">
            <w:pPr>
              <w:pStyle w:val="Tabletext"/>
            </w:pPr>
            <w:r>
              <w:t>55.2</w:t>
            </w:r>
          </w:p>
        </w:tc>
      </w:tr>
      <w:tr w:rsidR="009D0006" w:rsidRPr="00BC3468" w14:paraId="363D9399" w14:textId="77777777" w:rsidTr="003E1758">
        <w:trPr>
          <w:cnfStyle w:val="000000010000" w:firstRow="0" w:lastRow="0" w:firstColumn="0" w:lastColumn="0" w:oddVBand="0" w:evenVBand="0" w:oddHBand="0" w:evenHBand="1" w:firstRowFirstColumn="0" w:firstRowLastColumn="0" w:lastRowFirstColumn="0" w:lastRowLastColumn="0"/>
          <w:trHeight w:val="297"/>
        </w:trPr>
        <w:tc>
          <w:tcPr>
            <w:tcW w:w="6746" w:type="dxa"/>
            <w:noWrap/>
            <w:hideMark/>
          </w:tcPr>
          <w:p w14:paraId="1F892845" w14:textId="77777777" w:rsidR="009D0006" w:rsidRPr="00BC3468" w:rsidRDefault="009D0006" w:rsidP="003E1758">
            <w:pPr>
              <w:pStyle w:val="Tabletext"/>
            </w:pPr>
            <w:r>
              <w:rPr>
                <w:lang w:val="en-US"/>
              </w:rPr>
              <w:t>Ever</w:t>
            </w:r>
          </w:p>
        </w:tc>
        <w:tc>
          <w:tcPr>
            <w:tcW w:w="1559" w:type="dxa"/>
            <w:noWrap/>
          </w:tcPr>
          <w:p w14:paraId="6BDA923D" w14:textId="77777777" w:rsidR="009D0006" w:rsidRPr="00BC3468" w:rsidRDefault="009D0006" w:rsidP="003E1758">
            <w:pPr>
              <w:pStyle w:val="Tabletext"/>
            </w:pPr>
            <w:r>
              <w:t>392</w:t>
            </w:r>
          </w:p>
        </w:tc>
        <w:tc>
          <w:tcPr>
            <w:tcW w:w="1559" w:type="dxa"/>
            <w:noWrap/>
          </w:tcPr>
          <w:p w14:paraId="3B2930B0" w14:textId="77777777" w:rsidR="009D0006" w:rsidRPr="00BC3468" w:rsidRDefault="009D0006" w:rsidP="003E1758">
            <w:pPr>
              <w:pStyle w:val="Tabletext"/>
            </w:pPr>
            <w:r>
              <w:t>39.8</w:t>
            </w:r>
          </w:p>
        </w:tc>
      </w:tr>
    </w:tbl>
    <w:p w14:paraId="73542F3E" w14:textId="77777777" w:rsidR="009D0006" w:rsidRDefault="009D0006" w:rsidP="003E1758">
      <w:pPr>
        <w:pStyle w:val="Tableheading"/>
      </w:pPr>
      <w:r>
        <w:t>Table 119.2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16E33B2" w14:textId="77777777" w:rsidTr="003E1758">
        <w:trPr>
          <w:cnfStyle w:val="100000000000" w:firstRow="1" w:lastRow="0" w:firstColumn="0" w:lastColumn="0" w:oddVBand="0" w:evenVBand="0" w:oddHBand="0" w:evenHBand="0" w:firstRowFirstColumn="0" w:firstRowLastColumn="0" w:lastRowFirstColumn="0" w:lastRowLastColumn="0"/>
          <w:trHeight w:val="322"/>
        </w:trPr>
        <w:tc>
          <w:tcPr>
            <w:tcW w:w="6746" w:type="dxa"/>
            <w:noWrap/>
            <w:hideMark/>
          </w:tcPr>
          <w:p w14:paraId="7FA5557B" w14:textId="77777777" w:rsidR="009D0006" w:rsidRPr="00BC3468" w:rsidRDefault="009D0006" w:rsidP="003E1758">
            <w:pPr>
              <w:pStyle w:val="Tableheader"/>
            </w:pPr>
            <w:r>
              <w:t>Suicidal ideation</w:t>
            </w:r>
          </w:p>
        </w:tc>
        <w:tc>
          <w:tcPr>
            <w:tcW w:w="1559" w:type="dxa"/>
            <w:noWrap/>
            <w:hideMark/>
          </w:tcPr>
          <w:p w14:paraId="04CD488C" w14:textId="77777777" w:rsidR="009D0006" w:rsidRPr="00790283" w:rsidRDefault="009D0006" w:rsidP="003E1758">
            <w:pPr>
              <w:pStyle w:val="Tableheader"/>
              <w:rPr>
                <w:bCs/>
              </w:rPr>
            </w:pPr>
            <w:r w:rsidRPr="00790283">
              <w:rPr>
                <w:bCs/>
              </w:rPr>
              <w:t>n</w:t>
            </w:r>
          </w:p>
        </w:tc>
        <w:tc>
          <w:tcPr>
            <w:tcW w:w="1559" w:type="dxa"/>
            <w:noWrap/>
            <w:hideMark/>
          </w:tcPr>
          <w:p w14:paraId="5264D5E2" w14:textId="77777777" w:rsidR="009D0006" w:rsidRPr="00790283" w:rsidRDefault="009D0006" w:rsidP="003E1758">
            <w:pPr>
              <w:pStyle w:val="Tableheader"/>
              <w:rPr>
                <w:bCs/>
              </w:rPr>
            </w:pPr>
            <w:r w:rsidRPr="00790283">
              <w:rPr>
                <w:bCs/>
              </w:rPr>
              <w:t>%</w:t>
            </w:r>
          </w:p>
        </w:tc>
      </w:tr>
      <w:tr w:rsidR="009D0006" w:rsidRPr="00BC3468" w14:paraId="05E6A545" w14:textId="77777777" w:rsidTr="003E1758">
        <w:trPr>
          <w:cnfStyle w:val="000000100000" w:firstRow="0" w:lastRow="0" w:firstColumn="0" w:lastColumn="0" w:oddVBand="0" w:evenVBand="0" w:oddHBand="1" w:evenHBand="0" w:firstRowFirstColumn="0" w:firstRowLastColumn="0" w:lastRowFirstColumn="0" w:lastRowLastColumn="0"/>
          <w:trHeight w:val="322"/>
        </w:trPr>
        <w:tc>
          <w:tcPr>
            <w:tcW w:w="6746" w:type="dxa"/>
            <w:noWrap/>
            <w:hideMark/>
          </w:tcPr>
          <w:p w14:paraId="7BC1D90D" w14:textId="77777777" w:rsidR="009D0006" w:rsidRPr="00BC3468" w:rsidRDefault="009D0006" w:rsidP="003E1758">
            <w:pPr>
              <w:pStyle w:val="Tabletext"/>
            </w:pPr>
            <w:r>
              <w:rPr>
                <w:lang w:val="en-US"/>
              </w:rPr>
              <w:t>Past 12 months</w:t>
            </w:r>
          </w:p>
        </w:tc>
        <w:tc>
          <w:tcPr>
            <w:tcW w:w="1559" w:type="dxa"/>
            <w:noWrap/>
          </w:tcPr>
          <w:p w14:paraId="56B0BA10" w14:textId="77777777" w:rsidR="009D0006" w:rsidRPr="00BC3468" w:rsidRDefault="009D0006" w:rsidP="003E1758">
            <w:pPr>
              <w:pStyle w:val="Tabletext"/>
            </w:pPr>
            <w:r>
              <w:t>267</w:t>
            </w:r>
          </w:p>
        </w:tc>
        <w:tc>
          <w:tcPr>
            <w:tcW w:w="1559" w:type="dxa"/>
            <w:noWrap/>
          </w:tcPr>
          <w:p w14:paraId="54DEE43C" w14:textId="77777777" w:rsidR="009D0006" w:rsidRPr="00BC3468" w:rsidRDefault="009D0006" w:rsidP="003E1758">
            <w:pPr>
              <w:pStyle w:val="Tabletext"/>
            </w:pPr>
            <w:r>
              <w:t>52.0</w:t>
            </w:r>
          </w:p>
        </w:tc>
      </w:tr>
      <w:tr w:rsidR="009D0006" w:rsidRPr="00BC3468" w14:paraId="1B2D8169" w14:textId="77777777" w:rsidTr="003E1758">
        <w:trPr>
          <w:cnfStyle w:val="000000010000" w:firstRow="0" w:lastRow="0" w:firstColumn="0" w:lastColumn="0" w:oddVBand="0" w:evenVBand="0" w:oddHBand="0" w:evenHBand="1" w:firstRowFirstColumn="0" w:firstRowLastColumn="0" w:lastRowFirstColumn="0" w:lastRowLastColumn="0"/>
          <w:trHeight w:val="322"/>
        </w:trPr>
        <w:tc>
          <w:tcPr>
            <w:tcW w:w="6746" w:type="dxa"/>
            <w:noWrap/>
            <w:hideMark/>
          </w:tcPr>
          <w:p w14:paraId="7C5F08E0" w14:textId="77777777" w:rsidR="009D0006" w:rsidRPr="00BC3468" w:rsidRDefault="009D0006" w:rsidP="003E1758">
            <w:pPr>
              <w:pStyle w:val="Tabletext"/>
            </w:pPr>
            <w:r>
              <w:rPr>
                <w:lang w:val="en-US"/>
              </w:rPr>
              <w:t>Ever</w:t>
            </w:r>
          </w:p>
        </w:tc>
        <w:tc>
          <w:tcPr>
            <w:tcW w:w="1559" w:type="dxa"/>
            <w:noWrap/>
          </w:tcPr>
          <w:p w14:paraId="64E47E25" w14:textId="77777777" w:rsidR="009D0006" w:rsidRPr="00BC3468" w:rsidRDefault="009D0006" w:rsidP="003E1758">
            <w:pPr>
              <w:pStyle w:val="Tabletext"/>
            </w:pPr>
            <w:r>
              <w:t>153</w:t>
            </w:r>
          </w:p>
        </w:tc>
        <w:tc>
          <w:tcPr>
            <w:tcW w:w="1559" w:type="dxa"/>
            <w:noWrap/>
          </w:tcPr>
          <w:p w14:paraId="2CC84C8D" w14:textId="77777777" w:rsidR="009D0006" w:rsidRPr="00BC3468" w:rsidRDefault="009D0006" w:rsidP="003E1758">
            <w:pPr>
              <w:pStyle w:val="Tabletext"/>
            </w:pPr>
            <w:r>
              <w:t>37.2</w:t>
            </w:r>
          </w:p>
        </w:tc>
      </w:tr>
    </w:tbl>
    <w:p w14:paraId="3BCA57DC" w14:textId="77777777" w:rsidR="009D0006" w:rsidRDefault="009D0006" w:rsidP="003E1758">
      <w:pPr>
        <w:pStyle w:val="Tableheading"/>
      </w:pPr>
      <w:r>
        <w:t>Table 119.</w:t>
      </w:r>
      <w:r>
        <w:lastRenderedPageBreak/>
        <w:t>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2EF06DC" w14:textId="77777777" w:rsidTr="003E1758">
        <w:trPr>
          <w:cnfStyle w:val="100000000000" w:firstRow="1" w:lastRow="0" w:firstColumn="0" w:lastColumn="0" w:oddVBand="0" w:evenVBand="0" w:oddHBand="0" w:evenHBand="0" w:firstRowFirstColumn="0" w:firstRowLastColumn="0" w:lastRowFirstColumn="0" w:lastRowLastColumn="0"/>
          <w:trHeight w:val="278"/>
        </w:trPr>
        <w:tc>
          <w:tcPr>
            <w:tcW w:w="6746" w:type="dxa"/>
            <w:noWrap/>
            <w:hideMark/>
          </w:tcPr>
          <w:p w14:paraId="5C996E09" w14:textId="77777777" w:rsidR="009D0006" w:rsidRPr="00BC3468" w:rsidRDefault="009D0006" w:rsidP="003E1758">
            <w:pPr>
              <w:pStyle w:val="Tableheader"/>
            </w:pPr>
            <w:r>
              <w:t>Suicidal ideation</w:t>
            </w:r>
          </w:p>
        </w:tc>
        <w:tc>
          <w:tcPr>
            <w:tcW w:w="1559" w:type="dxa"/>
          </w:tcPr>
          <w:p w14:paraId="051F2451" w14:textId="77777777" w:rsidR="009D0006" w:rsidRPr="00790283" w:rsidRDefault="009D0006" w:rsidP="003E1758">
            <w:pPr>
              <w:pStyle w:val="Tableheader"/>
              <w:rPr>
                <w:bCs/>
              </w:rPr>
            </w:pPr>
            <w:r w:rsidRPr="00790283">
              <w:rPr>
                <w:bCs/>
              </w:rPr>
              <w:t>n</w:t>
            </w:r>
          </w:p>
        </w:tc>
        <w:tc>
          <w:tcPr>
            <w:tcW w:w="1559" w:type="dxa"/>
          </w:tcPr>
          <w:p w14:paraId="16C0F120" w14:textId="77777777" w:rsidR="009D0006" w:rsidRPr="00790283" w:rsidRDefault="009D0006" w:rsidP="003E1758">
            <w:pPr>
              <w:pStyle w:val="Tableheader"/>
              <w:rPr>
                <w:bCs/>
              </w:rPr>
            </w:pPr>
            <w:r w:rsidRPr="00790283">
              <w:rPr>
                <w:bCs/>
              </w:rPr>
              <w:t>%</w:t>
            </w:r>
          </w:p>
        </w:tc>
      </w:tr>
      <w:tr w:rsidR="009D0006" w:rsidRPr="00BC3468" w14:paraId="67133A64" w14:textId="77777777" w:rsidTr="003E1758">
        <w:trPr>
          <w:cnfStyle w:val="000000100000" w:firstRow="0" w:lastRow="0" w:firstColumn="0" w:lastColumn="0" w:oddVBand="0" w:evenVBand="0" w:oddHBand="1" w:evenHBand="0" w:firstRowFirstColumn="0" w:firstRowLastColumn="0" w:lastRowFirstColumn="0" w:lastRowLastColumn="0"/>
          <w:trHeight w:val="278"/>
        </w:trPr>
        <w:tc>
          <w:tcPr>
            <w:tcW w:w="6746" w:type="dxa"/>
            <w:noWrap/>
            <w:hideMark/>
          </w:tcPr>
          <w:p w14:paraId="26E6DC2C" w14:textId="77777777" w:rsidR="009D0006" w:rsidRPr="00BC3468" w:rsidRDefault="009D0006" w:rsidP="003E1758">
            <w:pPr>
              <w:pStyle w:val="Tabletext"/>
            </w:pPr>
            <w:r>
              <w:rPr>
                <w:lang w:val="en-US"/>
              </w:rPr>
              <w:t>Past 12 months</w:t>
            </w:r>
          </w:p>
        </w:tc>
        <w:tc>
          <w:tcPr>
            <w:tcW w:w="1559" w:type="dxa"/>
          </w:tcPr>
          <w:p w14:paraId="01994AF3" w14:textId="77777777" w:rsidR="009D0006" w:rsidRPr="00BC3468" w:rsidRDefault="009D0006" w:rsidP="003E1758">
            <w:pPr>
              <w:pStyle w:val="Tabletext"/>
            </w:pPr>
            <w:r>
              <w:t>94</w:t>
            </w:r>
          </w:p>
        </w:tc>
        <w:tc>
          <w:tcPr>
            <w:tcW w:w="1559" w:type="dxa"/>
          </w:tcPr>
          <w:p w14:paraId="70DCF0EA" w14:textId="77777777" w:rsidR="009D0006" w:rsidRPr="00BC3468" w:rsidRDefault="009D0006" w:rsidP="003E1758">
            <w:pPr>
              <w:pStyle w:val="Tabletext"/>
            </w:pPr>
            <w:r>
              <w:t>71.8</w:t>
            </w:r>
          </w:p>
        </w:tc>
      </w:tr>
      <w:tr w:rsidR="009D0006" w:rsidRPr="00BC3468" w14:paraId="78C4F681" w14:textId="77777777" w:rsidTr="003E1758">
        <w:trPr>
          <w:cnfStyle w:val="000000010000" w:firstRow="0" w:lastRow="0" w:firstColumn="0" w:lastColumn="0" w:oddVBand="0" w:evenVBand="0" w:oddHBand="0" w:evenHBand="1" w:firstRowFirstColumn="0" w:firstRowLastColumn="0" w:lastRowFirstColumn="0" w:lastRowLastColumn="0"/>
          <w:trHeight w:val="278"/>
        </w:trPr>
        <w:tc>
          <w:tcPr>
            <w:tcW w:w="6746" w:type="dxa"/>
            <w:noWrap/>
            <w:hideMark/>
          </w:tcPr>
          <w:p w14:paraId="67B3FD98" w14:textId="77777777" w:rsidR="009D0006" w:rsidRPr="00BC3468" w:rsidRDefault="009D0006" w:rsidP="003E1758">
            <w:pPr>
              <w:pStyle w:val="Tabletext"/>
            </w:pPr>
            <w:r>
              <w:rPr>
                <w:lang w:val="en-US"/>
              </w:rPr>
              <w:t>Ever</w:t>
            </w:r>
          </w:p>
        </w:tc>
        <w:tc>
          <w:tcPr>
            <w:tcW w:w="1559" w:type="dxa"/>
          </w:tcPr>
          <w:p w14:paraId="7F14A64D" w14:textId="77777777" w:rsidR="009D0006" w:rsidRPr="00BC3468" w:rsidRDefault="009D0006" w:rsidP="003E1758">
            <w:pPr>
              <w:pStyle w:val="Tabletext"/>
            </w:pPr>
            <w:r>
              <w:t>68</w:t>
            </w:r>
          </w:p>
        </w:tc>
        <w:tc>
          <w:tcPr>
            <w:tcW w:w="1559" w:type="dxa"/>
          </w:tcPr>
          <w:p w14:paraId="563CE25D" w14:textId="77777777" w:rsidR="009D0006" w:rsidRPr="00BC3468" w:rsidRDefault="009D0006" w:rsidP="003E1758">
            <w:pPr>
              <w:pStyle w:val="Tabletext"/>
            </w:pPr>
            <w:r>
              <w:t>58.1</w:t>
            </w:r>
          </w:p>
        </w:tc>
      </w:tr>
    </w:tbl>
    <w:p w14:paraId="3731A235" w14:textId="77777777" w:rsidR="009D0006" w:rsidRDefault="009D0006" w:rsidP="003E1758">
      <w:pPr>
        <w:pStyle w:val="Tableheading"/>
      </w:pPr>
      <w:r>
        <w:t>Table 119.4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4CEACF5" w14:textId="77777777" w:rsidTr="003E1758">
        <w:trPr>
          <w:cnfStyle w:val="100000000000" w:firstRow="1" w:lastRow="0" w:firstColumn="0" w:lastColumn="0" w:oddVBand="0" w:evenVBand="0" w:oddHBand="0" w:evenHBand="0" w:firstRowFirstColumn="0" w:firstRowLastColumn="0" w:lastRowFirstColumn="0" w:lastRowLastColumn="0"/>
          <w:trHeight w:val="315"/>
        </w:trPr>
        <w:tc>
          <w:tcPr>
            <w:tcW w:w="6746" w:type="dxa"/>
            <w:noWrap/>
            <w:hideMark/>
          </w:tcPr>
          <w:p w14:paraId="0628A21A" w14:textId="77777777" w:rsidR="009D0006" w:rsidRPr="00BC3468" w:rsidRDefault="009D0006" w:rsidP="003E1758">
            <w:pPr>
              <w:pStyle w:val="Tableheader"/>
            </w:pPr>
            <w:r>
              <w:t>Suicidal ideation</w:t>
            </w:r>
          </w:p>
        </w:tc>
        <w:tc>
          <w:tcPr>
            <w:tcW w:w="1559" w:type="dxa"/>
            <w:noWrap/>
            <w:hideMark/>
          </w:tcPr>
          <w:p w14:paraId="5FDF6090" w14:textId="77777777" w:rsidR="009D0006" w:rsidRPr="00790283" w:rsidRDefault="009D0006" w:rsidP="003E1758">
            <w:pPr>
              <w:pStyle w:val="Tableheader"/>
              <w:rPr>
                <w:bCs/>
              </w:rPr>
            </w:pPr>
            <w:r w:rsidRPr="00790283">
              <w:rPr>
                <w:bCs/>
              </w:rPr>
              <w:t>n</w:t>
            </w:r>
          </w:p>
        </w:tc>
        <w:tc>
          <w:tcPr>
            <w:tcW w:w="1559" w:type="dxa"/>
            <w:noWrap/>
            <w:hideMark/>
          </w:tcPr>
          <w:p w14:paraId="17885918" w14:textId="77777777" w:rsidR="009D0006" w:rsidRPr="00790283" w:rsidRDefault="009D0006" w:rsidP="003E1758">
            <w:pPr>
              <w:pStyle w:val="Tableheader"/>
              <w:rPr>
                <w:bCs/>
              </w:rPr>
            </w:pPr>
            <w:r w:rsidRPr="00790283">
              <w:rPr>
                <w:bCs/>
              </w:rPr>
              <w:t>%</w:t>
            </w:r>
          </w:p>
        </w:tc>
      </w:tr>
      <w:tr w:rsidR="009D0006" w:rsidRPr="00BC3468" w14:paraId="0FC51B74" w14:textId="77777777" w:rsidTr="003E1758">
        <w:trPr>
          <w:cnfStyle w:val="000000100000" w:firstRow="0" w:lastRow="0" w:firstColumn="0" w:lastColumn="0" w:oddVBand="0" w:evenVBand="0" w:oddHBand="1" w:evenHBand="0" w:firstRowFirstColumn="0" w:firstRowLastColumn="0" w:lastRowFirstColumn="0" w:lastRowLastColumn="0"/>
          <w:trHeight w:val="315"/>
        </w:trPr>
        <w:tc>
          <w:tcPr>
            <w:tcW w:w="6746" w:type="dxa"/>
            <w:noWrap/>
            <w:hideMark/>
          </w:tcPr>
          <w:p w14:paraId="67CE1888" w14:textId="77777777" w:rsidR="009D0006" w:rsidRPr="00BC3468" w:rsidRDefault="009D0006" w:rsidP="003E1758">
            <w:pPr>
              <w:pStyle w:val="Tabletext"/>
            </w:pPr>
            <w:r>
              <w:rPr>
                <w:lang w:val="en-US"/>
              </w:rPr>
              <w:t>Past 12 months</w:t>
            </w:r>
          </w:p>
        </w:tc>
        <w:tc>
          <w:tcPr>
            <w:tcW w:w="1559" w:type="dxa"/>
            <w:noWrap/>
          </w:tcPr>
          <w:p w14:paraId="688FF7F7" w14:textId="77777777" w:rsidR="009D0006" w:rsidRPr="00BC3468" w:rsidRDefault="009D0006" w:rsidP="003E1758">
            <w:pPr>
              <w:pStyle w:val="Tabletext"/>
            </w:pPr>
            <w:r>
              <w:t>113</w:t>
            </w:r>
          </w:p>
        </w:tc>
        <w:tc>
          <w:tcPr>
            <w:tcW w:w="1559" w:type="dxa"/>
            <w:noWrap/>
          </w:tcPr>
          <w:p w14:paraId="7628A168" w14:textId="77777777" w:rsidR="009D0006" w:rsidRPr="00BC3468" w:rsidRDefault="009D0006" w:rsidP="003E1758">
            <w:pPr>
              <w:pStyle w:val="Tabletext"/>
            </w:pPr>
            <w:r>
              <w:t>67.7</w:t>
            </w:r>
          </w:p>
        </w:tc>
      </w:tr>
      <w:tr w:rsidR="009D0006" w:rsidRPr="00BC3468" w14:paraId="355B4334" w14:textId="77777777" w:rsidTr="003E1758">
        <w:trPr>
          <w:cnfStyle w:val="000000010000" w:firstRow="0" w:lastRow="0" w:firstColumn="0" w:lastColumn="0" w:oddVBand="0" w:evenVBand="0" w:oddHBand="0" w:evenHBand="1" w:firstRowFirstColumn="0" w:firstRowLastColumn="0" w:lastRowFirstColumn="0" w:lastRowLastColumn="0"/>
          <w:trHeight w:val="315"/>
        </w:trPr>
        <w:tc>
          <w:tcPr>
            <w:tcW w:w="6746" w:type="dxa"/>
            <w:noWrap/>
            <w:hideMark/>
          </w:tcPr>
          <w:p w14:paraId="17BAF09C" w14:textId="77777777" w:rsidR="009D0006" w:rsidRPr="00BC3468" w:rsidRDefault="009D0006" w:rsidP="003E1758">
            <w:pPr>
              <w:pStyle w:val="Tabletext"/>
            </w:pPr>
            <w:r>
              <w:rPr>
                <w:lang w:val="en-US"/>
              </w:rPr>
              <w:t>Ever</w:t>
            </w:r>
          </w:p>
        </w:tc>
        <w:tc>
          <w:tcPr>
            <w:tcW w:w="1559" w:type="dxa"/>
            <w:noWrap/>
          </w:tcPr>
          <w:p w14:paraId="79AD3E60" w14:textId="77777777" w:rsidR="009D0006" w:rsidRPr="00BC3468" w:rsidRDefault="009D0006" w:rsidP="003E1758">
            <w:pPr>
              <w:pStyle w:val="Tabletext"/>
            </w:pPr>
            <w:r>
              <w:t>93</w:t>
            </w:r>
          </w:p>
        </w:tc>
        <w:tc>
          <w:tcPr>
            <w:tcW w:w="1559" w:type="dxa"/>
            <w:noWrap/>
          </w:tcPr>
          <w:p w14:paraId="063EE170" w14:textId="77777777" w:rsidR="009D0006" w:rsidRPr="00BC3468" w:rsidRDefault="009D0006" w:rsidP="003E1758">
            <w:pPr>
              <w:pStyle w:val="Tabletext"/>
            </w:pPr>
            <w:r>
              <w:t>60.8</w:t>
            </w:r>
          </w:p>
        </w:tc>
      </w:tr>
    </w:tbl>
    <w:p w14:paraId="092E009B" w14:textId="77777777" w:rsidR="009D0006" w:rsidRDefault="009D0006" w:rsidP="003E1758">
      <w:pPr>
        <w:pStyle w:val="Tableheading"/>
      </w:pPr>
      <w:r>
        <w:t>Table 119.5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ADDBE6D" w14:textId="77777777" w:rsidTr="003E1758">
        <w:trPr>
          <w:cnfStyle w:val="100000000000" w:firstRow="1" w:lastRow="0" w:firstColumn="0" w:lastColumn="0" w:oddVBand="0" w:evenVBand="0" w:oddHBand="0" w:evenHBand="0" w:firstRowFirstColumn="0" w:firstRowLastColumn="0" w:lastRowFirstColumn="0" w:lastRowLastColumn="0"/>
          <w:trHeight w:val="265"/>
        </w:trPr>
        <w:tc>
          <w:tcPr>
            <w:tcW w:w="6746" w:type="dxa"/>
            <w:noWrap/>
            <w:hideMark/>
          </w:tcPr>
          <w:p w14:paraId="44D9DE33" w14:textId="77777777" w:rsidR="009D0006" w:rsidRPr="00BC3468" w:rsidRDefault="009D0006" w:rsidP="003E1758">
            <w:pPr>
              <w:pStyle w:val="Tableheader"/>
            </w:pPr>
            <w:r>
              <w:t>Suicidal ideation</w:t>
            </w:r>
          </w:p>
        </w:tc>
        <w:tc>
          <w:tcPr>
            <w:tcW w:w="1559" w:type="dxa"/>
            <w:noWrap/>
            <w:hideMark/>
          </w:tcPr>
          <w:p w14:paraId="752E2497" w14:textId="77777777" w:rsidR="009D0006" w:rsidRPr="00790283" w:rsidRDefault="009D0006" w:rsidP="003E1758">
            <w:pPr>
              <w:pStyle w:val="Tableheader"/>
              <w:rPr>
                <w:bCs/>
              </w:rPr>
            </w:pPr>
            <w:r w:rsidRPr="00790283">
              <w:rPr>
                <w:bCs/>
              </w:rPr>
              <w:t>n</w:t>
            </w:r>
          </w:p>
        </w:tc>
        <w:tc>
          <w:tcPr>
            <w:tcW w:w="1559" w:type="dxa"/>
            <w:noWrap/>
            <w:hideMark/>
          </w:tcPr>
          <w:p w14:paraId="063E9B70" w14:textId="77777777" w:rsidR="009D0006" w:rsidRPr="00790283" w:rsidRDefault="009D0006" w:rsidP="003E1758">
            <w:pPr>
              <w:pStyle w:val="Tableheader"/>
              <w:rPr>
                <w:bCs/>
              </w:rPr>
            </w:pPr>
            <w:r w:rsidRPr="00790283">
              <w:rPr>
                <w:bCs/>
              </w:rPr>
              <w:t>%</w:t>
            </w:r>
          </w:p>
        </w:tc>
      </w:tr>
      <w:tr w:rsidR="009D0006" w:rsidRPr="00BC3468" w14:paraId="5F960D42" w14:textId="77777777" w:rsidTr="003E1758">
        <w:trPr>
          <w:cnfStyle w:val="000000100000" w:firstRow="0" w:lastRow="0" w:firstColumn="0" w:lastColumn="0" w:oddVBand="0" w:evenVBand="0" w:oddHBand="1" w:evenHBand="0" w:firstRowFirstColumn="0" w:firstRowLastColumn="0" w:lastRowFirstColumn="0" w:lastRowLastColumn="0"/>
          <w:trHeight w:val="265"/>
        </w:trPr>
        <w:tc>
          <w:tcPr>
            <w:tcW w:w="6746" w:type="dxa"/>
            <w:noWrap/>
            <w:hideMark/>
          </w:tcPr>
          <w:p w14:paraId="17DF31EB" w14:textId="77777777" w:rsidR="009D0006" w:rsidRPr="00BC3468" w:rsidRDefault="009D0006" w:rsidP="003E1758">
            <w:pPr>
              <w:pStyle w:val="Tabletext"/>
            </w:pPr>
            <w:r>
              <w:rPr>
                <w:lang w:val="en-US"/>
              </w:rPr>
              <w:t>Past 12 months</w:t>
            </w:r>
          </w:p>
        </w:tc>
        <w:tc>
          <w:tcPr>
            <w:tcW w:w="1559" w:type="dxa"/>
            <w:noWrap/>
          </w:tcPr>
          <w:p w14:paraId="688AC16F" w14:textId="77777777" w:rsidR="009D0006" w:rsidRPr="00BC3468" w:rsidRDefault="009D0006" w:rsidP="003E1758">
            <w:pPr>
              <w:pStyle w:val="Tabletext"/>
            </w:pPr>
            <w:r>
              <w:t>399</w:t>
            </w:r>
          </w:p>
        </w:tc>
        <w:tc>
          <w:tcPr>
            <w:tcW w:w="1559" w:type="dxa"/>
            <w:noWrap/>
          </w:tcPr>
          <w:p w14:paraId="2E2BC0F4" w14:textId="77777777" w:rsidR="009D0006" w:rsidRPr="00BC3468" w:rsidRDefault="009D0006" w:rsidP="003E1758">
            <w:pPr>
              <w:pStyle w:val="Tabletext"/>
            </w:pPr>
            <w:r>
              <w:t>71.4</w:t>
            </w:r>
          </w:p>
        </w:tc>
      </w:tr>
      <w:tr w:rsidR="009D0006" w:rsidRPr="00BC3468" w14:paraId="10DC6036" w14:textId="77777777" w:rsidTr="003E1758">
        <w:trPr>
          <w:cnfStyle w:val="000000010000" w:firstRow="0" w:lastRow="0" w:firstColumn="0" w:lastColumn="0" w:oddVBand="0" w:evenVBand="0" w:oddHBand="0" w:evenHBand="1" w:firstRowFirstColumn="0" w:firstRowLastColumn="0" w:lastRowFirstColumn="0" w:lastRowLastColumn="0"/>
          <w:trHeight w:val="265"/>
        </w:trPr>
        <w:tc>
          <w:tcPr>
            <w:tcW w:w="6746" w:type="dxa"/>
            <w:noWrap/>
            <w:hideMark/>
          </w:tcPr>
          <w:p w14:paraId="1A8774CC" w14:textId="77777777" w:rsidR="009D0006" w:rsidRPr="00BC3468" w:rsidRDefault="009D0006" w:rsidP="003E1758">
            <w:pPr>
              <w:pStyle w:val="Tabletext"/>
            </w:pPr>
            <w:r>
              <w:rPr>
                <w:lang w:val="en-US"/>
              </w:rPr>
              <w:t>Ever</w:t>
            </w:r>
          </w:p>
        </w:tc>
        <w:tc>
          <w:tcPr>
            <w:tcW w:w="1559" w:type="dxa"/>
            <w:noWrap/>
          </w:tcPr>
          <w:p w14:paraId="59986517" w14:textId="77777777" w:rsidR="009D0006" w:rsidRPr="00BC3468" w:rsidRDefault="009D0006" w:rsidP="003E1758">
            <w:pPr>
              <w:pStyle w:val="Tabletext"/>
            </w:pPr>
            <w:r>
              <w:t>229</w:t>
            </w:r>
          </w:p>
        </w:tc>
        <w:tc>
          <w:tcPr>
            <w:tcW w:w="1559" w:type="dxa"/>
            <w:noWrap/>
          </w:tcPr>
          <w:p w14:paraId="466AF8EC" w14:textId="77777777" w:rsidR="009D0006" w:rsidRPr="00BC3468" w:rsidRDefault="009D0006" w:rsidP="003E1758">
            <w:pPr>
              <w:pStyle w:val="Tabletext"/>
            </w:pPr>
            <w:r>
              <w:t>46.1</w:t>
            </w:r>
          </w:p>
        </w:tc>
      </w:tr>
    </w:tbl>
    <w:p w14:paraId="7163AF5C" w14:textId="77777777" w:rsidR="009D0006" w:rsidRDefault="009D0006" w:rsidP="00AB4A74">
      <w:pPr>
        <w:spacing w:before="360"/>
      </w:pPr>
      <w:r>
        <w:t>As displayed in Tables 119.1-119.5, a</w:t>
      </w:r>
      <w:r w:rsidRPr="00971810">
        <w:t xml:space="preserve">mong participants with disability in </w:t>
      </w:r>
      <w:r>
        <w:rPr>
          <w:i/>
          <w:iCs/>
        </w:rPr>
        <w:t xml:space="preserve">Private Lives 3 </w:t>
      </w:r>
      <w:r>
        <w:t>almost three-quarters had experienced suicidal ideation in the past 12 months (71.8%; n = 94), followed by non-binary people (71.4%; n = 399), trans men (67.7%; n = 113), cisgender women (55.2%; n = 674) and cisgender men (52.0%; n = 267).</w:t>
      </w:r>
    </w:p>
    <w:p w14:paraId="184B6206" w14:textId="77777777" w:rsidR="009D0006" w:rsidRDefault="009D0006" w:rsidP="009D0006">
      <w:r>
        <w:t>Approximately 60% of trans men had experienced suicidal ideation ever in their lifetime (60.8%; n = 93), followed by trans women (58.1%; n = 68), non-binary people (46.1%; n = 229), cisgender women (39.8%; n = 392) and cisgender men (37.2%; n = 153).</w:t>
      </w:r>
    </w:p>
    <w:p w14:paraId="63A00337" w14:textId="2F2E9690" w:rsidR="009D0006" w:rsidRDefault="009D0006" w:rsidP="009401DC">
      <w:pPr>
        <w:pStyle w:val="Heading3Numbered"/>
      </w:pPr>
      <w:bookmarkStart w:id="926" w:name="_Toc115968668"/>
      <w:r w:rsidRPr="00C5739E">
        <w:t>Suicide attempts</w:t>
      </w:r>
      <w:r>
        <w:t xml:space="preserve"> </w:t>
      </w:r>
      <w:r w:rsidRPr="00C5739E">
        <w:t>– young people aged 14-</w:t>
      </w:r>
      <w:r>
        <w:t>21</w:t>
      </w:r>
      <w:r w:rsidRPr="00C5739E">
        <w:t xml:space="preserve"> years</w:t>
      </w:r>
      <w:bookmarkEnd w:id="926"/>
    </w:p>
    <w:p w14:paraId="0CA83019" w14:textId="527F962D" w:rsidR="009D0006" w:rsidRDefault="009D0006" w:rsidP="003E1758">
      <w:pPr>
        <w:pStyle w:val="Tableheading"/>
      </w:pPr>
      <w:bookmarkStart w:id="927" w:name="_Toc117062837"/>
      <w:bookmarkStart w:id="928" w:name="_Toc119651522"/>
      <w:r w:rsidRPr="002D0458">
        <w:rPr>
          <w:bCs/>
        </w:rPr>
        <w:t>Table</w:t>
      </w:r>
      <w:r>
        <w:rPr>
          <w:bCs/>
        </w:rPr>
        <w:t>s</w:t>
      </w:r>
      <w:r w:rsidRPr="002D0458">
        <w:rPr>
          <w:bCs/>
        </w:rPr>
        <w:t xml:space="preserve"> </w:t>
      </w:r>
      <w:r w:rsidRPr="002D0458">
        <w:rPr>
          <w:bCs/>
        </w:rPr>
        <w:fldChar w:fldCharType="begin"/>
      </w:r>
      <w:r w:rsidRPr="002D0458">
        <w:rPr>
          <w:bCs/>
        </w:rPr>
        <w:instrText xml:space="preserve"> SEQ Table \* ARABIC </w:instrText>
      </w:r>
      <w:r w:rsidRPr="002D0458">
        <w:rPr>
          <w:bCs/>
        </w:rPr>
        <w:fldChar w:fldCharType="separate"/>
      </w:r>
      <w:r>
        <w:rPr>
          <w:bCs/>
          <w:noProof/>
        </w:rPr>
        <w:t>120</w:t>
      </w:r>
      <w:r w:rsidRPr="002D0458">
        <w:rPr>
          <w:bCs/>
        </w:rPr>
        <w:fldChar w:fldCharType="end"/>
      </w:r>
      <w:r>
        <w:rPr>
          <w:bCs/>
        </w:rPr>
        <w:t>.1-120.5</w:t>
      </w:r>
      <w:r>
        <w:t>: Suicide attempt</w:t>
      </w:r>
      <w:r w:rsidRPr="00C5739E">
        <w:t xml:space="preserve"> </w:t>
      </w:r>
      <w:r>
        <w:t xml:space="preserve">among young people with disability aged 14-21 years, grouped </w:t>
      </w:r>
      <w:r w:rsidRPr="00C5739E">
        <w:t xml:space="preserve">by </w:t>
      </w:r>
      <w:r>
        <w:t>gender</w:t>
      </w:r>
      <w:r w:rsidRPr="00C5739E">
        <w:t xml:space="preserve"> (n = </w:t>
      </w:r>
      <w:r>
        <w:t>2373</w:t>
      </w:r>
      <w:r w:rsidRPr="00C5739E">
        <w:t>)</w:t>
      </w:r>
      <w:bookmarkEnd w:id="927"/>
      <w:bookmarkEnd w:id="928"/>
    </w:p>
    <w:p w14:paraId="2B49DDC4" w14:textId="77777777" w:rsidR="009D0006" w:rsidRPr="004B5CDE" w:rsidRDefault="009D0006" w:rsidP="003E1758">
      <w:pPr>
        <w:pStyle w:val="Tableheading"/>
        <w:rPr>
          <w:color w:val="auto"/>
        </w:rPr>
      </w:pPr>
      <w:r>
        <w:rPr>
          <w:color w:val="auto"/>
        </w:rPr>
        <w:t>Table 120.1 Cisgender woman</w:t>
      </w:r>
    </w:p>
    <w:tbl>
      <w:tblPr>
        <w:tblStyle w:val="RCTable"/>
        <w:tblW w:w="9864" w:type="dxa"/>
        <w:tblLayout w:type="fixed"/>
        <w:tblLook w:val="04A0" w:firstRow="1" w:lastRow="0" w:firstColumn="1" w:lastColumn="0" w:noHBand="0" w:noVBand="1"/>
      </w:tblPr>
      <w:tblGrid>
        <w:gridCol w:w="6746"/>
        <w:gridCol w:w="1559"/>
        <w:gridCol w:w="1559"/>
      </w:tblGrid>
      <w:tr w:rsidR="009D0006" w:rsidRPr="00BC3468" w14:paraId="0AF7F6D5" w14:textId="77777777" w:rsidTr="009F7B20">
        <w:trPr>
          <w:cnfStyle w:val="100000000000" w:firstRow="1" w:lastRow="0" w:firstColumn="0" w:lastColumn="0" w:oddVBand="0" w:evenVBand="0" w:oddHBand="0" w:evenHBand="0" w:firstRowFirstColumn="0" w:firstRowLastColumn="0" w:lastRowFirstColumn="0" w:lastRowLastColumn="0"/>
          <w:trHeight w:val="303"/>
        </w:trPr>
        <w:tc>
          <w:tcPr>
            <w:tcW w:w="6746" w:type="dxa"/>
            <w:noWrap/>
            <w:hideMark/>
          </w:tcPr>
          <w:p w14:paraId="4BCD61E6" w14:textId="77777777" w:rsidR="009D0006" w:rsidRPr="00BC3468" w:rsidRDefault="009D0006" w:rsidP="009F7B20">
            <w:pPr>
              <w:pStyle w:val="Tableheader"/>
            </w:pPr>
            <w:r>
              <w:t>Suicide attempt</w:t>
            </w:r>
          </w:p>
        </w:tc>
        <w:tc>
          <w:tcPr>
            <w:tcW w:w="1559" w:type="dxa"/>
            <w:noWrap/>
            <w:hideMark/>
          </w:tcPr>
          <w:p w14:paraId="21318927" w14:textId="77777777" w:rsidR="009D0006" w:rsidRPr="00F92DD7" w:rsidRDefault="009D0006" w:rsidP="009F7B20">
            <w:pPr>
              <w:pStyle w:val="Tableheader"/>
              <w:rPr>
                <w:bCs/>
              </w:rPr>
            </w:pPr>
            <w:r w:rsidRPr="00F92DD7">
              <w:rPr>
                <w:bCs/>
              </w:rPr>
              <w:t>n</w:t>
            </w:r>
          </w:p>
        </w:tc>
        <w:tc>
          <w:tcPr>
            <w:tcW w:w="1559" w:type="dxa"/>
            <w:noWrap/>
            <w:hideMark/>
          </w:tcPr>
          <w:p w14:paraId="0467536C" w14:textId="77777777" w:rsidR="009D0006" w:rsidRPr="00F92DD7" w:rsidRDefault="009D0006" w:rsidP="009F7B20">
            <w:pPr>
              <w:pStyle w:val="Tableheader"/>
              <w:rPr>
                <w:bCs/>
              </w:rPr>
            </w:pPr>
            <w:r w:rsidRPr="00F92DD7">
              <w:rPr>
                <w:bCs/>
              </w:rPr>
              <w:t>%</w:t>
            </w:r>
          </w:p>
        </w:tc>
      </w:tr>
      <w:tr w:rsidR="009D0006" w:rsidRPr="00BC3468" w14:paraId="7C28754B" w14:textId="77777777" w:rsidTr="009F7B20">
        <w:trPr>
          <w:cnfStyle w:val="000000100000" w:firstRow="0" w:lastRow="0" w:firstColumn="0" w:lastColumn="0" w:oddVBand="0" w:evenVBand="0" w:oddHBand="1" w:evenHBand="0" w:firstRowFirstColumn="0" w:firstRowLastColumn="0" w:lastRowFirstColumn="0" w:lastRowLastColumn="0"/>
          <w:trHeight w:val="303"/>
        </w:trPr>
        <w:tc>
          <w:tcPr>
            <w:tcW w:w="6746" w:type="dxa"/>
            <w:noWrap/>
            <w:hideMark/>
          </w:tcPr>
          <w:p w14:paraId="65C4FD61" w14:textId="77777777" w:rsidR="009D0006" w:rsidRPr="00BC3468" w:rsidRDefault="009D0006" w:rsidP="009F7B20">
            <w:pPr>
              <w:pStyle w:val="Tabletext"/>
            </w:pPr>
            <w:r>
              <w:rPr>
                <w:lang w:val="en-US"/>
              </w:rPr>
              <w:t>Past 12 months</w:t>
            </w:r>
          </w:p>
        </w:tc>
        <w:tc>
          <w:tcPr>
            <w:tcW w:w="1559" w:type="dxa"/>
            <w:noWrap/>
          </w:tcPr>
          <w:p w14:paraId="51394E53" w14:textId="77777777" w:rsidR="009D0006" w:rsidRPr="00BC3468" w:rsidRDefault="009D0006" w:rsidP="009F7B20">
            <w:pPr>
              <w:pStyle w:val="Tabletext"/>
            </w:pPr>
            <w:r>
              <w:t>170</w:t>
            </w:r>
          </w:p>
        </w:tc>
        <w:tc>
          <w:tcPr>
            <w:tcW w:w="1559" w:type="dxa"/>
            <w:noWrap/>
          </w:tcPr>
          <w:p w14:paraId="1E7EA90F" w14:textId="77777777" w:rsidR="009D0006" w:rsidRPr="00BC3468" w:rsidRDefault="009D0006" w:rsidP="009F7B20">
            <w:pPr>
              <w:pStyle w:val="Tabletext"/>
            </w:pPr>
            <w:r>
              <w:t>15.1</w:t>
            </w:r>
          </w:p>
        </w:tc>
      </w:tr>
      <w:tr w:rsidR="009D0006" w:rsidRPr="00BC3468" w14:paraId="679B0E9D" w14:textId="77777777" w:rsidTr="009F7B20">
        <w:trPr>
          <w:cnfStyle w:val="000000010000" w:firstRow="0" w:lastRow="0" w:firstColumn="0" w:lastColumn="0" w:oddVBand="0" w:evenVBand="0" w:oddHBand="0" w:evenHBand="1" w:firstRowFirstColumn="0" w:firstRowLastColumn="0" w:lastRowFirstColumn="0" w:lastRowLastColumn="0"/>
          <w:trHeight w:val="303"/>
        </w:trPr>
        <w:tc>
          <w:tcPr>
            <w:tcW w:w="6746" w:type="dxa"/>
            <w:noWrap/>
            <w:hideMark/>
          </w:tcPr>
          <w:p w14:paraId="3728BE13" w14:textId="77777777" w:rsidR="009D0006" w:rsidRPr="00BC3468" w:rsidRDefault="009D0006" w:rsidP="009F7B20">
            <w:pPr>
              <w:pStyle w:val="Tabletext"/>
            </w:pPr>
            <w:r>
              <w:rPr>
                <w:lang w:val="en-US"/>
              </w:rPr>
              <w:t>Ever</w:t>
            </w:r>
          </w:p>
        </w:tc>
        <w:tc>
          <w:tcPr>
            <w:tcW w:w="1559" w:type="dxa"/>
            <w:noWrap/>
          </w:tcPr>
          <w:p w14:paraId="3110B43F" w14:textId="77777777" w:rsidR="009D0006" w:rsidRPr="00BC3468" w:rsidRDefault="009D0006" w:rsidP="009F7B20">
            <w:pPr>
              <w:pStyle w:val="Tabletext"/>
            </w:pPr>
            <w:r>
              <w:t>406</w:t>
            </w:r>
          </w:p>
        </w:tc>
        <w:tc>
          <w:tcPr>
            <w:tcW w:w="1559" w:type="dxa"/>
            <w:noWrap/>
          </w:tcPr>
          <w:p w14:paraId="68DFAA74" w14:textId="77777777" w:rsidR="009D0006" w:rsidRPr="00BC3468" w:rsidRDefault="009D0006" w:rsidP="009F7B20">
            <w:pPr>
              <w:pStyle w:val="Tabletext"/>
            </w:pPr>
            <w:r>
              <w:t>36.1</w:t>
            </w:r>
          </w:p>
        </w:tc>
      </w:tr>
    </w:tbl>
    <w:p w14:paraId="2F41D288" w14:textId="77777777" w:rsidR="00650B64" w:rsidRDefault="00650B64">
      <w:pPr>
        <w:spacing w:before="0"/>
        <w:rPr>
          <w:rFonts w:eastAsiaTheme="majorEastAsia" w:cstheme="majorBidi"/>
          <w:b/>
          <w:color w:val="000000" w:themeColor="text1"/>
          <w:lang w:val="en-GB"/>
        </w:rPr>
      </w:pPr>
      <w:r>
        <w:rPr>
          <w:lang w:val="en-GB"/>
        </w:rPr>
        <w:br w:type="page"/>
      </w:r>
    </w:p>
    <w:p w14:paraId="428C7B25" w14:textId="29C2BFB9" w:rsidR="009D0006" w:rsidRDefault="009D0006" w:rsidP="0072552A">
      <w:pPr>
        <w:pStyle w:val="Tableheading"/>
        <w:rPr>
          <w:lang w:val="en-GB"/>
        </w:rPr>
      </w:pPr>
      <w:r>
        <w:rPr>
          <w:lang w:val="en-GB"/>
        </w:rPr>
        <w:t>Table 120.</w:t>
      </w:r>
      <w:r>
        <w:rPr>
          <w:lang w:val="en-GB"/>
        </w:rPr>
        <w:lastRenderedPageBreak/>
        <w:t>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EA56F9B" w14:textId="77777777" w:rsidTr="0072552A">
        <w:trPr>
          <w:cnfStyle w:val="100000000000" w:firstRow="1" w:lastRow="0" w:firstColumn="0" w:lastColumn="0" w:oddVBand="0" w:evenVBand="0" w:oddHBand="0" w:evenHBand="0" w:firstRowFirstColumn="0" w:firstRowLastColumn="0" w:lastRowFirstColumn="0" w:lastRowLastColumn="0"/>
          <w:trHeight w:val="296"/>
        </w:trPr>
        <w:tc>
          <w:tcPr>
            <w:tcW w:w="6746" w:type="dxa"/>
            <w:noWrap/>
            <w:hideMark/>
          </w:tcPr>
          <w:p w14:paraId="225D19AD" w14:textId="77777777" w:rsidR="009D0006" w:rsidRPr="00BC3468" w:rsidRDefault="009D0006" w:rsidP="0072552A">
            <w:pPr>
              <w:pStyle w:val="Tableheader"/>
            </w:pPr>
            <w:r>
              <w:t>Suicide attempt</w:t>
            </w:r>
          </w:p>
        </w:tc>
        <w:tc>
          <w:tcPr>
            <w:tcW w:w="1559" w:type="dxa"/>
            <w:noWrap/>
            <w:hideMark/>
          </w:tcPr>
          <w:p w14:paraId="68AED684" w14:textId="77777777" w:rsidR="009D0006" w:rsidRPr="00F92DD7" w:rsidRDefault="009D0006" w:rsidP="0072552A">
            <w:pPr>
              <w:pStyle w:val="Tableheader"/>
              <w:rPr>
                <w:bCs/>
              </w:rPr>
            </w:pPr>
            <w:r w:rsidRPr="00F92DD7">
              <w:rPr>
                <w:bCs/>
              </w:rPr>
              <w:t>n</w:t>
            </w:r>
          </w:p>
        </w:tc>
        <w:tc>
          <w:tcPr>
            <w:tcW w:w="1559" w:type="dxa"/>
            <w:noWrap/>
            <w:hideMark/>
          </w:tcPr>
          <w:p w14:paraId="16686989" w14:textId="77777777" w:rsidR="009D0006" w:rsidRPr="00F92DD7" w:rsidRDefault="009D0006" w:rsidP="0072552A">
            <w:pPr>
              <w:pStyle w:val="Tableheader"/>
              <w:rPr>
                <w:bCs/>
              </w:rPr>
            </w:pPr>
            <w:r w:rsidRPr="00F92DD7">
              <w:rPr>
                <w:bCs/>
              </w:rPr>
              <w:t>%</w:t>
            </w:r>
          </w:p>
        </w:tc>
      </w:tr>
      <w:tr w:rsidR="009D0006" w:rsidRPr="00BC3468" w14:paraId="2D437198" w14:textId="77777777" w:rsidTr="0072552A">
        <w:trPr>
          <w:cnfStyle w:val="000000100000" w:firstRow="0" w:lastRow="0" w:firstColumn="0" w:lastColumn="0" w:oddVBand="0" w:evenVBand="0" w:oddHBand="1" w:evenHBand="0" w:firstRowFirstColumn="0" w:firstRowLastColumn="0" w:lastRowFirstColumn="0" w:lastRowLastColumn="0"/>
          <w:trHeight w:val="296"/>
        </w:trPr>
        <w:tc>
          <w:tcPr>
            <w:tcW w:w="6746" w:type="dxa"/>
            <w:noWrap/>
            <w:hideMark/>
          </w:tcPr>
          <w:p w14:paraId="6BB7680B" w14:textId="77777777" w:rsidR="009D0006" w:rsidRPr="00BC3468" w:rsidRDefault="009D0006" w:rsidP="0072552A">
            <w:pPr>
              <w:pStyle w:val="Tabletext"/>
            </w:pPr>
            <w:r>
              <w:rPr>
                <w:lang w:val="en-US"/>
              </w:rPr>
              <w:t>Past 12 months</w:t>
            </w:r>
          </w:p>
        </w:tc>
        <w:tc>
          <w:tcPr>
            <w:tcW w:w="1559" w:type="dxa"/>
            <w:noWrap/>
          </w:tcPr>
          <w:p w14:paraId="761F6CEC" w14:textId="77777777" w:rsidR="009D0006" w:rsidRPr="00BC3468" w:rsidRDefault="009D0006" w:rsidP="0072552A">
            <w:pPr>
              <w:pStyle w:val="Tabletext"/>
            </w:pPr>
            <w:r>
              <w:t>42</w:t>
            </w:r>
          </w:p>
        </w:tc>
        <w:tc>
          <w:tcPr>
            <w:tcW w:w="1559" w:type="dxa"/>
            <w:noWrap/>
          </w:tcPr>
          <w:p w14:paraId="2EA28E8D" w14:textId="77777777" w:rsidR="009D0006" w:rsidRPr="00BC3468" w:rsidRDefault="009D0006" w:rsidP="0072552A">
            <w:pPr>
              <w:pStyle w:val="Tabletext"/>
            </w:pPr>
            <w:r>
              <w:t>14.0</w:t>
            </w:r>
          </w:p>
        </w:tc>
      </w:tr>
      <w:tr w:rsidR="009D0006" w:rsidRPr="00BC3468" w14:paraId="0DF9D5C9" w14:textId="77777777" w:rsidTr="0072552A">
        <w:trPr>
          <w:cnfStyle w:val="000000010000" w:firstRow="0" w:lastRow="0" w:firstColumn="0" w:lastColumn="0" w:oddVBand="0" w:evenVBand="0" w:oddHBand="0" w:evenHBand="1" w:firstRowFirstColumn="0" w:firstRowLastColumn="0" w:lastRowFirstColumn="0" w:lastRowLastColumn="0"/>
          <w:trHeight w:val="296"/>
        </w:trPr>
        <w:tc>
          <w:tcPr>
            <w:tcW w:w="6746" w:type="dxa"/>
            <w:noWrap/>
            <w:hideMark/>
          </w:tcPr>
          <w:p w14:paraId="0F699ACE" w14:textId="77777777" w:rsidR="009D0006" w:rsidRPr="00BC3468" w:rsidRDefault="009D0006" w:rsidP="0072552A">
            <w:pPr>
              <w:pStyle w:val="Tabletext"/>
            </w:pPr>
            <w:r>
              <w:rPr>
                <w:lang w:val="en-US"/>
              </w:rPr>
              <w:t>Ever</w:t>
            </w:r>
          </w:p>
        </w:tc>
        <w:tc>
          <w:tcPr>
            <w:tcW w:w="1559" w:type="dxa"/>
            <w:noWrap/>
          </w:tcPr>
          <w:p w14:paraId="6164885B" w14:textId="77777777" w:rsidR="009D0006" w:rsidRPr="00BC3468" w:rsidRDefault="009D0006" w:rsidP="0072552A">
            <w:pPr>
              <w:pStyle w:val="Tabletext"/>
            </w:pPr>
            <w:r>
              <w:t>94</w:t>
            </w:r>
          </w:p>
        </w:tc>
        <w:tc>
          <w:tcPr>
            <w:tcW w:w="1559" w:type="dxa"/>
            <w:noWrap/>
          </w:tcPr>
          <w:p w14:paraId="68CFFBC0" w14:textId="77777777" w:rsidR="009D0006" w:rsidRPr="00BC3468" w:rsidRDefault="009D0006" w:rsidP="0072552A">
            <w:pPr>
              <w:pStyle w:val="Tabletext"/>
            </w:pPr>
            <w:r>
              <w:t>31.3</w:t>
            </w:r>
          </w:p>
        </w:tc>
      </w:tr>
    </w:tbl>
    <w:p w14:paraId="448B3C1D" w14:textId="77777777" w:rsidR="009D0006" w:rsidRDefault="009D0006" w:rsidP="0072552A">
      <w:pPr>
        <w:pStyle w:val="Tableheading"/>
        <w:rPr>
          <w:lang w:val="en-GB"/>
        </w:rPr>
      </w:pPr>
      <w:r>
        <w:rPr>
          <w:lang w:val="en-GB"/>
        </w:rPr>
        <w:t>Table 120.3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95231D1" w14:textId="77777777" w:rsidTr="0072552A">
        <w:trPr>
          <w:cnfStyle w:val="100000000000" w:firstRow="1" w:lastRow="0" w:firstColumn="0" w:lastColumn="0" w:oddVBand="0" w:evenVBand="0" w:oddHBand="0" w:evenHBand="0" w:firstRowFirstColumn="0" w:firstRowLastColumn="0" w:lastRowFirstColumn="0" w:lastRowLastColumn="0"/>
          <w:trHeight w:val="317"/>
        </w:trPr>
        <w:tc>
          <w:tcPr>
            <w:tcW w:w="6746" w:type="dxa"/>
            <w:noWrap/>
            <w:hideMark/>
          </w:tcPr>
          <w:p w14:paraId="2C8DF1F0" w14:textId="77777777" w:rsidR="009D0006" w:rsidRPr="00BC3468" w:rsidRDefault="009D0006" w:rsidP="0072552A">
            <w:pPr>
              <w:pStyle w:val="Tableheader"/>
            </w:pPr>
            <w:r>
              <w:t>Suicide attempt</w:t>
            </w:r>
          </w:p>
        </w:tc>
        <w:tc>
          <w:tcPr>
            <w:tcW w:w="1559" w:type="dxa"/>
          </w:tcPr>
          <w:p w14:paraId="5C875003" w14:textId="77777777" w:rsidR="009D0006" w:rsidRPr="00F92DD7" w:rsidRDefault="009D0006" w:rsidP="0072552A">
            <w:pPr>
              <w:pStyle w:val="Tableheader"/>
              <w:rPr>
                <w:bCs/>
              </w:rPr>
            </w:pPr>
            <w:r w:rsidRPr="00F92DD7">
              <w:rPr>
                <w:bCs/>
              </w:rPr>
              <w:t>n</w:t>
            </w:r>
          </w:p>
        </w:tc>
        <w:tc>
          <w:tcPr>
            <w:tcW w:w="1559" w:type="dxa"/>
          </w:tcPr>
          <w:p w14:paraId="4E157C66" w14:textId="77777777" w:rsidR="009D0006" w:rsidRPr="00F92DD7" w:rsidRDefault="009D0006" w:rsidP="0072552A">
            <w:pPr>
              <w:pStyle w:val="Tableheader"/>
              <w:rPr>
                <w:bCs/>
              </w:rPr>
            </w:pPr>
            <w:r w:rsidRPr="00F92DD7">
              <w:rPr>
                <w:bCs/>
              </w:rPr>
              <w:t>%</w:t>
            </w:r>
          </w:p>
        </w:tc>
      </w:tr>
      <w:tr w:rsidR="009D0006" w:rsidRPr="00BC3468" w14:paraId="36EB8A0C" w14:textId="77777777" w:rsidTr="0072552A">
        <w:trPr>
          <w:cnfStyle w:val="000000100000" w:firstRow="0" w:lastRow="0" w:firstColumn="0" w:lastColumn="0" w:oddVBand="0" w:evenVBand="0" w:oddHBand="1" w:evenHBand="0" w:firstRowFirstColumn="0" w:firstRowLastColumn="0" w:lastRowFirstColumn="0" w:lastRowLastColumn="0"/>
          <w:trHeight w:val="317"/>
        </w:trPr>
        <w:tc>
          <w:tcPr>
            <w:tcW w:w="6746" w:type="dxa"/>
            <w:noWrap/>
            <w:hideMark/>
          </w:tcPr>
          <w:p w14:paraId="514DF3D2" w14:textId="77777777" w:rsidR="009D0006" w:rsidRPr="00BC3468" w:rsidRDefault="009D0006" w:rsidP="0072552A">
            <w:pPr>
              <w:pStyle w:val="Tabletext"/>
            </w:pPr>
            <w:r>
              <w:rPr>
                <w:lang w:val="en-US"/>
              </w:rPr>
              <w:t>Past 12 months</w:t>
            </w:r>
          </w:p>
        </w:tc>
        <w:tc>
          <w:tcPr>
            <w:tcW w:w="1559" w:type="dxa"/>
          </w:tcPr>
          <w:p w14:paraId="368F9169" w14:textId="77777777" w:rsidR="009D0006" w:rsidRPr="00BC3468" w:rsidRDefault="009D0006" w:rsidP="0072552A">
            <w:pPr>
              <w:pStyle w:val="Tabletext"/>
            </w:pPr>
            <w:r>
              <w:t>11</w:t>
            </w:r>
          </w:p>
        </w:tc>
        <w:tc>
          <w:tcPr>
            <w:tcW w:w="1559" w:type="dxa"/>
          </w:tcPr>
          <w:p w14:paraId="3CCA45FB" w14:textId="77777777" w:rsidR="009D0006" w:rsidRPr="00BC3468" w:rsidRDefault="009D0006" w:rsidP="0072552A">
            <w:pPr>
              <w:pStyle w:val="Tabletext"/>
            </w:pPr>
            <w:r>
              <w:t>23.9</w:t>
            </w:r>
          </w:p>
        </w:tc>
      </w:tr>
      <w:tr w:rsidR="009D0006" w:rsidRPr="00BC3468" w14:paraId="010F7C90" w14:textId="77777777" w:rsidTr="0072552A">
        <w:trPr>
          <w:cnfStyle w:val="000000010000" w:firstRow="0" w:lastRow="0" w:firstColumn="0" w:lastColumn="0" w:oddVBand="0" w:evenVBand="0" w:oddHBand="0" w:evenHBand="1" w:firstRowFirstColumn="0" w:firstRowLastColumn="0" w:lastRowFirstColumn="0" w:lastRowLastColumn="0"/>
          <w:trHeight w:val="317"/>
        </w:trPr>
        <w:tc>
          <w:tcPr>
            <w:tcW w:w="6746" w:type="dxa"/>
            <w:noWrap/>
            <w:hideMark/>
          </w:tcPr>
          <w:p w14:paraId="051BBC5D" w14:textId="77777777" w:rsidR="009D0006" w:rsidRPr="00BC3468" w:rsidRDefault="009D0006" w:rsidP="0072552A">
            <w:pPr>
              <w:pStyle w:val="Tabletext"/>
            </w:pPr>
            <w:r>
              <w:rPr>
                <w:lang w:val="en-US"/>
              </w:rPr>
              <w:t>Ever</w:t>
            </w:r>
          </w:p>
        </w:tc>
        <w:tc>
          <w:tcPr>
            <w:tcW w:w="1559" w:type="dxa"/>
          </w:tcPr>
          <w:p w14:paraId="1415F2A3" w14:textId="77777777" w:rsidR="009D0006" w:rsidRPr="00BC3468" w:rsidRDefault="009D0006" w:rsidP="0072552A">
            <w:pPr>
              <w:pStyle w:val="Tabletext"/>
            </w:pPr>
            <w:r>
              <w:t>26</w:t>
            </w:r>
          </w:p>
        </w:tc>
        <w:tc>
          <w:tcPr>
            <w:tcW w:w="1559" w:type="dxa"/>
          </w:tcPr>
          <w:p w14:paraId="290A0932" w14:textId="77777777" w:rsidR="009D0006" w:rsidRPr="00BC3468" w:rsidRDefault="009D0006" w:rsidP="0072552A">
            <w:pPr>
              <w:pStyle w:val="Tabletext"/>
            </w:pPr>
            <w:r>
              <w:t>56.5</w:t>
            </w:r>
          </w:p>
        </w:tc>
      </w:tr>
    </w:tbl>
    <w:p w14:paraId="4A2A5908" w14:textId="77777777" w:rsidR="009D0006" w:rsidRDefault="009D0006" w:rsidP="0072552A">
      <w:pPr>
        <w:pStyle w:val="Tableheading"/>
        <w:rPr>
          <w:lang w:val="en-GB"/>
        </w:rPr>
      </w:pPr>
      <w:r>
        <w:rPr>
          <w:lang w:val="en-GB"/>
        </w:rPr>
        <w:t>Table 120.4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AE929CA" w14:textId="77777777" w:rsidTr="0072552A">
        <w:trPr>
          <w:cnfStyle w:val="100000000000" w:firstRow="1" w:lastRow="0" w:firstColumn="0" w:lastColumn="0" w:oddVBand="0" w:evenVBand="0" w:oddHBand="0" w:evenHBand="0" w:firstRowFirstColumn="0" w:firstRowLastColumn="0" w:lastRowFirstColumn="0" w:lastRowLastColumn="0"/>
          <w:trHeight w:val="319"/>
        </w:trPr>
        <w:tc>
          <w:tcPr>
            <w:tcW w:w="6746" w:type="dxa"/>
            <w:noWrap/>
            <w:hideMark/>
          </w:tcPr>
          <w:p w14:paraId="55A67501" w14:textId="77777777" w:rsidR="009D0006" w:rsidRPr="00BC3468" w:rsidRDefault="009D0006" w:rsidP="0072552A">
            <w:pPr>
              <w:pStyle w:val="Tableheader"/>
            </w:pPr>
            <w:r>
              <w:t>Suicide attempt</w:t>
            </w:r>
          </w:p>
        </w:tc>
        <w:tc>
          <w:tcPr>
            <w:tcW w:w="1559" w:type="dxa"/>
            <w:noWrap/>
            <w:hideMark/>
          </w:tcPr>
          <w:p w14:paraId="6DE37849" w14:textId="77777777" w:rsidR="009D0006" w:rsidRPr="00F92DD7" w:rsidRDefault="009D0006" w:rsidP="0072552A">
            <w:pPr>
              <w:pStyle w:val="Tableheader"/>
              <w:rPr>
                <w:bCs/>
              </w:rPr>
            </w:pPr>
            <w:r w:rsidRPr="00F92DD7">
              <w:rPr>
                <w:bCs/>
              </w:rPr>
              <w:t>n</w:t>
            </w:r>
          </w:p>
        </w:tc>
        <w:tc>
          <w:tcPr>
            <w:tcW w:w="1559" w:type="dxa"/>
            <w:noWrap/>
            <w:hideMark/>
          </w:tcPr>
          <w:p w14:paraId="4A8A68F4" w14:textId="77777777" w:rsidR="009D0006" w:rsidRPr="00F92DD7" w:rsidRDefault="009D0006" w:rsidP="0072552A">
            <w:pPr>
              <w:pStyle w:val="Tableheader"/>
              <w:rPr>
                <w:bCs/>
              </w:rPr>
            </w:pPr>
            <w:r w:rsidRPr="00F92DD7">
              <w:rPr>
                <w:bCs/>
              </w:rPr>
              <w:t>%</w:t>
            </w:r>
          </w:p>
        </w:tc>
      </w:tr>
      <w:tr w:rsidR="009D0006" w:rsidRPr="00BC3468" w14:paraId="20046B51" w14:textId="77777777" w:rsidTr="0072552A">
        <w:trPr>
          <w:cnfStyle w:val="000000100000" w:firstRow="0" w:lastRow="0" w:firstColumn="0" w:lastColumn="0" w:oddVBand="0" w:evenVBand="0" w:oddHBand="1" w:evenHBand="0" w:firstRowFirstColumn="0" w:firstRowLastColumn="0" w:lastRowFirstColumn="0" w:lastRowLastColumn="0"/>
          <w:trHeight w:val="319"/>
        </w:trPr>
        <w:tc>
          <w:tcPr>
            <w:tcW w:w="6746" w:type="dxa"/>
            <w:noWrap/>
            <w:hideMark/>
          </w:tcPr>
          <w:p w14:paraId="1DF4F95C" w14:textId="77777777" w:rsidR="009D0006" w:rsidRPr="00BC3468" w:rsidRDefault="009D0006" w:rsidP="0072552A">
            <w:pPr>
              <w:pStyle w:val="Tabletext"/>
            </w:pPr>
            <w:r>
              <w:rPr>
                <w:lang w:val="en-US"/>
              </w:rPr>
              <w:t>Past 12 months</w:t>
            </w:r>
          </w:p>
        </w:tc>
        <w:tc>
          <w:tcPr>
            <w:tcW w:w="1559" w:type="dxa"/>
            <w:noWrap/>
          </w:tcPr>
          <w:p w14:paraId="5A0F0321" w14:textId="77777777" w:rsidR="009D0006" w:rsidRPr="00BC3468" w:rsidRDefault="009D0006" w:rsidP="0072552A">
            <w:pPr>
              <w:pStyle w:val="Tabletext"/>
            </w:pPr>
            <w:r>
              <w:t>40</w:t>
            </w:r>
          </w:p>
        </w:tc>
        <w:tc>
          <w:tcPr>
            <w:tcW w:w="1559" w:type="dxa"/>
            <w:noWrap/>
          </w:tcPr>
          <w:p w14:paraId="0CF7F87C" w14:textId="77777777" w:rsidR="009D0006" w:rsidRPr="00BC3468" w:rsidRDefault="009D0006" w:rsidP="0072552A">
            <w:pPr>
              <w:pStyle w:val="Tabletext"/>
            </w:pPr>
            <w:r>
              <w:t>16.7</w:t>
            </w:r>
          </w:p>
        </w:tc>
      </w:tr>
      <w:tr w:rsidR="009D0006" w:rsidRPr="00BC3468" w14:paraId="24F62B3C" w14:textId="77777777" w:rsidTr="0072552A">
        <w:trPr>
          <w:cnfStyle w:val="000000010000" w:firstRow="0" w:lastRow="0" w:firstColumn="0" w:lastColumn="0" w:oddVBand="0" w:evenVBand="0" w:oddHBand="0" w:evenHBand="1" w:firstRowFirstColumn="0" w:firstRowLastColumn="0" w:lastRowFirstColumn="0" w:lastRowLastColumn="0"/>
          <w:trHeight w:val="319"/>
        </w:trPr>
        <w:tc>
          <w:tcPr>
            <w:tcW w:w="6746" w:type="dxa"/>
            <w:noWrap/>
            <w:hideMark/>
          </w:tcPr>
          <w:p w14:paraId="6495B3BA" w14:textId="77777777" w:rsidR="009D0006" w:rsidRPr="00BC3468" w:rsidRDefault="009D0006" w:rsidP="0072552A">
            <w:pPr>
              <w:pStyle w:val="Tabletext"/>
            </w:pPr>
            <w:r>
              <w:rPr>
                <w:lang w:val="en-US"/>
              </w:rPr>
              <w:t>Ever</w:t>
            </w:r>
          </w:p>
        </w:tc>
        <w:tc>
          <w:tcPr>
            <w:tcW w:w="1559" w:type="dxa"/>
            <w:noWrap/>
          </w:tcPr>
          <w:p w14:paraId="5E1CD457" w14:textId="77777777" w:rsidR="009D0006" w:rsidRPr="00BC3468" w:rsidRDefault="009D0006" w:rsidP="0072552A">
            <w:pPr>
              <w:pStyle w:val="Tabletext"/>
            </w:pPr>
            <w:r>
              <w:t>130</w:t>
            </w:r>
          </w:p>
        </w:tc>
        <w:tc>
          <w:tcPr>
            <w:tcW w:w="1559" w:type="dxa"/>
            <w:noWrap/>
          </w:tcPr>
          <w:p w14:paraId="130AEB6B" w14:textId="77777777" w:rsidR="009D0006" w:rsidRPr="00BC3468" w:rsidRDefault="009D0006" w:rsidP="0072552A">
            <w:pPr>
              <w:pStyle w:val="Tabletext"/>
            </w:pPr>
            <w:r>
              <w:t>54.4</w:t>
            </w:r>
          </w:p>
        </w:tc>
      </w:tr>
    </w:tbl>
    <w:p w14:paraId="12E55B97" w14:textId="77777777" w:rsidR="009D0006" w:rsidRDefault="009D0006" w:rsidP="0072552A">
      <w:pPr>
        <w:pStyle w:val="Tableheading"/>
        <w:rPr>
          <w:lang w:val="en-GB"/>
        </w:rPr>
      </w:pPr>
      <w:r>
        <w:rPr>
          <w:lang w:val="en-GB"/>
        </w:rPr>
        <w:t>Table 120.5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5760A90" w14:textId="77777777" w:rsidTr="0072552A">
        <w:trPr>
          <w:cnfStyle w:val="100000000000" w:firstRow="1" w:lastRow="0" w:firstColumn="0" w:lastColumn="0" w:oddVBand="0" w:evenVBand="0" w:oddHBand="0" w:evenHBand="0" w:firstRowFirstColumn="0" w:firstRowLastColumn="0" w:lastRowFirstColumn="0" w:lastRowLastColumn="0"/>
          <w:trHeight w:val="246"/>
        </w:trPr>
        <w:tc>
          <w:tcPr>
            <w:tcW w:w="6746" w:type="dxa"/>
            <w:noWrap/>
            <w:hideMark/>
          </w:tcPr>
          <w:p w14:paraId="03F76B94" w14:textId="77777777" w:rsidR="009D0006" w:rsidRPr="00BC3468" w:rsidRDefault="009D0006" w:rsidP="0072552A">
            <w:pPr>
              <w:pStyle w:val="Tableheader"/>
            </w:pPr>
            <w:r>
              <w:t>Suicide attempt</w:t>
            </w:r>
          </w:p>
        </w:tc>
        <w:tc>
          <w:tcPr>
            <w:tcW w:w="1559" w:type="dxa"/>
            <w:noWrap/>
            <w:hideMark/>
          </w:tcPr>
          <w:p w14:paraId="45E6B753" w14:textId="77777777" w:rsidR="009D0006" w:rsidRPr="00F92DD7" w:rsidRDefault="009D0006" w:rsidP="0072552A">
            <w:pPr>
              <w:pStyle w:val="Tableheader"/>
              <w:rPr>
                <w:bCs/>
              </w:rPr>
            </w:pPr>
            <w:r w:rsidRPr="00F92DD7">
              <w:rPr>
                <w:bCs/>
              </w:rPr>
              <w:t>n</w:t>
            </w:r>
          </w:p>
        </w:tc>
        <w:tc>
          <w:tcPr>
            <w:tcW w:w="1559" w:type="dxa"/>
            <w:noWrap/>
            <w:hideMark/>
          </w:tcPr>
          <w:p w14:paraId="3F13CB96" w14:textId="77777777" w:rsidR="009D0006" w:rsidRPr="00F92DD7" w:rsidRDefault="009D0006" w:rsidP="0072552A">
            <w:pPr>
              <w:pStyle w:val="Tableheader"/>
              <w:rPr>
                <w:bCs/>
              </w:rPr>
            </w:pPr>
            <w:r w:rsidRPr="00F92DD7">
              <w:rPr>
                <w:bCs/>
              </w:rPr>
              <w:t>%</w:t>
            </w:r>
          </w:p>
        </w:tc>
      </w:tr>
      <w:tr w:rsidR="009D0006" w:rsidRPr="00BC3468" w14:paraId="7B6545CF" w14:textId="77777777" w:rsidTr="0072552A">
        <w:trPr>
          <w:cnfStyle w:val="000000100000" w:firstRow="0" w:lastRow="0" w:firstColumn="0" w:lastColumn="0" w:oddVBand="0" w:evenVBand="0" w:oddHBand="1" w:evenHBand="0" w:firstRowFirstColumn="0" w:firstRowLastColumn="0" w:lastRowFirstColumn="0" w:lastRowLastColumn="0"/>
          <w:trHeight w:val="246"/>
        </w:trPr>
        <w:tc>
          <w:tcPr>
            <w:tcW w:w="6746" w:type="dxa"/>
            <w:noWrap/>
            <w:hideMark/>
          </w:tcPr>
          <w:p w14:paraId="4C8024AE" w14:textId="77777777" w:rsidR="009D0006" w:rsidRPr="00BC3468" w:rsidRDefault="009D0006" w:rsidP="0072552A">
            <w:pPr>
              <w:pStyle w:val="Tabletext"/>
            </w:pPr>
            <w:r>
              <w:rPr>
                <w:lang w:val="en-US"/>
              </w:rPr>
              <w:t>Past 12 months</w:t>
            </w:r>
          </w:p>
        </w:tc>
        <w:tc>
          <w:tcPr>
            <w:tcW w:w="1559" w:type="dxa"/>
            <w:noWrap/>
          </w:tcPr>
          <w:p w14:paraId="6B0C167A" w14:textId="77777777" w:rsidR="009D0006" w:rsidRPr="00BC3468" w:rsidRDefault="009D0006" w:rsidP="0072552A">
            <w:pPr>
              <w:pStyle w:val="Tabletext"/>
            </w:pPr>
            <w:r>
              <w:t>106</w:t>
            </w:r>
          </w:p>
        </w:tc>
        <w:tc>
          <w:tcPr>
            <w:tcW w:w="1559" w:type="dxa"/>
            <w:noWrap/>
          </w:tcPr>
          <w:p w14:paraId="49C73C68" w14:textId="77777777" w:rsidR="009D0006" w:rsidRPr="00BC3468" w:rsidRDefault="009D0006" w:rsidP="0072552A">
            <w:pPr>
              <w:pStyle w:val="Tabletext"/>
            </w:pPr>
            <w:r>
              <w:t>16.0</w:t>
            </w:r>
          </w:p>
        </w:tc>
      </w:tr>
      <w:tr w:rsidR="009D0006" w:rsidRPr="00BC3468" w14:paraId="26591258" w14:textId="77777777" w:rsidTr="0072552A">
        <w:trPr>
          <w:cnfStyle w:val="000000010000" w:firstRow="0" w:lastRow="0" w:firstColumn="0" w:lastColumn="0" w:oddVBand="0" w:evenVBand="0" w:oddHBand="0" w:evenHBand="1" w:firstRowFirstColumn="0" w:firstRowLastColumn="0" w:lastRowFirstColumn="0" w:lastRowLastColumn="0"/>
          <w:trHeight w:val="246"/>
        </w:trPr>
        <w:tc>
          <w:tcPr>
            <w:tcW w:w="6746" w:type="dxa"/>
            <w:noWrap/>
            <w:hideMark/>
          </w:tcPr>
          <w:p w14:paraId="773402D8" w14:textId="77777777" w:rsidR="009D0006" w:rsidRPr="00BC3468" w:rsidRDefault="009D0006" w:rsidP="0072552A">
            <w:pPr>
              <w:pStyle w:val="Tabletext"/>
            </w:pPr>
            <w:r>
              <w:rPr>
                <w:lang w:val="en-US"/>
              </w:rPr>
              <w:t>Ever</w:t>
            </w:r>
          </w:p>
        </w:tc>
        <w:tc>
          <w:tcPr>
            <w:tcW w:w="1559" w:type="dxa"/>
            <w:noWrap/>
          </w:tcPr>
          <w:p w14:paraId="215E00FF" w14:textId="77777777" w:rsidR="009D0006" w:rsidRPr="00BC3468" w:rsidRDefault="009D0006" w:rsidP="0072552A">
            <w:pPr>
              <w:pStyle w:val="Tabletext"/>
            </w:pPr>
            <w:r>
              <w:t>281</w:t>
            </w:r>
          </w:p>
        </w:tc>
        <w:tc>
          <w:tcPr>
            <w:tcW w:w="1559" w:type="dxa"/>
            <w:noWrap/>
          </w:tcPr>
          <w:p w14:paraId="2E58F919" w14:textId="77777777" w:rsidR="009D0006" w:rsidRPr="00BC3468" w:rsidRDefault="009D0006" w:rsidP="0072552A">
            <w:pPr>
              <w:pStyle w:val="Tabletext"/>
            </w:pPr>
            <w:r>
              <w:t>42.4</w:t>
            </w:r>
          </w:p>
        </w:tc>
      </w:tr>
    </w:tbl>
    <w:p w14:paraId="422180C7" w14:textId="77777777" w:rsidR="009D0006" w:rsidRDefault="009D0006" w:rsidP="00AB4A74">
      <w:pPr>
        <w:spacing w:before="360"/>
      </w:pPr>
      <w:r w:rsidRPr="00971810">
        <w:t>As shown in Table</w:t>
      </w:r>
      <w:r>
        <w:t>s</w:t>
      </w:r>
      <w:r w:rsidRPr="00971810">
        <w:t xml:space="preserve"> </w:t>
      </w:r>
      <w:r>
        <w:t xml:space="preserve">120.1-120.5, among participants with disability in </w:t>
      </w:r>
      <w:r>
        <w:rPr>
          <w:i/>
          <w:iCs/>
        </w:rPr>
        <w:t>Writing Themselves In 4</w:t>
      </w:r>
      <w:r>
        <w:t xml:space="preserve"> almost one-quarter of trans women had attempted suicide in the past 12 months (23.9%; n = 11), followed by trans men (16.7%; n = 40), non-binary people (16.0%; n = 106), cisgender women (15.1%; n = 170) and cisgender men (14.0%; n = 42).</w:t>
      </w:r>
    </w:p>
    <w:p w14:paraId="1A561EB9" w14:textId="77777777" w:rsidR="009D0006" w:rsidRDefault="009D0006" w:rsidP="009D0006">
      <w:r>
        <w:t>More than half of trans women had attempted suicide ever in their lifetime (56.5%; n = 26), followed by trans men (54.4%; n = 130), non-binary people (42.4%; n = 281), cisgender women (36.1%; n = 406) and cisgender men (31.3%; n = 94).</w:t>
      </w:r>
    </w:p>
    <w:p w14:paraId="74E55D2B" w14:textId="2952E3B0" w:rsidR="009D0006" w:rsidRPr="00C5739E" w:rsidRDefault="009D0006" w:rsidP="009401DC">
      <w:pPr>
        <w:pStyle w:val="Heading3Numbered"/>
      </w:pPr>
      <w:bookmarkStart w:id="929" w:name="_Toc115968669"/>
      <w:r w:rsidRPr="00C5739E">
        <w:t>Suicide attempts</w:t>
      </w:r>
      <w:r>
        <w:t xml:space="preserve"> </w:t>
      </w:r>
      <w:r w:rsidRPr="00C5739E">
        <w:t>– adults aged 18+ years</w:t>
      </w:r>
      <w:bookmarkEnd w:id="929"/>
    </w:p>
    <w:p w14:paraId="1E344325" w14:textId="60495121" w:rsidR="009D0006" w:rsidRDefault="009D0006" w:rsidP="0072552A">
      <w:pPr>
        <w:pStyle w:val="Tableheading"/>
      </w:pPr>
      <w:bookmarkStart w:id="930" w:name="_Toc117062838"/>
      <w:bookmarkStart w:id="931" w:name="_Toc119651523"/>
      <w:r w:rsidRPr="002D0458">
        <w:rPr>
          <w:bCs/>
        </w:rPr>
        <w:t>Table</w:t>
      </w:r>
      <w:r>
        <w:rPr>
          <w:bCs/>
        </w:rPr>
        <w:t>s</w:t>
      </w:r>
      <w:r w:rsidRPr="002D0458">
        <w:rPr>
          <w:bCs/>
        </w:rPr>
        <w:t xml:space="preserve"> </w:t>
      </w:r>
      <w:r w:rsidRPr="002D0458">
        <w:rPr>
          <w:bCs/>
        </w:rPr>
        <w:fldChar w:fldCharType="begin"/>
      </w:r>
      <w:r w:rsidRPr="002D0458">
        <w:rPr>
          <w:bCs/>
        </w:rPr>
        <w:instrText xml:space="preserve"> SEQ Table \* ARABIC </w:instrText>
      </w:r>
      <w:r w:rsidRPr="002D0458">
        <w:rPr>
          <w:bCs/>
        </w:rPr>
        <w:fldChar w:fldCharType="separate"/>
      </w:r>
      <w:r>
        <w:rPr>
          <w:bCs/>
          <w:noProof/>
        </w:rPr>
        <w:t>121</w:t>
      </w:r>
      <w:r w:rsidRPr="002D0458">
        <w:rPr>
          <w:bCs/>
        </w:rPr>
        <w:fldChar w:fldCharType="end"/>
      </w:r>
      <w:r>
        <w:rPr>
          <w:bCs/>
        </w:rPr>
        <w:t>.1-121.5</w:t>
      </w:r>
      <w:r>
        <w:t xml:space="preserve">: </w:t>
      </w:r>
      <w:r w:rsidRPr="00C5739E">
        <w:t xml:space="preserve">Suicide attempt </w:t>
      </w:r>
      <w:r>
        <w:t>among adults with disability aged 18+ years, grouped by gender</w:t>
      </w:r>
      <w:r w:rsidRPr="00C5739E">
        <w:t xml:space="preserve"> (n = </w:t>
      </w:r>
      <w:r>
        <w:t>2163</w:t>
      </w:r>
      <w:r w:rsidRPr="00C5739E">
        <w:t>)</w:t>
      </w:r>
      <w:bookmarkEnd w:id="930"/>
      <w:bookmarkEnd w:id="931"/>
    </w:p>
    <w:p w14:paraId="43D9881F" w14:textId="77777777" w:rsidR="00650B64" w:rsidRDefault="00650B64">
      <w:pPr>
        <w:spacing w:before="0"/>
        <w:rPr>
          <w:rFonts w:eastAsiaTheme="majorEastAsia" w:cstheme="majorBidi"/>
          <w:b/>
          <w:color w:val="000000" w:themeColor="text1"/>
        </w:rPr>
      </w:pPr>
      <w:r>
        <w:br w:type="page"/>
      </w:r>
    </w:p>
    <w:p w14:paraId="5600941E" w14:textId="0B367956" w:rsidR="009D0006" w:rsidRPr="00C5739E" w:rsidRDefault="009D0006" w:rsidP="0072552A">
      <w:pPr>
        <w:pStyle w:val="Tableheading"/>
      </w:pPr>
      <w:r>
        <w:t>Table 121.</w:t>
      </w:r>
      <w:r>
        <w:lastRenderedPageBreak/>
        <w:t>1 Cisgender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EEEEF92" w14:textId="77777777" w:rsidTr="0072552A">
        <w:trPr>
          <w:cnfStyle w:val="100000000000" w:firstRow="1" w:lastRow="0" w:firstColumn="0" w:lastColumn="0" w:oddVBand="0" w:evenVBand="0" w:oddHBand="0" w:evenHBand="0" w:firstRowFirstColumn="0" w:firstRowLastColumn="0" w:lastRowFirstColumn="0" w:lastRowLastColumn="0"/>
          <w:trHeight w:val="337"/>
        </w:trPr>
        <w:tc>
          <w:tcPr>
            <w:tcW w:w="6746" w:type="dxa"/>
            <w:noWrap/>
            <w:hideMark/>
          </w:tcPr>
          <w:p w14:paraId="6F3F2D25" w14:textId="77777777" w:rsidR="009D0006" w:rsidRPr="00BC3468" w:rsidRDefault="009D0006" w:rsidP="0072552A">
            <w:pPr>
              <w:pStyle w:val="Tableheader"/>
            </w:pPr>
            <w:r>
              <w:t>Suicide attempt</w:t>
            </w:r>
          </w:p>
        </w:tc>
        <w:tc>
          <w:tcPr>
            <w:tcW w:w="1559" w:type="dxa"/>
            <w:noWrap/>
            <w:hideMark/>
          </w:tcPr>
          <w:p w14:paraId="65B3D402" w14:textId="77777777" w:rsidR="009D0006" w:rsidRPr="00DD3782" w:rsidRDefault="009D0006" w:rsidP="0072552A">
            <w:pPr>
              <w:pStyle w:val="Tableheader"/>
              <w:rPr>
                <w:bCs/>
              </w:rPr>
            </w:pPr>
            <w:r w:rsidRPr="00DD3782">
              <w:rPr>
                <w:bCs/>
              </w:rPr>
              <w:t>n</w:t>
            </w:r>
          </w:p>
        </w:tc>
        <w:tc>
          <w:tcPr>
            <w:tcW w:w="1559" w:type="dxa"/>
            <w:noWrap/>
            <w:hideMark/>
          </w:tcPr>
          <w:p w14:paraId="3ED93C66" w14:textId="77777777" w:rsidR="009D0006" w:rsidRPr="00DD3782" w:rsidRDefault="009D0006" w:rsidP="0072552A">
            <w:pPr>
              <w:pStyle w:val="Tableheader"/>
              <w:rPr>
                <w:bCs/>
              </w:rPr>
            </w:pPr>
            <w:r w:rsidRPr="00DD3782">
              <w:rPr>
                <w:bCs/>
              </w:rPr>
              <w:t>%</w:t>
            </w:r>
          </w:p>
        </w:tc>
      </w:tr>
      <w:tr w:rsidR="009D0006" w:rsidRPr="00BC3468" w14:paraId="164B0CFB" w14:textId="77777777" w:rsidTr="0072552A">
        <w:trPr>
          <w:cnfStyle w:val="000000100000" w:firstRow="0" w:lastRow="0" w:firstColumn="0" w:lastColumn="0" w:oddVBand="0" w:evenVBand="0" w:oddHBand="1" w:evenHBand="0" w:firstRowFirstColumn="0" w:firstRowLastColumn="0" w:lastRowFirstColumn="0" w:lastRowLastColumn="0"/>
          <w:trHeight w:val="337"/>
        </w:trPr>
        <w:tc>
          <w:tcPr>
            <w:tcW w:w="6746" w:type="dxa"/>
            <w:noWrap/>
            <w:hideMark/>
          </w:tcPr>
          <w:p w14:paraId="1F6977B4" w14:textId="77777777" w:rsidR="009D0006" w:rsidRPr="00BC3468" w:rsidRDefault="009D0006" w:rsidP="0072552A">
            <w:pPr>
              <w:pStyle w:val="Tabletext"/>
            </w:pPr>
            <w:r>
              <w:rPr>
                <w:lang w:val="en-US"/>
              </w:rPr>
              <w:t>Past 12 months</w:t>
            </w:r>
          </w:p>
        </w:tc>
        <w:tc>
          <w:tcPr>
            <w:tcW w:w="1559" w:type="dxa"/>
            <w:noWrap/>
          </w:tcPr>
          <w:p w14:paraId="2C21E8B1" w14:textId="77777777" w:rsidR="009D0006" w:rsidRPr="00BC3468" w:rsidRDefault="009D0006" w:rsidP="0072552A">
            <w:pPr>
              <w:pStyle w:val="Tabletext"/>
            </w:pPr>
            <w:r>
              <w:t>68</w:t>
            </w:r>
          </w:p>
        </w:tc>
        <w:tc>
          <w:tcPr>
            <w:tcW w:w="1559" w:type="dxa"/>
            <w:noWrap/>
          </w:tcPr>
          <w:p w14:paraId="2BE89FE6" w14:textId="77777777" w:rsidR="009D0006" w:rsidRPr="00BC3468" w:rsidRDefault="009D0006" w:rsidP="0072552A">
            <w:pPr>
              <w:pStyle w:val="Tabletext"/>
            </w:pPr>
            <w:r>
              <w:t>6.9</w:t>
            </w:r>
          </w:p>
        </w:tc>
      </w:tr>
      <w:tr w:rsidR="009D0006" w:rsidRPr="00BC3468" w14:paraId="2FC14EA0" w14:textId="77777777" w:rsidTr="0072552A">
        <w:trPr>
          <w:cnfStyle w:val="000000010000" w:firstRow="0" w:lastRow="0" w:firstColumn="0" w:lastColumn="0" w:oddVBand="0" w:evenVBand="0" w:oddHBand="0" w:evenHBand="1" w:firstRowFirstColumn="0" w:firstRowLastColumn="0" w:lastRowFirstColumn="0" w:lastRowLastColumn="0"/>
          <w:trHeight w:val="337"/>
        </w:trPr>
        <w:tc>
          <w:tcPr>
            <w:tcW w:w="6746" w:type="dxa"/>
            <w:noWrap/>
            <w:hideMark/>
          </w:tcPr>
          <w:p w14:paraId="583DA52A" w14:textId="77777777" w:rsidR="009D0006" w:rsidRPr="00BC3468" w:rsidRDefault="009D0006" w:rsidP="0072552A">
            <w:pPr>
              <w:pStyle w:val="Tabletext"/>
            </w:pPr>
            <w:r>
              <w:rPr>
                <w:lang w:val="en-US"/>
              </w:rPr>
              <w:t>Ever</w:t>
            </w:r>
          </w:p>
        </w:tc>
        <w:tc>
          <w:tcPr>
            <w:tcW w:w="1559" w:type="dxa"/>
            <w:noWrap/>
          </w:tcPr>
          <w:p w14:paraId="4FF62E00" w14:textId="77777777" w:rsidR="009D0006" w:rsidRPr="00BC3468" w:rsidRDefault="009D0006" w:rsidP="0072552A">
            <w:pPr>
              <w:pStyle w:val="Tabletext"/>
            </w:pPr>
            <w:r>
              <w:t>392</w:t>
            </w:r>
          </w:p>
        </w:tc>
        <w:tc>
          <w:tcPr>
            <w:tcW w:w="1559" w:type="dxa"/>
            <w:noWrap/>
          </w:tcPr>
          <w:p w14:paraId="324F8580" w14:textId="77777777" w:rsidR="009D0006" w:rsidRPr="00BC3468" w:rsidRDefault="009D0006" w:rsidP="0072552A">
            <w:pPr>
              <w:pStyle w:val="Tabletext"/>
            </w:pPr>
            <w:r>
              <w:t>39.8</w:t>
            </w:r>
          </w:p>
        </w:tc>
      </w:tr>
    </w:tbl>
    <w:p w14:paraId="25F222C6" w14:textId="77777777" w:rsidR="009D0006" w:rsidRDefault="009D0006" w:rsidP="0072552A">
      <w:pPr>
        <w:pStyle w:val="Tableheading"/>
      </w:pPr>
      <w:r>
        <w:t>Table 121.2 Cisgender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FFA2EED" w14:textId="77777777" w:rsidTr="0072552A">
        <w:trPr>
          <w:cnfStyle w:val="100000000000" w:firstRow="1" w:lastRow="0" w:firstColumn="0" w:lastColumn="0" w:oddVBand="0" w:evenVBand="0" w:oddHBand="0" w:evenHBand="0" w:firstRowFirstColumn="0" w:firstRowLastColumn="0" w:lastRowFirstColumn="0" w:lastRowLastColumn="0"/>
          <w:trHeight w:val="306"/>
        </w:trPr>
        <w:tc>
          <w:tcPr>
            <w:tcW w:w="6746" w:type="dxa"/>
            <w:noWrap/>
            <w:hideMark/>
          </w:tcPr>
          <w:p w14:paraId="552CC6D1" w14:textId="77777777" w:rsidR="009D0006" w:rsidRPr="00BC3468" w:rsidRDefault="009D0006" w:rsidP="0072552A">
            <w:pPr>
              <w:pStyle w:val="Tableheader"/>
            </w:pPr>
            <w:r>
              <w:t>Suicide attempt</w:t>
            </w:r>
          </w:p>
        </w:tc>
        <w:tc>
          <w:tcPr>
            <w:tcW w:w="1559" w:type="dxa"/>
            <w:noWrap/>
            <w:hideMark/>
          </w:tcPr>
          <w:p w14:paraId="31D4254E" w14:textId="77777777" w:rsidR="009D0006" w:rsidRPr="00DD3782" w:rsidRDefault="009D0006" w:rsidP="0072552A">
            <w:pPr>
              <w:pStyle w:val="Tableheader"/>
              <w:rPr>
                <w:bCs/>
              </w:rPr>
            </w:pPr>
            <w:r w:rsidRPr="00DD3782">
              <w:rPr>
                <w:bCs/>
              </w:rPr>
              <w:t>n</w:t>
            </w:r>
          </w:p>
        </w:tc>
        <w:tc>
          <w:tcPr>
            <w:tcW w:w="1559" w:type="dxa"/>
            <w:noWrap/>
            <w:hideMark/>
          </w:tcPr>
          <w:p w14:paraId="32A7F1F6" w14:textId="77777777" w:rsidR="009D0006" w:rsidRPr="00DD3782" w:rsidRDefault="009D0006" w:rsidP="0072552A">
            <w:pPr>
              <w:pStyle w:val="Tableheader"/>
              <w:rPr>
                <w:bCs/>
              </w:rPr>
            </w:pPr>
            <w:r w:rsidRPr="00DD3782">
              <w:rPr>
                <w:bCs/>
              </w:rPr>
              <w:t>%</w:t>
            </w:r>
          </w:p>
        </w:tc>
      </w:tr>
      <w:tr w:rsidR="009D0006" w:rsidRPr="00BC3468" w14:paraId="585817D3" w14:textId="77777777" w:rsidTr="0072552A">
        <w:trPr>
          <w:cnfStyle w:val="000000100000" w:firstRow="0" w:lastRow="0" w:firstColumn="0" w:lastColumn="0" w:oddVBand="0" w:evenVBand="0" w:oddHBand="1" w:evenHBand="0" w:firstRowFirstColumn="0" w:firstRowLastColumn="0" w:lastRowFirstColumn="0" w:lastRowLastColumn="0"/>
          <w:trHeight w:val="306"/>
        </w:trPr>
        <w:tc>
          <w:tcPr>
            <w:tcW w:w="6746" w:type="dxa"/>
            <w:noWrap/>
            <w:hideMark/>
          </w:tcPr>
          <w:p w14:paraId="6BE71BA7" w14:textId="77777777" w:rsidR="009D0006" w:rsidRPr="00BC3468" w:rsidRDefault="009D0006" w:rsidP="0072552A">
            <w:pPr>
              <w:pStyle w:val="Tabletext"/>
            </w:pPr>
            <w:r>
              <w:rPr>
                <w:lang w:val="en-US"/>
              </w:rPr>
              <w:t>Past 12 months</w:t>
            </w:r>
          </w:p>
        </w:tc>
        <w:tc>
          <w:tcPr>
            <w:tcW w:w="1559" w:type="dxa"/>
            <w:noWrap/>
          </w:tcPr>
          <w:p w14:paraId="1C1CC2B1" w14:textId="77777777" w:rsidR="009D0006" w:rsidRPr="00BC3468" w:rsidRDefault="009D0006" w:rsidP="0072552A">
            <w:pPr>
              <w:pStyle w:val="Tabletext"/>
            </w:pPr>
            <w:r>
              <w:t>25</w:t>
            </w:r>
          </w:p>
        </w:tc>
        <w:tc>
          <w:tcPr>
            <w:tcW w:w="1559" w:type="dxa"/>
            <w:noWrap/>
          </w:tcPr>
          <w:p w14:paraId="1665BEDE" w14:textId="77777777" w:rsidR="009D0006" w:rsidRPr="00BC3468" w:rsidRDefault="009D0006" w:rsidP="0072552A">
            <w:pPr>
              <w:pStyle w:val="Tabletext"/>
            </w:pPr>
            <w:r>
              <w:t>6.1</w:t>
            </w:r>
          </w:p>
        </w:tc>
      </w:tr>
      <w:tr w:rsidR="009D0006" w:rsidRPr="00BC3468" w14:paraId="5CEA3663" w14:textId="77777777" w:rsidTr="0072552A">
        <w:trPr>
          <w:cnfStyle w:val="000000010000" w:firstRow="0" w:lastRow="0" w:firstColumn="0" w:lastColumn="0" w:oddVBand="0" w:evenVBand="0" w:oddHBand="0" w:evenHBand="1" w:firstRowFirstColumn="0" w:firstRowLastColumn="0" w:lastRowFirstColumn="0" w:lastRowLastColumn="0"/>
          <w:trHeight w:val="306"/>
        </w:trPr>
        <w:tc>
          <w:tcPr>
            <w:tcW w:w="6746" w:type="dxa"/>
            <w:noWrap/>
            <w:hideMark/>
          </w:tcPr>
          <w:p w14:paraId="4696D6F0" w14:textId="77777777" w:rsidR="009D0006" w:rsidRPr="00BC3468" w:rsidRDefault="009D0006" w:rsidP="0072552A">
            <w:pPr>
              <w:pStyle w:val="Tabletext"/>
            </w:pPr>
            <w:r>
              <w:rPr>
                <w:lang w:val="en-US"/>
              </w:rPr>
              <w:t>Ever</w:t>
            </w:r>
          </w:p>
        </w:tc>
        <w:tc>
          <w:tcPr>
            <w:tcW w:w="1559" w:type="dxa"/>
            <w:noWrap/>
          </w:tcPr>
          <w:p w14:paraId="23C09480" w14:textId="77777777" w:rsidR="009D0006" w:rsidRPr="00BC3468" w:rsidRDefault="009D0006" w:rsidP="0072552A">
            <w:pPr>
              <w:pStyle w:val="Tabletext"/>
            </w:pPr>
            <w:r>
              <w:t>153</w:t>
            </w:r>
          </w:p>
        </w:tc>
        <w:tc>
          <w:tcPr>
            <w:tcW w:w="1559" w:type="dxa"/>
            <w:noWrap/>
          </w:tcPr>
          <w:p w14:paraId="2E0DA7C7" w14:textId="77777777" w:rsidR="009D0006" w:rsidRPr="00BC3468" w:rsidRDefault="009D0006" w:rsidP="0072552A">
            <w:pPr>
              <w:pStyle w:val="Tabletext"/>
            </w:pPr>
            <w:r>
              <w:t>37.2</w:t>
            </w:r>
          </w:p>
        </w:tc>
      </w:tr>
    </w:tbl>
    <w:p w14:paraId="20355D8B" w14:textId="77777777" w:rsidR="009D0006" w:rsidRDefault="009D0006" w:rsidP="0072552A">
      <w:pPr>
        <w:pStyle w:val="Tableheading"/>
      </w:pPr>
      <w:r>
        <w:t>Table 121.3 Trans woman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ED7615F" w14:textId="77777777" w:rsidTr="0072552A">
        <w:trPr>
          <w:cnfStyle w:val="100000000000" w:firstRow="1" w:lastRow="0" w:firstColumn="0" w:lastColumn="0" w:oddVBand="0" w:evenVBand="0" w:oddHBand="0" w:evenHBand="0" w:firstRowFirstColumn="0" w:firstRowLastColumn="0" w:lastRowFirstColumn="0" w:lastRowLastColumn="0"/>
          <w:trHeight w:val="285"/>
        </w:trPr>
        <w:tc>
          <w:tcPr>
            <w:tcW w:w="6746" w:type="dxa"/>
            <w:noWrap/>
            <w:hideMark/>
          </w:tcPr>
          <w:p w14:paraId="3A524E5A" w14:textId="77777777" w:rsidR="009D0006" w:rsidRPr="00BC3468" w:rsidRDefault="009D0006" w:rsidP="0072552A">
            <w:pPr>
              <w:pStyle w:val="Tableheader"/>
            </w:pPr>
            <w:r>
              <w:t>Suicide attempt</w:t>
            </w:r>
          </w:p>
        </w:tc>
        <w:tc>
          <w:tcPr>
            <w:tcW w:w="1559" w:type="dxa"/>
          </w:tcPr>
          <w:p w14:paraId="029496A9" w14:textId="77777777" w:rsidR="009D0006" w:rsidRPr="00DD3782" w:rsidRDefault="009D0006" w:rsidP="0072552A">
            <w:pPr>
              <w:pStyle w:val="Tableheader"/>
              <w:rPr>
                <w:bCs/>
              </w:rPr>
            </w:pPr>
            <w:r w:rsidRPr="00DD3782">
              <w:rPr>
                <w:bCs/>
              </w:rPr>
              <w:t>n</w:t>
            </w:r>
          </w:p>
        </w:tc>
        <w:tc>
          <w:tcPr>
            <w:tcW w:w="1559" w:type="dxa"/>
          </w:tcPr>
          <w:p w14:paraId="19647B35" w14:textId="77777777" w:rsidR="009D0006" w:rsidRPr="00DD3782" w:rsidRDefault="009D0006" w:rsidP="0072552A">
            <w:pPr>
              <w:pStyle w:val="Tableheader"/>
              <w:rPr>
                <w:bCs/>
              </w:rPr>
            </w:pPr>
            <w:r w:rsidRPr="00DD3782">
              <w:rPr>
                <w:bCs/>
              </w:rPr>
              <w:t>%</w:t>
            </w:r>
          </w:p>
        </w:tc>
      </w:tr>
      <w:tr w:rsidR="009D0006" w:rsidRPr="00BC3468" w14:paraId="188D32C6" w14:textId="77777777" w:rsidTr="0072552A">
        <w:trPr>
          <w:cnfStyle w:val="000000100000" w:firstRow="0" w:lastRow="0" w:firstColumn="0" w:lastColumn="0" w:oddVBand="0" w:evenVBand="0" w:oddHBand="1" w:evenHBand="0" w:firstRowFirstColumn="0" w:firstRowLastColumn="0" w:lastRowFirstColumn="0" w:lastRowLastColumn="0"/>
          <w:trHeight w:val="285"/>
        </w:trPr>
        <w:tc>
          <w:tcPr>
            <w:tcW w:w="6746" w:type="dxa"/>
            <w:noWrap/>
            <w:hideMark/>
          </w:tcPr>
          <w:p w14:paraId="67BF3E12" w14:textId="77777777" w:rsidR="009D0006" w:rsidRPr="00BC3468" w:rsidRDefault="009D0006" w:rsidP="0072552A">
            <w:pPr>
              <w:pStyle w:val="Tabletext"/>
            </w:pPr>
            <w:r>
              <w:rPr>
                <w:lang w:val="en-US"/>
              </w:rPr>
              <w:t>Past 12 months</w:t>
            </w:r>
          </w:p>
        </w:tc>
        <w:tc>
          <w:tcPr>
            <w:tcW w:w="1559" w:type="dxa"/>
          </w:tcPr>
          <w:p w14:paraId="2EBD1A19" w14:textId="77777777" w:rsidR="009D0006" w:rsidRPr="00BC3468" w:rsidRDefault="009D0006" w:rsidP="0072552A">
            <w:pPr>
              <w:pStyle w:val="Tabletext"/>
            </w:pPr>
            <w:r>
              <w:t>19</w:t>
            </w:r>
          </w:p>
        </w:tc>
        <w:tc>
          <w:tcPr>
            <w:tcW w:w="1559" w:type="dxa"/>
          </w:tcPr>
          <w:p w14:paraId="279EF797" w14:textId="77777777" w:rsidR="009D0006" w:rsidRPr="00BC3468" w:rsidRDefault="009D0006" w:rsidP="0072552A">
            <w:pPr>
              <w:pStyle w:val="Tabletext"/>
            </w:pPr>
            <w:r>
              <w:t>16.2</w:t>
            </w:r>
          </w:p>
        </w:tc>
      </w:tr>
      <w:tr w:rsidR="009D0006" w:rsidRPr="00BC3468" w14:paraId="38FCB35F" w14:textId="77777777" w:rsidTr="0072552A">
        <w:trPr>
          <w:cnfStyle w:val="000000010000" w:firstRow="0" w:lastRow="0" w:firstColumn="0" w:lastColumn="0" w:oddVBand="0" w:evenVBand="0" w:oddHBand="0" w:evenHBand="1" w:firstRowFirstColumn="0" w:firstRowLastColumn="0" w:lastRowFirstColumn="0" w:lastRowLastColumn="0"/>
          <w:trHeight w:val="285"/>
        </w:trPr>
        <w:tc>
          <w:tcPr>
            <w:tcW w:w="6746" w:type="dxa"/>
            <w:noWrap/>
            <w:hideMark/>
          </w:tcPr>
          <w:p w14:paraId="7BE1A460" w14:textId="77777777" w:rsidR="009D0006" w:rsidRPr="00BC3468" w:rsidRDefault="009D0006" w:rsidP="0072552A">
            <w:pPr>
              <w:pStyle w:val="Tabletext"/>
            </w:pPr>
            <w:r>
              <w:rPr>
                <w:lang w:val="en-US"/>
              </w:rPr>
              <w:t>Ever</w:t>
            </w:r>
          </w:p>
        </w:tc>
        <w:tc>
          <w:tcPr>
            <w:tcW w:w="1559" w:type="dxa"/>
          </w:tcPr>
          <w:p w14:paraId="1A6BFDE6" w14:textId="77777777" w:rsidR="009D0006" w:rsidRPr="00BC3468" w:rsidRDefault="009D0006" w:rsidP="0072552A">
            <w:pPr>
              <w:pStyle w:val="Tabletext"/>
            </w:pPr>
            <w:r>
              <w:t>68</w:t>
            </w:r>
          </w:p>
        </w:tc>
        <w:tc>
          <w:tcPr>
            <w:tcW w:w="1559" w:type="dxa"/>
          </w:tcPr>
          <w:p w14:paraId="3BF82052" w14:textId="77777777" w:rsidR="009D0006" w:rsidRPr="00BC3468" w:rsidRDefault="009D0006" w:rsidP="0072552A">
            <w:pPr>
              <w:pStyle w:val="Tabletext"/>
            </w:pPr>
            <w:r>
              <w:t>58.1</w:t>
            </w:r>
          </w:p>
        </w:tc>
      </w:tr>
    </w:tbl>
    <w:p w14:paraId="517A0539" w14:textId="77777777" w:rsidR="009D0006" w:rsidRDefault="009D0006" w:rsidP="0072552A">
      <w:pPr>
        <w:pStyle w:val="Tableheading"/>
      </w:pPr>
      <w:r>
        <w:t>Table 121.4 Trans man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8C6965C" w14:textId="77777777" w:rsidTr="0072552A">
        <w:trPr>
          <w:cnfStyle w:val="100000000000" w:firstRow="1" w:lastRow="0" w:firstColumn="0" w:lastColumn="0" w:oddVBand="0" w:evenVBand="0" w:oddHBand="0" w:evenHBand="0" w:firstRowFirstColumn="0" w:firstRowLastColumn="0" w:lastRowFirstColumn="0" w:lastRowLastColumn="0"/>
          <w:trHeight w:val="308"/>
        </w:trPr>
        <w:tc>
          <w:tcPr>
            <w:tcW w:w="6746" w:type="dxa"/>
            <w:noWrap/>
            <w:hideMark/>
          </w:tcPr>
          <w:p w14:paraId="51274102" w14:textId="77777777" w:rsidR="009D0006" w:rsidRPr="00BC3468" w:rsidRDefault="009D0006" w:rsidP="0072552A">
            <w:pPr>
              <w:pStyle w:val="Tableheader"/>
            </w:pPr>
            <w:r>
              <w:t>Suicide attempt</w:t>
            </w:r>
          </w:p>
        </w:tc>
        <w:tc>
          <w:tcPr>
            <w:tcW w:w="1559" w:type="dxa"/>
            <w:noWrap/>
            <w:hideMark/>
          </w:tcPr>
          <w:p w14:paraId="69F5D9BE" w14:textId="77777777" w:rsidR="009D0006" w:rsidRPr="00DD3782" w:rsidRDefault="009D0006" w:rsidP="0072552A">
            <w:pPr>
              <w:pStyle w:val="Tableheader"/>
              <w:rPr>
                <w:bCs/>
              </w:rPr>
            </w:pPr>
            <w:r w:rsidRPr="00DD3782">
              <w:rPr>
                <w:bCs/>
              </w:rPr>
              <w:t>n</w:t>
            </w:r>
          </w:p>
        </w:tc>
        <w:tc>
          <w:tcPr>
            <w:tcW w:w="1559" w:type="dxa"/>
            <w:noWrap/>
            <w:hideMark/>
          </w:tcPr>
          <w:p w14:paraId="17AF3D12" w14:textId="77777777" w:rsidR="009D0006" w:rsidRPr="00DD3782" w:rsidRDefault="009D0006" w:rsidP="0072552A">
            <w:pPr>
              <w:pStyle w:val="Tableheader"/>
              <w:rPr>
                <w:bCs/>
              </w:rPr>
            </w:pPr>
            <w:r w:rsidRPr="00DD3782">
              <w:rPr>
                <w:bCs/>
              </w:rPr>
              <w:t>%</w:t>
            </w:r>
          </w:p>
        </w:tc>
      </w:tr>
      <w:tr w:rsidR="009D0006" w:rsidRPr="00BC3468" w14:paraId="2A0C1F21" w14:textId="77777777" w:rsidTr="0072552A">
        <w:trPr>
          <w:cnfStyle w:val="000000100000" w:firstRow="0" w:lastRow="0" w:firstColumn="0" w:lastColumn="0" w:oddVBand="0" w:evenVBand="0" w:oddHBand="1" w:evenHBand="0" w:firstRowFirstColumn="0" w:firstRowLastColumn="0" w:lastRowFirstColumn="0" w:lastRowLastColumn="0"/>
          <w:trHeight w:val="308"/>
        </w:trPr>
        <w:tc>
          <w:tcPr>
            <w:tcW w:w="6746" w:type="dxa"/>
            <w:noWrap/>
            <w:hideMark/>
          </w:tcPr>
          <w:p w14:paraId="35831174" w14:textId="77777777" w:rsidR="009D0006" w:rsidRPr="00BC3468" w:rsidRDefault="009D0006" w:rsidP="0072552A">
            <w:pPr>
              <w:pStyle w:val="Tabletext"/>
            </w:pPr>
            <w:r>
              <w:rPr>
                <w:lang w:val="en-US"/>
              </w:rPr>
              <w:t>Past 12 months</w:t>
            </w:r>
          </w:p>
        </w:tc>
        <w:tc>
          <w:tcPr>
            <w:tcW w:w="1559" w:type="dxa"/>
            <w:noWrap/>
          </w:tcPr>
          <w:p w14:paraId="0041544E" w14:textId="77777777" w:rsidR="009D0006" w:rsidRPr="00BC3468" w:rsidRDefault="009D0006" w:rsidP="0072552A">
            <w:pPr>
              <w:pStyle w:val="Tabletext"/>
            </w:pPr>
            <w:r>
              <w:t>25</w:t>
            </w:r>
          </w:p>
        </w:tc>
        <w:tc>
          <w:tcPr>
            <w:tcW w:w="1559" w:type="dxa"/>
            <w:noWrap/>
          </w:tcPr>
          <w:p w14:paraId="654BDA8C" w14:textId="77777777" w:rsidR="009D0006" w:rsidRPr="00BC3468" w:rsidRDefault="009D0006" w:rsidP="0072552A">
            <w:pPr>
              <w:pStyle w:val="Tabletext"/>
            </w:pPr>
            <w:r>
              <w:t>16.3</w:t>
            </w:r>
          </w:p>
        </w:tc>
      </w:tr>
      <w:tr w:rsidR="009D0006" w:rsidRPr="00BC3468" w14:paraId="2CC6350F" w14:textId="77777777" w:rsidTr="0072552A">
        <w:trPr>
          <w:cnfStyle w:val="000000010000" w:firstRow="0" w:lastRow="0" w:firstColumn="0" w:lastColumn="0" w:oddVBand="0" w:evenVBand="0" w:oddHBand="0" w:evenHBand="1" w:firstRowFirstColumn="0" w:firstRowLastColumn="0" w:lastRowFirstColumn="0" w:lastRowLastColumn="0"/>
          <w:trHeight w:val="308"/>
        </w:trPr>
        <w:tc>
          <w:tcPr>
            <w:tcW w:w="6746" w:type="dxa"/>
            <w:noWrap/>
            <w:hideMark/>
          </w:tcPr>
          <w:p w14:paraId="2E12F6ED" w14:textId="77777777" w:rsidR="009D0006" w:rsidRPr="00BC3468" w:rsidRDefault="009D0006" w:rsidP="0072552A">
            <w:pPr>
              <w:pStyle w:val="Tabletext"/>
            </w:pPr>
            <w:r>
              <w:rPr>
                <w:lang w:val="en-US"/>
              </w:rPr>
              <w:t>Ever</w:t>
            </w:r>
          </w:p>
        </w:tc>
        <w:tc>
          <w:tcPr>
            <w:tcW w:w="1559" w:type="dxa"/>
            <w:noWrap/>
          </w:tcPr>
          <w:p w14:paraId="2897B5F2" w14:textId="77777777" w:rsidR="009D0006" w:rsidRPr="00BC3468" w:rsidRDefault="009D0006" w:rsidP="0072552A">
            <w:pPr>
              <w:pStyle w:val="Tabletext"/>
            </w:pPr>
            <w:r>
              <w:t>93</w:t>
            </w:r>
          </w:p>
        </w:tc>
        <w:tc>
          <w:tcPr>
            <w:tcW w:w="1559" w:type="dxa"/>
            <w:noWrap/>
          </w:tcPr>
          <w:p w14:paraId="5F2BC234" w14:textId="77777777" w:rsidR="009D0006" w:rsidRPr="00BC3468" w:rsidRDefault="009D0006" w:rsidP="0072552A">
            <w:pPr>
              <w:pStyle w:val="Tabletext"/>
            </w:pPr>
            <w:r>
              <w:t>60.8</w:t>
            </w:r>
          </w:p>
        </w:tc>
      </w:tr>
    </w:tbl>
    <w:p w14:paraId="4AEE5711" w14:textId="77777777" w:rsidR="009D0006" w:rsidRDefault="009D0006" w:rsidP="0072552A">
      <w:pPr>
        <w:pStyle w:val="Tableheading"/>
      </w:pPr>
      <w:r>
        <w:t>Table 121.5 Non-binary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47B9E51" w14:textId="77777777" w:rsidTr="0072552A">
        <w:trPr>
          <w:cnfStyle w:val="100000000000" w:firstRow="1" w:lastRow="0" w:firstColumn="0" w:lastColumn="0" w:oddVBand="0" w:evenVBand="0" w:oddHBand="0" w:evenHBand="0" w:firstRowFirstColumn="0" w:firstRowLastColumn="0" w:lastRowFirstColumn="0" w:lastRowLastColumn="0"/>
          <w:trHeight w:val="265"/>
        </w:trPr>
        <w:tc>
          <w:tcPr>
            <w:tcW w:w="6746" w:type="dxa"/>
            <w:noWrap/>
            <w:hideMark/>
          </w:tcPr>
          <w:p w14:paraId="348F001E" w14:textId="77777777" w:rsidR="009D0006" w:rsidRPr="00BC3468" w:rsidRDefault="009D0006" w:rsidP="0072552A">
            <w:pPr>
              <w:pStyle w:val="Tableheader"/>
            </w:pPr>
            <w:r>
              <w:t>Suicide attempt</w:t>
            </w:r>
          </w:p>
        </w:tc>
        <w:tc>
          <w:tcPr>
            <w:tcW w:w="1559" w:type="dxa"/>
            <w:noWrap/>
            <w:hideMark/>
          </w:tcPr>
          <w:p w14:paraId="6D0449AD" w14:textId="77777777" w:rsidR="009D0006" w:rsidRPr="00DD3782" w:rsidRDefault="009D0006" w:rsidP="0072552A">
            <w:pPr>
              <w:pStyle w:val="Tableheader"/>
              <w:rPr>
                <w:bCs/>
              </w:rPr>
            </w:pPr>
            <w:r w:rsidRPr="00DD3782">
              <w:rPr>
                <w:bCs/>
              </w:rPr>
              <w:t>n</w:t>
            </w:r>
          </w:p>
        </w:tc>
        <w:tc>
          <w:tcPr>
            <w:tcW w:w="1559" w:type="dxa"/>
            <w:noWrap/>
            <w:hideMark/>
          </w:tcPr>
          <w:p w14:paraId="588B5653" w14:textId="77777777" w:rsidR="009D0006" w:rsidRPr="00DD3782" w:rsidRDefault="009D0006" w:rsidP="0072552A">
            <w:pPr>
              <w:pStyle w:val="Tableheader"/>
              <w:rPr>
                <w:bCs/>
              </w:rPr>
            </w:pPr>
            <w:r w:rsidRPr="00DD3782">
              <w:rPr>
                <w:bCs/>
              </w:rPr>
              <w:t>%</w:t>
            </w:r>
          </w:p>
        </w:tc>
      </w:tr>
      <w:tr w:rsidR="009D0006" w:rsidRPr="00BC3468" w14:paraId="72E03B06" w14:textId="77777777" w:rsidTr="0072552A">
        <w:trPr>
          <w:cnfStyle w:val="000000100000" w:firstRow="0" w:lastRow="0" w:firstColumn="0" w:lastColumn="0" w:oddVBand="0" w:evenVBand="0" w:oddHBand="1" w:evenHBand="0" w:firstRowFirstColumn="0" w:firstRowLastColumn="0" w:lastRowFirstColumn="0" w:lastRowLastColumn="0"/>
          <w:trHeight w:val="265"/>
        </w:trPr>
        <w:tc>
          <w:tcPr>
            <w:tcW w:w="6746" w:type="dxa"/>
            <w:noWrap/>
            <w:hideMark/>
          </w:tcPr>
          <w:p w14:paraId="45758668" w14:textId="77777777" w:rsidR="009D0006" w:rsidRPr="00BC3468" w:rsidRDefault="009D0006" w:rsidP="0072552A">
            <w:pPr>
              <w:pStyle w:val="Tabletext"/>
            </w:pPr>
            <w:r>
              <w:rPr>
                <w:lang w:val="en-US"/>
              </w:rPr>
              <w:t>Past 12 months</w:t>
            </w:r>
          </w:p>
        </w:tc>
        <w:tc>
          <w:tcPr>
            <w:tcW w:w="1559" w:type="dxa"/>
            <w:noWrap/>
          </w:tcPr>
          <w:p w14:paraId="48B21CB9" w14:textId="77777777" w:rsidR="009D0006" w:rsidRPr="00BC3468" w:rsidRDefault="009D0006" w:rsidP="0072552A">
            <w:pPr>
              <w:pStyle w:val="Tabletext"/>
            </w:pPr>
            <w:r>
              <w:t>42</w:t>
            </w:r>
          </w:p>
        </w:tc>
        <w:tc>
          <w:tcPr>
            <w:tcW w:w="1559" w:type="dxa"/>
            <w:noWrap/>
          </w:tcPr>
          <w:p w14:paraId="7404AFFC" w14:textId="77777777" w:rsidR="009D0006" w:rsidRPr="00BC3468" w:rsidRDefault="009D0006" w:rsidP="0072552A">
            <w:pPr>
              <w:pStyle w:val="Tabletext"/>
            </w:pPr>
            <w:r>
              <w:t>8.5</w:t>
            </w:r>
          </w:p>
        </w:tc>
      </w:tr>
      <w:tr w:rsidR="009D0006" w:rsidRPr="00BC3468" w14:paraId="417DD503" w14:textId="77777777" w:rsidTr="0072552A">
        <w:trPr>
          <w:cnfStyle w:val="000000010000" w:firstRow="0" w:lastRow="0" w:firstColumn="0" w:lastColumn="0" w:oddVBand="0" w:evenVBand="0" w:oddHBand="0" w:evenHBand="1" w:firstRowFirstColumn="0" w:firstRowLastColumn="0" w:lastRowFirstColumn="0" w:lastRowLastColumn="0"/>
          <w:trHeight w:val="265"/>
        </w:trPr>
        <w:tc>
          <w:tcPr>
            <w:tcW w:w="6746" w:type="dxa"/>
            <w:noWrap/>
            <w:hideMark/>
          </w:tcPr>
          <w:p w14:paraId="1F45455A" w14:textId="77777777" w:rsidR="009D0006" w:rsidRPr="00BC3468" w:rsidRDefault="009D0006" w:rsidP="0072552A">
            <w:pPr>
              <w:pStyle w:val="Tabletext"/>
            </w:pPr>
            <w:r>
              <w:rPr>
                <w:lang w:val="en-US"/>
              </w:rPr>
              <w:t>Ever</w:t>
            </w:r>
          </w:p>
        </w:tc>
        <w:tc>
          <w:tcPr>
            <w:tcW w:w="1559" w:type="dxa"/>
            <w:noWrap/>
          </w:tcPr>
          <w:p w14:paraId="3F823E06" w14:textId="77777777" w:rsidR="009D0006" w:rsidRPr="00BC3468" w:rsidRDefault="009D0006" w:rsidP="0072552A">
            <w:pPr>
              <w:pStyle w:val="Tabletext"/>
            </w:pPr>
            <w:r>
              <w:t>229</w:t>
            </w:r>
          </w:p>
        </w:tc>
        <w:tc>
          <w:tcPr>
            <w:tcW w:w="1559" w:type="dxa"/>
            <w:noWrap/>
          </w:tcPr>
          <w:p w14:paraId="02924C18" w14:textId="77777777" w:rsidR="009D0006" w:rsidRPr="00BC3468" w:rsidRDefault="009D0006" w:rsidP="0072552A">
            <w:pPr>
              <w:pStyle w:val="Tabletext"/>
            </w:pPr>
            <w:r>
              <w:t>46.1</w:t>
            </w:r>
          </w:p>
        </w:tc>
      </w:tr>
    </w:tbl>
    <w:p w14:paraId="1361B8F3" w14:textId="77777777" w:rsidR="009D0006" w:rsidRDefault="009D0006" w:rsidP="00AB4A74">
      <w:pPr>
        <w:spacing w:before="360"/>
      </w:pPr>
      <w:r>
        <w:t>As shown in Tables 121.1-121.5, a</w:t>
      </w:r>
      <w:r w:rsidRPr="00971810">
        <w:t xml:space="preserve">mong participants with disability in </w:t>
      </w:r>
      <w:r>
        <w:rPr>
          <w:i/>
          <w:iCs/>
        </w:rPr>
        <w:t>Private Lives 3</w:t>
      </w:r>
      <w:r>
        <w:t>, more than 1 in 10 trans men had attempted suicide in the past 12 months (16.3%; n = 25), followed by trans women (16.2%; n = 19), non-binary people (8.5%; n = 42), cisgender women (6.9%; n = 68) and cisgender men (6.1%; n = 25).</w:t>
      </w:r>
    </w:p>
    <w:p w14:paraId="2700F920" w14:textId="77777777" w:rsidR="009D0006" w:rsidRDefault="009D0006" w:rsidP="009D0006">
      <w:r>
        <w:t>Approximately 60% of trans men had ever attempted suicide in their lifetime (60.8%; n = 93), followed by trans women (58.1%; n = 68), non-binary people (46.1%; n = 229), cisgender women (39.8%; n = 392) and cisgender men (37.2%; n = 153).</w:t>
      </w:r>
    </w:p>
    <w:p w14:paraId="07ADE9A6" w14:textId="6BF59474" w:rsidR="009D0006" w:rsidRPr="004B5CDE" w:rsidRDefault="009D0006" w:rsidP="009401DC">
      <w:pPr>
        <w:pStyle w:val="Heading2Numbered"/>
      </w:pPr>
      <w:bookmarkStart w:id="932" w:name="_Toc115968670"/>
      <w:bookmarkStart w:id="933" w:name="_Toc119662482"/>
      <w:r w:rsidRPr="004B5CDE">
        <w:t>Summary</w:t>
      </w:r>
      <w:bookmarkEnd w:id="932"/>
      <w:bookmarkEnd w:id="933"/>
    </w:p>
    <w:p w14:paraId="35E9339C" w14:textId="77777777" w:rsidR="009D0006" w:rsidRDefault="009D0006" w:rsidP="009D0006">
      <w:r>
        <w:t>Ov</w:t>
      </w:r>
      <w:r>
        <w:lastRenderedPageBreak/>
        <w:t>erall, trans and gender diverse participants with disability reported higher levels of family violence and harassment or assault based on their sexual orientation or gender identity and lower participation and feelings of acceptance outside of LGBTIQ groups and venues than their cisgender counterparts.</w:t>
      </w:r>
    </w:p>
    <w:p w14:paraId="4E6DCB40" w14:textId="77777777" w:rsidR="009D0006" w:rsidRDefault="009D0006" w:rsidP="009D0006">
      <w:r>
        <w:t xml:space="preserve">Among </w:t>
      </w:r>
      <w:r w:rsidRPr="00971810">
        <w:t xml:space="preserve">participants with </w:t>
      </w:r>
      <w:r>
        <w:t xml:space="preserve">disability in </w:t>
      </w:r>
      <w:r>
        <w:rPr>
          <w:i/>
          <w:iCs/>
        </w:rPr>
        <w:t>Writing Themselves In 4</w:t>
      </w:r>
      <w:r>
        <w:t xml:space="preserve"> aged 14-21 years, almost three-quarters of trans men and trans women had experienced verbal harassment in the past 12 months based on their sexual orientation or gender identity, compared to half of cisgender men and one-third of cisgender women. Similarly, among </w:t>
      </w:r>
      <w:r w:rsidRPr="00971810">
        <w:t xml:space="preserve">participants with </w:t>
      </w:r>
      <w:r>
        <w:t xml:space="preserve">disability in </w:t>
      </w:r>
      <w:r>
        <w:rPr>
          <w:i/>
          <w:iCs/>
        </w:rPr>
        <w:t>Private Lives 3</w:t>
      </w:r>
      <w:r>
        <w:t xml:space="preserve"> aged 18+ years, two-thirds of trans women had experienced verbal abuse based on their sexual orientation or gender identity followed by more than half of non-binary people and trans men. This compared to two-fifths of cisgender men and approximately one-third of cisgender women.</w:t>
      </w:r>
    </w:p>
    <w:p w14:paraId="651B3F73" w14:textId="77777777" w:rsidR="009D0006" w:rsidRDefault="009D0006" w:rsidP="009D0006">
      <w:r>
        <w:t xml:space="preserve">Mental health challenges were particularly high among trans and gender diverse young people. Among </w:t>
      </w:r>
      <w:r w:rsidRPr="00971810">
        <w:t xml:space="preserve">participants with </w:t>
      </w:r>
      <w:r>
        <w:t xml:space="preserve">disability in </w:t>
      </w:r>
      <w:r>
        <w:rPr>
          <w:i/>
          <w:iCs/>
        </w:rPr>
        <w:t>Writing Themselves In 4</w:t>
      </w:r>
      <w:r>
        <w:t xml:space="preserve"> aged 14-21 years, almost one-quarter of trans women had attempted suicide in the past 12 months followed by nearly one-fifth of trans men and non-binary people. Moreover, these mental health challenges may be present throughout the lives of trans and gender diverse people with disability, as they were similarly high in </w:t>
      </w:r>
      <w:r w:rsidRPr="00376650">
        <w:rPr>
          <w:i/>
          <w:iCs/>
        </w:rPr>
        <w:t>Private Lives 3</w:t>
      </w:r>
      <w:r>
        <w:t xml:space="preserve"> among adults aged 18 years and older. </w:t>
      </w:r>
    </w:p>
    <w:p w14:paraId="20066D22" w14:textId="42C7F5D8" w:rsidR="009401DC" w:rsidRDefault="009D0006" w:rsidP="009401DC">
      <w:r>
        <w:t>Overall, this report observes disproportionately high rates of harassment, assault and violence and mental health challenges among trans and gender diverse young people and adults with disability in Australia</w:t>
      </w:r>
      <w:bookmarkStart w:id="934" w:name="_Toc115968671"/>
      <w:r w:rsidR="009401DC">
        <w:t>.</w:t>
      </w:r>
      <w:r w:rsidR="009401DC">
        <w:br w:type="page"/>
      </w:r>
    </w:p>
    <w:p w14:paraId="68585D9D" w14:textId="090730C6" w:rsidR="009D0006" w:rsidRDefault="009D0006" w:rsidP="009401DC">
      <w:pPr>
        <w:pStyle w:val="Heading1Numbered"/>
        <w:rPr>
          <w:lang w:bidi="en-US"/>
        </w:rPr>
      </w:pPr>
      <w:bookmarkStart w:id="935" w:name="_Toc119662483"/>
      <w:r w:rsidRPr="009401DC">
        <w:t>Intersecti</w:t>
      </w:r>
      <w:r w:rsidRPr="009401DC">
        <w:lastRenderedPageBreak/>
        <w:t>ons:</w:t>
      </w:r>
      <w:r w:rsidRPr="00C5739E">
        <w:rPr>
          <w:lang w:bidi="en-US"/>
        </w:rPr>
        <w:t xml:space="preserve"> </w:t>
      </w:r>
      <w:r>
        <w:rPr>
          <w:lang w:bidi="en-US"/>
        </w:rPr>
        <w:t>sexual orientation</w:t>
      </w:r>
      <w:r w:rsidRPr="00C5739E">
        <w:rPr>
          <w:lang w:bidi="en-US"/>
        </w:rPr>
        <w:t xml:space="preserve"> and disability</w:t>
      </w:r>
      <w:bookmarkEnd w:id="934"/>
      <w:bookmarkEnd w:id="935"/>
    </w:p>
    <w:p w14:paraId="210C4932" w14:textId="77777777" w:rsidR="009D0006" w:rsidRPr="00334C68" w:rsidRDefault="009D0006" w:rsidP="009D0006">
      <w:r>
        <w:rPr>
          <w:lang w:val="en-US"/>
        </w:rPr>
        <w:t>Sexual orientation subpopulations</w:t>
      </w:r>
      <w:r w:rsidRPr="00A32AC6">
        <w:rPr>
          <w:lang w:val="en-US"/>
        </w:rPr>
        <w:t xml:space="preserve"> </w:t>
      </w:r>
      <w:r>
        <w:rPr>
          <w:lang w:val="en-US"/>
        </w:rPr>
        <w:t xml:space="preserve">among LGBTQA+ people report different levels of health and wellbeing. For example, people who identify as bisexual often have higher levels of mental </w:t>
      </w:r>
      <w:r w:rsidRPr="00334C68">
        <w:t xml:space="preserve">health conditions, suicidal ideation and suicide attempts than </w:t>
      </w:r>
      <w:r>
        <w:t>gay, lesbian and heterosexual</w:t>
      </w:r>
      <w:r w:rsidRPr="00334C68">
        <w:t xml:space="preserve"> </w:t>
      </w:r>
      <w:r>
        <w:t>people.</w:t>
      </w:r>
      <w:r w:rsidRPr="00AB63ED">
        <w:fldChar w:fldCharType="begin"/>
      </w:r>
      <w:r>
        <w:instrText xml:space="preserve"> ADDIN ZOTERO_ITEM CSL_CITATION {"citationID":"a84le77r6t","properties":{"formattedCitation":"(99\\uc0\\u8211{}101)","plainCitation":"(99–101)","noteIndex":0},"citationItems":[{"id":5713,"uris":["http://zotero.org/groups/2463045/items/3GIEVDWX"],"itemData":{"id":5713,"type":"article-journal","container-title":"American Journal of Public Health","DOI":"10.2105/AJPH.2009.174169","issue":"10","page":"1953-1960","title":"A population-based study of sexual orientation identity and gender differences in adult health","volume":"100","author":[{"family":"Conron","given":"Kerith J"},{"family":"Mimiaga","given":"Matthew J."},{"family":"Landers","given":"Stewart J."}],"issued":{"date-parts":[["2010"]]},"citation-key":"conronPopulationbasedStudySexual2010"}},{"id":5768,"uris":["http://zotero.org/groups/2463045/items/Y7SPEHQZ"],"itemData":{"id":5768,"type":"article-journal","container-title":"Australian and New Zealand Journal of Psychiatry","DOI":"https://doi.org/10.1111/j.1365-2788.2011.01532.x","issue":"2","page":"145-153","title":"Suicidal ideation, suicide attempts and non-suicidal self-injury among lesbian, gay, bisexual and heterosexual adults","volume":"50","author":[{"family":"Swannell","given":"S"},{"family":"Martin","given":"G"},{"family":"Page","given":"A"}],"issued":{"date-parts":[["2015"]]},"citation-key":"swannellSuicidalIdeationSuicide2015"}},{"id":5686,"uris":["http://zotero.org/groups/2463045/items/QH4D5PJY"],"itemData":{"id":5686,"type":"article-journal","container-title":"Journal of Psychosocial Nursing and Mental Health Services","DOI":"https://doi.org/10.3928/02793695-20191211-01","issue":"3","page":"28-37","title":"Experiences of bisexual identity, attraction, and behavior and their relationship with mental health: Findings from the Who I Am Study","volume":"58","author":[{"family":"Taylor","given":"Julia"},{"family":"Power","given":"Jennifer"},{"family":"Smith","given":"Elizabeth"}],"issued":{"date-parts":[["2020"]]},"citation-key":"taylorExperiencesBisexualIdentity2020"}}],"schema":"https://github.com/citation-style-language/schema/raw/master/csl-citation.json"} </w:instrText>
      </w:r>
      <w:r w:rsidRPr="00AB63ED">
        <w:fldChar w:fldCharType="separate"/>
      </w:r>
      <w:r w:rsidRPr="00B45DEC">
        <w:rPr>
          <w:lang w:val="en-GB"/>
        </w:rPr>
        <w:t>(99–101)</w:t>
      </w:r>
      <w:r w:rsidRPr="00AB63ED">
        <w:fldChar w:fldCharType="end"/>
      </w:r>
      <w:r>
        <w:rPr>
          <w:noProof/>
        </w:rPr>
        <w:fldChar w:fldCharType="begin"/>
      </w:r>
      <w:r>
        <w:rPr>
          <w:noProof/>
        </w:rPr>
        <w:instrText xml:space="preserve"> ADDIN ZOTERO_TEMP </w:instrText>
      </w:r>
      <w:r>
        <w:rPr>
          <w:noProof/>
        </w:rPr>
        <w:fldChar w:fldCharType="separate"/>
      </w:r>
      <w:r>
        <w:rPr>
          <w:noProof/>
        </w:rPr>
        <w:t xml:space="preserve"> </w:t>
      </w:r>
      <w:r>
        <w:rPr>
          <w:noProof/>
        </w:rPr>
        <w:fldChar w:fldCharType="end"/>
      </w:r>
    </w:p>
    <w:p w14:paraId="6F60D1FC" w14:textId="77777777" w:rsidR="009D0006" w:rsidRPr="00BD6992" w:rsidRDefault="009D0006" w:rsidP="009D0006">
      <w:pPr>
        <w:rPr>
          <w:i/>
          <w:iCs/>
          <w:lang w:val="en-US"/>
        </w:rPr>
      </w:pPr>
      <w:r w:rsidRPr="00334C68">
        <w:t xml:space="preserve">However, there is limited research </w:t>
      </w:r>
      <w:r>
        <w:t xml:space="preserve">either in Australia or internationally </w:t>
      </w:r>
      <w:r w:rsidRPr="00334C68">
        <w:t>regarding sexual orientation sub-populations among people with disability, such as pansexual, queer or asexual identifying people. This chapter</w:t>
      </w:r>
      <w:r>
        <w:rPr>
          <w:lang w:val="en-US"/>
        </w:rPr>
        <w:t xml:space="preserve"> provides a brief overview of how key aspects of harassment, abuse, neglect and community belonging and mental wellbeing vary </w:t>
      </w:r>
      <w:r w:rsidRPr="00D71743">
        <w:rPr>
          <w:lang w:val="en-US"/>
        </w:rPr>
        <w:t>according to sexual orientation</w:t>
      </w:r>
      <w:r>
        <w:rPr>
          <w:lang w:val="en-US"/>
        </w:rPr>
        <w:t xml:space="preserve"> among LGBTQA+ people with disability in </w:t>
      </w:r>
      <w:r w:rsidRPr="00F77C35">
        <w:rPr>
          <w:i/>
        </w:rPr>
        <w:t>Writing Themselves In 4</w:t>
      </w:r>
      <w:r>
        <w:fldChar w:fldCharType="begin"/>
      </w:r>
      <w:r>
        <w:instrText xml:space="preserve"> ADDIN ZOTERO_ITEM CSL_CITATION {"citationID":"rbGhpdNq","properties":{"formattedCitation":"(1)","plainCitation":"(1)","noteIndex":0},"citationItems":[{"id":"hc6yy1rM/ZY4LR28S","uris":["http://zotero.org/users/4948307/items/7BM38QY5"],"itemData":{"id":3331,"type":"report","abstract":"The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fldChar w:fldCharType="separate"/>
      </w:r>
      <w:r>
        <w:rPr>
          <w:lang w:val="en-GB"/>
        </w:rPr>
        <w:t>(1)</w:t>
      </w:r>
      <w:r>
        <w:fldChar w:fldCharType="end"/>
      </w:r>
      <w:r w:rsidRPr="006E4CDB">
        <w:t xml:space="preserve"> and </w:t>
      </w:r>
      <w:r w:rsidRPr="00F77C35">
        <w:rPr>
          <w:i/>
        </w:rPr>
        <w:t>Private Lives 3</w:t>
      </w:r>
      <w:r>
        <w:rPr>
          <w:i/>
        </w:rPr>
        <w:t>.</w:t>
      </w:r>
      <w:r>
        <w:fldChar w:fldCharType="begin"/>
      </w:r>
      <w:r>
        <w:instrText xml:space="preserve"> ADDIN ZOTERO_ITEM CSL_CITATION {"citationID":"EOshMxn4","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fldChar w:fldCharType="separate"/>
      </w:r>
      <w:r>
        <w:rPr>
          <w:lang w:val="en-GB"/>
        </w:rPr>
        <w:t>(2)</w:t>
      </w:r>
      <w:r>
        <w:fldChar w:fldCharType="end"/>
      </w:r>
    </w:p>
    <w:p w14:paraId="7064B40B" w14:textId="73E6D34D" w:rsidR="009D0006" w:rsidRPr="00C5739E" w:rsidRDefault="009D0006" w:rsidP="009401DC">
      <w:pPr>
        <w:pStyle w:val="Heading2Numbered"/>
      </w:pPr>
      <w:bookmarkStart w:id="936" w:name="_Toc115968672"/>
      <w:bookmarkStart w:id="937" w:name="_Toc119662484"/>
      <w:r w:rsidRPr="00C5739E">
        <w:t>Community belonging</w:t>
      </w:r>
      <w:bookmarkEnd w:id="936"/>
      <w:bookmarkEnd w:id="937"/>
      <w:r w:rsidRPr="00C5739E">
        <w:t xml:space="preserve"> </w:t>
      </w:r>
    </w:p>
    <w:p w14:paraId="625C01CE" w14:textId="69F692FD" w:rsidR="009D0006" w:rsidRPr="001E0147" w:rsidRDefault="009D0006" w:rsidP="009401DC">
      <w:pPr>
        <w:pStyle w:val="Heading3Numbered"/>
      </w:pPr>
      <w:bookmarkStart w:id="938" w:name="_Toc115968673"/>
      <w:r w:rsidRPr="00034105">
        <w:t>Feel</w:t>
      </w:r>
      <w:r>
        <w:t>ing</w:t>
      </w:r>
      <w:r w:rsidRPr="00886F0B">
        <w:t xml:space="preserve"> part of Australia’s LGBTIQ community – adults aged 18+ years</w:t>
      </w:r>
      <w:bookmarkEnd w:id="938"/>
    </w:p>
    <w:p w14:paraId="7EBE26C1" w14:textId="77777777" w:rsidR="009D0006" w:rsidRPr="00C5739E" w:rsidRDefault="009D0006" w:rsidP="009D0006">
      <w:r w:rsidRPr="00C5739E">
        <w:t>Participants were asked the extent to which ‘you feel you're a part of the Australian LGBTIQ community’ and ‘participating in Australia’s LGBTIQ community is a positive thing for you’</w:t>
      </w:r>
      <w:r>
        <w:t>. R</w:t>
      </w:r>
      <w:r w:rsidRPr="00C5739E">
        <w:t xml:space="preserve">esponse options </w:t>
      </w:r>
      <w:r>
        <w:t xml:space="preserve">were </w:t>
      </w:r>
      <w:r w:rsidRPr="00C5739E">
        <w:t xml:space="preserve">provided on a </w:t>
      </w:r>
      <w:r>
        <w:t>5</w:t>
      </w:r>
      <w:r w:rsidRPr="00C5739E">
        <w:t>-point scale from ‘strongly disagree’ to strongly agree’</w:t>
      </w:r>
      <w:r>
        <w:t>.</w:t>
      </w:r>
      <w:r w:rsidRPr="00C5739E">
        <w:t xml:space="preserve"> Table</w:t>
      </w:r>
      <w:r>
        <w:t>s</w:t>
      </w:r>
      <w:r w:rsidRPr="00C5739E">
        <w:t xml:space="preserve"> </w:t>
      </w:r>
      <w:r>
        <w:t>122.1-122.7</w:t>
      </w:r>
      <w:r w:rsidRPr="00C5739E">
        <w:t xml:space="preserve"> display these results </w:t>
      </w:r>
      <w:r w:rsidRPr="00C5739E">
        <w:rPr>
          <w:bCs/>
        </w:rPr>
        <w:t xml:space="preserve">according to </w:t>
      </w:r>
      <w:r>
        <w:t>participants’ sexual orientation.</w:t>
      </w:r>
    </w:p>
    <w:p w14:paraId="5FE1C208" w14:textId="1D76A45A" w:rsidR="009D0006" w:rsidRDefault="009D0006" w:rsidP="0072552A">
      <w:pPr>
        <w:pStyle w:val="Tableheading"/>
      </w:pPr>
      <w:bookmarkStart w:id="939" w:name="_Toc117062839"/>
      <w:bookmarkStart w:id="940" w:name="_Toc119651524"/>
      <w:r w:rsidRPr="0022392F">
        <w:t>Table</w:t>
      </w:r>
      <w:r>
        <w:t>s</w:t>
      </w:r>
      <w:r w:rsidRPr="0022392F">
        <w:t xml:space="preserve"> </w:t>
      </w:r>
      <w:r>
        <w:rPr>
          <w:noProof/>
        </w:rPr>
        <w:fldChar w:fldCharType="begin"/>
      </w:r>
      <w:r>
        <w:rPr>
          <w:noProof/>
        </w:rPr>
        <w:instrText xml:space="preserve"> SEQ Table \* ARABIC </w:instrText>
      </w:r>
      <w:r>
        <w:rPr>
          <w:noProof/>
        </w:rPr>
        <w:fldChar w:fldCharType="separate"/>
      </w:r>
      <w:r>
        <w:rPr>
          <w:noProof/>
        </w:rPr>
        <w:t>122</w:t>
      </w:r>
      <w:r>
        <w:rPr>
          <w:noProof/>
        </w:rPr>
        <w:fldChar w:fldCharType="end"/>
      </w:r>
      <w:r>
        <w:rPr>
          <w:noProof/>
        </w:rPr>
        <w:t>.1-122.7</w:t>
      </w:r>
      <w:r w:rsidRPr="00034105">
        <w:t xml:space="preserve">: You feel you’re part of Australia’s LGBTIQ community </w:t>
      </w:r>
      <w:r>
        <w:t>among adults with disability aged 18+ years, grouped by sexual orientation</w:t>
      </w:r>
      <w:r w:rsidRPr="001E0147">
        <w:t xml:space="preserve"> (n = 2617)</w:t>
      </w:r>
      <w:bookmarkEnd w:id="939"/>
      <w:bookmarkEnd w:id="940"/>
    </w:p>
    <w:p w14:paraId="72DD99ED" w14:textId="77777777" w:rsidR="009D0006" w:rsidRPr="001E0147" w:rsidRDefault="009D0006" w:rsidP="0072552A">
      <w:pPr>
        <w:pStyle w:val="Tableheading"/>
      </w:pPr>
      <w:r>
        <w:t>Table 122.1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52A5BE1" w14:textId="77777777" w:rsidTr="0072552A">
        <w:trPr>
          <w:cnfStyle w:val="100000000000" w:firstRow="1" w:lastRow="0" w:firstColumn="0" w:lastColumn="0" w:oddVBand="0" w:evenVBand="0" w:oddHBand="0" w:evenHBand="0" w:firstRowFirstColumn="0" w:firstRowLastColumn="0" w:lastRowFirstColumn="0" w:lastRowLastColumn="0"/>
          <w:trHeight w:val="321"/>
        </w:trPr>
        <w:tc>
          <w:tcPr>
            <w:tcW w:w="6746" w:type="dxa"/>
            <w:noWrap/>
            <w:hideMark/>
          </w:tcPr>
          <w:p w14:paraId="3A66FDF4" w14:textId="77777777" w:rsidR="009D0006" w:rsidRPr="00BC3468" w:rsidRDefault="009D0006" w:rsidP="0072552A">
            <w:pPr>
              <w:pStyle w:val="Tableheader"/>
            </w:pPr>
            <w:r>
              <w:t>Feel part of LGBTIQ community</w:t>
            </w:r>
          </w:p>
        </w:tc>
        <w:tc>
          <w:tcPr>
            <w:tcW w:w="1559" w:type="dxa"/>
            <w:noWrap/>
            <w:hideMark/>
          </w:tcPr>
          <w:p w14:paraId="1C294000" w14:textId="77777777" w:rsidR="009D0006" w:rsidRPr="004B0B8F" w:rsidRDefault="009D0006" w:rsidP="0072552A">
            <w:pPr>
              <w:pStyle w:val="Tableheader"/>
              <w:rPr>
                <w:bCs/>
              </w:rPr>
            </w:pPr>
            <w:r w:rsidRPr="004B0B8F">
              <w:rPr>
                <w:bCs/>
              </w:rPr>
              <w:t>n</w:t>
            </w:r>
          </w:p>
        </w:tc>
        <w:tc>
          <w:tcPr>
            <w:tcW w:w="1559" w:type="dxa"/>
            <w:noWrap/>
            <w:hideMark/>
          </w:tcPr>
          <w:p w14:paraId="758908FA" w14:textId="77777777" w:rsidR="009D0006" w:rsidRPr="004B0B8F" w:rsidRDefault="009D0006" w:rsidP="0072552A">
            <w:pPr>
              <w:pStyle w:val="Tableheader"/>
              <w:rPr>
                <w:bCs/>
              </w:rPr>
            </w:pPr>
            <w:r w:rsidRPr="004B0B8F">
              <w:rPr>
                <w:bCs/>
              </w:rPr>
              <w:t>%</w:t>
            </w:r>
          </w:p>
        </w:tc>
      </w:tr>
      <w:tr w:rsidR="009D0006" w:rsidRPr="00BC3468" w14:paraId="64D0474D" w14:textId="77777777" w:rsidTr="0072552A">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6513805B" w14:textId="77777777" w:rsidR="009D0006" w:rsidRPr="00BC3468" w:rsidRDefault="009D0006" w:rsidP="0072552A">
            <w:pPr>
              <w:pStyle w:val="Tabletext"/>
            </w:pPr>
            <w:r w:rsidRPr="00BC3468">
              <w:t>Do not agree</w:t>
            </w:r>
          </w:p>
        </w:tc>
        <w:tc>
          <w:tcPr>
            <w:tcW w:w="1559" w:type="dxa"/>
            <w:noWrap/>
          </w:tcPr>
          <w:p w14:paraId="3830170C" w14:textId="77777777" w:rsidR="009D0006" w:rsidRPr="00BC3468" w:rsidRDefault="009D0006" w:rsidP="0072552A">
            <w:pPr>
              <w:pStyle w:val="Tabletext"/>
            </w:pPr>
            <w:r>
              <w:t>214</w:t>
            </w:r>
          </w:p>
        </w:tc>
        <w:tc>
          <w:tcPr>
            <w:tcW w:w="1559" w:type="dxa"/>
            <w:noWrap/>
          </w:tcPr>
          <w:p w14:paraId="27F10818" w14:textId="77777777" w:rsidR="009D0006" w:rsidRPr="00BC3468" w:rsidRDefault="009D0006" w:rsidP="0072552A">
            <w:pPr>
              <w:pStyle w:val="Tabletext"/>
            </w:pPr>
            <w:r>
              <w:t>41.6</w:t>
            </w:r>
          </w:p>
        </w:tc>
      </w:tr>
      <w:tr w:rsidR="009D0006" w:rsidRPr="00BC3468" w14:paraId="1CC590B0" w14:textId="77777777" w:rsidTr="0072552A">
        <w:trPr>
          <w:cnfStyle w:val="000000010000" w:firstRow="0" w:lastRow="0" w:firstColumn="0" w:lastColumn="0" w:oddVBand="0" w:evenVBand="0" w:oddHBand="0" w:evenHBand="1" w:firstRowFirstColumn="0" w:firstRowLastColumn="0" w:lastRowFirstColumn="0" w:lastRowLastColumn="0"/>
          <w:trHeight w:val="162"/>
        </w:trPr>
        <w:tc>
          <w:tcPr>
            <w:tcW w:w="6746" w:type="dxa"/>
            <w:noWrap/>
            <w:hideMark/>
          </w:tcPr>
          <w:p w14:paraId="254C32DC" w14:textId="77777777" w:rsidR="009D0006" w:rsidRPr="00BC3468" w:rsidRDefault="009D0006" w:rsidP="0072552A">
            <w:pPr>
              <w:pStyle w:val="Tabletext"/>
            </w:pPr>
            <w:r w:rsidRPr="00BC3468">
              <w:t>Agree/strongly agree</w:t>
            </w:r>
          </w:p>
        </w:tc>
        <w:tc>
          <w:tcPr>
            <w:tcW w:w="1559" w:type="dxa"/>
            <w:noWrap/>
          </w:tcPr>
          <w:p w14:paraId="7747EC3F" w14:textId="77777777" w:rsidR="009D0006" w:rsidRPr="00BC3468" w:rsidRDefault="009D0006" w:rsidP="0072552A">
            <w:pPr>
              <w:pStyle w:val="Tabletext"/>
            </w:pPr>
            <w:r>
              <w:t>300</w:t>
            </w:r>
          </w:p>
        </w:tc>
        <w:tc>
          <w:tcPr>
            <w:tcW w:w="1559" w:type="dxa"/>
            <w:noWrap/>
          </w:tcPr>
          <w:p w14:paraId="1D3F3449" w14:textId="77777777" w:rsidR="009D0006" w:rsidRPr="00BC3468" w:rsidRDefault="009D0006" w:rsidP="0072552A">
            <w:pPr>
              <w:pStyle w:val="Tabletext"/>
            </w:pPr>
            <w:r>
              <w:t>58.4</w:t>
            </w:r>
          </w:p>
        </w:tc>
      </w:tr>
    </w:tbl>
    <w:p w14:paraId="60FE0634" w14:textId="77777777" w:rsidR="00650B64" w:rsidRDefault="00650B64">
      <w:pPr>
        <w:spacing w:before="0"/>
        <w:rPr>
          <w:rFonts w:eastAsiaTheme="majorEastAsia" w:cstheme="majorBidi"/>
          <w:b/>
          <w:color w:val="000000" w:themeColor="text1"/>
        </w:rPr>
      </w:pPr>
      <w:r>
        <w:br w:type="page"/>
      </w:r>
    </w:p>
    <w:p w14:paraId="2C7C9268" w14:textId="48EDAC76" w:rsidR="009D0006" w:rsidRDefault="009D0006" w:rsidP="0072552A">
      <w:pPr>
        <w:pStyle w:val="Tableheading"/>
      </w:pPr>
      <w:r>
        <w:t>Table 122.</w:t>
      </w:r>
      <w:r>
        <w:lastRenderedPageBreak/>
        <w:t>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A7E9238" w14:textId="77777777" w:rsidTr="0072552A">
        <w:trPr>
          <w:cnfStyle w:val="100000000000" w:firstRow="1" w:lastRow="0" w:firstColumn="0" w:lastColumn="0" w:oddVBand="0" w:evenVBand="0" w:oddHBand="0" w:evenHBand="0" w:firstRowFirstColumn="0" w:firstRowLastColumn="0" w:lastRowFirstColumn="0" w:lastRowLastColumn="0"/>
          <w:trHeight w:val="488"/>
        </w:trPr>
        <w:tc>
          <w:tcPr>
            <w:tcW w:w="6746" w:type="dxa"/>
            <w:noWrap/>
            <w:hideMark/>
          </w:tcPr>
          <w:p w14:paraId="4209731A" w14:textId="77777777" w:rsidR="009D0006" w:rsidRPr="00BC3468" w:rsidRDefault="009D0006" w:rsidP="0072552A">
            <w:pPr>
              <w:pStyle w:val="Tableheader"/>
            </w:pPr>
            <w:r>
              <w:t>Feel part of LGBTIQ community</w:t>
            </w:r>
          </w:p>
        </w:tc>
        <w:tc>
          <w:tcPr>
            <w:tcW w:w="1559" w:type="dxa"/>
            <w:noWrap/>
            <w:hideMark/>
          </w:tcPr>
          <w:p w14:paraId="7F9185AE" w14:textId="77777777" w:rsidR="009D0006" w:rsidRPr="004B0B8F" w:rsidRDefault="009D0006" w:rsidP="0072552A">
            <w:pPr>
              <w:pStyle w:val="Tableheader"/>
              <w:rPr>
                <w:bCs/>
              </w:rPr>
            </w:pPr>
            <w:r w:rsidRPr="004B0B8F">
              <w:rPr>
                <w:bCs/>
              </w:rPr>
              <w:t>n</w:t>
            </w:r>
          </w:p>
        </w:tc>
        <w:tc>
          <w:tcPr>
            <w:tcW w:w="1559" w:type="dxa"/>
            <w:noWrap/>
            <w:hideMark/>
          </w:tcPr>
          <w:p w14:paraId="0CC2713B" w14:textId="77777777" w:rsidR="009D0006" w:rsidRPr="004B0B8F" w:rsidRDefault="009D0006" w:rsidP="0072552A">
            <w:pPr>
              <w:pStyle w:val="Tableheader"/>
              <w:rPr>
                <w:bCs/>
              </w:rPr>
            </w:pPr>
            <w:r w:rsidRPr="004B0B8F">
              <w:rPr>
                <w:bCs/>
              </w:rPr>
              <w:t>%</w:t>
            </w:r>
          </w:p>
        </w:tc>
      </w:tr>
      <w:tr w:rsidR="009D0006" w:rsidRPr="00BC3468" w14:paraId="02AD22E2" w14:textId="77777777" w:rsidTr="0072552A">
        <w:trPr>
          <w:cnfStyle w:val="000000100000" w:firstRow="0" w:lastRow="0" w:firstColumn="0" w:lastColumn="0" w:oddVBand="0" w:evenVBand="0" w:oddHBand="1" w:evenHBand="0" w:firstRowFirstColumn="0" w:firstRowLastColumn="0" w:lastRowFirstColumn="0" w:lastRowLastColumn="0"/>
          <w:trHeight w:val="227"/>
        </w:trPr>
        <w:tc>
          <w:tcPr>
            <w:tcW w:w="6746" w:type="dxa"/>
            <w:noWrap/>
            <w:hideMark/>
          </w:tcPr>
          <w:p w14:paraId="04BC2126" w14:textId="77777777" w:rsidR="009D0006" w:rsidRPr="00BC3468" w:rsidRDefault="009D0006" w:rsidP="0072552A">
            <w:pPr>
              <w:pStyle w:val="Tabletext"/>
            </w:pPr>
            <w:r w:rsidRPr="00BC3468">
              <w:t>Do not agree</w:t>
            </w:r>
          </w:p>
        </w:tc>
        <w:tc>
          <w:tcPr>
            <w:tcW w:w="1559" w:type="dxa"/>
            <w:noWrap/>
          </w:tcPr>
          <w:p w14:paraId="40506820" w14:textId="77777777" w:rsidR="009D0006" w:rsidRPr="00BC3468" w:rsidRDefault="009D0006" w:rsidP="0072552A">
            <w:pPr>
              <w:pStyle w:val="Tabletext"/>
            </w:pPr>
            <w:r>
              <w:t>205</w:t>
            </w:r>
          </w:p>
        </w:tc>
        <w:tc>
          <w:tcPr>
            <w:tcW w:w="1559" w:type="dxa"/>
            <w:noWrap/>
          </w:tcPr>
          <w:p w14:paraId="67B76BBD" w14:textId="77777777" w:rsidR="009D0006" w:rsidRPr="00BC3468" w:rsidRDefault="009D0006" w:rsidP="0072552A">
            <w:pPr>
              <w:pStyle w:val="Tabletext"/>
            </w:pPr>
            <w:r>
              <w:t>48.5</w:t>
            </w:r>
          </w:p>
        </w:tc>
      </w:tr>
      <w:tr w:rsidR="009D0006" w:rsidRPr="00BC3468" w14:paraId="36B4259F" w14:textId="77777777" w:rsidTr="0072552A">
        <w:trPr>
          <w:cnfStyle w:val="000000010000" w:firstRow="0" w:lastRow="0" w:firstColumn="0" w:lastColumn="0" w:oddVBand="0" w:evenVBand="0" w:oddHBand="0" w:evenHBand="1" w:firstRowFirstColumn="0" w:firstRowLastColumn="0" w:lastRowFirstColumn="0" w:lastRowLastColumn="0"/>
          <w:trHeight w:val="250"/>
        </w:trPr>
        <w:tc>
          <w:tcPr>
            <w:tcW w:w="6746" w:type="dxa"/>
            <w:noWrap/>
            <w:hideMark/>
          </w:tcPr>
          <w:p w14:paraId="471FD6D2" w14:textId="77777777" w:rsidR="009D0006" w:rsidRPr="00BC3468" w:rsidRDefault="009D0006" w:rsidP="0072552A">
            <w:pPr>
              <w:pStyle w:val="Tabletext"/>
            </w:pPr>
            <w:r w:rsidRPr="00BC3468">
              <w:t>Agree/strongly agree</w:t>
            </w:r>
          </w:p>
        </w:tc>
        <w:tc>
          <w:tcPr>
            <w:tcW w:w="1559" w:type="dxa"/>
            <w:noWrap/>
          </w:tcPr>
          <w:p w14:paraId="2B812244" w14:textId="77777777" w:rsidR="009D0006" w:rsidRPr="00BC3468" w:rsidRDefault="009D0006" w:rsidP="0072552A">
            <w:pPr>
              <w:pStyle w:val="Tabletext"/>
            </w:pPr>
            <w:r>
              <w:t>218</w:t>
            </w:r>
          </w:p>
        </w:tc>
        <w:tc>
          <w:tcPr>
            <w:tcW w:w="1559" w:type="dxa"/>
            <w:noWrap/>
          </w:tcPr>
          <w:p w14:paraId="140C4B5F" w14:textId="77777777" w:rsidR="009D0006" w:rsidRPr="00BC3468" w:rsidRDefault="009D0006" w:rsidP="0072552A">
            <w:pPr>
              <w:pStyle w:val="Tabletext"/>
            </w:pPr>
            <w:r>
              <w:t>51.5</w:t>
            </w:r>
          </w:p>
        </w:tc>
      </w:tr>
    </w:tbl>
    <w:p w14:paraId="775F862F" w14:textId="77777777" w:rsidR="009D0006" w:rsidRDefault="009D0006" w:rsidP="0072552A">
      <w:pPr>
        <w:pStyle w:val="Tableheading"/>
      </w:pPr>
      <w:r>
        <w:t>Table 122.3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42EC589" w14:textId="77777777" w:rsidTr="0072552A">
        <w:trPr>
          <w:cnfStyle w:val="100000000000" w:firstRow="1" w:lastRow="0" w:firstColumn="0" w:lastColumn="0" w:oddVBand="0" w:evenVBand="0" w:oddHBand="0" w:evenHBand="0" w:firstRowFirstColumn="0" w:firstRowLastColumn="0" w:lastRowFirstColumn="0" w:lastRowLastColumn="0"/>
          <w:trHeight w:val="309"/>
        </w:trPr>
        <w:tc>
          <w:tcPr>
            <w:tcW w:w="6746" w:type="dxa"/>
            <w:noWrap/>
            <w:hideMark/>
          </w:tcPr>
          <w:p w14:paraId="26ABA533" w14:textId="77777777" w:rsidR="009D0006" w:rsidRPr="00BC3468" w:rsidRDefault="009D0006" w:rsidP="0072552A">
            <w:pPr>
              <w:pStyle w:val="Tableheader"/>
            </w:pPr>
            <w:r>
              <w:t>Feel part of LGBTIQ community</w:t>
            </w:r>
          </w:p>
        </w:tc>
        <w:tc>
          <w:tcPr>
            <w:tcW w:w="1559" w:type="dxa"/>
          </w:tcPr>
          <w:p w14:paraId="21ED4D34" w14:textId="77777777" w:rsidR="009D0006" w:rsidRPr="004B0B8F" w:rsidRDefault="009D0006" w:rsidP="0072552A">
            <w:pPr>
              <w:pStyle w:val="Tableheader"/>
              <w:rPr>
                <w:bCs/>
              </w:rPr>
            </w:pPr>
            <w:r w:rsidRPr="004B0B8F">
              <w:rPr>
                <w:bCs/>
              </w:rPr>
              <w:t>n</w:t>
            </w:r>
          </w:p>
        </w:tc>
        <w:tc>
          <w:tcPr>
            <w:tcW w:w="1559" w:type="dxa"/>
          </w:tcPr>
          <w:p w14:paraId="27B775CB" w14:textId="77777777" w:rsidR="009D0006" w:rsidRPr="004B0B8F" w:rsidRDefault="009D0006" w:rsidP="0072552A">
            <w:pPr>
              <w:pStyle w:val="Tableheader"/>
              <w:rPr>
                <w:bCs/>
              </w:rPr>
            </w:pPr>
            <w:r w:rsidRPr="004B0B8F">
              <w:rPr>
                <w:bCs/>
              </w:rPr>
              <w:t>%</w:t>
            </w:r>
          </w:p>
        </w:tc>
      </w:tr>
      <w:tr w:rsidR="009D0006" w:rsidRPr="00BC3468" w14:paraId="6D5F0224" w14:textId="77777777" w:rsidTr="0072552A">
        <w:trPr>
          <w:cnfStyle w:val="000000100000" w:firstRow="0" w:lastRow="0" w:firstColumn="0" w:lastColumn="0" w:oddVBand="0" w:evenVBand="0" w:oddHBand="1" w:evenHBand="0" w:firstRowFirstColumn="0" w:firstRowLastColumn="0" w:lastRowFirstColumn="0" w:lastRowLastColumn="0"/>
          <w:trHeight w:val="309"/>
        </w:trPr>
        <w:tc>
          <w:tcPr>
            <w:tcW w:w="6746" w:type="dxa"/>
            <w:noWrap/>
            <w:hideMark/>
          </w:tcPr>
          <w:p w14:paraId="515CFBF9" w14:textId="77777777" w:rsidR="009D0006" w:rsidRPr="00BC3468" w:rsidRDefault="009D0006" w:rsidP="0072552A">
            <w:pPr>
              <w:pStyle w:val="Tabletext"/>
            </w:pPr>
            <w:r w:rsidRPr="00BC3468">
              <w:t>Do not agree</w:t>
            </w:r>
          </w:p>
        </w:tc>
        <w:tc>
          <w:tcPr>
            <w:tcW w:w="1559" w:type="dxa"/>
          </w:tcPr>
          <w:p w14:paraId="773B6C2D" w14:textId="77777777" w:rsidR="009D0006" w:rsidRPr="00BC3468" w:rsidRDefault="009D0006" w:rsidP="0072552A">
            <w:pPr>
              <w:pStyle w:val="Tabletext"/>
            </w:pPr>
            <w:r>
              <w:t>295</w:t>
            </w:r>
          </w:p>
        </w:tc>
        <w:tc>
          <w:tcPr>
            <w:tcW w:w="1559" w:type="dxa"/>
          </w:tcPr>
          <w:p w14:paraId="3DB1E9B1" w14:textId="77777777" w:rsidR="009D0006" w:rsidRPr="00BC3468" w:rsidRDefault="009D0006" w:rsidP="0072552A">
            <w:pPr>
              <w:pStyle w:val="Tabletext"/>
            </w:pPr>
            <w:r>
              <w:t>46.2</w:t>
            </w:r>
          </w:p>
        </w:tc>
      </w:tr>
      <w:tr w:rsidR="009D0006" w:rsidRPr="00BC3468" w14:paraId="0FE709FC" w14:textId="77777777" w:rsidTr="0072552A">
        <w:trPr>
          <w:cnfStyle w:val="000000010000" w:firstRow="0" w:lastRow="0" w:firstColumn="0" w:lastColumn="0" w:oddVBand="0" w:evenVBand="0" w:oddHBand="0" w:evenHBand="1" w:firstRowFirstColumn="0" w:firstRowLastColumn="0" w:lastRowFirstColumn="0" w:lastRowLastColumn="0"/>
          <w:trHeight w:val="156"/>
        </w:trPr>
        <w:tc>
          <w:tcPr>
            <w:tcW w:w="6746" w:type="dxa"/>
            <w:noWrap/>
            <w:hideMark/>
          </w:tcPr>
          <w:p w14:paraId="70E20CEC" w14:textId="77777777" w:rsidR="009D0006" w:rsidRPr="00BC3468" w:rsidRDefault="009D0006" w:rsidP="0072552A">
            <w:pPr>
              <w:pStyle w:val="Tabletext"/>
            </w:pPr>
            <w:r w:rsidRPr="00BC3468">
              <w:t>Agree/strongly agree</w:t>
            </w:r>
          </w:p>
        </w:tc>
        <w:tc>
          <w:tcPr>
            <w:tcW w:w="1559" w:type="dxa"/>
          </w:tcPr>
          <w:p w14:paraId="2B169EAA" w14:textId="77777777" w:rsidR="009D0006" w:rsidRPr="00BC3468" w:rsidRDefault="009D0006" w:rsidP="0072552A">
            <w:pPr>
              <w:pStyle w:val="Tabletext"/>
            </w:pPr>
            <w:r>
              <w:t>343</w:t>
            </w:r>
          </w:p>
        </w:tc>
        <w:tc>
          <w:tcPr>
            <w:tcW w:w="1559" w:type="dxa"/>
          </w:tcPr>
          <w:p w14:paraId="1DD1AD03" w14:textId="77777777" w:rsidR="009D0006" w:rsidRPr="00BC3468" w:rsidRDefault="009D0006" w:rsidP="0072552A">
            <w:pPr>
              <w:pStyle w:val="Tabletext"/>
            </w:pPr>
            <w:r>
              <w:t>53.8</w:t>
            </w:r>
          </w:p>
        </w:tc>
      </w:tr>
    </w:tbl>
    <w:p w14:paraId="2D76BD5F" w14:textId="77777777" w:rsidR="009D0006" w:rsidRDefault="009D0006" w:rsidP="0072552A">
      <w:pPr>
        <w:pStyle w:val="Tableheading"/>
      </w:pPr>
      <w:r>
        <w:t>Table 122.4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EF95E3E" w14:textId="77777777" w:rsidTr="0072552A">
        <w:trPr>
          <w:cnfStyle w:val="100000000000" w:firstRow="1" w:lastRow="0" w:firstColumn="0" w:lastColumn="0" w:oddVBand="0" w:evenVBand="0" w:oddHBand="0" w:evenHBand="0" w:firstRowFirstColumn="0" w:firstRowLastColumn="0" w:lastRowFirstColumn="0" w:lastRowLastColumn="0"/>
          <w:trHeight w:val="304"/>
        </w:trPr>
        <w:tc>
          <w:tcPr>
            <w:tcW w:w="6746" w:type="dxa"/>
            <w:noWrap/>
            <w:hideMark/>
          </w:tcPr>
          <w:p w14:paraId="3F4BC186" w14:textId="77777777" w:rsidR="009D0006" w:rsidRPr="00BC3468" w:rsidRDefault="009D0006" w:rsidP="0072552A">
            <w:pPr>
              <w:pStyle w:val="Tableheader"/>
            </w:pPr>
            <w:r>
              <w:t>Feel part of LGBTIQ community</w:t>
            </w:r>
          </w:p>
        </w:tc>
        <w:tc>
          <w:tcPr>
            <w:tcW w:w="1559" w:type="dxa"/>
            <w:noWrap/>
            <w:hideMark/>
          </w:tcPr>
          <w:p w14:paraId="584C0D9E" w14:textId="77777777" w:rsidR="009D0006" w:rsidRPr="004B0B8F" w:rsidRDefault="009D0006" w:rsidP="0072552A">
            <w:pPr>
              <w:pStyle w:val="Tableheader"/>
              <w:rPr>
                <w:bCs/>
              </w:rPr>
            </w:pPr>
            <w:r w:rsidRPr="004B0B8F">
              <w:rPr>
                <w:bCs/>
              </w:rPr>
              <w:t>n</w:t>
            </w:r>
          </w:p>
        </w:tc>
        <w:tc>
          <w:tcPr>
            <w:tcW w:w="1559" w:type="dxa"/>
            <w:noWrap/>
            <w:hideMark/>
          </w:tcPr>
          <w:p w14:paraId="78B33B5D" w14:textId="77777777" w:rsidR="009D0006" w:rsidRPr="004B0B8F" w:rsidRDefault="009D0006" w:rsidP="0072552A">
            <w:pPr>
              <w:pStyle w:val="Tableheader"/>
              <w:rPr>
                <w:bCs/>
              </w:rPr>
            </w:pPr>
            <w:r w:rsidRPr="004B0B8F">
              <w:rPr>
                <w:bCs/>
              </w:rPr>
              <w:t>%</w:t>
            </w:r>
          </w:p>
        </w:tc>
      </w:tr>
      <w:tr w:rsidR="009D0006" w:rsidRPr="00BC3468" w14:paraId="06468CC4" w14:textId="77777777" w:rsidTr="0072552A">
        <w:trPr>
          <w:cnfStyle w:val="000000100000" w:firstRow="0" w:lastRow="0" w:firstColumn="0" w:lastColumn="0" w:oddVBand="0" w:evenVBand="0" w:oddHBand="1" w:evenHBand="0" w:firstRowFirstColumn="0" w:firstRowLastColumn="0" w:lastRowFirstColumn="0" w:lastRowLastColumn="0"/>
          <w:trHeight w:val="304"/>
        </w:trPr>
        <w:tc>
          <w:tcPr>
            <w:tcW w:w="6746" w:type="dxa"/>
            <w:noWrap/>
            <w:hideMark/>
          </w:tcPr>
          <w:p w14:paraId="0FA122F4" w14:textId="77777777" w:rsidR="009D0006" w:rsidRPr="00BC3468" w:rsidRDefault="009D0006" w:rsidP="0072552A">
            <w:pPr>
              <w:pStyle w:val="Tabletext"/>
            </w:pPr>
            <w:r w:rsidRPr="00BC3468">
              <w:t>Do not agree</w:t>
            </w:r>
          </w:p>
        </w:tc>
        <w:tc>
          <w:tcPr>
            <w:tcW w:w="1559" w:type="dxa"/>
            <w:noWrap/>
          </w:tcPr>
          <w:p w14:paraId="33C6A77C" w14:textId="77777777" w:rsidR="009D0006" w:rsidRPr="00BC3468" w:rsidRDefault="009D0006" w:rsidP="0072552A">
            <w:pPr>
              <w:pStyle w:val="Tabletext"/>
            </w:pPr>
            <w:r>
              <w:t>120</w:t>
            </w:r>
          </w:p>
        </w:tc>
        <w:tc>
          <w:tcPr>
            <w:tcW w:w="1559" w:type="dxa"/>
            <w:noWrap/>
          </w:tcPr>
          <w:p w14:paraId="67140667" w14:textId="77777777" w:rsidR="009D0006" w:rsidRPr="00BC3468" w:rsidRDefault="009D0006" w:rsidP="0072552A">
            <w:pPr>
              <w:pStyle w:val="Tabletext"/>
            </w:pPr>
            <w:r>
              <w:t>43.5</w:t>
            </w:r>
          </w:p>
        </w:tc>
      </w:tr>
      <w:tr w:rsidR="009D0006" w:rsidRPr="00BC3468" w14:paraId="4168AC7C" w14:textId="77777777" w:rsidTr="0072552A">
        <w:trPr>
          <w:cnfStyle w:val="000000010000" w:firstRow="0" w:lastRow="0" w:firstColumn="0" w:lastColumn="0" w:oddVBand="0" w:evenVBand="0" w:oddHBand="0" w:evenHBand="1" w:firstRowFirstColumn="0" w:firstRowLastColumn="0" w:lastRowFirstColumn="0" w:lastRowLastColumn="0"/>
          <w:trHeight w:val="154"/>
        </w:trPr>
        <w:tc>
          <w:tcPr>
            <w:tcW w:w="6746" w:type="dxa"/>
            <w:noWrap/>
            <w:hideMark/>
          </w:tcPr>
          <w:p w14:paraId="5B92EB88" w14:textId="77777777" w:rsidR="009D0006" w:rsidRPr="00BC3468" w:rsidRDefault="009D0006" w:rsidP="0072552A">
            <w:pPr>
              <w:pStyle w:val="Tabletext"/>
            </w:pPr>
            <w:r w:rsidRPr="00BC3468">
              <w:t>Agree/strongly agree</w:t>
            </w:r>
          </w:p>
        </w:tc>
        <w:tc>
          <w:tcPr>
            <w:tcW w:w="1559" w:type="dxa"/>
            <w:noWrap/>
          </w:tcPr>
          <w:p w14:paraId="2E62A051" w14:textId="77777777" w:rsidR="009D0006" w:rsidRPr="00BC3468" w:rsidRDefault="009D0006" w:rsidP="0072552A">
            <w:pPr>
              <w:pStyle w:val="Tabletext"/>
            </w:pPr>
            <w:r>
              <w:t>156</w:t>
            </w:r>
          </w:p>
        </w:tc>
        <w:tc>
          <w:tcPr>
            <w:tcW w:w="1559" w:type="dxa"/>
            <w:noWrap/>
          </w:tcPr>
          <w:p w14:paraId="18AD0A16" w14:textId="77777777" w:rsidR="009D0006" w:rsidRPr="00BC3468" w:rsidRDefault="009D0006" w:rsidP="0072552A">
            <w:pPr>
              <w:pStyle w:val="Tabletext"/>
            </w:pPr>
            <w:r>
              <w:t>56.5</w:t>
            </w:r>
          </w:p>
        </w:tc>
      </w:tr>
    </w:tbl>
    <w:p w14:paraId="67ADD741" w14:textId="77777777" w:rsidR="009D0006" w:rsidRDefault="009D0006" w:rsidP="0072552A">
      <w:pPr>
        <w:pStyle w:val="Tableheading"/>
      </w:pPr>
      <w:r>
        <w:t>Table 122.5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C15FC80" w14:textId="77777777" w:rsidTr="0072552A">
        <w:trPr>
          <w:cnfStyle w:val="100000000000" w:firstRow="1" w:lastRow="0" w:firstColumn="0" w:lastColumn="0" w:oddVBand="0" w:evenVBand="0" w:oddHBand="0" w:evenHBand="0" w:firstRowFirstColumn="0" w:firstRowLastColumn="0" w:lastRowFirstColumn="0" w:lastRowLastColumn="0"/>
          <w:trHeight w:val="286"/>
        </w:trPr>
        <w:tc>
          <w:tcPr>
            <w:tcW w:w="6746" w:type="dxa"/>
            <w:noWrap/>
            <w:hideMark/>
          </w:tcPr>
          <w:p w14:paraId="1327BA06" w14:textId="77777777" w:rsidR="009D0006" w:rsidRPr="00BC3468" w:rsidRDefault="009D0006" w:rsidP="0072552A">
            <w:pPr>
              <w:pStyle w:val="Tableheader"/>
            </w:pPr>
            <w:r>
              <w:t>Feel part of LGBTIQ community</w:t>
            </w:r>
          </w:p>
        </w:tc>
        <w:tc>
          <w:tcPr>
            <w:tcW w:w="1559" w:type="dxa"/>
            <w:noWrap/>
            <w:hideMark/>
          </w:tcPr>
          <w:p w14:paraId="761830BF" w14:textId="77777777" w:rsidR="009D0006" w:rsidRPr="00BC3468" w:rsidRDefault="009D0006" w:rsidP="0072552A">
            <w:pPr>
              <w:pStyle w:val="Tableheader"/>
              <w:rPr>
                <w:bCs/>
              </w:rPr>
            </w:pPr>
            <w:r w:rsidRPr="00BC3468">
              <w:rPr>
                <w:bCs/>
              </w:rPr>
              <w:t>n</w:t>
            </w:r>
          </w:p>
        </w:tc>
        <w:tc>
          <w:tcPr>
            <w:tcW w:w="1559" w:type="dxa"/>
            <w:noWrap/>
            <w:hideMark/>
          </w:tcPr>
          <w:p w14:paraId="191314E9" w14:textId="77777777" w:rsidR="009D0006" w:rsidRPr="00BC3468" w:rsidRDefault="009D0006" w:rsidP="0072552A">
            <w:pPr>
              <w:pStyle w:val="Tableheader"/>
              <w:rPr>
                <w:bCs/>
              </w:rPr>
            </w:pPr>
            <w:r w:rsidRPr="00BC3468">
              <w:rPr>
                <w:bCs/>
              </w:rPr>
              <w:t>%</w:t>
            </w:r>
          </w:p>
        </w:tc>
      </w:tr>
      <w:tr w:rsidR="009D0006" w:rsidRPr="00BC3468" w14:paraId="24B484E5" w14:textId="77777777" w:rsidTr="0072552A">
        <w:trPr>
          <w:cnfStyle w:val="000000100000" w:firstRow="0" w:lastRow="0" w:firstColumn="0" w:lastColumn="0" w:oddVBand="0" w:evenVBand="0" w:oddHBand="1" w:evenHBand="0" w:firstRowFirstColumn="0" w:firstRowLastColumn="0" w:lastRowFirstColumn="0" w:lastRowLastColumn="0"/>
          <w:trHeight w:val="286"/>
        </w:trPr>
        <w:tc>
          <w:tcPr>
            <w:tcW w:w="6746" w:type="dxa"/>
            <w:noWrap/>
            <w:hideMark/>
          </w:tcPr>
          <w:p w14:paraId="42846369" w14:textId="77777777" w:rsidR="009D0006" w:rsidRPr="00BC3468" w:rsidRDefault="009D0006" w:rsidP="0072552A">
            <w:pPr>
              <w:pStyle w:val="Tabletext"/>
            </w:pPr>
            <w:r w:rsidRPr="00BC3468">
              <w:t>Do not agree</w:t>
            </w:r>
          </w:p>
        </w:tc>
        <w:tc>
          <w:tcPr>
            <w:tcW w:w="1559" w:type="dxa"/>
            <w:noWrap/>
          </w:tcPr>
          <w:p w14:paraId="6BE693BA" w14:textId="77777777" w:rsidR="009D0006" w:rsidRPr="00BC3468" w:rsidRDefault="009D0006" w:rsidP="0072552A">
            <w:pPr>
              <w:pStyle w:val="Tabletext"/>
            </w:pPr>
            <w:r>
              <w:t>150</w:t>
            </w:r>
          </w:p>
        </w:tc>
        <w:tc>
          <w:tcPr>
            <w:tcW w:w="1559" w:type="dxa"/>
            <w:noWrap/>
          </w:tcPr>
          <w:p w14:paraId="07BE2595" w14:textId="77777777" w:rsidR="009D0006" w:rsidRPr="00BC3468" w:rsidRDefault="009D0006" w:rsidP="0072552A">
            <w:pPr>
              <w:pStyle w:val="Tabletext"/>
            </w:pPr>
            <w:r>
              <w:t>35.1</w:t>
            </w:r>
          </w:p>
        </w:tc>
      </w:tr>
      <w:tr w:rsidR="009D0006" w:rsidRPr="00BC3468" w14:paraId="5C1B1AC1" w14:textId="77777777" w:rsidTr="0072552A">
        <w:trPr>
          <w:cnfStyle w:val="000000010000" w:firstRow="0" w:lastRow="0" w:firstColumn="0" w:lastColumn="0" w:oddVBand="0" w:evenVBand="0" w:oddHBand="0" w:evenHBand="1" w:firstRowFirstColumn="0" w:firstRowLastColumn="0" w:lastRowFirstColumn="0" w:lastRowLastColumn="0"/>
          <w:trHeight w:val="286"/>
        </w:trPr>
        <w:tc>
          <w:tcPr>
            <w:tcW w:w="6746" w:type="dxa"/>
            <w:noWrap/>
            <w:hideMark/>
          </w:tcPr>
          <w:p w14:paraId="3C5B0EC6" w14:textId="77777777" w:rsidR="009D0006" w:rsidRPr="00BC3468" w:rsidRDefault="009D0006" w:rsidP="0072552A">
            <w:pPr>
              <w:pStyle w:val="Tabletext"/>
            </w:pPr>
            <w:r w:rsidRPr="00BC3468">
              <w:t>Agree/strongly agree</w:t>
            </w:r>
          </w:p>
        </w:tc>
        <w:tc>
          <w:tcPr>
            <w:tcW w:w="1559" w:type="dxa"/>
            <w:noWrap/>
          </w:tcPr>
          <w:p w14:paraId="0C5283A5" w14:textId="77777777" w:rsidR="009D0006" w:rsidRPr="00BC3468" w:rsidRDefault="009D0006" w:rsidP="0072552A">
            <w:pPr>
              <w:pStyle w:val="Tabletext"/>
            </w:pPr>
            <w:r>
              <w:t>277</w:t>
            </w:r>
          </w:p>
        </w:tc>
        <w:tc>
          <w:tcPr>
            <w:tcW w:w="1559" w:type="dxa"/>
            <w:noWrap/>
          </w:tcPr>
          <w:p w14:paraId="54910FE1" w14:textId="77777777" w:rsidR="009D0006" w:rsidRPr="00BC3468" w:rsidRDefault="009D0006" w:rsidP="0072552A">
            <w:pPr>
              <w:pStyle w:val="Tabletext"/>
            </w:pPr>
            <w:r>
              <w:t>64.9</w:t>
            </w:r>
          </w:p>
        </w:tc>
      </w:tr>
    </w:tbl>
    <w:p w14:paraId="16DE4D29" w14:textId="77777777" w:rsidR="009D0006" w:rsidRDefault="009D0006" w:rsidP="0072552A">
      <w:pPr>
        <w:pStyle w:val="Tableheading"/>
      </w:pPr>
      <w:r>
        <w:t>Table 122.6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0913E53" w14:textId="77777777" w:rsidTr="0072552A">
        <w:trPr>
          <w:cnfStyle w:val="100000000000" w:firstRow="1" w:lastRow="0" w:firstColumn="0" w:lastColumn="0" w:oddVBand="0" w:evenVBand="0" w:oddHBand="0" w:evenHBand="0" w:firstRowFirstColumn="0" w:firstRowLastColumn="0" w:lastRowFirstColumn="0" w:lastRowLastColumn="0"/>
          <w:trHeight w:val="255"/>
        </w:trPr>
        <w:tc>
          <w:tcPr>
            <w:tcW w:w="6746" w:type="dxa"/>
            <w:noWrap/>
            <w:hideMark/>
          </w:tcPr>
          <w:p w14:paraId="6942D8B6" w14:textId="77777777" w:rsidR="009D0006" w:rsidRPr="00BC3468" w:rsidRDefault="009D0006" w:rsidP="0072552A">
            <w:pPr>
              <w:pStyle w:val="Tableheader"/>
            </w:pPr>
            <w:r>
              <w:t>Feel part of LGBTIQ community</w:t>
            </w:r>
          </w:p>
        </w:tc>
        <w:tc>
          <w:tcPr>
            <w:tcW w:w="1559" w:type="dxa"/>
            <w:noWrap/>
            <w:hideMark/>
          </w:tcPr>
          <w:p w14:paraId="4480AE82" w14:textId="77777777" w:rsidR="009D0006" w:rsidRPr="004B0B8F" w:rsidRDefault="009D0006" w:rsidP="0072552A">
            <w:pPr>
              <w:pStyle w:val="Tableheader"/>
              <w:rPr>
                <w:bCs/>
              </w:rPr>
            </w:pPr>
            <w:r w:rsidRPr="004B0B8F">
              <w:rPr>
                <w:bCs/>
              </w:rPr>
              <w:t>n</w:t>
            </w:r>
          </w:p>
        </w:tc>
        <w:tc>
          <w:tcPr>
            <w:tcW w:w="1559" w:type="dxa"/>
            <w:noWrap/>
            <w:hideMark/>
          </w:tcPr>
          <w:p w14:paraId="17B39CC0" w14:textId="77777777" w:rsidR="009D0006" w:rsidRPr="004B0B8F" w:rsidRDefault="009D0006" w:rsidP="0072552A">
            <w:pPr>
              <w:pStyle w:val="Tableheader"/>
              <w:rPr>
                <w:bCs/>
              </w:rPr>
            </w:pPr>
            <w:r w:rsidRPr="004B0B8F">
              <w:rPr>
                <w:bCs/>
              </w:rPr>
              <w:t>%</w:t>
            </w:r>
          </w:p>
        </w:tc>
      </w:tr>
      <w:tr w:rsidR="009D0006" w:rsidRPr="00BC3468" w14:paraId="3D87DDAA" w14:textId="77777777" w:rsidTr="0072552A">
        <w:trPr>
          <w:cnfStyle w:val="000000100000" w:firstRow="0" w:lastRow="0" w:firstColumn="0" w:lastColumn="0" w:oddVBand="0" w:evenVBand="0" w:oddHBand="1" w:evenHBand="0" w:firstRowFirstColumn="0" w:firstRowLastColumn="0" w:lastRowFirstColumn="0" w:lastRowLastColumn="0"/>
          <w:trHeight w:val="255"/>
        </w:trPr>
        <w:tc>
          <w:tcPr>
            <w:tcW w:w="6746" w:type="dxa"/>
            <w:noWrap/>
            <w:hideMark/>
          </w:tcPr>
          <w:p w14:paraId="3F10E86B" w14:textId="77777777" w:rsidR="009D0006" w:rsidRPr="00BC3468" w:rsidRDefault="009D0006" w:rsidP="0072552A">
            <w:pPr>
              <w:pStyle w:val="Tabletext"/>
            </w:pPr>
            <w:r w:rsidRPr="00BC3468">
              <w:t>Do not agree</w:t>
            </w:r>
          </w:p>
        </w:tc>
        <w:tc>
          <w:tcPr>
            <w:tcW w:w="1559" w:type="dxa"/>
            <w:noWrap/>
          </w:tcPr>
          <w:p w14:paraId="06B12ACA" w14:textId="77777777" w:rsidR="009D0006" w:rsidRPr="00BC3468" w:rsidRDefault="009D0006" w:rsidP="0072552A">
            <w:pPr>
              <w:pStyle w:val="Tabletext"/>
            </w:pPr>
            <w:r>
              <w:t>62</w:t>
            </w:r>
          </w:p>
        </w:tc>
        <w:tc>
          <w:tcPr>
            <w:tcW w:w="1559" w:type="dxa"/>
            <w:noWrap/>
          </w:tcPr>
          <w:p w14:paraId="55C339A9" w14:textId="77777777" w:rsidR="009D0006" w:rsidRPr="00BC3468" w:rsidRDefault="009D0006" w:rsidP="0072552A">
            <w:pPr>
              <w:pStyle w:val="Tabletext"/>
            </w:pPr>
            <w:r>
              <w:t>49.6</w:t>
            </w:r>
          </w:p>
        </w:tc>
      </w:tr>
      <w:tr w:rsidR="009D0006" w:rsidRPr="00BC3468" w14:paraId="7976D42C" w14:textId="77777777" w:rsidTr="0072552A">
        <w:trPr>
          <w:cnfStyle w:val="000000010000" w:firstRow="0" w:lastRow="0" w:firstColumn="0" w:lastColumn="0" w:oddVBand="0" w:evenVBand="0" w:oddHBand="0" w:evenHBand="1" w:firstRowFirstColumn="0" w:firstRowLastColumn="0" w:lastRowFirstColumn="0" w:lastRowLastColumn="0"/>
          <w:trHeight w:val="255"/>
        </w:trPr>
        <w:tc>
          <w:tcPr>
            <w:tcW w:w="6746" w:type="dxa"/>
            <w:noWrap/>
            <w:hideMark/>
          </w:tcPr>
          <w:p w14:paraId="204F915C" w14:textId="77777777" w:rsidR="009D0006" w:rsidRPr="00BC3468" w:rsidRDefault="009D0006" w:rsidP="0072552A">
            <w:pPr>
              <w:pStyle w:val="Tabletext"/>
            </w:pPr>
            <w:r w:rsidRPr="00BC3468">
              <w:t>Agree/strongly agree</w:t>
            </w:r>
          </w:p>
        </w:tc>
        <w:tc>
          <w:tcPr>
            <w:tcW w:w="1559" w:type="dxa"/>
            <w:noWrap/>
          </w:tcPr>
          <w:p w14:paraId="27883EA8" w14:textId="77777777" w:rsidR="009D0006" w:rsidRPr="00BC3468" w:rsidRDefault="009D0006" w:rsidP="0072552A">
            <w:pPr>
              <w:pStyle w:val="Tabletext"/>
            </w:pPr>
            <w:r>
              <w:t>63</w:t>
            </w:r>
          </w:p>
        </w:tc>
        <w:tc>
          <w:tcPr>
            <w:tcW w:w="1559" w:type="dxa"/>
            <w:noWrap/>
          </w:tcPr>
          <w:p w14:paraId="30D86A68" w14:textId="77777777" w:rsidR="009D0006" w:rsidRPr="00BC3468" w:rsidRDefault="009D0006" w:rsidP="0072552A">
            <w:pPr>
              <w:pStyle w:val="Tabletext"/>
            </w:pPr>
            <w:r>
              <w:t>50.4</w:t>
            </w:r>
          </w:p>
        </w:tc>
      </w:tr>
    </w:tbl>
    <w:p w14:paraId="5EB68542" w14:textId="77777777" w:rsidR="009D0006" w:rsidRDefault="009D0006" w:rsidP="0072552A">
      <w:pPr>
        <w:pStyle w:val="Tableheading"/>
      </w:pPr>
      <w:r>
        <w:t>Table 122.7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14C032D" w14:textId="77777777" w:rsidTr="0072552A">
        <w:trPr>
          <w:cnfStyle w:val="100000000000" w:firstRow="1" w:lastRow="0" w:firstColumn="0" w:lastColumn="0" w:oddVBand="0" w:evenVBand="0" w:oddHBand="0" w:evenHBand="0" w:firstRowFirstColumn="0" w:firstRowLastColumn="0" w:lastRowFirstColumn="0" w:lastRowLastColumn="0"/>
          <w:trHeight w:val="266"/>
        </w:trPr>
        <w:tc>
          <w:tcPr>
            <w:tcW w:w="6746" w:type="dxa"/>
            <w:noWrap/>
            <w:hideMark/>
          </w:tcPr>
          <w:p w14:paraId="1B2316C3" w14:textId="77777777" w:rsidR="009D0006" w:rsidRPr="00BC3468" w:rsidRDefault="009D0006" w:rsidP="0072552A">
            <w:pPr>
              <w:pStyle w:val="Tableheader"/>
            </w:pPr>
            <w:r>
              <w:t>Feel part of LGBTIQ community</w:t>
            </w:r>
          </w:p>
        </w:tc>
        <w:tc>
          <w:tcPr>
            <w:tcW w:w="1559" w:type="dxa"/>
          </w:tcPr>
          <w:p w14:paraId="2C2CEBE4" w14:textId="77777777" w:rsidR="009D0006" w:rsidRPr="004B0B8F" w:rsidRDefault="009D0006" w:rsidP="0072552A">
            <w:pPr>
              <w:pStyle w:val="Tableheader"/>
              <w:rPr>
                <w:bCs/>
              </w:rPr>
            </w:pPr>
            <w:r w:rsidRPr="004B0B8F">
              <w:rPr>
                <w:bCs/>
              </w:rPr>
              <w:t>n</w:t>
            </w:r>
          </w:p>
        </w:tc>
        <w:tc>
          <w:tcPr>
            <w:tcW w:w="1559" w:type="dxa"/>
          </w:tcPr>
          <w:p w14:paraId="52625462" w14:textId="77777777" w:rsidR="009D0006" w:rsidRPr="004B0B8F" w:rsidRDefault="009D0006" w:rsidP="0072552A">
            <w:pPr>
              <w:pStyle w:val="Tableheader"/>
              <w:rPr>
                <w:bCs/>
              </w:rPr>
            </w:pPr>
            <w:r w:rsidRPr="004B0B8F">
              <w:rPr>
                <w:bCs/>
              </w:rPr>
              <w:t>%</w:t>
            </w:r>
          </w:p>
        </w:tc>
      </w:tr>
      <w:tr w:rsidR="009D0006" w:rsidRPr="00BC3468" w14:paraId="5B607D66" w14:textId="77777777" w:rsidTr="0072552A">
        <w:trPr>
          <w:cnfStyle w:val="000000100000" w:firstRow="0" w:lastRow="0" w:firstColumn="0" w:lastColumn="0" w:oddVBand="0" w:evenVBand="0" w:oddHBand="1" w:evenHBand="0" w:firstRowFirstColumn="0" w:firstRowLastColumn="0" w:lastRowFirstColumn="0" w:lastRowLastColumn="0"/>
          <w:trHeight w:val="266"/>
        </w:trPr>
        <w:tc>
          <w:tcPr>
            <w:tcW w:w="6746" w:type="dxa"/>
            <w:noWrap/>
            <w:hideMark/>
          </w:tcPr>
          <w:p w14:paraId="7C22AB70" w14:textId="77777777" w:rsidR="009D0006" w:rsidRPr="00BC3468" w:rsidRDefault="009D0006" w:rsidP="0072552A">
            <w:pPr>
              <w:pStyle w:val="Tabletext"/>
            </w:pPr>
            <w:r w:rsidRPr="00BC3468">
              <w:t>Do not agree</w:t>
            </w:r>
          </w:p>
        </w:tc>
        <w:tc>
          <w:tcPr>
            <w:tcW w:w="1559" w:type="dxa"/>
          </w:tcPr>
          <w:p w14:paraId="5917DC93" w14:textId="77777777" w:rsidR="009D0006" w:rsidRPr="00BC3468" w:rsidRDefault="009D0006" w:rsidP="0072552A">
            <w:pPr>
              <w:pStyle w:val="Tabletext"/>
            </w:pPr>
            <w:r>
              <w:t>141</w:t>
            </w:r>
          </w:p>
        </w:tc>
        <w:tc>
          <w:tcPr>
            <w:tcW w:w="1559" w:type="dxa"/>
          </w:tcPr>
          <w:p w14:paraId="0375DB08" w14:textId="77777777" w:rsidR="009D0006" w:rsidRPr="00BC3468" w:rsidRDefault="009D0006" w:rsidP="0072552A">
            <w:pPr>
              <w:pStyle w:val="Tabletext"/>
            </w:pPr>
            <w:r>
              <w:t>65.9</w:t>
            </w:r>
          </w:p>
        </w:tc>
      </w:tr>
      <w:tr w:rsidR="009D0006" w:rsidRPr="00BC3468" w14:paraId="5BC89630" w14:textId="77777777" w:rsidTr="0072552A">
        <w:trPr>
          <w:cnfStyle w:val="000000010000" w:firstRow="0" w:lastRow="0" w:firstColumn="0" w:lastColumn="0" w:oddVBand="0" w:evenVBand="0" w:oddHBand="0" w:evenHBand="1" w:firstRowFirstColumn="0" w:firstRowLastColumn="0" w:lastRowFirstColumn="0" w:lastRowLastColumn="0"/>
          <w:trHeight w:val="266"/>
        </w:trPr>
        <w:tc>
          <w:tcPr>
            <w:tcW w:w="6746" w:type="dxa"/>
            <w:noWrap/>
            <w:hideMark/>
          </w:tcPr>
          <w:p w14:paraId="1FB79470" w14:textId="77777777" w:rsidR="009D0006" w:rsidRPr="00BC3468" w:rsidRDefault="009D0006" w:rsidP="0072552A">
            <w:pPr>
              <w:pStyle w:val="Tabletext"/>
            </w:pPr>
            <w:r w:rsidRPr="00BC3468">
              <w:t>Agree/strongly agree</w:t>
            </w:r>
          </w:p>
        </w:tc>
        <w:tc>
          <w:tcPr>
            <w:tcW w:w="1559" w:type="dxa"/>
          </w:tcPr>
          <w:p w14:paraId="60C6531E" w14:textId="77777777" w:rsidR="009D0006" w:rsidRPr="00BC3468" w:rsidRDefault="009D0006" w:rsidP="0072552A">
            <w:pPr>
              <w:pStyle w:val="Tabletext"/>
            </w:pPr>
            <w:r>
              <w:t>73</w:t>
            </w:r>
          </w:p>
        </w:tc>
        <w:tc>
          <w:tcPr>
            <w:tcW w:w="1559" w:type="dxa"/>
          </w:tcPr>
          <w:p w14:paraId="336F9C36" w14:textId="77777777" w:rsidR="009D0006" w:rsidRPr="00BC3468" w:rsidRDefault="009D0006" w:rsidP="0072552A">
            <w:pPr>
              <w:pStyle w:val="Tabletext"/>
            </w:pPr>
            <w:r>
              <w:t>34.1</w:t>
            </w:r>
          </w:p>
        </w:tc>
      </w:tr>
    </w:tbl>
    <w:p w14:paraId="39368FB9" w14:textId="77777777" w:rsidR="009D0006" w:rsidRPr="005910DE" w:rsidRDefault="009D0006" w:rsidP="00AB4A74">
      <w:pPr>
        <w:spacing w:before="360"/>
      </w:pPr>
      <w:r w:rsidRPr="003A2535">
        <w:t>As shown in Table</w:t>
      </w:r>
      <w:r>
        <w:t>s</w:t>
      </w:r>
      <w:r w:rsidRPr="003A2535">
        <w:t xml:space="preserve"> </w:t>
      </w:r>
      <w:r>
        <w:t xml:space="preserve">122.1-122.7, among participants with disability in </w:t>
      </w:r>
      <w:r>
        <w:rPr>
          <w:i/>
          <w:iCs/>
        </w:rPr>
        <w:t>Private Lives 3</w:t>
      </w:r>
      <w:r>
        <w:t>, almost two-thirds of those who identified as queer felt that they were a part of Australia’s LGBTIQ community (64.9%; n = 277). This was followed by participants who identified as lesbian (5</w:t>
      </w:r>
      <w:r>
        <w:lastRenderedPageBreak/>
        <w:t>8.4%; n = 300), pansexual (56.5%; n = 156), bisexual (53.8%; n = 343), gay (51.5%; n = 218), asexual (50.4%; n = 63) and something else (34.1%; n = 73).</w:t>
      </w:r>
    </w:p>
    <w:p w14:paraId="7D346F57" w14:textId="3371ED72" w:rsidR="009D0006" w:rsidRPr="00C5739E" w:rsidRDefault="009D0006" w:rsidP="009401DC">
      <w:pPr>
        <w:pStyle w:val="Heading3Numbered"/>
      </w:pPr>
      <w:bookmarkStart w:id="941" w:name="_Toc115968674"/>
      <w:r w:rsidRPr="00C5739E">
        <w:t>Attended an LGBTIQA+ youth event in the past 12 months – young people aged 14-21 years</w:t>
      </w:r>
      <w:bookmarkEnd w:id="941"/>
    </w:p>
    <w:p w14:paraId="5FA05337" w14:textId="77777777" w:rsidR="009D0006" w:rsidRPr="00C5739E" w:rsidRDefault="009D0006" w:rsidP="009D0006">
      <w:r w:rsidRPr="00C5739E">
        <w:t xml:space="preserve">Participants were asked how often they had attended an </w:t>
      </w:r>
      <w:r w:rsidRPr="00C5739E">
        <w:rPr>
          <w:lang w:val="en-US"/>
        </w:rPr>
        <w:t xml:space="preserve">LGBTIQA+ youth event </w:t>
      </w:r>
      <w:r w:rsidRPr="00C5739E">
        <w:t>in the past 12 months. Response options were ‘never’, ‘annually’, ‘monthly’ and ‘weekly’</w:t>
      </w:r>
      <w:r>
        <w:t>.</w:t>
      </w:r>
      <w:r w:rsidRPr="00C5739E">
        <w:t xml:space="preserve"> Table</w:t>
      </w:r>
      <w:r>
        <w:t>s</w:t>
      </w:r>
      <w:r w:rsidRPr="00C5739E">
        <w:t xml:space="preserve"> </w:t>
      </w:r>
      <w:r>
        <w:t xml:space="preserve">123.1-123.7 </w:t>
      </w:r>
      <w:r w:rsidRPr="00C5739E">
        <w:t xml:space="preserve">display the results for any attendance in the past 12 months. </w:t>
      </w:r>
    </w:p>
    <w:p w14:paraId="24A55380" w14:textId="0FBD73FF" w:rsidR="009D0006" w:rsidRDefault="009D0006" w:rsidP="00AE1F0D">
      <w:pPr>
        <w:pStyle w:val="Tableheading"/>
      </w:pPr>
      <w:bookmarkStart w:id="942" w:name="_Toc117062840"/>
      <w:bookmarkStart w:id="943" w:name="_Toc119651525"/>
      <w:r w:rsidRPr="00AE109A">
        <w:rPr>
          <w:bCs/>
        </w:rPr>
        <w:t>Table</w:t>
      </w:r>
      <w:r>
        <w:rPr>
          <w:bCs/>
        </w:rPr>
        <w:t>s</w:t>
      </w:r>
      <w:r w:rsidRPr="00AE109A">
        <w:rPr>
          <w:bCs/>
        </w:rPr>
        <w:t xml:space="preserve"> </w:t>
      </w:r>
      <w:r w:rsidRPr="00AE109A">
        <w:rPr>
          <w:bCs/>
        </w:rPr>
        <w:fldChar w:fldCharType="begin"/>
      </w:r>
      <w:r w:rsidRPr="00AE109A">
        <w:rPr>
          <w:bCs/>
        </w:rPr>
        <w:instrText xml:space="preserve"> SEQ Table \* ARABIC </w:instrText>
      </w:r>
      <w:r w:rsidRPr="00AE109A">
        <w:rPr>
          <w:bCs/>
        </w:rPr>
        <w:fldChar w:fldCharType="separate"/>
      </w:r>
      <w:r>
        <w:rPr>
          <w:bCs/>
          <w:noProof/>
        </w:rPr>
        <w:t>123</w:t>
      </w:r>
      <w:r w:rsidRPr="00AE109A">
        <w:rPr>
          <w:bCs/>
        </w:rPr>
        <w:fldChar w:fldCharType="end"/>
      </w:r>
      <w:r>
        <w:rPr>
          <w:bCs/>
        </w:rPr>
        <w:t>.1-123.7</w:t>
      </w:r>
      <w:r>
        <w:t xml:space="preserve">: </w:t>
      </w:r>
      <w:r w:rsidRPr="00C5739E">
        <w:t xml:space="preserve">Attended an LGBTIQA+ youth event in the past 12 months </w:t>
      </w:r>
      <w:r>
        <w:t>among young people with disability aged 14-21 years, grouped by sexual orientation (n = 2439)</w:t>
      </w:r>
      <w:bookmarkEnd w:id="942"/>
      <w:bookmarkEnd w:id="943"/>
    </w:p>
    <w:p w14:paraId="75812C44" w14:textId="77777777" w:rsidR="009D0006" w:rsidRPr="00C5739E" w:rsidRDefault="009D0006" w:rsidP="00AE1F0D">
      <w:pPr>
        <w:pStyle w:val="Tableheading"/>
      </w:pPr>
      <w:r>
        <w:t>Table 123.1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5BEC15C" w14:textId="77777777" w:rsidTr="00AE1F0D">
        <w:trPr>
          <w:cnfStyle w:val="100000000000" w:firstRow="1" w:lastRow="0" w:firstColumn="0" w:lastColumn="0" w:oddVBand="0" w:evenVBand="0" w:oddHBand="0" w:evenHBand="0" w:firstRowFirstColumn="0" w:firstRowLastColumn="0" w:lastRowFirstColumn="0" w:lastRowLastColumn="0"/>
          <w:trHeight w:val="302"/>
        </w:trPr>
        <w:tc>
          <w:tcPr>
            <w:tcW w:w="6746" w:type="dxa"/>
            <w:noWrap/>
            <w:hideMark/>
          </w:tcPr>
          <w:p w14:paraId="778C1394" w14:textId="77777777" w:rsidR="009D0006" w:rsidRPr="00BC3468" w:rsidRDefault="009D0006" w:rsidP="00AE1F0D">
            <w:pPr>
              <w:pStyle w:val="Tableheader"/>
            </w:pPr>
            <w:r>
              <w:t>Attended LGBTIQA+ event</w:t>
            </w:r>
          </w:p>
        </w:tc>
        <w:tc>
          <w:tcPr>
            <w:tcW w:w="1559" w:type="dxa"/>
            <w:noWrap/>
            <w:hideMark/>
          </w:tcPr>
          <w:p w14:paraId="53D7FDBD" w14:textId="77777777" w:rsidR="009D0006" w:rsidRPr="002B6EDC" w:rsidRDefault="009D0006" w:rsidP="00AE1F0D">
            <w:pPr>
              <w:pStyle w:val="Tableheader"/>
              <w:rPr>
                <w:bCs/>
              </w:rPr>
            </w:pPr>
            <w:r w:rsidRPr="002B6EDC">
              <w:rPr>
                <w:bCs/>
              </w:rPr>
              <w:t>n</w:t>
            </w:r>
          </w:p>
        </w:tc>
        <w:tc>
          <w:tcPr>
            <w:tcW w:w="1559" w:type="dxa"/>
            <w:noWrap/>
            <w:hideMark/>
          </w:tcPr>
          <w:p w14:paraId="202E27EF" w14:textId="77777777" w:rsidR="009D0006" w:rsidRPr="002B6EDC" w:rsidRDefault="009D0006" w:rsidP="00AE1F0D">
            <w:pPr>
              <w:pStyle w:val="Tableheader"/>
              <w:rPr>
                <w:bCs/>
              </w:rPr>
            </w:pPr>
            <w:r w:rsidRPr="002B6EDC">
              <w:rPr>
                <w:bCs/>
              </w:rPr>
              <w:t>%</w:t>
            </w:r>
          </w:p>
        </w:tc>
      </w:tr>
      <w:tr w:rsidR="009D0006" w:rsidRPr="00BC3468" w14:paraId="2F14277E" w14:textId="77777777" w:rsidTr="00AE1F0D">
        <w:trPr>
          <w:cnfStyle w:val="000000100000" w:firstRow="0" w:lastRow="0" w:firstColumn="0" w:lastColumn="0" w:oddVBand="0" w:evenVBand="0" w:oddHBand="1" w:evenHBand="0" w:firstRowFirstColumn="0" w:firstRowLastColumn="0" w:lastRowFirstColumn="0" w:lastRowLastColumn="0"/>
          <w:trHeight w:val="302"/>
        </w:trPr>
        <w:tc>
          <w:tcPr>
            <w:tcW w:w="6746" w:type="dxa"/>
            <w:noWrap/>
            <w:hideMark/>
          </w:tcPr>
          <w:p w14:paraId="220CAF7B" w14:textId="77777777" w:rsidR="009D0006" w:rsidRPr="00BC3468" w:rsidRDefault="009D0006" w:rsidP="00AE1F0D">
            <w:pPr>
              <w:pStyle w:val="Tabletext"/>
            </w:pPr>
            <w:r>
              <w:t>No</w:t>
            </w:r>
          </w:p>
        </w:tc>
        <w:tc>
          <w:tcPr>
            <w:tcW w:w="1559" w:type="dxa"/>
            <w:noWrap/>
          </w:tcPr>
          <w:p w14:paraId="5BB4B8FB" w14:textId="77777777" w:rsidR="009D0006" w:rsidRPr="00BC3468" w:rsidRDefault="009D0006" w:rsidP="00AE1F0D">
            <w:pPr>
              <w:pStyle w:val="Tabletext"/>
            </w:pPr>
            <w:r>
              <w:t>286</w:t>
            </w:r>
          </w:p>
        </w:tc>
        <w:tc>
          <w:tcPr>
            <w:tcW w:w="1559" w:type="dxa"/>
            <w:noWrap/>
          </w:tcPr>
          <w:p w14:paraId="3F2950F9" w14:textId="77777777" w:rsidR="009D0006" w:rsidRPr="00BC3468" w:rsidRDefault="009D0006" w:rsidP="00AE1F0D">
            <w:pPr>
              <w:pStyle w:val="Tabletext"/>
            </w:pPr>
            <w:r>
              <w:t>84.9</w:t>
            </w:r>
          </w:p>
        </w:tc>
      </w:tr>
      <w:tr w:rsidR="009D0006" w:rsidRPr="00BC3468" w14:paraId="43195120" w14:textId="77777777" w:rsidTr="00AE1F0D">
        <w:trPr>
          <w:cnfStyle w:val="000000010000" w:firstRow="0" w:lastRow="0" w:firstColumn="0" w:lastColumn="0" w:oddVBand="0" w:evenVBand="0" w:oddHBand="0" w:evenHBand="1" w:firstRowFirstColumn="0" w:firstRowLastColumn="0" w:lastRowFirstColumn="0" w:lastRowLastColumn="0"/>
          <w:trHeight w:val="302"/>
        </w:trPr>
        <w:tc>
          <w:tcPr>
            <w:tcW w:w="6746" w:type="dxa"/>
            <w:noWrap/>
            <w:hideMark/>
          </w:tcPr>
          <w:p w14:paraId="333BC7BE" w14:textId="77777777" w:rsidR="009D0006" w:rsidRPr="00BC3468" w:rsidRDefault="009D0006" w:rsidP="00AE1F0D">
            <w:pPr>
              <w:pStyle w:val="Tabletext"/>
            </w:pPr>
            <w:r>
              <w:t>Yes</w:t>
            </w:r>
          </w:p>
        </w:tc>
        <w:tc>
          <w:tcPr>
            <w:tcW w:w="1559" w:type="dxa"/>
            <w:noWrap/>
          </w:tcPr>
          <w:p w14:paraId="176A9BFE" w14:textId="77777777" w:rsidR="009D0006" w:rsidRPr="00BC3468" w:rsidRDefault="009D0006" w:rsidP="00AE1F0D">
            <w:pPr>
              <w:pStyle w:val="Tabletext"/>
            </w:pPr>
            <w:r>
              <w:t>51</w:t>
            </w:r>
          </w:p>
        </w:tc>
        <w:tc>
          <w:tcPr>
            <w:tcW w:w="1559" w:type="dxa"/>
            <w:noWrap/>
          </w:tcPr>
          <w:p w14:paraId="6FEF1C30" w14:textId="77777777" w:rsidR="009D0006" w:rsidRPr="00BC3468" w:rsidRDefault="009D0006" w:rsidP="00AE1F0D">
            <w:pPr>
              <w:pStyle w:val="Tabletext"/>
            </w:pPr>
            <w:r>
              <w:t>15.1</w:t>
            </w:r>
          </w:p>
        </w:tc>
      </w:tr>
    </w:tbl>
    <w:p w14:paraId="604E12E6" w14:textId="77777777" w:rsidR="009D0006" w:rsidRDefault="009D0006" w:rsidP="00AE1F0D">
      <w:pPr>
        <w:pStyle w:val="Tableheading"/>
      </w:pPr>
      <w:r>
        <w:t>Table 123.2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10D1377" w14:textId="77777777" w:rsidTr="00AE1F0D">
        <w:trPr>
          <w:cnfStyle w:val="100000000000" w:firstRow="1" w:lastRow="0" w:firstColumn="0" w:lastColumn="0" w:oddVBand="0" w:evenVBand="0" w:oddHBand="0" w:evenHBand="0" w:firstRowFirstColumn="0" w:firstRowLastColumn="0" w:lastRowFirstColumn="0" w:lastRowLastColumn="0"/>
          <w:trHeight w:val="250"/>
        </w:trPr>
        <w:tc>
          <w:tcPr>
            <w:tcW w:w="6746" w:type="dxa"/>
            <w:noWrap/>
            <w:hideMark/>
          </w:tcPr>
          <w:p w14:paraId="2E37DDF1" w14:textId="77777777" w:rsidR="009D0006" w:rsidRPr="00BC3468" w:rsidRDefault="009D0006" w:rsidP="00AE1F0D">
            <w:pPr>
              <w:pStyle w:val="Tableheader"/>
            </w:pPr>
            <w:r>
              <w:t>Attended LGBTIQA+ event</w:t>
            </w:r>
          </w:p>
        </w:tc>
        <w:tc>
          <w:tcPr>
            <w:tcW w:w="1559" w:type="dxa"/>
            <w:noWrap/>
            <w:hideMark/>
          </w:tcPr>
          <w:p w14:paraId="304A3EF8" w14:textId="77777777" w:rsidR="009D0006" w:rsidRPr="002B6EDC" w:rsidRDefault="009D0006" w:rsidP="00AE1F0D">
            <w:pPr>
              <w:pStyle w:val="Tableheader"/>
              <w:rPr>
                <w:bCs/>
              </w:rPr>
            </w:pPr>
            <w:r w:rsidRPr="002B6EDC">
              <w:rPr>
                <w:bCs/>
              </w:rPr>
              <w:t>n</w:t>
            </w:r>
          </w:p>
        </w:tc>
        <w:tc>
          <w:tcPr>
            <w:tcW w:w="1559" w:type="dxa"/>
            <w:noWrap/>
            <w:hideMark/>
          </w:tcPr>
          <w:p w14:paraId="2B5E7075" w14:textId="77777777" w:rsidR="009D0006" w:rsidRPr="002B6EDC" w:rsidRDefault="009D0006" w:rsidP="00AE1F0D">
            <w:pPr>
              <w:pStyle w:val="Tableheader"/>
              <w:rPr>
                <w:bCs/>
              </w:rPr>
            </w:pPr>
            <w:r w:rsidRPr="002B6EDC">
              <w:rPr>
                <w:bCs/>
              </w:rPr>
              <w:t>%</w:t>
            </w:r>
          </w:p>
        </w:tc>
      </w:tr>
      <w:tr w:rsidR="009D0006" w:rsidRPr="00BC3468" w14:paraId="38CE4F14" w14:textId="77777777" w:rsidTr="00AE1F0D">
        <w:trPr>
          <w:cnfStyle w:val="000000100000" w:firstRow="0" w:lastRow="0" w:firstColumn="0" w:lastColumn="0" w:oddVBand="0" w:evenVBand="0" w:oddHBand="1" w:evenHBand="0" w:firstRowFirstColumn="0" w:firstRowLastColumn="0" w:lastRowFirstColumn="0" w:lastRowLastColumn="0"/>
          <w:trHeight w:val="250"/>
        </w:trPr>
        <w:tc>
          <w:tcPr>
            <w:tcW w:w="6746" w:type="dxa"/>
            <w:noWrap/>
            <w:hideMark/>
          </w:tcPr>
          <w:p w14:paraId="4DB0A9B3" w14:textId="77777777" w:rsidR="009D0006" w:rsidRPr="00BC3468" w:rsidRDefault="009D0006" w:rsidP="00AE1F0D">
            <w:pPr>
              <w:pStyle w:val="Tabletext"/>
            </w:pPr>
            <w:r>
              <w:t>No</w:t>
            </w:r>
          </w:p>
        </w:tc>
        <w:tc>
          <w:tcPr>
            <w:tcW w:w="1559" w:type="dxa"/>
            <w:noWrap/>
          </w:tcPr>
          <w:p w14:paraId="0D6B2055" w14:textId="77777777" w:rsidR="009D0006" w:rsidRPr="00BC3468" w:rsidRDefault="009D0006" w:rsidP="00AE1F0D">
            <w:pPr>
              <w:pStyle w:val="Tabletext"/>
            </w:pPr>
            <w:r>
              <w:t>211</w:t>
            </w:r>
          </w:p>
        </w:tc>
        <w:tc>
          <w:tcPr>
            <w:tcW w:w="1559" w:type="dxa"/>
            <w:noWrap/>
          </w:tcPr>
          <w:p w14:paraId="61C40A5C" w14:textId="77777777" w:rsidR="009D0006" w:rsidRPr="00BC3468" w:rsidRDefault="009D0006" w:rsidP="00AE1F0D">
            <w:pPr>
              <w:pStyle w:val="Tabletext"/>
            </w:pPr>
            <w:r>
              <w:t>78.1</w:t>
            </w:r>
          </w:p>
        </w:tc>
      </w:tr>
      <w:tr w:rsidR="009D0006" w:rsidRPr="00BC3468" w14:paraId="74C704BC" w14:textId="77777777" w:rsidTr="00AE1F0D">
        <w:trPr>
          <w:cnfStyle w:val="000000010000" w:firstRow="0" w:lastRow="0" w:firstColumn="0" w:lastColumn="0" w:oddVBand="0" w:evenVBand="0" w:oddHBand="0" w:evenHBand="1" w:firstRowFirstColumn="0" w:firstRowLastColumn="0" w:lastRowFirstColumn="0" w:lastRowLastColumn="0"/>
          <w:trHeight w:val="250"/>
        </w:trPr>
        <w:tc>
          <w:tcPr>
            <w:tcW w:w="6746" w:type="dxa"/>
            <w:noWrap/>
            <w:hideMark/>
          </w:tcPr>
          <w:p w14:paraId="5DBC7C12" w14:textId="77777777" w:rsidR="009D0006" w:rsidRPr="00BC3468" w:rsidRDefault="009D0006" w:rsidP="00AE1F0D">
            <w:pPr>
              <w:pStyle w:val="Tabletext"/>
            </w:pPr>
            <w:r>
              <w:t>Yes</w:t>
            </w:r>
          </w:p>
        </w:tc>
        <w:tc>
          <w:tcPr>
            <w:tcW w:w="1559" w:type="dxa"/>
            <w:noWrap/>
          </w:tcPr>
          <w:p w14:paraId="22F09529" w14:textId="77777777" w:rsidR="009D0006" w:rsidRPr="00BC3468" w:rsidRDefault="009D0006" w:rsidP="00AE1F0D">
            <w:pPr>
              <w:pStyle w:val="Tabletext"/>
            </w:pPr>
            <w:r>
              <w:t>59</w:t>
            </w:r>
          </w:p>
        </w:tc>
        <w:tc>
          <w:tcPr>
            <w:tcW w:w="1559" w:type="dxa"/>
            <w:noWrap/>
          </w:tcPr>
          <w:p w14:paraId="0296F87A" w14:textId="77777777" w:rsidR="009D0006" w:rsidRPr="00BC3468" w:rsidRDefault="009D0006" w:rsidP="00AE1F0D">
            <w:pPr>
              <w:pStyle w:val="Tabletext"/>
            </w:pPr>
            <w:r>
              <w:t>21.9</w:t>
            </w:r>
          </w:p>
        </w:tc>
      </w:tr>
    </w:tbl>
    <w:p w14:paraId="120D84C8" w14:textId="77777777" w:rsidR="009D0006" w:rsidRDefault="009D0006" w:rsidP="00AE1F0D">
      <w:pPr>
        <w:pStyle w:val="Tableheading"/>
      </w:pPr>
      <w:r>
        <w:t>Table 123.3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914BEFF" w14:textId="77777777" w:rsidTr="00B344E3">
        <w:trPr>
          <w:cnfStyle w:val="100000000000" w:firstRow="1" w:lastRow="0" w:firstColumn="0" w:lastColumn="0" w:oddVBand="0" w:evenVBand="0" w:oddHBand="0" w:evenHBand="0" w:firstRowFirstColumn="0" w:firstRowLastColumn="0" w:lastRowFirstColumn="0" w:lastRowLastColumn="0"/>
          <w:trHeight w:val="194"/>
        </w:trPr>
        <w:tc>
          <w:tcPr>
            <w:tcW w:w="6746" w:type="dxa"/>
            <w:noWrap/>
            <w:hideMark/>
          </w:tcPr>
          <w:p w14:paraId="2BABA707" w14:textId="77777777" w:rsidR="009D0006" w:rsidRPr="00BC3468" w:rsidRDefault="009D0006" w:rsidP="00B344E3">
            <w:pPr>
              <w:pStyle w:val="Tableheader"/>
            </w:pPr>
            <w:r>
              <w:t>Attended LGBTIQA+ event</w:t>
            </w:r>
          </w:p>
        </w:tc>
        <w:tc>
          <w:tcPr>
            <w:tcW w:w="1559" w:type="dxa"/>
          </w:tcPr>
          <w:p w14:paraId="73337E1F" w14:textId="77777777" w:rsidR="009D0006" w:rsidRPr="002B6EDC" w:rsidRDefault="009D0006" w:rsidP="00B344E3">
            <w:pPr>
              <w:pStyle w:val="Tableheader"/>
              <w:rPr>
                <w:bCs/>
              </w:rPr>
            </w:pPr>
            <w:r w:rsidRPr="002B6EDC">
              <w:rPr>
                <w:bCs/>
              </w:rPr>
              <w:t>n</w:t>
            </w:r>
          </w:p>
        </w:tc>
        <w:tc>
          <w:tcPr>
            <w:tcW w:w="1559" w:type="dxa"/>
          </w:tcPr>
          <w:p w14:paraId="197A6F83" w14:textId="77777777" w:rsidR="009D0006" w:rsidRPr="002B6EDC" w:rsidRDefault="009D0006" w:rsidP="00B344E3">
            <w:pPr>
              <w:pStyle w:val="Tableheader"/>
              <w:rPr>
                <w:bCs/>
              </w:rPr>
            </w:pPr>
            <w:r w:rsidRPr="002B6EDC">
              <w:rPr>
                <w:bCs/>
              </w:rPr>
              <w:t>%</w:t>
            </w:r>
          </w:p>
        </w:tc>
      </w:tr>
      <w:tr w:rsidR="009D0006" w:rsidRPr="00BC3468" w14:paraId="68B4AA5C" w14:textId="77777777" w:rsidTr="00B344E3">
        <w:trPr>
          <w:cnfStyle w:val="000000100000" w:firstRow="0" w:lastRow="0" w:firstColumn="0" w:lastColumn="0" w:oddVBand="0" w:evenVBand="0" w:oddHBand="1" w:evenHBand="0" w:firstRowFirstColumn="0" w:firstRowLastColumn="0" w:lastRowFirstColumn="0" w:lastRowLastColumn="0"/>
          <w:trHeight w:val="194"/>
        </w:trPr>
        <w:tc>
          <w:tcPr>
            <w:tcW w:w="6746" w:type="dxa"/>
            <w:noWrap/>
            <w:hideMark/>
          </w:tcPr>
          <w:p w14:paraId="7BEFFE45" w14:textId="77777777" w:rsidR="009D0006" w:rsidRPr="00BC3468" w:rsidRDefault="009D0006" w:rsidP="00B344E3">
            <w:pPr>
              <w:pStyle w:val="Tabletext"/>
            </w:pPr>
            <w:r>
              <w:t>No</w:t>
            </w:r>
          </w:p>
        </w:tc>
        <w:tc>
          <w:tcPr>
            <w:tcW w:w="1559" w:type="dxa"/>
          </w:tcPr>
          <w:p w14:paraId="40FAA1C4" w14:textId="77777777" w:rsidR="009D0006" w:rsidRPr="00BC3468" w:rsidRDefault="009D0006" w:rsidP="00B344E3">
            <w:pPr>
              <w:pStyle w:val="Tabletext"/>
            </w:pPr>
            <w:r>
              <w:t>646</w:t>
            </w:r>
          </w:p>
        </w:tc>
        <w:tc>
          <w:tcPr>
            <w:tcW w:w="1559" w:type="dxa"/>
          </w:tcPr>
          <w:p w14:paraId="6A1CAA0D" w14:textId="77777777" w:rsidR="009D0006" w:rsidRPr="00BC3468" w:rsidRDefault="009D0006" w:rsidP="00B344E3">
            <w:pPr>
              <w:pStyle w:val="Tabletext"/>
            </w:pPr>
            <w:r>
              <w:t>85.6</w:t>
            </w:r>
          </w:p>
        </w:tc>
      </w:tr>
      <w:tr w:rsidR="009D0006" w:rsidRPr="00BC3468" w14:paraId="7630C028" w14:textId="77777777" w:rsidTr="00B344E3">
        <w:trPr>
          <w:cnfStyle w:val="000000010000" w:firstRow="0" w:lastRow="0" w:firstColumn="0" w:lastColumn="0" w:oddVBand="0" w:evenVBand="0" w:oddHBand="0" w:evenHBand="1" w:firstRowFirstColumn="0" w:firstRowLastColumn="0" w:lastRowFirstColumn="0" w:lastRowLastColumn="0"/>
          <w:trHeight w:val="194"/>
        </w:trPr>
        <w:tc>
          <w:tcPr>
            <w:tcW w:w="6746" w:type="dxa"/>
            <w:noWrap/>
            <w:hideMark/>
          </w:tcPr>
          <w:p w14:paraId="75F86C00" w14:textId="77777777" w:rsidR="009D0006" w:rsidRPr="00BC3468" w:rsidRDefault="009D0006" w:rsidP="00B344E3">
            <w:pPr>
              <w:pStyle w:val="Tabletext"/>
            </w:pPr>
            <w:r>
              <w:t>Yes</w:t>
            </w:r>
          </w:p>
        </w:tc>
        <w:tc>
          <w:tcPr>
            <w:tcW w:w="1559" w:type="dxa"/>
          </w:tcPr>
          <w:p w14:paraId="5654415F" w14:textId="77777777" w:rsidR="009D0006" w:rsidRPr="00BC3468" w:rsidRDefault="009D0006" w:rsidP="00B344E3">
            <w:pPr>
              <w:pStyle w:val="Tabletext"/>
            </w:pPr>
            <w:r>
              <w:t>109</w:t>
            </w:r>
          </w:p>
        </w:tc>
        <w:tc>
          <w:tcPr>
            <w:tcW w:w="1559" w:type="dxa"/>
          </w:tcPr>
          <w:p w14:paraId="795CBFA3" w14:textId="77777777" w:rsidR="009D0006" w:rsidRPr="00BC3468" w:rsidRDefault="009D0006" w:rsidP="00B344E3">
            <w:pPr>
              <w:pStyle w:val="Tabletext"/>
            </w:pPr>
            <w:r>
              <w:t>14.4</w:t>
            </w:r>
          </w:p>
        </w:tc>
      </w:tr>
    </w:tbl>
    <w:p w14:paraId="4748A6C2" w14:textId="77777777" w:rsidR="009D0006" w:rsidRDefault="009D0006" w:rsidP="00B344E3">
      <w:pPr>
        <w:pStyle w:val="Tableheading"/>
      </w:pPr>
      <w:r>
        <w:t>Table 123.4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734C44F" w14:textId="77777777" w:rsidTr="00B344E3">
        <w:trPr>
          <w:cnfStyle w:val="100000000000" w:firstRow="1" w:lastRow="0" w:firstColumn="0" w:lastColumn="0" w:oddVBand="0" w:evenVBand="0" w:oddHBand="0" w:evenHBand="0" w:firstRowFirstColumn="0" w:firstRowLastColumn="0" w:lastRowFirstColumn="0" w:lastRowLastColumn="0"/>
          <w:trHeight w:val="208"/>
        </w:trPr>
        <w:tc>
          <w:tcPr>
            <w:tcW w:w="6746" w:type="dxa"/>
            <w:noWrap/>
            <w:hideMark/>
          </w:tcPr>
          <w:p w14:paraId="49322D6D" w14:textId="77777777" w:rsidR="009D0006" w:rsidRPr="00BC3468" w:rsidRDefault="009D0006" w:rsidP="00B344E3">
            <w:pPr>
              <w:pStyle w:val="Tableheader"/>
            </w:pPr>
            <w:r>
              <w:t>Attended LGBTIQA+ event</w:t>
            </w:r>
          </w:p>
        </w:tc>
        <w:tc>
          <w:tcPr>
            <w:tcW w:w="1559" w:type="dxa"/>
            <w:noWrap/>
            <w:hideMark/>
          </w:tcPr>
          <w:p w14:paraId="25059D58" w14:textId="77777777" w:rsidR="009D0006" w:rsidRPr="002B6EDC" w:rsidRDefault="009D0006" w:rsidP="00B344E3">
            <w:pPr>
              <w:pStyle w:val="Tableheader"/>
              <w:rPr>
                <w:bCs/>
              </w:rPr>
            </w:pPr>
            <w:r w:rsidRPr="002B6EDC">
              <w:rPr>
                <w:bCs/>
              </w:rPr>
              <w:t>n</w:t>
            </w:r>
          </w:p>
        </w:tc>
        <w:tc>
          <w:tcPr>
            <w:tcW w:w="1559" w:type="dxa"/>
            <w:noWrap/>
            <w:hideMark/>
          </w:tcPr>
          <w:p w14:paraId="6371FE47" w14:textId="77777777" w:rsidR="009D0006" w:rsidRPr="002B6EDC" w:rsidRDefault="009D0006" w:rsidP="00B344E3">
            <w:pPr>
              <w:pStyle w:val="Tableheader"/>
              <w:rPr>
                <w:bCs/>
              </w:rPr>
            </w:pPr>
            <w:r w:rsidRPr="002B6EDC">
              <w:rPr>
                <w:bCs/>
              </w:rPr>
              <w:t>%</w:t>
            </w:r>
          </w:p>
        </w:tc>
      </w:tr>
      <w:tr w:rsidR="009D0006" w:rsidRPr="00BC3468" w14:paraId="0E05C648" w14:textId="77777777" w:rsidTr="00B344E3">
        <w:trPr>
          <w:cnfStyle w:val="000000100000" w:firstRow="0" w:lastRow="0" w:firstColumn="0" w:lastColumn="0" w:oddVBand="0" w:evenVBand="0" w:oddHBand="1" w:evenHBand="0" w:firstRowFirstColumn="0" w:firstRowLastColumn="0" w:lastRowFirstColumn="0" w:lastRowLastColumn="0"/>
          <w:trHeight w:val="208"/>
        </w:trPr>
        <w:tc>
          <w:tcPr>
            <w:tcW w:w="6746" w:type="dxa"/>
            <w:noWrap/>
            <w:hideMark/>
          </w:tcPr>
          <w:p w14:paraId="2E5BCE5C" w14:textId="77777777" w:rsidR="009D0006" w:rsidRPr="00BC3468" w:rsidRDefault="009D0006" w:rsidP="00B344E3">
            <w:pPr>
              <w:pStyle w:val="Tabletext"/>
            </w:pPr>
            <w:r>
              <w:t>No</w:t>
            </w:r>
          </w:p>
        </w:tc>
        <w:tc>
          <w:tcPr>
            <w:tcW w:w="1559" w:type="dxa"/>
            <w:noWrap/>
          </w:tcPr>
          <w:p w14:paraId="13087A17" w14:textId="77777777" w:rsidR="009D0006" w:rsidRPr="00BC3468" w:rsidRDefault="009D0006" w:rsidP="00B344E3">
            <w:pPr>
              <w:pStyle w:val="Tabletext"/>
            </w:pPr>
            <w:r>
              <w:t>280</w:t>
            </w:r>
          </w:p>
        </w:tc>
        <w:tc>
          <w:tcPr>
            <w:tcW w:w="1559" w:type="dxa"/>
            <w:noWrap/>
          </w:tcPr>
          <w:p w14:paraId="47406F97" w14:textId="77777777" w:rsidR="009D0006" w:rsidRPr="00BC3468" w:rsidRDefault="009D0006" w:rsidP="00B344E3">
            <w:pPr>
              <w:pStyle w:val="Tabletext"/>
            </w:pPr>
            <w:r>
              <w:t>79.8</w:t>
            </w:r>
          </w:p>
        </w:tc>
      </w:tr>
      <w:tr w:rsidR="009D0006" w:rsidRPr="00BC3468" w14:paraId="17E09191" w14:textId="77777777" w:rsidTr="00B344E3">
        <w:trPr>
          <w:cnfStyle w:val="000000010000" w:firstRow="0" w:lastRow="0" w:firstColumn="0" w:lastColumn="0" w:oddVBand="0" w:evenVBand="0" w:oddHBand="0" w:evenHBand="1" w:firstRowFirstColumn="0" w:firstRowLastColumn="0" w:lastRowFirstColumn="0" w:lastRowLastColumn="0"/>
          <w:trHeight w:val="208"/>
        </w:trPr>
        <w:tc>
          <w:tcPr>
            <w:tcW w:w="6746" w:type="dxa"/>
            <w:noWrap/>
            <w:hideMark/>
          </w:tcPr>
          <w:p w14:paraId="0E946424" w14:textId="77777777" w:rsidR="009D0006" w:rsidRPr="00BC3468" w:rsidRDefault="009D0006" w:rsidP="00B344E3">
            <w:pPr>
              <w:pStyle w:val="Tabletext"/>
            </w:pPr>
            <w:r>
              <w:t>Yes</w:t>
            </w:r>
          </w:p>
        </w:tc>
        <w:tc>
          <w:tcPr>
            <w:tcW w:w="1559" w:type="dxa"/>
            <w:noWrap/>
          </w:tcPr>
          <w:p w14:paraId="6DD28474" w14:textId="77777777" w:rsidR="009D0006" w:rsidRPr="00BC3468" w:rsidRDefault="009D0006" w:rsidP="00B344E3">
            <w:pPr>
              <w:pStyle w:val="Tabletext"/>
            </w:pPr>
            <w:r>
              <w:t>71</w:t>
            </w:r>
          </w:p>
        </w:tc>
        <w:tc>
          <w:tcPr>
            <w:tcW w:w="1559" w:type="dxa"/>
            <w:noWrap/>
          </w:tcPr>
          <w:p w14:paraId="40304C01" w14:textId="77777777" w:rsidR="009D0006" w:rsidRPr="00BC3468" w:rsidRDefault="009D0006" w:rsidP="00B344E3">
            <w:pPr>
              <w:pStyle w:val="Tabletext"/>
            </w:pPr>
            <w:r>
              <w:t>20.2</w:t>
            </w:r>
          </w:p>
        </w:tc>
      </w:tr>
    </w:tbl>
    <w:p w14:paraId="714BCCD8" w14:textId="77777777" w:rsidR="00650B64" w:rsidRDefault="00650B64">
      <w:pPr>
        <w:spacing w:before="0"/>
        <w:rPr>
          <w:rFonts w:eastAsiaTheme="majorEastAsia" w:cstheme="majorBidi"/>
          <w:b/>
          <w:color w:val="000000" w:themeColor="text1"/>
        </w:rPr>
      </w:pPr>
      <w:r>
        <w:br w:type="page"/>
      </w:r>
    </w:p>
    <w:p w14:paraId="1D3D1AEE" w14:textId="4DF5FF31" w:rsidR="009D0006" w:rsidRDefault="009D0006" w:rsidP="00B344E3">
      <w:pPr>
        <w:pStyle w:val="Tableheading"/>
      </w:pPr>
      <w:r>
        <w:t>Table 123.</w:t>
      </w:r>
      <w:r>
        <w:lastRenderedPageBreak/>
        <w:t>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1A1A46F" w14:textId="77777777" w:rsidTr="00B344E3">
        <w:trPr>
          <w:cnfStyle w:val="100000000000" w:firstRow="1" w:lastRow="0" w:firstColumn="0" w:lastColumn="0" w:oddVBand="0" w:evenVBand="0" w:oddHBand="0" w:evenHBand="0" w:firstRowFirstColumn="0" w:firstRowLastColumn="0" w:lastRowFirstColumn="0" w:lastRowLastColumn="0"/>
          <w:trHeight w:val="155"/>
        </w:trPr>
        <w:tc>
          <w:tcPr>
            <w:tcW w:w="6746" w:type="dxa"/>
            <w:noWrap/>
            <w:hideMark/>
          </w:tcPr>
          <w:p w14:paraId="4C3ED93A" w14:textId="77777777" w:rsidR="009D0006" w:rsidRPr="00BC3468" w:rsidRDefault="009D0006" w:rsidP="00B344E3">
            <w:pPr>
              <w:pStyle w:val="Tableheader"/>
            </w:pPr>
            <w:r>
              <w:t>Attended LGBTIQA+ event</w:t>
            </w:r>
          </w:p>
        </w:tc>
        <w:tc>
          <w:tcPr>
            <w:tcW w:w="1559" w:type="dxa"/>
            <w:noWrap/>
            <w:hideMark/>
          </w:tcPr>
          <w:p w14:paraId="22206BD3" w14:textId="77777777" w:rsidR="009D0006" w:rsidRPr="002B6EDC" w:rsidRDefault="009D0006" w:rsidP="00B344E3">
            <w:pPr>
              <w:pStyle w:val="Tableheader"/>
              <w:rPr>
                <w:bCs/>
              </w:rPr>
            </w:pPr>
            <w:r w:rsidRPr="002B6EDC">
              <w:rPr>
                <w:bCs/>
              </w:rPr>
              <w:t>n</w:t>
            </w:r>
          </w:p>
        </w:tc>
        <w:tc>
          <w:tcPr>
            <w:tcW w:w="1559" w:type="dxa"/>
            <w:noWrap/>
            <w:hideMark/>
          </w:tcPr>
          <w:p w14:paraId="50D54AC1" w14:textId="77777777" w:rsidR="009D0006" w:rsidRPr="002B6EDC" w:rsidRDefault="009D0006" w:rsidP="00B344E3">
            <w:pPr>
              <w:pStyle w:val="Tableheader"/>
              <w:rPr>
                <w:bCs/>
              </w:rPr>
            </w:pPr>
            <w:r w:rsidRPr="002B6EDC">
              <w:rPr>
                <w:bCs/>
              </w:rPr>
              <w:t>%</w:t>
            </w:r>
          </w:p>
        </w:tc>
      </w:tr>
      <w:tr w:rsidR="009D0006" w:rsidRPr="00BC3468" w14:paraId="40DA0EA2" w14:textId="77777777" w:rsidTr="00B344E3">
        <w:trPr>
          <w:cnfStyle w:val="000000100000" w:firstRow="0" w:lastRow="0" w:firstColumn="0" w:lastColumn="0" w:oddVBand="0" w:evenVBand="0" w:oddHBand="1" w:evenHBand="0" w:firstRowFirstColumn="0" w:firstRowLastColumn="0" w:lastRowFirstColumn="0" w:lastRowLastColumn="0"/>
          <w:trHeight w:val="155"/>
        </w:trPr>
        <w:tc>
          <w:tcPr>
            <w:tcW w:w="6746" w:type="dxa"/>
            <w:noWrap/>
            <w:hideMark/>
          </w:tcPr>
          <w:p w14:paraId="512DF364" w14:textId="77777777" w:rsidR="009D0006" w:rsidRPr="00BC3468" w:rsidRDefault="009D0006" w:rsidP="00B344E3">
            <w:pPr>
              <w:pStyle w:val="Tabletext"/>
            </w:pPr>
            <w:r>
              <w:t>No</w:t>
            </w:r>
          </w:p>
        </w:tc>
        <w:tc>
          <w:tcPr>
            <w:tcW w:w="1559" w:type="dxa"/>
            <w:noWrap/>
          </w:tcPr>
          <w:p w14:paraId="6ADF1E97" w14:textId="77777777" w:rsidR="009D0006" w:rsidRPr="00BC3468" w:rsidRDefault="009D0006" w:rsidP="00B344E3">
            <w:pPr>
              <w:pStyle w:val="Tabletext"/>
            </w:pPr>
            <w:r>
              <w:t>190</w:t>
            </w:r>
          </w:p>
        </w:tc>
        <w:tc>
          <w:tcPr>
            <w:tcW w:w="1559" w:type="dxa"/>
            <w:noWrap/>
          </w:tcPr>
          <w:p w14:paraId="0CA569D7" w14:textId="77777777" w:rsidR="009D0006" w:rsidRPr="00BC3468" w:rsidRDefault="009D0006" w:rsidP="00B344E3">
            <w:pPr>
              <w:pStyle w:val="Tabletext"/>
            </w:pPr>
            <w:r>
              <w:t>73.1</w:t>
            </w:r>
          </w:p>
        </w:tc>
      </w:tr>
      <w:tr w:rsidR="009D0006" w:rsidRPr="00BC3468" w14:paraId="77D1EBBF" w14:textId="77777777" w:rsidTr="00B344E3">
        <w:trPr>
          <w:cnfStyle w:val="000000010000" w:firstRow="0" w:lastRow="0" w:firstColumn="0" w:lastColumn="0" w:oddVBand="0" w:evenVBand="0" w:oddHBand="0" w:evenHBand="1" w:firstRowFirstColumn="0" w:firstRowLastColumn="0" w:lastRowFirstColumn="0" w:lastRowLastColumn="0"/>
          <w:trHeight w:val="155"/>
        </w:trPr>
        <w:tc>
          <w:tcPr>
            <w:tcW w:w="6746" w:type="dxa"/>
            <w:noWrap/>
            <w:hideMark/>
          </w:tcPr>
          <w:p w14:paraId="0870392B" w14:textId="77777777" w:rsidR="009D0006" w:rsidRPr="00BC3468" w:rsidRDefault="009D0006" w:rsidP="00B344E3">
            <w:pPr>
              <w:pStyle w:val="Tabletext"/>
            </w:pPr>
            <w:r>
              <w:t>Yes</w:t>
            </w:r>
          </w:p>
        </w:tc>
        <w:tc>
          <w:tcPr>
            <w:tcW w:w="1559" w:type="dxa"/>
            <w:noWrap/>
          </w:tcPr>
          <w:p w14:paraId="544DD1B4" w14:textId="77777777" w:rsidR="009D0006" w:rsidRPr="00BC3468" w:rsidRDefault="009D0006" w:rsidP="00B344E3">
            <w:pPr>
              <w:pStyle w:val="Tabletext"/>
            </w:pPr>
            <w:r>
              <w:t>70</w:t>
            </w:r>
          </w:p>
        </w:tc>
        <w:tc>
          <w:tcPr>
            <w:tcW w:w="1559" w:type="dxa"/>
            <w:noWrap/>
          </w:tcPr>
          <w:p w14:paraId="4872D13D" w14:textId="77777777" w:rsidR="009D0006" w:rsidRPr="00BC3468" w:rsidRDefault="009D0006" w:rsidP="00B344E3">
            <w:pPr>
              <w:pStyle w:val="Tabletext"/>
            </w:pPr>
            <w:r>
              <w:t>26.9</w:t>
            </w:r>
          </w:p>
        </w:tc>
      </w:tr>
    </w:tbl>
    <w:p w14:paraId="4B4DEF61" w14:textId="77777777" w:rsidR="009D0006" w:rsidRDefault="009D0006" w:rsidP="00B344E3">
      <w:pPr>
        <w:pStyle w:val="Tableheading"/>
      </w:pPr>
      <w:r>
        <w:t>Table 123.6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1452126" w14:textId="77777777" w:rsidTr="00B344E3">
        <w:trPr>
          <w:cnfStyle w:val="100000000000" w:firstRow="1" w:lastRow="0" w:firstColumn="0" w:lastColumn="0" w:oddVBand="0" w:evenVBand="0" w:oddHBand="0" w:evenHBand="0" w:firstRowFirstColumn="0" w:firstRowLastColumn="0" w:lastRowFirstColumn="0" w:lastRowLastColumn="0"/>
          <w:trHeight w:val="226"/>
        </w:trPr>
        <w:tc>
          <w:tcPr>
            <w:tcW w:w="6746" w:type="dxa"/>
            <w:noWrap/>
            <w:hideMark/>
          </w:tcPr>
          <w:p w14:paraId="07E532C9" w14:textId="77777777" w:rsidR="009D0006" w:rsidRPr="00BC3468" w:rsidRDefault="009D0006" w:rsidP="00B344E3">
            <w:pPr>
              <w:pStyle w:val="Tableheader"/>
            </w:pPr>
            <w:r>
              <w:t>Attended LGBTIQA+ event</w:t>
            </w:r>
          </w:p>
        </w:tc>
        <w:tc>
          <w:tcPr>
            <w:tcW w:w="1559" w:type="dxa"/>
            <w:noWrap/>
            <w:hideMark/>
          </w:tcPr>
          <w:p w14:paraId="7ED9F4A0" w14:textId="77777777" w:rsidR="009D0006" w:rsidRPr="002B6EDC" w:rsidRDefault="009D0006" w:rsidP="00B344E3">
            <w:pPr>
              <w:pStyle w:val="Tableheader"/>
              <w:rPr>
                <w:bCs/>
              </w:rPr>
            </w:pPr>
            <w:r w:rsidRPr="002B6EDC">
              <w:rPr>
                <w:bCs/>
              </w:rPr>
              <w:t>n</w:t>
            </w:r>
          </w:p>
        </w:tc>
        <w:tc>
          <w:tcPr>
            <w:tcW w:w="1559" w:type="dxa"/>
            <w:noWrap/>
            <w:hideMark/>
          </w:tcPr>
          <w:p w14:paraId="0A8A9364" w14:textId="77777777" w:rsidR="009D0006" w:rsidRPr="002B6EDC" w:rsidRDefault="009D0006" w:rsidP="00B344E3">
            <w:pPr>
              <w:pStyle w:val="Tableheader"/>
              <w:rPr>
                <w:bCs/>
              </w:rPr>
            </w:pPr>
            <w:r w:rsidRPr="002B6EDC">
              <w:rPr>
                <w:bCs/>
              </w:rPr>
              <w:t>%</w:t>
            </w:r>
          </w:p>
        </w:tc>
      </w:tr>
      <w:tr w:rsidR="009D0006" w:rsidRPr="00BC3468" w14:paraId="1B14B404" w14:textId="77777777" w:rsidTr="00B344E3">
        <w:trPr>
          <w:cnfStyle w:val="000000100000" w:firstRow="0" w:lastRow="0" w:firstColumn="0" w:lastColumn="0" w:oddVBand="0" w:evenVBand="0" w:oddHBand="1" w:evenHBand="0" w:firstRowFirstColumn="0" w:firstRowLastColumn="0" w:lastRowFirstColumn="0" w:lastRowLastColumn="0"/>
          <w:trHeight w:val="226"/>
        </w:trPr>
        <w:tc>
          <w:tcPr>
            <w:tcW w:w="6746" w:type="dxa"/>
            <w:noWrap/>
            <w:hideMark/>
          </w:tcPr>
          <w:p w14:paraId="54155CA9" w14:textId="77777777" w:rsidR="009D0006" w:rsidRPr="00BC3468" w:rsidRDefault="009D0006" w:rsidP="00B344E3">
            <w:pPr>
              <w:pStyle w:val="Tabletext"/>
            </w:pPr>
            <w:r>
              <w:t>No</w:t>
            </w:r>
          </w:p>
        </w:tc>
        <w:tc>
          <w:tcPr>
            <w:tcW w:w="1559" w:type="dxa"/>
            <w:noWrap/>
          </w:tcPr>
          <w:p w14:paraId="52909F87" w14:textId="77777777" w:rsidR="009D0006" w:rsidRPr="00BC3468" w:rsidRDefault="009D0006" w:rsidP="00B344E3">
            <w:pPr>
              <w:pStyle w:val="Tabletext"/>
            </w:pPr>
            <w:r>
              <w:t>110</w:t>
            </w:r>
          </w:p>
        </w:tc>
        <w:tc>
          <w:tcPr>
            <w:tcW w:w="1559" w:type="dxa"/>
            <w:noWrap/>
          </w:tcPr>
          <w:p w14:paraId="1144E513" w14:textId="77777777" w:rsidR="009D0006" w:rsidRPr="00BC3468" w:rsidRDefault="009D0006" w:rsidP="00B344E3">
            <w:pPr>
              <w:pStyle w:val="Tabletext"/>
            </w:pPr>
            <w:r>
              <w:t>84.0</w:t>
            </w:r>
          </w:p>
        </w:tc>
      </w:tr>
      <w:tr w:rsidR="009D0006" w:rsidRPr="00BC3468" w14:paraId="4C8BC8C4" w14:textId="77777777" w:rsidTr="00B344E3">
        <w:trPr>
          <w:cnfStyle w:val="000000010000" w:firstRow="0" w:lastRow="0" w:firstColumn="0" w:lastColumn="0" w:oddVBand="0" w:evenVBand="0" w:oddHBand="0" w:evenHBand="1" w:firstRowFirstColumn="0" w:firstRowLastColumn="0" w:lastRowFirstColumn="0" w:lastRowLastColumn="0"/>
          <w:trHeight w:val="226"/>
        </w:trPr>
        <w:tc>
          <w:tcPr>
            <w:tcW w:w="6746" w:type="dxa"/>
            <w:noWrap/>
            <w:hideMark/>
          </w:tcPr>
          <w:p w14:paraId="044AB414" w14:textId="77777777" w:rsidR="009D0006" w:rsidRPr="00BC3468" w:rsidRDefault="009D0006" w:rsidP="00B344E3">
            <w:pPr>
              <w:pStyle w:val="Tabletext"/>
            </w:pPr>
            <w:r>
              <w:t>Yes</w:t>
            </w:r>
          </w:p>
        </w:tc>
        <w:tc>
          <w:tcPr>
            <w:tcW w:w="1559" w:type="dxa"/>
            <w:noWrap/>
          </w:tcPr>
          <w:p w14:paraId="40EB26B4" w14:textId="77777777" w:rsidR="009D0006" w:rsidRPr="00BC3468" w:rsidRDefault="009D0006" w:rsidP="00B344E3">
            <w:pPr>
              <w:pStyle w:val="Tabletext"/>
            </w:pPr>
            <w:r>
              <w:t>21</w:t>
            </w:r>
          </w:p>
        </w:tc>
        <w:tc>
          <w:tcPr>
            <w:tcW w:w="1559" w:type="dxa"/>
            <w:noWrap/>
          </w:tcPr>
          <w:p w14:paraId="18388D27" w14:textId="77777777" w:rsidR="009D0006" w:rsidRPr="00BC3468" w:rsidRDefault="009D0006" w:rsidP="00B344E3">
            <w:pPr>
              <w:pStyle w:val="Tabletext"/>
            </w:pPr>
            <w:r>
              <w:t>16.0</w:t>
            </w:r>
          </w:p>
        </w:tc>
      </w:tr>
    </w:tbl>
    <w:p w14:paraId="29A1D881" w14:textId="77777777" w:rsidR="009D0006" w:rsidRDefault="009D0006" w:rsidP="00B344E3">
      <w:pPr>
        <w:pStyle w:val="Tableheading"/>
      </w:pPr>
      <w:r>
        <w:t>Table 123.7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A488D9C" w14:textId="77777777" w:rsidTr="00B344E3">
        <w:trPr>
          <w:cnfStyle w:val="100000000000" w:firstRow="1" w:lastRow="0" w:firstColumn="0" w:lastColumn="0" w:oddVBand="0" w:evenVBand="0" w:oddHBand="0" w:evenHBand="0" w:firstRowFirstColumn="0" w:firstRowLastColumn="0" w:lastRowFirstColumn="0" w:lastRowLastColumn="0"/>
          <w:trHeight w:val="168"/>
        </w:trPr>
        <w:tc>
          <w:tcPr>
            <w:tcW w:w="6746" w:type="dxa"/>
            <w:noWrap/>
            <w:hideMark/>
          </w:tcPr>
          <w:p w14:paraId="40FB8369" w14:textId="77777777" w:rsidR="009D0006" w:rsidRPr="00BC3468" w:rsidRDefault="009D0006" w:rsidP="00B344E3">
            <w:pPr>
              <w:pStyle w:val="Tableheader"/>
            </w:pPr>
            <w:r>
              <w:t>Attended LGBTIQA+ event</w:t>
            </w:r>
          </w:p>
        </w:tc>
        <w:tc>
          <w:tcPr>
            <w:tcW w:w="1559" w:type="dxa"/>
          </w:tcPr>
          <w:p w14:paraId="0BED35FA" w14:textId="77777777" w:rsidR="009D0006" w:rsidRPr="002B6EDC" w:rsidRDefault="009D0006" w:rsidP="00B344E3">
            <w:pPr>
              <w:pStyle w:val="Tableheader"/>
              <w:rPr>
                <w:bCs/>
              </w:rPr>
            </w:pPr>
            <w:r w:rsidRPr="002B6EDC">
              <w:rPr>
                <w:bCs/>
              </w:rPr>
              <w:t>n</w:t>
            </w:r>
          </w:p>
        </w:tc>
        <w:tc>
          <w:tcPr>
            <w:tcW w:w="1559" w:type="dxa"/>
          </w:tcPr>
          <w:p w14:paraId="263C81B4" w14:textId="77777777" w:rsidR="009D0006" w:rsidRPr="002B6EDC" w:rsidRDefault="009D0006" w:rsidP="00B344E3">
            <w:pPr>
              <w:pStyle w:val="Tableheader"/>
              <w:rPr>
                <w:bCs/>
              </w:rPr>
            </w:pPr>
            <w:r w:rsidRPr="002B6EDC">
              <w:rPr>
                <w:bCs/>
              </w:rPr>
              <w:t>%</w:t>
            </w:r>
          </w:p>
        </w:tc>
      </w:tr>
      <w:tr w:rsidR="009D0006" w:rsidRPr="00BC3468" w14:paraId="6B2F3F63" w14:textId="77777777" w:rsidTr="00B344E3">
        <w:trPr>
          <w:cnfStyle w:val="000000100000" w:firstRow="0" w:lastRow="0" w:firstColumn="0" w:lastColumn="0" w:oddVBand="0" w:evenVBand="0" w:oddHBand="1" w:evenHBand="0" w:firstRowFirstColumn="0" w:firstRowLastColumn="0" w:lastRowFirstColumn="0" w:lastRowLastColumn="0"/>
          <w:trHeight w:val="168"/>
        </w:trPr>
        <w:tc>
          <w:tcPr>
            <w:tcW w:w="6746" w:type="dxa"/>
            <w:noWrap/>
            <w:hideMark/>
          </w:tcPr>
          <w:p w14:paraId="4C6D94DB" w14:textId="77777777" w:rsidR="009D0006" w:rsidRPr="00BC3468" w:rsidRDefault="009D0006" w:rsidP="00B344E3">
            <w:pPr>
              <w:pStyle w:val="Tabletext"/>
            </w:pPr>
            <w:r>
              <w:t>No</w:t>
            </w:r>
          </w:p>
        </w:tc>
        <w:tc>
          <w:tcPr>
            <w:tcW w:w="1559" w:type="dxa"/>
          </w:tcPr>
          <w:p w14:paraId="22F460B7" w14:textId="77777777" w:rsidR="009D0006" w:rsidRPr="00BC3468" w:rsidRDefault="009D0006" w:rsidP="00B344E3">
            <w:pPr>
              <w:pStyle w:val="Tabletext"/>
            </w:pPr>
            <w:r>
              <w:t>272</w:t>
            </w:r>
          </w:p>
        </w:tc>
        <w:tc>
          <w:tcPr>
            <w:tcW w:w="1559" w:type="dxa"/>
          </w:tcPr>
          <w:p w14:paraId="142F0714" w14:textId="77777777" w:rsidR="009D0006" w:rsidRPr="00BC3468" w:rsidRDefault="009D0006" w:rsidP="00B344E3">
            <w:pPr>
              <w:pStyle w:val="Tabletext"/>
            </w:pPr>
            <w:r>
              <w:t>81.2</w:t>
            </w:r>
          </w:p>
        </w:tc>
      </w:tr>
      <w:tr w:rsidR="009D0006" w:rsidRPr="00BC3468" w14:paraId="1C4FAAEF" w14:textId="77777777" w:rsidTr="00B344E3">
        <w:trPr>
          <w:cnfStyle w:val="000000010000" w:firstRow="0" w:lastRow="0" w:firstColumn="0" w:lastColumn="0" w:oddVBand="0" w:evenVBand="0" w:oddHBand="0" w:evenHBand="1" w:firstRowFirstColumn="0" w:firstRowLastColumn="0" w:lastRowFirstColumn="0" w:lastRowLastColumn="0"/>
          <w:trHeight w:val="168"/>
        </w:trPr>
        <w:tc>
          <w:tcPr>
            <w:tcW w:w="6746" w:type="dxa"/>
            <w:noWrap/>
            <w:hideMark/>
          </w:tcPr>
          <w:p w14:paraId="0E9FB0DA" w14:textId="77777777" w:rsidR="009D0006" w:rsidRPr="00BC3468" w:rsidRDefault="009D0006" w:rsidP="00B344E3">
            <w:pPr>
              <w:pStyle w:val="Tabletext"/>
            </w:pPr>
            <w:r>
              <w:t>Yes</w:t>
            </w:r>
          </w:p>
        </w:tc>
        <w:tc>
          <w:tcPr>
            <w:tcW w:w="1559" w:type="dxa"/>
          </w:tcPr>
          <w:p w14:paraId="1F5066A7" w14:textId="77777777" w:rsidR="009D0006" w:rsidRPr="00BC3468" w:rsidRDefault="009D0006" w:rsidP="00B344E3">
            <w:pPr>
              <w:pStyle w:val="Tabletext"/>
            </w:pPr>
            <w:r>
              <w:t>63</w:t>
            </w:r>
          </w:p>
        </w:tc>
        <w:tc>
          <w:tcPr>
            <w:tcW w:w="1559" w:type="dxa"/>
          </w:tcPr>
          <w:p w14:paraId="6A7EC4C5" w14:textId="77777777" w:rsidR="009D0006" w:rsidRPr="00BC3468" w:rsidRDefault="009D0006" w:rsidP="00B344E3">
            <w:pPr>
              <w:pStyle w:val="Tabletext"/>
            </w:pPr>
            <w:r>
              <w:t>18.8</w:t>
            </w:r>
          </w:p>
        </w:tc>
      </w:tr>
    </w:tbl>
    <w:p w14:paraId="375D65D8" w14:textId="77777777" w:rsidR="009D0006" w:rsidRDefault="009D0006" w:rsidP="00AB4A74">
      <w:pPr>
        <w:spacing w:before="360"/>
      </w:pPr>
      <w:r>
        <w:t xml:space="preserve">As shown in Tables 123.1-123.7, participants with disability in </w:t>
      </w:r>
      <w:r>
        <w:rPr>
          <w:i/>
          <w:iCs/>
        </w:rPr>
        <w:t>Writing themselves In 4</w:t>
      </w:r>
      <w:r>
        <w:t xml:space="preserve"> who identified as queer had the largest proportion who attended an LGBTIQA+ youth event in the past 12 months (26.9%; n = 70). This was followed by participants who identified as gay (21.9%; n = 59), pansexual (20.2%; n = 71), something else (18.8%; n = 63), asexual (16.0%; n = 21)</w:t>
      </w:r>
      <w:r w:rsidRPr="00C80F15">
        <w:t>,</w:t>
      </w:r>
      <w:r>
        <w:rPr>
          <w:b/>
          <w:bCs/>
        </w:rPr>
        <w:t xml:space="preserve"> </w:t>
      </w:r>
      <w:r>
        <w:t>lesbian (15.1%; n = 51) and bisexual (14.4%; n = 109).</w:t>
      </w:r>
    </w:p>
    <w:p w14:paraId="6D70ED40" w14:textId="34AEF9B8" w:rsidR="009D0006" w:rsidRDefault="009D0006" w:rsidP="009401DC">
      <w:pPr>
        <w:pStyle w:val="Heading2Numbered"/>
      </w:pPr>
      <w:bookmarkStart w:id="944" w:name="_Toc115968675"/>
      <w:bookmarkStart w:id="945" w:name="_Toc119662485"/>
      <w:r w:rsidRPr="00C5739E">
        <w:t>Feelings of acceptance – adults aged 18+ years</w:t>
      </w:r>
      <w:bookmarkEnd w:id="944"/>
      <w:bookmarkEnd w:id="945"/>
    </w:p>
    <w:p w14:paraId="204A9BD9" w14:textId="77777777" w:rsidR="009D0006" w:rsidRPr="008006F6" w:rsidRDefault="009D0006" w:rsidP="009D0006">
      <w:r w:rsidRPr="00C5739E">
        <w:t>Table</w:t>
      </w:r>
      <w:r>
        <w:t>s</w:t>
      </w:r>
      <w:r w:rsidRPr="00C5739E">
        <w:t xml:space="preserve"> </w:t>
      </w:r>
      <w:r>
        <w:t>124.1-124.7</w:t>
      </w:r>
      <w:r w:rsidRPr="00C5739E">
        <w:t xml:space="preserve"> display the numbers and percentages of participants </w:t>
      </w:r>
      <w:r>
        <w:t>from</w:t>
      </w:r>
      <w:r w:rsidRPr="00C5739E">
        <w:t xml:space="preserve"> </w:t>
      </w:r>
      <w:r w:rsidRPr="00AE109A">
        <w:rPr>
          <w:i/>
          <w:iCs/>
        </w:rPr>
        <w:t>Private Lives 3</w:t>
      </w:r>
      <w:r w:rsidRPr="00C5739E">
        <w:t xml:space="preserve"> who felt accepted ‘a lot’ or ‘always’ in </w:t>
      </w:r>
      <w:r>
        <w:t>different</w:t>
      </w:r>
      <w:r w:rsidRPr="00C5739E">
        <w:t xml:space="preserve"> situations according to </w:t>
      </w:r>
      <w:r>
        <w:t>their sexual orientation</w:t>
      </w:r>
      <w:r w:rsidRPr="00C5739E">
        <w:t>.</w:t>
      </w:r>
    </w:p>
    <w:p w14:paraId="6949A760" w14:textId="0622E513" w:rsidR="009D0006" w:rsidRDefault="009D0006" w:rsidP="00B344E3">
      <w:pPr>
        <w:pStyle w:val="Tableheading"/>
      </w:pPr>
      <w:bookmarkStart w:id="946" w:name="_Toc117062841"/>
      <w:bookmarkStart w:id="947" w:name="_Toc119651526"/>
      <w:r w:rsidRPr="00AE109A">
        <w:t>Table</w:t>
      </w:r>
      <w:r>
        <w:t>s</w:t>
      </w:r>
      <w:r w:rsidRPr="00AE109A">
        <w:t xml:space="preserve"> </w:t>
      </w:r>
      <w:r w:rsidR="00C9023A">
        <w:fldChar w:fldCharType="begin"/>
      </w:r>
      <w:r w:rsidR="00C9023A">
        <w:instrText xml:space="preserve"> SEQ Table \* ARABIC </w:instrText>
      </w:r>
      <w:r w:rsidR="00C9023A">
        <w:fldChar w:fldCharType="separate"/>
      </w:r>
      <w:r>
        <w:rPr>
          <w:noProof/>
        </w:rPr>
        <w:t>124</w:t>
      </w:r>
      <w:r w:rsidR="00C9023A">
        <w:rPr>
          <w:noProof/>
        </w:rPr>
        <w:fldChar w:fldCharType="end"/>
      </w:r>
      <w:r>
        <w:t>.1-124.7: Proportion of adults with disability aged 18+ years</w:t>
      </w:r>
      <w:r w:rsidRPr="00C5739E">
        <w:t xml:space="preserve"> </w:t>
      </w:r>
      <w:r>
        <w:t>who c</w:t>
      </w:r>
      <w:r w:rsidRPr="00C5739E">
        <w:t>urrently feel accepted ‘a lot’ or ‘always’</w:t>
      </w:r>
      <w:r>
        <w:t>, grouped by sexual orientation</w:t>
      </w:r>
      <w:bookmarkEnd w:id="946"/>
      <w:bookmarkEnd w:id="947"/>
    </w:p>
    <w:p w14:paraId="49A6FC05" w14:textId="77777777" w:rsidR="009D0006" w:rsidRDefault="009D0006" w:rsidP="00B344E3">
      <w:pPr>
        <w:pStyle w:val="Tableheading"/>
      </w:pPr>
      <w:r>
        <w:t>Table 124.1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7761919" w14:textId="77777777" w:rsidTr="00650B64">
        <w:trPr>
          <w:cnfStyle w:val="100000000000" w:firstRow="1" w:lastRow="0" w:firstColumn="0" w:lastColumn="0" w:oddVBand="0" w:evenVBand="0" w:oddHBand="0" w:evenHBand="0" w:firstRowFirstColumn="0" w:firstRowLastColumn="0" w:lastRowFirstColumn="0" w:lastRowLastColumn="0"/>
          <w:trHeight w:val="216"/>
          <w:tblHeader/>
        </w:trPr>
        <w:tc>
          <w:tcPr>
            <w:tcW w:w="6746" w:type="dxa"/>
            <w:noWrap/>
            <w:hideMark/>
          </w:tcPr>
          <w:p w14:paraId="261F261B" w14:textId="77777777" w:rsidR="009D0006" w:rsidRPr="00BC3468" w:rsidRDefault="009D0006" w:rsidP="00B344E3">
            <w:pPr>
              <w:pStyle w:val="Tableheader"/>
            </w:pPr>
            <w:r>
              <w:t>Feel accepted in these settings</w:t>
            </w:r>
            <w:r w:rsidRPr="00BC3468">
              <w:t> </w:t>
            </w:r>
          </w:p>
        </w:tc>
        <w:tc>
          <w:tcPr>
            <w:tcW w:w="1559" w:type="dxa"/>
            <w:noWrap/>
            <w:hideMark/>
          </w:tcPr>
          <w:p w14:paraId="1405AEEE" w14:textId="77777777" w:rsidR="009D0006" w:rsidRPr="00815452" w:rsidRDefault="009D0006" w:rsidP="00B344E3">
            <w:pPr>
              <w:pStyle w:val="Tableheader"/>
              <w:rPr>
                <w:bCs/>
              </w:rPr>
            </w:pPr>
            <w:r w:rsidRPr="00815452">
              <w:rPr>
                <w:bCs/>
              </w:rPr>
              <w:t>n</w:t>
            </w:r>
          </w:p>
        </w:tc>
        <w:tc>
          <w:tcPr>
            <w:tcW w:w="1559" w:type="dxa"/>
            <w:noWrap/>
            <w:hideMark/>
          </w:tcPr>
          <w:p w14:paraId="3914A120" w14:textId="77777777" w:rsidR="009D0006" w:rsidRPr="00815452" w:rsidRDefault="009D0006" w:rsidP="00B344E3">
            <w:pPr>
              <w:pStyle w:val="Tableheader"/>
              <w:rPr>
                <w:bCs/>
              </w:rPr>
            </w:pPr>
            <w:r w:rsidRPr="00815452">
              <w:rPr>
                <w:bCs/>
              </w:rPr>
              <w:t>%</w:t>
            </w:r>
          </w:p>
        </w:tc>
      </w:tr>
      <w:tr w:rsidR="009D0006" w:rsidRPr="00BC3468" w14:paraId="157B29CE" w14:textId="77777777" w:rsidTr="00B344E3">
        <w:trPr>
          <w:cnfStyle w:val="000000100000" w:firstRow="0" w:lastRow="0" w:firstColumn="0" w:lastColumn="0" w:oddVBand="0" w:evenVBand="0" w:oddHBand="1" w:evenHBand="0" w:firstRowFirstColumn="0" w:firstRowLastColumn="0" w:lastRowFirstColumn="0" w:lastRowLastColumn="0"/>
          <w:trHeight w:val="216"/>
        </w:trPr>
        <w:tc>
          <w:tcPr>
            <w:tcW w:w="6746" w:type="dxa"/>
            <w:noWrap/>
            <w:hideMark/>
          </w:tcPr>
          <w:p w14:paraId="38ADB112" w14:textId="77777777" w:rsidR="009D0006" w:rsidRPr="00BC3468" w:rsidRDefault="009D0006" w:rsidP="00B344E3">
            <w:pPr>
              <w:pStyle w:val="Tabletext"/>
            </w:pPr>
            <w:r w:rsidRPr="00163723">
              <w:rPr>
                <w:lang w:val="en-US"/>
              </w:rPr>
              <w:t>LGBTIQ venue</w:t>
            </w:r>
          </w:p>
        </w:tc>
        <w:tc>
          <w:tcPr>
            <w:tcW w:w="1559" w:type="dxa"/>
            <w:noWrap/>
          </w:tcPr>
          <w:p w14:paraId="7A6EC2F9" w14:textId="77777777" w:rsidR="009D0006" w:rsidRPr="00BC3468" w:rsidRDefault="009D0006" w:rsidP="00B344E3">
            <w:pPr>
              <w:pStyle w:val="Tabletext"/>
            </w:pPr>
            <w:r>
              <w:t>312</w:t>
            </w:r>
          </w:p>
        </w:tc>
        <w:tc>
          <w:tcPr>
            <w:tcW w:w="1559" w:type="dxa"/>
            <w:noWrap/>
          </w:tcPr>
          <w:p w14:paraId="063AB695" w14:textId="77777777" w:rsidR="009D0006" w:rsidRPr="00BC3468" w:rsidRDefault="009D0006" w:rsidP="00B344E3">
            <w:pPr>
              <w:pStyle w:val="Tabletext"/>
            </w:pPr>
            <w:r>
              <w:t>71.9</w:t>
            </w:r>
          </w:p>
        </w:tc>
      </w:tr>
      <w:tr w:rsidR="009D0006" w:rsidRPr="00BC3468" w14:paraId="320E7BE8" w14:textId="77777777" w:rsidTr="00B344E3">
        <w:trPr>
          <w:cnfStyle w:val="000000010000" w:firstRow="0" w:lastRow="0" w:firstColumn="0" w:lastColumn="0" w:oddVBand="0" w:evenVBand="0" w:oddHBand="0" w:evenHBand="1" w:firstRowFirstColumn="0" w:firstRowLastColumn="0" w:lastRowFirstColumn="0" w:lastRowLastColumn="0"/>
          <w:trHeight w:val="216"/>
        </w:trPr>
        <w:tc>
          <w:tcPr>
            <w:tcW w:w="6746" w:type="dxa"/>
            <w:noWrap/>
            <w:hideMark/>
          </w:tcPr>
          <w:p w14:paraId="30FF75BD" w14:textId="77777777" w:rsidR="009D0006" w:rsidRPr="00BC3468" w:rsidRDefault="009D0006" w:rsidP="00B344E3">
            <w:pPr>
              <w:pStyle w:val="Tabletext"/>
            </w:pPr>
            <w:r w:rsidRPr="00163723">
              <w:rPr>
                <w:lang w:val="en-US"/>
              </w:rPr>
              <w:t>At work</w:t>
            </w:r>
          </w:p>
        </w:tc>
        <w:tc>
          <w:tcPr>
            <w:tcW w:w="1559" w:type="dxa"/>
            <w:noWrap/>
          </w:tcPr>
          <w:p w14:paraId="5354AC73" w14:textId="77777777" w:rsidR="009D0006" w:rsidRPr="00BC3468" w:rsidRDefault="009D0006" w:rsidP="00B344E3">
            <w:pPr>
              <w:pStyle w:val="Tabletext"/>
            </w:pPr>
            <w:r>
              <w:t>192</w:t>
            </w:r>
          </w:p>
        </w:tc>
        <w:tc>
          <w:tcPr>
            <w:tcW w:w="1559" w:type="dxa"/>
            <w:noWrap/>
          </w:tcPr>
          <w:p w14:paraId="72689AFB" w14:textId="77777777" w:rsidR="009D0006" w:rsidRPr="00BC3468" w:rsidRDefault="009D0006" w:rsidP="00B344E3">
            <w:pPr>
              <w:pStyle w:val="Tabletext"/>
            </w:pPr>
            <w:r>
              <w:t>53.9</w:t>
            </w:r>
          </w:p>
        </w:tc>
      </w:tr>
      <w:tr w:rsidR="009D0006" w:rsidRPr="00BC3468" w14:paraId="07BF8788" w14:textId="77777777" w:rsidTr="00B344E3">
        <w:trPr>
          <w:cnfStyle w:val="000000100000" w:firstRow="0" w:lastRow="0" w:firstColumn="0" w:lastColumn="0" w:oddVBand="0" w:evenVBand="0" w:oddHBand="1" w:evenHBand="0" w:firstRowFirstColumn="0" w:firstRowLastColumn="0" w:lastRowFirstColumn="0" w:lastRowLastColumn="0"/>
          <w:trHeight w:val="108"/>
        </w:trPr>
        <w:tc>
          <w:tcPr>
            <w:tcW w:w="6746" w:type="dxa"/>
            <w:noWrap/>
            <w:hideMark/>
          </w:tcPr>
          <w:p w14:paraId="70B43C55" w14:textId="77777777" w:rsidR="009D0006" w:rsidRPr="00C52137" w:rsidRDefault="009D0006" w:rsidP="00B344E3">
            <w:pPr>
              <w:pStyle w:val="Tabletext"/>
            </w:pPr>
            <w:r w:rsidRPr="00C52137">
              <w:rPr>
                <w:lang w:val="en-US"/>
              </w:rPr>
              <w:t>At an educ</w:t>
            </w:r>
            <w:r w:rsidRPr="00C52137">
              <w:rPr>
                <w:lang w:val="en-US"/>
              </w:rPr>
              <w:lastRenderedPageBreak/>
              <w:t>ational institution</w:t>
            </w:r>
          </w:p>
        </w:tc>
        <w:tc>
          <w:tcPr>
            <w:tcW w:w="1559" w:type="dxa"/>
            <w:noWrap/>
          </w:tcPr>
          <w:p w14:paraId="4D7B8CE7" w14:textId="77777777" w:rsidR="009D0006" w:rsidRPr="00C52137" w:rsidRDefault="009D0006" w:rsidP="00B344E3">
            <w:pPr>
              <w:pStyle w:val="Tabletext"/>
            </w:pPr>
            <w:r w:rsidRPr="00C52137">
              <w:t>159</w:t>
            </w:r>
          </w:p>
        </w:tc>
        <w:tc>
          <w:tcPr>
            <w:tcW w:w="1559" w:type="dxa"/>
            <w:noWrap/>
          </w:tcPr>
          <w:p w14:paraId="17D955DC" w14:textId="77777777" w:rsidR="009D0006" w:rsidRPr="00C52137" w:rsidRDefault="009D0006" w:rsidP="00B344E3">
            <w:pPr>
              <w:pStyle w:val="Tabletext"/>
            </w:pPr>
            <w:r w:rsidRPr="00C52137">
              <w:t>50.8</w:t>
            </w:r>
          </w:p>
        </w:tc>
      </w:tr>
      <w:tr w:rsidR="009D0006" w:rsidRPr="00BC3468" w14:paraId="261C48FD" w14:textId="77777777" w:rsidTr="00B344E3">
        <w:trPr>
          <w:cnfStyle w:val="000000010000" w:firstRow="0" w:lastRow="0" w:firstColumn="0" w:lastColumn="0" w:oddVBand="0" w:evenVBand="0" w:oddHBand="0" w:evenHBand="1" w:firstRowFirstColumn="0" w:firstRowLastColumn="0" w:lastRowFirstColumn="0" w:lastRowLastColumn="0"/>
          <w:trHeight w:val="108"/>
        </w:trPr>
        <w:tc>
          <w:tcPr>
            <w:tcW w:w="6746" w:type="dxa"/>
            <w:noWrap/>
            <w:hideMark/>
          </w:tcPr>
          <w:p w14:paraId="59BF1F22"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street/park)</w:t>
            </w:r>
          </w:p>
        </w:tc>
        <w:tc>
          <w:tcPr>
            <w:tcW w:w="1559" w:type="dxa"/>
            <w:noWrap/>
          </w:tcPr>
          <w:p w14:paraId="141A3412" w14:textId="77777777" w:rsidR="009D0006" w:rsidRPr="00BC3468" w:rsidRDefault="009D0006" w:rsidP="00B344E3">
            <w:pPr>
              <w:pStyle w:val="Tabletext"/>
            </w:pPr>
            <w:r>
              <w:t>96</w:t>
            </w:r>
          </w:p>
        </w:tc>
        <w:tc>
          <w:tcPr>
            <w:tcW w:w="1559" w:type="dxa"/>
            <w:noWrap/>
          </w:tcPr>
          <w:p w14:paraId="4C4C4C69" w14:textId="77777777" w:rsidR="009D0006" w:rsidRPr="00BC3468" w:rsidRDefault="009D0006" w:rsidP="00B344E3">
            <w:pPr>
              <w:pStyle w:val="Tabletext"/>
            </w:pPr>
            <w:r>
              <w:t>19.7</w:t>
            </w:r>
          </w:p>
        </w:tc>
      </w:tr>
      <w:tr w:rsidR="009D0006" w:rsidRPr="00BC3468" w14:paraId="65D7C7B6" w14:textId="77777777" w:rsidTr="00B344E3">
        <w:trPr>
          <w:cnfStyle w:val="000000100000" w:firstRow="0" w:lastRow="0" w:firstColumn="0" w:lastColumn="0" w:oddVBand="0" w:evenVBand="0" w:oddHBand="1" w:evenHBand="0" w:firstRowFirstColumn="0" w:firstRowLastColumn="0" w:lastRowFirstColumn="0" w:lastRowLastColumn="0"/>
          <w:trHeight w:val="108"/>
        </w:trPr>
        <w:tc>
          <w:tcPr>
            <w:tcW w:w="6746" w:type="dxa"/>
            <w:noWrap/>
            <w:hideMark/>
          </w:tcPr>
          <w:p w14:paraId="2628DA84" w14:textId="77777777" w:rsidR="009D0006" w:rsidRPr="00BC3468" w:rsidRDefault="009D0006" w:rsidP="00B344E3">
            <w:pPr>
              <w:pStyle w:val="Tabletext"/>
            </w:pPr>
            <w:r w:rsidRPr="00163723">
              <w:rPr>
                <w:lang w:val="en-US"/>
              </w:rPr>
              <w:t>With family members</w:t>
            </w:r>
          </w:p>
        </w:tc>
        <w:tc>
          <w:tcPr>
            <w:tcW w:w="1559" w:type="dxa"/>
            <w:noWrap/>
          </w:tcPr>
          <w:p w14:paraId="0853D42C" w14:textId="77777777" w:rsidR="009D0006" w:rsidRPr="00BC3468" w:rsidRDefault="009D0006" w:rsidP="00B344E3">
            <w:pPr>
              <w:pStyle w:val="Tabletext"/>
            </w:pPr>
            <w:r>
              <w:t>252</w:t>
            </w:r>
          </w:p>
        </w:tc>
        <w:tc>
          <w:tcPr>
            <w:tcW w:w="1559" w:type="dxa"/>
            <w:noWrap/>
          </w:tcPr>
          <w:p w14:paraId="12FF43C6" w14:textId="77777777" w:rsidR="009D0006" w:rsidRPr="00BC3468" w:rsidRDefault="009D0006" w:rsidP="00B344E3">
            <w:pPr>
              <w:pStyle w:val="Tabletext"/>
            </w:pPr>
            <w:r>
              <w:t>50.6</w:t>
            </w:r>
          </w:p>
        </w:tc>
      </w:tr>
      <w:tr w:rsidR="009D0006" w:rsidRPr="00BC3468" w14:paraId="4BF667D7" w14:textId="77777777" w:rsidTr="00B344E3">
        <w:trPr>
          <w:cnfStyle w:val="000000010000" w:firstRow="0" w:lastRow="0" w:firstColumn="0" w:lastColumn="0" w:oddVBand="0" w:evenVBand="0" w:oddHBand="0" w:evenHBand="1" w:firstRowFirstColumn="0" w:firstRowLastColumn="0" w:lastRowFirstColumn="0" w:lastRowLastColumn="0"/>
          <w:trHeight w:val="108"/>
        </w:trPr>
        <w:tc>
          <w:tcPr>
            <w:tcW w:w="6746" w:type="dxa"/>
            <w:noWrap/>
            <w:hideMark/>
          </w:tcPr>
          <w:p w14:paraId="22158795" w14:textId="77777777" w:rsidR="009D0006" w:rsidRPr="00BC3468" w:rsidRDefault="009D0006" w:rsidP="00B344E3">
            <w:pPr>
              <w:pStyle w:val="Tabletext"/>
            </w:pPr>
            <w:r w:rsidRPr="00163723">
              <w:rPr>
                <w:lang w:val="en-US"/>
              </w:rPr>
              <w:t>Accessing a health or support service</w:t>
            </w:r>
          </w:p>
        </w:tc>
        <w:tc>
          <w:tcPr>
            <w:tcW w:w="1559" w:type="dxa"/>
            <w:noWrap/>
          </w:tcPr>
          <w:p w14:paraId="2EFF1946" w14:textId="77777777" w:rsidR="009D0006" w:rsidRPr="00BC3468" w:rsidRDefault="009D0006" w:rsidP="00B344E3">
            <w:pPr>
              <w:pStyle w:val="Tabletext"/>
            </w:pPr>
            <w:r>
              <w:t>165</w:t>
            </w:r>
          </w:p>
        </w:tc>
        <w:tc>
          <w:tcPr>
            <w:tcW w:w="1559" w:type="dxa"/>
            <w:noWrap/>
          </w:tcPr>
          <w:p w14:paraId="0B796A79" w14:textId="77777777" w:rsidR="009D0006" w:rsidRPr="00BC3468" w:rsidRDefault="009D0006" w:rsidP="00B344E3">
            <w:pPr>
              <w:pStyle w:val="Tabletext"/>
            </w:pPr>
            <w:r>
              <w:t>33.8</w:t>
            </w:r>
          </w:p>
        </w:tc>
      </w:tr>
      <w:tr w:rsidR="009D0006" w:rsidRPr="00BC3468" w14:paraId="7A979720" w14:textId="77777777" w:rsidTr="00B344E3">
        <w:trPr>
          <w:cnfStyle w:val="000000100000" w:firstRow="0" w:lastRow="0" w:firstColumn="0" w:lastColumn="0" w:oddVBand="0" w:evenVBand="0" w:oddHBand="1" w:evenHBand="0" w:firstRowFirstColumn="0" w:firstRowLastColumn="0" w:lastRowFirstColumn="0" w:lastRowLastColumn="0"/>
          <w:trHeight w:val="108"/>
        </w:trPr>
        <w:tc>
          <w:tcPr>
            <w:tcW w:w="6746" w:type="dxa"/>
            <w:noWrap/>
            <w:hideMark/>
          </w:tcPr>
          <w:p w14:paraId="46FA92AC"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15D9BC16" w14:textId="77777777" w:rsidR="009D0006" w:rsidRPr="00BC3468" w:rsidRDefault="009D0006" w:rsidP="00B344E3">
            <w:pPr>
              <w:pStyle w:val="Tabletext"/>
            </w:pPr>
            <w:r>
              <w:t>23</w:t>
            </w:r>
          </w:p>
        </w:tc>
        <w:tc>
          <w:tcPr>
            <w:tcW w:w="1559" w:type="dxa"/>
            <w:noWrap/>
          </w:tcPr>
          <w:p w14:paraId="5D11452C" w14:textId="77777777" w:rsidR="009D0006" w:rsidRPr="00BC3468" w:rsidRDefault="009D0006" w:rsidP="00B344E3">
            <w:pPr>
              <w:pStyle w:val="Tabletext"/>
            </w:pPr>
            <w:r>
              <w:t>7.9</w:t>
            </w:r>
          </w:p>
        </w:tc>
      </w:tr>
    </w:tbl>
    <w:p w14:paraId="695723FC" w14:textId="77777777" w:rsidR="009D0006" w:rsidRDefault="009D0006" w:rsidP="00B344E3">
      <w:pPr>
        <w:pStyle w:val="Tableheading"/>
      </w:pPr>
      <w:r>
        <w:t>Table 124.2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C218014" w14:textId="77777777" w:rsidTr="00B344E3">
        <w:trPr>
          <w:cnfStyle w:val="100000000000" w:firstRow="1" w:lastRow="0" w:firstColumn="0" w:lastColumn="0" w:oddVBand="0" w:evenVBand="0" w:oddHBand="0" w:evenHBand="0" w:firstRowFirstColumn="0" w:firstRowLastColumn="0" w:lastRowFirstColumn="0" w:lastRowLastColumn="0"/>
          <w:trHeight w:val="346"/>
        </w:trPr>
        <w:tc>
          <w:tcPr>
            <w:tcW w:w="6746" w:type="dxa"/>
            <w:noWrap/>
            <w:hideMark/>
          </w:tcPr>
          <w:p w14:paraId="4F0C688A" w14:textId="77777777" w:rsidR="009D0006" w:rsidRPr="00BC3468" w:rsidRDefault="009D0006" w:rsidP="00B344E3">
            <w:pPr>
              <w:pStyle w:val="Tableheader"/>
            </w:pPr>
            <w:r>
              <w:t>Feel accepted in these settings</w:t>
            </w:r>
            <w:r w:rsidRPr="00BC3468">
              <w:t> </w:t>
            </w:r>
          </w:p>
        </w:tc>
        <w:tc>
          <w:tcPr>
            <w:tcW w:w="1559" w:type="dxa"/>
            <w:noWrap/>
            <w:hideMark/>
          </w:tcPr>
          <w:p w14:paraId="2A1368DA" w14:textId="77777777" w:rsidR="009D0006" w:rsidRPr="00815452" w:rsidRDefault="009D0006" w:rsidP="00B344E3">
            <w:pPr>
              <w:pStyle w:val="Tableheader"/>
              <w:rPr>
                <w:bCs/>
              </w:rPr>
            </w:pPr>
            <w:r w:rsidRPr="00815452">
              <w:rPr>
                <w:bCs/>
              </w:rPr>
              <w:t>n</w:t>
            </w:r>
          </w:p>
        </w:tc>
        <w:tc>
          <w:tcPr>
            <w:tcW w:w="1559" w:type="dxa"/>
            <w:noWrap/>
            <w:hideMark/>
          </w:tcPr>
          <w:p w14:paraId="45AA2A31" w14:textId="77777777" w:rsidR="009D0006" w:rsidRPr="00815452" w:rsidRDefault="009D0006" w:rsidP="00B344E3">
            <w:pPr>
              <w:pStyle w:val="Tableheader"/>
              <w:rPr>
                <w:bCs/>
              </w:rPr>
            </w:pPr>
            <w:r w:rsidRPr="00815452">
              <w:rPr>
                <w:bCs/>
              </w:rPr>
              <w:t>%</w:t>
            </w:r>
          </w:p>
        </w:tc>
      </w:tr>
      <w:tr w:rsidR="009D0006" w:rsidRPr="00BC3468" w14:paraId="0FF65AD8" w14:textId="77777777" w:rsidTr="00B344E3">
        <w:trPr>
          <w:cnfStyle w:val="000000100000" w:firstRow="0" w:lastRow="0" w:firstColumn="0" w:lastColumn="0" w:oddVBand="0" w:evenVBand="0" w:oddHBand="1" w:evenHBand="0" w:firstRowFirstColumn="0" w:firstRowLastColumn="0" w:lastRowFirstColumn="0" w:lastRowLastColumn="0"/>
          <w:trHeight w:val="346"/>
        </w:trPr>
        <w:tc>
          <w:tcPr>
            <w:tcW w:w="6746" w:type="dxa"/>
            <w:noWrap/>
            <w:hideMark/>
          </w:tcPr>
          <w:p w14:paraId="1C3B56C9" w14:textId="77777777" w:rsidR="009D0006" w:rsidRPr="00BC3468" w:rsidRDefault="009D0006" w:rsidP="00B344E3">
            <w:pPr>
              <w:pStyle w:val="Tabletext"/>
            </w:pPr>
            <w:r w:rsidRPr="00163723">
              <w:rPr>
                <w:lang w:val="en-US"/>
              </w:rPr>
              <w:t>LGBTIQ venue</w:t>
            </w:r>
          </w:p>
        </w:tc>
        <w:tc>
          <w:tcPr>
            <w:tcW w:w="1559" w:type="dxa"/>
            <w:noWrap/>
          </w:tcPr>
          <w:p w14:paraId="2B7D167E" w14:textId="77777777" w:rsidR="009D0006" w:rsidRPr="00BC3468" w:rsidRDefault="009D0006" w:rsidP="00B344E3">
            <w:pPr>
              <w:pStyle w:val="Tabletext"/>
            </w:pPr>
            <w:r>
              <w:t>207</w:t>
            </w:r>
          </w:p>
        </w:tc>
        <w:tc>
          <w:tcPr>
            <w:tcW w:w="1559" w:type="dxa"/>
            <w:noWrap/>
          </w:tcPr>
          <w:p w14:paraId="78D49F76" w14:textId="77777777" w:rsidR="009D0006" w:rsidRPr="00BC3468" w:rsidRDefault="009D0006" w:rsidP="00B344E3">
            <w:pPr>
              <w:pStyle w:val="Tabletext"/>
            </w:pPr>
            <w:r>
              <w:t>59.5</w:t>
            </w:r>
          </w:p>
        </w:tc>
      </w:tr>
      <w:tr w:rsidR="009D0006" w:rsidRPr="00BC3468" w14:paraId="48343135" w14:textId="77777777" w:rsidTr="00B344E3">
        <w:trPr>
          <w:cnfStyle w:val="000000010000" w:firstRow="0" w:lastRow="0" w:firstColumn="0" w:lastColumn="0" w:oddVBand="0" w:evenVBand="0" w:oddHBand="0" w:evenHBand="1" w:firstRowFirstColumn="0" w:firstRowLastColumn="0" w:lastRowFirstColumn="0" w:lastRowLastColumn="0"/>
          <w:trHeight w:val="346"/>
        </w:trPr>
        <w:tc>
          <w:tcPr>
            <w:tcW w:w="6746" w:type="dxa"/>
            <w:noWrap/>
            <w:hideMark/>
          </w:tcPr>
          <w:p w14:paraId="7907D660" w14:textId="77777777" w:rsidR="009D0006" w:rsidRPr="00BC3468" w:rsidRDefault="009D0006" w:rsidP="00B344E3">
            <w:pPr>
              <w:pStyle w:val="Tabletext"/>
            </w:pPr>
            <w:r w:rsidRPr="00163723">
              <w:rPr>
                <w:lang w:val="en-US"/>
              </w:rPr>
              <w:t>At work</w:t>
            </w:r>
          </w:p>
        </w:tc>
        <w:tc>
          <w:tcPr>
            <w:tcW w:w="1559" w:type="dxa"/>
            <w:noWrap/>
          </w:tcPr>
          <w:p w14:paraId="3CB80CC6" w14:textId="77777777" w:rsidR="009D0006" w:rsidRPr="00BC3468" w:rsidRDefault="009D0006" w:rsidP="00B344E3">
            <w:pPr>
              <w:pStyle w:val="Tabletext"/>
            </w:pPr>
            <w:r>
              <w:t>182</w:t>
            </w:r>
          </w:p>
        </w:tc>
        <w:tc>
          <w:tcPr>
            <w:tcW w:w="1559" w:type="dxa"/>
            <w:noWrap/>
          </w:tcPr>
          <w:p w14:paraId="7BCED0FB" w14:textId="77777777" w:rsidR="009D0006" w:rsidRPr="00BC3468" w:rsidRDefault="009D0006" w:rsidP="00B344E3">
            <w:pPr>
              <w:pStyle w:val="Tabletext"/>
            </w:pPr>
            <w:r>
              <w:t>58.5</w:t>
            </w:r>
          </w:p>
        </w:tc>
      </w:tr>
      <w:tr w:rsidR="009D0006" w:rsidRPr="00BC3468" w14:paraId="0FB3B9C0" w14:textId="77777777" w:rsidTr="00B344E3">
        <w:trPr>
          <w:cnfStyle w:val="000000100000" w:firstRow="0" w:lastRow="0" w:firstColumn="0" w:lastColumn="0" w:oddVBand="0" w:evenVBand="0" w:oddHBand="1" w:evenHBand="0" w:firstRowFirstColumn="0" w:firstRowLastColumn="0" w:lastRowFirstColumn="0" w:lastRowLastColumn="0"/>
          <w:trHeight w:val="175"/>
        </w:trPr>
        <w:tc>
          <w:tcPr>
            <w:tcW w:w="6746" w:type="dxa"/>
            <w:noWrap/>
            <w:hideMark/>
          </w:tcPr>
          <w:p w14:paraId="15509A32" w14:textId="77777777" w:rsidR="009D0006" w:rsidRPr="00C52137" w:rsidRDefault="009D0006" w:rsidP="00B344E3">
            <w:pPr>
              <w:pStyle w:val="Tabletext"/>
            </w:pPr>
            <w:r w:rsidRPr="00C52137">
              <w:rPr>
                <w:lang w:val="en-US"/>
              </w:rPr>
              <w:t>At an educational institution</w:t>
            </w:r>
          </w:p>
        </w:tc>
        <w:tc>
          <w:tcPr>
            <w:tcW w:w="1559" w:type="dxa"/>
            <w:noWrap/>
          </w:tcPr>
          <w:p w14:paraId="50381EC5" w14:textId="77777777" w:rsidR="009D0006" w:rsidRPr="00C52137" w:rsidRDefault="009D0006" w:rsidP="00B344E3">
            <w:pPr>
              <w:pStyle w:val="Tabletext"/>
            </w:pPr>
            <w:r w:rsidRPr="00C52137">
              <w:t>128</w:t>
            </w:r>
          </w:p>
        </w:tc>
        <w:tc>
          <w:tcPr>
            <w:tcW w:w="1559" w:type="dxa"/>
            <w:noWrap/>
          </w:tcPr>
          <w:p w14:paraId="140144A9" w14:textId="77777777" w:rsidR="009D0006" w:rsidRPr="00C52137" w:rsidRDefault="009D0006" w:rsidP="00B344E3">
            <w:pPr>
              <w:pStyle w:val="Tabletext"/>
            </w:pPr>
            <w:r w:rsidRPr="00C52137">
              <w:t>53.6</w:t>
            </w:r>
          </w:p>
        </w:tc>
      </w:tr>
      <w:tr w:rsidR="009D0006" w:rsidRPr="00BC3468" w14:paraId="1238B8F7" w14:textId="77777777" w:rsidTr="00B344E3">
        <w:trPr>
          <w:cnfStyle w:val="000000010000" w:firstRow="0" w:lastRow="0" w:firstColumn="0" w:lastColumn="0" w:oddVBand="0" w:evenVBand="0" w:oddHBand="0" w:evenHBand="1" w:firstRowFirstColumn="0" w:firstRowLastColumn="0" w:lastRowFirstColumn="0" w:lastRowLastColumn="0"/>
          <w:trHeight w:val="175"/>
        </w:trPr>
        <w:tc>
          <w:tcPr>
            <w:tcW w:w="6746" w:type="dxa"/>
            <w:noWrap/>
            <w:hideMark/>
          </w:tcPr>
          <w:p w14:paraId="7CE9B09F"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street/park)</w:t>
            </w:r>
          </w:p>
        </w:tc>
        <w:tc>
          <w:tcPr>
            <w:tcW w:w="1559" w:type="dxa"/>
            <w:noWrap/>
          </w:tcPr>
          <w:p w14:paraId="2C29B49B" w14:textId="77777777" w:rsidR="009D0006" w:rsidRPr="00BC3468" w:rsidRDefault="009D0006" w:rsidP="00B344E3">
            <w:pPr>
              <w:pStyle w:val="Tabletext"/>
            </w:pPr>
            <w:r>
              <w:t>105</w:t>
            </w:r>
          </w:p>
        </w:tc>
        <w:tc>
          <w:tcPr>
            <w:tcW w:w="1559" w:type="dxa"/>
            <w:noWrap/>
          </w:tcPr>
          <w:p w14:paraId="57026710" w14:textId="77777777" w:rsidR="009D0006" w:rsidRPr="00BC3468" w:rsidRDefault="009D0006" w:rsidP="00B344E3">
            <w:pPr>
              <w:pStyle w:val="Tabletext"/>
            </w:pPr>
            <w:r>
              <w:t>26.2</w:t>
            </w:r>
          </w:p>
        </w:tc>
      </w:tr>
      <w:tr w:rsidR="009D0006" w:rsidRPr="00BC3468" w14:paraId="0FA18185" w14:textId="77777777" w:rsidTr="00B344E3">
        <w:trPr>
          <w:cnfStyle w:val="000000100000" w:firstRow="0" w:lastRow="0" w:firstColumn="0" w:lastColumn="0" w:oddVBand="0" w:evenVBand="0" w:oddHBand="1" w:evenHBand="0" w:firstRowFirstColumn="0" w:firstRowLastColumn="0" w:lastRowFirstColumn="0" w:lastRowLastColumn="0"/>
          <w:trHeight w:val="175"/>
        </w:trPr>
        <w:tc>
          <w:tcPr>
            <w:tcW w:w="6746" w:type="dxa"/>
            <w:noWrap/>
            <w:hideMark/>
          </w:tcPr>
          <w:p w14:paraId="251CA1A4" w14:textId="77777777" w:rsidR="009D0006" w:rsidRPr="00BC3468" w:rsidRDefault="009D0006" w:rsidP="00B344E3">
            <w:pPr>
              <w:pStyle w:val="Tabletext"/>
            </w:pPr>
            <w:r w:rsidRPr="00163723">
              <w:rPr>
                <w:lang w:val="en-US"/>
              </w:rPr>
              <w:t>With family members</w:t>
            </w:r>
          </w:p>
        </w:tc>
        <w:tc>
          <w:tcPr>
            <w:tcW w:w="1559" w:type="dxa"/>
            <w:noWrap/>
          </w:tcPr>
          <w:p w14:paraId="5671D61C" w14:textId="77777777" w:rsidR="009D0006" w:rsidRPr="00BC3468" w:rsidRDefault="009D0006" w:rsidP="00B344E3">
            <w:pPr>
              <w:pStyle w:val="Tabletext"/>
            </w:pPr>
            <w:r>
              <w:t>223</w:t>
            </w:r>
          </w:p>
        </w:tc>
        <w:tc>
          <w:tcPr>
            <w:tcW w:w="1559" w:type="dxa"/>
            <w:noWrap/>
          </w:tcPr>
          <w:p w14:paraId="682FDF97" w14:textId="77777777" w:rsidR="009D0006" w:rsidRPr="00BC3468" w:rsidRDefault="009D0006" w:rsidP="00B344E3">
            <w:pPr>
              <w:pStyle w:val="Tabletext"/>
            </w:pPr>
            <w:r>
              <w:t>53.9</w:t>
            </w:r>
          </w:p>
        </w:tc>
      </w:tr>
      <w:tr w:rsidR="009D0006" w:rsidRPr="00BC3468" w14:paraId="6E0972D6" w14:textId="77777777" w:rsidTr="00B344E3">
        <w:trPr>
          <w:cnfStyle w:val="000000010000" w:firstRow="0" w:lastRow="0" w:firstColumn="0" w:lastColumn="0" w:oddVBand="0" w:evenVBand="0" w:oddHBand="0" w:evenHBand="1" w:firstRowFirstColumn="0" w:firstRowLastColumn="0" w:lastRowFirstColumn="0" w:lastRowLastColumn="0"/>
          <w:trHeight w:val="175"/>
        </w:trPr>
        <w:tc>
          <w:tcPr>
            <w:tcW w:w="6746" w:type="dxa"/>
            <w:noWrap/>
            <w:hideMark/>
          </w:tcPr>
          <w:p w14:paraId="41F280BE" w14:textId="77777777" w:rsidR="009D0006" w:rsidRPr="00BC3468" w:rsidRDefault="009D0006" w:rsidP="00B344E3">
            <w:pPr>
              <w:pStyle w:val="Tabletext"/>
            </w:pPr>
            <w:r w:rsidRPr="00163723">
              <w:rPr>
                <w:lang w:val="en-US"/>
              </w:rPr>
              <w:t>Accessing a health or support service</w:t>
            </w:r>
          </w:p>
        </w:tc>
        <w:tc>
          <w:tcPr>
            <w:tcW w:w="1559" w:type="dxa"/>
            <w:noWrap/>
          </w:tcPr>
          <w:p w14:paraId="0F41C00F" w14:textId="77777777" w:rsidR="009D0006" w:rsidRPr="00BC3468" w:rsidRDefault="009D0006" w:rsidP="00B344E3">
            <w:pPr>
              <w:pStyle w:val="Tabletext"/>
            </w:pPr>
            <w:r>
              <w:t>175</w:t>
            </w:r>
          </w:p>
        </w:tc>
        <w:tc>
          <w:tcPr>
            <w:tcW w:w="1559" w:type="dxa"/>
            <w:noWrap/>
          </w:tcPr>
          <w:p w14:paraId="6871BA6A" w14:textId="77777777" w:rsidR="009D0006" w:rsidRPr="00BC3468" w:rsidRDefault="009D0006" w:rsidP="00B344E3">
            <w:pPr>
              <w:pStyle w:val="Tabletext"/>
            </w:pPr>
            <w:r>
              <w:t>44.5</w:t>
            </w:r>
          </w:p>
        </w:tc>
      </w:tr>
      <w:tr w:rsidR="009D0006" w:rsidRPr="00BC3468" w14:paraId="0E5612D3" w14:textId="77777777" w:rsidTr="00B344E3">
        <w:trPr>
          <w:cnfStyle w:val="000000100000" w:firstRow="0" w:lastRow="0" w:firstColumn="0" w:lastColumn="0" w:oddVBand="0" w:evenVBand="0" w:oddHBand="1" w:evenHBand="0" w:firstRowFirstColumn="0" w:firstRowLastColumn="0" w:lastRowFirstColumn="0" w:lastRowLastColumn="0"/>
          <w:trHeight w:val="175"/>
        </w:trPr>
        <w:tc>
          <w:tcPr>
            <w:tcW w:w="6746" w:type="dxa"/>
            <w:noWrap/>
            <w:hideMark/>
          </w:tcPr>
          <w:p w14:paraId="7B875F05"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13553695" w14:textId="77777777" w:rsidR="009D0006" w:rsidRPr="00BC3468" w:rsidRDefault="009D0006" w:rsidP="00B344E3">
            <w:pPr>
              <w:pStyle w:val="Tabletext"/>
            </w:pPr>
            <w:r>
              <w:t>26</w:t>
            </w:r>
          </w:p>
        </w:tc>
        <w:tc>
          <w:tcPr>
            <w:tcW w:w="1559" w:type="dxa"/>
            <w:noWrap/>
          </w:tcPr>
          <w:p w14:paraId="471BBE08" w14:textId="77777777" w:rsidR="009D0006" w:rsidRPr="00BC3468" w:rsidRDefault="009D0006" w:rsidP="00B344E3">
            <w:pPr>
              <w:pStyle w:val="Tabletext"/>
            </w:pPr>
            <w:r>
              <w:t>11.3</w:t>
            </w:r>
          </w:p>
        </w:tc>
      </w:tr>
    </w:tbl>
    <w:p w14:paraId="171CDAEF" w14:textId="77777777" w:rsidR="009D0006" w:rsidRDefault="009D0006" w:rsidP="00B344E3">
      <w:pPr>
        <w:pStyle w:val="Tableheading"/>
      </w:pPr>
      <w:r>
        <w:t>Table 124.3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E07D6BC" w14:textId="77777777" w:rsidTr="00B344E3">
        <w:trPr>
          <w:cnfStyle w:val="100000000000" w:firstRow="1" w:lastRow="0" w:firstColumn="0" w:lastColumn="0" w:oddVBand="0" w:evenVBand="0" w:oddHBand="0" w:evenHBand="0" w:firstRowFirstColumn="0" w:firstRowLastColumn="0" w:lastRowFirstColumn="0" w:lastRowLastColumn="0"/>
          <w:trHeight w:val="285"/>
        </w:trPr>
        <w:tc>
          <w:tcPr>
            <w:tcW w:w="6746" w:type="dxa"/>
            <w:noWrap/>
            <w:hideMark/>
          </w:tcPr>
          <w:p w14:paraId="4907B1BB" w14:textId="77777777" w:rsidR="009D0006" w:rsidRPr="00BC3468" w:rsidRDefault="009D0006" w:rsidP="00B344E3">
            <w:pPr>
              <w:pStyle w:val="Tableheader"/>
            </w:pPr>
            <w:r>
              <w:t>Feel accepted in these settings</w:t>
            </w:r>
            <w:r w:rsidRPr="00BC3468">
              <w:t> </w:t>
            </w:r>
          </w:p>
        </w:tc>
        <w:tc>
          <w:tcPr>
            <w:tcW w:w="1559" w:type="dxa"/>
          </w:tcPr>
          <w:p w14:paraId="473A2189" w14:textId="77777777" w:rsidR="009D0006" w:rsidRPr="00BC3468" w:rsidRDefault="009D0006" w:rsidP="00B344E3">
            <w:pPr>
              <w:pStyle w:val="Tableheader"/>
              <w:rPr>
                <w:bCs/>
              </w:rPr>
            </w:pPr>
            <w:r w:rsidRPr="00BC3468">
              <w:rPr>
                <w:bCs/>
              </w:rPr>
              <w:t>n</w:t>
            </w:r>
          </w:p>
        </w:tc>
        <w:tc>
          <w:tcPr>
            <w:tcW w:w="1559" w:type="dxa"/>
          </w:tcPr>
          <w:p w14:paraId="1C254D01" w14:textId="77777777" w:rsidR="009D0006" w:rsidRPr="00BC3468" w:rsidRDefault="009D0006" w:rsidP="00B344E3">
            <w:pPr>
              <w:pStyle w:val="Tableheader"/>
              <w:rPr>
                <w:bCs/>
              </w:rPr>
            </w:pPr>
            <w:r w:rsidRPr="00BC3468">
              <w:rPr>
                <w:bCs/>
              </w:rPr>
              <w:t>%</w:t>
            </w:r>
          </w:p>
        </w:tc>
      </w:tr>
      <w:tr w:rsidR="009D0006" w:rsidRPr="00BC3468" w14:paraId="519A9048" w14:textId="77777777" w:rsidTr="00B344E3">
        <w:trPr>
          <w:cnfStyle w:val="000000100000" w:firstRow="0" w:lastRow="0" w:firstColumn="0" w:lastColumn="0" w:oddVBand="0" w:evenVBand="0" w:oddHBand="1" w:evenHBand="0" w:firstRowFirstColumn="0" w:firstRowLastColumn="0" w:lastRowFirstColumn="0" w:lastRowLastColumn="0"/>
          <w:trHeight w:val="285"/>
        </w:trPr>
        <w:tc>
          <w:tcPr>
            <w:tcW w:w="6746" w:type="dxa"/>
            <w:noWrap/>
            <w:hideMark/>
          </w:tcPr>
          <w:p w14:paraId="6DC5CD0D" w14:textId="77777777" w:rsidR="009D0006" w:rsidRPr="00BC3468" w:rsidRDefault="009D0006" w:rsidP="00B344E3">
            <w:pPr>
              <w:pStyle w:val="Tabletext"/>
            </w:pPr>
            <w:r w:rsidRPr="00163723">
              <w:rPr>
                <w:lang w:val="en-US"/>
              </w:rPr>
              <w:t>LGBTIQ venue</w:t>
            </w:r>
          </w:p>
        </w:tc>
        <w:tc>
          <w:tcPr>
            <w:tcW w:w="1559" w:type="dxa"/>
          </w:tcPr>
          <w:p w14:paraId="585854FF" w14:textId="77777777" w:rsidR="009D0006" w:rsidRPr="00BC3468" w:rsidRDefault="009D0006" w:rsidP="00B344E3">
            <w:pPr>
              <w:pStyle w:val="Tabletext"/>
            </w:pPr>
            <w:r>
              <w:t>269</w:t>
            </w:r>
          </w:p>
        </w:tc>
        <w:tc>
          <w:tcPr>
            <w:tcW w:w="1559" w:type="dxa"/>
          </w:tcPr>
          <w:p w14:paraId="4FC19C6B" w14:textId="77777777" w:rsidR="009D0006" w:rsidRPr="00BC3468" w:rsidRDefault="009D0006" w:rsidP="00B344E3">
            <w:pPr>
              <w:pStyle w:val="Tabletext"/>
            </w:pPr>
            <w:r>
              <w:t>53.3</w:t>
            </w:r>
          </w:p>
        </w:tc>
      </w:tr>
      <w:tr w:rsidR="009D0006" w:rsidRPr="00BC3468" w14:paraId="3BDFB609" w14:textId="77777777" w:rsidTr="00B344E3">
        <w:trPr>
          <w:cnfStyle w:val="000000010000" w:firstRow="0" w:lastRow="0" w:firstColumn="0" w:lastColumn="0" w:oddVBand="0" w:evenVBand="0" w:oddHBand="0" w:evenHBand="1" w:firstRowFirstColumn="0" w:firstRowLastColumn="0" w:lastRowFirstColumn="0" w:lastRowLastColumn="0"/>
          <w:trHeight w:val="285"/>
        </w:trPr>
        <w:tc>
          <w:tcPr>
            <w:tcW w:w="6746" w:type="dxa"/>
            <w:noWrap/>
            <w:hideMark/>
          </w:tcPr>
          <w:p w14:paraId="319E0B13" w14:textId="77777777" w:rsidR="009D0006" w:rsidRPr="00BC3468" w:rsidRDefault="009D0006" w:rsidP="00B344E3">
            <w:pPr>
              <w:pStyle w:val="Tabletext"/>
            </w:pPr>
            <w:r w:rsidRPr="00163723">
              <w:rPr>
                <w:lang w:val="en-US"/>
              </w:rPr>
              <w:t>At work</w:t>
            </w:r>
          </w:p>
        </w:tc>
        <w:tc>
          <w:tcPr>
            <w:tcW w:w="1559" w:type="dxa"/>
          </w:tcPr>
          <w:p w14:paraId="171BA77B" w14:textId="77777777" w:rsidR="009D0006" w:rsidRPr="00BC3468" w:rsidRDefault="009D0006" w:rsidP="00B344E3">
            <w:pPr>
              <w:pStyle w:val="Tabletext"/>
            </w:pPr>
            <w:r>
              <w:t>185</w:t>
            </w:r>
          </w:p>
        </w:tc>
        <w:tc>
          <w:tcPr>
            <w:tcW w:w="1559" w:type="dxa"/>
          </w:tcPr>
          <w:p w14:paraId="1AF4C96A" w14:textId="77777777" w:rsidR="009D0006" w:rsidRPr="00BC3468" w:rsidRDefault="009D0006" w:rsidP="00B344E3">
            <w:pPr>
              <w:pStyle w:val="Tabletext"/>
            </w:pPr>
            <w:r>
              <w:t>44.4</w:t>
            </w:r>
          </w:p>
        </w:tc>
      </w:tr>
      <w:tr w:rsidR="009D0006" w:rsidRPr="00BC3468" w14:paraId="4F8CEEB7"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10573889" w14:textId="77777777" w:rsidR="009D0006" w:rsidRPr="00C52137" w:rsidRDefault="009D0006" w:rsidP="00B344E3">
            <w:pPr>
              <w:pStyle w:val="Tabletext"/>
            </w:pPr>
            <w:r w:rsidRPr="00C52137">
              <w:rPr>
                <w:lang w:val="en-US"/>
              </w:rPr>
              <w:t>At an educational institution</w:t>
            </w:r>
          </w:p>
        </w:tc>
        <w:tc>
          <w:tcPr>
            <w:tcW w:w="1559" w:type="dxa"/>
          </w:tcPr>
          <w:p w14:paraId="7D209B42" w14:textId="77777777" w:rsidR="009D0006" w:rsidRPr="00C52137" w:rsidRDefault="009D0006" w:rsidP="00B344E3">
            <w:pPr>
              <w:pStyle w:val="Tabletext"/>
            </w:pPr>
            <w:r w:rsidRPr="00C52137">
              <w:t>198</w:t>
            </w:r>
          </w:p>
        </w:tc>
        <w:tc>
          <w:tcPr>
            <w:tcW w:w="1559" w:type="dxa"/>
          </w:tcPr>
          <w:p w14:paraId="66F13BB8" w14:textId="77777777" w:rsidR="009D0006" w:rsidRPr="00C52137" w:rsidRDefault="009D0006" w:rsidP="00B344E3">
            <w:pPr>
              <w:pStyle w:val="Tabletext"/>
            </w:pPr>
            <w:r w:rsidRPr="00C52137">
              <w:t>45.2</w:t>
            </w:r>
          </w:p>
        </w:tc>
      </w:tr>
      <w:tr w:rsidR="009D0006" w:rsidRPr="00BC3468" w14:paraId="07AFA12B" w14:textId="77777777" w:rsidTr="00B344E3">
        <w:trPr>
          <w:cnfStyle w:val="000000010000" w:firstRow="0" w:lastRow="0" w:firstColumn="0" w:lastColumn="0" w:oddVBand="0" w:evenVBand="0" w:oddHBand="0" w:evenHBand="1" w:firstRowFirstColumn="0" w:firstRowLastColumn="0" w:lastRowFirstColumn="0" w:lastRowLastColumn="0"/>
          <w:trHeight w:val="144"/>
        </w:trPr>
        <w:tc>
          <w:tcPr>
            <w:tcW w:w="6746" w:type="dxa"/>
            <w:noWrap/>
            <w:hideMark/>
          </w:tcPr>
          <w:p w14:paraId="6CAEB965"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street/park)</w:t>
            </w:r>
          </w:p>
        </w:tc>
        <w:tc>
          <w:tcPr>
            <w:tcW w:w="1559" w:type="dxa"/>
          </w:tcPr>
          <w:p w14:paraId="060B4C82" w14:textId="77777777" w:rsidR="009D0006" w:rsidRPr="00BC3468" w:rsidRDefault="009D0006" w:rsidP="00B344E3">
            <w:pPr>
              <w:pStyle w:val="Tabletext"/>
            </w:pPr>
            <w:r>
              <w:t>169</w:t>
            </w:r>
          </w:p>
        </w:tc>
        <w:tc>
          <w:tcPr>
            <w:tcW w:w="1559" w:type="dxa"/>
          </w:tcPr>
          <w:p w14:paraId="7A82D198" w14:textId="77777777" w:rsidR="009D0006" w:rsidRPr="00BC3468" w:rsidRDefault="009D0006" w:rsidP="00B344E3">
            <w:pPr>
              <w:pStyle w:val="Tabletext"/>
            </w:pPr>
            <w:r>
              <w:t>29.2</w:t>
            </w:r>
          </w:p>
        </w:tc>
      </w:tr>
      <w:tr w:rsidR="009D0006" w:rsidRPr="00BC3468" w14:paraId="5B04392F"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77C6A64A" w14:textId="77777777" w:rsidR="009D0006" w:rsidRPr="00BC3468" w:rsidRDefault="009D0006" w:rsidP="00B344E3">
            <w:pPr>
              <w:pStyle w:val="Tabletext"/>
            </w:pPr>
            <w:r w:rsidRPr="00163723">
              <w:rPr>
                <w:lang w:val="en-US"/>
              </w:rPr>
              <w:t>With family members</w:t>
            </w:r>
          </w:p>
        </w:tc>
        <w:tc>
          <w:tcPr>
            <w:tcW w:w="1559" w:type="dxa"/>
          </w:tcPr>
          <w:p w14:paraId="1AE66384" w14:textId="77777777" w:rsidR="009D0006" w:rsidRPr="00BC3468" w:rsidRDefault="009D0006" w:rsidP="00B344E3">
            <w:pPr>
              <w:pStyle w:val="Tabletext"/>
            </w:pPr>
            <w:r>
              <w:t>230</w:t>
            </w:r>
          </w:p>
        </w:tc>
        <w:tc>
          <w:tcPr>
            <w:tcW w:w="1559" w:type="dxa"/>
          </w:tcPr>
          <w:p w14:paraId="13847188" w14:textId="77777777" w:rsidR="009D0006" w:rsidRPr="00BC3468" w:rsidRDefault="009D0006" w:rsidP="00B344E3">
            <w:pPr>
              <w:pStyle w:val="Tabletext"/>
            </w:pPr>
            <w:r>
              <w:t>37.8</w:t>
            </w:r>
          </w:p>
        </w:tc>
      </w:tr>
      <w:tr w:rsidR="009D0006" w:rsidRPr="00BC3468" w14:paraId="02FB89F8" w14:textId="77777777" w:rsidTr="00B344E3">
        <w:trPr>
          <w:cnfStyle w:val="000000010000" w:firstRow="0" w:lastRow="0" w:firstColumn="0" w:lastColumn="0" w:oddVBand="0" w:evenVBand="0" w:oddHBand="0" w:evenHBand="1" w:firstRowFirstColumn="0" w:firstRowLastColumn="0" w:lastRowFirstColumn="0" w:lastRowLastColumn="0"/>
          <w:trHeight w:val="144"/>
        </w:trPr>
        <w:tc>
          <w:tcPr>
            <w:tcW w:w="6746" w:type="dxa"/>
            <w:noWrap/>
            <w:hideMark/>
          </w:tcPr>
          <w:p w14:paraId="4C12A48D" w14:textId="77777777" w:rsidR="009D0006" w:rsidRPr="00BC3468" w:rsidRDefault="009D0006" w:rsidP="00B344E3">
            <w:pPr>
              <w:pStyle w:val="Tabletext"/>
            </w:pPr>
            <w:r w:rsidRPr="00163723">
              <w:rPr>
                <w:lang w:val="en-US"/>
              </w:rPr>
              <w:t>Accessing a health or support service</w:t>
            </w:r>
          </w:p>
        </w:tc>
        <w:tc>
          <w:tcPr>
            <w:tcW w:w="1559" w:type="dxa"/>
          </w:tcPr>
          <w:p w14:paraId="023FA552" w14:textId="77777777" w:rsidR="009D0006" w:rsidRPr="00BC3468" w:rsidRDefault="009D0006" w:rsidP="00B344E3">
            <w:pPr>
              <w:pStyle w:val="Tabletext"/>
            </w:pPr>
            <w:r>
              <w:t>215</w:t>
            </w:r>
          </w:p>
        </w:tc>
        <w:tc>
          <w:tcPr>
            <w:tcW w:w="1559" w:type="dxa"/>
          </w:tcPr>
          <w:p w14:paraId="5EB5E413" w14:textId="77777777" w:rsidR="009D0006" w:rsidRPr="00BC3468" w:rsidRDefault="009D0006" w:rsidP="00B344E3">
            <w:pPr>
              <w:pStyle w:val="Tabletext"/>
            </w:pPr>
            <w:r>
              <w:t>37.9</w:t>
            </w:r>
          </w:p>
        </w:tc>
      </w:tr>
      <w:tr w:rsidR="009D0006" w:rsidRPr="00BC3468" w14:paraId="5E9E3941"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06E8AA24"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tcPr>
          <w:p w14:paraId="26D3DFA7" w14:textId="77777777" w:rsidR="009D0006" w:rsidRPr="00BC3468" w:rsidRDefault="009D0006" w:rsidP="00B344E3">
            <w:pPr>
              <w:pStyle w:val="Tabletext"/>
            </w:pPr>
            <w:r>
              <w:t>31</w:t>
            </w:r>
          </w:p>
        </w:tc>
        <w:tc>
          <w:tcPr>
            <w:tcW w:w="1559" w:type="dxa"/>
          </w:tcPr>
          <w:p w14:paraId="2937D975" w14:textId="77777777" w:rsidR="009D0006" w:rsidRPr="00BC3468" w:rsidRDefault="009D0006" w:rsidP="00B344E3">
            <w:pPr>
              <w:pStyle w:val="Tabletext"/>
            </w:pPr>
            <w:r>
              <w:t>9.1</w:t>
            </w:r>
          </w:p>
        </w:tc>
      </w:tr>
    </w:tbl>
    <w:p w14:paraId="77074957" w14:textId="77777777" w:rsidR="009D0006" w:rsidRDefault="009D0006" w:rsidP="00B344E3">
      <w:pPr>
        <w:pStyle w:val="Tableheading"/>
      </w:pPr>
      <w:r>
        <w:t>Table 124.4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D630723" w14:textId="77777777" w:rsidTr="00650B64">
        <w:trPr>
          <w:cnfStyle w:val="100000000000" w:firstRow="1" w:lastRow="0" w:firstColumn="0" w:lastColumn="0" w:oddVBand="0" w:evenVBand="0" w:oddHBand="0" w:evenHBand="0" w:firstRowFirstColumn="0" w:firstRowLastColumn="0" w:lastRowFirstColumn="0" w:lastRowLastColumn="0"/>
          <w:trHeight w:val="300"/>
          <w:tblHeader/>
        </w:trPr>
        <w:tc>
          <w:tcPr>
            <w:tcW w:w="6746" w:type="dxa"/>
            <w:noWrap/>
            <w:hideMark/>
          </w:tcPr>
          <w:p w14:paraId="6D958524" w14:textId="77777777" w:rsidR="009D0006" w:rsidRPr="00BC3468" w:rsidRDefault="009D0006" w:rsidP="00B344E3">
            <w:pPr>
              <w:pStyle w:val="Tableheader"/>
            </w:pPr>
            <w:r>
              <w:t>Feel accepted in these settings</w:t>
            </w:r>
            <w:r w:rsidRPr="00BC3468">
              <w:t> </w:t>
            </w:r>
          </w:p>
        </w:tc>
        <w:tc>
          <w:tcPr>
            <w:tcW w:w="1559" w:type="dxa"/>
            <w:noWrap/>
            <w:hideMark/>
          </w:tcPr>
          <w:p w14:paraId="1C219DB5" w14:textId="77777777" w:rsidR="009D0006" w:rsidRPr="00BC3468" w:rsidRDefault="009D0006" w:rsidP="00B344E3">
            <w:pPr>
              <w:pStyle w:val="Tableheader"/>
              <w:rPr>
                <w:bCs/>
              </w:rPr>
            </w:pPr>
            <w:r w:rsidRPr="00BC3468">
              <w:rPr>
                <w:bCs/>
              </w:rPr>
              <w:t>n</w:t>
            </w:r>
          </w:p>
        </w:tc>
        <w:tc>
          <w:tcPr>
            <w:tcW w:w="1559" w:type="dxa"/>
            <w:noWrap/>
            <w:hideMark/>
          </w:tcPr>
          <w:p w14:paraId="50ABE452" w14:textId="77777777" w:rsidR="009D0006" w:rsidRPr="00BC3468" w:rsidRDefault="009D0006" w:rsidP="00B344E3">
            <w:pPr>
              <w:pStyle w:val="Tableheader"/>
              <w:rPr>
                <w:bCs/>
              </w:rPr>
            </w:pPr>
            <w:r w:rsidRPr="00BC3468">
              <w:rPr>
                <w:bCs/>
              </w:rPr>
              <w:t>%</w:t>
            </w:r>
          </w:p>
        </w:tc>
      </w:tr>
      <w:tr w:rsidR="009D0006" w:rsidRPr="00BC3468" w14:paraId="66B6CF69" w14:textId="77777777" w:rsidTr="00B344E3">
        <w:trPr>
          <w:cnfStyle w:val="000000100000" w:firstRow="0" w:lastRow="0" w:firstColumn="0" w:lastColumn="0" w:oddVBand="0" w:evenVBand="0" w:oddHBand="1" w:evenHBand="0" w:firstRowFirstColumn="0" w:firstRowLastColumn="0" w:lastRowFirstColumn="0" w:lastRowLastColumn="0"/>
          <w:trHeight w:val="300"/>
        </w:trPr>
        <w:tc>
          <w:tcPr>
            <w:tcW w:w="6746" w:type="dxa"/>
            <w:noWrap/>
            <w:hideMark/>
          </w:tcPr>
          <w:p w14:paraId="0B15B265" w14:textId="77777777" w:rsidR="009D0006" w:rsidRPr="00BC3468" w:rsidRDefault="009D0006" w:rsidP="00B344E3">
            <w:pPr>
              <w:pStyle w:val="Tabletext"/>
            </w:pPr>
            <w:r w:rsidRPr="00163723">
              <w:rPr>
                <w:lang w:val="en-US"/>
              </w:rPr>
              <w:t>LGBTIQ venue</w:t>
            </w:r>
          </w:p>
        </w:tc>
        <w:tc>
          <w:tcPr>
            <w:tcW w:w="1559" w:type="dxa"/>
            <w:noWrap/>
          </w:tcPr>
          <w:p w14:paraId="5A6976BA" w14:textId="77777777" w:rsidR="009D0006" w:rsidRPr="00BC3468" w:rsidRDefault="009D0006" w:rsidP="00B344E3">
            <w:pPr>
              <w:pStyle w:val="Tabletext"/>
            </w:pPr>
            <w:r>
              <w:t>126</w:t>
            </w:r>
          </w:p>
        </w:tc>
        <w:tc>
          <w:tcPr>
            <w:tcW w:w="1559" w:type="dxa"/>
            <w:noWrap/>
          </w:tcPr>
          <w:p w14:paraId="1AFC9397" w14:textId="77777777" w:rsidR="009D0006" w:rsidRPr="00BC3468" w:rsidRDefault="009D0006" w:rsidP="00B344E3">
            <w:pPr>
              <w:pStyle w:val="Tabletext"/>
            </w:pPr>
            <w:r>
              <w:t>57.3</w:t>
            </w:r>
          </w:p>
        </w:tc>
      </w:tr>
      <w:tr w:rsidR="009D0006" w:rsidRPr="00BC3468" w14:paraId="7E63E8FB" w14:textId="77777777" w:rsidTr="00B344E3">
        <w:trPr>
          <w:cnfStyle w:val="000000010000" w:firstRow="0" w:lastRow="0" w:firstColumn="0" w:lastColumn="0" w:oddVBand="0" w:evenVBand="0" w:oddHBand="0" w:evenHBand="1" w:firstRowFirstColumn="0" w:firstRowLastColumn="0" w:lastRowFirstColumn="0" w:lastRowLastColumn="0"/>
          <w:trHeight w:val="300"/>
        </w:trPr>
        <w:tc>
          <w:tcPr>
            <w:tcW w:w="6746" w:type="dxa"/>
            <w:noWrap/>
            <w:hideMark/>
          </w:tcPr>
          <w:p w14:paraId="0E3FDAE5" w14:textId="77777777" w:rsidR="009D0006" w:rsidRPr="00BC3468" w:rsidRDefault="009D0006" w:rsidP="00B344E3">
            <w:pPr>
              <w:pStyle w:val="Tabletext"/>
            </w:pPr>
            <w:r w:rsidRPr="00163723">
              <w:rPr>
                <w:lang w:val="en-US"/>
              </w:rPr>
              <w:t>At work</w:t>
            </w:r>
          </w:p>
        </w:tc>
        <w:tc>
          <w:tcPr>
            <w:tcW w:w="1559" w:type="dxa"/>
            <w:noWrap/>
          </w:tcPr>
          <w:p w14:paraId="42BD3E4F" w14:textId="77777777" w:rsidR="009D0006" w:rsidRPr="00BC3468" w:rsidRDefault="009D0006" w:rsidP="00B344E3">
            <w:pPr>
              <w:pStyle w:val="Tabletext"/>
            </w:pPr>
            <w:r>
              <w:t>77</w:t>
            </w:r>
          </w:p>
        </w:tc>
        <w:tc>
          <w:tcPr>
            <w:tcW w:w="1559" w:type="dxa"/>
            <w:noWrap/>
          </w:tcPr>
          <w:p w14:paraId="710C4299" w14:textId="77777777" w:rsidR="009D0006" w:rsidRPr="00BC3468" w:rsidRDefault="009D0006" w:rsidP="00B344E3">
            <w:pPr>
              <w:pStyle w:val="Tabletext"/>
            </w:pPr>
            <w:r>
              <w:t>46.4</w:t>
            </w:r>
          </w:p>
        </w:tc>
      </w:tr>
      <w:tr w:rsidR="009D0006" w:rsidRPr="00BC3468" w14:paraId="136698CC" w14:textId="77777777" w:rsidTr="00B344E3">
        <w:trPr>
          <w:cnfStyle w:val="000000100000" w:firstRow="0" w:lastRow="0" w:firstColumn="0" w:lastColumn="0" w:oddVBand="0" w:evenVBand="0" w:oddHBand="1" w:evenHBand="0" w:firstRowFirstColumn="0" w:firstRowLastColumn="0" w:lastRowFirstColumn="0" w:lastRowLastColumn="0"/>
          <w:trHeight w:val="151"/>
        </w:trPr>
        <w:tc>
          <w:tcPr>
            <w:tcW w:w="6746" w:type="dxa"/>
            <w:noWrap/>
            <w:hideMark/>
          </w:tcPr>
          <w:p w14:paraId="59EDD9B2" w14:textId="77777777" w:rsidR="009D0006" w:rsidRPr="00C52137" w:rsidRDefault="009D0006" w:rsidP="00B344E3">
            <w:pPr>
              <w:pStyle w:val="Tabletext"/>
            </w:pPr>
            <w:r w:rsidRPr="00C52137">
              <w:rPr>
                <w:lang w:val="en-US"/>
              </w:rPr>
              <w:t>At an educational institution</w:t>
            </w:r>
          </w:p>
        </w:tc>
        <w:tc>
          <w:tcPr>
            <w:tcW w:w="1559" w:type="dxa"/>
            <w:noWrap/>
          </w:tcPr>
          <w:p w14:paraId="14C56CE4" w14:textId="77777777" w:rsidR="009D0006" w:rsidRPr="00C52137" w:rsidRDefault="009D0006" w:rsidP="00B344E3">
            <w:pPr>
              <w:pStyle w:val="Tabletext"/>
            </w:pPr>
            <w:r w:rsidRPr="00C52137">
              <w:t>74</w:t>
            </w:r>
          </w:p>
        </w:tc>
        <w:tc>
          <w:tcPr>
            <w:tcW w:w="1559" w:type="dxa"/>
            <w:noWrap/>
          </w:tcPr>
          <w:p w14:paraId="74EF1787" w14:textId="77777777" w:rsidR="009D0006" w:rsidRPr="00BC3468" w:rsidRDefault="009D0006" w:rsidP="00B344E3">
            <w:pPr>
              <w:pStyle w:val="Tabletext"/>
            </w:pPr>
            <w:r w:rsidRPr="00C52137">
              <w:t>41.3</w:t>
            </w:r>
          </w:p>
        </w:tc>
      </w:tr>
      <w:tr w:rsidR="009D0006" w:rsidRPr="00BC3468" w14:paraId="71913BE1" w14:textId="77777777" w:rsidTr="00B344E3">
        <w:trPr>
          <w:cnfStyle w:val="000000010000" w:firstRow="0" w:lastRow="0" w:firstColumn="0" w:lastColumn="0" w:oddVBand="0" w:evenVBand="0" w:oddHBand="0" w:evenHBand="1" w:firstRowFirstColumn="0" w:firstRowLastColumn="0" w:lastRowFirstColumn="0" w:lastRowLastColumn="0"/>
          <w:trHeight w:val="151"/>
        </w:trPr>
        <w:tc>
          <w:tcPr>
            <w:tcW w:w="6746" w:type="dxa"/>
            <w:noWrap/>
            <w:hideMark/>
          </w:tcPr>
          <w:p w14:paraId="62007C3C"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street/park)</w:t>
            </w:r>
          </w:p>
        </w:tc>
        <w:tc>
          <w:tcPr>
            <w:tcW w:w="1559" w:type="dxa"/>
            <w:noWrap/>
          </w:tcPr>
          <w:p w14:paraId="47AAF77E" w14:textId="77777777" w:rsidR="009D0006" w:rsidRPr="00BC3468" w:rsidRDefault="009D0006" w:rsidP="00B344E3">
            <w:pPr>
              <w:pStyle w:val="Tabletext"/>
            </w:pPr>
            <w:r>
              <w:t>65</w:t>
            </w:r>
          </w:p>
        </w:tc>
        <w:tc>
          <w:tcPr>
            <w:tcW w:w="1559" w:type="dxa"/>
            <w:noWrap/>
          </w:tcPr>
          <w:p w14:paraId="04E5739F" w14:textId="77777777" w:rsidR="009D0006" w:rsidRPr="00BC3468" w:rsidRDefault="009D0006" w:rsidP="00B344E3">
            <w:pPr>
              <w:pStyle w:val="Tabletext"/>
            </w:pPr>
            <w:r>
              <w:t>24.7</w:t>
            </w:r>
          </w:p>
        </w:tc>
      </w:tr>
      <w:tr w:rsidR="009D0006" w:rsidRPr="00BC3468" w14:paraId="02EAE5DC" w14:textId="77777777" w:rsidTr="00B344E3">
        <w:trPr>
          <w:cnfStyle w:val="000000100000" w:firstRow="0" w:lastRow="0" w:firstColumn="0" w:lastColumn="0" w:oddVBand="0" w:evenVBand="0" w:oddHBand="1" w:evenHBand="0" w:firstRowFirstColumn="0" w:firstRowLastColumn="0" w:lastRowFirstColumn="0" w:lastRowLastColumn="0"/>
          <w:trHeight w:val="151"/>
        </w:trPr>
        <w:tc>
          <w:tcPr>
            <w:tcW w:w="6746" w:type="dxa"/>
            <w:noWrap/>
            <w:hideMark/>
          </w:tcPr>
          <w:p w14:paraId="6BB30B84" w14:textId="77777777" w:rsidR="009D0006" w:rsidRPr="00BC3468" w:rsidRDefault="009D0006" w:rsidP="00B344E3">
            <w:pPr>
              <w:pStyle w:val="Tabletext"/>
            </w:pPr>
            <w:r w:rsidRPr="00163723">
              <w:rPr>
                <w:lang w:val="en-US"/>
              </w:rPr>
              <w:t>With famil</w:t>
            </w:r>
            <w:r w:rsidRPr="00163723">
              <w:rPr>
                <w:lang w:val="en-US"/>
              </w:rPr>
              <w:lastRenderedPageBreak/>
              <w:t>y members</w:t>
            </w:r>
          </w:p>
        </w:tc>
        <w:tc>
          <w:tcPr>
            <w:tcW w:w="1559" w:type="dxa"/>
            <w:noWrap/>
          </w:tcPr>
          <w:p w14:paraId="4ECDACA1" w14:textId="77777777" w:rsidR="009D0006" w:rsidRPr="00BC3468" w:rsidRDefault="009D0006" w:rsidP="00B344E3">
            <w:pPr>
              <w:pStyle w:val="Tabletext"/>
            </w:pPr>
            <w:r>
              <w:t>93</w:t>
            </w:r>
          </w:p>
        </w:tc>
        <w:tc>
          <w:tcPr>
            <w:tcW w:w="1559" w:type="dxa"/>
            <w:noWrap/>
          </w:tcPr>
          <w:p w14:paraId="4364890F" w14:textId="77777777" w:rsidR="009D0006" w:rsidRPr="00BC3468" w:rsidRDefault="009D0006" w:rsidP="00B344E3">
            <w:pPr>
              <w:pStyle w:val="Tabletext"/>
            </w:pPr>
            <w:r>
              <w:t>34.6</w:t>
            </w:r>
          </w:p>
        </w:tc>
      </w:tr>
      <w:tr w:rsidR="009D0006" w:rsidRPr="00BC3468" w14:paraId="00AAA3AB" w14:textId="77777777" w:rsidTr="00B344E3">
        <w:trPr>
          <w:cnfStyle w:val="000000010000" w:firstRow="0" w:lastRow="0" w:firstColumn="0" w:lastColumn="0" w:oddVBand="0" w:evenVBand="0" w:oddHBand="0" w:evenHBand="1" w:firstRowFirstColumn="0" w:firstRowLastColumn="0" w:lastRowFirstColumn="0" w:lastRowLastColumn="0"/>
          <w:trHeight w:val="151"/>
        </w:trPr>
        <w:tc>
          <w:tcPr>
            <w:tcW w:w="6746" w:type="dxa"/>
            <w:noWrap/>
            <w:hideMark/>
          </w:tcPr>
          <w:p w14:paraId="0880E17F" w14:textId="77777777" w:rsidR="009D0006" w:rsidRPr="00BC3468" w:rsidRDefault="009D0006" w:rsidP="00B344E3">
            <w:pPr>
              <w:pStyle w:val="Tabletext"/>
            </w:pPr>
            <w:r w:rsidRPr="00163723">
              <w:rPr>
                <w:lang w:val="en-US"/>
              </w:rPr>
              <w:t>Accessing a health or support service</w:t>
            </w:r>
          </w:p>
        </w:tc>
        <w:tc>
          <w:tcPr>
            <w:tcW w:w="1559" w:type="dxa"/>
            <w:noWrap/>
          </w:tcPr>
          <w:p w14:paraId="53577DEF" w14:textId="77777777" w:rsidR="009D0006" w:rsidRPr="00BC3468" w:rsidRDefault="009D0006" w:rsidP="00B344E3">
            <w:pPr>
              <w:pStyle w:val="Tabletext"/>
            </w:pPr>
            <w:r>
              <w:t>88</w:t>
            </w:r>
          </w:p>
        </w:tc>
        <w:tc>
          <w:tcPr>
            <w:tcW w:w="1559" w:type="dxa"/>
            <w:noWrap/>
          </w:tcPr>
          <w:p w14:paraId="5E871E84" w14:textId="77777777" w:rsidR="009D0006" w:rsidRPr="00BC3468" w:rsidRDefault="009D0006" w:rsidP="00B344E3">
            <w:pPr>
              <w:pStyle w:val="Tabletext"/>
            </w:pPr>
            <w:r>
              <w:t>34.9</w:t>
            </w:r>
          </w:p>
        </w:tc>
      </w:tr>
      <w:tr w:rsidR="009D0006" w:rsidRPr="00BC3468" w14:paraId="528209CE" w14:textId="77777777" w:rsidTr="00B344E3">
        <w:trPr>
          <w:cnfStyle w:val="000000100000" w:firstRow="0" w:lastRow="0" w:firstColumn="0" w:lastColumn="0" w:oddVBand="0" w:evenVBand="0" w:oddHBand="1" w:evenHBand="0" w:firstRowFirstColumn="0" w:firstRowLastColumn="0" w:lastRowFirstColumn="0" w:lastRowLastColumn="0"/>
          <w:trHeight w:val="151"/>
        </w:trPr>
        <w:tc>
          <w:tcPr>
            <w:tcW w:w="6746" w:type="dxa"/>
            <w:noWrap/>
            <w:hideMark/>
          </w:tcPr>
          <w:p w14:paraId="2D55984F"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47C0E997" w14:textId="77777777" w:rsidR="009D0006" w:rsidRPr="00BC3468" w:rsidRDefault="009D0006" w:rsidP="00B344E3">
            <w:pPr>
              <w:pStyle w:val="Tabletext"/>
            </w:pPr>
            <w:r>
              <w:t>14</w:t>
            </w:r>
          </w:p>
        </w:tc>
        <w:tc>
          <w:tcPr>
            <w:tcW w:w="1559" w:type="dxa"/>
            <w:noWrap/>
          </w:tcPr>
          <w:p w14:paraId="4ECE117F" w14:textId="77777777" w:rsidR="009D0006" w:rsidRPr="00BC3468" w:rsidRDefault="009D0006" w:rsidP="00B344E3">
            <w:pPr>
              <w:pStyle w:val="Tabletext"/>
            </w:pPr>
            <w:r>
              <w:t>10.4</w:t>
            </w:r>
          </w:p>
        </w:tc>
      </w:tr>
    </w:tbl>
    <w:p w14:paraId="61BF076A" w14:textId="77777777" w:rsidR="009D0006" w:rsidRDefault="009D0006" w:rsidP="00B344E3">
      <w:pPr>
        <w:pStyle w:val="Tableheading"/>
      </w:pPr>
      <w:r>
        <w:t>Table 124.5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72241C6" w14:textId="77777777" w:rsidTr="00B344E3">
        <w:trPr>
          <w:cnfStyle w:val="100000000000" w:firstRow="1" w:lastRow="0" w:firstColumn="0" w:lastColumn="0" w:oddVBand="0" w:evenVBand="0" w:oddHBand="0" w:evenHBand="0" w:firstRowFirstColumn="0" w:firstRowLastColumn="0" w:lastRowFirstColumn="0" w:lastRowLastColumn="0"/>
          <w:trHeight w:val="323"/>
        </w:trPr>
        <w:tc>
          <w:tcPr>
            <w:tcW w:w="6746" w:type="dxa"/>
            <w:noWrap/>
            <w:hideMark/>
          </w:tcPr>
          <w:p w14:paraId="788C56B4" w14:textId="77777777" w:rsidR="009D0006" w:rsidRPr="00BC3468" w:rsidRDefault="009D0006" w:rsidP="00B344E3">
            <w:pPr>
              <w:pStyle w:val="Tableheader"/>
            </w:pPr>
            <w:r>
              <w:t>Feel accepted in these settings</w:t>
            </w:r>
            <w:r w:rsidRPr="00BC3468">
              <w:t> </w:t>
            </w:r>
          </w:p>
        </w:tc>
        <w:tc>
          <w:tcPr>
            <w:tcW w:w="1559" w:type="dxa"/>
            <w:noWrap/>
            <w:hideMark/>
          </w:tcPr>
          <w:p w14:paraId="3AE7387E" w14:textId="77777777" w:rsidR="009D0006" w:rsidRPr="00BC3468" w:rsidRDefault="009D0006" w:rsidP="00B344E3">
            <w:pPr>
              <w:pStyle w:val="Tableheader"/>
              <w:rPr>
                <w:bCs/>
              </w:rPr>
            </w:pPr>
            <w:r w:rsidRPr="00BC3468">
              <w:rPr>
                <w:bCs/>
              </w:rPr>
              <w:t>n</w:t>
            </w:r>
          </w:p>
        </w:tc>
        <w:tc>
          <w:tcPr>
            <w:tcW w:w="1559" w:type="dxa"/>
            <w:noWrap/>
            <w:hideMark/>
          </w:tcPr>
          <w:p w14:paraId="536F126A" w14:textId="77777777" w:rsidR="009D0006" w:rsidRPr="00BC3468" w:rsidRDefault="009D0006" w:rsidP="00B344E3">
            <w:pPr>
              <w:pStyle w:val="Tableheader"/>
              <w:rPr>
                <w:bCs/>
              </w:rPr>
            </w:pPr>
            <w:r w:rsidRPr="00BC3468">
              <w:rPr>
                <w:bCs/>
              </w:rPr>
              <w:t>%</w:t>
            </w:r>
          </w:p>
        </w:tc>
      </w:tr>
      <w:tr w:rsidR="009D0006" w:rsidRPr="00BC3468" w14:paraId="58EA3AD9" w14:textId="77777777" w:rsidTr="00B344E3">
        <w:trPr>
          <w:cnfStyle w:val="000000100000" w:firstRow="0" w:lastRow="0" w:firstColumn="0" w:lastColumn="0" w:oddVBand="0" w:evenVBand="0" w:oddHBand="1" w:evenHBand="0" w:firstRowFirstColumn="0" w:firstRowLastColumn="0" w:lastRowFirstColumn="0" w:lastRowLastColumn="0"/>
          <w:trHeight w:val="323"/>
        </w:trPr>
        <w:tc>
          <w:tcPr>
            <w:tcW w:w="6746" w:type="dxa"/>
            <w:noWrap/>
            <w:hideMark/>
          </w:tcPr>
          <w:p w14:paraId="28423DE5" w14:textId="77777777" w:rsidR="009D0006" w:rsidRPr="00BC3468" w:rsidRDefault="009D0006" w:rsidP="00B344E3">
            <w:pPr>
              <w:pStyle w:val="Tabletext"/>
            </w:pPr>
            <w:r w:rsidRPr="00163723">
              <w:rPr>
                <w:lang w:val="en-US"/>
              </w:rPr>
              <w:t>LGBTIQ venue</w:t>
            </w:r>
          </w:p>
        </w:tc>
        <w:tc>
          <w:tcPr>
            <w:tcW w:w="1559" w:type="dxa"/>
            <w:noWrap/>
          </w:tcPr>
          <w:p w14:paraId="104D426D" w14:textId="77777777" w:rsidR="009D0006" w:rsidRPr="00BC3468" w:rsidRDefault="009D0006" w:rsidP="00B344E3">
            <w:pPr>
              <w:pStyle w:val="Tabletext"/>
            </w:pPr>
            <w:r>
              <w:t>219</w:t>
            </w:r>
          </w:p>
        </w:tc>
        <w:tc>
          <w:tcPr>
            <w:tcW w:w="1559" w:type="dxa"/>
            <w:noWrap/>
          </w:tcPr>
          <w:p w14:paraId="7EFA06F7" w14:textId="77777777" w:rsidR="009D0006" w:rsidRPr="00BC3468" w:rsidRDefault="009D0006" w:rsidP="00B344E3">
            <w:pPr>
              <w:pStyle w:val="Tabletext"/>
            </w:pPr>
            <w:r>
              <w:t>57.0</w:t>
            </w:r>
          </w:p>
        </w:tc>
      </w:tr>
      <w:tr w:rsidR="009D0006" w:rsidRPr="00BC3468" w14:paraId="2A5AF923" w14:textId="77777777" w:rsidTr="00B344E3">
        <w:trPr>
          <w:cnfStyle w:val="000000010000" w:firstRow="0" w:lastRow="0" w:firstColumn="0" w:lastColumn="0" w:oddVBand="0" w:evenVBand="0" w:oddHBand="0" w:evenHBand="1" w:firstRowFirstColumn="0" w:firstRowLastColumn="0" w:lastRowFirstColumn="0" w:lastRowLastColumn="0"/>
          <w:trHeight w:val="323"/>
        </w:trPr>
        <w:tc>
          <w:tcPr>
            <w:tcW w:w="6746" w:type="dxa"/>
            <w:noWrap/>
            <w:hideMark/>
          </w:tcPr>
          <w:p w14:paraId="2CE08042" w14:textId="77777777" w:rsidR="009D0006" w:rsidRPr="00BC3468" w:rsidRDefault="009D0006" w:rsidP="00B344E3">
            <w:pPr>
              <w:pStyle w:val="Tabletext"/>
            </w:pPr>
            <w:r w:rsidRPr="00163723">
              <w:rPr>
                <w:lang w:val="en-US"/>
              </w:rPr>
              <w:t>At work</w:t>
            </w:r>
          </w:p>
        </w:tc>
        <w:tc>
          <w:tcPr>
            <w:tcW w:w="1559" w:type="dxa"/>
            <w:noWrap/>
          </w:tcPr>
          <w:p w14:paraId="3BA52D42" w14:textId="77777777" w:rsidR="009D0006" w:rsidRPr="00BC3468" w:rsidRDefault="009D0006" w:rsidP="00B344E3">
            <w:pPr>
              <w:pStyle w:val="Tabletext"/>
            </w:pPr>
            <w:r>
              <w:t>137</w:t>
            </w:r>
          </w:p>
        </w:tc>
        <w:tc>
          <w:tcPr>
            <w:tcW w:w="1559" w:type="dxa"/>
            <w:noWrap/>
          </w:tcPr>
          <w:p w14:paraId="4AC6092E" w14:textId="77777777" w:rsidR="009D0006" w:rsidRPr="00BC3468" w:rsidRDefault="009D0006" w:rsidP="00B344E3">
            <w:pPr>
              <w:pStyle w:val="Tabletext"/>
            </w:pPr>
            <w:r>
              <w:t>44.9</w:t>
            </w:r>
          </w:p>
        </w:tc>
      </w:tr>
      <w:tr w:rsidR="009D0006" w:rsidRPr="00BC3468" w14:paraId="29E0BF44" w14:textId="77777777" w:rsidTr="00B344E3">
        <w:trPr>
          <w:cnfStyle w:val="000000100000" w:firstRow="0" w:lastRow="0" w:firstColumn="0" w:lastColumn="0" w:oddVBand="0" w:evenVBand="0" w:oddHBand="1" w:evenHBand="0" w:firstRowFirstColumn="0" w:firstRowLastColumn="0" w:lastRowFirstColumn="0" w:lastRowLastColumn="0"/>
          <w:trHeight w:val="163"/>
        </w:trPr>
        <w:tc>
          <w:tcPr>
            <w:tcW w:w="6746" w:type="dxa"/>
            <w:noWrap/>
            <w:hideMark/>
          </w:tcPr>
          <w:p w14:paraId="7F147BDE" w14:textId="77777777" w:rsidR="009D0006" w:rsidRPr="00BC3468" w:rsidRDefault="009D0006" w:rsidP="00B344E3">
            <w:pPr>
              <w:pStyle w:val="Tabletext"/>
            </w:pPr>
            <w:r w:rsidRPr="00163723">
              <w:rPr>
                <w:lang w:val="en-US"/>
              </w:rPr>
              <w:t>At an educational institution</w:t>
            </w:r>
          </w:p>
        </w:tc>
        <w:tc>
          <w:tcPr>
            <w:tcW w:w="1559" w:type="dxa"/>
            <w:noWrap/>
          </w:tcPr>
          <w:p w14:paraId="4FE0F0C7" w14:textId="77777777" w:rsidR="009D0006" w:rsidRPr="00BC3468" w:rsidRDefault="009D0006" w:rsidP="00B344E3">
            <w:pPr>
              <w:pStyle w:val="Tabletext"/>
            </w:pPr>
            <w:r>
              <w:t>119</w:t>
            </w:r>
          </w:p>
        </w:tc>
        <w:tc>
          <w:tcPr>
            <w:tcW w:w="1559" w:type="dxa"/>
            <w:noWrap/>
          </w:tcPr>
          <w:p w14:paraId="0381E953" w14:textId="77777777" w:rsidR="009D0006" w:rsidRPr="00BC3468" w:rsidRDefault="009D0006" w:rsidP="00B344E3">
            <w:pPr>
              <w:pStyle w:val="Tabletext"/>
            </w:pPr>
            <w:r>
              <w:t>41.3</w:t>
            </w:r>
          </w:p>
        </w:tc>
      </w:tr>
      <w:tr w:rsidR="009D0006" w:rsidRPr="00BC3468" w14:paraId="01A7B805" w14:textId="77777777" w:rsidTr="00B344E3">
        <w:trPr>
          <w:cnfStyle w:val="000000010000" w:firstRow="0" w:lastRow="0" w:firstColumn="0" w:lastColumn="0" w:oddVBand="0" w:evenVBand="0" w:oddHBand="0" w:evenHBand="1" w:firstRowFirstColumn="0" w:firstRowLastColumn="0" w:lastRowFirstColumn="0" w:lastRowLastColumn="0"/>
          <w:trHeight w:val="163"/>
        </w:trPr>
        <w:tc>
          <w:tcPr>
            <w:tcW w:w="6746" w:type="dxa"/>
            <w:noWrap/>
            <w:hideMark/>
          </w:tcPr>
          <w:p w14:paraId="2E164A54"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in the street/park)</w:t>
            </w:r>
          </w:p>
        </w:tc>
        <w:tc>
          <w:tcPr>
            <w:tcW w:w="1559" w:type="dxa"/>
            <w:noWrap/>
          </w:tcPr>
          <w:p w14:paraId="282E3BF4" w14:textId="77777777" w:rsidR="009D0006" w:rsidRPr="00BC3468" w:rsidRDefault="009D0006" w:rsidP="00B344E3">
            <w:pPr>
              <w:pStyle w:val="Tabletext"/>
            </w:pPr>
            <w:r>
              <w:t>72</w:t>
            </w:r>
          </w:p>
        </w:tc>
        <w:tc>
          <w:tcPr>
            <w:tcW w:w="1559" w:type="dxa"/>
            <w:noWrap/>
          </w:tcPr>
          <w:p w14:paraId="10BEC567" w14:textId="77777777" w:rsidR="009D0006" w:rsidRPr="00BC3468" w:rsidRDefault="009D0006" w:rsidP="00B344E3">
            <w:pPr>
              <w:pStyle w:val="Tabletext"/>
            </w:pPr>
            <w:r>
              <w:t>17.6</w:t>
            </w:r>
          </w:p>
        </w:tc>
      </w:tr>
      <w:tr w:rsidR="009D0006" w:rsidRPr="00BC3468" w14:paraId="4906D123" w14:textId="77777777" w:rsidTr="00B344E3">
        <w:trPr>
          <w:cnfStyle w:val="000000100000" w:firstRow="0" w:lastRow="0" w:firstColumn="0" w:lastColumn="0" w:oddVBand="0" w:evenVBand="0" w:oddHBand="1" w:evenHBand="0" w:firstRowFirstColumn="0" w:firstRowLastColumn="0" w:lastRowFirstColumn="0" w:lastRowLastColumn="0"/>
          <w:trHeight w:val="163"/>
        </w:trPr>
        <w:tc>
          <w:tcPr>
            <w:tcW w:w="6746" w:type="dxa"/>
            <w:noWrap/>
            <w:hideMark/>
          </w:tcPr>
          <w:p w14:paraId="1A4B42C1" w14:textId="77777777" w:rsidR="009D0006" w:rsidRPr="00BC3468" w:rsidRDefault="009D0006" w:rsidP="00B344E3">
            <w:pPr>
              <w:pStyle w:val="Tabletext"/>
            </w:pPr>
            <w:r w:rsidRPr="00163723">
              <w:rPr>
                <w:lang w:val="en-US"/>
              </w:rPr>
              <w:t>With family members</w:t>
            </w:r>
          </w:p>
        </w:tc>
        <w:tc>
          <w:tcPr>
            <w:tcW w:w="1559" w:type="dxa"/>
            <w:noWrap/>
          </w:tcPr>
          <w:p w14:paraId="544C9CA9" w14:textId="77777777" w:rsidR="009D0006" w:rsidRPr="00BC3468" w:rsidRDefault="009D0006" w:rsidP="00B344E3">
            <w:pPr>
              <w:pStyle w:val="Tabletext"/>
            </w:pPr>
            <w:r>
              <w:t>153</w:t>
            </w:r>
          </w:p>
        </w:tc>
        <w:tc>
          <w:tcPr>
            <w:tcW w:w="1559" w:type="dxa"/>
            <w:noWrap/>
          </w:tcPr>
          <w:p w14:paraId="1A22EDBB" w14:textId="77777777" w:rsidR="009D0006" w:rsidRPr="00BC3468" w:rsidRDefault="009D0006" w:rsidP="00B344E3">
            <w:pPr>
              <w:pStyle w:val="Tabletext"/>
            </w:pPr>
            <w:r>
              <w:t>36.9</w:t>
            </w:r>
          </w:p>
        </w:tc>
      </w:tr>
      <w:tr w:rsidR="009D0006" w:rsidRPr="00BC3468" w14:paraId="66800838" w14:textId="77777777" w:rsidTr="00B344E3">
        <w:trPr>
          <w:cnfStyle w:val="000000010000" w:firstRow="0" w:lastRow="0" w:firstColumn="0" w:lastColumn="0" w:oddVBand="0" w:evenVBand="0" w:oddHBand="0" w:evenHBand="1" w:firstRowFirstColumn="0" w:firstRowLastColumn="0" w:lastRowFirstColumn="0" w:lastRowLastColumn="0"/>
          <w:trHeight w:val="163"/>
        </w:trPr>
        <w:tc>
          <w:tcPr>
            <w:tcW w:w="6746" w:type="dxa"/>
            <w:noWrap/>
            <w:hideMark/>
          </w:tcPr>
          <w:p w14:paraId="2591FA04" w14:textId="77777777" w:rsidR="009D0006" w:rsidRPr="00BC3468" w:rsidRDefault="009D0006" w:rsidP="00B344E3">
            <w:pPr>
              <w:pStyle w:val="Tabletext"/>
            </w:pPr>
            <w:r w:rsidRPr="00163723">
              <w:rPr>
                <w:lang w:val="en-US"/>
              </w:rPr>
              <w:t>Accessing a health or support service</w:t>
            </w:r>
          </w:p>
        </w:tc>
        <w:tc>
          <w:tcPr>
            <w:tcW w:w="1559" w:type="dxa"/>
            <w:noWrap/>
          </w:tcPr>
          <w:p w14:paraId="6C313E2C" w14:textId="77777777" w:rsidR="009D0006" w:rsidRPr="00BC3468" w:rsidRDefault="009D0006" w:rsidP="00B344E3">
            <w:pPr>
              <w:pStyle w:val="Tabletext"/>
            </w:pPr>
            <w:r>
              <w:t>94</w:t>
            </w:r>
          </w:p>
        </w:tc>
        <w:tc>
          <w:tcPr>
            <w:tcW w:w="1559" w:type="dxa"/>
            <w:noWrap/>
          </w:tcPr>
          <w:p w14:paraId="382B0C34" w14:textId="77777777" w:rsidR="009D0006" w:rsidRPr="00BC3468" w:rsidRDefault="009D0006" w:rsidP="00B344E3">
            <w:pPr>
              <w:pStyle w:val="Tabletext"/>
            </w:pPr>
            <w:r>
              <w:t>22.5</w:t>
            </w:r>
          </w:p>
        </w:tc>
      </w:tr>
      <w:tr w:rsidR="009D0006" w:rsidRPr="00BC3468" w14:paraId="62D44543" w14:textId="77777777" w:rsidTr="00B344E3">
        <w:trPr>
          <w:cnfStyle w:val="000000100000" w:firstRow="0" w:lastRow="0" w:firstColumn="0" w:lastColumn="0" w:oddVBand="0" w:evenVBand="0" w:oddHBand="1" w:evenHBand="0" w:firstRowFirstColumn="0" w:firstRowLastColumn="0" w:lastRowFirstColumn="0" w:lastRowLastColumn="0"/>
          <w:trHeight w:val="163"/>
        </w:trPr>
        <w:tc>
          <w:tcPr>
            <w:tcW w:w="6746" w:type="dxa"/>
            <w:noWrap/>
            <w:hideMark/>
          </w:tcPr>
          <w:p w14:paraId="58C84AAC"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16E58BC4" w14:textId="77777777" w:rsidR="009D0006" w:rsidRPr="00BC3468" w:rsidRDefault="009D0006" w:rsidP="00B344E3">
            <w:pPr>
              <w:pStyle w:val="Tabletext"/>
            </w:pPr>
            <w:r>
              <w:t>16</w:t>
            </w:r>
          </w:p>
        </w:tc>
        <w:tc>
          <w:tcPr>
            <w:tcW w:w="1559" w:type="dxa"/>
            <w:noWrap/>
          </w:tcPr>
          <w:p w14:paraId="7F2FAB87" w14:textId="77777777" w:rsidR="009D0006" w:rsidRPr="00BC3468" w:rsidRDefault="009D0006" w:rsidP="00B344E3">
            <w:pPr>
              <w:pStyle w:val="Tabletext"/>
            </w:pPr>
            <w:r>
              <w:t>7.5</w:t>
            </w:r>
          </w:p>
        </w:tc>
      </w:tr>
    </w:tbl>
    <w:p w14:paraId="047218D9" w14:textId="77777777" w:rsidR="009D0006" w:rsidRDefault="009D0006" w:rsidP="00B344E3">
      <w:pPr>
        <w:pStyle w:val="Tableheading"/>
      </w:pPr>
      <w:r>
        <w:t>Table 124.6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AD36EE4" w14:textId="77777777" w:rsidTr="00B344E3">
        <w:trPr>
          <w:cnfStyle w:val="100000000000" w:firstRow="1" w:lastRow="0" w:firstColumn="0" w:lastColumn="0" w:oddVBand="0" w:evenVBand="0" w:oddHBand="0" w:evenHBand="0" w:firstRowFirstColumn="0" w:firstRowLastColumn="0" w:lastRowFirstColumn="0" w:lastRowLastColumn="0"/>
          <w:trHeight w:val="284"/>
        </w:trPr>
        <w:tc>
          <w:tcPr>
            <w:tcW w:w="6746" w:type="dxa"/>
            <w:noWrap/>
            <w:hideMark/>
          </w:tcPr>
          <w:p w14:paraId="282FF9D3" w14:textId="77777777" w:rsidR="009D0006" w:rsidRPr="00BC3468" w:rsidRDefault="009D0006" w:rsidP="00B344E3">
            <w:pPr>
              <w:pStyle w:val="Tableheader"/>
            </w:pPr>
            <w:r>
              <w:t>Feel accepted in these settings</w:t>
            </w:r>
            <w:r w:rsidRPr="00BC3468">
              <w:t> </w:t>
            </w:r>
          </w:p>
        </w:tc>
        <w:tc>
          <w:tcPr>
            <w:tcW w:w="1559" w:type="dxa"/>
            <w:noWrap/>
            <w:hideMark/>
          </w:tcPr>
          <w:p w14:paraId="538FE7F2" w14:textId="77777777" w:rsidR="009D0006" w:rsidRPr="00815452" w:rsidRDefault="009D0006" w:rsidP="00B344E3">
            <w:pPr>
              <w:pStyle w:val="Tableheader"/>
              <w:rPr>
                <w:bCs/>
              </w:rPr>
            </w:pPr>
            <w:r w:rsidRPr="00815452">
              <w:rPr>
                <w:bCs/>
              </w:rPr>
              <w:t>n</w:t>
            </w:r>
          </w:p>
        </w:tc>
        <w:tc>
          <w:tcPr>
            <w:tcW w:w="1559" w:type="dxa"/>
            <w:noWrap/>
            <w:hideMark/>
          </w:tcPr>
          <w:p w14:paraId="52C21604" w14:textId="77777777" w:rsidR="009D0006" w:rsidRPr="00815452" w:rsidRDefault="009D0006" w:rsidP="00B344E3">
            <w:pPr>
              <w:pStyle w:val="Tableheader"/>
              <w:rPr>
                <w:bCs/>
              </w:rPr>
            </w:pPr>
            <w:r w:rsidRPr="00815452">
              <w:rPr>
                <w:bCs/>
              </w:rPr>
              <w:t>%</w:t>
            </w:r>
          </w:p>
        </w:tc>
      </w:tr>
      <w:tr w:rsidR="009D0006" w:rsidRPr="00BC3468" w14:paraId="58DAE1E7" w14:textId="77777777" w:rsidTr="00B344E3">
        <w:trPr>
          <w:cnfStyle w:val="000000100000" w:firstRow="0" w:lastRow="0" w:firstColumn="0" w:lastColumn="0" w:oddVBand="0" w:evenVBand="0" w:oddHBand="1" w:evenHBand="0" w:firstRowFirstColumn="0" w:firstRowLastColumn="0" w:lastRowFirstColumn="0" w:lastRowLastColumn="0"/>
          <w:trHeight w:val="284"/>
        </w:trPr>
        <w:tc>
          <w:tcPr>
            <w:tcW w:w="6746" w:type="dxa"/>
            <w:noWrap/>
            <w:hideMark/>
          </w:tcPr>
          <w:p w14:paraId="1C52200F" w14:textId="77777777" w:rsidR="009D0006" w:rsidRPr="00BC3468" w:rsidRDefault="009D0006" w:rsidP="00B344E3">
            <w:pPr>
              <w:pStyle w:val="Tabletext"/>
            </w:pPr>
            <w:r w:rsidRPr="00163723">
              <w:rPr>
                <w:lang w:val="en-US"/>
              </w:rPr>
              <w:t>LGBTIQ venue</w:t>
            </w:r>
          </w:p>
        </w:tc>
        <w:tc>
          <w:tcPr>
            <w:tcW w:w="1559" w:type="dxa"/>
            <w:noWrap/>
          </w:tcPr>
          <w:p w14:paraId="15A4A369" w14:textId="77777777" w:rsidR="009D0006" w:rsidRPr="00BC3468" w:rsidRDefault="009D0006" w:rsidP="00B344E3">
            <w:pPr>
              <w:pStyle w:val="Tabletext"/>
            </w:pPr>
            <w:r>
              <w:t>54</w:t>
            </w:r>
          </w:p>
        </w:tc>
        <w:tc>
          <w:tcPr>
            <w:tcW w:w="1559" w:type="dxa"/>
            <w:noWrap/>
          </w:tcPr>
          <w:p w14:paraId="681DC351" w14:textId="77777777" w:rsidR="009D0006" w:rsidRPr="00BC3468" w:rsidRDefault="009D0006" w:rsidP="00B344E3">
            <w:pPr>
              <w:pStyle w:val="Tabletext"/>
            </w:pPr>
            <w:r>
              <w:t>55.1</w:t>
            </w:r>
          </w:p>
        </w:tc>
      </w:tr>
      <w:tr w:rsidR="009D0006" w:rsidRPr="00BC3468" w14:paraId="773C135E" w14:textId="77777777" w:rsidTr="00B344E3">
        <w:trPr>
          <w:cnfStyle w:val="000000010000" w:firstRow="0" w:lastRow="0" w:firstColumn="0" w:lastColumn="0" w:oddVBand="0" w:evenVBand="0" w:oddHBand="0" w:evenHBand="1" w:firstRowFirstColumn="0" w:firstRowLastColumn="0" w:lastRowFirstColumn="0" w:lastRowLastColumn="0"/>
          <w:trHeight w:val="284"/>
        </w:trPr>
        <w:tc>
          <w:tcPr>
            <w:tcW w:w="6746" w:type="dxa"/>
            <w:noWrap/>
            <w:hideMark/>
          </w:tcPr>
          <w:p w14:paraId="60192ED6" w14:textId="77777777" w:rsidR="009D0006" w:rsidRPr="00BC3468" w:rsidRDefault="009D0006" w:rsidP="00B344E3">
            <w:pPr>
              <w:pStyle w:val="Tabletext"/>
            </w:pPr>
            <w:r w:rsidRPr="00163723">
              <w:rPr>
                <w:lang w:val="en-US"/>
              </w:rPr>
              <w:t>At work</w:t>
            </w:r>
          </w:p>
        </w:tc>
        <w:tc>
          <w:tcPr>
            <w:tcW w:w="1559" w:type="dxa"/>
            <w:noWrap/>
          </w:tcPr>
          <w:p w14:paraId="4126B25E" w14:textId="77777777" w:rsidR="009D0006" w:rsidRPr="00BC3468" w:rsidRDefault="009D0006" w:rsidP="00B344E3">
            <w:pPr>
              <w:pStyle w:val="Tabletext"/>
            </w:pPr>
            <w:r>
              <w:t>32</w:t>
            </w:r>
          </w:p>
        </w:tc>
        <w:tc>
          <w:tcPr>
            <w:tcW w:w="1559" w:type="dxa"/>
            <w:noWrap/>
          </w:tcPr>
          <w:p w14:paraId="049585D6" w14:textId="77777777" w:rsidR="009D0006" w:rsidRPr="00BC3468" w:rsidRDefault="009D0006" w:rsidP="00B344E3">
            <w:pPr>
              <w:pStyle w:val="Tabletext"/>
            </w:pPr>
            <w:r>
              <w:t>46.4</w:t>
            </w:r>
          </w:p>
        </w:tc>
      </w:tr>
      <w:tr w:rsidR="009D0006" w:rsidRPr="00BC3468" w14:paraId="4C730265"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56BFF8EE" w14:textId="77777777" w:rsidR="009D0006" w:rsidRPr="00BC3468" w:rsidRDefault="009D0006" w:rsidP="00B344E3">
            <w:pPr>
              <w:pStyle w:val="Tabletext"/>
            </w:pPr>
            <w:r w:rsidRPr="00163723">
              <w:rPr>
                <w:lang w:val="en-US"/>
              </w:rPr>
              <w:t>At an educational institution</w:t>
            </w:r>
          </w:p>
        </w:tc>
        <w:tc>
          <w:tcPr>
            <w:tcW w:w="1559" w:type="dxa"/>
            <w:noWrap/>
          </w:tcPr>
          <w:p w14:paraId="1DBD9F00" w14:textId="77777777" w:rsidR="009D0006" w:rsidRPr="00BC3468" w:rsidRDefault="009D0006" w:rsidP="00B344E3">
            <w:pPr>
              <w:pStyle w:val="Tabletext"/>
            </w:pPr>
            <w:r>
              <w:t>31</w:t>
            </w:r>
          </w:p>
        </w:tc>
        <w:tc>
          <w:tcPr>
            <w:tcW w:w="1559" w:type="dxa"/>
            <w:noWrap/>
          </w:tcPr>
          <w:p w14:paraId="0E8982FE" w14:textId="77777777" w:rsidR="009D0006" w:rsidRPr="00BC3468" w:rsidRDefault="009D0006" w:rsidP="00B344E3">
            <w:pPr>
              <w:pStyle w:val="Tabletext"/>
            </w:pPr>
            <w:r>
              <w:t>45.6</w:t>
            </w:r>
          </w:p>
        </w:tc>
      </w:tr>
      <w:tr w:rsidR="009D0006" w:rsidRPr="00BC3468" w14:paraId="0144C133" w14:textId="77777777" w:rsidTr="00B344E3">
        <w:trPr>
          <w:cnfStyle w:val="000000010000" w:firstRow="0" w:lastRow="0" w:firstColumn="0" w:lastColumn="0" w:oddVBand="0" w:evenVBand="0" w:oddHBand="0" w:evenHBand="1" w:firstRowFirstColumn="0" w:firstRowLastColumn="0" w:lastRowFirstColumn="0" w:lastRowLastColumn="0"/>
          <w:trHeight w:val="144"/>
        </w:trPr>
        <w:tc>
          <w:tcPr>
            <w:tcW w:w="6746" w:type="dxa"/>
            <w:noWrap/>
            <w:hideMark/>
          </w:tcPr>
          <w:p w14:paraId="732FB867"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in the street/park)</w:t>
            </w:r>
          </w:p>
        </w:tc>
        <w:tc>
          <w:tcPr>
            <w:tcW w:w="1559" w:type="dxa"/>
            <w:noWrap/>
          </w:tcPr>
          <w:p w14:paraId="08C22DD9" w14:textId="77777777" w:rsidR="009D0006" w:rsidRPr="00BC3468" w:rsidRDefault="009D0006" w:rsidP="00B344E3">
            <w:pPr>
              <w:pStyle w:val="Tabletext"/>
            </w:pPr>
            <w:r>
              <w:t>33</w:t>
            </w:r>
          </w:p>
        </w:tc>
        <w:tc>
          <w:tcPr>
            <w:tcW w:w="1559" w:type="dxa"/>
            <w:noWrap/>
          </w:tcPr>
          <w:p w14:paraId="1C659D00" w14:textId="77777777" w:rsidR="009D0006" w:rsidRPr="00BC3468" w:rsidRDefault="009D0006" w:rsidP="00B344E3">
            <w:pPr>
              <w:pStyle w:val="Tabletext"/>
            </w:pPr>
            <w:r>
              <w:t>30.3</w:t>
            </w:r>
          </w:p>
        </w:tc>
      </w:tr>
      <w:tr w:rsidR="009D0006" w:rsidRPr="00BC3468" w14:paraId="30D410C3"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45B47DD8" w14:textId="77777777" w:rsidR="009D0006" w:rsidRPr="00BC3468" w:rsidRDefault="009D0006" w:rsidP="00B344E3">
            <w:pPr>
              <w:pStyle w:val="Tabletext"/>
            </w:pPr>
            <w:r w:rsidRPr="00163723">
              <w:rPr>
                <w:lang w:val="en-US"/>
              </w:rPr>
              <w:t>With family members</w:t>
            </w:r>
          </w:p>
        </w:tc>
        <w:tc>
          <w:tcPr>
            <w:tcW w:w="1559" w:type="dxa"/>
            <w:noWrap/>
          </w:tcPr>
          <w:p w14:paraId="384CA9C7" w14:textId="77777777" w:rsidR="009D0006" w:rsidRPr="00BC3468" w:rsidRDefault="009D0006" w:rsidP="00B344E3">
            <w:pPr>
              <w:pStyle w:val="Tabletext"/>
            </w:pPr>
            <w:r>
              <w:t>49</w:t>
            </w:r>
          </w:p>
        </w:tc>
        <w:tc>
          <w:tcPr>
            <w:tcW w:w="1559" w:type="dxa"/>
            <w:noWrap/>
          </w:tcPr>
          <w:p w14:paraId="701A0238" w14:textId="77777777" w:rsidR="009D0006" w:rsidRPr="00BC3468" w:rsidRDefault="009D0006" w:rsidP="00B344E3">
            <w:pPr>
              <w:pStyle w:val="Tabletext"/>
            </w:pPr>
            <w:r>
              <w:t>41.2</w:t>
            </w:r>
          </w:p>
        </w:tc>
      </w:tr>
      <w:tr w:rsidR="009D0006" w:rsidRPr="00BC3468" w14:paraId="4CFD174D" w14:textId="77777777" w:rsidTr="00B344E3">
        <w:trPr>
          <w:cnfStyle w:val="000000010000" w:firstRow="0" w:lastRow="0" w:firstColumn="0" w:lastColumn="0" w:oddVBand="0" w:evenVBand="0" w:oddHBand="0" w:evenHBand="1" w:firstRowFirstColumn="0" w:firstRowLastColumn="0" w:lastRowFirstColumn="0" w:lastRowLastColumn="0"/>
          <w:trHeight w:val="144"/>
        </w:trPr>
        <w:tc>
          <w:tcPr>
            <w:tcW w:w="6746" w:type="dxa"/>
            <w:noWrap/>
            <w:hideMark/>
          </w:tcPr>
          <w:p w14:paraId="5293CA67" w14:textId="77777777" w:rsidR="009D0006" w:rsidRPr="00BC3468" w:rsidRDefault="009D0006" w:rsidP="00B344E3">
            <w:pPr>
              <w:pStyle w:val="Tabletext"/>
            </w:pPr>
            <w:r w:rsidRPr="00163723">
              <w:rPr>
                <w:lang w:val="en-US"/>
              </w:rPr>
              <w:t>Accessing a health or support service</w:t>
            </w:r>
          </w:p>
        </w:tc>
        <w:tc>
          <w:tcPr>
            <w:tcW w:w="1559" w:type="dxa"/>
            <w:noWrap/>
          </w:tcPr>
          <w:p w14:paraId="0AC8A8CA" w14:textId="77777777" w:rsidR="009D0006" w:rsidRPr="00BC3468" w:rsidRDefault="009D0006" w:rsidP="00B344E3">
            <w:pPr>
              <w:pStyle w:val="Tabletext"/>
            </w:pPr>
            <w:r>
              <w:t>37</w:t>
            </w:r>
          </w:p>
        </w:tc>
        <w:tc>
          <w:tcPr>
            <w:tcW w:w="1559" w:type="dxa"/>
            <w:noWrap/>
          </w:tcPr>
          <w:p w14:paraId="4EFFF8EA" w14:textId="77777777" w:rsidR="009D0006" w:rsidRPr="00BC3468" w:rsidRDefault="009D0006" w:rsidP="00B344E3">
            <w:pPr>
              <w:pStyle w:val="Tabletext"/>
            </w:pPr>
            <w:r>
              <w:t>33.3</w:t>
            </w:r>
          </w:p>
        </w:tc>
      </w:tr>
      <w:tr w:rsidR="009D0006" w:rsidRPr="00BC3468" w14:paraId="782E9C97" w14:textId="77777777" w:rsidTr="00B344E3">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2473CD33" w14:textId="77777777" w:rsidR="009D0006" w:rsidRPr="00BC3468" w:rsidRDefault="009D0006" w:rsidP="00B344E3">
            <w:pPr>
              <w:pStyle w:val="Tabletext"/>
            </w:pPr>
            <w:r w:rsidRPr="00163723">
              <w:rPr>
                <w:lang w:val="en-US"/>
              </w:rPr>
              <w:t>Religious</w:t>
            </w:r>
            <w:r>
              <w:rPr>
                <w:lang w:val="en-US"/>
              </w:rPr>
              <w:t xml:space="preserve"> or </w:t>
            </w:r>
            <w:r w:rsidRPr="00163723">
              <w:rPr>
                <w:lang w:val="en-US"/>
              </w:rPr>
              <w:t>faith-based events or services</w:t>
            </w:r>
          </w:p>
        </w:tc>
        <w:tc>
          <w:tcPr>
            <w:tcW w:w="1559" w:type="dxa"/>
            <w:noWrap/>
          </w:tcPr>
          <w:p w14:paraId="0993EA68" w14:textId="77777777" w:rsidR="009D0006" w:rsidRPr="00BC3468" w:rsidRDefault="009D0006" w:rsidP="00B344E3">
            <w:pPr>
              <w:pStyle w:val="Tabletext"/>
            </w:pPr>
            <w:r>
              <w:t>6</w:t>
            </w:r>
          </w:p>
        </w:tc>
        <w:tc>
          <w:tcPr>
            <w:tcW w:w="1559" w:type="dxa"/>
            <w:noWrap/>
          </w:tcPr>
          <w:p w14:paraId="0A945932" w14:textId="77777777" w:rsidR="009D0006" w:rsidRPr="00BC3468" w:rsidRDefault="009D0006" w:rsidP="00B344E3">
            <w:pPr>
              <w:pStyle w:val="Tabletext"/>
            </w:pPr>
            <w:r>
              <w:t>10.3</w:t>
            </w:r>
          </w:p>
        </w:tc>
      </w:tr>
    </w:tbl>
    <w:p w14:paraId="6AB689AD" w14:textId="77777777" w:rsidR="009D0006" w:rsidRDefault="009D0006" w:rsidP="00B344E3">
      <w:pPr>
        <w:pStyle w:val="Tableheading"/>
      </w:pPr>
      <w:r>
        <w:t>Table 124.7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E5B12C2" w14:textId="77777777" w:rsidTr="00650B64">
        <w:trPr>
          <w:cnfStyle w:val="100000000000" w:firstRow="1" w:lastRow="0" w:firstColumn="0" w:lastColumn="0" w:oddVBand="0" w:evenVBand="0" w:oddHBand="0" w:evenHBand="0" w:firstRowFirstColumn="0" w:firstRowLastColumn="0" w:lastRowFirstColumn="0" w:lastRowLastColumn="0"/>
          <w:trHeight w:val="315"/>
          <w:tblHeader/>
        </w:trPr>
        <w:tc>
          <w:tcPr>
            <w:tcW w:w="6746" w:type="dxa"/>
            <w:noWrap/>
            <w:hideMark/>
          </w:tcPr>
          <w:p w14:paraId="77CCA815" w14:textId="77777777" w:rsidR="009D0006" w:rsidRPr="00BC3468" w:rsidRDefault="009D0006" w:rsidP="00B344E3">
            <w:pPr>
              <w:pStyle w:val="Tableheader"/>
            </w:pPr>
            <w:r>
              <w:t>Feel accepted in these settings</w:t>
            </w:r>
            <w:r w:rsidRPr="00BC3468">
              <w:t> </w:t>
            </w:r>
          </w:p>
        </w:tc>
        <w:tc>
          <w:tcPr>
            <w:tcW w:w="1559" w:type="dxa"/>
          </w:tcPr>
          <w:p w14:paraId="01591F99" w14:textId="77777777" w:rsidR="009D0006" w:rsidRPr="00815452" w:rsidRDefault="009D0006" w:rsidP="00B344E3">
            <w:pPr>
              <w:pStyle w:val="Tableheader"/>
              <w:rPr>
                <w:bCs/>
              </w:rPr>
            </w:pPr>
            <w:r w:rsidRPr="00815452">
              <w:rPr>
                <w:bCs/>
              </w:rPr>
              <w:t>n</w:t>
            </w:r>
          </w:p>
        </w:tc>
        <w:tc>
          <w:tcPr>
            <w:tcW w:w="1559" w:type="dxa"/>
          </w:tcPr>
          <w:p w14:paraId="531DEEB2" w14:textId="77777777" w:rsidR="009D0006" w:rsidRPr="00815452" w:rsidRDefault="009D0006" w:rsidP="00B344E3">
            <w:pPr>
              <w:pStyle w:val="Tableheader"/>
              <w:rPr>
                <w:bCs/>
              </w:rPr>
            </w:pPr>
            <w:r w:rsidRPr="00815452">
              <w:rPr>
                <w:bCs/>
              </w:rPr>
              <w:t>%</w:t>
            </w:r>
          </w:p>
        </w:tc>
      </w:tr>
      <w:tr w:rsidR="009D0006" w:rsidRPr="00BC3468" w14:paraId="360A26A1" w14:textId="77777777" w:rsidTr="00B344E3">
        <w:trPr>
          <w:cnfStyle w:val="000000100000" w:firstRow="0" w:lastRow="0" w:firstColumn="0" w:lastColumn="0" w:oddVBand="0" w:evenVBand="0" w:oddHBand="1" w:evenHBand="0" w:firstRowFirstColumn="0" w:firstRowLastColumn="0" w:lastRowFirstColumn="0" w:lastRowLastColumn="0"/>
          <w:trHeight w:val="315"/>
        </w:trPr>
        <w:tc>
          <w:tcPr>
            <w:tcW w:w="6746" w:type="dxa"/>
            <w:noWrap/>
            <w:hideMark/>
          </w:tcPr>
          <w:p w14:paraId="46EB7797" w14:textId="77777777" w:rsidR="009D0006" w:rsidRPr="00BC3468" w:rsidRDefault="009D0006" w:rsidP="00B344E3">
            <w:pPr>
              <w:pStyle w:val="Tabletext"/>
            </w:pPr>
            <w:r w:rsidRPr="00163723">
              <w:rPr>
                <w:lang w:val="en-US"/>
              </w:rPr>
              <w:t>LGBTIQ venue</w:t>
            </w:r>
          </w:p>
        </w:tc>
        <w:tc>
          <w:tcPr>
            <w:tcW w:w="1559" w:type="dxa"/>
          </w:tcPr>
          <w:p w14:paraId="5257B0E6" w14:textId="77777777" w:rsidR="009D0006" w:rsidRPr="00BC3468" w:rsidRDefault="009D0006" w:rsidP="00B344E3">
            <w:pPr>
              <w:pStyle w:val="Tabletext"/>
            </w:pPr>
            <w:r>
              <w:t>92</w:t>
            </w:r>
          </w:p>
        </w:tc>
        <w:tc>
          <w:tcPr>
            <w:tcW w:w="1559" w:type="dxa"/>
          </w:tcPr>
          <w:p w14:paraId="092A479E" w14:textId="77777777" w:rsidR="009D0006" w:rsidRPr="00BC3468" w:rsidRDefault="009D0006" w:rsidP="00B344E3">
            <w:pPr>
              <w:pStyle w:val="Tabletext"/>
            </w:pPr>
            <w:r>
              <w:t>56.1</w:t>
            </w:r>
          </w:p>
        </w:tc>
      </w:tr>
      <w:tr w:rsidR="009D0006" w:rsidRPr="00BC3468" w14:paraId="724E5CBE" w14:textId="77777777" w:rsidTr="00B344E3">
        <w:trPr>
          <w:cnfStyle w:val="000000010000" w:firstRow="0" w:lastRow="0" w:firstColumn="0" w:lastColumn="0" w:oddVBand="0" w:evenVBand="0" w:oddHBand="0" w:evenHBand="1" w:firstRowFirstColumn="0" w:firstRowLastColumn="0" w:lastRowFirstColumn="0" w:lastRowLastColumn="0"/>
          <w:trHeight w:val="315"/>
        </w:trPr>
        <w:tc>
          <w:tcPr>
            <w:tcW w:w="6746" w:type="dxa"/>
            <w:noWrap/>
            <w:hideMark/>
          </w:tcPr>
          <w:p w14:paraId="3E78CB1A" w14:textId="77777777" w:rsidR="009D0006" w:rsidRPr="00BC3468" w:rsidRDefault="009D0006" w:rsidP="00B344E3">
            <w:pPr>
              <w:pStyle w:val="Tabletext"/>
            </w:pPr>
            <w:r w:rsidRPr="00163723">
              <w:rPr>
                <w:lang w:val="en-US"/>
              </w:rPr>
              <w:t>At work</w:t>
            </w:r>
          </w:p>
        </w:tc>
        <w:tc>
          <w:tcPr>
            <w:tcW w:w="1559" w:type="dxa"/>
          </w:tcPr>
          <w:p w14:paraId="3B146B67" w14:textId="77777777" w:rsidR="009D0006" w:rsidRPr="00BC3468" w:rsidRDefault="009D0006" w:rsidP="00B344E3">
            <w:pPr>
              <w:pStyle w:val="Tabletext"/>
            </w:pPr>
            <w:r>
              <w:t>48</w:t>
            </w:r>
          </w:p>
        </w:tc>
        <w:tc>
          <w:tcPr>
            <w:tcW w:w="1559" w:type="dxa"/>
          </w:tcPr>
          <w:p w14:paraId="196928C9" w14:textId="77777777" w:rsidR="009D0006" w:rsidRPr="00BC3468" w:rsidRDefault="009D0006" w:rsidP="00B344E3">
            <w:pPr>
              <w:pStyle w:val="Tabletext"/>
            </w:pPr>
            <w:r>
              <w:t>40.7</w:t>
            </w:r>
          </w:p>
        </w:tc>
      </w:tr>
      <w:tr w:rsidR="009D0006" w:rsidRPr="00BC3468" w14:paraId="36EE8674" w14:textId="77777777" w:rsidTr="00B344E3">
        <w:trPr>
          <w:cnfStyle w:val="000000100000" w:firstRow="0" w:lastRow="0" w:firstColumn="0" w:lastColumn="0" w:oddVBand="0" w:evenVBand="0" w:oddHBand="1" w:evenHBand="0" w:firstRowFirstColumn="0" w:firstRowLastColumn="0" w:lastRowFirstColumn="0" w:lastRowLastColumn="0"/>
          <w:trHeight w:val="159"/>
        </w:trPr>
        <w:tc>
          <w:tcPr>
            <w:tcW w:w="6746" w:type="dxa"/>
            <w:noWrap/>
            <w:hideMark/>
          </w:tcPr>
          <w:p w14:paraId="4348C7EE" w14:textId="77777777" w:rsidR="009D0006" w:rsidRPr="00BC3468" w:rsidRDefault="009D0006" w:rsidP="00B344E3">
            <w:pPr>
              <w:pStyle w:val="Tabletext"/>
            </w:pPr>
            <w:r w:rsidRPr="00163723">
              <w:rPr>
                <w:lang w:val="en-US"/>
              </w:rPr>
              <w:t>At an educational institution</w:t>
            </w:r>
          </w:p>
        </w:tc>
        <w:tc>
          <w:tcPr>
            <w:tcW w:w="1559" w:type="dxa"/>
          </w:tcPr>
          <w:p w14:paraId="5A2AC64F" w14:textId="77777777" w:rsidR="009D0006" w:rsidRPr="00BC3468" w:rsidRDefault="009D0006" w:rsidP="00B344E3">
            <w:pPr>
              <w:pStyle w:val="Tabletext"/>
            </w:pPr>
            <w:r>
              <w:t>52</w:t>
            </w:r>
          </w:p>
        </w:tc>
        <w:tc>
          <w:tcPr>
            <w:tcW w:w="1559" w:type="dxa"/>
          </w:tcPr>
          <w:p w14:paraId="36069E2A" w14:textId="77777777" w:rsidR="009D0006" w:rsidRPr="00BC3468" w:rsidRDefault="009D0006" w:rsidP="00B344E3">
            <w:pPr>
              <w:pStyle w:val="Tabletext"/>
            </w:pPr>
            <w:r>
              <w:t>43.0</w:t>
            </w:r>
          </w:p>
        </w:tc>
      </w:tr>
      <w:tr w:rsidR="009D0006" w:rsidRPr="00BC3468" w14:paraId="1FB9A41A" w14:textId="77777777" w:rsidTr="00B344E3">
        <w:trPr>
          <w:cnfStyle w:val="000000010000" w:firstRow="0" w:lastRow="0" w:firstColumn="0" w:lastColumn="0" w:oddVBand="0" w:evenVBand="0" w:oddHBand="0" w:evenHBand="1" w:firstRowFirstColumn="0" w:firstRowLastColumn="0" w:lastRowFirstColumn="0" w:lastRowLastColumn="0"/>
          <w:trHeight w:val="159"/>
        </w:trPr>
        <w:tc>
          <w:tcPr>
            <w:tcW w:w="6746" w:type="dxa"/>
            <w:noWrap/>
            <w:hideMark/>
          </w:tcPr>
          <w:p w14:paraId="77A8D7C5" w14:textId="77777777" w:rsidR="009D0006" w:rsidRPr="00BC3468" w:rsidRDefault="009D0006" w:rsidP="00B344E3">
            <w:pPr>
              <w:pStyle w:val="Tabletext"/>
            </w:pPr>
            <w:r w:rsidRPr="009F2612">
              <w:rPr>
                <w:lang w:val="en-US"/>
              </w:rPr>
              <w:t>In public (e.g.</w:t>
            </w:r>
            <w:r>
              <w:rPr>
                <w:lang w:val="en-US"/>
              </w:rPr>
              <w:t>,</w:t>
            </w:r>
            <w:r w:rsidRPr="009F2612">
              <w:rPr>
                <w:lang w:val="en-US"/>
              </w:rPr>
              <w:t xml:space="preserve"> in the street/park)</w:t>
            </w:r>
          </w:p>
        </w:tc>
        <w:tc>
          <w:tcPr>
            <w:tcW w:w="1559" w:type="dxa"/>
          </w:tcPr>
          <w:p w14:paraId="236A9349" w14:textId="77777777" w:rsidR="009D0006" w:rsidRPr="00BC3468" w:rsidRDefault="009D0006" w:rsidP="00B344E3">
            <w:pPr>
              <w:pStyle w:val="Tabletext"/>
            </w:pPr>
            <w:r>
              <w:t>44</w:t>
            </w:r>
          </w:p>
        </w:tc>
        <w:tc>
          <w:tcPr>
            <w:tcW w:w="1559" w:type="dxa"/>
          </w:tcPr>
          <w:p w14:paraId="4AA10E97" w14:textId="77777777" w:rsidR="009D0006" w:rsidRPr="00BC3468" w:rsidRDefault="009D0006" w:rsidP="00B344E3">
            <w:pPr>
              <w:pStyle w:val="Tabletext"/>
            </w:pPr>
            <w:r>
              <w:t>22.4</w:t>
            </w:r>
          </w:p>
        </w:tc>
      </w:tr>
      <w:tr w:rsidR="009D0006" w:rsidRPr="00BC3468" w14:paraId="0404F298" w14:textId="77777777" w:rsidTr="00B344E3">
        <w:trPr>
          <w:cnfStyle w:val="000000100000" w:firstRow="0" w:lastRow="0" w:firstColumn="0" w:lastColumn="0" w:oddVBand="0" w:evenVBand="0" w:oddHBand="1" w:evenHBand="0" w:firstRowFirstColumn="0" w:firstRowLastColumn="0" w:lastRowFirstColumn="0" w:lastRowLastColumn="0"/>
          <w:trHeight w:val="159"/>
        </w:trPr>
        <w:tc>
          <w:tcPr>
            <w:tcW w:w="6746" w:type="dxa"/>
            <w:noWrap/>
            <w:hideMark/>
          </w:tcPr>
          <w:p w14:paraId="2FD94CD8" w14:textId="77777777" w:rsidR="009D0006" w:rsidRPr="00BC3468" w:rsidRDefault="009D0006" w:rsidP="00B344E3">
            <w:pPr>
              <w:pStyle w:val="Tabletext"/>
            </w:pPr>
            <w:r w:rsidRPr="00163723">
              <w:rPr>
                <w:lang w:val="en-US"/>
              </w:rPr>
              <w:t>With family members</w:t>
            </w:r>
          </w:p>
        </w:tc>
        <w:tc>
          <w:tcPr>
            <w:tcW w:w="1559" w:type="dxa"/>
          </w:tcPr>
          <w:p w14:paraId="3E65B450" w14:textId="77777777" w:rsidR="009D0006" w:rsidRPr="00BC3468" w:rsidRDefault="009D0006" w:rsidP="00B344E3">
            <w:pPr>
              <w:pStyle w:val="Tabletext"/>
            </w:pPr>
            <w:r>
              <w:t>87</w:t>
            </w:r>
          </w:p>
        </w:tc>
        <w:tc>
          <w:tcPr>
            <w:tcW w:w="1559" w:type="dxa"/>
          </w:tcPr>
          <w:p w14:paraId="5EC34397" w14:textId="77777777" w:rsidR="009D0006" w:rsidRPr="00BC3468" w:rsidRDefault="009D0006" w:rsidP="00B344E3">
            <w:pPr>
              <w:pStyle w:val="Tabletext"/>
            </w:pPr>
            <w:r>
              <w:t>43.9</w:t>
            </w:r>
          </w:p>
        </w:tc>
      </w:tr>
      <w:tr w:rsidR="009D0006" w:rsidRPr="00BC3468" w14:paraId="75B37201" w14:textId="77777777" w:rsidTr="00B344E3">
        <w:trPr>
          <w:cnfStyle w:val="000000010000" w:firstRow="0" w:lastRow="0" w:firstColumn="0" w:lastColumn="0" w:oddVBand="0" w:evenVBand="0" w:oddHBand="0" w:evenHBand="1" w:firstRowFirstColumn="0" w:firstRowLastColumn="0" w:lastRowFirstColumn="0" w:lastRowLastColumn="0"/>
          <w:trHeight w:val="159"/>
        </w:trPr>
        <w:tc>
          <w:tcPr>
            <w:tcW w:w="6746" w:type="dxa"/>
            <w:noWrap/>
            <w:hideMark/>
          </w:tcPr>
          <w:p w14:paraId="4CDB5290" w14:textId="77777777" w:rsidR="009D0006" w:rsidRPr="00BC3468" w:rsidRDefault="009D0006" w:rsidP="00B344E3">
            <w:pPr>
              <w:pStyle w:val="Tabletext"/>
            </w:pPr>
            <w:r w:rsidRPr="00163723">
              <w:rPr>
                <w:lang w:val="en-US"/>
              </w:rPr>
              <w:t>Accessing a health or support service</w:t>
            </w:r>
          </w:p>
        </w:tc>
        <w:tc>
          <w:tcPr>
            <w:tcW w:w="1559" w:type="dxa"/>
          </w:tcPr>
          <w:p w14:paraId="14FB31A3" w14:textId="77777777" w:rsidR="009D0006" w:rsidRPr="00BC3468" w:rsidRDefault="009D0006" w:rsidP="00B344E3">
            <w:pPr>
              <w:pStyle w:val="Tabletext"/>
            </w:pPr>
            <w:r>
              <w:t>62</w:t>
            </w:r>
          </w:p>
        </w:tc>
        <w:tc>
          <w:tcPr>
            <w:tcW w:w="1559" w:type="dxa"/>
          </w:tcPr>
          <w:p w14:paraId="03ABED18" w14:textId="77777777" w:rsidR="009D0006" w:rsidRPr="00BC3468" w:rsidRDefault="009D0006" w:rsidP="00B344E3">
            <w:pPr>
              <w:pStyle w:val="Tabletext"/>
            </w:pPr>
            <w:r>
              <w:t>31.8</w:t>
            </w:r>
          </w:p>
        </w:tc>
      </w:tr>
      <w:tr w:rsidR="009D0006" w:rsidRPr="00BC3468" w14:paraId="30775EE5" w14:textId="77777777" w:rsidTr="00B344E3">
        <w:trPr>
          <w:cnfStyle w:val="000000100000" w:firstRow="0" w:lastRow="0" w:firstColumn="0" w:lastColumn="0" w:oddVBand="0" w:evenVBand="0" w:oddHBand="1" w:evenHBand="0" w:firstRowFirstColumn="0" w:firstRowLastColumn="0" w:lastRowFirstColumn="0" w:lastRowLastColumn="0"/>
          <w:trHeight w:val="159"/>
        </w:trPr>
        <w:tc>
          <w:tcPr>
            <w:tcW w:w="6746" w:type="dxa"/>
            <w:noWrap/>
            <w:hideMark/>
          </w:tcPr>
          <w:p w14:paraId="00298ABA" w14:textId="77777777" w:rsidR="009D0006" w:rsidRPr="00BC3468" w:rsidRDefault="009D0006" w:rsidP="00B344E3">
            <w:pPr>
              <w:pStyle w:val="Tabletext"/>
            </w:pPr>
            <w:r w:rsidRPr="00163723">
              <w:rPr>
                <w:lang w:val="en-US"/>
              </w:rPr>
              <w:t>Religious</w:t>
            </w:r>
            <w:r>
              <w:rPr>
                <w:lang w:val="en-US"/>
              </w:rPr>
              <w:t xml:space="preserve"> </w:t>
            </w:r>
            <w:r>
              <w:rPr>
                <w:lang w:val="en-US"/>
              </w:rPr>
              <w:lastRenderedPageBreak/>
              <w:t xml:space="preserve">or </w:t>
            </w:r>
            <w:r w:rsidRPr="00163723">
              <w:rPr>
                <w:lang w:val="en-US"/>
              </w:rPr>
              <w:t>faith-based events or services</w:t>
            </w:r>
          </w:p>
        </w:tc>
        <w:tc>
          <w:tcPr>
            <w:tcW w:w="1559" w:type="dxa"/>
          </w:tcPr>
          <w:p w14:paraId="54BBA682" w14:textId="77777777" w:rsidR="009D0006" w:rsidRPr="00BC3468" w:rsidRDefault="009D0006" w:rsidP="00B344E3">
            <w:pPr>
              <w:pStyle w:val="Tabletext"/>
            </w:pPr>
            <w:r>
              <w:t>16</w:t>
            </w:r>
          </w:p>
        </w:tc>
        <w:tc>
          <w:tcPr>
            <w:tcW w:w="1559" w:type="dxa"/>
          </w:tcPr>
          <w:p w14:paraId="3DEFB81F" w14:textId="77777777" w:rsidR="009D0006" w:rsidRPr="00BC3468" w:rsidRDefault="009D0006" w:rsidP="00B344E3">
            <w:pPr>
              <w:pStyle w:val="Tabletext"/>
            </w:pPr>
            <w:r>
              <w:t>14.5</w:t>
            </w:r>
          </w:p>
        </w:tc>
      </w:tr>
    </w:tbl>
    <w:p w14:paraId="6E8044AA" w14:textId="77777777" w:rsidR="009D0006" w:rsidRPr="00B344E3" w:rsidRDefault="009D0006" w:rsidP="00B344E3">
      <w:pPr>
        <w:pStyle w:val="TableTextNotebelow"/>
        <w:rPr>
          <w:i/>
        </w:rPr>
      </w:pPr>
      <w:r w:rsidRPr="00B344E3">
        <w:rPr>
          <w:i/>
        </w:rPr>
        <w:t xml:space="preserve">Note: Responses were analysed among participants who reported that a situation was applicable to them therefore an overall ‘n’ is not provided. </w:t>
      </w:r>
    </w:p>
    <w:p w14:paraId="5DFCD445" w14:textId="77777777" w:rsidR="009D0006" w:rsidRDefault="009D0006" w:rsidP="00AB4A74">
      <w:pPr>
        <w:spacing w:before="360"/>
      </w:pPr>
      <w:r>
        <w:t xml:space="preserve">As displayed in Tables 124.1-124.7, participants with disability in </w:t>
      </w:r>
      <w:r>
        <w:rPr>
          <w:i/>
          <w:iCs/>
        </w:rPr>
        <w:t xml:space="preserve">Private Lives 3 </w:t>
      </w:r>
      <w:r>
        <w:t>who identified as lesbian had the greatest proportion who felt accepted in an LGBTIQ venue (71.9%; n = 312). This was followed by participants who identified as gay (59.5%; n = 207), participants who identified as pansexual (57.3%; n = 126), participants who identified as queer (57.0%; n = 219), participants who identified as something else (56.1%; n = 92), participants who identified as asexual (55.1%; n = 54) and participants who identified as bisexual (53.3%; n = 269).</w:t>
      </w:r>
    </w:p>
    <w:p w14:paraId="47683F2C" w14:textId="77777777" w:rsidR="009D0006" w:rsidRDefault="009D0006" w:rsidP="009D0006">
      <w:r>
        <w:t>Under 60% of participants who identified as gay felt accepted at work (58.5%; n = 182), followed by participants who identified as lesbian (53.9%; n = 192), participants who identified as pansexual (46.4%; n = 77) or asexual (46.4%; n = 32), participants who identified as queer (44.9%; n = 137), participants who identified as bisexual (44.4%; n = 185) and participants who identified as something else (40.7%; n = 48).</w:t>
      </w:r>
    </w:p>
    <w:p w14:paraId="054C483D" w14:textId="77777777" w:rsidR="009D0006" w:rsidRDefault="009D0006" w:rsidP="009D0006">
      <w:r>
        <w:t>A little over half of participants who identified as gay felt accepted at their educational institution (53.6%; n = 128), followed by participants who identified as lesbian (50.8%; n = 159), participants who identified as asexual (45.6%; n = 31), participants who identified as bisexual (45.2%; n = 198), participants who identified as something else (43.0%; n = 52) and participants who identified as pansexual (41.3%; n = 74) or queer (41.3%; n = 119).</w:t>
      </w:r>
    </w:p>
    <w:p w14:paraId="5A7C0A0D" w14:textId="77777777" w:rsidR="009D0006" w:rsidRDefault="009D0006" w:rsidP="009D0006">
      <w:r>
        <w:t>Under one-third of participants who identified as asexual felt accepted in public spaces (30.3%; n = 33), followed closely by participants who identified as bisexual (29.2%; n = 169) and participants who identified as gay (26.2%; n = 105). Less than one-quarter of participants who identified as pansexual felt accepted in public spaces (24.7%; n = 65), followed by participants who identified as something else (22.4%; n = 44), participants who identified as lesbian (19.7%; n = 96) and participants who identified as queer (17.6%; n = 72).</w:t>
      </w:r>
    </w:p>
    <w:p w14:paraId="639A6FE9" w14:textId="77777777" w:rsidR="009D0006" w:rsidRDefault="009D0006" w:rsidP="009D0006">
      <w:r>
        <w:t>The highest proportion of participants who felt accepted by family members identified as gay (53.9%; n = 223), followed by participants who identified as lesbian (50.6%; n = 252), participants who identified as something else (43.9%; n = 87), participants who identified as asexual</w:t>
      </w:r>
      <w:r>
        <w:lastRenderedPageBreak/>
        <w:t xml:space="preserve"> (41.2%; n = 49), participants who identified as bisexual (37.8%; n = 230), participants who identified as queer (36.9%; n = 153) participants who identified as pansexual (34.6%; n = 93).</w:t>
      </w:r>
    </w:p>
    <w:p w14:paraId="36C419A8" w14:textId="77777777" w:rsidR="009D0006" w:rsidRDefault="009D0006" w:rsidP="009D0006">
      <w:r>
        <w:t>Similarly, the highest proportion of participants who felt accepted when accessing a health or support service identified as gay (44.5%; n = 175), followed by participants who identified as bisexual (37.9%; n = 215), participants who identified as pansexual (34.9%; n = 88), participants who identified as lesbian (33.8%; n = 165), participants who identified as asexual (33.3%; n = 37), participants who identified as something else (31.8%; n = 62) and participants who identified as queer (22.5%; n = 94).</w:t>
      </w:r>
    </w:p>
    <w:p w14:paraId="1C191DF9" w14:textId="77777777" w:rsidR="009D0006" w:rsidRDefault="009D0006" w:rsidP="009D0006">
      <w:r>
        <w:t>Small proportions of participants felt accepted at religious or faith-based events or services. Approximately 1 in 10 participants who identified as something else felt accepted at religious or faith-based events or services (14.5%; n = 16), followed by participants who identified as gay (11.3%; n = 26), participants who identified as pansexual (10.4%; n = 14) and participants who identified as asexual (10.3%; n = 6). Less than 1 in 10 participants who identified as bisexual felt accepted at religious or faith-based events or services (9.1%; n = 31), followed by participants who identified as lesbian (7.9%; n = 23) and participants who identified as queer (7.5%; n = 16).</w:t>
      </w:r>
    </w:p>
    <w:p w14:paraId="4996C4A2" w14:textId="37AED060" w:rsidR="009D0006" w:rsidRPr="00563F98" w:rsidRDefault="009D0006" w:rsidP="009401DC">
      <w:pPr>
        <w:pStyle w:val="Heading2Numbered"/>
      </w:pPr>
      <w:bookmarkStart w:id="948" w:name="_Toc115968676"/>
      <w:bookmarkStart w:id="949" w:name="_Toc119662486"/>
      <w:r w:rsidRPr="00563F98">
        <w:t>Psychological distress (K10)</w:t>
      </w:r>
      <w:bookmarkEnd w:id="948"/>
      <w:bookmarkEnd w:id="949"/>
      <w:r w:rsidRPr="00563F98">
        <w:t xml:space="preserve"> </w:t>
      </w:r>
    </w:p>
    <w:p w14:paraId="38025717" w14:textId="487CC61F" w:rsidR="009D0006" w:rsidRPr="00C5739E" w:rsidRDefault="009D0006" w:rsidP="009401DC">
      <w:pPr>
        <w:pStyle w:val="Heading3Numbered"/>
      </w:pPr>
      <w:bookmarkStart w:id="950" w:name="_Toc115968677"/>
      <w:r w:rsidRPr="00C5739E">
        <w:t>Psychological distress – young people aged 14-21 years</w:t>
      </w:r>
      <w:bookmarkEnd w:id="950"/>
    </w:p>
    <w:p w14:paraId="4CD3D7D5" w14:textId="77777777" w:rsidR="009D0006" w:rsidRDefault="009D0006" w:rsidP="009D0006">
      <w:r w:rsidRPr="00563F98">
        <w:t>Table</w:t>
      </w:r>
      <w:r>
        <w:t>s</w:t>
      </w:r>
      <w:r w:rsidRPr="00563F98">
        <w:t xml:space="preserve"> </w:t>
      </w:r>
      <w:r>
        <w:t>125.1-125.7</w:t>
      </w:r>
      <w:r w:rsidRPr="00563F98">
        <w:t xml:space="preserve"> display the K10 psychological distress levels of participants </w:t>
      </w:r>
      <w:r>
        <w:t xml:space="preserve">aged 14-21 years </w:t>
      </w:r>
      <w:r w:rsidRPr="00563F98">
        <w:t xml:space="preserve">according to </w:t>
      </w:r>
      <w:r>
        <w:t>their sexual orientation</w:t>
      </w:r>
      <w:r w:rsidRPr="00563F98">
        <w:t>.</w:t>
      </w:r>
    </w:p>
    <w:p w14:paraId="760BF558" w14:textId="398ABA18" w:rsidR="009D0006" w:rsidRDefault="009D0006" w:rsidP="00B344E3">
      <w:pPr>
        <w:pStyle w:val="Tableheading"/>
      </w:pPr>
      <w:bookmarkStart w:id="951" w:name="_Toc117062842"/>
      <w:bookmarkStart w:id="952" w:name="_Toc119651527"/>
      <w:r w:rsidRPr="00C5739E">
        <w:t>Table</w:t>
      </w:r>
      <w:r>
        <w:t>s</w:t>
      </w:r>
      <w:r w:rsidRPr="00C5739E">
        <w:t xml:space="preserve"> </w:t>
      </w:r>
      <w:r>
        <w:rPr>
          <w:noProof/>
        </w:rPr>
        <w:fldChar w:fldCharType="begin"/>
      </w:r>
      <w:r>
        <w:rPr>
          <w:noProof/>
        </w:rPr>
        <w:instrText xml:space="preserve"> SEQ Table \* ARABIC </w:instrText>
      </w:r>
      <w:r>
        <w:rPr>
          <w:noProof/>
        </w:rPr>
        <w:fldChar w:fldCharType="separate"/>
      </w:r>
      <w:r>
        <w:rPr>
          <w:noProof/>
        </w:rPr>
        <w:t>125</w:t>
      </w:r>
      <w:r>
        <w:rPr>
          <w:noProof/>
        </w:rPr>
        <w:fldChar w:fldCharType="end"/>
      </w:r>
      <w:r>
        <w:rPr>
          <w:noProof/>
        </w:rPr>
        <w:t>.1-125.7</w:t>
      </w:r>
      <w:r>
        <w:t>: Psychological distress</w:t>
      </w:r>
      <w:r w:rsidRPr="00C5739E">
        <w:t xml:space="preserve"> </w:t>
      </w:r>
      <w:r>
        <w:t>among young people with disability aged 14-21 years, grouped by sexual orientation</w:t>
      </w:r>
      <w:r w:rsidRPr="00C5739E">
        <w:t xml:space="preserve"> (n = </w:t>
      </w:r>
      <w:r>
        <w:t>2483</w:t>
      </w:r>
      <w:r w:rsidRPr="00C5739E">
        <w:t>)</w:t>
      </w:r>
      <w:bookmarkEnd w:id="951"/>
      <w:bookmarkEnd w:id="952"/>
    </w:p>
    <w:p w14:paraId="43D0318C" w14:textId="77777777" w:rsidR="009D0006" w:rsidRDefault="009D0006" w:rsidP="00B344E3">
      <w:pPr>
        <w:pStyle w:val="Tableheading"/>
      </w:pPr>
      <w:r>
        <w:t>Table 125.1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DB95C8A" w14:textId="77777777" w:rsidTr="00B344E3">
        <w:trPr>
          <w:cnfStyle w:val="100000000000" w:firstRow="1" w:lastRow="0" w:firstColumn="0" w:lastColumn="0" w:oddVBand="0" w:evenVBand="0" w:oddHBand="0" w:evenHBand="0" w:firstRowFirstColumn="0" w:firstRowLastColumn="0" w:lastRowFirstColumn="0" w:lastRowLastColumn="0"/>
          <w:trHeight w:val="254"/>
        </w:trPr>
        <w:tc>
          <w:tcPr>
            <w:tcW w:w="6746" w:type="dxa"/>
            <w:noWrap/>
            <w:hideMark/>
          </w:tcPr>
          <w:p w14:paraId="25099603" w14:textId="77777777" w:rsidR="009D0006" w:rsidRPr="00BC3468" w:rsidRDefault="009D0006" w:rsidP="00B344E3">
            <w:pPr>
              <w:pStyle w:val="Tableheader"/>
            </w:pPr>
            <w:r w:rsidRPr="00030452">
              <w:t>Psychological distress</w:t>
            </w:r>
          </w:p>
        </w:tc>
        <w:tc>
          <w:tcPr>
            <w:tcW w:w="1559" w:type="dxa"/>
            <w:noWrap/>
            <w:hideMark/>
          </w:tcPr>
          <w:p w14:paraId="7BCCB5DF" w14:textId="77777777" w:rsidR="009D0006" w:rsidRPr="005E1432" w:rsidRDefault="009D0006" w:rsidP="00B344E3">
            <w:pPr>
              <w:pStyle w:val="Tableheader"/>
              <w:rPr>
                <w:bCs/>
              </w:rPr>
            </w:pPr>
            <w:r w:rsidRPr="005E1432">
              <w:rPr>
                <w:bCs/>
              </w:rPr>
              <w:t>n</w:t>
            </w:r>
          </w:p>
        </w:tc>
        <w:tc>
          <w:tcPr>
            <w:tcW w:w="1559" w:type="dxa"/>
            <w:noWrap/>
            <w:hideMark/>
          </w:tcPr>
          <w:p w14:paraId="776A2278" w14:textId="77777777" w:rsidR="009D0006" w:rsidRPr="005E1432" w:rsidRDefault="009D0006" w:rsidP="00B344E3">
            <w:pPr>
              <w:pStyle w:val="Tableheader"/>
              <w:rPr>
                <w:bCs/>
              </w:rPr>
            </w:pPr>
            <w:r w:rsidRPr="005E1432">
              <w:rPr>
                <w:bCs/>
              </w:rPr>
              <w:t>%</w:t>
            </w:r>
          </w:p>
        </w:tc>
      </w:tr>
      <w:tr w:rsidR="009D0006" w:rsidRPr="00BC3468" w14:paraId="2D8075A9" w14:textId="77777777" w:rsidTr="00B344E3">
        <w:trPr>
          <w:cnfStyle w:val="000000100000" w:firstRow="0" w:lastRow="0" w:firstColumn="0" w:lastColumn="0" w:oddVBand="0" w:evenVBand="0" w:oddHBand="1" w:evenHBand="0" w:firstRowFirstColumn="0" w:firstRowLastColumn="0" w:lastRowFirstColumn="0" w:lastRowLastColumn="0"/>
          <w:trHeight w:val="257"/>
        </w:trPr>
        <w:tc>
          <w:tcPr>
            <w:tcW w:w="6746" w:type="dxa"/>
            <w:noWrap/>
            <w:hideMark/>
          </w:tcPr>
          <w:p w14:paraId="0B1FF938" w14:textId="77777777" w:rsidR="009D0006" w:rsidRPr="00BC3468" w:rsidRDefault="009D0006" w:rsidP="00B344E3">
            <w:pPr>
              <w:pStyle w:val="Tabletext"/>
            </w:pPr>
            <w:r>
              <w:t>Low or medium</w:t>
            </w:r>
          </w:p>
        </w:tc>
        <w:tc>
          <w:tcPr>
            <w:tcW w:w="1559" w:type="dxa"/>
            <w:noWrap/>
          </w:tcPr>
          <w:p w14:paraId="64A8A013" w14:textId="77777777" w:rsidR="009D0006" w:rsidRPr="00BC3468" w:rsidRDefault="009D0006" w:rsidP="00B344E3">
            <w:pPr>
              <w:pStyle w:val="Tabletext"/>
            </w:pPr>
            <w:r>
              <w:t>27</w:t>
            </w:r>
          </w:p>
        </w:tc>
        <w:tc>
          <w:tcPr>
            <w:tcW w:w="1559" w:type="dxa"/>
            <w:noWrap/>
          </w:tcPr>
          <w:p w14:paraId="3411E4BA" w14:textId="77777777" w:rsidR="009D0006" w:rsidRPr="00BC3468" w:rsidRDefault="009D0006" w:rsidP="00B344E3">
            <w:pPr>
              <w:pStyle w:val="Tabletext"/>
            </w:pPr>
            <w:r>
              <w:t>7.9</w:t>
            </w:r>
          </w:p>
        </w:tc>
      </w:tr>
      <w:tr w:rsidR="009D0006" w:rsidRPr="00BC3468" w14:paraId="03A25087" w14:textId="77777777" w:rsidTr="00B344E3">
        <w:trPr>
          <w:cnfStyle w:val="000000010000" w:firstRow="0" w:lastRow="0" w:firstColumn="0" w:lastColumn="0" w:oddVBand="0" w:evenVBand="0" w:oddHBand="0" w:evenHBand="1" w:firstRowFirstColumn="0" w:firstRowLastColumn="0" w:lastRowFirstColumn="0" w:lastRowLastColumn="0"/>
          <w:trHeight w:val="268"/>
        </w:trPr>
        <w:tc>
          <w:tcPr>
            <w:tcW w:w="6746" w:type="dxa"/>
            <w:noWrap/>
            <w:hideMark/>
          </w:tcPr>
          <w:p w14:paraId="342E8FD0" w14:textId="77777777" w:rsidR="009D0006" w:rsidRPr="00BC3468" w:rsidRDefault="009D0006" w:rsidP="00B344E3">
            <w:pPr>
              <w:pStyle w:val="Tabletext"/>
            </w:pPr>
            <w:r>
              <w:t>High or very high</w:t>
            </w:r>
          </w:p>
        </w:tc>
        <w:tc>
          <w:tcPr>
            <w:tcW w:w="1559" w:type="dxa"/>
            <w:noWrap/>
          </w:tcPr>
          <w:p w14:paraId="794FF9F9" w14:textId="77777777" w:rsidR="009D0006" w:rsidRPr="00BC3468" w:rsidRDefault="009D0006" w:rsidP="00B344E3">
            <w:pPr>
              <w:pStyle w:val="Tabletext"/>
            </w:pPr>
            <w:r>
              <w:t>313</w:t>
            </w:r>
          </w:p>
        </w:tc>
        <w:tc>
          <w:tcPr>
            <w:tcW w:w="1559" w:type="dxa"/>
            <w:noWrap/>
          </w:tcPr>
          <w:p w14:paraId="0C35B661" w14:textId="77777777" w:rsidR="009D0006" w:rsidRPr="00BC3468" w:rsidRDefault="009D0006" w:rsidP="00B344E3">
            <w:pPr>
              <w:pStyle w:val="Tabletext"/>
            </w:pPr>
            <w:r>
              <w:t>92.1</w:t>
            </w:r>
          </w:p>
        </w:tc>
      </w:tr>
    </w:tbl>
    <w:p w14:paraId="3967A06E" w14:textId="77777777" w:rsidR="009D0006" w:rsidRDefault="009D0006" w:rsidP="00B344E3">
      <w:pPr>
        <w:pStyle w:val="Tableheading"/>
      </w:pPr>
      <w:r>
        <w:t>Table 125.</w:t>
      </w:r>
      <w:r>
        <w:lastRenderedPageBreak/>
        <w:t>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26F7F1D" w14:textId="77777777" w:rsidTr="00B344E3">
        <w:trPr>
          <w:cnfStyle w:val="100000000000" w:firstRow="1" w:lastRow="0" w:firstColumn="0" w:lastColumn="0" w:oddVBand="0" w:evenVBand="0" w:oddHBand="0" w:evenHBand="0" w:firstRowFirstColumn="0" w:firstRowLastColumn="0" w:lastRowFirstColumn="0" w:lastRowLastColumn="0"/>
          <w:trHeight w:val="195"/>
        </w:trPr>
        <w:tc>
          <w:tcPr>
            <w:tcW w:w="6746" w:type="dxa"/>
            <w:noWrap/>
            <w:hideMark/>
          </w:tcPr>
          <w:p w14:paraId="57825D99" w14:textId="77777777" w:rsidR="009D0006" w:rsidRPr="00BC3468" w:rsidRDefault="009D0006" w:rsidP="00B344E3">
            <w:pPr>
              <w:pStyle w:val="Tableheader"/>
            </w:pPr>
            <w:r w:rsidRPr="00030452">
              <w:t>Psychological distress</w:t>
            </w:r>
          </w:p>
        </w:tc>
        <w:tc>
          <w:tcPr>
            <w:tcW w:w="1559" w:type="dxa"/>
            <w:noWrap/>
            <w:hideMark/>
          </w:tcPr>
          <w:p w14:paraId="3F4D94EB" w14:textId="77777777" w:rsidR="009D0006" w:rsidRPr="005E1432" w:rsidRDefault="009D0006" w:rsidP="00B344E3">
            <w:pPr>
              <w:pStyle w:val="Tableheader"/>
              <w:rPr>
                <w:bCs/>
              </w:rPr>
            </w:pPr>
            <w:r w:rsidRPr="005E1432">
              <w:rPr>
                <w:bCs/>
              </w:rPr>
              <w:t>n</w:t>
            </w:r>
          </w:p>
        </w:tc>
        <w:tc>
          <w:tcPr>
            <w:tcW w:w="1559" w:type="dxa"/>
            <w:noWrap/>
            <w:hideMark/>
          </w:tcPr>
          <w:p w14:paraId="1E56C926" w14:textId="77777777" w:rsidR="009D0006" w:rsidRPr="005E1432" w:rsidRDefault="009D0006" w:rsidP="00B344E3">
            <w:pPr>
              <w:pStyle w:val="Tableheader"/>
              <w:rPr>
                <w:bCs/>
              </w:rPr>
            </w:pPr>
            <w:r w:rsidRPr="005E1432">
              <w:rPr>
                <w:bCs/>
              </w:rPr>
              <w:t>%</w:t>
            </w:r>
          </w:p>
        </w:tc>
      </w:tr>
      <w:tr w:rsidR="009D0006" w:rsidRPr="00BC3468" w14:paraId="5429086B" w14:textId="77777777" w:rsidTr="00B344E3">
        <w:trPr>
          <w:cnfStyle w:val="000000100000" w:firstRow="0" w:lastRow="0" w:firstColumn="0" w:lastColumn="0" w:oddVBand="0" w:evenVBand="0" w:oddHBand="1" w:evenHBand="0" w:firstRowFirstColumn="0" w:firstRowLastColumn="0" w:lastRowFirstColumn="0" w:lastRowLastColumn="0"/>
          <w:trHeight w:val="98"/>
        </w:trPr>
        <w:tc>
          <w:tcPr>
            <w:tcW w:w="6746" w:type="dxa"/>
            <w:noWrap/>
            <w:hideMark/>
          </w:tcPr>
          <w:p w14:paraId="0A6C39E1" w14:textId="77777777" w:rsidR="009D0006" w:rsidRPr="00BC3468" w:rsidRDefault="009D0006" w:rsidP="00B344E3">
            <w:pPr>
              <w:pStyle w:val="Tabletext"/>
            </w:pPr>
            <w:r>
              <w:t>Low or medium</w:t>
            </w:r>
          </w:p>
        </w:tc>
        <w:tc>
          <w:tcPr>
            <w:tcW w:w="1559" w:type="dxa"/>
            <w:noWrap/>
          </w:tcPr>
          <w:p w14:paraId="74F52502" w14:textId="77777777" w:rsidR="009D0006" w:rsidRPr="00BC3468" w:rsidRDefault="009D0006" w:rsidP="00B344E3">
            <w:pPr>
              <w:pStyle w:val="Tabletext"/>
            </w:pPr>
            <w:r>
              <w:t>38</w:t>
            </w:r>
          </w:p>
        </w:tc>
        <w:tc>
          <w:tcPr>
            <w:tcW w:w="1559" w:type="dxa"/>
            <w:noWrap/>
          </w:tcPr>
          <w:p w14:paraId="7B99BE5E" w14:textId="77777777" w:rsidR="009D0006" w:rsidRPr="00BC3468" w:rsidRDefault="009D0006" w:rsidP="00B344E3">
            <w:pPr>
              <w:pStyle w:val="Tabletext"/>
            </w:pPr>
            <w:r>
              <w:t>13.8</w:t>
            </w:r>
          </w:p>
        </w:tc>
      </w:tr>
      <w:tr w:rsidR="009D0006" w:rsidRPr="00BC3468" w14:paraId="28B9323A" w14:textId="77777777" w:rsidTr="00B344E3">
        <w:trPr>
          <w:cnfStyle w:val="000000010000" w:firstRow="0" w:lastRow="0" w:firstColumn="0" w:lastColumn="0" w:oddVBand="0" w:evenVBand="0" w:oddHBand="0" w:evenHBand="1" w:firstRowFirstColumn="0" w:firstRowLastColumn="0" w:lastRowFirstColumn="0" w:lastRowLastColumn="0"/>
          <w:trHeight w:val="98"/>
        </w:trPr>
        <w:tc>
          <w:tcPr>
            <w:tcW w:w="6746" w:type="dxa"/>
            <w:noWrap/>
            <w:hideMark/>
          </w:tcPr>
          <w:p w14:paraId="4534DCD8" w14:textId="77777777" w:rsidR="009D0006" w:rsidRPr="00BC3468" w:rsidRDefault="009D0006" w:rsidP="00B344E3">
            <w:pPr>
              <w:pStyle w:val="Tabletext"/>
            </w:pPr>
            <w:r>
              <w:t>High or very high</w:t>
            </w:r>
          </w:p>
        </w:tc>
        <w:tc>
          <w:tcPr>
            <w:tcW w:w="1559" w:type="dxa"/>
            <w:noWrap/>
          </w:tcPr>
          <w:p w14:paraId="18091A7F" w14:textId="77777777" w:rsidR="009D0006" w:rsidRPr="00BC3468" w:rsidRDefault="009D0006" w:rsidP="00B344E3">
            <w:pPr>
              <w:pStyle w:val="Tabletext"/>
            </w:pPr>
            <w:r>
              <w:t>237</w:t>
            </w:r>
          </w:p>
        </w:tc>
        <w:tc>
          <w:tcPr>
            <w:tcW w:w="1559" w:type="dxa"/>
            <w:noWrap/>
          </w:tcPr>
          <w:p w14:paraId="304A2D50" w14:textId="77777777" w:rsidR="009D0006" w:rsidRPr="00BC3468" w:rsidRDefault="009D0006" w:rsidP="00B344E3">
            <w:pPr>
              <w:pStyle w:val="Tabletext"/>
            </w:pPr>
            <w:r>
              <w:t>86.2</w:t>
            </w:r>
          </w:p>
        </w:tc>
      </w:tr>
    </w:tbl>
    <w:p w14:paraId="63C89E94" w14:textId="77777777" w:rsidR="009D0006" w:rsidRDefault="009D0006" w:rsidP="00B344E3">
      <w:pPr>
        <w:pStyle w:val="Tableheading"/>
      </w:pPr>
      <w:r>
        <w:t>Table 125.3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A5F0BF7" w14:textId="77777777" w:rsidTr="00B344E3">
        <w:trPr>
          <w:cnfStyle w:val="100000000000" w:firstRow="1" w:lastRow="0" w:firstColumn="0" w:lastColumn="0" w:oddVBand="0" w:evenVBand="0" w:oddHBand="0" w:evenHBand="0" w:firstRowFirstColumn="0" w:firstRowLastColumn="0" w:lastRowFirstColumn="0" w:lastRowLastColumn="0"/>
          <w:trHeight w:val="259"/>
        </w:trPr>
        <w:tc>
          <w:tcPr>
            <w:tcW w:w="6746" w:type="dxa"/>
            <w:noWrap/>
            <w:hideMark/>
          </w:tcPr>
          <w:p w14:paraId="227886DC" w14:textId="77777777" w:rsidR="009D0006" w:rsidRPr="00BC3468" w:rsidRDefault="009D0006" w:rsidP="00B344E3">
            <w:pPr>
              <w:pStyle w:val="Tableheader"/>
            </w:pPr>
            <w:r w:rsidRPr="00030452">
              <w:t>Psychological distress</w:t>
            </w:r>
          </w:p>
        </w:tc>
        <w:tc>
          <w:tcPr>
            <w:tcW w:w="1559" w:type="dxa"/>
          </w:tcPr>
          <w:p w14:paraId="04DA5967" w14:textId="77777777" w:rsidR="009D0006" w:rsidRPr="005E1432" w:rsidRDefault="009D0006" w:rsidP="00B344E3">
            <w:pPr>
              <w:pStyle w:val="Tableheader"/>
              <w:rPr>
                <w:bCs/>
              </w:rPr>
            </w:pPr>
            <w:r w:rsidRPr="005E1432">
              <w:rPr>
                <w:bCs/>
              </w:rPr>
              <w:t>n</w:t>
            </w:r>
          </w:p>
        </w:tc>
        <w:tc>
          <w:tcPr>
            <w:tcW w:w="1559" w:type="dxa"/>
          </w:tcPr>
          <w:p w14:paraId="47A46FBA" w14:textId="77777777" w:rsidR="009D0006" w:rsidRPr="005E1432" w:rsidRDefault="009D0006" w:rsidP="00B344E3">
            <w:pPr>
              <w:pStyle w:val="Tableheader"/>
              <w:rPr>
                <w:bCs/>
              </w:rPr>
            </w:pPr>
            <w:r w:rsidRPr="005E1432">
              <w:rPr>
                <w:bCs/>
              </w:rPr>
              <w:t>%</w:t>
            </w:r>
          </w:p>
        </w:tc>
      </w:tr>
      <w:tr w:rsidR="009D0006" w:rsidRPr="00BC3468" w14:paraId="47C98314" w14:textId="77777777" w:rsidTr="00B344E3">
        <w:trPr>
          <w:cnfStyle w:val="000000100000" w:firstRow="0" w:lastRow="0" w:firstColumn="0" w:lastColumn="0" w:oddVBand="0" w:evenVBand="0" w:oddHBand="1" w:evenHBand="0" w:firstRowFirstColumn="0" w:firstRowLastColumn="0" w:lastRowFirstColumn="0" w:lastRowLastColumn="0"/>
          <w:trHeight w:val="131"/>
        </w:trPr>
        <w:tc>
          <w:tcPr>
            <w:tcW w:w="6746" w:type="dxa"/>
            <w:noWrap/>
            <w:hideMark/>
          </w:tcPr>
          <w:p w14:paraId="7B5AAA97" w14:textId="77777777" w:rsidR="009D0006" w:rsidRPr="00BC3468" w:rsidRDefault="009D0006" w:rsidP="00B344E3">
            <w:pPr>
              <w:pStyle w:val="Tabletext"/>
            </w:pPr>
            <w:r>
              <w:t>Low or medium</w:t>
            </w:r>
          </w:p>
        </w:tc>
        <w:tc>
          <w:tcPr>
            <w:tcW w:w="1559" w:type="dxa"/>
          </w:tcPr>
          <w:p w14:paraId="604F54F8" w14:textId="77777777" w:rsidR="009D0006" w:rsidRPr="00BC3468" w:rsidRDefault="009D0006" w:rsidP="00B344E3">
            <w:pPr>
              <w:pStyle w:val="Tabletext"/>
            </w:pPr>
            <w:r>
              <w:t>62</w:t>
            </w:r>
          </w:p>
        </w:tc>
        <w:tc>
          <w:tcPr>
            <w:tcW w:w="1559" w:type="dxa"/>
          </w:tcPr>
          <w:p w14:paraId="5E7BA082" w14:textId="77777777" w:rsidR="009D0006" w:rsidRPr="00BC3468" w:rsidRDefault="009D0006" w:rsidP="00B344E3">
            <w:pPr>
              <w:pStyle w:val="Tabletext"/>
            </w:pPr>
            <w:r>
              <w:t>8.1</w:t>
            </w:r>
          </w:p>
        </w:tc>
      </w:tr>
      <w:tr w:rsidR="009D0006" w:rsidRPr="00BC3468" w14:paraId="64040A94" w14:textId="77777777" w:rsidTr="00B344E3">
        <w:trPr>
          <w:cnfStyle w:val="000000010000" w:firstRow="0" w:lastRow="0" w:firstColumn="0" w:lastColumn="0" w:oddVBand="0" w:evenVBand="0" w:oddHBand="0" w:evenHBand="1" w:firstRowFirstColumn="0" w:firstRowLastColumn="0" w:lastRowFirstColumn="0" w:lastRowLastColumn="0"/>
          <w:trHeight w:val="131"/>
        </w:trPr>
        <w:tc>
          <w:tcPr>
            <w:tcW w:w="6746" w:type="dxa"/>
            <w:noWrap/>
            <w:hideMark/>
          </w:tcPr>
          <w:p w14:paraId="18B666AB" w14:textId="77777777" w:rsidR="009D0006" w:rsidRPr="00BC3468" w:rsidRDefault="009D0006" w:rsidP="00B344E3">
            <w:pPr>
              <w:pStyle w:val="Tabletext"/>
            </w:pPr>
            <w:r>
              <w:t>High or very high</w:t>
            </w:r>
          </w:p>
        </w:tc>
        <w:tc>
          <w:tcPr>
            <w:tcW w:w="1559" w:type="dxa"/>
          </w:tcPr>
          <w:p w14:paraId="288D5DC7" w14:textId="77777777" w:rsidR="009D0006" w:rsidRPr="00BC3468" w:rsidRDefault="009D0006" w:rsidP="00B344E3">
            <w:pPr>
              <w:pStyle w:val="Tabletext"/>
            </w:pPr>
            <w:r>
              <w:t>705</w:t>
            </w:r>
          </w:p>
        </w:tc>
        <w:tc>
          <w:tcPr>
            <w:tcW w:w="1559" w:type="dxa"/>
          </w:tcPr>
          <w:p w14:paraId="525362D9" w14:textId="77777777" w:rsidR="009D0006" w:rsidRPr="00BC3468" w:rsidRDefault="009D0006" w:rsidP="00B344E3">
            <w:pPr>
              <w:pStyle w:val="Tabletext"/>
            </w:pPr>
            <w:r>
              <w:t>91.9</w:t>
            </w:r>
          </w:p>
        </w:tc>
      </w:tr>
    </w:tbl>
    <w:p w14:paraId="0A16B140" w14:textId="77777777" w:rsidR="009D0006" w:rsidRDefault="009D0006" w:rsidP="00B344E3">
      <w:pPr>
        <w:pStyle w:val="Tableheading"/>
      </w:pPr>
      <w:r>
        <w:t>Table 125.4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807F308" w14:textId="77777777" w:rsidTr="00B344E3">
        <w:trPr>
          <w:cnfStyle w:val="100000000000" w:firstRow="1" w:lastRow="0" w:firstColumn="0" w:lastColumn="0" w:oddVBand="0" w:evenVBand="0" w:oddHBand="0" w:evenHBand="0" w:firstRowFirstColumn="0" w:firstRowLastColumn="0" w:lastRowFirstColumn="0" w:lastRowLastColumn="0"/>
          <w:trHeight w:val="235"/>
        </w:trPr>
        <w:tc>
          <w:tcPr>
            <w:tcW w:w="6746" w:type="dxa"/>
            <w:noWrap/>
            <w:hideMark/>
          </w:tcPr>
          <w:p w14:paraId="239AA3CB" w14:textId="77777777" w:rsidR="009D0006" w:rsidRPr="00BC3468" w:rsidRDefault="009D0006" w:rsidP="00B344E3">
            <w:pPr>
              <w:pStyle w:val="Tableheader"/>
            </w:pPr>
            <w:r w:rsidRPr="00030452">
              <w:t>Psychological distress</w:t>
            </w:r>
          </w:p>
        </w:tc>
        <w:tc>
          <w:tcPr>
            <w:tcW w:w="1559" w:type="dxa"/>
            <w:noWrap/>
            <w:hideMark/>
          </w:tcPr>
          <w:p w14:paraId="7E8A576B" w14:textId="77777777" w:rsidR="009D0006" w:rsidRPr="005E1432" w:rsidRDefault="009D0006" w:rsidP="00B344E3">
            <w:pPr>
              <w:pStyle w:val="Tableheader"/>
              <w:rPr>
                <w:bCs/>
              </w:rPr>
            </w:pPr>
            <w:r w:rsidRPr="005E1432">
              <w:rPr>
                <w:bCs/>
              </w:rPr>
              <w:t>n</w:t>
            </w:r>
          </w:p>
        </w:tc>
        <w:tc>
          <w:tcPr>
            <w:tcW w:w="1559" w:type="dxa"/>
            <w:noWrap/>
            <w:hideMark/>
          </w:tcPr>
          <w:p w14:paraId="1C489850" w14:textId="77777777" w:rsidR="009D0006" w:rsidRPr="005E1432" w:rsidRDefault="009D0006" w:rsidP="00B344E3">
            <w:pPr>
              <w:pStyle w:val="Tableheader"/>
              <w:rPr>
                <w:bCs/>
              </w:rPr>
            </w:pPr>
            <w:r w:rsidRPr="005E1432">
              <w:rPr>
                <w:bCs/>
              </w:rPr>
              <w:t>%</w:t>
            </w:r>
          </w:p>
        </w:tc>
      </w:tr>
      <w:tr w:rsidR="009D0006" w:rsidRPr="00BC3468" w14:paraId="638E7505" w14:textId="77777777" w:rsidTr="00B344E3">
        <w:trPr>
          <w:cnfStyle w:val="000000100000" w:firstRow="0" w:lastRow="0" w:firstColumn="0" w:lastColumn="0" w:oddVBand="0" w:evenVBand="0" w:oddHBand="1" w:evenHBand="0" w:firstRowFirstColumn="0" w:firstRowLastColumn="0" w:lastRowFirstColumn="0" w:lastRowLastColumn="0"/>
          <w:trHeight w:val="118"/>
        </w:trPr>
        <w:tc>
          <w:tcPr>
            <w:tcW w:w="6746" w:type="dxa"/>
            <w:noWrap/>
            <w:hideMark/>
          </w:tcPr>
          <w:p w14:paraId="540335B3" w14:textId="77777777" w:rsidR="009D0006" w:rsidRPr="00BC3468" w:rsidRDefault="009D0006" w:rsidP="00B344E3">
            <w:pPr>
              <w:pStyle w:val="Tabletext"/>
            </w:pPr>
            <w:r>
              <w:t>Low or medium</w:t>
            </w:r>
          </w:p>
        </w:tc>
        <w:tc>
          <w:tcPr>
            <w:tcW w:w="1559" w:type="dxa"/>
            <w:noWrap/>
          </w:tcPr>
          <w:p w14:paraId="1A2FEBEC" w14:textId="77777777" w:rsidR="009D0006" w:rsidRPr="00BC3468" w:rsidRDefault="009D0006" w:rsidP="00B344E3">
            <w:pPr>
              <w:pStyle w:val="Tabletext"/>
            </w:pPr>
            <w:r>
              <w:t>13</w:t>
            </w:r>
          </w:p>
        </w:tc>
        <w:tc>
          <w:tcPr>
            <w:tcW w:w="1559" w:type="dxa"/>
            <w:noWrap/>
          </w:tcPr>
          <w:p w14:paraId="3B7A72AF" w14:textId="77777777" w:rsidR="009D0006" w:rsidRPr="00BC3468" w:rsidRDefault="009D0006" w:rsidP="00B344E3">
            <w:pPr>
              <w:pStyle w:val="Tabletext"/>
            </w:pPr>
            <w:r>
              <w:t>3.7</w:t>
            </w:r>
          </w:p>
        </w:tc>
      </w:tr>
      <w:tr w:rsidR="009D0006" w:rsidRPr="00BC3468" w14:paraId="2802FEC8" w14:textId="77777777" w:rsidTr="00B344E3">
        <w:trPr>
          <w:cnfStyle w:val="000000010000" w:firstRow="0" w:lastRow="0" w:firstColumn="0" w:lastColumn="0" w:oddVBand="0" w:evenVBand="0" w:oddHBand="0" w:evenHBand="1" w:firstRowFirstColumn="0" w:firstRowLastColumn="0" w:lastRowFirstColumn="0" w:lastRowLastColumn="0"/>
          <w:trHeight w:val="118"/>
        </w:trPr>
        <w:tc>
          <w:tcPr>
            <w:tcW w:w="6746" w:type="dxa"/>
            <w:noWrap/>
            <w:hideMark/>
          </w:tcPr>
          <w:p w14:paraId="6B2C2BA9" w14:textId="77777777" w:rsidR="009D0006" w:rsidRPr="00BC3468" w:rsidRDefault="009D0006" w:rsidP="00B344E3">
            <w:pPr>
              <w:pStyle w:val="Tabletext"/>
            </w:pPr>
            <w:r>
              <w:t>High or very high</w:t>
            </w:r>
          </w:p>
        </w:tc>
        <w:tc>
          <w:tcPr>
            <w:tcW w:w="1559" w:type="dxa"/>
            <w:noWrap/>
          </w:tcPr>
          <w:p w14:paraId="1893F359" w14:textId="77777777" w:rsidR="009D0006" w:rsidRPr="00BC3468" w:rsidRDefault="009D0006" w:rsidP="00B344E3">
            <w:pPr>
              <w:pStyle w:val="Tabletext"/>
            </w:pPr>
            <w:r>
              <w:t>340</w:t>
            </w:r>
          </w:p>
        </w:tc>
        <w:tc>
          <w:tcPr>
            <w:tcW w:w="1559" w:type="dxa"/>
            <w:noWrap/>
          </w:tcPr>
          <w:p w14:paraId="7EEB6808" w14:textId="77777777" w:rsidR="009D0006" w:rsidRPr="00BC3468" w:rsidRDefault="009D0006" w:rsidP="00B344E3">
            <w:pPr>
              <w:pStyle w:val="Tabletext"/>
            </w:pPr>
            <w:r>
              <w:t>96.3</w:t>
            </w:r>
          </w:p>
        </w:tc>
      </w:tr>
    </w:tbl>
    <w:p w14:paraId="15F50C82" w14:textId="77777777" w:rsidR="009D0006" w:rsidRDefault="009D0006" w:rsidP="00B344E3">
      <w:pPr>
        <w:pStyle w:val="Tableheading"/>
      </w:pPr>
      <w:r>
        <w:t>Table 125.5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D24AC37" w14:textId="77777777" w:rsidTr="00B344E3">
        <w:trPr>
          <w:cnfStyle w:val="100000000000" w:firstRow="1" w:lastRow="0" w:firstColumn="0" w:lastColumn="0" w:oddVBand="0" w:evenVBand="0" w:oddHBand="0" w:evenHBand="0" w:firstRowFirstColumn="0" w:firstRowLastColumn="0" w:lastRowFirstColumn="0" w:lastRowLastColumn="0"/>
          <w:trHeight w:val="178"/>
        </w:trPr>
        <w:tc>
          <w:tcPr>
            <w:tcW w:w="6746" w:type="dxa"/>
            <w:noWrap/>
            <w:hideMark/>
          </w:tcPr>
          <w:p w14:paraId="74EDA67F" w14:textId="77777777" w:rsidR="009D0006" w:rsidRPr="00BC3468" w:rsidRDefault="009D0006" w:rsidP="00B344E3">
            <w:pPr>
              <w:pStyle w:val="Tableheader"/>
            </w:pPr>
            <w:r w:rsidRPr="00030452">
              <w:t>Psychological distress</w:t>
            </w:r>
          </w:p>
        </w:tc>
        <w:tc>
          <w:tcPr>
            <w:tcW w:w="1559" w:type="dxa"/>
            <w:noWrap/>
            <w:hideMark/>
          </w:tcPr>
          <w:p w14:paraId="5C195D15" w14:textId="77777777" w:rsidR="009D0006" w:rsidRPr="005E1432" w:rsidRDefault="009D0006" w:rsidP="00B344E3">
            <w:pPr>
              <w:pStyle w:val="Tableheader"/>
              <w:rPr>
                <w:bCs/>
              </w:rPr>
            </w:pPr>
            <w:r w:rsidRPr="005E1432">
              <w:rPr>
                <w:bCs/>
              </w:rPr>
              <w:t>n</w:t>
            </w:r>
          </w:p>
        </w:tc>
        <w:tc>
          <w:tcPr>
            <w:tcW w:w="1559" w:type="dxa"/>
            <w:noWrap/>
            <w:hideMark/>
          </w:tcPr>
          <w:p w14:paraId="5414CDB6" w14:textId="77777777" w:rsidR="009D0006" w:rsidRPr="005E1432" w:rsidRDefault="009D0006" w:rsidP="00B344E3">
            <w:pPr>
              <w:pStyle w:val="Tableheader"/>
              <w:rPr>
                <w:bCs/>
              </w:rPr>
            </w:pPr>
            <w:r w:rsidRPr="005E1432">
              <w:rPr>
                <w:bCs/>
              </w:rPr>
              <w:t>%</w:t>
            </w:r>
          </w:p>
        </w:tc>
      </w:tr>
      <w:tr w:rsidR="009D0006" w:rsidRPr="00BC3468" w14:paraId="7D57F79F" w14:textId="77777777" w:rsidTr="00B344E3">
        <w:trPr>
          <w:cnfStyle w:val="000000100000" w:firstRow="0" w:lastRow="0" w:firstColumn="0" w:lastColumn="0" w:oddVBand="0" w:evenVBand="0" w:oddHBand="1" w:evenHBand="0" w:firstRowFirstColumn="0" w:firstRowLastColumn="0" w:lastRowFirstColumn="0" w:lastRowLastColumn="0"/>
          <w:trHeight w:val="90"/>
        </w:trPr>
        <w:tc>
          <w:tcPr>
            <w:tcW w:w="6746" w:type="dxa"/>
            <w:noWrap/>
            <w:hideMark/>
          </w:tcPr>
          <w:p w14:paraId="42EF7F70" w14:textId="77777777" w:rsidR="009D0006" w:rsidRPr="00BC3468" w:rsidRDefault="009D0006" w:rsidP="00B344E3">
            <w:pPr>
              <w:pStyle w:val="Tabletext"/>
            </w:pPr>
            <w:r>
              <w:t>Low or medium</w:t>
            </w:r>
          </w:p>
        </w:tc>
        <w:tc>
          <w:tcPr>
            <w:tcW w:w="1559" w:type="dxa"/>
            <w:noWrap/>
          </w:tcPr>
          <w:p w14:paraId="78F8D422" w14:textId="77777777" w:rsidR="009D0006" w:rsidRPr="00BC3468" w:rsidRDefault="009D0006" w:rsidP="00B344E3">
            <w:pPr>
              <w:pStyle w:val="Tabletext"/>
            </w:pPr>
            <w:r>
              <w:t>15</w:t>
            </w:r>
          </w:p>
        </w:tc>
        <w:tc>
          <w:tcPr>
            <w:tcW w:w="1559" w:type="dxa"/>
            <w:noWrap/>
          </w:tcPr>
          <w:p w14:paraId="7CEF247E" w14:textId="77777777" w:rsidR="009D0006" w:rsidRPr="00BC3468" w:rsidRDefault="009D0006" w:rsidP="00B344E3">
            <w:pPr>
              <w:pStyle w:val="Tabletext"/>
            </w:pPr>
            <w:r>
              <w:t>5.6</w:t>
            </w:r>
          </w:p>
        </w:tc>
      </w:tr>
      <w:tr w:rsidR="009D0006" w:rsidRPr="00BC3468" w14:paraId="08C0F204" w14:textId="77777777" w:rsidTr="00B344E3">
        <w:trPr>
          <w:cnfStyle w:val="000000010000" w:firstRow="0" w:lastRow="0" w:firstColumn="0" w:lastColumn="0" w:oddVBand="0" w:evenVBand="0" w:oddHBand="0" w:evenHBand="1" w:firstRowFirstColumn="0" w:firstRowLastColumn="0" w:lastRowFirstColumn="0" w:lastRowLastColumn="0"/>
          <w:trHeight w:val="90"/>
        </w:trPr>
        <w:tc>
          <w:tcPr>
            <w:tcW w:w="6746" w:type="dxa"/>
            <w:noWrap/>
            <w:hideMark/>
          </w:tcPr>
          <w:p w14:paraId="32C386B9" w14:textId="77777777" w:rsidR="009D0006" w:rsidRPr="00BC3468" w:rsidRDefault="009D0006" w:rsidP="00B344E3">
            <w:pPr>
              <w:pStyle w:val="Tabletext"/>
            </w:pPr>
            <w:r>
              <w:t>High or very high</w:t>
            </w:r>
          </w:p>
        </w:tc>
        <w:tc>
          <w:tcPr>
            <w:tcW w:w="1559" w:type="dxa"/>
            <w:noWrap/>
          </w:tcPr>
          <w:p w14:paraId="121439B5" w14:textId="77777777" w:rsidR="009D0006" w:rsidRPr="00BC3468" w:rsidRDefault="009D0006" w:rsidP="00B344E3">
            <w:pPr>
              <w:pStyle w:val="Tabletext"/>
            </w:pPr>
            <w:r>
              <w:t>252</w:t>
            </w:r>
          </w:p>
        </w:tc>
        <w:tc>
          <w:tcPr>
            <w:tcW w:w="1559" w:type="dxa"/>
            <w:noWrap/>
          </w:tcPr>
          <w:p w14:paraId="2CF687B5" w14:textId="77777777" w:rsidR="009D0006" w:rsidRPr="00BC3468" w:rsidRDefault="009D0006" w:rsidP="00B344E3">
            <w:pPr>
              <w:pStyle w:val="Tabletext"/>
            </w:pPr>
            <w:r>
              <w:t>94.4</w:t>
            </w:r>
          </w:p>
        </w:tc>
      </w:tr>
    </w:tbl>
    <w:p w14:paraId="6D112CF6" w14:textId="77777777" w:rsidR="009D0006" w:rsidRDefault="009D0006" w:rsidP="00B344E3">
      <w:pPr>
        <w:pStyle w:val="Tableheading"/>
      </w:pPr>
      <w:r>
        <w:t>Table 125.6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9F26ED1" w14:textId="77777777" w:rsidTr="00B344E3">
        <w:trPr>
          <w:cnfStyle w:val="100000000000" w:firstRow="1" w:lastRow="0" w:firstColumn="0" w:lastColumn="0" w:oddVBand="0" w:evenVBand="0" w:oddHBand="0" w:evenHBand="0" w:firstRowFirstColumn="0" w:firstRowLastColumn="0" w:lastRowFirstColumn="0" w:lastRowLastColumn="0"/>
          <w:trHeight w:val="261"/>
        </w:trPr>
        <w:tc>
          <w:tcPr>
            <w:tcW w:w="6746" w:type="dxa"/>
            <w:noWrap/>
            <w:hideMark/>
          </w:tcPr>
          <w:p w14:paraId="46F6CB55" w14:textId="77777777" w:rsidR="009D0006" w:rsidRPr="00BC3468" w:rsidRDefault="009D0006" w:rsidP="00B344E3">
            <w:pPr>
              <w:pStyle w:val="Tableheader"/>
            </w:pPr>
            <w:r w:rsidRPr="00030452">
              <w:t>Psychological distress</w:t>
            </w:r>
          </w:p>
        </w:tc>
        <w:tc>
          <w:tcPr>
            <w:tcW w:w="1559" w:type="dxa"/>
            <w:noWrap/>
            <w:hideMark/>
          </w:tcPr>
          <w:p w14:paraId="04E3605D" w14:textId="77777777" w:rsidR="009D0006" w:rsidRPr="005E1432" w:rsidRDefault="009D0006" w:rsidP="00B344E3">
            <w:pPr>
              <w:pStyle w:val="Tableheader"/>
              <w:rPr>
                <w:bCs/>
              </w:rPr>
            </w:pPr>
            <w:r w:rsidRPr="005E1432">
              <w:rPr>
                <w:bCs/>
              </w:rPr>
              <w:t>n</w:t>
            </w:r>
          </w:p>
        </w:tc>
        <w:tc>
          <w:tcPr>
            <w:tcW w:w="1559" w:type="dxa"/>
            <w:noWrap/>
            <w:hideMark/>
          </w:tcPr>
          <w:p w14:paraId="21F47327" w14:textId="77777777" w:rsidR="009D0006" w:rsidRPr="005E1432" w:rsidRDefault="009D0006" w:rsidP="00B344E3">
            <w:pPr>
              <w:pStyle w:val="Tableheader"/>
              <w:rPr>
                <w:bCs/>
              </w:rPr>
            </w:pPr>
            <w:r w:rsidRPr="005E1432">
              <w:rPr>
                <w:bCs/>
              </w:rPr>
              <w:t>%</w:t>
            </w:r>
          </w:p>
        </w:tc>
      </w:tr>
      <w:tr w:rsidR="009D0006" w:rsidRPr="00BC3468" w14:paraId="49C67D26" w14:textId="77777777" w:rsidTr="00B344E3">
        <w:trPr>
          <w:cnfStyle w:val="000000100000" w:firstRow="0" w:lastRow="0" w:firstColumn="0" w:lastColumn="0" w:oddVBand="0" w:evenVBand="0" w:oddHBand="1" w:evenHBand="0" w:firstRowFirstColumn="0" w:firstRowLastColumn="0" w:lastRowFirstColumn="0" w:lastRowLastColumn="0"/>
          <w:trHeight w:val="132"/>
        </w:trPr>
        <w:tc>
          <w:tcPr>
            <w:tcW w:w="6746" w:type="dxa"/>
            <w:noWrap/>
            <w:hideMark/>
          </w:tcPr>
          <w:p w14:paraId="249224FD" w14:textId="77777777" w:rsidR="009D0006" w:rsidRPr="00BC3468" w:rsidRDefault="009D0006" w:rsidP="00B344E3">
            <w:pPr>
              <w:pStyle w:val="Tabletext"/>
            </w:pPr>
            <w:r>
              <w:t>Low or medium</w:t>
            </w:r>
          </w:p>
        </w:tc>
        <w:tc>
          <w:tcPr>
            <w:tcW w:w="1559" w:type="dxa"/>
            <w:noWrap/>
          </w:tcPr>
          <w:p w14:paraId="15A1C851" w14:textId="77777777" w:rsidR="009D0006" w:rsidRPr="00BC3468" w:rsidRDefault="009D0006" w:rsidP="00B344E3">
            <w:pPr>
              <w:pStyle w:val="Tabletext"/>
            </w:pPr>
            <w:r>
              <w:t>11</w:t>
            </w:r>
          </w:p>
        </w:tc>
        <w:tc>
          <w:tcPr>
            <w:tcW w:w="1559" w:type="dxa"/>
            <w:noWrap/>
          </w:tcPr>
          <w:p w14:paraId="7A8E8D0F" w14:textId="77777777" w:rsidR="009D0006" w:rsidRPr="00BC3468" w:rsidRDefault="009D0006" w:rsidP="00B344E3">
            <w:pPr>
              <w:pStyle w:val="Tabletext"/>
            </w:pPr>
            <w:r>
              <w:t>8.3</w:t>
            </w:r>
          </w:p>
        </w:tc>
      </w:tr>
      <w:tr w:rsidR="009D0006" w:rsidRPr="00BC3468" w14:paraId="5746CA61" w14:textId="77777777" w:rsidTr="00B344E3">
        <w:trPr>
          <w:cnfStyle w:val="000000010000" w:firstRow="0" w:lastRow="0" w:firstColumn="0" w:lastColumn="0" w:oddVBand="0" w:evenVBand="0" w:oddHBand="0" w:evenHBand="1" w:firstRowFirstColumn="0" w:firstRowLastColumn="0" w:lastRowFirstColumn="0" w:lastRowLastColumn="0"/>
          <w:trHeight w:val="132"/>
        </w:trPr>
        <w:tc>
          <w:tcPr>
            <w:tcW w:w="6746" w:type="dxa"/>
            <w:noWrap/>
            <w:hideMark/>
          </w:tcPr>
          <w:p w14:paraId="5EBBE8A7" w14:textId="77777777" w:rsidR="009D0006" w:rsidRPr="00BC3468" w:rsidRDefault="009D0006" w:rsidP="00B344E3">
            <w:pPr>
              <w:pStyle w:val="Tabletext"/>
            </w:pPr>
            <w:r>
              <w:t>High or very high</w:t>
            </w:r>
          </w:p>
        </w:tc>
        <w:tc>
          <w:tcPr>
            <w:tcW w:w="1559" w:type="dxa"/>
            <w:noWrap/>
          </w:tcPr>
          <w:p w14:paraId="69D9444E" w14:textId="77777777" w:rsidR="009D0006" w:rsidRPr="00BC3468" w:rsidRDefault="009D0006" w:rsidP="00B344E3">
            <w:pPr>
              <w:pStyle w:val="Tabletext"/>
            </w:pPr>
            <w:r>
              <w:t>122</w:t>
            </w:r>
          </w:p>
        </w:tc>
        <w:tc>
          <w:tcPr>
            <w:tcW w:w="1559" w:type="dxa"/>
            <w:noWrap/>
          </w:tcPr>
          <w:p w14:paraId="4F1E44EB" w14:textId="77777777" w:rsidR="009D0006" w:rsidRPr="00BC3468" w:rsidRDefault="009D0006" w:rsidP="00B344E3">
            <w:pPr>
              <w:pStyle w:val="Tabletext"/>
            </w:pPr>
            <w:r>
              <w:t>91.7</w:t>
            </w:r>
          </w:p>
        </w:tc>
      </w:tr>
    </w:tbl>
    <w:p w14:paraId="51CED15D" w14:textId="77777777" w:rsidR="009D0006" w:rsidRDefault="009D0006" w:rsidP="00B344E3">
      <w:pPr>
        <w:pStyle w:val="Tableheading"/>
      </w:pPr>
      <w:r>
        <w:t>Table 125.7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6F8388A" w14:textId="77777777" w:rsidTr="00B344E3">
        <w:trPr>
          <w:cnfStyle w:val="100000000000" w:firstRow="1" w:lastRow="0" w:firstColumn="0" w:lastColumn="0" w:oddVBand="0" w:evenVBand="0" w:oddHBand="0" w:evenHBand="0" w:firstRowFirstColumn="0" w:firstRowLastColumn="0" w:lastRowFirstColumn="0" w:lastRowLastColumn="0"/>
          <w:trHeight w:val="252"/>
        </w:trPr>
        <w:tc>
          <w:tcPr>
            <w:tcW w:w="6746" w:type="dxa"/>
            <w:noWrap/>
            <w:hideMark/>
          </w:tcPr>
          <w:p w14:paraId="0642CCBB" w14:textId="77777777" w:rsidR="009D0006" w:rsidRPr="00BC3468" w:rsidRDefault="009D0006" w:rsidP="00B344E3">
            <w:pPr>
              <w:pStyle w:val="Tableheader"/>
            </w:pPr>
            <w:r w:rsidRPr="00030452">
              <w:t>Psychological distress</w:t>
            </w:r>
          </w:p>
        </w:tc>
        <w:tc>
          <w:tcPr>
            <w:tcW w:w="1559" w:type="dxa"/>
          </w:tcPr>
          <w:p w14:paraId="4BB4E3A5" w14:textId="77777777" w:rsidR="009D0006" w:rsidRPr="005E1432" w:rsidRDefault="009D0006" w:rsidP="00B344E3">
            <w:pPr>
              <w:pStyle w:val="Tableheader"/>
              <w:rPr>
                <w:bCs/>
              </w:rPr>
            </w:pPr>
            <w:r w:rsidRPr="005E1432">
              <w:rPr>
                <w:bCs/>
              </w:rPr>
              <w:t>n</w:t>
            </w:r>
          </w:p>
        </w:tc>
        <w:tc>
          <w:tcPr>
            <w:tcW w:w="1559" w:type="dxa"/>
          </w:tcPr>
          <w:p w14:paraId="758E163E" w14:textId="77777777" w:rsidR="009D0006" w:rsidRPr="005E1432" w:rsidRDefault="009D0006" w:rsidP="00B344E3">
            <w:pPr>
              <w:pStyle w:val="Tableheader"/>
              <w:rPr>
                <w:bCs/>
              </w:rPr>
            </w:pPr>
            <w:r w:rsidRPr="005E1432">
              <w:rPr>
                <w:bCs/>
              </w:rPr>
              <w:t>%</w:t>
            </w:r>
          </w:p>
        </w:tc>
      </w:tr>
      <w:tr w:rsidR="009D0006" w:rsidRPr="00BC3468" w14:paraId="66211D0C" w14:textId="77777777" w:rsidTr="00B344E3">
        <w:trPr>
          <w:cnfStyle w:val="000000100000" w:firstRow="0" w:lastRow="0" w:firstColumn="0" w:lastColumn="0" w:oddVBand="0" w:evenVBand="0" w:oddHBand="1" w:evenHBand="0" w:firstRowFirstColumn="0" w:firstRowLastColumn="0" w:lastRowFirstColumn="0" w:lastRowLastColumn="0"/>
          <w:trHeight w:val="127"/>
        </w:trPr>
        <w:tc>
          <w:tcPr>
            <w:tcW w:w="6746" w:type="dxa"/>
            <w:noWrap/>
            <w:hideMark/>
          </w:tcPr>
          <w:p w14:paraId="5B9DF540" w14:textId="77777777" w:rsidR="009D0006" w:rsidRPr="00BC3468" w:rsidRDefault="009D0006" w:rsidP="00B344E3">
            <w:pPr>
              <w:pStyle w:val="Tabletext"/>
            </w:pPr>
            <w:r>
              <w:t>Low or medium</w:t>
            </w:r>
          </w:p>
        </w:tc>
        <w:tc>
          <w:tcPr>
            <w:tcW w:w="1559" w:type="dxa"/>
          </w:tcPr>
          <w:p w14:paraId="55D68066" w14:textId="77777777" w:rsidR="009D0006" w:rsidRPr="00BC3468" w:rsidRDefault="009D0006" w:rsidP="00B344E3">
            <w:pPr>
              <w:pStyle w:val="Tabletext"/>
            </w:pPr>
            <w:r>
              <w:t>33</w:t>
            </w:r>
          </w:p>
        </w:tc>
        <w:tc>
          <w:tcPr>
            <w:tcW w:w="1559" w:type="dxa"/>
          </w:tcPr>
          <w:p w14:paraId="2108B554" w14:textId="77777777" w:rsidR="009D0006" w:rsidRPr="00BC3468" w:rsidRDefault="009D0006" w:rsidP="00B344E3">
            <w:pPr>
              <w:pStyle w:val="Tabletext"/>
            </w:pPr>
            <w:r>
              <w:t>9.5</w:t>
            </w:r>
          </w:p>
        </w:tc>
      </w:tr>
      <w:tr w:rsidR="009D0006" w:rsidRPr="00BC3468" w14:paraId="38E539FE" w14:textId="77777777" w:rsidTr="00B344E3">
        <w:trPr>
          <w:cnfStyle w:val="000000010000" w:firstRow="0" w:lastRow="0" w:firstColumn="0" w:lastColumn="0" w:oddVBand="0" w:evenVBand="0" w:oddHBand="0" w:evenHBand="1" w:firstRowFirstColumn="0" w:firstRowLastColumn="0" w:lastRowFirstColumn="0" w:lastRowLastColumn="0"/>
          <w:trHeight w:val="127"/>
        </w:trPr>
        <w:tc>
          <w:tcPr>
            <w:tcW w:w="6746" w:type="dxa"/>
            <w:noWrap/>
            <w:hideMark/>
          </w:tcPr>
          <w:p w14:paraId="1F6444C8" w14:textId="77777777" w:rsidR="009D0006" w:rsidRPr="00BC3468" w:rsidRDefault="009D0006" w:rsidP="00B344E3">
            <w:pPr>
              <w:pStyle w:val="Tabletext"/>
            </w:pPr>
            <w:r>
              <w:t>High or very high</w:t>
            </w:r>
          </w:p>
        </w:tc>
        <w:tc>
          <w:tcPr>
            <w:tcW w:w="1559" w:type="dxa"/>
          </w:tcPr>
          <w:p w14:paraId="64AF63F4" w14:textId="77777777" w:rsidR="009D0006" w:rsidRPr="00BC3468" w:rsidRDefault="009D0006" w:rsidP="00B344E3">
            <w:pPr>
              <w:pStyle w:val="Tabletext"/>
            </w:pPr>
            <w:r>
              <w:t>315</w:t>
            </w:r>
          </w:p>
        </w:tc>
        <w:tc>
          <w:tcPr>
            <w:tcW w:w="1559" w:type="dxa"/>
          </w:tcPr>
          <w:p w14:paraId="379A636E" w14:textId="77777777" w:rsidR="009D0006" w:rsidRPr="00BC3468" w:rsidRDefault="009D0006" w:rsidP="00B344E3">
            <w:pPr>
              <w:pStyle w:val="Tabletext"/>
            </w:pPr>
            <w:r>
              <w:t>90.5</w:t>
            </w:r>
          </w:p>
        </w:tc>
      </w:tr>
    </w:tbl>
    <w:p w14:paraId="4CEEA69B" w14:textId="77777777" w:rsidR="009D0006" w:rsidRDefault="009D0006" w:rsidP="00AB4A74">
      <w:pPr>
        <w:spacing w:before="360"/>
      </w:pPr>
      <w:r w:rsidRPr="003271DA">
        <w:t xml:space="preserve">As displayed in </w:t>
      </w:r>
      <w:r>
        <w:t>T</w:t>
      </w:r>
      <w:r w:rsidRPr="003271DA">
        <w:t>able</w:t>
      </w:r>
      <w:r>
        <w:t>s</w:t>
      </w:r>
      <w:r w:rsidRPr="003271DA">
        <w:t xml:space="preserve"> </w:t>
      </w:r>
      <w:r>
        <w:t>125.1-125.7</w:t>
      </w:r>
      <w:r w:rsidRPr="003271DA">
        <w:t>,</w:t>
      </w:r>
      <w:r>
        <w:t xml:space="preserve"> the vast majority of</w:t>
      </w:r>
      <w:r w:rsidRPr="003271DA">
        <w:t xml:space="preserve"> participants with disability in </w:t>
      </w:r>
      <w:r w:rsidRPr="005910DE">
        <w:rPr>
          <w:i/>
          <w:iCs/>
        </w:rPr>
        <w:t>Writing Themselves In 4</w:t>
      </w:r>
      <w:r>
        <w:t xml:space="preserve"> expressed high or very high levels of psychological distress in the past 4 weeks. The greatest proportion of participants who had experienced high or very high psychological distress identified as pansexual (96.3%; n = 340), followed by participan</w:t>
      </w:r>
      <w:r>
        <w:lastRenderedPageBreak/>
        <w:t>ts who identified as queer (94.4%; n = 252), participants who identified as lesbian (92.1%; n = 313), participants who identified as bisexual (91.9%; n = 705), participants who identified as asexual (91.7%; n = 122), participants who identified as something else (90.5%; n = 315) and participants who identified as gay (86.2%; n = 237).</w:t>
      </w:r>
    </w:p>
    <w:p w14:paraId="7A7A6045" w14:textId="75C96588" w:rsidR="009D0006" w:rsidRPr="00C5739E" w:rsidRDefault="009D0006" w:rsidP="009401DC">
      <w:pPr>
        <w:pStyle w:val="Heading3Numbered"/>
      </w:pPr>
      <w:bookmarkStart w:id="953" w:name="_Toc115968678"/>
      <w:r w:rsidRPr="00C5739E">
        <w:t>Psychological distress – adults aged 18+ years</w:t>
      </w:r>
      <w:bookmarkEnd w:id="953"/>
    </w:p>
    <w:p w14:paraId="43CC40B6" w14:textId="77777777" w:rsidR="009D0006" w:rsidRDefault="009D0006" w:rsidP="009D0006">
      <w:r w:rsidRPr="00563F98">
        <w:t>Table</w:t>
      </w:r>
      <w:r>
        <w:t>s</w:t>
      </w:r>
      <w:r w:rsidRPr="00563F98">
        <w:t xml:space="preserve"> </w:t>
      </w:r>
      <w:r>
        <w:t>126.1-126.7</w:t>
      </w:r>
      <w:r w:rsidRPr="00563F98">
        <w:t xml:space="preserve"> displays the K10 psychological distress levels of participants </w:t>
      </w:r>
      <w:r>
        <w:t xml:space="preserve">aged 18+ years </w:t>
      </w:r>
      <w:r w:rsidRPr="00563F98">
        <w:t xml:space="preserve">according to </w:t>
      </w:r>
      <w:r>
        <w:t>their sexual orientation</w:t>
      </w:r>
      <w:r w:rsidRPr="00563F98">
        <w:t>.</w:t>
      </w:r>
    </w:p>
    <w:p w14:paraId="321FE125" w14:textId="56312D7E" w:rsidR="009D0006" w:rsidRDefault="009D0006" w:rsidP="00B344E3">
      <w:pPr>
        <w:pStyle w:val="Tableheading"/>
      </w:pPr>
      <w:bookmarkStart w:id="954" w:name="_Toc117062843"/>
      <w:bookmarkStart w:id="955" w:name="_Toc119651528"/>
      <w:r w:rsidRPr="00C5739E">
        <w:t>Table</w:t>
      </w:r>
      <w:r>
        <w:t>s</w:t>
      </w:r>
      <w:r w:rsidRPr="00C5739E">
        <w:t xml:space="preserve"> </w:t>
      </w:r>
      <w:r>
        <w:rPr>
          <w:noProof/>
        </w:rPr>
        <w:fldChar w:fldCharType="begin"/>
      </w:r>
      <w:r>
        <w:rPr>
          <w:noProof/>
        </w:rPr>
        <w:instrText xml:space="preserve"> SEQ Table \* ARABIC </w:instrText>
      </w:r>
      <w:r>
        <w:rPr>
          <w:noProof/>
        </w:rPr>
        <w:fldChar w:fldCharType="separate"/>
      </w:r>
      <w:r>
        <w:rPr>
          <w:noProof/>
        </w:rPr>
        <w:t>126</w:t>
      </w:r>
      <w:r>
        <w:rPr>
          <w:noProof/>
        </w:rPr>
        <w:fldChar w:fldCharType="end"/>
      </w:r>
      <w:r>
        <w:rPr>
          <w:noProof/>
        </w:rPr>
        <w:t>.1-126.7</w:t>
      </w:r>
      <w:r>
        <w:t>: Psychological distress</w:t>
      </w:r>
      <w:r w:rsidRPr="00C5739E">
        <w:t xml:space="preserve"> </w:t>
      </w:r>
      <w:r>
        <w:t xml:space="preserve">among people with disability aged 18+ years, grouped </w:t>
      </w:r>
      <w:r w:rsidRPr="00C5739E">
        <w:t xml:space="preserve">by </w:t>
      </w:r>
      <w:r>
        <w:t>sexual orientation</w:t>
      </w:r>
      <w:r w:rsidRPr="00C5739E">
        <w:t xml:space="preserve"> (n = </w:t>
      </w:r>
      <w:r>
        <w:t>2563</w:t>
      </w:r>
      <w:r w:rsidRPr="00C5739E">
        <w:t>)</w:t>
      </w:r>
      <w:bookmarkEnd w:id="954"/>
      <w:bookmarkEnd w:id="955"/>
    </w:p>
    <w:p w14:paraId="0C0D1B64" w14:textId="77777777" w:rsidR="009D0006" w:rsidRPr="00563F98" w:rsidRDefault="009D0006" w:rsidP="00B344E3">
      <w:pPr>
        <w:pStyle w:val="Tableheading"/>
      </w:pPr>
      <w:r>
        <w:t>Table 126.1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B0DBD68" w14:textId="77777777" w:rsidTr="00B344E3">
        <w:trPr>
          <w:cnfStyle w:val="100000000000" w:firstRow="1" w:lastRow="0" w:firstColumn="0" w:lastColumn="0" w:oddVBand="0" w:evenVBand="0" w:oddHBand="0" w:evenHBand="0" w:firstRowFirstColumn="0" w:firstRowLastColumn="0" w:lastRowFirstColumn="0" w:lastRowLastColumn="0"/>
          <w:trHeight w:val="228"/>
        </w:trPr>
        <w:tc>
          <w:tcPr>
            <w:tcW w:w="6746" w:type="dxa"/>
            <w:noWrap/>
            <w:hideMark/>
          </w:tcPr>
          <w:p w14:paraId="6DE081B9" w14:textId="77777777" w:rsidR="009D0006" w:rsidRPr="00BC3468" w:rsidRDefault="009D0006" w:rsidP="00B344E3">
            <w:pPr>
              <w:pStyle w:val="Tableheader"/>
            </w:pPr>
            <w:r w:rsidRPr="00030452">
              <w:t>Psychological distress</w:t>
            </w:r>
          </w:p>
        </w:tc>
        <w:tc>
          <w:tcPr>
            <w:tcW w:w="1559" w:type="dxa"/>
            <w:noWrap/>
            <w:hideMark/>
          </w:tcPr>
          <w:p w14:paraId="58DD9176" w14:textId="77777777" w:rsidR="009D0006" w:rsidRPr="0076151C" w:rsidRDefault="009D0006" w:rsidP="00B344E3">
            <w:pPr>
              <w:pStyle w:val="Tableheader"/>
              <w:rPr>
                <w:bCs/>
              </w:rPr>
            </w:pPr>
            <w:r w:rsidRPr="0076151C">
              <w:rPr>
                <w:bCs/>
              </w:rPr>
              <w:t>n</w:t>
            </w:r>
          </w:p>
        </w:tc>
        <w:tc>
          <w:tcPr>
            <w:tcW w:w="1559" w:type="dxa"/>
            <w:noWrap/>
            <w:hideMark/>
          </w:tcPr>
          <w:p w14:paraId="4722546D" w14:textId="77777777" w:rsidR="009D0006" w:rsidRPr="0076151C" w:rsidRDefault="009D0006" w:rsidP="00B344E3">
            <w:pPr>
              <w:pStyle w:val="Tableheader"/>
              <w:rPr>
                <w:bCs/>
              </w:rPr>
            </w:pPr>
            <w:r w:rsidRPr="0076151C">
              <w:rPr>
                <w:bCs/>
              </w:rPr>
              <w:t>%</w:t>
            </w:r>
          </w:p>
        </w:tc>
      </w:tr>
      <w:tr w:rsidR="009D0006" w:rsidRPr="00BC3468" w14:paraId="4145C149" w14:textId="77777777" w:rsidTr="00B344E3">
        <w:trPr>
          <w:cnfStyle w:val="000000100000" w:firstRow="0" w:lastRow="0" w:firstColumn="0" w:lastColumn="0" w:oddVBand="0" w:evenVBand="0" w:oddHBand="1" w:evenHBand="0" w:firstRowFirstColumn="0" w:firstRowLastColumn="0" w:lastRowFirstColumn="0" w:lastRowLastColumn="0"/>
          <w:trHeight w:val="115"/>
        </w:trPr>
        <w:tc>
          <w:tcPr>
            <w:tcW w:w="6746" w:type="dxa"/>
            <w:noWrap/>
            <w:hideMark/>
          </w:tcPr>
          <w:p w14:paraId="2927F029" w14:textId="77777777" w:rsidR="009D0006" w:rsidRPr="00BC3468" w:rsidRDefault="009D0006" w:rsidP="00B344E3">
            <w:pPr>
              <w:pStyle w:val="Tabletext"/>
            </w:pPr>
            <w:r>
              <w:t>Low or medium</w:t>
            </w:r>
          </w:p>
        </w:tc>
        <w:tc>
          <w:tcPr>
            <w:tcW w:w="1559" w:type="dxa"/>
            <w:noWrap/>
          </w:tcPr>
          <w:p w14:paraId="7C352344" w14:textId="77777777" w:rsidR="009D0006" w:rsidRPr="00BC3468" w:rsidRDefault="009D0006" w:rsidP="00B344E3">
            <w:pPr>
              <w:pStyle w:val="Tabletext"/>
            </w:pPr>
            <w:r>
              <w:t>145</w:t>
            </w:r>
          </w:p>
        </w:tc>
        <w:tc>
          <w:tcPr>
            <w:tcW w:w="1559" w:type="dxa"/>
            <w:noWrap/>
          </w:tcPr>
          <w:p w14:paraId="1D96E7C2" w14:textId="77777777" w:rsidR="009D0006" w:rsidRPr="00BC3468" w:rsidRDefault="009D0006" w:rsidP="00B344E3">
            <w:pPr>
              <w:pStyle w:val="Tabletext"/>
            </w:pPr>
            <w:r>
              <w:t>29.2</w:t>
            </w:r>
          </w:p>
        </w:tc>
      </w:tr>
      <w:tr w:rsidR="009D0006" w:rsidRPr="00BC3468" w14:paraId="11E35858" w14:textId="77777777" w:rsidTr="00B344E3">
        <w:trPr>
          <w:cnfStyle w:val="000000010000" w:firstRow="0" w:lastRow="0" w:firstColumn="0" w:lastColumn="0" w:oddVBand="0" w:evenVBand="0" w:oddHBand="0" w:evenHBand="1" w:firstRowFirstColumn="0" w:firstRowLastColumn="0" w:lastRowFirstColumn="0" w:lastRowLastColumn="0"/>
          <w:trHeight w:val="115"/>
        </w:trPr>
        <w:tc>
          <w:tcPr>
            <w:tcW w:w="6746" w:type="dxa"/>
            <w:noWrap/>
            <w:hideMark/>
          </w:tcPr>
          <w:p w14:paraId="2C14F61F" w14:textId="77777777" w:rsidR="009D0006" w:rsidRPr="00BC3468" w:rsidRDefault="009D0006" w:rsidP="00B344E3">
            <w:pPr>
              <w:pStyle w:val="Tabletext"/>
            </w:pPr>
            <w:r>
              <w:t>High or very high</w:t>
            </w:r>
          </w:p>
        </w:tc>
        <w:tc>
          <w:tcPr>
            <w:tcW w:w="1559" w:type="dxa"/>
            <w:noWrap/>
          </w:tcPr>
          <w:p w14:paraId="3B32CC9E" w14:textId="77777777" w:rsidR="009D0006" w:rsidRPr="00BC3468" w:rsidRDefault="009D0006" w:rsidP="00B344E3">
            <w:pPr>
              <w:pStyle w:val="Tabletext"/>
            </w:pPr>
            <w:r>
              <w:t>351</w:t>
            </w:r>
          </w:p>
        </w:tc>
        <w:tc>
          <w:tcPr>
            <w:tcW w:w="1559" w:type="dxa"/>
            <w:noWrap/>
          </w:tcPr>
          <w:p w14:paraId="26E09C92" w14:textId="77777777" w:rsidR="009D0006" w:rsidRPr="00BC3468" w:rsidRDefault="009D0006" w:rsidP="00B344E3">
            <w:pPr>
              <w:pStyle w:val="Tabletext"/>
            </w:pPr>
            <w:r>
              <w:t>70.8</w:t>
            </w:r>
          </w:p>
        </w:tc>
      </w:tr>
    </w:tbl>
    <w:p w14:paraId="59C0F080" w14:textId="77777777" w:rsidR="009D0006" w:rsidRDefault="009D0006" w:rsidP="00B344E3">
      <w:pPr>
        <w:pStyle w:val="Tableheading"/>
      </w:pPr>
      <w:r>
        <w:t>Table 126.2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CDEBB75" w14:textId="77777777" w:rsidTr="00B344E3">
        <w:trPr>
          <w:cnfStyle w:val="100000000000" w:firstRow="1" w:lastRow="0" w:firstColumn="0" w:lastColumn="0" w:oddVBand="0" w:evenVBand="0" w:oddHBand="0" w:evenHBand="0" w:firstRowFirstColumn="0" w:firstRowLastColumn="0" w:lastRowFirstColumn="0" w:lastRowLastColumn="0"/>
          <w:trHeight w:val="344"/>
        </w:trPr>
        <w:tc>
          <w:tcPr>
            <w:tcW w:w="6746" w:type="dxa"/>
            <w:noWrap/>
            <w:hideMark/>
          </w:tcPr>
          <w:p w14:paraId="59D731BE" w14:textId="77777777" w:rsidR="009D0006" w:rsidRPr="00BC3468" w:rsidRDefault="009D0006" w:rsidP="00B344E3">
            <w:pPr>
              <w:pStyle w:val="Tableheader"/>
            </w:pPr>
            <w:r w:rsidRPr="00030452">
              <w:t>Psychological distress</w:t>
            </w:r>
          </w:p>
        </w:tc>
        <w:tc>
          <w:tcPr>
            <w:tcW w:w="1559" w:type="dxa"/>
            <w:noWrap/>
            <w:hideMark/>
          </w:tcPr>
          <w:p w14:paraId="2F9C3EA9" w14:textId="77777777" w:rsidR="009D0006" w:rsidRPr="0076151C" w:rsidRDefault="009D0006" w:rsidP="00B344E3">
            <w:pPr>
              <w:pStyle w:val="Tableheader"/>
              <w:rPr>
                <w:bCs/>
              </w:rPr>
            </w:pPr>
            <w:r w:rsidRPr="0076151C">
              <w:rPr>
                <w:bCs/>
              </w:rPr>
              <w:t>n</w:t>
            </w:r>
          </w:p>
        </w:tc>
        <w:tc>
          <w:tcPr>
            <w:tcW w:w="1559" w:type="dxa"/>
            <w:noWrap/>
            <w:hideMark/>
          </w:tcPr>
          <w:p w14:paraId="181C9DCF" w14:textId="77777777" w:rsidR="009D0006" w:rsidRPr="0076151C" w:rsidRDefault="009D0006" w:rsidP="00B344E3">
            <w:pPr>
              <w:pStyle w:val="Tableheader"/>
              <w:rPr>
                <w:bCs/>
              </w:rPr>
            </w:pPr>
            <w:r w:rsidRPr="0076151C">
              <w:rPr>
                <w:bCs/>
              </w:rPr>
              <w:t>%</w:t>
            </w:r>
          </w:p>
        </w:tc>
      </w:tr>
      <w:tr w:rsidR="009D0006" w:rsidRPr="00BC3468" w14:paraId="7017344F" w14:textId="77777777" w:rsidTr="00B344E3">
        <w:trPr>
          <w:cnfStyle w:val="000000100000" w:firstRow="0" w:lastRow="0" w:firstColumn="0" w:lastColumn="0" w:oddVBand="0" w:evenVBand="0" w:oddHBand="1" w:evenHBand="0" w:firstRowFirstColumn="0" w:firstRowLastColumn="0" w:lastRowFirstColumn="0" w:lastRowLastColumn="0"/>
          <w:trHeight w:val="174"/>
        </w:trPr>
        <w:tc>
          <w:tcPr>
            <w:tcW w:w="6746" w:type="dxa"/>
            <w:noWrap/>
            <w:hideMark/>
          </w:tcPr>
          <w:p w14:paraId="27CA4641" w14:textId="77777777" w:rsidR="009D0006" w:rsidRPr="00BC3468" w:rsidRDefault="009D0006" w:rsidP="00B344E3">
            <w:pPr>
              <w:pStyle w:val="Tabletext"/>
            </w:pPr>
            <w:r>
              <w:t>Low or medium</w:t>
            </w:r>
          </w:p>
        </w:tc>
        <w:tc>
          <w:tcPr>
            <w:tcW w:w="1559" w:type="dxa"/>
            <w:noWrap/>
          </w:tcPr>
          <w:p w14:paraId="15F601C9" w14:textId="77777777" w:rsidR="009D0006" w:rsidRPr="00BC3468" w:rsidRDefault="009D0006" w:rsidP="00B344E3">
            <w:pPr>
              <w:pStyle w:val="Tabletext"/>
            </w:pPr>
            <w:r>
              <w:t>123</w:t>
            </w:r>
          </w:p>
        </w:tc>
        <w:tc>
          <w:tcPr>
            <w:tcW w:w="1559" w:type="dxa"/>
            <w:noWrap/>
          </w:tcPr>
          <w:p w14:paraId="19AF2B27" w14:textId="77777777" w:rsidR="009D0006" w:rsidRPr="00BC3468" w:rsidRDefault="009D0006" w:rsidP="00B344E3">
            <w:pPr>
              <w:pStyle w:val="Tabletext"/>
            </w:pPr>
            <w:r>
              <w:t>29.6</w:t>
            </w:r>
          </w:p>
        </w:tc>
      </w:tr>
      <w:tr w:rsidR="009D0006" w:rsidRPr="00BC3468" w14:paraId="59D972E5" w14:textId="77777777" w:rsidTr="00B344E3">
        <w:trPr>
          <w:cnfStyle w:val="000000010000" w:firstRow="0" w:lastRow="0" w:firstColumn="0" w:lastColumn="0" w:oddVBand="0" w:evenVBand="0" w:oddHBand="0" w:evenHBand="1" w:firstRowFirstColumn="0" w:firstRowLastColumn="0" w:lastRowFirstColumn="0" w:lastRowLastColumn="0"/>
          <w:trHeight w:val="174"/>
        </w:trPr>
        <w:tc>
          <w:tcPr>
            <w:tcW w:w="6746" w:type="dxa"/>
            <w:noWrap/>
            <w:hideMark/>
          </w:tcPr>
          <w:p w14:paraId="453E9CEE" w14:textId="77777777" w:rsidR="009D0006" w:rsidRPr="00BC3468" w:rsidRDefault="009D0006" w:rsidP="00B344E3">
            <w:pPr>
              <w:pStyle w:val="Tabletext"/>
            </w:pPr>
            <w:r>
              <w:t>High or very high</w:t>
            </w:r>
          </w:p>
        </w:tc>
        <w:tc>
          <w:tcPr>
            <w:tcW w:w="1559" w:type="dxa"/>
            <w:noWrap/>
          </w:tcPr>
          <w:p w14:paraId="0E173566" w14:textId="77777777" w:rsidR="009D0006" w:rsidRPr="00BC3468" w:rsidRDefault="009D0006" w:rsidP="00B344E3">
            <w:pPr>
              <w:pStyle w:val="Tabletext"/>
            </w:pPr>
            <w:r>
              <w:t>293</w:t>
            </w:r>
          </w:p>
        </w:tc>
        <w:tc>
          <w:tcPr>
            <w:tcW w:w="1559" w:type="dxa"/>
            <w:noWrap/>
          </w:tcPr>
          <w:p w14:paraId="2B6842DA" w14:textId="77777777" w:rsidR="009D0006" w:rsidRPr="00BC3468" w:rsidRDefault="009D0006" w:rsidP="00B344E3">
            <w:pPr>
              <w:pStyle w:val="Tabletext"/>
            </w:pPr>
            <w:r>
              <w:t>70.4</w:t>
            </w:r>
          </w:p>
        </w:tc>
      </w:tr>
    </w:tbl>
    <w:p w14:paraId="0619A2E5" w14:textId="77777777" w:rsidR="009D0006" w:rsidRDefault="009D0006" w:rsidP="00B344E3">
      <w:pPr>
        <w:pStyle w:val="Tableheading"/>
      </w:pPr>
      <w:r>
        <w:t>Table 126.3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568D57F" w14:textId="77777777" w:rsidTr="00B344E3">
        <w:trPr>
          <w:cnfStyle w:val="100000000000" w:firstRow="1" w:lastRow="0" w:firstColumn="0" w:lastColumn="0" w:oddVBand="0" w:evenVBand="0" w:oddHBand="0" w:evenHBand="0" w:firstRowFirstColumn="0" w:firstRowLastColumn="0" w:lastRowFirstColumn="0" w:lastRowLastColumn="0"/>
          <w:trHeight w:val="334"/>
        </w:trPr>
        <w:tc>
          <w:tcPr>
            <w:tcW w:w="6746" w:type="dxa"/>
            <w:noWrap/>
            <w:hideMark/>
          </w:tcPr>
          <w:p w14:paraId="208AEDA8" w14:textId="77777777" w:rsidR="009D0006" w:rsidRPr="00BC3468" w:rsidRDefault="009D0006" w:rsidP="00B344E3">
            <w:pPr>
              <w:pStyle w:val="Tableheader"/>
            </w:pPr>
            <w:r w:rsidRPr="00030452">
              <w:t>Psychological distress</w:t>
            </w:r>
          </w:p>
        </w:tc>
        <w:tc>
          <w:tcPr>
            <w:tcW w:w="1559" w:type="dxa"/>
          </w:tcPr>
          <w:p w14:paraId="0CCBFDEE" w14:textId="77777777" w:rsidR="009D0006" w:rsidRPr="0076151C" w:rsidRDefault="009D0006" w:rsidP="00B344E3">
            <w:pPr>
              <w:pStyle w:val="Tableheader"/>
              <w:rPr>
                <w:bCs/>
              </w:rPr>
            </w:pPr>
            <w:r w:rsidRPr="0076151C">
              <w:rPr>
                <w:bCs/>
              </w:rPr>
              <w:t>n</w:t>
            </w:r>
          </w:p>
        </w:tc>
        <w:tc>
          <w:tcPr>
            <w:tcW w:w="1559" w:type="dxa"/>
          </w:tcPr>
          <w:p w14:paraId="08D95A46" w14:textId="77777777" w:rsidR="009D0006" w:rsidRPr="0076151C" w:rsidRDefault="009D0006" w:rsidP="00B344E3">
            <w:pPr>
              <w:pStyle w:val="Tableheader"/>
              <w:rPr>
                <w:bCs/>
              </w:rPr>
            </w:pPr>
            <w:r w:rsidRPr="0076151C">
              <w:rPr>
                <w:bCs/>
              </w:rPr>
              <w:t>%</w:t>
            </w:r>
          </w:p>
        </w:tc>
      </w:tr>
      <w:tr w:rsidR="009D0006" w:rsidRPr="00BC3468" w14:paraId="3CD00ECC" w14:textId="77777777" w:rsidTr="00B344E3">
        <w:trPr>
          <w:cnfStyle w:val="000000100000" w:firstRow="0" w:lastRow="0" w:firstColumn="0" w:lastColumn="0" w:oddVBand="0" w:evenVBand="0" w:oddHBand="1" w:evenHBand="0" w:firstRowFirstColumn="0" w:firstRowLastColumn="0" w:lastRowFirstColumn="0" w:lastRowLastColumn="0"/>
          <w:trHeight w:val="169"/>
        </w:trPr>
        <w:tc>
          <w:tcPr>
            <w:tcW w:w="6746" w:type="dxa"/>
            <w:noWrap/>
            <w:hideMark/>
          </w:tcPr>
          <w:p w14:paraId="71D3271A" w14:textId="77777777" w:rsidR="009D0006" w:rsidRPr="00BC3468" w:rsidRDefault="009D0006" w:rsidP="00B344E3">
            <w:pPr>
              <w:pStyle w:val="Tabletext"/>
            </w:pPr>
            <w:r>
              <w:t>Low or medium</w:t>
            </w:r>
          </w:p>
        </w:tc>
        <w:tc>
          <w:tcPr>
            <w:tcW w:w="1559" w:type="dxa"/>
          </w:tcPr>
          <w:p w14:paraId="4C8FF29A" w14:textId="77777777" w:rsidR="009D0006" w:rsidRPr="00BC3468" w:rsidRDefault="009D0006" w:rsidP="00B344E3">
            <w:pPr>
              <w:pStyle w:val="Tabletext"/>
            </w:pPr>
            <w:r>
              <w:t>120</w:t>
            </w:r>
          </w:p>
        </w:tc>
        <w:tc>
          <w:tcPr>
            <w:tcW w:w="1559" w:type="dxa"/>
          </w:tcPr>
          <w:p w14:paraId="495AD5FC" w14:textId="77777777" w:rsidR="009D0006" w:rsidRPr="00BC3468" w:rsidRDefault="009D0006" w:rsidP="00B344E3">
            <w:pPr>
              <w:pStyle w:val="Tabletext"/>
            </w:pPr>
            <w:r>
              <w:t>19.3</w:t>
            </w:r>
          </w:p>
        </w:tc>
      </w:tr>
      <w:tr w:rsidR="009D0006" w:rsidRPr="00BC3468" w14:paraId="66F51054" w14:textId="77777777" w:rsidTr="00B344E3">
        <w:trPr>
          <w:cnfStyle w:val="000000010000" w:firstRow="0" w:lastRow="0" w:firstColumn="0" w:lastColumn="0" w:oddVBand="0" w:evenVBand="0" w:oddHBand="0" w:evenHBand="1" w:firstRowFirstColumn="0" w:firstRowLastColumn="0" w:lastRowFirstColumn="0" w:lastRowLastColumn="0"/>
          <w:trHeight w:val="169"/>
        </w:trPr>
        <w:tc>
          <w:tcPr>
            <w:tcW w:w="6746" w:type="dxa"/>
            <w:noWrap/>
            <w:hideMark/>
          </w:tcPr>
          <w:p w14:paraId="14D47151" w14:textId="77777777" w:rsidR="009D0006" w:rsidRPr="00BC3468" w:rsidRDefault="009D0006" w:rsidP="00B344E3">
            <w:pPr>
              <w:pStyle w:val="Tabletext"/>
            </w:pPr>
            <w:r>
              <w:t>High or very high</w:t>
            </w:r>
          </w:p>
        </w:tc>
        <w:tc>
          <w:tcPr>
            <w:tcW w:w="1559" w:type="dxa"/>
          </w:tcPr>
          <w:p w14:paraId="350BF5A9" w14:textId="77777777" w:rsidR="009D0006" w:rsidRPr="00BC3468" w:rsidRDefault="009D0006" w:rsidP="00B344E3">
            <w:pPr>
              <w:pStyle w:val="Tabletext"/>
            </w:pPr>
            <w:r>
              <w:t>503</w:t>
            </w:r>
          </w:p>
        </w:tc>
        <w:tc>
          <w:tcPr>
            <w:tcW w:w="1559" w:type="dxa"/>
          </w:tcPr>
          <w:p w14:paraId="26DC27F1" w14:textId="77777777" w:rsidR="009D0006" w:rsidRPr="00BC3468" w:rsidRDefault="009D0006" w:rsidP="00B344E3">
            <w:pPr>
              <w:pStyle w:val="Tabletext"/>
            </w:pPr>
            <w:r>
              <w:t>80.7</w:t>
            </w:r>
          </w:p>
        </w:tc>
      </w:tr>
    </w:tbl>
    <w:p w14:paraId="6280672A" w14:textId="77777777" w:rsidR="009D0006" w:rsidRDefault="009D0006" w:rsidP="00B344E3">
      <w:pPr>
        <w:pStyle w:val="Tableheading"/>
      </w:pPr>
      <w:r>
        <w:t>Table 126.4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F441F00" w14:textId="77777777" w:rsidTr="00B344E3">
        <w:trPr>
          <w:cnfStyle w:val="100000000000" w:firstRow="1" w:lastRow="0" w:firstColumn="0" w:lastColumn="0" w:oddVBand="0" w:evenVBand="0" w:oddHBand="0" w:evenHBand="0" w:firstRowFirstColumn="0" w:firstRowLastColumn="0" w:lastRowFirstColumn="0" w:lastRowLastColumn="0"/>
          <w:trHeight w:val="291"/>
        </w:trPr>
        <w:tc>
          <w:tcPr>
            <w:tcW w:w="6746" w:type="dxa"/>
            <w:noWrap/>
            <w:hideMark/>
          </w:tcPr>
          <w:p w14:paraId="7302B1BD" w14:textId="77777777" w:rsidR="009D0006" w:rsidRPr="00BC3468" w:rsidRDefault="009D0006" w:rsidP="00B344E3">
            <w:pPr>
              <w:pStyle w:val="Tableheader"/>
            </w:pPr>
            <w:r w:rsidRPr="00030452">
              <w:t>Psychological distress</w:t>
            </w:r>
          </w:p>
        </w:tc>
        <w:tc>
          <w:tcPr>
            <w:tcW w:w="1559" w:type="dxa"/>
            <w:noWrap/>
            <w:hideMark/>
          </w:tcPr>
          <w:p w14:paraId="496986B0" w14:textId="77777777" w:rsidR="009D0006" w:rsidRPr="0076151C" w:rsidRDefault="009D0006" w:rsidP="00B344E3">
            <w:pPr>
              <w:pStyle w:val="Tableheader"/>
              <w:rPr>
                <w:bCs/>
              </w:rPr>
            </w:pPr>
            <w:r w:rsidRPr="0076151C">
              <w:rPr>
                <w:bCs/>
              </w:rPr>
              <w:t>n</w:t>
            </w:r>
          </w:p>
        </w:tc>
        <w:tc>
          <w:tcPr>
            <w:tcW w:w="1559" w:type="dxa"/>
            <w:noWrap/>
            <w:hideMark/>
          </w:tcPr>
          <w:p w14:paraId="7060DE7C" w14:textId="77777777" w:rsidR="009D0006" w:rsidRPr="0076151C" w:rsidRDefault="009D0006" w:rsidP="00B344E3">
            <w:pPr>
              <w:pStyle w:val="Tableheader"/>
              <w:rPr>
                <w:bCs/>
              </w:rPr>
            </w:pPr>
            <w:r w:rsidRPr="0076151C">
              <w:rPr>
                <w:bCs/>
              </w:rPr>
              <w:t>%</w:t>
            </w:r>
          </w:p>
        </w:tc>
      </w:tr>
      <w:tr w:rsidR="009D0006" w:rsidRPr="00BC3468" w14:paraId="169AE43F" w14:textId="77777777" w:rsidTr="00B344E3">
        <w:trPr>
          <w:cnfStyle w:val="000000100000" w:firstRow="0" w:lastRow="0" w:firstColumn="0" w:lastColumn="0" w:oddVBand="0" w:evenVBand="0" w:oddHBand="1" w:evenHBand="0" w:firstRowFirstColumn="0" w:firstRowLastColumn="0" w:lastRowFirstColumn="0" w:lastRowLastColumn="0"/>
          <w:trHeight w:val="147"/>
        </w:trPr>
        <w:tc>
          <w:tcPr>
            <w:tcW w:w="6746" w:type="dxa"/>
            <w:noWrap/>
            <w:hideMark/>
          </w:tcPr>
          <w:p w14:paraId="036628D5" w14:textId="77777777" w:rsidR="009D0006" w:rsidRPr="00BC3468" w:rsidRDefault="009D0006" w:rsidP="00B344E3">
            <w:pPr>
              <w:pStyle w:val="Tabletext"/>
            </w:pPr>
            <w:r>
              <w:t>Low or medium</w:t>
            </w:r>
          </w:p>
        </w:tc>
        <w:tc>
          <w:tcPr>
            <w:tcW w:w="1559" w:type="dxa"/>
            <w:noWrap/>
          </w:tcPr>
          <w:p w14:paraId="01392117" w14:textId="77777777" w:rsidR="009D0006" w:rsidRPr="00BC3468" w:rsidRDefault="009D0006" w:rsidP="00B344E3">
            <w:pPr>
              <w:pStyle w:val="Tabletext"/>
            </w:pPr>
            <w:r>
              <w:t>32</w:t>
            </w:r>
          </w:p>
        </w:tc>
        <w:tc>
          <w:tcPr>
            <w:tcW w:w="1559" w:type="dxa"/>
            <w:noWrap/>
          </w:tcPr>
          <w:p w14:paraId="07B71B31" w14:textId="77777777" w:rsidR="009D0006" w:rsidRPr="00BC3468" w:rsidRDefault="009D0006" w:rsidP="00B344E3">
            <w:pPr>
              <w:pStyle w:val="Tabletext"/>
            </w:pPr>
            <w:r>
              <w:t>11.8</w:t>
            </w:r>
          </w:p>
        </w:tc>
      </w:tr>
      <w:tr w:rsidR="009D0006" w:rsidRPr="00BC3468" w14:paraId="22C39F15" w14:textId="77777777" w:rsidTr="00B344E3">
        <w:trPr>
          <w:cnfStyle w:val="000000010000" w:firstRow="0" w:lastRow="0" w:firstColumn="0" w:lastColumn="0" w:oddVBand="0" w:evenVBand="0" w:oddHBand="0" w:evenHBand="1" w:firstRowFirstColumn="0" w:firstRowLastColumn="0" w:lastRowFirstColumn="0" w:lastRowLastColumn="0"/>
          <w:trHeight w:val="147"/>
        </w:trPr>
        <w:tc>
          <w:tcPr>
            <w:tcW w:w="6746" w:type="dxa"/>
            <w:noWrap/>
            <w:hideMark/>
          </w:tcPr>
          <w:p w14:paraId="4F3301C4" w14:textId="77777777" w:rsidR="009D0006" w:rsidRPr="00BC3468" w:rsidRDefault="009D0006" w:rsidP="00B344E3">
            <w:pPr>
              <w:pStyle w:val="Tabletext"/>
            </w:pPr>
            <w:r>
              <w:t>High or very high</w:t>
            </w:r>
          </w:p>
        </w:tc>
        <w:tc>
          <w:tcPr>
            <w:tcW w:w="1559" w:type="dxa"/>
            <w:noWrap/>
          </w:tcPr>
          <w:p w14:paraId="72D79939" w14:textId="77777777" w:rsidR="009D0006" w:rsidRPr="00BC3468" w:rsidRDefault="009D0006" w:rsidP="00B344E3">
            <w:pPr>
              <w:pStyle w:val="Tabletext"/>
            </w:pPr>
            <w:r>
              <w:t>240</w:t>
            </w:r>
          </w:p>
        </w:tc>
        <w:tc>
          <w:tcPr>
            <w:tcW w:w="1559" w:type="dxa"/>
            <w:noWrap/>
          </w:tcPr>
          <w:p w14:paraId="541E2022" w14:textId="77777777" w:rsidR="009D0006" w:rsidRPr="00BC3468" w:rsidRDefault="009D0006" w:rsidP="00B344E3">
            <w:pPr>
              <w:pStyle w:val="Tabletext"/>
            </w:pPr>
            <w:r>
              <w:t>88.2</w:t>
            </w:r>
          </w:p>
        </w:tc>
      </w:tr>
    </w:tbl>
    <w:p w14:paraId="45BA9D3B" w14:textId="77777777" w:rsidR="009D0006" w:rsidRDefault="009D0006" w:rsidP="00B15BAC">
      <w:pPr>
        <w:pStyle w:val="Tableheading"/>
      </w:pPr>
      <w:r>
        <w:t>Table 126.5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EC93C47" w14:textId="77777777" w:rsidTr="00650B64">
        <w:trPr>
          <w:cnfStyle w:val="100000000000" w:firstRow="1" w:lastRow="0" w:firstColumn="0" w:lastColumn="0" w:oddVBand="0" w:evenVBand="0" w:oddHBand="0" w:evenHBand="0" w:firstRowFirstColumn="0" w:firstRowLastColumn="0" w:lastRowFirstColumn="0" w:lastRowLastColumn="0"/>
          <w:trHeight w:val="222"/>
          <w:tblHeader/>
        </w:trPr>
        <w:tc>
          <w:tcPr>
            <w:tcW w:w="6746" w:type="dxa"/>
            <w:noWrap/>
            <w:hideMark/>
          </w:tcPr>
          <w:p w14:paraId="232EA78B" w14:textId="77777777" w:rsidR="009D0006" w:rsidRPr="00BC3468" w:rsidRDefault="009D0006" w:rsidP="00B15BAC">
            <w:pPr>
              <w:pStyle w:val="Tableheader"/>
            </w:pPr>
            <w:r w:rsidRPr="00030452">
              <w:t>Psychological distress</w:t>
            </w:r>
          </w:p>
        </w:tc>
        <w:tc>
          <w:tcPr>
            <w:tcW w:w="1559" w:type="dxa"/>
            <w:noWrap/>
            <w:hideMark/>
          </w:tcPr>
          <w:p w14:paraId="4FDE416F" w14:textId="77777777" w:rsidR="009D0006" w:rsidRPr="0076151C" w:rsidRDefault="009D0006" w:rsidP="00B15BAC">
            <w:pPr>
              <w:pStyle w:val="Tableheader"/>
              <w:rPr>
                <w:bCs/>
              </w:rPr>
            </w:pPr>
            <w:r w:rsidRPr="0076151C">
              <w:rPr>
                <w:bCs/>
              </w:rPr>
              <w:t>n</w:t>
            </w:r>
          </w:p>
        </w:tc>
        <w:tc>
          <w:tcPr>
            <w:tcW w:w="1559" w:type="dxa"/>
            <w:noWrap/>
            <w:hideMark/>
          </w:tcPr>
          <w:p w14:paraId="1C81132C" w14:textId="77777777" w:rsidR="009D0006" w:rsidRPr="0076151C" w:rsidRDefault="009D0006" w:rsidP="00B15BAC">
            <w:pPr>
              <w:pStyle w:val="Tableheader"/>
              <w:rPr>
                <w:bCs/>
              </w:rPr>
            </w:pPr>
            <w:r w:rsidRPr="0076151C">
              <w:rPr>
                <w:bCs/>
              </w:rPr>
              <w:t>%</w:t>
            </w:r>
          </w:p>
        </w:tc>
      </w:tr>
      <w:tr w:rsidR="009D0006" w:rsidRPr="00BC3468" w14:paraId="33F23073" w14:textId="77777777" w:rsidTr="00B15BAC">
        <w:trPr>
          <w:cnfStyle w:val="000000100000" w:firstRow="0" w:lastRow="0" w:firstColumn="0" w:lastColumn="0" w:oddVBand="0" w:evenVBand="0" w:oddHBand="1" w:evenHBand="0" w:firstRowFirstColumn="0" w:firstRowLastColumn="0" w:lastRowFirstColumn="0" w:lastRowLastColumn="0"/>
          <w:trHeight w:val="113"/>
        </w:trPr>
        <w:tc>
          <w:tcPr>
            <w:tcW w:w="6746" w:type="dxa"/>
            <w:noWrap/>
            <w:hideMark/>
          </w:tcPr>
          <w:p w14:paraId="291A3999" w14:textId="77777777" w:rsidR="009D0006" w:rsidRPr="00BC3468" w:rsidRDefault="009D0006" w:rsidP="00B15BAC">
            <w:pPr>
              <w:pStyle w:val="Tabletext"/>
            </w:pPr>
            <w:r>
              <w:t>Low or medium</w:t>
            </w:r>
          </w:p>
        </w:tc>
        <w:tc>
          <w:tcPr>
            <w:tcW w:w="1559" w:type="dxa"/>
            <w:noWrap/>
          </w:tcPr>
          <w:p w14:paraId="6E207932" w14:textId="77777777" w:rsidR="009D0006" w:rsidRPr="00BC3468" w:rsidRDefault="009D0006" w:rsidP="00B15BAC">
            <w:pPr>
              <w:pStyle w:val="Tabletext"/>
            </w:pPr>
            <w:r>
              <w:t>77</w:t>
            </w:r>
          </w:p>
        </w:tc>
        <w:tc>
          <w:tcPr>
            <w:tcW w:w="1559" w:type="dxa"/>
            <w:noWrap/>
          </w:tcPr>
          <w:p w14:paraId="6ED67277" w14:textId="77777777" w:rsidR="009D0006" w:rsidRPr="00BC3468" w:rsidRDefault="009D0006" w:rsidP="00B15BAC">
            <w:pPr>
              <w:pStyle w:val="Tabletext"/>
            </w:pPr>
            <w:r>
              <w:t>18.2</w:t>
            </w:r>
          </w:p>
        </w:tc>
      </w:tr>
      <w:tr w:rsidR="009D0006" w:rsidRPr="00BC3468" w14:paraId="63A98F76" w14:textId="77777777" w:rsidTr="00B15BAC">
        <w:trPr>
          <w:cnfStyle w:val="000000010000" w:firstRow="0" w:lastRow="0" w:firstColumn="0" w:lastColumn="0" w:oddVBand="0" w:evenVBand="0" w:oddHBand="0" w:evenHBand="1" w:firstRowFirstColumn="0" w:firstRowLastColumn="0" w:lastRowFirstColumn="0" w:lastRowLastColumn="0"/>
          <w:trHeight w:val="113"/>
        </w:trPr>
        <w:tc>
          <w:tcPr>
            <w:tcW w:w="6746" w:type="dxa"/>
            <w:noWrap/>
            <w:hideMark/>
          </w:tcPr>
          <w:p w14:paraId="6D3970EF" w14:textId="77777777" w:rsidR="009D0006" w:rsidRPr="00BC3468" w:rsidRDefault="009D0006" w:rsidP="00B15BAC">
            <w:pPr>
              <w:pStyle w:val="Tabletext"/>
            </w:pPr>
            <w:r>
              <w:t>High or ve</w:t>
            </w:r>
            <w:r>
              <w:lastRenderedPageBreak/>
              <w:t>ry high</w:t>
            </w:r>
          </w:p>
        </w:tc>
        <w:tc>
          <w:tcPr>
            <w:tcW w:w="1559" w:type="dxa"/>
            <w:noWrap/>
          </w:tcPr>
          <w:p w14:paraId="4FAE73C3" w14:textId="77777777" w:rsidR="009D0006" w:rsidRPr="00BC3468" w:rsidRDefault="009D0006" w:rsidP="00B15BAC">
            <w:pPr>
              <w:pStyle w:val="Tabletext"/>
            </w:pPr>
            <w:r>
              <w:t>347</w:t>
            </w:r>
          </w:p>
        </w:tc>
        <w:tc>
          <w:tcPr>
            <w:tcW w:w="1559" w:type="dxa"/>
            <w:noWrap/>
          </w:tcPr>
          <w:p w14:paraId="729BF241" w14:textId="77777777" w:rsidR="009D0006" w:rsidRPr="00BC3468" w:rsidRDefault="009D0006" w:rsidP="00B15BAC">
            <w:pPr>
              <w:pStyle w:val="Tabletext"/>
            </w:pPr>
            <w:r>
              <w:t>81.8</w:t>
            </w:r>
          </w:p>
        </w:tc>
      </w:tr>
    </w:tbl>
    <w:p w14:paraId="7AF198C6" w14:textId="77777777" w:rsidR="009D0006" w:rsidRDefault="009D0006" w:rsidP="00B15BAC">
      <w:pPr>
        <w:pStyle w:val="Tableheading"/>
      </w:pPr>
      <w:r>
        <w:t>Table 126.6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9B35F6B" w14:textId="77777777" w:rsidTr="00B15BAC">
        <w:trPr>
          <w:cnfStyle w:val="100000000000" w:firstRow="1" w:lastRow="0" w:firstColumn="0" w:lastColumn="0" w:oddVBand="0" w:evenVBand="0" w:oddHBand="0" w:evenHBand="0" w:firstRowFirstColumn="0" w:firstRowLastColumn="0" w:lastRowFirstColumn="0" w:lastRowLastColumn="0"/>
          <w:trHeight w:val="292"/>
        </w:trPr>
        <w:tc>
          <w:tcPr>
            <w:tcW w:w="6746" w:type="dxa"/>
            <w:noWrap/>
            <w:hideMark/>
          </w:tcPr>
          <w:p w14:paraId="217EEE40" w14:textId="77777777" w:rsidR="009D0006" w:rsidRPr="00BC3468" w:rsidRDefault="009D0006" w:rsidP="00B15BAC">
            <w:pPr>
              <w:pStyle w:val="Tableheader"/>
            </w:pPr>
            <w:r w:rsidRPr="00030452">
              <w:t>Psychological distress</w:t>
            </w:r>
          </w:p>
        </w:tc>
        <w:tc>
          <w:tcPr>
            <w:tcW w:w="1559" w:type="dxa"/>
            <w:noWrap/>
            <w:hideMark/>
          </w:tcPr>
          <w:p w14:paraId="1D86CCB7" w14:textId="77777777" w:rsidR="009D0006" w:rsidRPr="0076151C" w:rsidRDefault="009D0006" w:rsidP="00B15BAC">
            <w:pPr>
              <w:pStyle w:val="Tableheader"/>
              <w:rPr>
                <w:bCs/>
              </w:rPr>
            </w:pPr>
            <w:r w:rsidRPr="0076151C">
              <w:rPr>
                <w:bCs/>
              </w:rPr>
              <w:t>n</w:t>
            </w:r>
          </w:p>
        </w:tc>
        <w:tc>
          <w:tcPr>
            <w:tcW w:w="1559" w:type="dxa"/>
            <w:noWrap/>
            <w:hideMark/>
          </w:tcPr>
          <w:p w14:paraId="57685C8D" w14:textId="77777777" w:rsidR="009D0006" w:rsidRPr="0076151C" w:rsidRDefault="009D0006" w:rsidP="00B15BAC">
            <w:pPr>
              <w:pStyle w:val="Tableheader"/>
              <w:rPr>
                <w:bCs/>
              </w:rPr>
            </w:pPr>
            <w:r w:rsidRPr="0076151C">
              <w:rPr>
                <w:bCs/>
              </w:rPr>
              <w:t>%</w:t>
            </w:r>
          </w:p>
        </w:tc>
      </w:tr>
      <w:tr w:rsidR="009D0006" w:rsidRPr="00BC3468" w14:paraId="502D1346" w14:textId="77777777" w:rsidTr="00B15BAC">
        <w:trPr>
          <w:cnfStyle w:val="000000100000" w:firstRow="0" w:lastRow="0" w:firstColumn="0" w:lastColumn="0" w:oddVBand="0" w:evenVBand="0" w:oddHBand="1" w:evenHBand="0" w:firstRowFirstColumn="0" w:firstRowLastColumn="0" w:lastRowFirstColumn="0" w:lastRowLastColumn="0"/>
          <w:trHeight w:val="148"/>
        </w:trPr>
        <w:tc>
          <w:tcPr>
            <w:tcW w:w="6746" w:type="dxa"/>
            <w:noWrap/>
            <w:hideMark/>
          </w:tcPr>
          <w:p w14:paraId="51606FAD" w14:textId="77777777" w:rsidR="009D0006" w:rsidRPr="00BC3468" w:rsidRDefault="009D0006" w:rsidP="00B15BAC">
            <w:pPr>
              <w:pStyle w:val="Tabletext"/>
            </w:pPr>
            <w:r>
              <w:t>Low or medium</w:t>
            </w:r>
          </w:p>
        </w:tc>
        <w:tc>
          <w:tcPr>
            <w:tcW w:w="1559" w:type="dxa"/>
            <w:noWrap/>
          </w:tcPr>
          <w:p w14:paraId="7BA91796" w14:textId="77777777" w:rsidR="009D0006" w:rsidRPr="00BC3468" w:rsidRDefault="009D0006" w:rsidP="00B15BAC">
            <w:pPr>
              <w:pStyle w:val="Tabletext"/>
            </w:pPr>
            <w:r>
              <w:t>25</w:t>
            </w:r>
          </w:p>
        </w:tc>
        <w:tc>
          <w:tcPr>
            <w:tcW w:w="1559" w:type="dxa"/>
            <w:noWrap/>
          </w:tcPr>
          <w:p w14:paraId="20FACA3C" w14:textId="77777777" w:rsidR="009D0006" w:rsidRPr="00BC3468" w:rsidRDefault="009D0006" w:rsidP="00B15BAC">
            <w:pPr>
              <w:pStyle w:val="Tabletext"/>
            </w:pPr>
            <w:r>
              <w:t>20.2</w:t>
            </w:r>
          </w:p>
        </w:tc>
      </w:tr>
      <w:tr w:rsidR="009D0006" w:rsidRPr="00BC3468" w14:paraId="53A514B7" w14:textId="77777777" w:rsidTr="00B15BAC">
        <w:trPr>
          <w:cnfStyle w:val="000000010000" w:firstRow="0" w:lastRow="0" w:firstColumn="0" w:lastColumn="0" w:oddVBand="0" w:evenVBand="0" w:oddHBand="0" w:evenHBand="1" w:firstRowFirstColumn="0" w:firstRowLastColumn="0" w:lastRowFirstColumn="0" w:lastRowLastColumn="0"/>
          <w:trHeight w:val="148"/>
        </w:trPr>
        <w:tc>
          <w:tcPr>
            <w:tcW w:w="6746" w:type="dxa"/>
            <w:noWrap/>
            <w:hideMark/>
          </w:tcPr>
          <w:p w14:paraId="6C493619" w14:textId="77777777" w:rsidR="009D0006" w:rsidRPr="00BC3468" w:rsidRDefault="009D0006" w:rsidP="00B15BAC">
            <w:pPr>
              <w:pStyle w:val="Tabletext"/>
            </w:pPr>
            <w:r>
              <w:t>High or very high</w:t>
            </w:r>
          </w:p>
        </w:tc>
        <w:tc>
          <w:tcPr>
            <w:tcW w:w="1559" w:type="dxa"/>
            <w:noWrap/>
          </w:tcPr>
          <w:p w14:paraId="4FAD5CD6" w14:textId="77777777" w:rsidR="009D0006" w:rsidRPr="00BC3468" w:rsidRDefault="009D0006" w:rsidP="00B15BAC">
            <w:pPr>
              <w:pStyle w:val="Tabletext"/>
            </w:pPr>
            <w:r>
              <w:t>99</w:t>
            </w:r>
          </w:p>
        </w:tc>
        <w:tc>
          <w:tcPr>
            <w:tcW w:w="1559" w:type="dxa"/>
            <w:noWrap/>
          </w:tcPr>
          <w:p w14:paraId="48CF4C0B" w14:textId="77777777" w:rsidR="009D0006" w:rsidRPr="00BC3468" w:rsidRDefault="009D0006" w:rsidP="00B15BAC">
            <w:pPr>
              <w:pStyle w:val="Tabletext"/>
            </w:pPr>
            <w:r>
              <w:t>79.8</w:t>
            </w:r>
          </w:p>
        </w:tc>
      </w:tr>
    </w:tbl>
    <w:p w14:paraId="7F189EB2" w14:textId="77777777" w:rsidR="009D0006" w:rsidRDefault="009D0006" w:rsidP="00B15BAC">
      <w:pPr>
        <w:pStyle w:val="Tableheading"/>
      </w:pPr>
      <w:r>
        <w:t>Table 126.7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DB8C1A9" w14:textId="77777777" w:rsidTr="00B15BAC">
        <w:trPr>
          <w:cnfStyle w:val="100000000000" w:firstRow="1" w:lastRow="0" w:firstColumn="0" w:lastColumn="0" w:oddVBand="0" w:evenVBand="0" w:oddHBand="0" w:evenHBand="0" w:firstRowFirstColumn="0" w:firstRowLastColumn="0" w:lastRowFirstColumn="0" w:lastRowLastColumn="0"/>
          <w:trHeight w:val="254"/>
        </w:trPr>
        <w:tc>
          <w:tcPr>
            <w:tcW w:w="6746" w:type="dxa"/>
            <w:noWrap/>
            <w:hideMark/>
          </w:tcPr>
          <w:p w14:paraId="6E8D1A48" w14:textId="77777777" w:rsidR="009D0006" w:rsidRPr="00BC3468" w:rsidRDefault="009D0006" w:rsidP="00B15BAC">
            <w:pPr>
              <w:pStyle w:val="Tableheader"/>
            </w:pPr>
            <w:r w:rsidRPr="00030452">
              <w:t>Psychological distress</w:t>
            </w:r>
          </w:p>
        </w:tc>
        <w:tc>
          <w:tcPr>
            <w:tcW w:w="1559" w:type="dxa"/>
          </w:tcPr>
          <w:p w14:paraId="363633AB" w14:textId="77777777" w:rsidR="009D0006" w:rsidRPr="0076151C" w:rsidRDefault="009D0006" w:rsidP="00B15BAC">
            <w:pPr>
              <w:pStyle w:val="Tableheader"/>
              <w:rPr>
                <w:bCs/>
              </w:rPr>
            </w:pPr>
            <w:r w:rsidRPr="0076151C">
              <w:rPr>
                <w:bCs/>
              </w:rPr>
              <w:t>n</w:t>
            </w:r>
          </w:p>
        </w:tc>
        <w:tc>
          <w:tcPr>
            <w:tcW w:w="1559" w:type="dxa"/>
          </w:tcPr>
          <w:p w14:paraId="5868F62B" w14:textId="77777777" w:rsidR="009D0006" w:rsidRPr="0076151C" w:rsidRDefault="009D0006" w:rsidP="00B15BAC">
            <w:pPr>
              <w:pStyle w:val="Tableheader"/>
              <w:rPr>
                <w:bCs/>
              </w:rPr>
            </w:pPr>
            <w:r w:rsidRPr="0076151C">
              <w:rPr>
                <w:bCs/>
              </w:rPr>
              <w:t>%</w:t>
            </w:r>
          </w:p>
        </w:tc>
      </w:tr>
      <w:tr w:rsidR="009D0006" w:rsidRPr="00BC3468" w14:paraId="36F4DE38" w14:textId="77777777" w:rsidTr="00B15BAC">
        <w:trPr>
          <w:cnfStyle w:val="000000100000" w:firstRow="0" w:lastRow="0" w:firstColumn="0" w:lastColumn="0" w:oddVBand="0" w:evenVBand="0" w:oddHBand="1" w:evenHBand="0" w:firstRowFirstColumn="0" w:firstRowLastColumn="0" w:lastRowFirstColumn="0" w:lastRowLastColumn="0"/>
          <w:trHeight w:val="128"/>
        </w:trPr>
        <w:tc>
          <w:tcPr>
            <w:tcW w:w="6746" w:type="dxa"/>
            <w:noWrap/>
            <w:hideMark/>
          </w:tcPr>
          <w:p w14:paraId="43EA5BC4" w14:textId="77777777" w:rsidR="009D0006" w:rsidRPr="00BC3468" w:rsidRDefault="009D0006" w:rsidP="00B15BAC">
            <w:pPr>
              <w:pStyle w:val="Tabletext"/>
            </w:pPr>
            <w:r>
              <w:t>Low or medium</w:t>
            </w:r>
          </w:p>
        </w:tc>
        <w:tc>
          <w:tcPr>
            <w:tcW w:w="1559" w:type="dxa"/>
          </w:tcPr>
          <w:p w14:paraId="10CF5336" w14:textId="77777777" w:rsidR="009D0006" w:rsidRPr="00BC3468" w:rsidRDefault="009D0006" w:rsidP="00B15BAC">
            <w:pPr>
              <w:pStyle w:val="Tabletext"/>
            </w:pPr>
            <w:r>
              <w:t>43</w:t>
            </w:r>
          </w:p>
        </w:tc>
        <w:tc>
          <w:tcPr>
            <w:tcW w:w="1559" w:type="dxa"/>
          </w:tcPr>
          <w:p w14:paraId="7CB7EC65" w14:textId="77777777" w:rsidR="009D0006" w:rsidRPr="00BC3468" w:rsidRDefault="009D0006" w:rsidP="00B15BAC">
            <w:pPr>
              <w:pStyle w:val="Tabletext"/>
            </w:pPr>
            <w:r>
              <w:t>20.7</w:t>
            </w:r>
          </w:p>
        </w:tc>
      </w:tr>
      <w:tr w:rsidR="009D0006" w:rsidRPr="00BC3468" w14:paraId="1603387C" w14:textId="77777777" w:rsidTr="00B15BAC">
        <w:trPr>
          <w:cnfStyle w:val="000000010000" w:firstRow="0" w:lastRow="0" w:firstColumn="0" w:lastColumn="0" w:oddVBand="0" w:evenVBand="0" w:oddHBand="0" w:evenHBand="1" w:firstRowFirstColumn="0" w:firstRowLastColumn="0" w:lastRowFirstColumn="0" w:lastRowLastColumn="0"/>
          <w:trHeight w:val="128"/>
        </w:trPr>
        <w:tc>
          <w:tcPr>
            <w:tcW w:w="6746" w:type="dxa"/>
            <w:noWrap/>
            <w:hideMark/>
          </w:tcPr>
          <w:p w14:paraId="6AFDEA2D" w14:textId="77777777" w:rsidR="009D0006" w:rsidRPr="00BC3468" w:rsidRDefault="009D0006" w:rsidP="00B15BAC">
            <w:pPr>
              <w:pStyle w:val="Tabletext"/>
            </w:pPr>
            <w:r>
              <w:t>High or very high</w:t>
            </w:r>
          </w:p>
        </w:tc>
        <w:tc>
          <w:tcPr>
            <w:tcW w:w="1559" w:type="dxa"/>
          </w:tcPr>
          <w:p w14:paraId="2A0DA667" w14:textId="77777777" w:rsidR="009D0006" w:rsidRPr="00BC3468" w:rsidRDefault="009D0006" w:rsidP="00B15BAC">
            <w:pPr>
              <w:pStyle w:val="Tabletext"/>
            </w:pPr>
            <w:r>
              <w:t>165</w:t>
            </w:r>
          </w:p>
        </w:tc>
        <w:tc>
          <w:tcPr>
            <w:tcW w:w="1559" w:type="dxa"/>
          </w:tcPr>
          <w:p w14:paraId="68B5802D" w14:textId="77777777" w:rsidR="009D0006" w:rsidRPr="00BC3468" w:rsidRDefault="009D0006" w:rsidP="00B15BAC">
            <w:pPr>
              <w:pStyle w:val="Tabletext"/>
            </w:pPr>
            <w:r>
              <w:t>79.3</w:t>
            </w:r>
          </w:p>
        </w:tc>
      </w:tr>
    </w:tbl>
    <w:p w14:paraId="149AA35F" w14:textId="77777777" w:rsidR="009D0006" w:rsidRDefault="009D0006" w:rsidP="00AB4A74">
      <w:pPr>
        <w:spacing w:before="360"/>
      </w:pPr>
      <w:r>
        <w:t>As displayed in Tables 126.1-126.7, most</w:t>
      </w:r>
      <w:r w:rsidRPr="003271DA">
        <w:t xml:space="preserve"> participants with disability in </w:t>
      </w:r>
      <w:r>
        <w:rPr>
          <w:i/>
          <w:iCs/>
        </w:rPr>
        <w:t>Private Lives 3</w:t>
      </w:r>
      <w:r>
        <w:t xml:space="preserve"> expressed high or very high levels of psychological distress in the past 4 weeks. Almost 90% of participants who identified as pansexual reported experiencing high or very high psychological distress (88.2%; n = 240), followed by participants who identified as queer (81.8%; n = 347), participants who identified as bisexual (80.7%; n = 503), participants who identified as asexual (79.8%; n = 99), participants who identified as something else (79.3%; n = 165), participants who identified as lesbian (70.8%; n = 351) and participants who identified as gay (70.4%; n = 293).</w:t>
      </w:r>
    </w:p>
    <w:p w14:paraId="0B7A4171" w14:textId="4A48FD2E" w:rsidR="009D0006" w:rsidRPr="00C5739E" w:rsidRDefault="009D0006" w:rsidP="009401DC">
      <w:pPr>
        <w:pStyle w:val="Heading2Numbered"/>
      </w:pPr>
      <w:bookmarkStart w:id="956" w:name="_Toc115968679"/>
      <w:bookmarkStart w:id="957" w:name="_Toc119662487"/>
      <w:r w:rsidRPr="00C5739E">
        <w:t>Experiences of discrimination, harassment and assault</w:t>
      </w:r>
      <w:bookmarkEnd w:id="956"/>
      <w:bookmarkEnd w:id="957"/>
    </w:p>
    <w:p w14:paraId="6C2D3BED" w14:textId="6D25A167" w:rsidR="009D0006" w:rsidRPr="00C5739E" w:rsidRDefault="009D0006" w:rsidP="009401DC">
      <w:pPr>
        <w:pStyle w:val="Heading3Numbered"/>
      </w:pPr>
      <w:bookmarkStart w:id="958" w:name="_Toc115968680"/>
      <w:r>
        <w:t>V</w:t>
      </w:r>
      <w:r w:rsidRPr="00C5739E">
        <w:t>erbal, physical and sexual harassment or assault in the past 12 months – young people aged 14-21 years</w:t>
      </w:r>
      <w:bookmarkEnd w:id="958"/>
    </w:p>
    <w:p w14:paraId="1E60F5ED" w14:textId="77777777" w:rsidR="009D0006" w:rsidRPr="00C5739E" w:rsidRDefault="009D0006" w:rsidP="009D0006">
      <w:r w:rsidRPr="00C5739E">
        <w:t xml:space="preserve">Participants were asked if they had experienced any of the following </w:t>
      </w:r>
      <w:r>
        <w:t xml:space="preserve">forms of </w:t>
      </w:r>
      <w:r w:rsidRPr="00C5739E">
        <w:t>harassment or assault based on their sexuality or gender identity in the past 12 months:</w:t>
      </w:r>
    </w:p>
    <w:p w14:paraId="08C73E46" w14:textId="77777777" w:rsidR="009D0006" w:rsidRPr="00C5739E" w:rsidRDefault="009D0006" w:rsidP="00B15BAC">
      <w:pPr>
        <w:pStyle w:val="Bulletlist"/>
        <w:rPr>
          <w:lang w:val="en-US"/>
        </w:rPr>
      </w:pPr>
      <w:r w:rsidRPr="00C5739E">
        <w:rPr>
          <w:lang w:val="en-US"/>
        </w:rPr>
        <w:t>Verbal (e.g.</w:t>
      </w:r>
      <w:r>
        <w:rPr>
          <w:lang w:val="en-US"/>
        </w:rPr>
        <w:t>,</w:t>
      </w:r>
      <w:r w:rsidRPr="00C5739E">
        <w:rPr>
          <w:lang w:val="en-US"/>
        </w:rPr>
        <w:t xml:space="preserve"> been called names or threatened)</w:t>
      </w:r>
    </w:p>
    <w:p w14:paraId="5EACA73E" w14:textId="77777777" w:rsidR="009D0006" w:rsidRPr="00C5739E" w:rsidRDefault="009D0006" w:rsidP="00B15BAC">
      <w:pPr>
        <w:pStyle w:val="Bulletlist"/>
        <w:rPr>
          <w:lang w:val="en-US"/>
        </w:rPr>
      </w:pPr>
      <w:r w:rsidRPr="00C5739E">
        <w:rPr>
          <w:lang w:val="en-US"/>
        </w:rPr>
        <w:t>Physical (e.g.</w:t>
      </w:r>
      <w:r>
        <w:rPr>
          <w:lang w:val="en-US"/>
        </w:rPr>
        <w:t>,</w:t>
      </w:r>
      <w:r w:rsidRPr="00C5739E">
        <w:rPr>
          <w:lang w:val="en-US"/>
        </w:rPr>
        <w:t xml:space="preserve"> being shoved, punched or injured with a weapon)</w:t>
      </w:r>
    </w:p>
    <w:p w14:paraId="2098EEFC" w14:textId="77777777" w:rsidR="009D0006" w:rsidRDefault="009D0006" w:rsidP="00B15BAC">
      <w:pPr>
        <w:pStyle w:val="Bulletlist"/>
        <w:rPr>
          <w:lang w:val="en-US"/>
        </w:rPr>
      </w:pPr>
      <w:r w:rsidRPr="00C5739E">
        <w:rPr>
          <w:lang w:val="en-US"/>
        </w:rPr>
        <w:t>Sexual (e.g.</w:t>
      </w:r>
      <w:r>
        <w:rPr>
          <w:lang w:val="en-US"/>
        </w:rPr>
        <w:t>,</w:t>
      </w:r>
      <w:r w:rsidRPr="00C5739E">
        <w:rPr>
          <w:lang w:val="en-US"/>
        </w:rPr>
        <w:t xml:space="preserve"> unwanted touching, sexual remarks, sexual messages or being forced to perform any unwanted sexual act)</w:t>
      </w:r>
    </w:p>
    <w:p w14:paraId="2614FDE2" w14:textId="3A383C40" w:rsidR="009D0006" w:rsidRDefault="009D0006" w:rsidP="00B15BAC">
      <w:pPr>
        <w:pStyle w:val="Tableheading"/>
      </w:pPr>
      <w:bookmarkStart w:id="959" w:name="_Toc117062844"/>
      <w:bookmarkStart w:id="960" w:name="_Toc119651529"/>
      <w:r w:rsidRPr="00AE109A">
        <w:rPr>
          <w:bCs/>
        </w:rPr>
        <w:t>Table</w:t>
      </w:r>
      <w:r>
        <w:rPr>
          <w:bCs/>
        </w:rPr>
        <w:t>s</w:t>
      </w:r>
      <w:r w:rsidRPr="00AE109A">
        <w:rPr>
          <w:bCs/>
        </w:rPr>
        <w:t xml:space="preserve"> </w:t>
      </w:r>
      <w:r w:rsidRPr="00AE109A">
        <w:rPr>
          <w:bCs/>
        </w:rPr>
        <w:fldChar w:fldCharType="begin"/>
      </w:r>
      <w:r w:rsidRPr="00AE109A">
        <w:rPr>
          <w:bCs/>
        </w:rPr>
        <w:instrText xml:space="preserve"> S</w:instrText>
      </w:r>
      <w:r w:rsidRPr="00AE109A">
        <w:rPr>
          <w:bCs/>
        </w:rPr>
        <w:lastRenderedPageBreak/>
        <w:instrText xml:space="preserve">EQ Table \* ARABIC </w:instrText>
      </w:r>
      <w:r w:rsidRPr="00AE109A">
        <w:rPr>
          <w:bCs/>
        </w:rPr>
        <w:fldChar w:fldCharType="separate"/>
      </w:r>
      <w:r>
        <w:rPr>
          <w:bCs/>
          <w:noProof/>
        </w:rPr>
        <w:t>127</w:t>
      </w:r>
      <w:r w:rsidRPr="00AE109A">
        <w:rPr>
          <w:bCs/>
        </w:rPr>
        <w:fldChar w:fldCharType="end"/>
      </w:r>
      <w:r>
        <w:rPr>
          <w:bCs/>
        </w:rPr>
        <w:t>.1-127.7</w:t>
      </w:r>
      <w:r>
        <w:t xml:space="preserve">: </w:t>
      </w:r>
      <w:r w:rsidRPr="00C5739E">
        <w:t xml:space="preserve">Experiences of </w:t>
      </w:r>
      <w:r>
        <w:t xml:space="preserve">verbal (n = 2413), physical (n = 2142) or sexual (n = 2216) </w:t>
      </w:r>
      <w:r w:rsidRPr="00C5739E">
        <w:t xml:space="preserve">harassment </w:t>
      </w:r>
      <w:r>
        <w:t xml:space="preserve">or assault </w:t>
      </w:r>
      <w:r w:rsidRPr="00C5739E">
        <w:t xml:space="preserve">relating to sexuality or gender identity </w:t>
      </w:r>
      <w:r>
        <w:t>among young people with disability aged 14-21 years, grouped by sexual orientation</w:t>
      </w:r>
      <w:bookmarkEnd w:id="959"/>
      <w:bookmarkEnd w:id="960"/>
    </w:p>
    <w:p w14:paraId="0E5C93C2" w14:textId="77777777" w:rsidR="009D0006" w:rsidRDefault="009D0006" w:rsidP="00B15BAC">
      <w:pPr>
        <w:pStyle w:val="Tableheading"/>
      </w:pPr>
      <w:r>
        <w:t>Table 127.1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EC09982" w14:textId="77777777" w:rsidTr="00B15BAC">
        <w:trPr>
          <w:cnfStyle w:val="100000000000" w:firstRow="1" w:lastRow="0" w:firstColumn="0" w:lastColumn="0" w:oddVBand="0" w:evenVBand="0" w:oddHBand="0" w:evenHBand="0" w:firstRowFirstColumn="0" w:firstRowLastColumn="0" w:lastRowFirstColumn="0" w:lastRowLastColumn="0"/>
          <w:trHeight w:val="247"/>
        </w:trPr>
        <w:tc>
          <w:tcPr>
            <w:tcW w:w="6746" w:type="dxa"/>
            <w:noWrap/>
            <w:hideMark/>
          </w:tcPr>
          <w:p w14:paraId="109D25FD" w14:textId="77777777" w:rsidR="009D0006" w:rsidRPr="00030452" w:rsidRDefault="009D0006" w:rsidP="00B15BAC">
            <w:pPr>
              <w:pStyle w:val="Tableheader"/>
              <w:rPr>
                <w:bCs/>
              </w:rPr>
            </w:pPr>
            <w:r w:rsidRPr="00030452">
              <w:t>Harassment or assault in past 12 months</w:t>
            </w:r>
          </w:p>
        </w:tc>
        <w:tc>
          <w:tcPr>
            <w:tcW w:w="1559" w:type="dxa"/>
            <w:noWrap/>
            <w:hideMark/>
          </w:tcPr>
          <w:p w14:paraId="77C70A56" w14:textId="77777777" w:rsidR="009D0006" w:rsidRPr="00605989" w:rsidRDefault="009D0006" w:rsidP="00B15BAC">
            <w:pPr>
              <w:pStyle w:val="Tableheader"/>
              <w:rPr>
                <w:bCs/>
              </w:rPr>
            </w:pPr>
            <w:r w:rsidRPr="00605989">
              <w:rPr>
                <w:bCs/>
              </w:rPr>
              <w:t>n</w:t>
            </w:r>
          </w:p>
        </w:tc>
        <w:tc>
          <w:tcPr>
            <w:tcW w:w="1559" w:type="dxa"/>
            <w:noWrap/>
            <w:hideMark/>
          </w:tcPr>
          <w:p w14:paraId="29E4849F" w14:textId="77777777" w:rsidR="009D0006" w:rsidRPr="00605989" w:rsidRDefault="009D0006" w:rsidP="00B15BAC">
            <w:pPr>
              <w:pStyle w:val="Tableheader"/>
              <w:rPr>
                <w:bCs/>
              </w:rPr>
            </w:pPr>
            <w:r w:rsidRPr="00605989">
              <w:rPr>
                <w:bCs/>
              </w:rPr>
              <w:t>%</w:t>
            </w:r>
          </w:p>
        </w:tc>
      </w:tr>
      <w:tr w:rsidR="009D0006" w:rsidRPr="00BC3468" w14:paraId="01053773" w14:textId="77777777" w:rsidTr="00B15BAC">
        <w:trPr>
          <w:cnfStyle w:val="000000100000" w:firstRow="0" w:lastRow="0" w:firstColumn="0" w:lastColumn="0" w:oddVBand="0" w:evenVBand="0" w:oddHBand="1" w:evenHBand="0" w:firstRowFirstColumn="0" w:firstRowLastColumn="0" w:lastRowFirstColumn="0" w:lastRowLastColumn="0"/>
          <w:trHeight w:val="247"/>
        </w:trPr>
        <w:tc>
          <w:tcPr>
            <w:tcW w:w="6746" w:type="dxa"/>
            <w:noWrap/>
            <w:hideMark/>
          </w:tcPr>
          <w:p w14:paraId="7DCDF095" w14:textId="77777777" w:rsidR="009D0006" w:rsidRPr="00BC3468" w:rsidRDefault="009D0006" w:rsidP="00B15BAC">
            <w:pPr>
              <w:pStyle w:val="Tabletext"/>
            </w:pPr>
            <w:r>
              <w:t>Verbal</w:t>
            </w:r>
          </w:p>
        </w:tc>
        <w:tc>
          <w:tcPr>
            <w:tcW w:w="1559" w:type="dxa"/>
            <w:noWrap/>
          </w:tcPr>
          <w:p w14:paraId="60937498" w14:textId="77777777" w:rsidR="009D0006" w:rsidRPr="00BC3468" w:rsidRDefault="009D0006" w:rsidP="00B15BAC">
            <w:pPr>
              <w:pStyle w:val="Tabletext"/>
            </w:pPr>
            <w:r>
              <w:t>167</w:t>
            </w:r>
          </w:p>
        </w:tc>
        <w:tc>
          <w:tcPr>
            <w:tcW w:w="1559" w:type="dxa"/>
            <w:noWrap/>
          </w:tcPr>
          <w:p w14:paraId="13ECDDCA" w14:textId="77777777" w:rsidR="009D0006" w:rsidRPr="00BC3468" w:rsidRDefault="009D0006" w:rsidP="00B15BAC">
            <w:pPr>
              <w:pStyle w:val="Tabletext"/>
            </w:pPr>
            <w:r>
              <w:t>49.6</w:t>
            </w:r>
          </w:p>
        </w:tc>
      </w:tr>
      <w:tr w:rsidR="009D0006" w:rsidRPr="00BC3468" w14:paraId="4501733B" w14:textId="77777777" w:rsidTr="00B15BAC">
        <w:trPr>
          <w:cnfStyle w:val="000000010000" w:firstRow="0" w:lastRow="0" w:firstColumn="0" w:lastColumn="0" w:oddVBand="0" w:evenVBand="0" w:oddHBand="0" w:evenHBand="1" w:firstRowFirstColumn="0" w:firstRowLastColumn="0" w:lastRowFirstColumn="0" w:lastRowLastColumn="0"/>
          <w:trHeight w:val="247"/>
        </w:trPr>
        <w:tc>
          <w:tcPr>
            <w:tcW w:w="6746" w:type="dxa"/>
            <w:noWrap/>
            <w:hideMark/>
          </w:tcPr>
          <w:p w14:paraId="402CD892" w14:textId="77777777" w:rsidR="009D0006" w:rsidRPr="00BC3468" w:rsidRDefault="009D0006" w:rsidP="00B15BAC">
            <w:pPr>
              <w:pStyle w:val="Tabletext"/>
            </w:pPr>
            <w:r>
              <w:t>Physical</w:t>
            </w:r>
          </w:p>
        </w:tc>
        <w:tc>
          <w:tcPr>
            <w:tcW w:w="1559" w:type="dxa"/>
            <w:noWrap/>
          </w:tcPr>
          <w:p w14:paraId="137D2FCF" w14:textId="77777777" w:rsidR="009D0006" w:rsidRPr="00BC3468" w:rsidRDefault="009D0006" w:rsidP="00B15BAC">
            <w:pPr>
              <w:pStyle w:val="Tabletext"/>
            </w:pPr>
            <w:r>
              <w:t>35</w:t>
            </w:r>
          </w:p>
        </w:tc>
        <w:tc>
          <w:tcPr>
            <w:tcW w:w="1559" w:type="dxa"/>
            <w:noWrap/>
          </w:tcPr>
          <w:p w14:paraId="449FE42D" w14:textId="77777777" w:rsidR="009D0006" w:rsidRPr="00BC3468" w:rsidRDefault="009D0006" w:rsidP="00B15BAC">
            <w:pPr>
              <w:pStyle w:val="Tabletext"/>
            </w:pPr>
            <w:r>
              <w:t>12.0</w:t>
            </w:r>
          </w:p>
        </w:tc>
      </w:tr>
      <w:tr w:rsidR="009D0006" w:rsidRPr="00BC3468" w14:paraId="16140693" w14:textId="77777777" w:rsidTr="00B15BAC">
        <w:trPr>
          <w:cnfStyle w:val="000000100000" w:firstRow="0" w:lastRow="0" w:firstColumn="0" w:lastColumn="0" w:oddVBand="0" w:evenVBand="0" w:oddHBand="1" w:evenHBand="0" w:firstRowFirstColumn="0" w:firstRowLastColumn="0" w:lastRowFirstColumn="0" w:lastRowLastColumn="0"/>
          <w:trHeight w:val="247"/>
        </w:trPr>
        <w:tc>
          <w:tcPr>
            <w:tcW w:w="6746" w:type="dxa"/>
            <w:noWrap/>
            <w:hideMark/>
          </w:tcPr>
          <w:p w14:paraId="63AE72F3" w14:textId="77777777" w:rsidR="009D0006" w:rsidRPr="00BC3468" w:rsidRDefault="009D0006" w:rsidP="00B15BAC">
            <w:pPr>
              <w:pStyle w:val="Tabletext"/>
            </w:pPr>
            <w:r>
              <w:t>Sexual</w:t>
            </w:r>
          </w:p>
        </w:tc>
        <w:tc>
          <w:tcPr>
            <w:tcW w:w="1559" w:type="dxa"/>
            <w:noWrap/>
          </w:tcPr>
          <w:p w14:paraId="367CD049" w14:textId="77777777" w:rsidR="009D0006" w:rsidRPr="00BC3468" w:rsidRDefault="009D0006" w:rsidP="00B15BAC">
            <w:pPr>
              <w:pStyle w:val="Tabletext"/>
            </w:pPr>
            <w:r>
              <w:t>103</w:t>
            </w:r>
          </w:p>
        </w:tc>
        <w:tc>
          <w:tcPr>
            <w:tcW w:w="1559" w:type="dxa"/>
            <w:noWrap/>
          </w:tcPr>
          <w:p w14:paraId="6D4F4B98" w14:textId="77777777" w:rsidR="009D0006" w:rsidRPr="00BC3468" w:rsidRDefault="009D0006" w:rsidP="00B15BAC">
            <w:pPr>
              <w:pStyle w:val="Tabletext"/>
            </w:pPr>
            <w:r>
              <w:t>33.8</w:t>
            </w:r>
          </w:p>
        </w:tc>
      </w:tr>
    </w:tbl>
    <w:p w14:paraId="194CEEBA" w14:textId="77777777" w:rsidR="009D0006" w:rsidRDefault="009D0006" w:rsidP="00B15BAC">
      <w:pPr>
        <w:pStyle w:val="Tableheading"/>
      </w:pPr>
      <w:r>
        <w:t>Table 127.2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372942B" w14:textId="77777777" w:rsidTr="00B15BAC">
        <w:trPr>
          <w:cnfStyle w:val="100000000000" w:firstRow="1" w:lastRow="0" w:firstColumn="0" w:lastColumn="0" w:oddVBand="0" w:evenVBand="0" w:oddHBand="0" w:evenHBand="0" w:firstRowFirstColumn="0" w:firstRowLastColumn="0" w:lastRowFirstColumn="0" w:lastRowLastColumn="0"/>
          <w:trHeight w:val="335"/>
        </w:trPr>
        <w:tc>
          <w:tcPr>
            <w:tcW w:w="6746" w:type="dxa"/>
            <w:noWrap/>
            <w:hideMark/>
          </w:tcPr>
          <w:p w14:paraId="376F0753" w14:textId="77777777" w:rsidR="009D0006" w:rsidRPr="00030452" w:rsidRDefault="009D0006" w:rsidP="00B15BAC">
            <w:pPr>
              <w:pStyle w:val="Tableheader"/>
              <w:rPr>
                <w:bCs/>
              </w:rPr>
            </w:pPr>
            <w:r w:rsidRPr="00030452">
              <w:t>Harassment or assault in past 12 months</w:t>
            </w:r>
          </w:p>
        </w:tc>
        <w:tc>
          <w:tcPr>
            <w:tcW w:w="1559" w:type="dxa"/>
            <w:noWrap/>
            <w:hideMark/>
          </w:tcPr>
          <w:p w14:paraId="3978C602" w14:textId="77777777" w:rsidR="009D0006" w:rsidRPr="00605989" w:rsidRDefault="009D0006" w:rsidP="00B15BAC">
            <w:pPr>
              <w:pStyle w:val="Tableheader"/>
              <w:rPr>
                <w:bCs/>
              </w:rPr>
            </w:pPr>
            <w:r w:rsidRPr="00605989">
              <w:rPr>
                <w:bCs/>
              </w:rPr>
              <w:t>n</w:t>
            </w:r>
          </w:p>
        </w:tc>
        <w:tc>
          <w:tcPr>
            <w:tcW w:w="1559" w:type="dxa"/>
            <w:noWrap/>
            <w:hideMark/>
          </w:tcPr>
          <w:p w14:paraId="6950FFCF" w14:textId="77777777" w:rsidR="009D0006" w:rsidRPr="00605989" w:rsidRDefault="009D0006" w:rsidP="00B15BAC">
            <w:pPr>
              <w:pStyle w:val="Tableheader"/>
              <w:rPr>
                <w:bCs/>
              </w:rPr>
            </w:pPr>
            <w:r w:rsidRPr="00605989">
              <w:rPr>
                <w:bCs/>
              </w:rPr>
              <w:t>%</w:t>
            </w:r>
          </w:p>
        </w:tc>
      </w:tr>
      <w:tr w:rsidR="009D0006" w:rsidRPr="00BC3468" w14:paraId="5D6E1628" w14:textId="77777777" w:rsidTr="00B15BAC">
        <w:trPr>
          <w:cnfStyle w:val="000000100000" w:firstRow="0" w:lastRow="0" w:firstColumn="0" w:lastColumn="0" w:oddVBand="0" w:evenVBand="0" w:oddHBand="1" w:evenHBand="0" w:firstRowFirstColumn="0" w:firstRowLastColumn="0" w:lastRowFirstColumn="0" w:lastRowLastColumn="0"/>
          <w:trHeight w:val="335"/>
        </w:trPr>
        <w:tc>
          <w:tcPr>
            <w:tcW w:w="6746" w:type="dxa"/>
            <w:noWrap/>
            <w:hideMark/>
          </w:tcPr>
          <w:p w14:paraId="3DAB2C02" w14:textId="77777777" w:rsidR="009D0006" w:rsidRPr="00BC3468" w:rsidRDefault="009D0006" w:rsidP="00B15BAC">
            <w:pPr>
              <w:pStyle w:val="Tabletext"/>
            </w:pPr>
            <w:r>
              <w:t>Verbal</w:t>
            </w:r>
          </w:p>
        </w:tc>
        <w:tc>
          <w:tcPr>
            <w:tcW w:w="1559" w:type="dxa"/>
            <w:noWrap/>
          </w:tcPr>
          <w:p w14:paraId="6AC42243" w14:textId="77777777" w:rsidR="009D0006" w:rsidRPr="00BC3468" w:rsidRDefault="009D0006" w:rsidP="00B15BAC">
            <w:pPr>
              <w:pStyle w:val="Tabletext"/>
            </w:pPr>
            <w:r>
              <w:t>157</w:t>
            </w:r>
          </w:p>
        </w:tc>
        <w:tc>
          <w:tcPr>
            <w:tcW w:w="1559" w:type="dxa"/>
            <w:noWrap/>
          </w:tcPr>
          <w:p w14:paraId="016366DE" w14:textId="77777777" w:rsidR="009D0006" w:rsidRPr="00BC3468" w:rsidRDefault="009D0006" w:rsidP="00B15BAC">
            <w:pPr>
              <w:pStyle w:val="Tabletext"/>
            </w:pPr>
            <w:r>
              <w:t>57.1</w:t>
            </w:r>
          </w:p>
        </w:tc>
      </w:tr>
      <w:tr w:rsidR="009D0006" w:rsidRPr="00BC3468" w14:paraId="7227810E" w14:textId="77777777" w:rsidTr="00B15BAC">
        <w:trPr>
          <w:cnfStyle w:val="000000010000" w:firstRow="0" w:lastRow="0" w:firstColumn="0" w:lastColumn="0" w:oddVBand="0" w:evenVBand="0" w:oddHBand="0" w:evenHBand="1" w:firstRowFirstColumn="0" w:firstRowLastColumn="0" w:lastRowFirstColumn="0" w:lastRowLastColumn="0"/>
          <w:trHeight w:val="335"/>
        </w:trPr>
        <w:tc>
          <w:tcPr>
            <w:tcW w:w="6746" w:type="dxa"/>
            <w:noWrap/>
            <w:hideMark/>
          </w:tcPr>
          <w:p w14:paraId="6354EF9F" w14:textId="77777777" w:rsidR="009D0006" w:rsidRPr="00BC3468" w:rsidRDefault="009D0006" w:rsidP="00B15BAC">
            <w:pPr>
              <w:pStyle w:val="Tabletext"/>
            </w:pPr>
            <w:r>
              <w:t>Physical</w:t>
            </w:r>
          </w:p>
        </w:tc>
        <w:tc>
          <w:tcPr>
            <w:tcW w:w="1559" w:type="dxa"/>
            <w:noWrap/>
          </w:tcPr>
          <w:p w14:paraId="4C798C10" w14:textId="77777777" w:rsidR="009D0006" w:rsidRPr="00BC3468" w:rsidRDefault="009D0006" w:rsidP="00B15BAC">
            <w:pPr>
              <w:pStyle w:val="Tabletext"/>
            </w:pPr>
            <w:r>
              <w:t>46</w:t>
            </w:r>
          </w:p>
        </w:tc>
        <w:tc>
          <w:tcPr>
            <w:tcW w:w="1559" w:type="dxa"/>
            <w:noWrap/>
          </w:tcPr>
          <w:p w14:paraId="6DFF31D4" w14:textId="77777777" w:rsidR="009D0006" w:rsidRPr="00BC3468" w:rsidRDefault="009D0006" w:rsidP="00B15BAC">
            <w:pPr>
              <w:pStyle w:val="Tabletext"/>
            </w:pPr>
            <w:r>
              <w:t>18.7</w:t>
            </w:r>
          </w:p>
        </w:tc>
      </w:tr>
      <w:tr w:rsidR="009D0006" w:rsidRPr="00BC3468" w14:paraId="68787915" w14:textId="77777777" w:rsidTr="00B15BAC">
        <w:trPr>
          <w:cnfStyle w:val="000000100000" w:firstRow="0" w:lastRow="0" w:firstColumn="0" w:lastColumn="0" w:oddVBand="0" w:evenVBand="0" w:oddHBand="1" w:evenHBand="0" w:firstRowFirstColumn="0" w:firstRowLastColumn="0" w:lastRowFirstColumn="0" w:lastRowLastColumn="0"/>
          <w:trHeight w:val="335"/>
        </w:trPr>
        <w:tc>
          <w:tcPr>
            <w:tcW w:w="6746" w:type="dxa"/>
            <w:noWrap/>
            <w:hideMark/>
          </w:tcPr>
          <w:p w14:paraId="708EFDC7" w14:textId="77777777" w:rsidR="009D0006" w:rsidRPr="00BC3468" w:rsidRDefault="009D0006" w:rsidP="00B15BAC">
            <w:pPr>
              <w:pStyle w:val="Tabletext"/>
            </w:pPr>
            <w:r>
              <w:t>Sexual</w:t>
            </w:r>
          </w:p>
        </w:tc>
        <w:tc>
          <w:tcPr>
            <w:tcW w:w="1559" w:type="dxa"/>
            <w:noWrap/>
          </w:tcPr>
          <w:p w14:paraId="38AAB9B3" w14:textId="77777777" w:rsidR="009D0006" w:rsidRPr="00BC3468" w:rsidRDefault="009D0006" w:rsidP="00B15BAC">
            <w:pPr>
              <w:pStyle w:val="Tabletext"/>
            </w:pPr>
            <w:r>
              <w:t>76</w:t>
            </w:r>
          </w:p>
        </w:tc>
        <w:tc>
          <w:tcPr>
            <w:tcW w:w="1559" w:type="dxa"/>
            <w:noWrap/>
          </w:tcPr>
          <w:p w14:paraId="08A2CBFE" w14:textId="77777777" w:rsidR="009D0006" w:rsidRPr="00BC3468" w:rsidRDefault="009D0006" w:rsidP="00B15BAC">
            <w:pPr>
              <w:pStyle w:val="Tabletext"/>
            </w:pPr>
            <w:r>
              <w:t>30.2</w:t>
            </w:r>
          </w:p>
        </w:tc>
      </w:tr>
    </w:tbl>
    <w:p w14:paraId="10BF99BB" w14:textId="77777777" w:rsidR="009D0006" w:rsidRDefault="009D0006" w:rsidP="00B15BAC">
      <w:pPr>
        <w:pStyle w:val="Tableheading"/>
      </w:pPr>
      <w:r>
        <w:t>Table 127.3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21EF912" w14:textId="77777777" w:rsidTr="00B15BAC">
        <w:trPr>
          <w:cnfStyle w:val="100000000000" w:firstRow="1" w:lastRow="0" w:firstColumn="0" w:lastColumn="0" w:oddVBand="0" w:evenVBand="0" w:oddHBand="0" w:evenHBand="0" w:firstRowFirstColumn="0" w:firstRowLastColumn="0" w:lastRowFirstColumn="0" w:lastRowLastColumn="0"/>
          <w:trHeight w:val="341"/>
        </w:trPr>
        <w:tc>
          <w:tcPr>
            <w:tcW w:w="6746" w:type="dxa"/>
            <w:noWrap/>
            <w:hideMark/>
          </w:tcPr>
          <w:p w14:paraId="21795F32" w14:textId="77777777" w:rsidR="009D0006" w:rsidRPr="00030452" w:rsidRDefault="009D0006" w:rsidP="00B15BAC">
            <w:pPr>
              <w:pStyle w:val="Tableheader"/>
              <w:rPr>
                <w:bCs/>
              </w:rPr>
            </w:pPr>
            <w:r w:rsidRPr="00030452">
              <w:t>Harassment or assault in past 12 months</w:t>
            </w:r>
          </w:p>
        </w:tc>
        <w:tc>
          <w:tcPr>
            <w:tcW w:w="1559" w:type="dxa"/>
          </w:tcPr>
          <w:p w14:paraId="4845C6D9" w14:textId="77777777" w:rsidR="009D0006" w:rsidRPr="00605989" w:rsidRDefault="009D0006" w:rsidP="00B15BAC">
            <w:pPr>
              <w:pStyle w:val="Tableheader"/>
              <w:rPr>
                <w:bCs/>
              </w:rPr>
            </w:pPr>
            <w:r w:rsidRPr="00605989">
              <w:rPr>
                <w:bCs/>
              </w:rPr>
              <w:t>n</w:t>
            </w:r>
          </w:p>
        </w:tc>
        <w:tc>
          <w:tcPr>
            <w:tcW w:w="1559" w:type="dxa"/>
          </w:tcPr>
          <w:p w14:paraId="37EA49D3" w14:textId="77777777" w:rsidR="009D0006" w:rsidRPr="00605989" w:rsidRDefault="009D0006" w:rsidP="00B15BAC">
            <w:pPr>
              <w:pStyle w:val="Tableheader"/>
              <w:rPr>
                <w:bCs/>
              </w:rPr>
            </w:pPr>
            <w:r w:rsidRPr="00605989">
              <w:rPr>
                <w:bCs/>
              </w:rPr>
              <w:t>%</w:t>
            </w:r>
          </w:p>
        </w:tc>
      </w:tr>
      <w:tr w:rsidR="009D0006" w:rsidRPr="00BC3468" w14:paraId="3B4D51CB" w14:textId="77777777" w:rsidTr="00B15BAC">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69460413" w14:textId="77777777" w:rsidR="009D0006" w:rsidRPr="00BC3468" w:rsidRDefault="009D0006" w:rsidP="00B15BAC">
            <w:pPr>
              <w:pStyle w:val="Tabletext"/>
            </w:pPr>
            <w:r>
              <w:t>Verbal</w:t>
            </w:r>
          </w:p>
        </w:tc>
        <w:tc>
          <w:tcPr>
            <w:tcW w:w="1559" w:type="dxa"/>
          </w:tcPr>
          <w:p w14:paraId="3E173341" w14:textId="77777777" w:rsidR="009D0006" w:rsidRPr="00BC3468" w:rsidRDefault="009D0006" w:rsidP="00B15BAC">
            <w:pPr>
              <w:pStyle w:val="Tabletext"/>
            </w:pPr>
            <w:r>
              <w:t>300</w:t>
            </w:r>
          </w:p>
        </w:tc>
        <w:tc>
          <w:tcPr>
            <w:tcW w:w="1559" w:type="dxa"/>
          </w:tcPr>
          <w:p w14:paraId="1B16231A" w14:textId="77777777" w:rsidR="009D0006" w:rsidRPr="00BC3468" w:rsidRDefault="009D0006" w:rsidP="00B15BAC">
            <w:pPr>
              <w:pStyle w:val="Tabletext"/>
            </w:pPr>
            <w:r>
              <w:t>41.0</w:t>
            </w:r>
          </w:p>
        </w:tc>
      </w:tr>
      <w:tr w:rsidR="009D0006" w:rsidRPr="00BC3468" w14:paraId="5ECF8AAB" w14:textId="77777777" w:rsidTr="00B15BAC">
        <w:trPr>
          <w:cnfStyle w:val="000000010000" w:firstRow="0" w:lastRow="0" w:firstColumn="0" w:lastColumn="0" w:oddVBand="0" w:evenVBand="0" w:oddHBand="0" w:evenHBand="1" w:firstRowFirstColumn="0" w:firstRowLastColumn="0" w:lastRowFirstColumn="0" w:lastRowLastColumn="0"/>
          <w:trHeight w:val="341"/>
        </w:trPr>
        <w:tc>
          <w:tcPr>
            <w:tcW w:w="6746" w:type="dxa"/>
            <w:noWrap/>
            <w:hideMark/>
          </w:tcPr>
          <w:p w14:paraId="2047BF2D" w14:textId="77777777" w:rsidR="009D0006" w:rsidRPr="00BC3468" w:rsidRDefault="009D0006" w:rsidP="00B15BAC">
            <w:pPr>
              <w:pStyle w:val="Tabletext"/>
            </w:pPr>
            <w:r>
              <w:t>Physical</w:t>
            </w:r>
          </w:p>
        </w:tc>
        <w:tc>
          <w:tcPr>
            <w:tcW w:w="1559" w:type="dxa"/>
          </w:tcPr>
          <w:p w14:paraId="7B7DE06F" w14:textId="77777777" w:rsidR="009D0006" w:rsidRPr="00BC3468" w:rsidRDefault="009D0006" w:rsidP="00B15BAC">
            <w:pPr>
              <w:pStyle w:val="Tabletext"/>
            </w:pPr>
            <w:r>
              <w:t>60</w:t>
            </w:r>
          </w:p>
        </w:tc>
        <w:tc>
          <w:tcPr>
            <w:tcW w:w="1559" w:type="dxa"/>
          </w:tcPr>
          <w:p w14:paraId="27180048" w14:textId="77777777" w:rsidR="009D0006" w:rsidRPr="00BC3468" w:rsidRDefault="009D0006" w:rsidP="00B15BAC">
            <w:pPr>
              <w:pStyle w:val="Tabletext"/>
            </w:pPr>
            <w:r>
              <w:t>9.2</w:t>
            </w:r>
          </w:p>
        </w:tc>
      </w:tr>
      <w:tr w:rsidR="009D0006" w:rsidRPr="00BC3468" w14:paraId="39D87029" w14:textId="77777777" w:rsidTr="00B15BAC">
        <w:trPr>
          <w:cnfStyle w:val="000000100000" w:firstRow="0" w:lastRow="0" w:firstColumn="0" w:lastColumn="0" w:oddVBand="0" w:evenVBand="0" w:oddHBand="1" w:evenHBand="0" w:firstRowFirstColumn="0" w:firstRowLastColumn="0" w:lastRowFirstColumn="0" w:lastRowLastColumn="0"/>
          <w:trHeight w:val="341"/>
        </w:trPr>
        <w:tc>
          <w:tcPr>
            <w:tcW w:w="6746" w:type="dxa"/>
            <w:noWrap/>
            <w:hideMark/>
          </w:tcPr>
          <w:p w14:paraId="5B07AB05" w14:textId="77777777" w:rsidR="009D0006" w:rsidRPr="00BC3468" w:rsidRDefault="009D0006" w:rsidP="00B15BAC">
            <w:pPr>
              <w:pStyle w:val="Tabletext"/>
            </w:pPr>
            <w:r>
              <w:t>Sexual</w:t>
            </w:r>
          </w:p>
        </w:tc>
        <w:tc>
          <w:tcPr>
            <w:tcW w:w="1559" w:type="dxa"/>
          </w:tcPr>
          <w:p w14:paraId="5038C40B" w14:textId="77777777" w:rsidR="009D0006" w:rsidRPr="00BC3468" w:rsidRDefault="009D0006" w:rsidP="00B15BAC">
            <w:pPr>
              <w:pStyle w:val="Tabletext"/>
            </w:pPr>
            <w:r>
              <w:t>197</w:t>
            </w:r>
          </w:p>
        </w:tc>
        <w:tc>
          <w:tcPr>
            <w:tcW w:w="1559" w:type="dxa"/>
          </w:tcPr>
          <w:p w14:paraId="2CC5C30C" w14:textId="77777777" w:rsidR="009D0006" w:rsidRPr="00BC3468" w:rsidRDefault="009D0006" w:rsidP="00B15BAC">
            <w:pPr>
              <w:pStyle w:val="Tabletext"/>
            </w:pPr>
            <w:r>
              <w:t>29.1</w:t>
            </w:r>
          </w:p>
        </w:tc>
      </w:tr>
    </w:tbl>
    <w:p w14:paraId="3F53B5B4" w14:textId="77777777" w:rsidR="009D0006" w:rsidRDefault="009D0006" w:rsidP="00B15BAC">
      <w:pPr>
        <w:pStyle w:val="Tableheading"/>
      </w:pPr>
      <w:r>
        <w:t>Table 127.4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CE1D793" w14:textId="77777777" w:rsidTr="00CF0C3F">
        <w:trPr>
          <w:cnfStyle w:val="100000000000" w:firstRow="1" w:lastRow="0" w:firstColumn="0" w:lastColumn="0" w:oddVBand="0" w:evenVBand="0" w:oddHBand="0" w:evenHBand="0" w:firstRowFirstColumn="0" w:firstRowLastColumn="0" w:lastRowFirstColumn="0" w:lastRowLastColumn="0"/>
          <w:trHeight w:val="235"/>
        </w:trPr>
        <w:tc>
          <w:tcPr>
            <w:tcW w:w="6746" w:type="dxa"/>
            <w:noWrap/>
            <w:hideMark/>
          </w:tcPr>
          <w:p w14:paraId="096E87F2" w14:textId="77777777" w:rsidR="009D0006" w:rsidRPr="00030452" w:rsidRDefault="009D0006" w:rsidP="00CF0C3F">
            <w:pPr>
              <w:pStyle w:val="Tableheader"/>
              <w:rPr>
                <w:bCs/>
              </w:rPr>
            </w:pPr>
            <w:r w:rsidRPr="00030452">
              <w:t>Harassment or assault in past 12 months</w:t>
            </w:r>
          </w:p>
        </w:tc>
        <w:tc>
          <w:tcPr>
            <w:tcW w:w="1559" w:type="dxa"/>
            <w:noWrap/>
            <w:hideMark/>
          </w:tcPr>
          <w:p w14:paraId="70620250" w14:textId="77777777" w:rsidR="009D0006" w:rsidRPr="00605989" w:rsidRDefault="009D0006" w:rsidP="00CF0C3F">
            <w:pPr>
              <w:pStyle w:val="Tableheader"/>
              <w:rPr>
                <w:bCs/>
              </w:rPr>
            </w:pPr>
            <w:r w:rsidRPr="00605989">
              <w:rPr>
                <w:bCs/>
              </w:rPr>
              <w:t>n</w:t>
            </w:r>
          </w:p>
        </w:tc>
        <w:tc>
          <w:tcPr>
            <w:tcW w:w="1559" w:type="dxa"/>
            <w:noWrap/>
            <w:hideMark/>
          </w:tcPr>
          <w:p w14:paraId="7AFFA820" w14:textId="77777777" w:rsidR="009D0006" w:rsidRPr="00605989" w:rsidRDefault="009D0006" w:rsidP="00CF0C3F">
            <w:pPr>
              <w:pStyle w:val="Tableheader"/>
              <w:rPr>
                <w:bCs/>
              </w:rPr>
            </w:pPr>
            <w:r w:rsidRPr="00605989">
              <w:rPr>
                <w:bCs/>
              </w:rPr>
              <w:t>%</w:t>
            </w:r>
          </w:p>
        </w:tc>
      </w:tr>
      <w:tr w:rsidR="009D0006" w:rsidRPr="00BC3468" w14:paraId="4422EB6E" w14:textId="77777777" w:rsidTr="00CF0C3F">
        <w:trPr>
          <w:cnfStyle w:val="000000100000" w:firstRow="0" w:lastRow="0" w:firstColumn="0" w:lastColumn="0" w:oddVBand="0" w:evenVBand="0" w:oddHBand="1" w:evenHBand="0" w:firstRowFirstColumn="0" w:firstRowLastColumn="0" w:lastRowFirstColumn="0" w:lastRowLastColumn="0"/>
          <w:trHeight w:val="235"/>
        </w:trPr>
        <w:tc>
          <w:tcPr>
            <w:tcW w:w="6746" w:type="dxa"/>
            <w:noWrap/>
            <w:hideMark/>
          </w:tcPr>
          <w:p w14:paraId="3F17F74C" w14:textId="77777777" w:rsidR="009D0006" w:rsidRPr="00BC3468" w:rsidRDefault="009D0006" w:rsidP="00CF0C3F">
            <w:pPr>
              <w:pStyle w:val="Tabletext"/>
            </w:pPr>
            <w:r>
              <w:t>Verbal</w:t>
            </w:r>
          </w:p>
        </w:tc>
        <w:tc>
          <w:tcPr>
            <w:tcW w:w="1559" w:type="dxa"/>
            <w:noWrap/>
          </w:tcPr>
          <w:p w14:paraId="1576F0BC" w14:textId="77777777" w:rsidR="009D0006" w:rsidRPr="00BC3468" w:rsidRDefault="009D0006" w:rsidP="00CF0C3F">
            <w:pPr>
              <w:pStyle w:val="Tabletext"/>
            </w:pPr>
            <w:r>
              <w:t>183</w:t>
            </w:r>
          </w:p>
        </w:tc>
        <w:tc>
          <w:tcPr>
            <w:tcW w:w="1559" w:type="dxa"/>
            <w:noWrap/>
          </w:tcPr>
          <w:p w14:paraId="0EFE12C6" w14:textId="77777777" w:rsidR="009D0006" w:rsidRPr="00BC3468" w:rsidRDefault="009D0006" w:rsidP="00CF0C3F">
            <w:pPr>
              <w:pStyle w:val="Tabletext"/>
            </w:pPr>
            <w:r>
              <w:t>53.4</w:t>
            </w:r>
          </w:p>
        </w:tc>
      </w:tr>
      <w:tr w:rsidR="009D0006" w:rsidRPr="00BC3468" w14:paraId="20B46B92" w14:textId="77777777" w:rsidTr="00CF0C3F">
        <w:trPr>
          <w:cnfStyle w:val="000000010000" w:firstRow="0" w:lastRow="0" w:firstColumn="0" w:lastColumn="0" w:oddVBand="0" w:evenVBand="0" w:oddHBand="0" w:evenHBand="1" w:firstRowFirstColumn="0" w:firstRowLastColumn="0" w:lastRowFirstColumn="0" w:lastRowLastColumn="0"/>
          <w:trHeight w:val="235"/>
        </w:trPr>
        <w:tc>
          <w:tcPr>
            <w:tcW w:w="6746" w:type="dxa"/>
            <w:noWrap/>
            <w:hideMark/>
          </w:tcPr>
          <w:p w14:paraId="0AAEA8F7" w14:textId="77777777" w:rsidR="009D0006" w:rsidRPr="00BC3468" w:rsidRDefault="009D0006" w:rsidP="00CF0C3F">
            <w:pPr>
              <w:pStyle w:val="Tabletext"/>
            </w:pPr>
            <w:r>
              <w:t>Physical</w:t>
            </w:r>
          </w:p>
        </w:tc>
        <w:tc>
          <w:tcPr>
            <w:tcW w:w="1559" w:type="dxa"/>
            <w:noWrap/>
          </w:tcPr>
          <w:p w14:paraId="6994C293" w14:textId="77777777" w:rsidR="009D0006" w:rsidRPr="00BC3468" w:rsidRDefault="009D0006" w:rsidP="00CF0C3F">
            <w:pPr>
              <w:pStyle w:val="Tabletext"/>
            </w:pPr>
            <w:r>
              <w:t>49</w:t>
            </w:r>
          </w:p>
        </w:tc>
        <w:tc>
          <w:tcPr>
            <w:tcW w:w="1559" w:type="dxa"/>
            <w:noWrap/>
          </w:tcPr>
          <w:p w14:paraId="0AF9801C" w14:textId="77777777" w:rsidR="009D0006" w:rsidRPr="00BC3468" w:rsidRDefault="009D0006" w:rsidP="00CF0C3F">
            <w:pPr>
              <w:pStyle w:val="Tabletext"/>
            </w:pPr>
            <w:r>
              <w:t>16.1</w:t>
            </w:r>
          </w:p>
        </w:tc>
      </w:tr>
      <w:tr w:rsidR="009D0006" w:rsidRPr="00BC3468" w14:paraId="0BE38B60" w14:textId="77777777" w:rsidTr="00CF0C3F">
        <w:trPr>
          <w:cnfStyle w:val="000000100000" w:firstRow="0" w:lastRow="0" w:firstColumn="0" w:lastColumn="0" w:oddVBand="0" w:evenVBand="0" w:oddHBand="1" w:evenHBand="0" w:firstRowFirstColumn="0" w:firstRowLastColumn="0" w:lastRowFirstColumn="0" w:lastRowLastColumn="0"/>
          <w:trHeight w:val="235"/>
        </w:trPr>
        <w:tc>
          <w:tcPr>
            <w:tcW w:w="6746" w:type="dxa"/>
            <w:noWrap/>
            <w:hideMark/>
          </w:tcPr>
          <w:p w14:paraId="448F78C3" w14:textId="77777777" w:rsidR="009D0006" w:rsidRPr="00BC3468" w:rsidRDefault="009D0006" w:rsidP="00CF0C3F">
            <w:pPr>
              <w:pStyle w:val="Tabletext"/>
            </w:pPr>
            <w:r>
              <w:t>Sexual</w:t>
            </w:r>
          </w:p>
        </w:tc>
        <w:tc>
          <w:tcPr>
            <w:tcW w:w="1559" w:type="dxa"/>
            <w:noWrap/>
          </w:tcPr>
          <w:p w14:paraId="4F189792" w14:textId="77777777" w:rsidR="009D0006" w:rsidRPr="00BC3468" w:rsidRDefault="009D0006" w:rsidP="00CF0C3F">
            <w:pPr>
              <w:pStyle w:val="Tabletext"/>
            </w:pPr>
            <w:r>
              <w:t>93</w:t>
            </w:r>
          </w:p>
        </w:tc>
        <w:tc>
          <w:tcPr>
            <w:tcW w:w="1559" w:type="dxa"/>
            <w:noWrap/>
          </w:tcPr>
          <w:p w14:paraId="7D7BA7DC" w14:textId="77777777" w:rsidR="009D0006" w:rsidRPr="00BC3468" w:rsidRDefault="009D0006" w:rsidP="00CF0C3F">
            <w:pPr>
              <w:pStyle w:val="Tabletext"/>
            </w:pPr>
            <w:r>
              <w:t>28.8</w:t>
            </w:r>
          </w:p>
        </w:tc>
      </w:tr>
    </w:tbl>
    <w:p w14:paraId="33669D72" w14:textId="77777777" w:rsidR="009D0006" w:rsidRDefault="009D0006" w:rsidP="00CF0C3F">
      <w:pPr>
        <w:pStyle w:val="Tableheading"/>
      </w:pPr>
      <w:r>
        <w:t>Table 127.5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1466607" w14:textId="77777777" w:rsidTr="00CF0C3F">
        <w:trPr>
          <w:cnfStyle w:val="100000000000" w:firstRow="1" w:lastRow="0" w:firstColumn="0" w:lastColumn="0" w:oddVBand="0" w:evenVBand="0" w:oddHBand="0" w:evenHBand="0" w:firstRowFirstColumn="0" w:firstRowLastColumn="0" w:lastRowFirstColumn="0" w:lastRowLastColumn="0"/>
          <w:trHeight w:val="320"/>
        </w:trPr>
        <w:tc>
          <w:tcPr>
            <w:tcW w:w="6746" w:type="dxa"/>
            <w:noWrap/>
            <w:hideMark/>
          </w:tcPr>
          <w:p w14:paraId="02B2E167" w14:textId="77777777" w:rsidR="009D0006" w:rsidRPr="00030452" w:rsidRDefault="009D0006" w:rsidP="00CF0C3F">
            <w:pPr>
              <w:pStyle w:val="Tableheader"/>
              <w:rPr>
                <w:bCs/>
              </w:rPr>
            </w:pPr>
            <w:r w:rsidRPr="00030452">
              <w:t>Harassment or assault in past 12 months</w:t>
            </w:r>
          </w:p>
        </w:tc>
        <w:tc>
          <w:tcPr>
            <w:tcW w:w="1559" w:type="dxa"/>
            <w:noWrap/>
            <w:hideMark/>
          </w:tcPr>
          <w:p w14:paraId="237DEEBB" w14:textId="77777777" w:rsidR="009D0006" w:rsidRPr="00605989" w:rsidRDefault="009D0006" w:rsidP="00CF0C3F">
            <w:pPr>
              <w:pStyle w:val="Tableheader"/>
              <w:rPr>
                <w:bCs/>
              </w:rPr>
            </w:pPr>
            <w:r w:rsidRPr="00605989">
              <w:rPr>
                <w:bCs/>
              </w:rPr>
              <w:t>n</w:t>
            </w:r>
          </w:p>
        </w:tc>
        <w:tc>
          <w:tcPr>
            <w:tcW w:w="1559" w:type="dxa"/>
            <w:noWrap/>
            <w:hideMark/>
          </w:tcPr>
          <w:p w14:paraId="313C4C43" w14:textId="77777777" w:rsidR="009D0006" w:rsidRPr="00605989" w:rsidRDefault="009D0006" w:rsidP="00CF0C3F">
            <w:pPr>
              <w:pStyle w:val="Tableheader"/>
              <w:rPr>
                <w:bCs/>
              </w:rPr>
            </w:pPr>
            <w:r w:rsidRPr="00605989">
              <w:rPr>
                <w:bCs/>
              </w:rPr>
              <w:t>%</w:t>
            </w:r>
          </w:p>
        </w:tc>
      </w:tr>
      <w:tr w:rsidR="009D0006" w:rsidRPr="00BC3468" w14:paraId="4A36445D" w14:textId="77777777" w:rsidTr="00CF0C3F">
        <w:trPr>
          <w:cnfStyle w:val="000000100000" w:firstRow="0" w:lastRow="0" w:firstColumn="0" w:lastColumn="0" w:oddVBand="0" w:evenVBand="0" w:oddHBand="1" w:evenHBand="0" w:firstRowFirstColumn="0" w:firstRowLastColumn="0" w:lastRowFirstColumn="0" w:lastRowLastColumn="0"/>
          <w:trHeight w:val="320"/>
        </w:trPr>
        <w:tc>
          <w:tcPr>
            <w:tcW w:w="6746" w:type="dxa"/>
            <w:noWrap/>
            <w:hideMark/>
          </w:tcPr>
          <w:p w14:paraId="34C50385" w14:textId="77777777" w:rsidR="009D0006" w:rsidRPr="00BC3468" w:rsidRDefault="009D0006" w:rsidP="00CF0C3F">
            <w:pPr>
              <w:pStyle w:val="Tabletext"/>
            </w:pPr>
            <w:r>
              <w:t>Verbal</w:t>
            </w:r>
          </w:p>
        </w:tc>
        <w:tc>
          <w:tcPr>
            <w:tcW w:w="1559" w:type="dxa"/>
            <w:noWrap/>
          </w:tcPr>
          <w:p w14:paraId="0524CB3A" w14:textId="77777777" w:rsidR="009D0006" w:rsidRPr="00BC3468" w:rsidRDefault="009D0006" w:rsidP="00CF0C3F">
            <w:pPr>
              <w:pStyle w:val="Tabletext"/>
            </w:pPr>
            <w:r>
              <w:t>147</w:t>
            </w:r>
          </w:p>
        </w:tc>
        <w:tc>
          <w:tcPr>
            <w:tcW w:w="1559" w:type="dxa"/>
            <w:noWrap/>
          </w:tcPr>
          <w:p w14:paraId="6F95359A" w14:textId="77777777" w:rsidR="009D0006" w:rsidRPr="00BC3468" w:rsidRDefault="009D0006" w:rsidP="00CF0C3F">
            <w:pPr>
              <w:pStyle w:val="Tabletext"/>
            </w:pPr>
            <w:r>
              <w:t>56.5</w:t>
            </w:r>
          </w:p>
        </w:tc>
      </w:tr>
      <w:tr w:rsidR="009D0006" w:rsidRPr="00BC3468" w14:paraId="1141FA59" w14:textId="77777777" w:rsidTr="00CF0C3F">
        <w:trPr>
          <w:cnfStyle w:val="000000010000" w:firstRow="0" w:lastRow="0" w:firstColumn="0" w:lastColumn="0" w:oddVBand="0" w:evenVBand="0" w:oddHBand="0" w:evenHBand="1" w:firstRowFirstColumn="0" w:firstRowLastColumn="0" w:lastRowFirstColumn="0" w:lastRowLastColumn="0"/>
          <w:trHeight w:val="320"/>
        </w:trPr>
        <w:tc>
          <w:tcPr>
            <w:tcW w:w="6746" w:type="dxa"/>
            <w:noWrap/>
            <w:hideMark/>
          </w:tcPr>
          <w:p w14:paraId="1EE98186" w14:textId="77777777" w:rsidR="009D0006" w:rsidRPr="00BC3468" w:rsidRDefault="009D0006" w:rsidP="00CF0C3F">
            <w:pPr>
              <w:pStyle w:val="Tabletext"/>
            </w:pPr>
            <w:r>
              <w:t>Physical</w:t>
            </w:r>
          </w:p>
        </w:tc>
        <w:tc>
          <w:tcPr>
            <w:tcW w:w="1559" w:type="dxa"/>
            <w:noWrap/>
          </w:tcPr>
          <w:p w14:paraId="7F1AAE12" w14:textId="77777777" w:rsidR="009D0006" w:rsidRPr="00BC3468" w:rsidRDefault="009D0006" w:rsidP="00CF0C3F">
            <w:pPr>
              <w:pStyle w:val="Tabletext"/>
            </w:pPr>
            <w:r>
              <w:t>34</w:t>
            </w:r>
          </w:p>
        </w:tc>
        <w:tc>
          <w:tcPr>
            <w:tcW w:w="1559" w:type="dxa"/>
            <w:noWrap/>
          </w:tcPr>
          <w:p w14:paraId="3D94D1D0" w14:textId="77777777" w:rsidR="009D0006" w:rsidRPr="00BC3468" w:rsidRDefault="009D0006" w:rsidP="00CF0C3F">
            <w:pPr>
              <w:pStyle w:val="Tabletext"/>
            </w:pPr>
            <w:r>
              <w:t>15.1</w:t>
            </w:r>
          </w:p>
        </w:tc>
      </w:tr>
      <w:tr w:rsidR="009D0006" w:rsidRPr="00BC3468" w14:paraId="26ABD2E7" w14:textId="77777777" w:rsidTr="00CF0C3F">
        <w:trPr>
          <w:cnfStyle w:val="000000100000" w:firstRow="0" w:lastRow="0" w:firstColumn="0" w:lastColumn="0" w:oddVBand="0" w:evenVBand="0" w:oddHBand="1" w:evenHBand="0" w:firstRowFirstColumn="0" w:firstRowLastColumn="0" w:lastRowFirstColumn="0" w:lastRowLastColumn="0"/>
          <w:trHeight w:val="320"/>
        </w:trPr>
        <w:tc>
          <w:tcPr>
            <w:tcW w:w="6746" w:type="dxa"/>
            <w:noWrap/>
            <w:hideMark/>
          </w:tcPr>
          <w:p w14:paraId="2B2DDD62" w14:textId="77777777" w:rsidR="009D0006" w:rsidRPr="00BC3468" w:rsidRDefault="009D0006" w:rsidP="00CF0C3F">
            <w:pPr>
              <w:pStyle w:val="Tabletext"/>
            </w:pPr>
            <w:r>
              <w:t>Sexual</w:t>
            </w:r>
          </w:p>
        </w:tc>
        <w:tc>
          <w:tcPr>
            <w:tcW w:w="1559" w:type="dxa"/>
            <w:noWrap/>
          </w:tcPr>
          <w:p w14:paraId="1992C328" w14:textId="77777777" w:rsidR="009D0006" w:rsidRPr="00BC3468" w:rsidRDefault="009D0006" w:rsidP="00CF0C3F">
            <w:pPr>
              <w:pStyle w:val="Tabletext"/>
            </w:pPr>
            <w:r>
              <w:t>78</w:t>
            </w:r>
          </w:p>
        </w:tc>
        <w:tc>
          <w:tcPr>
            <w:tcW w:w="1559" w:type="dxa"/>
            <w:noWrap/>
          </w:tcPr>
          <w:p w14:paraId="2E55A51B" w14:textId="77777777" w:rsidR="009D0006" w:rsidRPr="00BC3468" w:rsidRDefault="009D0006" w:rsidP="00CF0C3F">
            <w:pPr>
              <w:pStyle w:val="Tabletext"/>
            </w:pPr>
            <w:r>
              <w:t>33.3</w:t>
            </w:r>
          </w:p>
        </w:tc>
      </w:tr>
    </w:tbl>
    <w:p w14:paraId="28C6B672" w14:textId="77777777" w:rsidR="009D0006" w:rsidRDefault="009D0006" w:rsidP="00CF0C3F">
      <w:pPr>
        <w:pStyle w:val="Tableheading"/>
      </w:pPr>
      <w:r>
        <w:t>Table 127.</w:t>
      </w:r>
      <w:r>
        <w:lastRenderedPageBreak/>
        <w:t>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2EE835D" w14:textId="77777777" w:rsidTr="00CF0C3F">
        <w:trPr>
          <w:cnfStyle w:val="100000000000" w:firstRow="1" w:lastRow="0" w:firstColumn="0" w:lastColumn="0" w:oddVBand="0" w:evenVBand="0" w:oddHBand="0" w:evenHBand="0" w:firstRowFirstColumn="0" w:firstRowLastColumn="0" w:lastRowFirstColumn="0" w:lastRowLastColumn="0"/>
          <w:trHeight w:val="248"/>
        </w:trPr>
        <w:tc>
          <w:tcPr>
            <w:tcW w:w="6746" w:type="dxa"/>
            <w:noWrap/>
            <w:hideMark/>
          </w:tcPr>
          <w:p w14:paraId="6A51F4AD" w14:textId="77777777" w:rsidR="009D0006" w:rsidRPr="00030452" w:rsidRDefault="009D0006" w:rsidP="00CF0C3F">
            <w:pPr>
              <w:pStyle w:val="Tableheader"/>
              <w:rPr>
                <w:bCs/>
              </w:rPr>
            </w:pPr>
            <w:r w:rsidRPr="00030452">
              <w:t>Harassment or assault in past 12 months</w:t>
            </w:r>
          </w:p>
        </w:tc>
        <w:tc>
          <w:tcPr>
            <w:tcW w:w="1559" w:type="dxa"/>
            <w:noWrap/>
            <w:hideMark/>
          </w:tcPr>
          <w:p w14:paraId="652472B4" w14:textId="77777777" w:rsidR="009D0006" w:rsidRPr="00605989" w:rsidRDefault="009D0006" w:rsidP="00CF0C3F">
            <w:pPr>
              <w:pStyle w:val="Tableheader"/>
              <w:rPr>
                <w:bCs/>
              </w:rPr>
            </w:pPr>
            <w:r w:rsidRPr="00605989">
              <w:rPr>
                <w:bCs/>
              </w:rPr>
              <w:t>n</w:t>
            </w:r>
          </w:p>
        </w:tc>
        <w:tc>
          <w:tcPr>
            <w:tcW w:w="1559" w:type="dxa"/>
            <w:noWrap/>
            <w:hideMark/>
          </w:tcPr>
          <w:p w14:paraId="425145C6" w14:textId="77777777" w:rsidR="009D0006" w:rsidRPr="00605989" w:rsidRDefault="009D0006" w:rsidP="00CF0C3F">
            <w:pPr>
              <w:pStyle w:val="Tableheader"/>
              <w:rPr>
                <w:bCs/>
              </w:rPr>
            </w:pPr>
            <w:r w:rsidRPr="00605989">
              <w:rPr>
                <w:bCs/>
              </w:rPr>
              <w:t>%</w:t>
            </w:r>
          </w:p>
        </w:tc>
      </w:tr>
      <w:tr w:rsidR="009D0006" w:rsidRPr="00BC3468" w14:paraId="422CC3F6" w14:textId="77777777" w:rsidTr="00CF0C3F">
        <w:trPr>
          <w:cnfStyle w:val="000000100000" w:firstRow="0" w:lastRow="0" w:firstColumn="0" w:lastColumn="0" w:oddVBand="0" w:evenVBand="0" w:oddHBand="1" w:evenHBand="0" w:firstRowFirstColumn="0" w:firstRowLastColumn="0" w:lastRowFirstColumn="0" w:lastRowLastColumn="0"/>
          <w:trHeight w:val="248"/>
        </w:trPr>
        <w:tc>
          <w:tcPr>
            <w:tcW w:w="6746" w:type="dxa"/>
            <w:noWrap/>
            <w:hideMark/>
          </w:tcPr>
          <w:p w14:paraId="533256BC" w14:textId="77777777" w:rsidR="009D0006" w:rsidRPr="00BC3468" w:rsidRDefault="009D0006" w:rsidP="00CF0C3F">
            <w:pPr>
              <w:pStyle w:val="Tabletext"/>
            </w:pPr>
            <w:r>
              <w:t>Verbal</w:t>
            </w:r>
          </w:p>
        </w:tc>
        <w:tc>
          <w:tcPr>
            <w:tcW w:w="1559" w:type="dxa"/>
            <w:noWrap/>
          </w:tcPr>
          <w:p w14:paraId="4D363CDE" w14:textId="77777777" w:rsidR="009D0006" w:rsidRPr="00BC3468" w:rsidRDefault="009D0006" w:rsidP="00CF0C3F">
            <w:pPr>
              <w:pStyle w:val="Tabletext"/>
            </w:pPr>
            <w:r>
              <w:t>52</w:t>
            </w:r>
          </w:p>
        </w:tc>
        <w:tc>
          <w:tcPr>
            <w:tcW w:w="1559" w:type="dxa"/>
            <w:noWrap/>
          </w:tcPr>
          <w:p w14:paraId="34C9F0EF" w14:textId="77777777" w:rsidR="009D0006" w:rsidRPr="00BC3468" w:rsidRDefault="009D0006" w:rsidP="00CF0C3F">
            <w:pPr>
              <w:pStyle w:val="Tabletext"/>
            </w:pPr>
            <w:r>
              <w:t>40.3</w:t>
            </w:r>
          </w:p>
        </w:tc>
      </w:tr>
      <w:tr w:rsidR="009D0006" w:rsidRPr="00BC3468" w14:paraId="74CE50AE" w14:textId="77777777" w:rsidTr="00CF0C3F">
        <w:trPr>
          <w:cnfStyle w:val="000000010000" w:firstRow="0" w:lastRow="0" w:firstColumn="0" w:lastColumn="0" w:oddVBand="0" w:evenVBand="0" w:oddHBand="0" w:evenHBand="1" w:firstRowFirstColumn="0" w:firstRowLastColumn="0" w:lastRowFirstColumn="0" w:lastRowLastColumn="0"/>
          <w:trHeight w:val="248"/>
        </w:trPr>
        <w:tc>
          <w:tcPr>
            <w:tcW w:w="6746" w:type="dxa"/>
            <w:noWrap/>
            <w:hideMark/>
          </w:tcPr>
          <w:p w14:paraId="4A66849D" w14:textId="77777777" w:rsidR="009D0006" w:rsidRPr="00BC3468" w:rsidRDefault="009D0006" w:rsidP="00CF0C3F">
            <w:pPr>
              <w:pStyle w:val="Tabletext"/>
            </w:pPr>
            <w:r>
              <w:t>Physical</w:t>
            </w:r>
          </w:p>
        </w:tc>
        <w:tc>
          <w:tcPr>
            <w:tcW w:w="1559" w:type="dxa"/>
            <w:noWrap/>
          </w:tcPr>
          <w:p w14:paraId="59FA697A" w14:textId="77777777" w:rsidR="009D0006" w:rsidRPr="00BC3468" w:rsidRDefault="009D0006" w:rsidP="00CF0C3F">
            <w:pPr>
              <w:pStyle w:val="Tabletext"/>
            </w:pPr>
            <w:r>
              <w:t>8</w:t>
            </w:r>
          </w:p>
        </w:tc>
        <w:tc>
          <w:tcPr>
            <w:tcW w:w="1559" w:type="dxa"/>
            <w:noWrap/>
          </w:tcPr>
          <w:p w14:paraId="76AD637B" w14:textId="77777777" w:rsidR="009D0006" w:rsidRPr="00BC3468" w:rsidRDefault="009D0006" w:rsidP="00CF0C3F">
            <w:pPr>
              <w:pStyle w:val="Tabletext"/>
            </w:pPr>
            <w:r>
              <w:t>6.8</w:t>
            </w:r>
          </w:p>
        </w:tc>
      </w:tr>
      <w:tr w:rsidR="009D0006" w:rsidRPr="00BC3468" w14:paraId="182C26A4" w14:textId="77777777" w:rsidTr="00CF0C3F">
        <w:trPr>
          <w:cnfStyle w:val="000000100000" w:firstRow="0" w:lastRow="0" w:firstColumn="0" w:lastColumn="0" w:oddVBand="0" w:evenVBand="0" w:oddHBand="1" w:evenHBand="0" w:firstRowFirstColumn="0" w:firstRowLastColumn="0" w:lastRowFirstColumn="0" w:lastRowLastColumn="0"/>
          <w:trHeight w:val="248"/>
        </w:trPr>
        <w:tc>
          <w:tcPr>
            <w:tcW w:w="6746" w:type="dxa"/>
            <w:noWrap/>
            <w:hideMark/>
          </w:tcPr>
          <w:p w14:paraId="29FA0BBD" w14:textId="77777777" w:rsidR="009D0006" w:rsidRPr="00BC3468" w:rsidRDefault="009D0006" w:rsidP="00CF0C3F">
            <w:pPr>
              <w:pStyle w:val="Tabletext"/>
            </w:pPr>
            <w:r>
              <w:t>Sexual</w:t>
            </w:r>
          </w:p>
        </w:tc>
        <w:tc>
          <w:tcPr>
            <w:tcW w:w="1559" w:type="dxa"/>
            <w:noWrap/>
          </w:tcPr>
          <w:p w14:paraId="78A1141E" w14:textId="77777777" w:rsidR="009D0006" w:rsidRPr="00BC3468" w:rsidRDefault="009D0006" w:rsidP="00CF0C3F">
            <w:pPr>
              <w:pStyle w:val="Tabletext"/>
            </w:pPr>
            <w:r>
              <w:t>24</w:t>
            </w:r>
          </w:p>
        </w:tc>
        <w:tc>
          <w:tcPr>
            <w:tcW w:w="1559" w:type="dxa"/>
            <w:noWrap/>
          </w:tcPr>
          <w:p w14:paraId="568DC785" w14:textId="77777777" w:rsidR="009D0006" w:rsidRPr="00BC3468" w:rsidRDefault="009D0006" w:rsidP="00CF0C3F">
            <w:pPr>
              <w:pStyle w:val="Tabletext"/>
            </w:pPr>
            <w:r>
              <w:t>20.5</w:t>
            </w:r>
          </w:p>
        </w:tc>
      </w:tr>
    </w:tbl>
    <w:p w14:paraId="70D31593" w14:textId="77777777" w:rsidR="009D0006" w:rsidRDefault="009D0006" w:rsidP="00CF0C3F">
      <w:pPr>
        <w:pStyle w:val="Tableheading"/>
      </w:pPr>
      <w:r>
        <w:t>Table 127.7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F904E79" w14:textId="77777777" w:rsidTr="00CF0C3F">
        <w:trPr>
          <w:cnfStyle w:val="100000000000" w:firstRow="1" w:lastRow="0" w:firstColumn="0" w:lastColumn="0" w:oddVBand="0" w:evenVBand="0" w:oddHBand="0" w:evenHBand="0" w:firstRowFirstColumn="0" w:firstRowLastColumn="0" w:lastRowFirstColumn="0" w:lastRowLastColumn="0"/>
          <w:trHeight w:val="212"/>
        </w:trPr>
        <w:tc>
          <w:tcPr>
            <w:tcW w:w="6746" w:type="dxa"/>
            <w:noWrap/>
            <w:hideMark/>
          </w:tcPr>
          <w:p w14:paraId="6CEFAADA" w14:textId="77777777" w:rsidR="009D0006" w:rsidRPr="00030452" w:rsidRDefault="009D0006" w:rsidP="00CF0C3F">
            <w:pPr>
              <w:pStyle w:val="Tableheader"/>
              <w:rPr>
                <w:bCs/>
              </w:rPr>
            </w:pPr>
            <w:r w:rsidRPr="00030452">
              <w:t>Harassment or assault in past 12 months</w:t>
            </w:r>
          </w:p>
        </w:tc>
        <w:tc>
          <w:tcPr>
            <w:tcW w:w="1559" w:type="dxa"/>
          </w:tcPr>
          <w:p w14:paraId="417A502D" w14:textId="77777777" w:rsidR="009D0006" w:rsidRPr="00605989" w:rsidRDefault="009D0006" w:rsidP="00CF0C3F">
            <w:pPr>
              <w:pStyle w:val="Tableheader"/>
              <w:rPr>
                <w:bCs/>
              </w:rPr>
            </w:pPr>
            <w:r w:rsidRPr="00605989">
              <w:rPr>
                <w:bCs/>
              </w:rPr>
              <w:t>n</w:t>
            </w:r>
          </w:p>
        </w:tc>
        <w:tc>
          <w:tcPr>
            <w:tcW w:w="1559" w:type="dxa"/>
          </w:tcPr>
          <w:p w14:paraId="0C62A63E" w14:textId="77777777" w:rsidR="009D0006" w:rsidRPr="00605989" w:rsidRDefault="009D0006" w:rsidP="00CF0C3F">
            <w:pPr>
              <w:pStyle w:val="Tableheader"/>
              <w:rPr>
                <w:bCs/>
              </w:rPr>
            </w:pPr>
            <w:r w:rsidRPr="00605989">
              <w:rPr>
                <w:bCs/>
              </w:rPr>
              <w:t>%</w:t>
            </w:r>
          </w:p>
        </w:tc>
      </w:tr>
      <w:tr w:rsidR="009D0006" w:rsidRPr="00BC3468" w14:paraId="6E721DDF" w14:textId="77777777" w:rsidTr="00CF0C3F">
        <w:trPr>
          <w:cnfStyle w:val="000000100000" w:firstRow="0" w:lastRow="0" w:firstColumn="0" w:lastColumn="0" w:oddVBand="0" w:evenVBand="0" w:oddHBand="1" w:evenHBand="0" w:firstRowFirstColumn="0" w:firstRowLastColumn="0" w:lastRowFirstColumn="0" w:lastRowLastColumn="0"/>
          <w:trHeight w:val="212"/>
        </w:trPr>
        <w:tc>
          <w:tcPr>
            <w:tcW w:w="6746" w:type="dxa"/>
            <w:noWrap/>
            <w:hideMark/>
          </w:tcPr>
          <w:p w14:paraId="1E1F4968" w14:textId="77777777" w:rsidR="009D0006" w:rsidRPr="00BC3468" w:rsidRDefault="009D0006" w:rsidP="00CF0C3F">
            <w:pPr>
              <w:pStyle w:val="Tabletext"/>
            </w:pPr>
            <w:r>
              <w:t>Verbal</w:t>
            </w:r>
          </w:p>
        </w:tc>
        <w:tc>
          <w:tcPr>
            <w:tcW w:w="1559" w:type="dxa"/>
          </w:tcPr>
          <w:p w14:paraId="314FDF44" w14:textId="77777777" w:rsidR="009D0006" w:rsidRPr="00BC3468" w:rsidRDefault="009D0006" w:rsidP="00CF0C3F">
            <w:pPr>
              <w:pStyle w:val="Tabletext"/>
            </w:pPr>
            <w:r>
              <w:t>163</w:t>
            </w:r>
          </w:p>
        </w:tc>
        <w:tc>
          <w:tcPr>
            <w:tcW w:w="1559" w:type="dxa"/>
          </w:tcPr>
          <w:p w14:paraId="60350E4A" w14:textId="77777777" w:rsidR="009D0006" w:rsidRPr="00BC3468" w:rsidRDefault="009D0006" w:rsidP="00CF0C3F">
            <w:pPr>
              <w:pStyle w:val="Tabletext"/>
            </w:pPr>
            <w:r>
              <w:t>48.4</w:t>
            </w:r>
          </w:p>
        </w:tc>
      </w:tr>
      <w:tr w:rsidR="009D0006" w:rsidRPr="00BC3468" w14:paraId="262A99CC" w14:textId="77777777" w:rsidTr="00CF0C3F">
        <w:trPr>
          <w:cnfStyle w:val="000000010000" w:firstRow="0" w:lastRow="0" w:firstColumn="0" w:lastColumn="0" w:oddVBand="0" w:evenVBand="0" w:oddHBand="0" w:evenHBand="1" w:firstRowFirstColumn="0" w:firstRowLastColumn="0" w:lastRowFirstColumn="0" w:lastRowLastColumn="0"/>
          <w:trHeight w:val="212"/>
        </w:trPr>
        <w:tc>
          <w:tcPr>
            <w:tcW w:w="6746" w:type="dxa"/>
            <w:noWrap/>
            <w:hideMark/>
          </w:tcPr>
          <w:p w14:paraId="2AF0F0EB" w14:textId="77777777" w:rsidR="009D0006" w:rsidRPr="00BC3468" w:rsidRDefault="009D0006" w:rsidP="00CF0C3F">
            <w:pPr>
              <w:pStyle w:val="Tabletext"/>
            </w:pPr>
            <w:r>
              <w:t>Physical</w:t>
            </w:r>
          </w:p>
        </w:tc>
        <w:tc>
          <w:tcPr>
            <w:tcW w:w="1559" w:type="dxa"/>
          </w:tcPr>
          <w:p w14:paraId="7857396A" w14:textId="77777777" w:rsidR="009D0006" w:rsidRPr="00BC3468" w:rsidRDefault="009D0006" w:rsidP="00CF0C3F">
            <w:pPr>
              <w:pStyle w:val="Tabletext"/>
            </w:pPr>
            <w:r>
              <w:t>32</w:t>
            </w:r>
          </w:p>
        </w:tc>
        <w:tc>
          <w:tcPr>
            <w:tcW w:w="1559" w:type="dxa"/>
          </w:tcPr>
          <w:p w14:paraId="454293BD" w14:textId="77777777" w:rsidR="009D0006" w:rsidRPr="00BC3468" w:rsidRDefault="009D0006" w:rsidP="00CF0C3F">
            <w:pPr>
              <w:pStyle w:val="Tabletext"/>
            </w:pPr>
            <w:r>
              <w:t>10.6</w:t>
            </w:r>
          </w:p>
        </w:tc>
      </w:tr>
      <w:tr w:rsidR="009D0006" w:rsidRPr="00BC3468" w14:paraId="4735E531" w14:textId="77777777" w:rsidTr="00CF0C3F">
        <w:trPr>
          <w:cnfStyle w:val="000000100000" w:firstRow="0" w:lastRow="0" w:firstColumn="0" w:lastColumn="0" w:oddVBand="0" w:evenVBand="0" w:oddHBand="1" w:evenHBand="0" w:firstRowFirstColumn="0" w:firstRowLastColumn="0" w:lastRowFirstColumn="0" w:lastRowLastColumn="0"/>
          <w:trHeight w:val="212"/>
        </w:trPr>
        <w:tc>
          <w:tcPr>
            <w:tcW w:w="6746" w:type="dxa"/>
            <w:noWrap/>
            <w:hideMark/>
          </w:tcPr>
          <w:p w14:paraId="4B5ADC4F" w14:textId="77777777" w:rsidR="009D0006" w:rsidRPr="00BC3468" w:rsidRDefault="009D0006" w:rsidP="00CF0C3F">
            <w:pPr>
              <w:pStyle w:val="Tabletext"/>
            </w:pPr>
            <w:r>
              <w:t>Sexual</w:t>
            </w:r>
          </w:p>
        </w:tc>
        <w:tc>
          <w:tcPr>
            <w:tcW w:w="1559" w:type="dxa"/>
          </w:tcPr>
          <w:p w14:paraId="77C29B30" w14:textId="77777777" w:rsidR="009D0006" w:rsidRPr="00BC3468" w:rsidRDefault="009D0006" w:rsidP="00CF0C3F">
            <w:pPr>
              <w:pStyle w:val="Tabletext"/>
            </w:pPr>
            <w:r>
              <w:t>88</w:t>
            </w:r>
          </w:p>
        </w:tc>
        <w:tc>
          <w:tcPr>
            <w:tcW w:w="1559" w:type="dxa"/>
          </w:tcPr>
          <w:p w14:paraId="7FC86E21" w14:textId="77777777" w:rsidR="009D0006" w:rsidRPr="00BC3468" w:rsidRDefault="009D0006" w:rsidP="00CF0C3F">
            <w:pPr>
              <w:pStyle w:val="Tabletext"/>
            </w:pPr>
            <w:r>
              <w:t>28.5</w:t>
            </w:r>
          </w:p>
        </w:tc>
      </w:tr>
    </w:tbl>
    <w:p w14:paraId="79A676B8" w14:textId="77777777" w:rsidR="009D0006" w:rsidRDefault="009D0006" w:rsidP="00AB4A74">
      <w:pPr>
        <w:spacing w:before="360"/>
      </w:pPr>
      <w:r w:rsidRPr="003271DA">
        <w:t>As displayed in Table</w:t>
      </w:r>
      <w:r>
        <w:t>s</w:t>
      </w:r>
      <w:r w:rsidRPr="003271DA">
        <w:t xml:space="preserve"> </w:t>
      </w:r>
      <w:r>
        <w:t xml:space="preserve">127.1-127.7, almost 60% of participants with disability in </w:t>
      </w:r>
      <w:r>
        <w:rPr>
          <w:i/>
          <w:iCs/>
        </w:rPr>
        <w:t>Writing Themselves In 4</w:t>
      </w:r>
      <w:r>
        <w:t xml:space="preserve"> who identified as gay had experienced verbal harassment in the past 12 months (57.1%; n = 157). This was followed by participants who identified as queer (56.5%; n = 147), participants who identified as pansexual (53.4%; n = 183), participants who identified as lesbian (49.6%; n = 167), participants who identified as something else (48.4%; n = 163), participants who identified as bisexual (41.0%; n = 300) and participants who identified as asexual (40.3%; n = 52).</w:t>
      </w:r>
    </w:p>
    <w:p w14:paraId="02255C98" w14:textId="77777777" w:rsidR="009D0006" w:rsidRDefault="009D0006" w:rsidP="009D0006">
      <w:r>
        <w:t>Similarly, participants who identified as gay had the highest proportion who had experienced physical harassment in the past 12 months (18.7%; n = 46). This was followed by participants who identified as pansexual (16.1%; n = 49), participants who identified as queer (15.1%; n = 34), participants who identified as lesbian (12.0%; n = 35), participants who identified as something else (10.6%; n = 32), participants who identified as bisexual (9.2%; n = 60) and participants who identified as asexual (6.8%; n = 8).</w:t>
      </w:r>
    </w:p>
    <w:p w14:paraId="6E5DEE7C" w14:textId="77777777" w:rsidR="009D0006" w:rsidRDefault="009D0006" w:rsidP="009D0006">
      <w:r>
        <w:t>More than one-third of participants who identified as lesbian had experienced sexual assault in the past 12 months (33.8%; n = 103). This was followed by participants who identified as queer (33.3%; n = 78), participants who identified as gay (30.2%; n = 76), participants who identified as bisexual (29.1%; n = 197), participants who identified as pansexual (28.8%; n = 93), participants who identified as something else (28.5%; n = 88) and participants who identified as asexual (20.5%; n = 24).</w:t>
      </w:r>
    </w:p>
    <w:p w14:paraId="2492FEE4" w14:textId="57ADE880" w:rsidR="009D0006" w:rsidRPr="00C5739E" w:rsidRDefault="009D0006" w:rsidP="009401DC">
      <w:pPr>
        <w:pStyle w:val="Heading3Numbered"/>
      </w:pPr>
      <w:bookmarkStart w:id="961" w:name="_Toc115968681"/>
      <w:r>
        <w:t>H</w:t>
      </w:r>
      <w:r w:rsidRPr="00C5739E">
        <w:t>arassment</w:t>
      </w:r>
      <w:r>
        <w:lastRenderedPageBreak/>
        <w:t>, assault</w:t>
      </w:r>
      <w:r w:rsidRPr="00C5739E">
        <w:t xml:space="preserve"> </w:t>
      </w:r>
      <w:r>
        <w:t>and</w:t>
      </w:r>
      <w:r w:rsidRPr="00C5739E">
        <w:t xml:space="preserve"> </w:t>
      </w:r>
      <w:r>
        <w:t xml:space="preserve">social </w:t>
      </w:r>
      <w:r w:rsidRPr="00C5739E">
        <w:t>exclusion in the past 12 months based on sexuality or gender identity – adults aged 18+ years</w:t>
      </w:r>
      <w:bookmarkEnd w:id="961"/>
    </w:p>
    <w:p w14:paraId="36493457" w14:textId="1740996D" w:rsidR="009D0006" w:rsidRDefault="009D0006" w:rsidP="00CF0C3F">
      <w:pPr>
        <w:pStyle w:val="Tableheading"/>
      </w:pPr>
      <w:bookmarkStart w:id="962" w:name="_Toc117062845"/>
      <w:bookmarkStart w:id="963" w:name="_Toc119651530"/>
      <w:r w:rsidRPr="004B5CDE">
        <w:t>Table</w:t>
      </w:r>
      <w:r>
        <w:t>s</w:t>
      </w:r>
      <w:r w:rsidRPr="004B5CDE">
        <w:t xml:space="preserve"> </w:t>
      </w:r>
      <w:r>
        <w:rPr>
          <w:noProof/>
        </w:rPr>
        <w:fldChar w:fldCharType="begin"/>
      </w:r>
      <w:r>
        <w:rPr>
          <w:noProof/>
        </w:rPr>
        <w:instrText xml:space="preserve"> SEQ Table \* ARABIC </w:instrText>
      </w:r>
      <w:r>
        <w:rPr>
          <w:noProof/>
        </w:rPr>
        <w:fldChar w:fldCharType="separate"/>
      </w:r>
      <w:r>
        <w:rPr>
          <w:noProof/>
        </w:rPr>
        <w:t>128</w:t>
      </w:r>
      <w:r>
        <w:rPr>
          <w:noProof/>
        </w:rPr>
        <w:fldChar w:fldCharType="end"/>
      </w:r>
      <w:r>
        <w:rPr>
          <w:noProof/>
        </w:rPr>
        <w:t>.1-128.7</w:t>
      </w:r>
      <w:r>
        <w:t xml:space="preserve">: </w:t>
      </w:r>
      <w:r w:rsidRPr="004B5CDE">
        <w:t xml:space="preserve">Experiences of </w:t>
      </w:r>
      <w:r>
        <w:t>harassment, assault and social exclusion</w:t>
      </w:r>
      <w:r w:rsidRPr="00C5739E">
        <w:t xml:space="preserve"> </w:t>
      </w:r>
      <w:r w:rsidRPr="004B5CDE">
        <w:t xml:space="preserve">due to sexual orientation or gender identity in the past 12 months </w:t>
      </w:r>
      <w:r>
        <w:t>among adults with disability aged 18+ years, grouped by sexual orientation</w:t>
      </w:r>
      <w:bookmarkEnd w:id="962"/>
      <w:bookmarkEnd w:id="963"/>
    </w:p>
    <w:p w14:paraId="3169BA55" w14:textId="77777777" w:rsidR="009D0006" w:rsidRDefault="009D0006" w:rsidP="00CF0C3F">
      <w:pPr>
        <w:pStyle w:val="Tableheading"/>
      </w:pPr>
      <w:r>
        <w:t>Table 128.1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63BC731" w14:textId="77777777" w:rsidTr="00CF0C3F">
        <w:trPr>
          <w:cnfStyle w:val="100000000000" w:firstRow="1" w:lastRow="0" w:firstColumn="0" w:lastColumn="0" w:oddVBand="0" w:evenVBand="0" w:oddHBand="0" w:evenHBand="0" w:firstRowFirstColumn="0" w:firstRowLastColumn="0" w:lastRowFirstColumn="0" w:lastRowLastColumn="0"/>
          <w:trHeight w:val="289"/>
        </w:trPr>
        <w:tc>
          <w:tcPr>
            <w:tcW w:w="6746" w:type="dxa"/>
            <w:noWrap/>
            <w:hideMark/>
          </w:tcPr>
          <w:p w14:paraId="401E28B8" w14:textId="77777777" w:rsidR="009D0006" w:rsidRPr="00030452" w:rsidRDefault="009D0006" w:rsidP="00CF0C3F">
            <w:pPr>
              <w:pStyle w:val="Tableheader"/>
              <w:rPr>
                <w:bCs/>
              </w:rPr>
            </w:pPr>
            <w:r w:rsidRPr="00030452">
              <w:t>Harassment or assault in past 12 months</w:t>
            </w:r>
          </w:p>
        </w:tc>
        <w:tc>
          <w:tcPr>
            <w:tcW w:w="1559" w:type="dxa"/>
            <w:noWrap/>
            <w:hideMark/>
          </w:tcPr>
          <w:p w14:paraId="600CEC84" w14:textId="77777777" w:rsidR="009D0006" w:rsidRPr="00814F94" w:rsidRDefault="009D0006" w:rsidP="00CF0C3F">
            <w:pPr>
              <w:pStyle w:val="Tableheader"/>
              <w:rPr>
                <w:bCs/>
              </w:rPr>
            </w:pPr>
            <w:r w:rsidRPr="00814F94">
              <w:rPr>
                <w:bCs/>
              </w:rPr>
              <w:t>n</w:t>
            </w:r>
          </w:p>
        </w:tc>
        <w:tc>
          <w:tcPr>
            <w:tcW w:w="1559" w:type="dxa"/>
            <w:noWrap/>
            <w:hideMark/>
          </w:tcPr>
          <w:p w14:paraId="6ADA5D57" w14:textId="77777777" w:rsidR="009D0006" w:rsidRPr="00814F94" w:rsidRDefault="009D0006" w:rsidP="00CF0C3F">
            <w:pPr>
              <w:pStyle w:val="Tableheader"/>
              <w:rPr>
                <w:bCs/>
              </w:rPr>
            </w:pPr>
            <w:r w:rsidRPr="00814F94">
              <w:rPr>
                <w:bCs/>
              </w:rPr>
              <w:t>%</w:t>
            </w:r>
          </w:p>
        </w:tc>
      </w:tr>
      <w:tr w:rsidR="009D0006" w:rsidRPr="00BC3468" w14:paraId="3EFA4C80" w14:textId="77777777" w:rsidTr="00CF0C3F">
        <w:trPr>
          <w:cnfStyle w:val="000000100000" w:firstRow="0" w:lastRow="0" w:firstColumn="0" w:lastColumn="0" w:oddVBand="0" w:evenVBand="0" w:oddHBand="1" w:evenHBand="0" w:firstRowFirstColumn="0" w:firstRowLastColumn="0" w:lastRowFirstColumn="0" w:lastRowLastColumn="0"/>
          <w:trHeight w:val="289"/>
        </w:trPr>
        <w:tc>
          <w:tcPr>
            <w:tcW w:w="6746" w:type="dxa"/>
            <w:noWrap/>
            <w:hideMark/>
          </w:tcPr>
          <w:p w14:paraId="4E5594EB" w14:textId="77777777" w:rsidR="009D0006" w:rsidRPr="00BC3468" w:rsidRDefault="009D0006" w:rsidP="00CF0C3F">
            <w:pPr>
              <w:pStyle w:val="Tabletext"/>
            </w:pPr>
            <w:r w:rsidRPr="00EF597C">
              <w:rPr>
                <w:lang w:val="en-US"/>
              </w:rPr>
              <w:t>Socially excluded</w:t>
            </w:r>
          </w:p>
        </w:tc>
        <w:tc>
          <w:tcPr>
            <w:tcW w:w="1559" w:type="dxa"/>
            <w:noWrap/>
          </w:tcPr>
          <w:p w14:paraId="443EC759" w14:textId="77777777" w:rsidR="009D0006" w:rsidRPr="00BC3468" w:rsidRDefault="009D0006" w:rsidP="00CF0C3F">
            <w:pPr>
              <w:pStyle w:val="Tabletext"/>
            </w:pPr>
            <w:r>
              <w:t>236</w:t>
            </w:r>
          </w:p>
        </w:tc>
        <w:tc>
          <w:tcPr>
            <w:tcW w:w="1559" w:type="dxa"/>
            <w:noWrap/>
          </w:tcPr>
          <w:p w14:paraId="37728237" w14:textId="77777777" w:rsidR="009D0006" w:rsidRPr="00BC3468" w:rsidRDefault="009D0006" w:rsidP="00CF0C3F">
            <w:pPr>
              <w:pStyle w:val="Tabletext"/>
            </w:pPr>
            <w:r>
              <w:t>50.1</w:t>
            </w:r>
          </w:p>
        </w:tc>
      </w:tr>
      <w:tr w:rsidR="009D0006" w:rsidRPr="00BC3468" w14:paraId="3E40DDF2" w14:textId="77777777" w:rsidTr="00CF0C3F">
        <w:trPr>
          <w:cnfStyle w:val="000000010000" w:firstRow="0" w:lastRow="0" w:firstColumn="0" w:lastColumn="0" w:oddVBand="0" w:evenVBand="0" w:oddHBand="0" w:evenHBand="1" w:firstRowFirstColumn="0" w:firstRowLastColumn="0" w:lastRowFirstColumn="0" w:lastRowLastColumn="0"/>
          <w:trHeight w:val="140"/>
        </w:trPr>
        <w:tc>
          <w:tcPr>
            <w:tcW w:w="6746" w:type="dxa"/>
            <w:noWrap/>
            <w:hideMark/>
          </w:tcPr>
          <w:p w14:paraId="2355A025" w14:textId="77777777" w:rsidR="009D0006" w:rsidRPr="00BC3468" w:rsidRDefault="009D0006" w:rsidP="00CF0C3F">
            <w:pPr>
              <w:pStyle w:val="Tabletext"/>
            </w:pPr>
            <w:r w:rsidRPr="00EF597C">
              <w:rPr>
                <w:lang w:val="en-US"/>
              </w:rPr>
              <w:t>Verbal abuse (including hateful or obscene phone calls)</w:t>
            </w:r>
          </w:p>
        </w:tc>
        <w:tc>
          <w:tcPr>
            <w:tcW w:w="1559" w:type="dxa"/>
            <w:noWrap/>
          </w:tcPr>
          <w:p w14:paraId="26ED7685" w14:textId="77777777" w:rsidR="009D0006" w:rsidRPr="00BC3468" w:rsidRDefault="009D0006" w:rsidP="00CF0C3F">
            <w:pPr>
              <w:pStyle w:val="Tabletext"/>
            </w:pPr>
            <w:r>
              <w:t>211</w:t>
            </w:r>
          </w:p>
        </w:tc>
        <w:tc>
          <w:tcPr>
            <w:tcW w:w="1559" w:type="dxa"/>
            <w:noWrap/>
          </w:tcPr>
          <w:p w14:paraId="7EE8A64D" w14:textId="77777777" w:rsidR="009D0006" w:rsidRPr="00BC3468" w:rsidRDefault="009D0006" w:rsidP="00CF0C3F">
            <w:pPr>
              <w:pStyle w:val="Tabletext"/>
            </w:pPr>
            <w:r>
              <w:t>45.3</w:t>
            </w:r>
          </w:p>
        </w:tc>
      </w:tr>
      <w:tr w:rsidR="009D0006" w:rsidRPr="00BC3468" w14:paraId="5CBFADEC" w14:textId="77777777" w:rsidTr="00CF0C3F">
        <w:trPr>
          <w:cnfStyle w:val="000000100000" w:firstRow="0" w:lastRow="0" w:firstColumn="0" w:lastColumn="0" w:oddVBand="0" w:evenVBand="0" w:oddHBand="1" w:evenHBand="0" w:firstRowFirstColumn="0" w:firstRowLastColumn="0" w:lastRowFirstColumn="0" w:lastRowLastColumn="0"/>
          <w:trHeight w:val="140"/>
        </w:trPr>
        <w:tc>
          <w:tcPr>
            <w:tcW w:w="6746" w:type="dxa"/>
            <w:noWrap/>
            <w:hideMark/>
          </w:tcPr>
          <w:p w14:paraId="598F5E0F" w14:textId="77777777" w:rsidR="009D0006" w:rsidRPr="00BC3468" w:rsidRDefault="009D0006" w:rsidP="00CF0C3F">
            <w:pPr>
              <w:pStyle w:val="Tabletext"/>
            </w:pPr>
            <w:r w:rsidRPr="00EF597C">
              <w:rPr>
                <w:lang w:val="en-US"/>
              </w:rPr>
              <w:t>Harassment such as being spat at and offensive gestures</w:t>
            </w:r>
          </w:p>
        </w:tc>
        <w:tc>
          <w:tcPr>
            <w:tcW w:w="1559" w:type="dxa"/>
            <w:noWrap/>
          </w:tcPr>
          <w:p w14:paraId="6C185AC9" w14:textId="77777777" w:rsidR="009D0006" w:rsidRPr="00BC3468" w:rsidRDefault="009D0006" w:rsidP="00CF0C3F">
            <w:pPr>
              <w:pStyle w:val="Tabletext"/>
            </w:pPr>
            <w:r>
              <w:t>146</w:t>
            </w:r>
          </w:p>
        </w:tc>
        <w:tc>
          <w:tcPr>
            <w:tcW w:w="1559" w:type="dxa"/>
            <w:noWrap/>
          </w:tcPr>
          <w:p w14:paraId="7D5FBC17" w14:textId="77777777" w:rsidR="009D0006" w:rsidRPr="00BC3468" w:rsidRDefault="009D0006" w:rsidP="00CF0C3F">
            <w:pPr>
              <w:pStyle w:val="Tabletext"/>
            </w:pPr>
            <w:r>
              <w:t>31.7</w:t>
            </w:r>
          </w:p>
        </w:tc>
      </w:tr>
      <w:tr w:rsidR="009D0006" w:rsidRPr="00BC3468" w14:paraId="43BBF6BB" w14:textId="77777777" w:rsidTr="00CF0C3F">
        <w:trPr>
          <w:cnfStyle w:val="000000010000" w:firstRow="0" w:lastRow="0" w:firstColumn="0" w:lastColumn="0" w:oddVBand="0" w:evenVBand="0" w:oddHBand="0" w:evenHBand="1" w:firstRowFirstColumn="0" w:firstRowLastColumn="0" w:lastRowFirstColumn="0" w:lastRowLastColumn="0"/>
          <w:trHeight w:val="289"/>
        </w:trPr>
        <w:tc>
          <w:tcPr>
            <w:tcW w:w="6746" w:type="dxa"/>
            <w:noWrap/>
            <w:hideMark/>
          </w:tcPr>
          <w:p w14:paraId="40802268" w14:textId="77777777" w:rsidR="009D0006" w:rsidRPr="00BC3468" w:rsidRDefault="009D0006" w:rsidP="00CF0C3F">
            <w:pPr>
              <w:pStyle w:val="Tabletext"/>
            </w:pPr>
            <w:r>
              <w:rPr>
                <w:lang w:val="en-US"/>
              </w:rPr>
              <w:t>Sexual assault</w:t>
            </w:r>
          </w:p>
        </w:tc>
        <w:tc>
          <w:tcPr>
            <w:tcW w:w="1559" w:type="dxa"/>
            <w:noWrap/>
          </w:tcPr>
          <w:p w14:paraId="0EB4CA4C" w14:textId="77777777" w:rsidR="009D0006" w:rsidRPr="00BC3468" w:rsidRDefault="009D0006" w:rsidP="00CF0C3F">
            <w:pPr>
              <w:pStyle w:val="Tabletext"/>
            </w:pPr>
            <w:r>
              <w:t>60</w:t>
            </w:r>
          </w:p>
        </w:tc>
        <w:tc>
          <w:tcPr>
            <w:tcW w:w="1559" w:type="dxa"/>
            <w:noWrap/>
          </w:tcPr>
          <w:p w14:paraId="48C18945" w14:textId="77777777" w:rsidR="009D0006" w:rsidRPr="00BC3468" w:rsidRDefault="009D0006" w:rsidP="00CF0C3F">
            <w:pPr>
              <w:pStyle w:val="Tabletext"/>
            </w:pPr>
            <w:r>
              <w:t>13.4</w:t>
            </w:r>
          </w:p>
        </w:tc>
      </w:tr>
    </w:tbl>
    <w:p w14:paraId="1CF53588" w14:textId="77777777" w:rsidR="009D0006" w:rsidRDefault="009D0006" w:rsidP="00CF0C3F">
      <w:pPr>
        <w:pStyle w:val="Tableheading"/>
      </w:pPr>
      <w:r>
        <w:t>Table 128.2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309DCC2" w14:textId="77777777" w:rsidTr="00CF0C3F">
        <w:trPr>
          <w:cnfStyle w:val="100000000000" w:firstRow="1" w:lastRow="0" w:firstColumn="0" w:lastColumn="0" w:oddVBand="0" w:evenVBand="0" w:oddHBand="0" w:evenHBand="0" w:firstRowFirstColumn="0" w:firstRowLastColumn="0" w:lastRowFirstColumn="0" w:lastRowLastColumn="0"/>
          <w:trHeight w:val="316"/>
        </w:trPr>
        <w:tc>
          <w:tcPr>
            <w:tcW w:w="6746" w:type="dxa"/>
            <w:noWrap/>
            <w:hideMark/>
          </w:tcPr>
          <w:p w14:paraId="061374D5" w14:textId="77777777" w:rsidR="009D0006" w:rsidRPr="00030452" w:rsidRDefault="009D0006" w:rsidP="00CF0C3F">
            <w:pPr>
              <w:pStyle w:val="Tableheader"/>
              <w:rPr>
                <w:bCs/>
              </w:rPr>
            </w:pPr>
            <w:r w:rsidRPr="00030452">
              <w:t>Harassment or assault in past 12 months</w:t>
            </w:r>
          </w:p>
        </w:tc>
        <w:tc>
          <w:tcPr>
            <w:tcW w:w="1559" w:type="dxa"/>
            <w:noWrap/>
            <w:hideMark/>
          </w:tcPr>
          <w:p w14:paraId="3375BB5D" w14:textId="77777777" w:rsidR="009D0006" w:rsidRPr="00814F94" w:rsidRDefault="009D0006" w:rsidP="00CF0C3F">
            <w:pPr>
              <w:pStyle w:val="Tableheader"/>
              <w:rPr>
                <w:bCs/>
              </w:rPr>
            </w:pPr>
            <w:r w:rsidRPr="00814F94">
              <w:rPr>
                <w:bCs/>
              </w:rPr>
              <w:t>n</w:t>
            </w:r>
          </w:p>
        </w:tc>
        <w:tc>
          <w:tcPr>
            <w:tcW w:w="1559" w:type="dxa"/>
            <w:noWrap/>
            <w:hideMark/>
          </w:tcPr>
          <w:p w14:paraId="46A1AA2A" w14:textId="77777777" w:rsidR="009D0006" w:rsidRPr="00814F94" w:rsidRDefault="009D0006" w:rsidP="00CF0C3F">
            <w:pPr>
              <w:pStyle w:val="Tableheader"/>
              <w:rPr>
                <w:bCs/>
              </w:rPr>
            </w:pPr>
            <w:r w:rsidRPr="00814F94">
              <w:rPr>
                <w:bCs/>
              </w:rPr>
              <w:t>%</w:t>
            </w:r>
          </w:p>
        </w:tc>
      </w:tr>
      <w:tr w:rsidR="009D0006" w:rsidRPr="00BC3468" w14:paraId="0C53D010" w14:textId="77777777" w:rsidTr="00CF0C3F">
        <w:trPr>
          <w:cnfStyle w:val="000000100000" w:firstRow="0" w:lastRow="0" w:firstColumn="0" w:lastColumn="0" w:oddVBand="0" w:evenVBand="0" w:oddHBand="1" w:evenHBand="0" w:firstRowFirstColumn="0" w:firstRowLastColumn="0" w:lastRowFirstColumn="0" w:lastRowLastColumn="0"/>
          <w:trHeight w:val="316"/>
        </w:trPr>
        <w:tc>
          <w:tcPr>
            <w:tcW w:w="6746" w:type="dxa"/>
            <w:noWrap/>
            <w:hideMark/>
          </w:tcPr>
          <w:p w14:paraId="6C66CD99" w14:textId="77777777" w:rsidR="009D0006" w:rsidRPr="00BC3468" w:rsidRDefault="009D0006" w:rsidP="00CF0C3F">
            <w:pPr>
              <w:pStyle w:val="Tabletext"/>
            </w:pPr>
            <w:r w:rsidRPr="00EF597C">
              <w:rPr>
                <w:lang w:val="en-US"/>
              </w:rPr>
              <w:t>Socially excluded</w:t>
            </w:r>
          </w:p>
        </w:tc>
        <w:tc>
          <w:tcPr>
            <w:tcW w:w="1559" w:type="dxa"/>
            <w:noWrap/>
          </w:tcPr>
          <w:p w14:paraId="3EEA5F97" w14:textId="77777777" w:rsidR="009D0006" w:rsidRPr="00BC3468" w:rsidRDefault="009D0006" w:rsidP="00CF0C3F">
            <w:pPr>
              <w:pStyle w:val="Tabletext"/>
            </w:pPr>
            <w:r>
              <w:t>155</w:t>
            </w:r>
          </w:p>
        </w:tc>
        <w:tc>
          <w:tcPr>
            <w:tcW w:w="1559" w:type="dxa"/>
            <w:noWrap/>
          </w:tcPr>
          <w:p w14:paraId="40620B2F" w14:textId="77777777" w:rsidR="009D0006" w:rsidRPr="00BC3468" w:rsidRDefault="009D0006" w:rsidP="00CF0C3F">
            <w:pPr>
              <w:pStyle w:val="Tabletext"/>
            </w:pPr>
            <w:r>
              <w:t>42.2</w:t>
            </w:r>
          </w:p>
        </w:tc>
      </w:tr>
      <w:tr w:rsidR="009D0006" w:rsidRPr="00BC3468" w14:paraId="774595F3" w14:textId="77777777" w:rsidTr="00CF0C3F">
        <w:trPr>
          <w:cnfStyle w:val="000000010000" w:firstRow="0" w:lastRow="0" w:firstColumn="0" w:lastColumn="0" w:oddVBand="0" w:evenVBand="0" w:oddHBand="0" w:evenHBand="1" w:firstRowFirstColumn="0" w:firstRowLastColumn="0" w:lastRowFirstColumn="0" w:lastRowLastColumn="0"/>
          <w:trHeight w:val="153"/>
        </w:trPr>
        <w:tc>
          <w:tcPr>
            <w:tcW w:w="6746" w:type="dxa"/>
            <w:noWrap/>
            <w:hideMark/>
          </w:tcPr>
          <w:p w14:paraId="06619BF4" w14:textId="77777777" w:rsidR="009D0006" w:rsidRPr="00BC3468" w:rsidRDefault="009D0006" w:rsidP="00CF0C3F">
            <w:pPr>
              <w:pStyle w:val="Tabletext"/>
            </w:pPr>
            <w:r w:rsidRPr="00EF597C">
              <w:rPr>
                <w:lang w:val="en-US"/>
              </w:rPr>
              <w:t>Verbal abuse (including hateful or obscene phone calls)</w:t>
            </w:r>
          </w:p>
        </w:tc>
        <w:tc>
          <w:tcPr>
            <w:tcW w:w="1559" w:type="dxa"/>
            <w:noWrap/>
          </w:tcPr>
          <w:p w14:paraId="69A8A493" w14:textId="77777777" w:rsidR="009D0006" w:rsidRPr="00BC3468" w:rsidRDefault="009D0006" w:rsidP="00CF0C3F">
            <w:pPr>
              <w:pStyle w:val="Tabletext"/>
            </w:pPr>
            <w:r>
              <w:t>146</w:t>
            </w:r>
          </w:p>
        </w:tc>
        <w:tc>
          <w:tcPr>
            <w:tcW w:w="1559" w:type="dxa"/>
            <w:noWrap/>
          </w:tcPr>
          <w:p w14:paraId="05BE7971" w14:textId="77777777" w:rsidR="009D0006" w:rsidRPr="00BC3468" w:rsidRDefault="009D0006" w:rsidP="00CF0C3F">
            <w:pPr>
              <w:pStyle w:val="Tabletext"/>
            </w:pPr>
            <w:r>
              <w:t>39.1</w:t>
            </w:r>
          </w:p>
        </w:tc>
      </w:tr>
      <w:tr w:rsidR="009D0006" w:rsidRPr="00BC3468" w14:paraId="3F91140E" w14:textId="77777777" w:rsidTr="00CF0C3F">
        <w:trPr>
          <w:cnfStyle w:val="000000100000" w:firstRow="0" w:lastRow="0" w:firstColumn="0" w:lastColumn="0" w:oddVBand="0" w:evenVBand="0" w:oddHBand="1" w:evenHBand="0" w:firstRowFirstColumn="0" w:firstRowLastColumn="0" w:lastRowFirstColumn="0" w:lastRowLastColumn="0"/>
          <w:trHeight w:val="153"/>
        </w:trPr>
        <w:tc>
          <w:tcPr>
            <w:tcW w:w="6746" w:type="dxa"/>
            <w:noWrap/>
            <w:hideMark/>
          </w:tcPr>
          <w:p w14:paraId="43968A6E" w14:textId="77777777" w:rsidR="009D0006" w:rsidRPr="00BC3468" w:rsidRDefault="009D0006" w:rsidP="00CF0C3F">
            <w:pPr>
              <w:pStyle w:val="Tabletext"/>
            </w:pPr>
            <w:r w:rsidRPr="00EF597C">
              <w:rPr>
                <w:lang w:val="en-US"/>
              </w:rPr>
              <w:t>Harassment such as being spat at and offensive gestures</w:t>
            </w:r>
          </w:p>
        </w:tc>
        <w:tc>
          <w:tcPr>
            <w:tcW w:w="1559" w:type="dxa"/>
            <w:noWrap/>
          </w:tcPr>
          <w:p w14:paraId="0149813F" w14:textId="77777777" w:rsidR="009D0006" w:rsidRPr="00BC3468" w:rsidRDefault="009D0006" w:rsidP="00CF0C3F">
            <w:pPr>
              <w:pStyle w:val="Tabletext"/>
            </w:pPr>
            <w:r>
              <w:t>101</w:t>
            </w:r>
          </w:p>
        </w:tc>
        <w:tc>
          <w:tcPr>
            <w:tcW w:w="1559" w:type="dxa"/>
            <w:noWrap/>
          </w:tcPr>
          <w:p w14:paraId="7BEFF4D9" w14:textId="77777777" w:rsidR="009D0006" w:rsidRPr="00BC3468" w:rsidRDefault="009D0006" w:rsidP="00CF0C3F">
            <w:pPr>
              <w:pStyle w:val="Tabletext"/>
            </w:pPr>
            <w:r>
              <w:t>27.4</w:t>
            </w:r>
          </w:p>
        </w:tc>
      </w:tr>
      <w:tr w:rsidR="009D0006" w:rsidRPr="00BC3468" w14:paraId="2A426E28" w14:textId="77777777" w:rsidTr="00CF0C3F">
        <w:trPr>
          <w:cnfStyle w:val="000000010000" w:firstRow="0" w:lastRow="0" w:firstColumn="0" w:lastColumn="0" w:oddVBand="0" w:evenVBand="0" w:oddHBand="0" w:evenHBand="1" w:firstRowFirstColumn="0" w:firstRowLastColumn="0" w:lastRowFirstColumn="0" w:lastRowLastColumn="0"/>
          <w:trHeight w:val="316"/>
        </w:trPr>
        <w:tc>
          <w:tcPr>
            <w:tcW w:w="6746" w:type="dxa"/>
            <w:noWrap/>
            <w:hideMark/>
          </w:tcPr>
          <w:p w14:paraId="3BBB3FC4" w14:textId="77777777" w:rsidR="009D0006" w:rsidRPr="00BC3468" w:rsidRDefault="009D0006" w:rsidP="00CF0C3F">
            <w:pPr>
              <w:pStyle w:val="Tabletext"/>
            </w:pPr>
            <w:r>
              <w:rPr>
                <w:lang w:val="en-US"/>
              </w:rPr>
              <w:t>Sexual assault</w:t>
            </w:r>
          </w:p>
        </w:tc>
        <w:tc>
          <w:tcPr>
            <w:tcW w:w="1559" w:type="dxa"/>
            <w:noWrap/>
          </w:tcPr>
          <w:p w14:paraId="198A2483" w14:textId="77777777" w:rsidR="009D0006" w:rsidRPr="00BC3468" w:rsidRDefault="009D0006" w:rsidP="00CF0C3F">
            <w:pPr>
              <w:pStyle w:val="Tabletext"/>
            </w:pPr>
            <w:r>
              <w:t>45</w:t>
            </w:r>
          </w:p>
        </w:tc>
        <w:tc>
          <w:tcPr>
            <w:tcW w:w="1559" w:type="dxa"/>
            <w:noWrap/>
          </w:tcPr>
          <w:p w14:paraId="63A7750D" w14:textId="77777777" w:rsidR="009D0006" w:rsidRPr="00BC3468" w:rsidRDefault="009D0006" w:rsidP="00CF0C3F">
            <w:pPr>
              <w:pStyle w:val="Tabletext"/>
            </w:pPr>
            <w:r>
              <w:t>12.7</w:t>
            </w:r>
          </w:p>
        </w:tc>
      </w:tr>
    </w:tbl>
    <w:p w14:paraId="5188C6BA" w14:textId="77777777" w:rsidR="009D0006" w:rsidRDefault="009D0006" w:rsidP="00CF0C3F">
      <w:pPr>
        <w:pStyle w:val="Tableheading"/>
      </w:pPr>
      <w:r>
        <w:t>Table 128.3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B57339E" w14:textId="77777777" w:rsidTr="00CF0C3F">
        <w:trPr>
          <w:cnfStyle w:val="100000000000" w:firstRow="1" w:lastRow="0" w:firstColumn="0" w:lastColumn="0" w:oddVBand="0" w:evenVBand="0" w:oddHBand="0" w:evenHBand="0" w:firstRowFirstColumn="0" w:firstRowLastColumn="0" w:lastRowFirstColumn="0" w:lastRowLastColumn="0"/>
          <w:trHeight w:val="191"/>
        </w:trPr>
        <w:tc>
          <w:tcPr>
            <w:tcW w:w="6746" w:type="dxa"/>
            <w:noWrap/>
            <w:hideMark/>
          </w:tcPr>
          <w:p w14:paraId="073CB161" w14:textId="77777777" w:rsidR="009D0006" w:rsidRPr="00030452" w:rsidRDefault="009D0006" w:rsidP="00CF0C3F">
            <w:pPr>
              <w:pStyle w:val="Tableheader"/>
              <w:rPr>
                <w:bCs/>
              </w:rPr>
            </w:pPr>
            <w:r w:rsidRPr="00030452">
              <w:t>Harassment or assault in past 12 months</w:t>
            </w:r>
          </w:p>
        </w:tc>
        <w:tc>
          <w:tcPr>
            <w:tcW w:w="1559" w:type="dxa"/>
          </w:tcPr>
          <w:p w14:paraId="3E6D879E" w14:textId="77777777" w:rsidR="009D0006" w:rsidRPr="00814F94" w:rsidRDefault="009D0006" w:rsidP="00CF0C3F">
            <w:pPr>
              <w:pStyle w:val="Tableheader"/>
              <w:rPr>
                <w:bCs/>
              </w:rPr>
            </w:pPr>
            <w:r w:rsidRPr="00814F94">
              <w:rPr>
                <w:bCs/>
              </w:rPr>
              <w:t>n</w:t>
            </w:r>
          </w:p>
        </w:tc>
        <w:tc>
          <w:tcPr>
            <w:tcW w:w="1559" w:type="dxa"/>
          </w:tcPr>
          <w:p w14:paraId="0AF886C7" w14:textId="77777777" w:rsidR="009D0006" w:rsidRPr="00814F94" w:rsidRDefault="009D0006" w:rsidP="00CF0C3F">
            <w:pPr>
              <w:pStyle w:val="Tableheader"/>
              <w:rPr>
                <w:bCs/>
              </w:rPr>
            </w:pPr>
            <w:r w:rsidRPr="00814F94">
              <w:rPr>
                <w:bCs/>
              </w:rPr>
              <w:t>%</w:t>
            </w:r>
          </w:p>
        </w:tc>
      </w:tr>
      <w:tr w:rsidR="009D0006" w:rsidRPr="00BC3468" w14:paraId="2E3826CB" w14:textId="77777777" w:rsidTr="00CF0C3F">
        <w:trPr>
          <w:cnfStyle w:val="000000100000" w:firstRow="0" w:lastRow="0" w:firstColumn="0" w:lastColumn="0" w:oddVBand="0" w:evenVBand="0" w:oddHBand="1" w:evenHBand="0" w:firstRowFirstColumn="0" w:firstRowLastColumn="0" w:lastRowFirstColumn="0" w:lastRowLastColumn="0"/>
          <w:trHeight w:val="191"/>
        </w:trPr>
        <w:tc>
          <w:tcPr>
            <w:tcW w:w="6746" w:type="dxa"/>
            <w:noWrap/>
            <w:hideMark/>
          </w:tcPr>
          <w:p w14:paraId="5B641E7F" w14:textId="77777777" w:rsidR="009D0006" w:rsidRPr="00BC3468" w:rsidRDefault="009D0006" w:rsidP="00CF0C3F">
            <w:pPr>
              <w:pStyle w:val="Tabletext"/>
            </w:pPr>
            <w:r w:rsidRPr="00EF597C">
              <w:rPr>
                <w:lang w:val="en-US"/>
              </w:rPr>
              <w:t>Socially excluded</w:t>
            </w:r>
          </w:p>
        </w:tc>
        <w:tc>
          <w:tcPr>
            <w:tcW w:w="1559" w:type="dxa"/>
          </w:tcPr>
          <w:p w14:paraId="2AF2CFC5" w14:textId="77777777" w:rsidR="009D0006" w:rsidRPr="00BC3468" w:rsidRDefault="009D0006" w:rsidP="00CF0C3F">
            <w:pPr>
              <w:pStyle w:val="Tabletext"/>
            </w:pPr>
            <w:r>
              <w:t>264</w:t>
            </w:r>
          </w:p>
        </w:tc>
        <w:tc>
          <w:tcPr>
            <w:tcW w:w="1559" w:type="dxa"/>
          </w:tcPr>
          <w:p w14:paraId="4019860B" w14:textId="77777777" w:rsidR="009D0006" w:rsidRPr="00BC3468" w:rsidRDefault="009D0006" w:rsidP="00CF0C3F">
            <w:pPr>
              <w:pStyle w:val="Tabletext"/>
            </w:pPr>
            <w:r>
              <w:t>45.7</w:t>
            </w:r>
          </w:p>
        </w:tc>
      </w:tr>
      <w:tr w:rsidR="009D0006" w:rsidRPr="00BC3468" w14:paraId="3D53BFE0" w14:textId="77777777" w:rsidTr="00CF0C3F">
        <w:trPr>
          <w:cnfStyle w:val="000000010000" w:firstRow="0" w:lastRow="0" w:firstColumn="0" w:lastColumn="0" w:oddVBand="0" w:evenVBand="0" w:oddHBand="0" w:evenHBand="1" w:firstRowFirstColumn="0" w:firstRowLastColumn="0" w:lastRowFirstColumn="0" w:lastRowLastColumn="0"/>
          <w:trHeight w:val="93"/>
        </w:trPr>
        <w:tc>
          <w:tcPr>
            <w:tcW w:w="6746" w:type="dxa"/>
            <w:noWrap/>
            <w:hideMark/>
          </w:tcPr>
          <w:p w14:paraId="3B350892" w14:textId="77777777" w:rsidR="009D0006" w:rsidRPr="00BC3468" w:rsidRDefault="009D0006" w:rsidP="00CF0C3F">
            <w:pPr>
              <w:pStyle w:val="Tabletext"/>
            </w:pPr>
            <w:r w:rsidRPr="00EF597C">
              <w:rPr>
                <w:lang w:val="en-US"/>
              </w:rPr>
              <w:t>Verbal abuse (including hateful or obscene phone calls)</w:t>
            </w:r>
          </w:p>
        </w:tc>
        <w:tc>
          <w:tcPr>
            <w:tcW w:w="1559" w:type="dxa"/>
          </w:tcPr>
          <w:p w14:paraId="7C96A62C" w14:textId="77777777" w:rsidR="009D0006" w:rsidRPr="00BC3468" w:rsidRDefault="009D0006" w:rsidP="00CF0C3F">
            <w:pPr>
              <w:pStyle w:val="Tabletext"/>
            </w:pPr>
            <w:r>
              <w:t>192</w:t>
            </w:r>
          </w:p>
        </w:tc>
        <w:tc>
          <w:tcPr>
            <w:tcW w:w="1559" w:type="dxa"/>
          </w:tcPr>
          <w:p w14:paraId="3A71DDB8" w14:textId="77777777" w:rsidR="009D0006" w:rsidRPr="00BC3468" w:rsidRDefault="009D0006" w:rsidP="00CF0C3F">
            <w:pPr>
              <w:pStyle w:val="Tabletext"/>
            </w:pPr>
            <w:r>
              <w:t>33.7</w:t>
            </w:r>
          </w:p>
        </w:tc>
      </w:tr>
      <w:tr w:rsidR="009D0006" w:rsidRPr="00BC3468" w14:paraId="5A9775C0" w14:textId="77777777" w:rsidTr="00CF0C3F">
        <w:trPr>
          <w:cnfStyle w:val="000000100000" w:firstRow="0" w:lastRow="0" w:firstColumn="0" w:lastColumn="0" w:oddVBand="0" w:evenVBand="0" w:oddHBand="1" w:evenHBand="0" w:firstRowFirstColumn="0" w:firstRowLastColumn="0" w:lastRowFirstColumn="0" w:lastRowLastColumn="0"/>
          <w:trHeight w:val="93"/>
        </w:trPr>
        <w:tc>
          <w:tcPr>
            <w:tcW w:w="6746" w:type="dxa"/>
            <w:noWrap/>
            <w:hideMark/>
          </w:tcPr>
          <w:p w14:paraId="50F4BAA8" w14:textId="77777777" w:rsidR="009D0006" w:rsidRPr="00BC3468" w:rsidRDefault="009D0006" w:rsidP="00CF0C3F">
            <w:pPr>
              <w:pStyle w:val="Tabletext"/>
            </w:pPr>
            <w:r w:rsidRPr="00EF597C">
              <w:rPr>
                <w:lang w:val="en-US"/>
              </w:rPr>
              <w:t>Harassment such as being spat at and offensive gestures</w:t>
            </w:r>
          </w:p>
        </w:tc>
        <w:tc>
          <w:tcPr>
            <w:tcW w:w="1559" w:type="dxa"/>
          </w:tcPr>
          <w:p w14:paraId="57A9A768" w14:textId="77777777" w:rsidR="009D0006" w:rsidRPr="00BC3468" w:rsidRDefault="009D0006" w:rsidP="00CF0C3F">
            <w:pPr>
              <w:pStyle w:val="Tabletext"/>
            </w:pPr>
            <w:r>
              <w:t>138</w:t>
            </w:r>
          </w:p>
        </w:tc>
        <w:tc>
          <w:tcPr>
            <w:tcW w:w="1559" w:type="dxa"/>
          </w:tcPr>
          <w:p w14:paraId="22881B99" w14:textId="77777777" w:rsidR="009D0006" w:rsidRPr="00BC3468" w:rsidRDefault="009D0006" w:rsidP="00CF0C3F">
            <w:pPr>
              <w:pStyle w:val="Tabletext"/>
            </w:pPr>
            <w:r>
              <w:t>24.2</w:t>
            </w:r>
          </w:p>
        </w:tc>
      </w:tr>
      <w:tr w:rsidR="009D0006" w:rsidRPr="00BC3468" w14:paraId="6D2FA3DB" w14:textId="77777777" w:rsidTr="00CF0C3F">
        <w:trPr>
          <w:cnfStyle w:val="000000010000" w:firstRow="0" w:lastRow="0" w:firstColumn="0" w:lastColumn="0" w:oddVBand="0" w:evenVBand="0" w:oddHBand="0" w:evenHBand="1" w:firstRowFirstColumn="0" w:firstRowLastColumn="0" w:lastRowFirstColumn="0" w:lastRowLastColumn="0"/>
          <w:trHeight w:val="191"/>
        </w:trPr>
        <w:tc>
          <w:tcPr>
            <w:tcW w:w="6746" w:type="dxa"/>
            <w:noWrap/>
            <w:hideMark/>
          </w:tcPr>
          <w:p w14:paraId="7F8D374A" w14:textId="77777777" w:rsidR="009D0006" w:rsidRPr="00BC3468" w:rsidRDefault="009D0006" w:rsidP="00CF0C3F">
            <w:pPr>
              <w:pStyle w:val="Tabletext"/>
            </w:pPr>
            <w:r>
              <w:rPr>
                <w:lang w:val="en-US"/>
              </w:rPr>
              <w:t>Sexual assault</w:t>
            </w:r>
          </w:p>
        </w:tc>
        <w:tc>
          <w:tcPr>
            <w:tcW w:w="1559" w:type="dxa"/>
          </w:tcPr>
          <w:p w14:paraId="678F0B57" w14:textId="77777777" w:rsidR="009D0006" w:rsidRPr="00BC3468" w:rsidRDefault="009D0006" w:rsidP="00CF0C3F">
            <w:pPr>
              <w:pStyle w:val="Tabletext"/>
            </w:pPr>
            <w:r>
              <w:t>119</w:t>
            </w:r>
          </w:p>
        </w:tc>
        <w:tc>
          <w:tcPr>
            <w:tcW w:w="1559" w:type="dxa"/>
          </w:tcPr>
          <w:p w14:paraId="75B2F360" w14:textId="77777777" w:rsidR="009D0006" w:rsidRPr="00BC3468" w:rsidRDefault="009D0006" w:rsidP="00CF0C3F">
            <w:pPr>
              <w:pStyle w:val="Tabletext"/>
            </w:pPr>
            <w:r>
              <w:t>21.2</w:t>
            </w:r>
          </w:p>
        </w:tc>
      </w:tr>
    </w:tbl>
    <w:p w14:paraId="57ADFDAC" w14:textId="77777777" w:rsidR="009D0006" w:rsidRDefault="009D0006" w:rsidP="00CF0C3F">
      <w:pPr>
        <w:pStyle w:val="Tableheading"/>
      </w:pPr>
      <w:r>
        <w:t>Table 128.4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B1FB87D" w14:textId="77777777" w:rsidTr="00CF0C3F">
        <w:trPr>
          <w:cnfStyle w:val="100000000000" w:firstRow="1" w:lastRow="0" w:firstColumn="0" w:lastColumn="0" w:oddVBand="0" w:evenVBand="0" w:oddHBand="0" w:evenHBand="0" w:firstRowFirstColumn="0" w:firstRowLastColumn="0" w:lastRowFirstColumn="0" w:lastRowLastColumn="0"/>
          <w:trHeight w:val="322"/>
        </w:trPr>
        <w:tc>
          <w:tcPr>
            <w:tcW w:w="6746" w:type="dxa"/>
            <w:noWrap/>
            <w:hideMark/>
          </w:tcPr>
          <w:p w14:paraId="48E985BA" w14:textId="77777777" w:rsidR="009D0006" w:rsidRPr="00030452" w:rsidRDefault="009D0006" w:rsidP="00CF0C3F">
            <w:pPr>
              <w:pStyle w:val="Tableheader"/>
              <w:rPr>
                <w:bCs/>
              </w:rPr>
            </w:pPr>
            <w:r w:rsidRPr="00030452">
              <w:t>Harassment or assault in past 12 months</w:t>
            </w:r>
          </w:p>
        </w:tc>
        <w:tc>
          <w:tcPr>
            <w:tcW w:w="1559" w:type="dxa"/>
            <w:noWrap/>
            <w:hideMark/>
          </w:tcPr>
          <w:p w14:paraId="41BC0D08" w14:textId="77777777" w:rsidR="009D0006" w:rsidRPr="00814F94" w:rsidRDefault="009D0006" w:rsidP="00CF0C3F">
            <w:pPr>
              <w:pStyle w:val="Tableheader"/>
              <w:rPr>
                <w:bCs/>
              </w:rPr>
            </w:pPr>
            <w:r w:rsidRPr="00814F94">
              <w:rPr>
                <w:bCs/>
              </w:rPr>
              <w:t>n</w:t>
            </w:r>
          </w:p>
        </w:tc>
        <w:tc>
          <w:tcPr>
            <w:tcW w:w="1559" w:type="dxa"/>
            <w:noWrap/>
            <w:hideMark/>
          </w:tcPr>
          <w:p w14:paraId="664CCB4A" w14:textId="77777777" w:rsidR="009D0006" w:rsidRPr="00814F94" w:rsidRDefault="009D0006" w:rsidP="00CF0C3F">
            <w:pPr>
              <w:pStyle w:val="Tableheader"/>
              <w:rPr>
                <w:bCs/>
              </w:rPr>
            </w:pPr>
            <w:r w:rsidRPr="00814F94">
              <w:rPr>
                <w:bCs/>
              </w:rPr>
              <w:t>%</w:t>
            </w:r>
          </w:p>
        </w:tc>
      </w:tr>
      <w:tr w:rsidR="009D0006" w:rsidRPr="00BC3468" w14:paraId="480E61A6" w14:textId="77777777" w:rsidTr="00CF0C3F">
        <w:trPr>
          <w:cnfStyle w:val="000000100000" w:firstRow="0" w:lastRow="0" w:firstColumn="0" w:lastColumn="0" w:oddVBand="0" w:evenVBand="0" w:oddHBand="1" w:evenHBand="0" w:firstRowFirstColumn="0" w:firstRowLastColumn="0" w:lastRowFirstColumn="0" w:lastRowLastColumn="0"/>
          <w:trHeight w:val="322"/>
        </w:trPr>
        <w:tc>
          <w:tcPr>
            <w:tcW w:w="6746" w:type="dxa"/>
            <w:noWrap/>
            <w:hideMark/>
          </w:tcPr>
          <w:p w14:paraId="7AF56EBF" w14:textId="77777777" w:rsidR="009D0006" w:rsidRPr="00BC3468" w:rsidRDefault="009D0006" w:rsidP="00CF0C3F">
            <w:pPr>
              <w:pStyle w:val="Tabletext"/>
            </w:pPr>
            <w:r w:rsidRPr="00EF597C">
              <w:rPr>
                <w:lang w:val="en-US"/>
              </w:rPr>
              <w:t>Socially excluded</w:t>
            </w:r>
          </w:p>
        </w:tc>
        <w:tc>
          <w:tcPr>
            <w:tcW w:w="1559" w:type="dxa"/>
            <w:noWrap/>
          </w:tcPr>
          <w:p w14:paraId="34A67F56" w14:textId="77777777" w:rsidR="009D0006" w:rsidRPr="00BC3468" w:rsidRDefault="009D0006" w:rsidP="00CF0C3F">
            <w:pPr>
              <w:pStyle w:val="Tabletext"/>
            </w:pPr>
            <w:r>
              <w:t>132</w:t>
            </w:r>
          </w:p>
        </w:tc>
        <w:tc>
          <w:tcPr>
            <w:tcW w:w="1559" w:type="dxa"/>
            <w:noWrap/>
          </w:tcPr>
          <w:p w14:paraId="726FDA16" w14:textId="77777777" w:rsidR="009D0006" w:rsidRPr="00BC3468" w:rsidRDefault="009D0006" w:rsidP="00CF0C3F">
            <w:pPr>
              <w:pStyle w:val="Tabletext"/>
            </w:pPr>
            <w:r>
              <w:t>54.8</w:t>
            </w:r>
          </w:p>
        </w:tc>
      </w:tr>
      <w:tr w:rsidR="009D0006" w:rsidRPr="00BC3468" w14:paraId="016D4C15" w14:textId="77777777" w:rsidTr="00CF0C3F">
        <w:trPr>
          <w:cnfStyle w:val="000000010000" w:firstRow="0" w:lastRow="0" w:firstColumn="0" w:lastColumn="0" w:oddVBand="0" w:evenVBand="0" w:oddHBand="0" w:evenHBand="1" w:firstRowFirstColumn="0" w:firstRowLastColumn="0" w:lastRowFirstColumn="0" w:lastRowLastColumn="0"/>
          <w:trHeight w:val="156"/>
        </w:trPr>
        <w:tc>
          <w:tcPr>
            <w:tcW w:w="6746" w:type="dxa"/>
            <w:noWrap/>
            <w:hideMark/>
          </w:tcPr>
          <w:p w14:paraId="6AC4E742" w14:textId="77777777" w:rsidR="009D0006" w:rsidRPr="00BC3468" w:rsidRDefault="009D0006" w:rsidP="00CF0C3F">
            <w:pPr>
              <w:pStyle w:val="Tabletext"/>
            </w:pPr>
            <w:r w:rsidRPr="00EF597C">
              <w:rPr>
                <w:lang w:val="en-US"/>
              </w:rPr>
              <w:t>Verbal abuse (including hateful or obscene phone calls)</w:t>
            </w:r>
          </w:p>
        </w:tc>
        <w:tc>
          <w:tcPr>
            <w:tcW w:w="1559" w:type="dxa"/>
            <w:noWrap/>
          </w:tcPr>
          <w:p w14:paraId="1EE8B388" w14:textId="77777777" w:rsidR="009D0006" w:rsidRPr="00BC3468" w:rsidRDefault="009D0006" w:rsidP="00CF0C3F">
            <w:pPr>
              <w:pStyle w:val="Tabletext"/>
            </w:pPr>
            <w:r>
              <w:t>124</w:t>
            </w:r>
          </w:p>
        </w:tc>
        <w:tc>
          <w:tcPr>
            <w:tcW w:w="1559" w:type="dxa"/>
            <w:noWrap/>
          </w:tcPr>
          <w:p w14:paraId="603C3941" w14:textId="77777777" w:rsidR="009D0006" w:rsidRPr="00BC3468" w:rsidRDefault="009D0006" w:rsidP="00CF0C3F">
            <w:pPr>
              <w:pStyle w:val="Tabletext"/>
            </w:pPr>
            <w:r>
              <w:t>51.7</w:t>
            </w:r>
          </w:p>
        </w:tc>
      </w:tr>
      <w:tr w:rsidR="009D0006" w:rsidRPr="00BC3468" w14:paraId="4D65FCC5" w14:textId="77777777" w:rsidTr="00CF0C3F">
        <w:trPr>
          <w:cnfStyle w:val="000000100000" w:firstRow="0" w:lastRow="0" w:firstColumn="0" w:lastColumn="0" w:oddVBand="0" w:evenVBand="0" w:oddHBand="1" w:evenHBand="0" w:firstRowFirstColumn="0" w:firstRowLastColumn="0" w:lastRowFirstColumn="0" w:lastRowLastColumn="0"/>
          <w:trHeight w:val="156"/>
        </w:trPr>
        <w:tc>
          <w:tcPr>
            <w:tcW w:w="6746" w:type="dxa"/>
            <w:noWrap/>
            <w:hideMark/>
          </w:tcPr>
          <w:p w14:paraId="590C7075" w14:textId="77777777" w:rsidR="009D0006" w:rsidRPr="00BC3468" w:rsidRDefault="009D0006" w:rsidP="00CF0C3F">
            <w:pPr>
              <w:pStyle w:val="Tabletext"/>
            </w:pPr>
            <w:r w:rsidRPr="00EF597C">
              <w:rPr>
                <w:lang w:val="en-US"/>
              </w:rPr>
              <w:t>Harassment such as being spat at and offensive gestures</w:t>
            </w:r>
          </w:p>
        </w:tc>
        <w:tc>
          <w:tcPr>
            <w:tcW w:w="1559" w:type="dxa"/>
            <w:noWrap/>
          </w:tcPr>
          <w:p w14:paraId="4D432680" w14:textId="77777777" w:rsidR="009D0006" w:rsidRPr="00BC3468" w:rsidRDefault="009D0006" w:rsidP="00CF0C3F">
            <w:pPr>
              <w:pStyle w:val="Tabletext"/>
            </w:pPr>
            <w:r>
              <w:t>83</w:t>
            </w:r>
          </w:p>
        </w:tc>
        <w:tc>
          <w:tcPr>
            <w:tcW w:w="1559" w:type="dxa"/>
            <w:noWrap/>
          </w:tcPr>
          <w:p w14:paraId="2428D451" w14:textId="77777777" w:rsidR="009D0006" w:rsidRPr="00BC3468" w:rsidRDefault="009D0006" w:rsidP="00CF0C3F">
            <w:pPr>
              <w:pStyle w:val="Tabletext"/>
            </w:pPr>
            <w:r>
              <w:t>35.3</w:t>
            </w:r>
          </w:p>
        </w:tc>
      </w:tr>
      <w:tr w:rsidR="009D0006" w:rsidRPr="00BC3468" w14:paraId="77EB3912" w14:textId="77777777" w:rsidTr="00CF0C3F">
        <w:trPr>
          <w:cnfStyle w:val="000000010000" w:firstRow="0" w:lastRow="0" w:firstColumn="0" w:lastColumn="0" w:oddVBand="0" w:evenVBand="0" w:oddHBand="0" w:evenHBand="1" w:firstRowFirstColumn="0" w:firstRowLastColumn="0" w:lastRowFirstColumn="0" w:lastRowLastColumn="0"/>
          <w:trHeight w:val="322"/>
        </w:trPr>
        <w:tc>
          <w:tcPr>
            <w:tcW w:w="6746" w:type="dxa"/>
            <w:noWrap/>
            <w:hideMark/>
          </w:tcPr>
          <w:p w14:paraId="5C9EE722" w14:textId="77777777" w:rsidR="009D0006" w:rsidRPr="00BC3468" w:rsidRDefault="009D0006" w:rsidP="00CF0C3F">
            <w:pPr>
              <w:pStyle w:val="Tabletext"/>
            </w:pPr>
            <w:r>
              <w:rPr>
                <w:lang w:val="en-US"/>
              </w:rPr>
              <w:t>Sexual assault</w:t>
            </w:r>
          </w:p>
        </w:tc>
        <w:tc>
          <w:tcPr>
            <w:tcW w:w="1559" w:type="dxa"/>
            <w:noWrap/>
          </w:tcPr>
          <w:p w14:paraId="5715EDD3" w14:textId="77777777" w:rsidR="009D0006" w:rsidRPr="00BC3468" w:rsidRDefault="009D0006" w:rsidP="00CF0C3F">
            <w:pPr>
              <w:pStyle w:val="Tabletext"/>
            </w:pPr>
            <w:r>
              <w:t>53</w:t>
            </w:r>
          </w:p>
        </w:tc>
        <w:tc>
          <w:tcPr>
            <w:tcW w:w="1559" w:type="dxa"/>
            <w:noWrap/>
          </w:tcPr>
          <w:p w14:paraId="7F5195C2" w14:textId="77777777" w:rsidR="009D0006" w:rsidRPr="00BC3468" w:rsidRDefault="009D0006" w:rsidP="00CF0C3F">
            <w:pPr>
              <w:pStyle w:val="Tabletext"/>
            </w:pPr>
            <w:r>
              <w:t>22.5</w:t>
            </w:r>
          </w:p>
        </w:tc>
      </w:tr>
    </w:tbl>
    <w:p w14:paraId="15F962A6" w14:textId="77777777" w:rsidR="009D0006" w:rsidRDefault="009D0006" w:rsidP="00CF0C3F">
      <w:pPr>
        <w:pStyle w:val="Tableheading"/>
      </w:pPr>
      <w:r>
        <w:t>Table 128.</w:t>
      </w:r>
      <w:r>
        <w:lastRenderedPageBreak/>
        <w:t>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1028DED" w14:textId="77777777" w:rsidTr="00CF0C3F">
        <w:trPr>
          <w:cnfStyle w:val="100000000000" w:firstRow="1" w:lastRow="0" w:firstColumn="0" w:lastColumn="0" w:oddVBand="0" w:evenVBand="0" w:oddHBand="0" w:evenHBand="0" w:firstRowFirstColumn="0" w:firstRowLastColumn="0" w:lastRowFirstColumn="0" w:lastRowLastColumn="0"/>
          <w:trHeight w:val="320"/>
        </w:trPr>
        <w:tc>
          <w:tcPr>
            <w:tcW w:w="6746" w:type="dxa"/>
            <w:noWrap/>
            <w:hideMark/>
          </w:tcPr>
          <w:p w14:paraId="1B4A3E91" w14:textId="77777777" w:rsidR="009D0006" w:rsidRPr="00030452" w:rsidRDefault="009D0006" w:rsidP="00CF0C3F">
            <w:pPr>
              <w:pStyle w:val="Tableheader"/>
              <w:rPr>
                <w:bCs/>
              </w:rPr>
            </w:pPr>
            <w:r w:rsidRPr="00030452">
              <w:t>Harassment or assault in past 12 months</w:t>
            </w:r>
          </w:p>
        </w:tc>
        <w:tc>
          <w:tcPr>
            <w:tcW w:w="1559" w:type="dxa"/>
            <w:noWrap/>
            <w:hideMark/>
          </w:tcPr>
          <w:p w14:paraId="0A4F065D" w14:textId="77777777" w:rsidR="009D0006" w:rsidRPr="00814F94" w:rsidRDefault="009D0006" w:rsidP="00CF0C3F">
            <w:pPr>
              <w:pStyle w:val="Tableheader"/>
              <w:rPr>
                <w:bCs/>
              </w:rPr>
            </w:pPr>
            <w:r w:rsidRPr="00814F94">
              <w:rPr>
                <w:bCs/>
              </w:rPr>
              <w:t>n</w:t>
            </w:r>
          </w:p>
        </w:tc>
        <w:tc>
          <w:tcPr>
            <w:tcW w:w="1559" w:type="dxa"/>
            <w:noWrap/>
            <w:hideMark/>
          </w:tcPr>
          <w:p w14:paraId="14B3CE6B" w14:textId="77777777" w:rsidR="009D0006" w:rsidRPr="00814F94" w:rsidRDefault="009D0006" w:rsidP="00CF0C3F">
            <w:pPr>
              <w:pStyle w:val="Tableheader"/>
              <w:rPr>
                <w:bCs/>
              </w:rPr>
            </w:pPr>
            <w:r w:rsidRPr="00814F94">
              <w:rPr>
                <w:bCs/>
              </w:rPr>
              <w:t>%</w:t>
            </w:r>
          </w:p>
        </w:tc>
      </w:tr>
      <w:tr w:rsidR="009D0006" w:rsidRPr="00BC3468" w14:paraId="14DDF597" w14:textId="77777777" w:rsidTr="00CF0C3F">
        <w:trPr>
          <w:cnfStyle w:val="000000100000" w:firstRow="0" w:lastRow="0" w:firstColumn="0" w:lastColumn="0" w:oddVBand="0" w:evenVBand="0" w:oddHBand="1" w:evenHBand="0" w:firstRowFirstColumn="0" w:firstRowLastColumn="0" w:lastRowFirstColumn="0" w:lastRowLastColumn="0"/>
          <w:trHeight w:val="320"/>
        </w:trPr>
        <w:tc>
          <w:tcPr>
            <w:tcW w:w="6746" w:type="dxa"/>
            <w:noWrap/>
            <w:hideMark/>
          </w:tcPr>
          <w:p w14:paraId="6A0B99A2" w14:textId="77777777" w:rsidR="009D0006" w:rsidRPr="00BC3468" w:rsidRDefault="009D0006" w:rsidP="00CF0C3F">
            <w:pPr>
              <w:pStyle w:val="Tabletext"/>
            </w:pPr>
            <w:r w:rsidRPr="00EF597C">
              <w:rPr>
                <w:lang w:val="en-US"/>
              </w:rPr>
              <w:t>Socially excluded</w:t>
            </w:r>
          </w:p>
        </w:tc>
        <w:tc>
          <w:tcPr>
            <w:tcW w:w="1559" w:type="dxa"/>
            <w:noWrap/>
          </w:tcPr>
          <w:p w14:paraId="5A11C234" w14:textId="77777777" w:rsidR="009D0006" w:rsidRPr="00BC3468" w:rsidRDefault="009D0006" w:rsidP="00CF0C3F">
            <w:pPr>
              <w:pStyle w:val="Tabletext"/>
            </w:pPr>
            <w:r>
              <w:t>236</w:t>
            </w:r>
          </w:p>
        </w:tc>
        <w:tc>
          <w:tcPr>
            <w:tcW w:w="1559" w:type="dxa"/>
            <w:noWrap/>
          </w:tcPr>
          <w:p w14:paraId="7654235F" w14:textId="77777777" w:rsidR="009D0006" w:rsidRPr="00BC3468" w:rsidRDefault="009D0006" w:rsidP="00CF0C3F">
            <w:pPr>
              <w:pStyle w:val="Tabletext"/>
            </w:pPr>
            <w:r>
              <w:t>60.5</w:t>
            </w:r>
          </w:p>
        </w:tc>
      </w:tr>
      <w:tr w:rsidR="009D0006" w:rsidRPr="00BC3468" w14:paraId="16ABF054" w14:textId="77777777" w:rsidTr="00CF0C3F">
        <w:trPr>
          <w:cnfStyle w:val="000000010000" w:firstRow="0" w:lastRow="0" w:firstColumn="0" w:lastColumn="0" w:oddVBand="0" w:evenVBand="0" w:oddHBand="0" w:evenHBand="1" w:firstRowFirstColumn="0" w:firstRowLastColumn="0" w:lastRowFirstColumn="0" w:lastRowLastColumn="0"/>
          <w:trHeight w:val="229"/>
        </w:trPr>
        <w:tc>
          <w:tcPr>
            <w:tcW w:w="6746" w:type="dxa"/>
            <w:noWrap/>
            <w:hideMark/>
          </w:tcPr>
          <w:p w14:paraId="222361EC" w14:textId="77777777" w:rsidR="009D0006" w:rsidRPr="00BC3468" w:rsidRDefault="009D0006" w:rsidP="00CF0C3F">
            <w:pPr>
              <w:pStyle w:val="Tabletext"/>
            </w:pPr>
            <w:r w:rsidRPr="00EF597C">
              <w:rPr>
                <w:lang w:val="en-US"/>
              </w:rPr>
              <w:t>Verbal abuse (including hateful or obscene phone calls)</w:t>
            </w:r>
          </w:p>
        </w:tc>
        <w:tc>
          <w:tcPr>
            <w:tcW w:w="1559" w:type="dxa"/>
            <w:noWrap/>
          </w:tcPr>
          <w:p w14:paraId="427059D3" w14:textId="77777777" w:rsidR="009D0006" w:rsidRPr="00BC3468" w:rsidRDefault="009D0006" w:rsidP="00CF0C3F">
            <w:pPr>
              <w:pStyle w:val="Tabletext"/>
            </w:pPr>
            <w:r>
              <w:t>193</w:t>
            </w:r>
          </w:p>
        </w:tc>
        <w:tc>
          <w:tcPr>
            <w:tcW w:w="1559" w:type="dxa"/>
            <w:noWrap/>
          </w:tcPr>
          <w:p w14:paraId="6B32CB3E" w14:textId="77777777" w:rsidR="009D0006" w:rsidRPr="00BC3468" w:rsidRDefault="009D0006" w:rsidP="00CF0C3F">
            <w:pPr>
              <w:pStyle w:val="Tabletext"/>
            </w:pPr>
            <w:r>
              <w:t>50.5</w:t>
            </w:r>
          </w:p>
        </w:tc>
      </w:tr>
      <w:tr w:rsidR="009D0006" w:rsidRPr="00BC3468" w14:paraId="17F4E377" w14:textId="77777777" w:rsidTr="00CF0C3F">
        <w:trPr>
          <w:cnfStyle w:val="000000100000" w:firstRow="0" w:lastRow="0" w:firstColumn="0" w:lastColumn="0" w:oddVBand="0" w:evenVBand="0" w:oddHBand="1" w:evenHBand="0" w:firstRowFirstColumn="0" w:firstRowLastColumn="0" w:lastRowFirstColumn="0" w:lastRowLastColumn="0"/>
          <w:trHeight w:val="229"/>
        </w:trPr>
        <w:tc>
          <w:tcPr>
            <w:tcW w:w="6746" w:type="dxa"/>
            <w:noWrap/>
            <w:hideMark/>
          </w:tcPr>
          <w:p w14:paraId="5D2F8215" w14:textId="77777777" w:rsidR="009D0006" w:rsidRPr="00BC3468" w:rsidRDefault="009D0006" w:rsidP="00CF0C3F">
            <w:pPr>
              <w:pStyle w:val="Tabletext"/>
            </w:pPr>
            <w:r w:rsidRPr="00EF597C">
              <w:rPr>
                <w:lang w:val="en-US"/>
              </w:rPr>
              <w:t>Harassment such as being spat at and offensive gestures</w:t>
            </w:r>
          </w:p>
        </w:tc>
        <w:tc>
          <w:tcPr>
            <w:tcW w:w="1559" w:type="dxa"/>
            <w:noWrap/>
          </w:tcPr>
          <w:p w14:paraId="029E48FB" w14:textId="77777777" w:rsidR="009D0006" w:rsidRPr="00BC3468" w:rsidRDefault="009D0006" w:rsidP="00CF0C3F">
            <w:pPr>
              <w:pStyle w:val="Tabletext"/>
            </w:pPr>
            <w:r>
              <w:t>148</w:t>
            </w:r>
          </w:p>
        </w:tc>
        <w:tc>
          <w:tcPr>
            <w:tcW w:w="1559" w:type="dxa"/>
            <w:noWrap/>
          </w:tcPr>
          <w:p w14:paraId="0D628780" w14:textId="77777777" w:rsidR="009D0006" w:rsidRPr="00BC3468" w:rsidRDefault="009D0006" w:rsidP="00CF0C3F">
            <w:pPr>
              <w:pStyle w:val="Tabletext"/>
            </w:pPr>
            <w:r>
              <w:t>38.7</w:t>
            </w:r>
          </w:p>
        </w:tc>
      </w:tr>
      <w:tr w:rsidR="009D0006" w:rsidRPr="00BC3468" w14:paraId="719BB32F" w14:textId="77777777" w:rsidTr="00CF0C3F">
        <w:trPr>
          <w:cnfStyle w:val="000000010000" w:firstRow="0" w:lastRow="0" w:firstColumn="0" w:lastColumn="0" w:oddVBand="0" w:evenVBand="0" w:oddHBand="0" w:evenHBand="1" w:firstRowFirstColumn="0" w:firstRowLastColumn="0" w:lastRowFirstColumn="0" w:lastRowLastColumn="0"/>
          <w:trHeight w:val="320"/>
        </w:trPr>
        <w:tc>
          <w:tcPr>
            <w:tcW w:w="6746" w:type="dxa"/>
            <w:noWrap/>
            <w:hideMark/>
          </w:tcPr>
          <w:p w14:paraId="28C70BEC" w14:textId="77777777" w:rsidR="009D0006" w:rsidRPr="00BC3468" w:rsidRDefault="009D0006" w:rsidP="00CF0C3F">
            <w:pPr>
              <w:pStyle w:val="Tabletext"/>
            </w:pPr>
            <w:r>
              <w:rPr>
                <w:lang w:val="en-US"/>
              </w:rPr>
              <w:t>Sexual assault</w:t>
            </w:r>
          </w:p>
        </w:tc>
        <w:tc>
          <w:tcPr>
            <w:tcW w:w="1559" w:type="dxa"/>
            <w:noWrap/>
          </w:tcPr>
          <w:p w14:paraId="77211F58" w14:textId="77777777" w:rsidR="009D0006" w:rsidRPr="00BC3468" w:rsidRDefault="009D0006" w:rsidP="00CF0C3F">
            <w:pPr>
              <w:pStyle w:val="Tabletext"/>
            </w:pPr>
            <w:r>
              <w:t>70</w:t>
            </w:r>
          </w:p>
        </w:tc>
        <w:tc>
          <w:tcPr>
            <w:tcW w:w="1559" w:type="dxa"/>
            <w:noWrap/>
          </w:tcPr>
          <w:p w14:paraId="4CBC5F2A" w14:textId="77777777" w:rsidR="009D0006" w:rsidRPr="00BC3468" w:rsidRDefault="009D0006" w:rsidP="00CF0C3F">
            <w:pPr>
              <w:pStyle w:val="Tabletext"/>
            </w:pPr>
            <w:r>
              <w:t>18.8</w:t>
            </w:r>
          </w:p>
        </w:tc>
      </w:tr>
    </w:tbl>
    <w:p w14:paraId="7D36059C" w14:textId="77777777" w:rsidR="009D0006" w:rsidRDefault="009D0006" w:rsidP="00CF0C3F">
      <w:pPr>
        <w:pStyle w:val="Tableheading"/>
      </w:pPr>
      <w:r>
        <w:t>Table 128.6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3E4A899" w14:textId="77777777" w:rsidTr="00CF0C3F">
        <w:trPr>
          <w:cnfStyle w:val="100000000000" w:firstRow="1" w:lastRow="0" w:firstColumn="0" w:lastColumn="0" w:oddVBand="0" w:evenVBand="0" w:oddHBand="0" w:evenHBand="0" w:firstRowFirstColumn="0" w:firstRowLastColumn="0" w:lastRowFirstColumn="0" w:lastRowLastColumn="0"/>
          <w:trHeight w:val="286"/>
        </w:trPr>
        <w:tc>
          <w:tcPr>
            <w:tcW w:w="6746" w:type="dxa"/>
            <w:noWrap/>
            <w:hideMark/>
          </w:tcPr>
          <w:p w14:paraId="1C823579" w14:textId="77777777" w:rsidR="009D0006" w:rsidRPr="00030452" w:rsidRDefault="009D0006" w:rsidP="00CF0C3F">
            <w:pPr>
              <w:pStyle w:val="Tableheader"/>
              <w:rPr>
                <w:bCs/>
              </w:rPr>
            </w:pPr>
            <w:r w:rsidRPr="00030452">
              <w:t>Harassment or assault in past 12 months</w:t>
            </w:r>
          </w:p>
        </w:tc>
        <w:tc>
          <w:tcPr>
            <w:tcW w:w="1559" w:type="dxa"/>
            <w:noWrap/>
            <w:hideMark/>
          </w:tcPr>
          <w:p w14:paraId="4A4A29EA" w14:textId="77777777" w:rsidR="009D0006" w:rsidRPr="00814F94" w:rsidRDefault="009D0006" w:rsidP="00CF0C3F">
            <w:pPr>
              <w:pStyle w:val="Tableheader"/>
              <w:rPr>
                <w:bCs/>
              </w:rPr>
            </w:pPr>
            <w:r w:rsidRPr="00814F94">
              <w:rPr>
                <w:bCs/>
              </w:rPr>
              <w:t>n</w:t>
            </w:r>
          </w:p>
        </w:tc>
        <w:tc>
          <w:tcPr>
            <w:tcW w:w="1559" w:type="dxa"/>
            <w:noWrap/>
            <w:hideMark/>
          </w:tcPr>
          <w:p w14:paraId="1A36D060" w14:textId="77777777" w:rsidR="009D0006" w:rsidRPr="00814F94" w:rsidRDefault="009D0006" w:rsidP="00CF0C3F">
            <w:pPr>
              <w:pStyle w:val="Tableheader"/>
              <w:rPr>
                <w:bCs/>
              </w:rPr>
            </w:pPr>
            <w:r w:rsidRPr="00814F94">
              <w:rPr>
                <w:bCs/>
              </w:rPr>
              <w:t>%</w:t>
            </w:r>
          </w:p>
        </w:tc>
      </w:tr>
      <w:tr w:rsidR="009D0006" w:rsidRPr="00BC3468" w14:paraId="3C07913F" w14:textId="77777777" w:rsidTr="00CF0C3F">
        <w:trPr>
          <w:cnfStyle w:val="000000100000" w:firstRow="0" w:lastRow="0" w:firstColumn="0" w:lastColumn="0" w:oddVBand="0" w:evenVBand="0" w:oddHBand="1" w:evenHBand="0" w:firstRowFirstColumn="0" w:firstRowLastColumn="0" w:lastRowFirstColumn="0" w:lastRowLastColumn="0"/>
          <w:trHeight w:val="286"/>
        </w:trPr>
        <w:tc>
          <w:tcPr>
            <w:tcW w:w="6746" w:type="dxa"/>
            <w:noWrap/>
            <w:hideMark/>
          </w:tcPr>
          <w:p w14:paraId="3624D87D" w14:textId="77777777" w:rsidR="009D0006" w:rsidRPr="00BC3468" w:rsidRDefault="009D0006" w:rsidP="00CF0C3F">
            <w:pPr>
              <w:pStyle w:val="Tabletext"/>
            </w:pPr>
            <w:r w:rsidRPr="00EF597C">
              <w:rPr>
                <w:lang w:val="en-US"/>
              </w:rPr>
              <w:t>Socially excluded</w:t>
            </w:r>
          </w:p>
        </w:tc>
        <w:tc>
          <w:tcPr>
            <w:tcW w:w="1559" w:type="dxa"/>
            <w:noWrap/>
          </w:tcPr>
          <w:p w14:paraId="3E920442" w14:textId="77777777" w:rsidR="009D0006" w:rsidRPr="00BC3468" w:rsidRDefault="009D0006" w:rsidP="00CF0C3F">
            <w:pPr>
              <w:pStyle w:val="Tabletext"/>
            </w:pPr>
            <w:r>
              <w:t>53</w:t>
            </w:r>
          </w:p>
        </w:tc>
        <w:tc>
          <w:tcPr>
            <w:tcW w:w="1559" w:type="dxa"/>
            <w:noWrap/>
          </w:tcPr>
          <w:p w14:paraId="02BA3172" w14:textId="77777777" w:rsidR="009D0006" w:rsidRPr="00BC3468" w:rsidRDefault="009D0006" w:rsidP="00CF0C3F">
            <w:pPr>
              <w:pStyle w:val="Tabletext"/>
            </w:pPr>
            <w:r>
              <w:t>50.0</w:t>
            </w:r>
          </w:p>
        </w:tc>
      </w:tr>
      <w:tr w:rsidR="009D0006" w:rsidRPr="00BC3468" w14:paraId="61D13D64" w14:textId="77777777" w:rsidTr="00CF0C3F">
        <w:trPr>
          <w:cnfStyle w:val="000000010000" w:firstRow="0" w:lastRow="0" w:firstColumn="0" w:lastColumn="0" w:oddVBand="0" w:evenVBand="0" w:oddHBand="0" w:evenHBand="1" w:firstRowFirstColumn="0" w:firstRowLastColumn="0" w:lastRowFirstColumn="0" w:lastRowLastColumn="0"/>
          <w:trHeight w:val="205"/>
        </w:trPr>
        <w:tc>
          <w:tcPr>
            <w:tcW w:w="6746" w:type="dxa"/>
            <w:noWrap/>
            <w:hideMark/>
          </w:tcPr>
          <w:p w14:paraId="095BE586" w14:textId="77777777" w:rsidR="009D0006" w:rsidRPr="00BC3468" w:rsidRDefault="009D0006" w:rsidP="00CF0C3F">
            <w:pPr>
              <w:pStyle w:val="Tabletext"/>
            </w:pPr>
            <w:r w:rsidRPr="00EF597C">
              <w:rPr>
                <w:lang w:val="en-US"/>
              </w:rPr>
              <w:t>Verbal abuse (including hateful or obscene phone calls)</w:t>
            </w:r>
          </w:p>
        </w:tc>
        <w:tc>
          <w:tcPr>
            <w:tcW w:w="1559" w:type="dxa"/>
            <w:noWrap/>
          </w:tcPr>
          <w:p w14:paraId="258102AC" w14:textId="77777777" w:rsidR="009D0006" w:rsidRPr="00BC3468" w:rsidRDefault="009D0006" w:rsidP="00CF0C3F">
            <w:pPr>
              <w:pStyle w:val="Tabletext"/>
            </w:pPr>
            <w:r>
              <w:t>36</w:t>
            </w:r>
          </w:p>
        </w:tc>
        <w:tc>
          <w:tcPr>
            <w:tcW w:w="1559" w:type="dxa"/>
            <w:noWrap/>
          </w:tcPr>
          <w:p w14:paraId="615054C7" w14:textId="77777777" w:rsidR="009D0006" w:rsidRPr="00BC3468" w:rsidRDefault="009D0006" w:rsidP="00CF0C3F">
            <w:pPr>
              <w:pStyle w:val="Tabletext"/>
            </w:pPr>
            <w:r>
              <w:t>35.0</w:t>
            </w:r>
          </w:p>
        </w:tc>
      </w:tr>
      <w:tr w:rsidR="009D0006" w:rsidRPr="00BC3468" w14:paraId="00EF30C6" w14:textId="77777777" w:rsidTr="00CF0C3F">
        <w:trPr>
          <w:cnfStyle w:val="000000100000" w:firstRow="0" w:lastRow="0" w:firstColumn="0" w:lastColumn="0" w:oddVBand="0" w:evenVBand="0" w:oddHBand="1" w:evenHBand="0" w:firstRowFirstColumn="0" w:firstRowLastColumn="0" w:lastRowFirstColumn="0" w:lastRowLastColumn="0"/>
          <w:trHeight w:val="205"/>
        </w:trPr>
        <w:tc>
          <w:tcPr>
            <w:tcW w:w="6746" w:type="dxa"/>
            <w:noWrap/>
            <w:hideMark/>
          </w:tcPr>
          <w:p w14:paraId="332D2322" w14:textId="77777777" w:rsidR="009D0006" w:rsidRPr="00BC3468" w:rsidRDefault="009D0006" w:rsidP="00CF0C3F">
            <w:pPr>
              <w:pStyle w:val="Tabletext"/>
            </w:pPr>
            <w:r w:rsidRPr="00EF597C">
              <w:rPr>
                <w:lang w:val="en-US"/>
              </w:rPr>
              <w:t>Harassment such as being spat at and offensive gestures</w:t>
            </w:r>
          </w:p>
        </w:tc>
        <w:tc>
          <w:tcPr>
            <w:tcW w:w="1559" w:type="dxa"/>
            <w:noWrap/>
          </w:tcPr>
          <w:p w14:paraId="65A9A837" w14:textId="77777777" w:rsidR="009D0006" w:rsidRPr="00BC3468" w:rsidRDefault="009D0006" w:rsidP="00CF0C3F">
            <w:pPr>
              <w:pStyle w:val="Tabletext"/>
            </w:pPr>
            <w:r>
              <w:t>25</w:t>
            </w:r>
          </w:p>
        </w:tc>
        <w:tc>
          <w:tcPr>
            <w:tcW w:w="1559" w:type="dxa"/>
            <w:noWrap/>
          </w:tcPr>
          <w:p w14:paraId="38A73028" w14:textId="77777777" w:rsidR="009D0006" w:rsidRPr="00BC3468" w:rsidRDefault="009D0006" w:rsidP="00CF0C3F">
            <w:pPr>
              <w:pStyle w:val="Tabletext"/>
            </w:pPr>
            <w:r>
              <w:t>23.8</w:t>
            </w:r>
          </w:p>
        </w:tc>
      </w:tr>
      <w:tr w:rsidR="009D0006" w:rsidRPr="00BC3468" w14:paraId="26FE481C" w14:textId="77777777" w:rsidTr="00CF0C3F">
        <w:trPr>
          <w:cnfStyle w:val="000000010000" w:firstRow="0" w:lastRow="0" w:firstColumn="0" w:lastColumn="0" w:oddVBand="0" w:evenVBand="0" w:oddHBand="0" w:evenHBand="1" w:firstRowFirstColumn="0" w:firstRowLastColumn="0" w:lastRowFirstColumn="0" w:lastRowLastColumn="0"/>
          <w:trHeight w:val="286"/>
        </w:trPr>
        <w:tc>
          <w:tcPr>
            <w:tcW w:w="6746" w:type="dxa"/>
            <w:noWrap/>
            <w:hideMark/>
          </w:tcPr>
          <w:p w14:paraId="732EBEEB" w14:textId="77777777" w:rsidR="009D0006" w:rsidRPr="00BC3468" w:rsidRDefault="009D0006" w:rsidP="00CF0C3F">
            <w:pPr>
              <w:pStyle w:val="Tabletext"/>
            </w:pPr>
            <w:r>
              <w:rPr>
                <w:lang w:val="en-US"/>
              </w:rPr>
              <w:t>Sexual assault</w:t>
            </w:r>
          </w:p>
        </w:tc>
        <w:tc>
          <w:tcPr>
            <w:tcW w:w="1559" w:type="dxa"/>
            <w:noWrap/>
          </w:tcPr>
          <w:p w14:paraId="635F36E7" w14:textId="77777777" w:rsidR="009D0006" w:rsidRPr="00BC3468" w:rsidRDefault="009D0006" w:rsidP="00CF0C3F">
            <w:pPr>
              <w:pStyle w:val="Tabletext"/>
            </w:pPr>
            <w:r>
              <w:t>11</w:t>
            </w:r>
          </w:p>
        </w:tc>
        <w:tc>
          <w:tcPr>
            <w:tcW w:w="1559" w:type="dxa"/>
            <w:noWrap/>
          </w:tcPr>
          <w:p w14:paraId="56CA391F" w14:textId="77777777" w:rsidR="009D0006" w:rsidRPr="00BC3468" w:rsidRDefault="009D0006" w:rsidP="00CF0C3F">
            <w:pPr>
              <w:pStyle w:val="Tabletext"/>
            </w:pPr>
            <w:r>
              <w:t>10.8</w:t>
            </w:r>
          </w:p>
        </w:tc>
      </w:tr>
    </w:tbl>
    <w:p w14:paraId="04211897" w14:textId="77777777" w:rsidR="009D0006" w:rsidRDefault="009D0006" w:rsidP="00CF0C3F">
      <w:pPr>
        <w:pStyle w:val="Tableheading"/>
      </w:pPr>
      <w:r>
        <w:t>Table 128.7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B491119" w14:textId="77777777" w:rsidTr="009938A0">
        <w:trPr>
          <w:cnfStyle w:val="100000000000" w:firstRow="1" w:lastRow="0" w:firstColumn="0" w:lastColumn="0" w:oddVBand="0" w:evenVBand="0" w:oddHBand="0" w:evenHBand="0" w:firstRowFirstColumn="0" w:firstRowLastColumn="0" w:lastRowFirstColumn="0" w:lastRowLastColumn="0"/>
          <w:trHeight w:val="299"/>
        </w:trPr>
        <w:tc>
          <w:tcPr>
            <w:tcW w:w="6746" w:type="dxa"/>
            <w:noWrap/>
            <w:hideMark/>
          </w:tcPr>
          <w:p w14:paraId="04B91819" w14:textId="77777777" w:rsidR="009D0006" w:rsidRPr="00030452" w:rsidRDefault="009D0006" w:rsidP="009938A0">
            <w:pPr>
              <w:pStyle w:val="Tableheader"/>
              <w:rPr>
                <w:bCs/>
              </w:rPr>
            </w:pPr>
            <w:r w:rsidRPr="00030452">
              <w:t>Harassment or assault in past 12 months</w:t>
            </w:r>
          </w:p>
        </w:tc>
        <w:tc>
          <w:tcPr>
            <w:tcW w:w="1559" w:type="dxa"/>
          </w:tcPr>
          <w:p w14:paraId="4BDE363F" w14:textId="77777777" w:rsidR="009D0006" w:rsidRPr="00814F94" w:rsidRDefault="009D0006" w:rsidP="009938A0">
            <w:pPr>
              <w:pStyle w:val="Tableheader"/>
              <w:rPr>
                <w:bCs/>
              </w:rPr>
            </w:pPr>
            <w:r w:rsidRPr="00814F94">
              <w:rPr>
                <w:bCs/>
              </w:rPr>
              <w:t>n</w:t>
            </w:r>
          </w:p>
        </w:tc>
        <w:tc>
          <w:tcPr>
            <w:tcW w:w="1559" w:type="dxa"/>
          </w:tcPr>
          <w:p w14:paraId="26D3ED73" w14:textId="77777777" w:rsidR="009D0006" w:rsidRPr="00814F94" w:rsidRDefault="009D0006" w:rsidP="009938A0">
            <w:pPr>
              <w:pStyle w:val="Tableheader"/>
              <w:rPr>
                <w:bCs/>
              </w:rPr>
            </w:pPr>
            <w:r w:rsidRPr="00814F94">
              <w:rPr>
                <w:bCs/>
              </w:rPr>
              <w:t>%</w:t>
            </w:r>
          </w:p>
        </w:tc>
      </w:tr>
      <w:tr w:rsidR="009D0006" w:rsidRPr="00BC3468" w14:paraId="28097875" w14:textId="77777777" w:rsidTr="009938A0">
        <w:trPr>
          <w:cnfStyle w:val="000000100000" w:firstRow="0" w:lastRow="0" w:firstColumn="0" w:lastColumn="0" w:oddVBand="0" w:evenVBand="0" w:oddHBand="1" w:evenHBand="0" w:firstRowFirstColumn="0" w:firstRowLastColumn="0" w:lastRowFirstColumn="0" w:lastRowLastColumn="0"/>
          <w:trHeight w:val="299"/>
        </w:trPr>
        <w:tc>
          <w:tcPr>
            <w:tcW w:w="6746" w:type="dxa"/>
            <w:noWrap/>
            <w:hideMark/>
          </w:tcPr>
          <w:p w14:paraId="2D21A807" w14:textId="77777777" w:rsidR="009D0006" w:rsidRPr="00BC3468" w:rsidRDefault="009D0006" w:rsidP="009938A0">
            <w:pPr>
              <w:pStyle w:val="Tabletext"/>
            </w:pPr>
            <w:r w:rsidRPr="00EF597C">
              <w:rPr>
                <w:lang w:val="en-US"/>
              </w:rPr>
              <w:t>Socially excluded</w:t>
            </w:r>
          </w:p>
        </w:tc>
        <w:tc>
          <w:tcPr>
            <w:tcW w:w="1559" w:type="dxa"/>
          </w:tcPr>
          <w:p w14:paraId="7F37D401" w14:textId="77777777" w:rsidR="009D0006" w:rsidRPr="00BC3468" w:rsidRDefault="009D0006" w:rsidP="009938A0">
            <w:pPr>
              <w:pStyle w:val="Tabletext"/>
            </w:pPr>
            <w:r>
              <w:t>97</w:t>
            </w:r>
          </w:p>
        </w:tc>
        <w:tc>
          <w:tcPr>
            <w:tcW w:w="1559" w:type="dxa"/>
          </w:tcPr>
          <w:p w14:paraId="1BCD24CC" w14:textId="77777777" w:rsidR="009D0006" w:rsidRPr="00BC3468" w:rsidRDefault="009D0006" w:rsidP="009938A0">
            <w:pPr>
              <w:pStyle w:val="Tabletext"/>
            </w:pPr>
            <w:r>
              <w:t>55.1</w:t>
            </w:r>
          </w:p>
        </w:tc>
      </w:tr>
      <w:tr w:rsidR="009D0006" w:rsidRPr="00BC3468" w14:paraId="4B9C682F" w14:textId="77777777" w:rsidTr="009938A0">
        <w:trPr>
          <w:cnfStyle w:val="000000010000" w:firstRow="0" w:lastRow="0" w:firstColumn="0" w:lastColumn="0" w:oddVBand="0" w:evenVBand="0" w:oddHBand="0" w:evenHBand="1" w:firstRowFirstColumn="0" w:firstRowLastColumn="0" w:lastRowFirstColumn="0" w:lastRowLastColumn="0"/>
          <w:trHeight w:val="214"/>
        </w:trPr>
        <w:tc>
          <w:tcPr>
            <w:tcW w:w="6746" w:type="dxa"/>
            <w:noWrap/>
            <w:hideMark/>
          </w:tcPr>
          <w:p w14:paraId="0E5EEBE3" w14:textId="77777777" w:rsidR="009D0006" w:rsidRPr="00BC3468" w:rsidRDefault="009D0006" w:rsidP="009938A0">
            <w:pPr>
              <w:pStyle w:val="Tabletext"/>
            </w:pPr>
            <w:r w:rsidRPr="00EF597C">
              <w:rPr>
                <w:lang w:val="en-US"/>
              </w:rPr>
              <w:t>Verbal abuse (including hateful or obscene phone calls)</w:t>
            </w:r>
          </w:p>
        </w:tc>
        <w:tc>
          <w:tcPr>
            <w:tcW w:w="1559" w:type="dxa"/>
          </w:tcPr>
          <w:p w14:paraId="6A8C0C99" w14:textId="77777777" w:rsidR="009D0006" w:rsidRPr="00BC3468" w:rsidRDefault="009D0006" w:rsidP="009938A0">
            <w:pPr>
              <w:pStyle w:val="Tabletext"/>
            </w:pPr>
            <w:r>
              <w:t>81</w:t>
            </w:r>
          </w:p>
        </w:tc>
        <w:tc>
          <w:tcPr>
            <w:tcW w:w="1559" w:type="dxa"/>
          </w:tcPr>
          <w:p w14:paraId="19CC3F12" w14:textId="77777777" w:rsidR="009D0006" w:rsidRPr="00BC3468" w:rsidRDefault="009D0006" w:rsidP="009938A0">
            <w:pPr>
              <w:pStyle w:val="Tabletext"/>
            </w:pPr>
            <w:r>
              <w:t>45.3</w:t>
            </w:r>
          </w:p>
        </w:tc>
      </w:tr>
      <w:tr w:rsidR="009D0006" w:rsidRPr="00BC3468" w14:paraId="042A8078" w14:textId="77777777" w:rsidTr="009938A0">
        <w:trPr>
          <w:cnfStyle w:val="000000100000" w:firstRow="0" w:lastRow="0" w:firstColumn="0" w:lastColumn="0" w:oddVBand="0" w:evenVBand="0" w:oddHBand="1" w:evenHBand="0" w:firstRowFirstColumn="0" w:firstRowLastColumn="0" w:lastRowFirstColumn="0" w:lastRowLastColumn="0"/>
          <w:trHeight w:val="214"/>
        </w:trPr>
        <w:tc>
          <w:tcPr>
            <w:tcW w:w="6746" w:type="dxa"/>
            <w:noWrap/>
            <w:hideMark/>
          </w:tcPr>
          <w:p w14:paraId="4A55BA53" w14:textId="77777777" w:rsidR="009D0006" w:rsidRPr="00BC3468" w:rsidRDefault="009D0006" w:rsidP="009938A0">
            <w:pPr>
              <w:pStyle w:val="Tabletext"/>
            </w:pPr>
            <w:r w:rsidRPr="00EF597C">
              <w:rPr>
                <w:lang w:val="en-US"/>
              </w:rPr>
              <w:t>Harassment such as being spat at and offensive gestures</w:t>
            </w:r>
          </w:p>
        </w:tc>
        <w:tc>
          <w:tcPr>
            <w:tcW w:w="1559" w:type="dxa"/>
          </w:tcPr>
          <w:p w14:paraId="55D9E788" w14:textId="77777777" w:rsidR="009D0006" w:rsidRPr="00BC3468" w:rsidRDefault="009D0006" w:rsidP="009938A0">
            <w:pPr>
              <w:pStyle w:val="Tabletext"/>
            </w:pPr>
            <w:r>
              <w:t>66</w:t>
            </w:r>
          </w:p>
        </w:tc>
        <w:tc>
          <w:tcPr>
            <w:tcW w:w="1559" w:type="dxa"/>
          </w:tcPr>
          <w:p w14:paraId="23941D08" w14:textId="77777777" w:rsidR="009D0006" w:rsidRPr="00BC3468" w:rsidRDefault="009D0006" w:rsidP="009938A0">
            <w:pPr>
              <w:pStyle w:val="Tabletext"/>
            </w:pPr>
            <w:r>
              <w:t>36.3</w:t>
            </w:r>
          </w:p>
        </w:tc>
      </w:tr>
      <w:tr w:rsidR="009D0006" w:rsidRPr="00BC3468" w14:paraId="4E4C5BB5" w14:textId="77777777" w:rsidTr="009938A0">
        <w:trPr>
          <w:cnfStyle w:val="000000010000" w:firstRow="0" w:lastRow="0" w:firstColumn="0" w:lastColumn="0" w:oddVBand="0" w:evenVBand="0" w:oddHBand="0" w:evenHBand="1" w:firstRowFirstColumn="0" w:firstRowLastColumn="0" w:lastRowFirstColumn="0" w:lastRowLastColumn="0"/>
          <w:trHeight w:val="299"/>
        </w:trPr>
        <w:tc>
          <w:tcPr>
            <w:tcW w:w="6746" w:type="dxa"/>
            <w:noWrap/>
            <w:hideMark/>
          </w:tcPr>
          <w:p w14:paraId="6D8F36C9" w14:textId="77777777" w:rsidR="009D0006" w:rsidRPr="00BC3468" w:rsidRDefault="009D0006" w:rsidP="009938A0">
            <w:pPr>
              <w:pStyle w:val="Tabletext"/>
            </w:pPr>
            <w:r>
              <w:rPr>
                <w:lang w:val="en-US"/>
              </w:rPr>
              <w:t>Sexual assault</w:t>
            </w:r>
          </w:p>
        </w:tc>
        <w:tc>
          <w:tcPr>
            <w:tcW w:w="1559" w:type="dxa"/>
          </w:tcPr>
          <w:p w14:paraId="2A35A9E4" w14:textId="77777777" w:rsidR="009D0006" w:rsidRPr="00BC3468" w:rsidRDefault="009D0006" w:rsidP="009938A0">
            <w:pPr>
              <w:pStyle w:val="Tabletext"/>
            </w:pPr>
            <w:r>
              <w:t>29</w:t>
            </w:r>
          </w:p>
        </w:tc>
        <w:tc>
          <w:tcPr>
            <w:tcW w:w="1559" w:type="dxa"/>
          </w:tcPr>
          <w:p w14:paraId="67C366D1" w14:textId="77777777" w:rsidR="009D0006" w:rsidRPr="00BC3468" w:rsidRDefault="009D0006" w:rsidP="009938A0">
            <w:pPr>
              <w:pStyle w:val="Tabletext"/>
            </w:pPr>
            <w:r>
              <w:t>17.6</w:t>
            </w:r>
          </w:p>
        </w:tc>
      </w:tr>
    </w:tbl>
    <w:p w14:paraId="62670B4A" w14:textId="77777777" w:rsidR="009D0006" w:rsidRPr="009938A0" w:rsidRDefault="009D0006" w:rsidP="009938A0">
      <w:pPr>
        <w:pStyle w:val="TableTextNotebelow"/>
        <w:rPr>
          <w:i/>
        </w:rPr>
      </w:pPr>
      <w:r w:rsidRPr="009938A0">
        <w:rPr>
          <w:i/>
        </w:rPr>
        <w:t>Note: Responses were analysed among participants who reported that a situation was applicable to them therefore an overall ‘n’ is not provided.</w:t>
      </w:r>
    </w:p>
    <w:p w14:paraId="0D616849" w14:textId="77777777" w:rsidR="009D0006" w:rsidRDefault="009D0006" w:rsidP="00AB4A74">
      <w:pPr>
        <w:spacing w:before="360"/>
      </w:pPr>
      <w:r>
        <w:t xml:space="preserve">As shown in Tables 128.1-128.7, approximately 60% of participants with disability in </w:t>
      </w:r>
      <w:r>
        <w:rPr>
          <w:i/>
          <w:iCs/>
        </w:rPr>
        <w:t>Private Lives 3</w:t>
      </w:r>
      <w:r>
        <w:t xml:space="preserve"> who identified as queer had experienced social exclusion in the past 12 months (60.5%; n = 236). This was followed by participants who identified as something else (55.1%; n = 97), participants who identified as pansexual (54.8%; n = 132), participants who identified as lesbian (50.1%; n = 236), participants who identified as asexual (50.0%; n = 53), participants who identified as bisexual (45.7%; n = 264) and participants who identified as gay (42.2%; n = 155).</w:t>
      </w:r>
    </w:p>
    <w:p w14:paraId="6CEA6DDE" w14:textId="77777777" w:rsidR="009D0006" w:rsidRDefault="009D0006" w:rsidP="009D0006">
      <w:r>
        <w:t>Participants who identified as pansexual had the highest proportion who had experienced verbal abuse, including hateful or obscene phone calls in the past 12 months (51.7%; n = 124). This was followed by participants who identified as queer (50.5%; n = 193), participants who identified as lesbian (45.3%; n = 211) or something else (45.3%; n = 81), participan</w:t>
      </w:r>
      <w:r>
        <w:lastRenderedPageBreak/>
        <w:t>ts who identified as gay (39.1%; n = 146), participants who identified as asexual (35.0%; n = 36) and participants who identified as bisexual (33.7%; n = 192).</w:t>
      </w:r>
    </w:p>
    <w:p w14:paraId="7885C413" w14:textId="77777777" w:rsidR="009D0006" w:rsidRDefault="009D0006" w:rsidP="009D0006">
      <w:r>
        <w:t>More than one-third of participants who identified as queer had experienced harassment such as being spat at and offensive gestures in the past 12 months (38.7%; n = 148). This was followed by participants who identified as something else (36.3%; n = 66), participants who identified as pansexual (35.3%; n = 83), participants who identified as lesbian (31.7%; n = 146), participants who identified as gay (27.4%; n = 101), participants who identified as bisexual (24.2%; n = 138) and participants who identified as asexual (23.8%; n = 25).</w:t>
      </w:r>
    </w:p>
    <w:p w14:paraId="3EBFF26E" w14:textId="77777777" w:rsidR="009D0006" w:rsidRPr="005910DE" w:rsidRDefault="009D0006" w:rsidP="009D0006">
      <w:r>
        <w:t>More than 1 in 5 participants who identified as pansexual had been sexually assaulted in the past 12 months (22.5%; n = 53). This was followed by participants who identified as bisexual (21.2%; n = 119), participants who identified as queer (18.8%; n = 70), participants who identified as something else (17.6%; n = 29), participants who identified as lesbian (13.4%; n = 60), participants who identified as gay (12.7%; n = 45) and participants who identified as asexual (10.8%; n = 11).</w:t>
      </w:r>
    </w:p>
    <w:p w14:paraId="588864DE" w14:textId="45BD488C" w:rsidR="009D0006" w:rsidRPr="00C5739E" w:rsidRDefault="009D0006" w:rsidP="009401DC">
      <w:pPr>
        <w:pStyle w:val="Heading2Numbered"/>
      </w:pPr>
      <w:bookmarkStart w:id="964" w:name="_Toc115968682"/>
      <w:bookmarkStart w:id="965" w:name="_Toc119662488"/>
      <w:r w:rsidRPr="00C5739E">
        <w:t xml:space="preserve">Experiences of </w:t>
      </w:r>
      <w:r>
        <w:t>family</w:t>
      </w:r>
      <w:r w:rsidRPr="00C5739E">
        <w:t xml:space="preserve"> violence – adults aged 18+ years</w:t>
      </w:r>
      <w:bookmarkEnd w:id="964"/>
      <w:bookmarkEnd w:id="965"/>
    </w:p>
    <w:p w14:paraId="039276D6" w14:textId="20903B88" w:rsidR="009D0006" w:rsidRDefault="009D0006" w:rsidP="009938A0">
      <w:pPr>
        <w:pStyle w:val="Tableheading"/>
      </w:pPr>
      <w:bookmarkStart w:id="966" w:name="_Toc117062846"/>
      <w:bookmarkStart w:id="967" w:name="_Toc119651531"/>
      <w:r w:rsidRPr="004B5CDE">
        <w:t>Table</w:t>
      </w:r>
      <w:r>
        <w:t>s</w:t>
      </w:r>
      <w:r w:rsidRPr="004B5CDE">
        <w:t xml:space="preserve"> </w:t>
      </w:r>
      <w:r>
        <w:rPr>
          <w:noProof/>
        </w:rPr>
        <w:fldChar w:fldCharType="begin"/>
      </w:r>
      <w:r>
        <w:rPr>
          <w:noProof/>
        </w:rPr>
        <w:instrText xml:space="preserve"> SEQ Table \* ARABIC </w:instrText>
      </w:r>
      <w:r>
        <w:rPr>
          <w:noProof/>
        </w:rPr>
        <w:fldChar w:fldCharType="separate"/>
      </w:r>
      <w:r>
        <w:rPr>
          <w:noProof/>
        </w:rPr>
        <w:t>129</w:t>
      </w:r>
      <w:r>
        <w:rPr>
          <w:noProof/>
        </w:rPr>
        <w:fldChar w:fldCharType="end"/>
      </w:r>
      <w:r>
        <w:rPr>
          <w:noProof/>
        </w:rPr>
        <w:t>.1-129.7</w:t>
      </w:r>
      <w:r>
        <w:t>: Ever experienced violence</w:t>
      </w:r>
      <w:r w:rsidRPr="004B5CDE">
        <w:t xml:space="preserve"> </w:t>
      </w:r>
      <w:r>
        <w:t>from an intimate partner (n = 2409) or family member (n = 2452)</w:t>
      </w:r>
      <w:r w:rsidRPr="004B5CDE">
        <w:t xml:space="preserve"> </w:t>
      </w:r>
      <w:r>
        <w:t>among adults with disability aged 18+ years, grouped by sexual orientation</w:t>
      </w:r>
      <w:bookmarkEnd w:id="966"/>
      <w:bookmarkEnd w:id="967"/>
    </w:p>
    <w:p w14:paraId="24E5AF95" w14:textId="77777777" w:rsidR="009D0006" w:rsidRDefault="009D0006" w:rsidP="009938A0">
      <w:pPr>
        <w:pStyle w:val="Tableheading"/>
      </w:pPr>
      <w:r>
        <w:t>Table 129.1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D24E74D" w14:textId="77777777" w:rsidTr="009938A0">
        <w:trPr>
          <w:cnfStyle w:val="100000000000" w:firstRow="1" w:lastRow="0" w:firstColumn="0" w:lastColumn="0" w:oddVBand="0" w:evenVBand="0" w:oddHBand="0" w:evenHBand="0" w:firstRowFirstColumn="0" w:firstRowLastColumn="0" w:lastRowFirstColumn="0" w:lastRowLastColumn="0"/>
          <w:trHeight w:val="284"/>
        </w:trPr>
        <w:tc>
          <w:tcPr>
            <w:tcW w:w="6746" w:type="dxa"/>
            <w:noWrap/>
            <w:hideMark/>
          </w:tcPr>
          <w:p w14:paraId="1A8DB7AE" w14:textId="77777777" w:rsidR="009D0006" w:rsidRPr="00030452" w:rsidRDefault="009D0006" w:rsidP="009938A0">
            <w:pPr>
              <w:pStyle w:val="Tableheader"/>
              <w:rPr>
                <w:bCs/>
              </w:rPr>
            </w:pPr>
            <w:r>
              <w:t>Source of</w:t>
            </w:r>
            <w:r w:rsidRPr="00030452">
              <w:t xml:space="preserve"> violence</w:t>
            </w:r>
          </w:p>
        </w:tc>
        <w:tc>
          <w:tcPr>
            <w:tcW w:w="1559" w:type="dxa"/>
            <w:noWrap/>
            <w:hideMark/>
          </w:tcPr>
          <w:p w14:paraId="49CC4BCD" w14:textId="77777777" w:rsidR="009D0006" w:rsidRPr="00BC3468" w:rsidRDefault="009D0006" w:rsidP="009938A0">
            <w:pPr>
              <w:pStyle w:val="Tableheader"/>
              <w:rPr>
                <w:bCs/>
              </w:rPr>
            </w:pPr>
            <w:r w:rsidRPr="00BC3468">
              <w:rPr>
                <w:bCs/>
              </w:rPr>
              <w:t>n</w:t>
            </w:r>
          </w:p>
        </w:tc>
        <w:tc>
          <w:tcPr>
            <w:tcW w:w="1559" w:type="dxa"/>
            <w:noWrap/>
            <w:hideMark/>
          </w:tcPr>
          <w:p w14:paraId="3D84DD27" w14:textId="77777777" w:rsidR="009D0006" w:rsidRPr="00BC3468" w:rsidRDefault="009D0006" w:rsidP="009938A0">
            <w:pPr>
              <w:pStyle w:val="Tableheader"/>
              <w:rPr>
                <w:bCs/>
              </w:rPr>
            </w:pPr>
            <w:r w:rsidRPr="00BC3468">
              <w:rPr>
                <w:bCs/>
              </w:rPr>
              <w:t>%</w:t>
            </w:r>
          </w:p>
        </w:tc>
      </w:tr>
      <w:tr w:rsidR="009D0006" w:rsidRPr="00BC3468" w14:paraId="1E8B8707" w14:textId="77777777" w:rsidTr="009938A0">
        <w:trPr>
          <w:cnfStyle w:val="000000100000" w:firstRow="0" w:lastRow="0" w:firstColumn="0" w:lastColumn="0" w:oddVBand="0" w:evenVBand="0" w:oddHBand="1" w:evenHBand="0" w:firstRowFirstColumn="0" w:firstRowLastColumn="0" w:lastRowFirstColumn="0" w:lastRowLastColumn="0"/>
          <w:trHeight w:val="144"/>
        </w:trPr>
        <w:tc>
          <w:tcPr>
            <w:tcW w:w="6746" w:type="dxa"/>
            <w:noWrap/>
            <w:hideMark/>
          </w:tcPr>
          <w:p w14:paraId="7BCA4F68" w14:textId="77777777" w:rsidR="009D0006" w:rsidRPr="00BC3468" w:rsidRDefault="009D0006" w:rsidP="009938A0">
            <w:pPr>
              <w:pStyle w:val="Tabletext"/>
            </w:pPr>
            <w:r>
              <w:rPr>
                <w:lang w:val="en-US"/>
              </w:rPr>
              <w:t>Intimate partner</w:t>
            </w:r>
          </w:p>
        </w:tc>
        <w:tc>
          <w:tcPr>
            <w:tcW w:w="1559" w:type="dxa"/>
            <w:noWrap/>
          </w:tcPr>
          <w:p w14:paraId="1B555234" w14:textId="77777777" w:rsidR="009D0006" w:rsidRPr="00BC3468" w:rsidRDefault="009D0006" w:rsidP="009938A0">
            <w:pPr>
              <w:pStyle w:val="Tabletext"/>
            </w:pPr>
            <w:r>
              <w:t>335</w:t>
            </w:r>
          </w:p>
        </w:tc>
        <w:tc>
          <w:tcPr>
            <w:tcW w:w="1559" w:type="dxa"/>
            <w:noWrap/>
          </w:tcPr>
          <w:p w14:paraId="333F4D76" w14:textId="77777777" w:rsidR="009D0006" w:rsidRPr="00BC3468" w:rsidRDefault="009D0006" w:rsidP="009938A0">
            <w:pPr>
              <w:pStyle w:val="Tabletext"/>
            </w:pPr>
            <w:r>
              <w:t>72.0</w:t>
            </w:r>
          </w:p>
        </w:tc>
      </w:tr>
      <w:tr w:rsidR="009D0006" w:rsidRPr="00BC3468" w14:paraId="1124C1AB" w14:textId="77777777" w:rsidTr="009938A0">
        <w:trPr>
          <w:cnfStyle w:val="000000010000" w:firstRow="0" w:lastRow="0" w:firstColumn="0" w:lastColumn="0" w:oddVBand="0" w:evenVBand="0" w:oddHBand="0" w:evenHBand="1" w:firstRowFirstColumn="0" w:firstRowLastColumn="0" w:lastRowFirstColumn="0" w:lastRowLastColumn="0"/>
          <w:trHeight w:val="144"/>
        </w:trPr>
        <w:tc>
          <w:tcPr>
            <w:tcW w:w="6746" w:type="dxa"/>
            <w:noWrap/>
            <w:hideMark/>
          </w:tcPr>
          <w:p w14:paraId="69C7E53E" w14:textId="77777777" w:rsidR="009D0006" w:rsidRPr="00BC3468" w:rsidRDefault="009D0006" w:rsidP="009938A0">
            <w:pPr>
              <w:pStyle w:val="Tabletext"/>
            </w:pPr>
            <w:r>
              <w:rPr>
                <w:lang w:val="en-US"/>
              </w:rPr>
              <w:t>Family member</w:t>
            </w:r>
          </w:p>
        </w:tc>
        <w:tc>
          <w:tcPr>
            <w:tcW w:w="1559" w:type="dxa"/>
            <w:noWrap/>
          </w:tcPr>
          <w:p w14:paraId="34B2633A" w14:textId="77777777" w:rsidR="009D0006" w:rsidRPr="00BC3468" w:rsidRDefault="009D0006" w:rsidP="009938A0">
            <w:pPr>
              <w:pStyle w:val="Tabletext"/>
            </w:pPr>
            <w:r>
              <w:t>365</w:t>
            </w:r>
          </w:p>
        </w:tc>
        <w:tc>
          <w:tcPr>
            <w:tcW w:w="1559" w:type="dxa"/>
            <w:noWrap/>
          </w:tcPr>
          <w:p w14:paraId="3A956A88" w14:textId="77777777" w:rsidR="009D0006" w:rsidRPr="00BC3468" w:rsidRDefault="009D0006" w:rsidP="009938A0">
            <w:pPr>
              <w:pStyle w:val="Tabletext"/>
            </w:pPr>
            <w:r>
              <w:t>76.4</w:t>
            </w:r>
          </w:p>
        </w:tc>
      </w:tr>
    </w:tbl>
    <w:p w14:paraId="42A00DE3" w14:textId="77777777" w:rsidR="009D0006" w:rsidRDefault="009D0006" w:rsidP="009938A0">
      <w:pPr>
        <w:pStyle w:val="Tableheading"/>
        <w:rPr>
          <w:lang w:val="en-US"/>
        </w:rPr>
      </w:pPr>
      <w:r>
        <w:rPr>
          <w:lang w:val="en-US"/>
        </w:rPr>
        <w:t>Table 129.2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5AFFC84" w14:textId="77777777" w:rsidTr="009938A0">
        <w:trPr>
          <w:cnfStyle w:val="100000000000" w:firstRow="1" w:lastRow="0" w:firstColumn="0" w:lastColumn="0" w:oddVBand="0" w:evenVBand="0" w:oddHBand="0" w:evenHBand="0" w:firstRowFirstColumn="0" w:firstRowLastColumn="0" w:lastRowFirstColumn="0" w:lastRowLastColumn="0"/>
          <w:trHeight w:val="342"/>
        </w:trPr>
        <w:tc>
          <w:tcPr>
            <w:tcW w:w="6746" w:type="dxa"/>
            <w:noWrap/>
            <w:hideMark/>
          </w:tcPr>
          <w:p w14:paraId="1141A1CC" w14:textId="77777777" w:rsidR="009D0006" w:rsidRPr="00030452" w:rsidRDefault="009D0006" w:rsidP="009938A0">
            <w:pPr>
              <w:pStyle w:val="Tableheader"/>
              <w:rPr>
                <w:bCs/>
              </w:rPr>
            </w:pPr>
            <w:r>
              <w:t>Source of</w:t>
            </w:r>
            <w:r w:rsidRPr="00030452">
              <w:t xml:space="preserve"> violence</w:t>
            </w:r>
          </w:p>
        </w:tc>
        <w:tc>
          <w:tcPr>
            <w:tcW w:w="1559" w:type="dxa"/>
            <w:noWrap/>
            <w:hideMark/>
          </w:tcPr>
          <w:p w14:paraId="1DE8CAE8" w14:textId="77777777" w:rsidR="009D0006" w:rsidRPr="009440F9" w:rsidRDefault="009D0006" w:rsidP="009938A0">
            <w:pPr>
              <w:pStyle w:val="Tableheader"/>
              <w:rPr>
                <w:bCs/>
              </w:rPr>
            </w:pPr>
            <w:r w:rsidRPr="009440F9">
              <w:rPr>
                <w:bCs/>
              </w:rPr>
              <w:t>n</w:t>
            </w:r>
          </w:p>
        </w:tc>
        <w:tc>
          <w:tcPr>
            <w:tcW w:w="1559" w:type="dxa"/>
            <w:noWrap/>
            <w:hideMark/>
          </w:tcPr>
          <w:p w14:paraId="06BCD7D0" w14:textId="77777777" w:rsidR="009D0006" w:rsidRPr="009440F9" w:rsidRDefault="009D0006" w:rsidP="009938A0">
            <w:pPr>
              <w:pStyle w:val="Tableheader"/>
              <w:rPr>
                <w:bCs/>
              </w:rPr>
            </w:pPr>
            <w:r w:rsidRPr="009440F9">
              <w:rPr>
                <w:bCs/>
              </w:rPr>
              <w:t>%</w:t>
            </w:r>
          </w:p>
        </w:tc>
      </w:tr>
      <w:tr w:rsidR="009D0006" w:rsidRPr="00BC3468" w14:paraId="33953A0A" w14:textId="77777777" w:rsidTr="009938A0">
        <w:trPr>
          <w:cnfStyle w:val="000000100000" w:firstRow="0" w:lastRow="0" w:firstColumn="0" w:lastColumn="0" w:oddVBand="0" w:evenVBand="0" w:oddHBand="1" w:evenHBand="0" w:firstRowFirstColumn="0" w:firstRowLastColumn="0" w:lastRowFirstColumn="0" w:lastRowLastColumn="0"/>
          <w:trHeight w:val="173"/>
        </w:trPr>
        <w:tc>
          <w:tcPr>
            <w:tcW w:w="6746" w:type="dxa"/>
            <w:noWrap/>
            <w:hideMark/>
          </w:tcPr>
          <w:p w14:paraId="1B76FF0A" w14:textId="77777777" w:rsidR="009D0006" w:rsidRPr="00BC3468" w:rsidRDefault="009D0006" w:rsidP="009938A0">
            <w:pPr>
              <w:pStyle w:val="Tabletext"/>
            </w:pPr>
            <w:r>
              <w:rPr>
                <w:lang w:val="en-US"/>
              </w:rPr>
              <w:t>Intimate partner</w:t>
            </w:r>
          </w:p>
        </w:tc>
        <w:tc>
          <w:tcPr>
            <w:tcW w:w="1559" w:type="dxa"/>
            <w:noWrap/>
          </w:tcPr>
          <w:p w14:paraId="3F22E71E" w14:textId="77777777" w:rsidR="009D0006" w:rsidRPr="00BC3468" w:rsidRDefault="009D0006" w:rsidP="009938A0">
            <w:pPr>
              <w:pStyle w:val="Tabletext"/>
            </w:pPr>
            <w:r>
              <w:t>255</w:t>
            </w:r>
          </w:p>
        </w:tc>
        <w:tc>
          <w:tcPr>
            <w:tcW w:w="1559" w:type="dxa"/>
            <w:noWrap/>
          </w:tcPr>
          <w:p w14:paraId="3909447D" w14:textId="77777777" w:rsidR="009D0006" w:rsidRPr="00BC3468" w:rsidRDefault="009D0006" w:rsidP="009938A0">
            <w:pPr>
              <w:pStyle w:val="Tabletext"/>
            </w:pPr>
            <w:r>
              <w:t>67.6</w:t>
            </w:r>
          </w:p>
        </w:tc>
      </w:tr>
      <w:tr w:rsidR="009D0006" w:rsidRPr="00BC3468" w14:paraId="5428D3C9" w14:textId="77777777" w:rsidTr="009938A0">
        <w:trPr>
          <w:cnfStyle w:val="000000010000" w:firstRow="0" w:lastRow="0" w:firstColumn="0" w:lastColumn="0" w:oddVBand="0" w:evenVBand="0" w:oddHBand="0" w:evenHBand="1" w:firstRowFirstColumn="0" w:firstRowLastColumn="0" w:lastRowFirstColumn="0" w:lastRowLastColumn="0"/>
          <w:trHeight w:val="173"/>
        </w:trPr>
        <w:tc>
          <w:tcPr>
            <w:tcW w:w="6746" w:type="dxa"/>
            <w:noWrap/>
            <w:hideMark/>
          </w:tcPr>
          <w:p w14:paraId="7EE0682C" w14:textId="77777777" w:rsidR="009D0006" w:rsidRPr="00BC3468" w:rsidRDefault="009D0006" w:rsidP="009938A0">
            <w:pPr>
              <w:pStyle w:val="Tabletext"/>
            </w:pPr>
            <w:r>
              <w:rPr>
                <w:lang w:val="en-US"/>
              </w:rPr>
              <w:t>Family member</w:t>
            </w:r>
          </w:p>
        </w:tc>
        <w:tc>
          <w:tcPr>
            <w:tcW w:w="1559" w:type="dxa"/>
            <w:noWrap/>
          </w:tcPr>
          <w:p w14:paraId="02095853" w14:textId="77777777" w:rsidR="009D0006" w:rsidRPr="00BC3468" w:rsidRDefault="009D0006" w:rsidP="009938A0">
            <w:pPr>
              <w:pStyle w:val="Tabletext"/>
            </w:pPr>
            <w:r>
              <w:t>264</w:t>
            </w:r>
          </w:p>
        </w:tc>
        <w:tc>
          <w:tcPr>
            <w:tcW w:w="1559" w:type="dxa"/>
            <w:noWrap/>
          </w:tcPr>
          <w:p w14:paraId="3B8E10D7" w14:textId="77777777" w:rsidR="009D0006" w:rsidRPr="00BC3468" w:rsidRDefault="009D0006" w:rsidP="009938A0">
            <w:pPr>
              <w:pStyle w:val="Tabletext"/>
            </w:pPr>
            <w:r>
              <w:t>69.7</w:t>
            </w:r>
          </w:p>
        </w:tc>
      </w:tr>
    </w:tbl>
    <w:p w14:paraId="138039FF" w14:textId="77777777" w:rsidR="00650B64" w:rsidRDefault="00650B64">
      <w:pPr>
        <w:spacing w:before="0"/>
        <w:rPr>
          <w:rFonts w:eastAsiaTheme="majorEastAsia" w:cstheme="majorBidi"/>
          <w:b/>
          <w:color w:val="000000" w:themeColor="text1"/>
          <w:lang w:val="en-US"/>
        </w:rPr>
      </w:pPr>
      <w:r>
        <w:rPr>
          <w:lang w:val="en-US"/>
        </w:rPr>
        <w:br w:type="page"/>
      </w:r>
    </w:p>
    <w:p w14:paraId="3D51A208" w14:textId="66F9AD74" w:rsidR="009D0006" w:rsidRDefault="009D0006" w:rsidP="009938A0">
      <w:pPr>
        <w:pStyle w:val="Tableheading"/>
        <w:rPr>
          <w:lang w:val="en-US"/>
        </w:rPr>
      </w:pPr>
      <w:r>
        <w:rPr>
          <w:lang w:val="en-US"/>
        </w:rPr>
        <w:t>Table129.3</w:t>
      </w:r>
      <w:r>
        <w:rPr>
          <w:lang w:val="en-US"/>
        </w:rPr>
        <w:lastRenderedPageBreak/>
        <w:t xml:space="preserve">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1077AC0" w14:textId="77777777" w:rsidTr="009938A0">
        <w:trPr>
          <w:cnfStyle w:val="100000000000" w:firstRow="1" w:lastRow="0" w:firstColumn="0" w:lastColumn="0" w:oddVBand="0" w:evenVBand="0" w:oddHBand="0" w:evenHBand="0" w:firstRowFirstColumn="0" w:firstRowLastColumn="0" w:lastRowFirstColumn="0" w:lastRowLastColumn="0"/>
          <w:trHeight w:val="298"/>
        </w:trPr>
        <w:tc>
          <w:tcPr>
            <w:tcW w:w="6746" w:type="dxa"/>
            <w:noWrap/>
            <w:hideMark/>
          </w:tcPr>
          <w:p w14:paraId="7FC1E8D7" w14:textId="77777777" w:rsidR="009D0006" w:rsidRPr="00030452" w:rsidRDefault="009D0006" w:rsidP="009938A0">
            <w:pPr>
              <w:pStyle w:val="Tableheader"/>
              <w:rPr>
                <w:bCs/>
              </w:rPr>
            </w:pPr>
            <w:r>
              <w:t>Source of</w:t>
            </w:r>
            <w:r w:rsidRPr="00030452">
              <w:t xml:space="preserve"> violence</w:t>
            </w:r>
          </w:p>
        </w:tc>
        <w:tc>
          <w:tcPr>
            <w:tcW w:w="1559" w:type="dxa"/>
          </w:tcPr>
          <w:p w14:paraId="4D0E7B70" w14:textId="77777777" w:rsidR="009D0006" w:rsidRPr="009440F9" w:rsidRDefault="009D0006" w:rsidP="009938A0">
            <w:pPr>
              <w:pStyle w:val="Tableheader"/>
              <w:rPr>
                <w:bCs/>
              </w:rPr>
            </w:pPr>
            <w:r w:rsidRPr="009440F9">
              <w:rPr>
                <w:bCs/>
              </w:rPr>
              <w:t>n</w:t>
            </w:r>
          </w:p>
        </w:tc>
        <w:tc>
          <w:tcPr>
            <w:tcW w:w="1559" w:type="dxa"/>
          </w:tcPr>
          <w:p w14:paraId="3FA250ED" w14:textId="77777777" w:rsidR="009D0006" w:rsidRPr="009440F9" w:rsidRDefault="009D0006" w:rsidP="009938A0">
            <w:pPr>
              <w:pStyle w:val="Tableheader"/>
              <w:rPr>
                <w:bCs/>
              </w:rPr>
            </w:pPr>
            <w:r w:rsidRPr="009440F9">
              <w:rPr>
                <w:bCs/>
              </w:rPr>
              <w:t>%</w:t>
            </w:r>
          </w:p>
        </w:tc>
      </w:tr>
      <w:tr w:rsidR="009D0006" w:rsidRPr="00BC3468" w14:paraId="68107BBB" w14:textId="77777777" w:rsidTr="009938A0">
        <w:trPr>
          <w:cnfStyle w:val="000000100000" w:firstRow="0" w:lastRow="0" w:firstColumn="0" w:lastColumn="0" w:oddVBand="0" w:evenVBand="0" w:oddHBand="1" w:evenHBand="0" w:firstRowFirstColumn="0" w:firstRowLastColumn="0" w:lastRowFirstColumn="0" w:lastRowLastColumn="0"/>
          <w:trHeight w:val="150"/>
        </w:trPr>
        <w:tc>
          <w:tcPr>
            <w:tcW w:w="6746" w:type="dxa"/>
            <w:noWrap/>
            <w:hideMark/>
          </w:tcPr>
          <w:p w14:paraId="26FCEBBF" w14:textId="77777777" w:rsidR="009D0006" w:rsidRPr="00BC3468" w:rsidRDefault="009D0006" w:rsidP="009938A0">
            <w:pPr>
              <w:pStyle w:val="Tabletext"/>
            </w:pPr>
            <w:r>
              <w:rPr>
                <w:lang w:val="en-US"/>
              </w:rPr>
              <w:t>Intimate partner</w:t>
            </w:r>
          </w:p>
        </w:tc>
        <w:tc>
          <w:tcPr>
            <w:tcW w:w="1559" w:type="dxa"/>
          </w:tcPr>
          <w:p w14:paraId="4FECC99D" w14:textId="77777777" w:rsidR="009D0006" w:rsidRPr="00BC3468" w:rsidRDefault="009D0006" w:rsidP="009938A0">
            <w:pPr>
              <w:pStyle w:val="Tabletext"/>
            </w:pPr>
            <w:r>
              <w:t>407</w:t>
            </w:r>
          </w:p>
        </w:tc>
        <w:tc>
          <w:tcPr>
            <w:tcW w:w="1559" w:type="dxa"/>
          </w:tcPr>
          <w:p w14:paraId="49FF73F6" w14:textId="77777777" w:rsidR="009D0006" w:rsidRPr="00BC3468" w:rsidRDefault="009D0006" w:rsidP="009938A0">
            <w:pPr>
              <w:pStyle w:val="Tabletext"/>
            </w:pPr>
            <w:r>
              <w:t>68.9</w:t>
            </w:r>
          </w:p>
        </w:tc>
      </w:tr>
      <w:tr w:rsidR="009D0006" w:rsidRPr="00BC3468" w14:paraId="36F6E7CB" w14:textId="77777777" w:rsidTr="009938A0">
        <w:trPr>
          <w:cnfStyle w:val="000000010000" w:firstRow="0" w:lastRow="0" w:firstColumn="0" w:lastColumn="0" w:oddVBand="0" w:evenVBand="0" w:oddHBand="0" w:evenHBand="1" w:firstRowFirstColumn="0" w:firstRowLastColumn="0" w:lastRowFirstColumn="0" w:lastRowLastColumn="0"/>
          <w:trHeight w:val="150"/>
        </w:trPr>
        <w:tc>
          <w:tcPr>
            <w:tcW w:w="6746" w:type="dxa"/>
            <w:noWrap/>
            <w:hideMark/>
          </w:tcPr>
          <w:p w14:paraId="5B67AD31" w14:textId="77777777" w:rsidR="009D0006" w:rsidRPr="00BC3468" w:rsidRDefault="009D0006" w:rsidP="009938A0">
            <w:pPr>
              <w:pStyle w:val="Tabletext"/>
            </w:pPr>
            <w:r>
              <w:rPr>
                <w:lang w:val="en-US"/>
              </w:rPr>
              <w:t>Family member</w:t>
            </w:r>
          </w:p>
        </w:tc>
        <w:tc>
          <w:tcPr>
            <w:tcW w:w="1559" w:type="dxa"/>
          </w:tcPr>
          <w:p w14:paraId="336C1F19" w14:textId="77777777" w:rsidR="009D0006" w:rsidRPr="00BC3468" w:rsidRDefault="009D0006" w:rsidP="009938A0">
            <w:pPr>
              <w:pStyle w:val="Tabletext"/>
            </w:pPr>
            <w:r>
              <w:t>464</w:t>
            </w:r>
          </w:p>
        </w:tc>
        <w:tc>
          <w:tcPr>
            <w:tcW w:w="1559" w:type="dxa"/>
          </w:tcPr>
          <w:p w14:paraId="55F1C3F1" w14:textId="77777777" w:rsidR="009D0006" w:rsidRPr="00BC3468" w:rsidRDefault="009D0006" w:rsidP="009938A0">
            <w:pPr>
              <w:pStyle w:val="Tabletext"/>
            </w:pPr>
            <w:r>
              <w:t>77.2</w:t>
            </w:r>
          </w:p>
        </w:tc>
      </w:tr>
    </w:tbl>
    <w:p w14:paraId="39271829" w14:textId="77777777" w:rsidR="009D0006" w:rsidRDefault="009D0006" w:rsidP="009938A0">
      <w:pPr>
        <w:pStyle w:val="Tableheading"/>
        <w:rPr>
          <w:lang w:val="en-US"/>
        </w:rPr>
      </w:pPr>
      <w:r>
        <w:rPr>
          <w:lang w:val="en-US"/>
        </w:rPr>
        <w:t>Table 129.4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ACD10DF" w14:textId="77777777" w:rsidTr="009938A0">
        <w:trPr>
          <w:cnfStyle w:val="100000000000" w:firstRow="1" w:lastRow="0" w:firstColumn="0" w:lastColumn="0" w:oddVBand="0" w:evenVBand="0" w:oddHBand="0" w:evenHBand="0" w:firstRowFirstColumn="0" w:firstRowLastColumn="0" w:lastRowFirstColumn="0" w:lastRowLastColumn="0"/>
          <w:trHeight w:val="339"/>
        </w:trPr>
        <w:tc>
          <w:tcPr>
            <w:tcW w:w="6746" w:type="dxa"/>
            <w:noWrap/>
            <w:hideMark/>
          </w:tcPr>
          <w:p w14:paraId="2BD6A653" w14:textId="77777777" w:rsidR="009D0006" w:rsidRPr="00030452" w:rsidRDefault="009D0006" w:rsidP="009938A0">
            <w:pPr>
              <w:pStyle w:val="Tableheader"/>
              <w:rPr>
                <w:bCs/>
              </w:rPr>
            </w:pPr>
            <w:r>
              <w:t>Source of</w:t>
            </w:r>
            <w:r w:rsidRPr="00030452">
              <w:t xml:space="preserve"> violence</w:t>
            </w:r>
          </w:p>
        </w:tc>
        <w:tc>
          <w:tcPr>
            <w:tcW w:w="1559" w:type="dxa"/>
            <w:noWrap/>
            <w:hideMark/>
          </w:tcPr>
          <w:p w14:paraId="64B7984A" w14:textId="77777777" w:rsidR="009D0006" w:rsidRPr="009440F9" w:rsidRDefault="009D0006" w:rsidP="009938A0">
            <w:pPr>
              <w:pStyle w:val="Tableheader"/>
              <w:rPr>
                <w:bCs/>
              </w:rPr>
            </w:pPr>
            <w:r w:rsidRPr="009440F9">
              <w:rPr>
                <w:bCs/>
              </w:rPr>
              <w:t>n</w:t>
            </w:r>
          </w:p>
        </w:tc>
        <w:tc>
          <w:tcPr>
            <w:tcW w:w="1559" w:type="dxa"/>
            <w:noWrap/>
            <w:hideMark/>
          </w:tcPr>
          <w:p w14:paraId="725A3C6D" w14:textId="77777777" w:rsidR="009D0006" w:rsidRPr="009440F9" w:rsidRDefault="009D0006" w:rsidP="009938A0">
            <w:pPr>
              <w:pStyle w:val="Tableheader"/>
              <w:rPr>
                <w:bCs/>
              </w:rPr>
            </w:pPr>
            <w:r w:rsidRPr="009440F9">
              <w:rPr>
                <w:bCs/>
              </w:rPr>
              <w:t>%</w:t>
            </w:r>
          </w:p>
        </w:tc>
      </w:tr>
      <w:tr w:rsidR="009D0006" w:rsidRPr="00BC3468" w14:paraId="7BD490DE" w14:textId="77777777" w:rsidTr="009938A0">
        <w:trPr>
          <w:cnfStyle w:val="000000100000" w:firstRow="0" w:lastRow="0" w:firstColumn="0" w:lastColumn="0" w:oddVBand="0" w:evenVBand="0" w:oddHBand="1" w:evenHBand="0" w:firstRowFirstColumn="0" w:firstRowLastColumn="0" w:lastRowFirstColumn="0" w:lastRowLastColumn="0"/>
          <w:trHeight w:val="171"/>
        </w:trPr>
        <w:tc>
          <w:tcPr>
            <w:tcW w:w="6746" w:type="dxa"/>
            <w:noWrap/>
            <w:hideMark/>
          </w:tcPr>
          <w:p w14:paraId="780CE472" w14:textId="77777777" w:rsidR="009D0006" w:rsidRPr="00BC3468" w:rsidRDefault="009D0006" w:rsidP="009938A0">
            <w:pPr>
              <w:pStyle w:val="Tabletext"/>
            </w:pPr>
            <w:r>
              <w:rPr>
                <w:lang w:val="en-US"/>
              </w:rPr>
              <w:t>Intimate partner</w:t>
            </w:r>
          </w:p>
        </w:tc>
        <w:tc>
          <w:tcPr>
            <w:tcW w:w="1559" w:type="dxa"/>
            <w:noWrap/>
          </w:tcPr>
          <w:p w14:paraId="21A4D46A" w14:textId="77777777" w:rsidR="009D0006" w:rsidRPr="00BC3468" w:rsidRDefault="009D0006" w:rsidP="009938A0">
            <w:pPr>
              <w:pStyle w:val="Tabletext"/>
            </w:pPr>
            <w:r>
              <w:t>199</w:t>
            </w:r>
          </w:p>
        </w:tc>
        <w:tc>
          <w:tcPr>
            <w:tcW w:w="1559" w:type="dxa"/>
            <w:noWrap/>
          </w:tcPr>
          <w:p w14:paraId="4B75A8AB" w14:textId="77777777" w:rsidR="009D0006" w:rsidRPr="00BC3468" w:rsidRDefault="009D0006" w:rsidP="009938A0">
            <w:pPr>
              <w:pStyle w:val="Tabletext"/>
            </w:pPr>
            <w:r>
              <w:t>76.8</w:t>
            </w:r>
          </w:p>
        </w:tc>
      </w:tr>
      <w:tr w:rsidR="009D0006" w:rsidRPr="00BC3468" w14:paraId="182A36DB" w14:textId="77777777" w:rsidTr="009938A0">
        <w:trPr>
          <w:cnfStyle w:val="000000010000" w:firstRow="0" w:lastRow="0" w:firstColumn="0" w:lastColumn="0" w:oddVBand="0" w:evenVBand="0" w:oddHBand="0" w:evenHBand="1" w:firstRowFirstColumn="0" w:firstRowLastColumn="0" w:lastRowFirstColumn="0" w:lastRowLastColumn="0"/>
          <w:trHeight w:val="171"/>
        </w:trPr>
        <w:tc>
          <w:tcPr>
            <w:tcW w:w="6746" w:type="dxa"/>
            <w:noWrap/>
            <w:hideMark/>
          </w:tcPr>
          <w:p w14:paraId="24C6924E" w14:textId="77777777" w:rsidR="009D0006" w:rsidRPr="00BC3468" w:rsidRDefault="009D0006" w:rsidP="009938A0">
            <w:pPr>
              <w:pStyle w:val="Tabletext"/>
            </w:pPr>
            <w:r>
              <w:rPr>
                <w:lang w:val="en-US"/>
              </w:rPr>
              <w:t>Family member</w:t>
            </w:r>
          </w:p>
        </w:tc>
        <w:tc>
          <w:tcPr>
            <w:tcW w:w="1559" w:type="dxa"/>
            <w:noWrap/>
          </w:tcPr>
          <w:p w14:paraId="70E78556" w14:textId="77777777" w:rsidR="009D0006" w:rsidRPr="00BC3468" w:rsidRDefault="009D0006" w:rsidP="009938A0">
            <w:pPr>
              <w:pStyle w:val="Tabletext"/>
            </w:pPr>
            <w:r>
              <w:t>223</w:t>
            </w:r>
          </w:p>
        </w:tc>
        <w:tc>
          <w:tcPr>
            <w:tcW w:w="1559" w:type="dxa"/>
            <w:noWrap/>
          </w:tcPr>
          <w:p w14:paraId="7CF32D9F" w14:textId="77777777" w:rsidR="009D0006" w:rsidRPr="00BC3468" w:rsidRDefault="009D0006" w:rsidP="009938A0">
            <w:pPr>
              <w:pStyle w:val="Tabletext"/>
            </w:pPr>
            <w:r>
              <w:t>83.2</w:t>
            </w:r>
          </w:p>
        </w:tc>
      </w:tr>
    </w:tbl>
    <w:p w14:paraId="26874068" w14:textId="77777777" w:rsidR="009D0006" w:rsidRDefault="009D0006" w:rsidP="009938A0">
      <w:pPr>
        <w:pStyle w:val="Tableheading"/>
        <w:rPr>
          <w:lang w:val="en-US"/>
        </w:rPr>
      </w:pPr>
      <w:r>
        <w:rPr>
          <w:lang w:val="en-US"/>
        </w:rPr>
        <w:t>Table 129.5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7AA50B1" w14:textId="77777777" w:rsidTr="009938A0">
        <w:trPr>
          <w:cnfStyle w:val="100000000000" w:firstRow="1" w:lastRow="0" w:firstColumn="0" w:lastColumn="0" w:oddVBand="0" w:evenVBand="0" w:oddHBand="0" w:evenHBand="0" w:firstRowFirstColumn="0" w:firstRowLastColumn="0" w:lastRowFirstColumn="0" w:lastRowLastColumn="0"/>
          <w:trHeight w:val="341"/>
        </w:trPr>
        <w:tc>
          <w:tcPr>
            <w:tcW w:w="6746" w:type="dxa"/>
            <w:noWrap/>
            <w:hideMark/>
          </w:tcPr>
          <w:p w14:paraId="2DBEAF3F" w14:textId="77777777" w:rsidR="009D0006" w:rsidRPr="00030452" w:rsidRDefault="009D0006" w:rsidP="009938A0">
            <w:pPr>
              <w:pStyle w:val="Tableheader"/>
              <w:rPr>
                <w:bCs/>
              </w:rPr>
            </w:pPr>
            <w:r>
              <w:t>Source of</w:t>
            </w:r>
            <w:r w:rsidRPr="00030452">
              <w:t xml:space="preserve"> violence</w:t>
            </w:r>
          </w:p>
        </w:tc>
        <w:tc>
          <w:tcPr>
            <w:tcW w:w="1559" w:type="dxa"/>
            <w:noWrap/>
            <w:hideMark/>
          </w:tcPr>
          <w:p w14:paraId="0755D915" w14:textId="77777777" w:rsidR="009D0006" w:rsidRPr="009440F9" w:rsidRDefault="009D0006" w:rsidP="009938A0">
            <w:pPr>
              <w:pStyle w:val="Tableheader"/>
              <w:rPr>
                <w:bCs/>
              </w:rPr>
            </w:pPr>
            <w:r w:rsidRPr="009440F9">
              <w:rPr>
                <w:bCs/>
              </w:rPr>
              <w:t>n</w:t>
            </w:r>
          </w:p>
        </w:tc>
        <w:tc>
          <w:tcPr>
            <w:tcW w:w="1559" w:type="dxa"/>
            <w:noWrap/>
            <w:hideMark/>
          </w:tcPr>
          <w:p w14:paraId="0375C244" w14:textId="77777777" w:rsidR="009D0006" w:rsidRPr="009440F9" w:rsidRDefault="009D0006" w:rsidP="009938A0">
            <w:pPr>
              <w:pStyle w:val="Tableheader"/>
              <w:rPr>
                <w:bCs/>
              </w:rPr>
            </w:pPr>
            <w:r w:rsidRPr="009440F9">
              <w:rPr>
                <w:bCs/>
              </w:rPr>
              <w:t>%</w:t>
            </w:r>
          </w:p>
        </w:tc>
      </w:tr>
      <w:tr w:rsidR="009D0006" w:rsidRPr="00BC3468" w14:paraId="41F845D5" w14:textId="77777777" w:rsidTr="009938A0">
        <w:trPr>
          <w:cnfStyle w:val="000000100000" w:firstRow="0" w:lastRow="0" w:firstColumn="0" w:lastColumn="0" w:oddVBand="0" w:evenVBand="0" w:oddHBand="1" w:evenHBand="0" w:firstRowFirstColumn="0" w:firstRowLastColumn="0" w:lastRowFirstColumn="0" w:lastRowLastColumn="0"/>
          <w:trHeight w:val="172"/>
        </w:trPr>
        <w:tc>
          <w:tcPr>
            <w:tcW w:w="6746" w:type="dxa"/>
            <w:noWrap/>
            <w:hideMark/>
          </w:tcPr>
          <w:p w14:paraId="3BE673A9" w14:textId="77777777" w:rsidR="009D0006" w:rsidRPr="00BC3468" w:rsidRDefault="009D0006" w:rsidP="009938A0">
            <w:pPr>
              <w:pStyle w:val="Tabletext"/>
            </w:pPr>
            <w:r>
              <w:rPr>
                <w:lang w:val="en-US"/>
              </w:rPr>
              <w:t>Intimate partner</w:t>
            </w:r>
          </w:p>
        </w:tc>
        <w:tc>
          <w:tcPr>
            <w:tcW w:w="1559" w:type="dxa"/>
            <w:noWrap/>
          </w:tcPr>
          <w:p w14:paraId="12F000AD" w14:textId="77777777" w:rsidR="009D0006" w:rsidRPr="00BC3468" w:rsidRDefault="009D0006" w:rsidP="009938A0">
            <w:pPr>
              <w:pStyle w:val="Tabletext"/>
            </w:pPr>
            <w:r>
              <w:t>306</w:t>
            </w:r>
          </w:p>
        </w:tc>
        <w:tc>
          <w:tcPr>
            <w:tcW w:w="1559" w:type="dxa"/>
            <w:noWrap/>
          </w:tcPr>
          <w:p w14:paraId="1C569E01" w14:textId="77777777" w:rsidR="009D0006" w:rsidRPr="00BC3468" w:rsidRDefault="009D0006" w:rsidP="009938A0">
            <w:pPr>
              <w:pStyle w:val="Tabletext"/>
            </w:pPr>
            <w:r>
              <w:t>75.6</w:t>
            </w:r>
          </w:p>
        </w:tc>
      </w:tr>
      <w:tr w:rsidR="009D0006" w:rsidRPr="00BC3468" w14:paraId="7E561B9D" w14:textId="77777777" w:rsidTr="009938A0">
        <w:trPr>
          <w:cnfStyle w:val="000000010000" w:firstRow="0" w:lastRow="0" w:firstColumn="0" w:lastColumn="0" w:oddVBand="0" w:evenVBand="0" w:oddHBand="0" w:evenHBand="1" w:firstRowFirstColumn="0" w:firstRowLastColumn="0" w:lastRowFirstColumn="0" w:lastRowLastColumn="0"/>
          <w:trHeight w:val="172"/>
        </w:trPr>
        <w:tc>
          <w:tcPr>
            <w:tcW w:w="6746" w:type="dxa"/>
            <w:noWrap/>
            <w:hideMark/>
          </w:tcPr>
          <w:p w14:paraId="6C9BE26E" w14:textId="77777777" w:rsidR="009D0006" w:rsidRPr="00BC3468" w:rsidRDefault="009D0006" w:rsidP="009938A0">
            <w:pPr>
              <w:pStyle w:val="Tabletext"/>
            </w:pPr>
            <w:r>
              <w:rPr>
                <w:lang w:val="en-US"/>
              </w:rPr>
              <w:t>Family member</w:t>
            </w:r>
          </w:p>
        </w:tc>
        <w:tc>
          <w:tcPr>
            <w:tcW w:w="1559" w:type="dxa"/>
            <w:noWrap/>
          </w:tcPr>
          <w:p w14:paraId="334A7EF0" w14:textId="77777777" w:rsidR="009D0006" w:rsidRPr="00BC3468" w:rsidRDefault="009D0006" w:rsidP="009938A0">
            <w:pPr>
              <w:pStyle w:val="Tabletext"/>
            </w:pPr>
            <w:r>
              <w:t>348</w:t>
            </w:r>
          </w:p>
        </w:tc>
        <w:tc>
          <w:tcPr>
            <w:tcW w:w="1559" w:type="dxa"/>
            <w:noWrap/>
          </w:tcPr>
          <w:p w14:paraId="4BF48318" w14:textId="77777777" w:rsidR="009D0006" w:rsidRPr="00BC3468" w:rsidRDefault="009D0006" w:rsidP="009938A0">
            <w:pPr>
              <w:pStyle w:val="Tabletext"/>
            </w:pPr>
            <w:r>
              <w:t>85.1</w:t>
            </w:r>
          </w:p>
        </w:tc>
      </w:tr>
    </w:tbl>
    <w:p w14:paraId="486E4574" w14:textId="77777777" w:rsidR="009D0006" w:rsidRDefault="009D0006" w:rsidP="009938A0">
      <w:pPr>
        <w:pStyle w:val="Tableheading"/>
        <w:rPr>
          <w:lang w:val="en-US"/>
        </w:rPr>
      </w:pPr>
      <w:r>
        <w:rPr>
          <w:lang w:val="en-US"/>
        </w:rPr>
        <w:t>Table 129.6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BCB1F0B" w14:textId="77777777" w:rsidTr="009938A0">
        <w:trPr>
          <w:cnfStyle w:val="100000000000" w:firstRow="1" w:lastRow="0" w:firstColumn="0" w:lastColumn="0" w:oddVBand="0" w:evenVBand="0" w:oddHBand="0" w:evenHBand="0" w:firstRowFirstColumn="0" w:firstRowLastColumn="0" w:lastRowFirstColumn="0" w:lastRowLastColumn="0"/>
          <w:trHeight w:val="228"/>
        </w:trPr>
        <w:tc>
          <w:tcPr>
            <w:tcW w:w="6746" w:type="dxa"/>
            <w:noWrap/>
            <w:hideMark/>
          </w:tcPr>
          <w:p w14:paraId="496B50E0" w14:textId="77777777" w:rsidR="009D0006" w:rsidRPr="00030452" w:rsidRDefault="009D0006" w:rsidP="009938A0">
            <w:pPr>
              <w:pStyle w:val="Tableheader"/>
              <w:rPr>
                <w:bCs/>
              </w:rPr>
            </w:pPr>
            <w:r>
              <w:t>Source of</w:t>
            </w:r>
            <w:r w:rsidRPr="00030452">
              <w:t xml:space="preserve"> violence</w:t>
            </w:r>
          </w:p>
        </w:tc>
        <w:tc>
          <w:tcPr>
            <w:tcW w:w="1559" w:type="dxa"/>
            <w:noWrap/>
            <w:hideMark/>
          </w:tcPr>
          <w:p w14:paraId="350A8422" w14:textId="77777777" w:rsidR="009D0006" w:rsidRPr="009440F9" w:rsidRDefault="009D0006" w:rsidP="009938A0">
            <w:pPr>
              <w:pStyle w:val="Tableheader"/>
              <w:rPr>
                <w:bCs/>
              </w:rPr>
            </w:pPr>
            <w:r w:rsidRPr="009440F9">
              <w:rPr>
                <w:bCs/>
              </w:rPr>
              <w:t>n</w:t>
            </w:r>
          </w:p>
        </w:tc>
        <w:tc>
          <w:tcPr>
            <w:tcW w:w="1559" w:type="dxa"/>
            <w:noWrap/>
            <w:hideMark/>
          </w:tcPr>
          <w:p w14:paraId="6F7BCF43" w14:textId="77777777" w:rsidR="009D0006" w:rsidRPr="009440F9" w:rsidRDefault="009D0006" w:rsidP="009938A0">
            <w:pPr>
              <w:pStyle w:val="Tableheader"/>
              <w:rPr>
                <w:bCs/>
              </w:rPr>
            </w:pPr>
            <w:r w:rsidRPr="009440F9">
              <w:rPr>
                <w:bCs/>
              </w:rPr>
              <w:t>%</w:t>
            </w:r>
          </w:p>
        </w:tc>
      </w:tr>
      <w:tr w:rsidR="009D0006" w:rsidRPr="00BC3468" w14:paraId="5A747CE3" w14:textId="77777777" w:rsidTr="009938A0">
        <w:trPr>
          <w:cnfStyle w:val="000000100000" w:firstRow="0" w:lastRow="0" w:firstColumn="0" w:lastColumn="0" w:oddVBand="0" w:evenVBand="0" w:oddHBand="1" w:evenHBand="0" w:firstRowFirstColumn="0" w:firstRowLastColumn="0" w:lastRowFirstColumn="0" w:lastRowLastColumn="0"/>
          <w:trHeight w:val="115"/>
        </w:trPr>
        <w:tc>
          <w:tcPr>
            <w:tcW w:w="6746" w:type="dxa"/>
            <w:noWrap/>
            <w:hideMark/>
          </w:tcPr>
          <w:p w14:paraId="3A72E3CE" w14:textId="77777777" w:rsidR="009D0006" w:rsidRPr="00BC3468" w:rsidRDefault="009D0006" w:rsidP="009938A0">
            <w:pPr>
              <w:pStyle w:val="Tabletext"/>
            </w:pPr>
            <w:r>
              <w:rPr>
                <w:lang w:val="en-US"/>
              </w:rPr>
              <w:t>Intimate partner</w:t>
            </w:r>
          </w:p>
        </w:tc>
        <w:tc>
          <w:tcPr>
            <w:tcW w:w="1559" w:type="dxa"/>
            <w:noWrap/>
          </w:tcPr>
          <w:p w14:paraId="649A2495" w14:textId="77777777" w:rsidR="009D0006" w:rsidRPr="00BC3468" w:rsidRDefault="009D0006" w:rsidP="009938A0">
            <w:pPr>
              <w:pStyle w:val="Tabletext"/>
            </w:pPr>
            <w:r>
              <w:t>53</w:t>
            </w:r>
          </w:p>
        </w:tc>
        <w:tc>
          <w:tcPr>
            <w:tcW w:w="1559" w:type="dxa"/>
            <w:noWrap/>
          </w:tcPr>
          <w:p w14:paraId="087A64AA" w14:textId="77777777" w:rsidR="009D0006" w:rsidRPr="00BC3468" w:rsidRDefault="009D0006" w:rsidP="009938A0">
            <w:pPr>
              <w:pStyle w:val="Tabletext"/>
            </w:pPr>
            <w:r>
              <w:t>45.7</w:t>
            </w:r>
          </w:p>
        </w:tc>
      </w:tr>
      <w:tr w:rsidR="009D0006" w:rsidRPr="00BC3468" w14:paraId="3E80296E" w14:textId="77777777" w:rsidTr="009938A0">
        <w:trPr>
          <w:cnfStyle w:val="000000010000" w:firstRow="0" w:lastRow="0" w:firstColumn="0" w:lastColumn="0" w:oddVBand="0" w:evenVBand="0" w:oddHBand="0" w:evenHBand="1" w:firstRowFirstColumn="0" w:firstRowLastColumn="0" w:lastRowFirstColumn="0" w:lastRowLastColumn="0"/>
          <w:trHeight w:val="115"/>
        </w:trPr>
        <w:tc>
          <w:tcPr>
            <w:tcW w:w="6746" w:type="dxa"/>
            <w:noWrap/>
            <w:hideMark/>
          </w:tcPr>
          <w:p w14:paraId="41E7F3F8" w14:textId="77777777" w:rsidR="009D0006" w:rsidRPr="00BC3468" w:rsidRDefault="009D0006" w:rsidP="009938A0">
            <w:pPr>
              <w:pStyle w:val="Tabletext"/>
            </w:pPr>
            <w:r>
              <w:rPr>
                <w:lang w:val="en-US"/>
              </w:rPr>
              <w:t>Family member</w:t>
            </w:r>
          </w:p>
        </w:tc>
        <w:tc>
          <w:tcPr>
            <w:tcW w:w="1559" w:type="dxa"/>
            <w:noWrap/>
          </w:tcPr>
          <w:p w14:paraId="7A875352" w14:textId="77777777" w:rsidR="009D0006" w:rsidRPr="00BC3468" w:rsidRDefault="009D0006" w:rsidP="009938A0">
            <w:pPr>
              <w:pStyle w:val="Tabletext"/>
            </w:pPr>
            <w:r>
              <w:t>88</w:t>
            </w:r>
          </w:p>
        </w:tc>
        <w:tc>
          <w:tcPr>
            <w:tcW w:w="1559" w:type="dxa"/>
            <w:noWrap/>
          </w:tcPr>
          <w:p w14:paraId="34947603" w14:textId="77777777" w:rsidR="009D0006" w:rsidRPr="00BC3468" w:rsidRDefault="009D0006" w:rsidP="009938A0">
            <w:pPr>
              <w:pStyle w:val="Tabletext"/>
            </w:pPr>
            <w:r>
              <w:t>73.3</w:t>
            </w:r>
          </w:p>
        </w:tc>
      </w:tr>
    </w:tbl>
    <w:p w14:paraId="55C240B8" w14:textId="77777777" w:rsidR="009D0006" w:rsidRDefault="009D0006" w:rsidP="009938A0">
      <w:pPr>
        <w:pStyle w:val="Tableheading"/>
        <w:rPr>
          <w:lang w:val="en-US"/>
        </w:rPr>
      </w:pPr>
      <w:r>
        <w:rPr>
          <w:lang w:val="en-US"/>
        </w:rPr>
        <w:t>Table 129.7 Something else</w:t>
      </w:r>
    </w:p>
    <w:tbl>
      <w:tblPr>
        <w:tblStyle w:val="RCTable"/>
        <w:tblW w:w="9808" w:type="dxa"/>
        <w:tblInd w:w="-23" w:type="dxa"/>
        <w:tblLayout w:type="fixed"/>
        <w:tblLook w:val="04A0" w:firstRow="1" w:lastRow="0" w:firstColumn="1" w:lastColumn="0" w:noHBand="0" w:noVBand="1"/>
      </w:tblPr>
      <w:tblGrid>
        <w:gridCol w:w="6746"/>
        <w:gridCol w:w="1531"/>
        <w:gridCol w:w="1531"/>
      </w:tblGrid>
      <w:tr w:rsidR="009D0006" w:rsidRPr="00BC3468" w14:paraId="4D514149" w14:textId="77777777" w:rsidTr="009938A0">
        <w:trPr>
          <w:cnfStyle w:val="100000000000" w:firstRow="1" w:lastRow="0" w:firstColumn="0" w:lastColumn="0" w:oddVBand="0" w:evenVBand="0" w:oddHBand="0" w:evenHBand="0" w:firstRowFirstColumn="0" w:firstRowLastColumn="0" w:lastRowFirstColumn="0" w:lastRowLastColumn="0"/>
          <w:trHeight w:val="322"/>
        </w:trPr>
        <w:tc>
          <w:tcPr>
            <w:tcW w:w="6746" w:type="dxa"/>
            <w:noWrap/>
            <w:hideMark/>
          </w:tcPr>
          <w:p w14:paraId="1839B1EE" w14:textId="77777777" w:rsidR="009D0006" w:rsidRPr="00030452" w:rsidRDefault="009D0006" w:rsidP="009938A0">
            <w:pPr>
              <w:pStyle w:val="Tableheader"/>
              <w:rPr>
                <w:bCs/>
              </w:rPr>
            </w:pPr>
            <w:r>
              <w:t>Source of</w:t>
            </w:r>
            <w:r w:rsidRPr="00030452">
              <w:t xml:space="preserve"> violence</w:t>
            </w:r>
          </w:p>
        </w:tc>
        <w:tc>
          <w:tcPr>
            <w:tcW w:w="1531" w:type="dxa"/>
          </w:tcPr>
          <w:p w14:paraId="786BBE31" w14:textId="77777777" w:rsidR="009D0006" w:rsidRPr="009440F9" w:rsidRDefault="009D0006" w:rsidP="009938A0">
            <w:pPr>
              <w:pStyle w:val="Tableheader"/>
              <w:rPr>
                <w:bCs/>
              </w:rPr>
            </w:pPr>
            <w:r w:rsidRPr="009440F9">
              <w:rPr>
                <w:bCs/>
              </w:rPr>
              <w:t>n</w:t>
            </w:r>
          </w:p>
        </w:tc>
        <w:tc>
          <w:tcPr>
            <w:tcW w:w="1531" w:type="dxa"/>
          </w:tcPr>
          <w:p w14:paraId="586C499F" w14:textId="77777777" w:rsidR="009D0006" w:rsidRPr="009440F9" w:rsidRDefault="009D0006" w:rsidP="009938A0">
            <w:pPr>
              <w:pStyle w:val="Tableheader"/>
              <w:rPr>
                <w:bCs/>
              </w:rPr>
            </w:pPr>
            <w:r w:rsidRPr="009440F9">
              <w:rPr>
                <w:bCs/>
              </w:rPr>
              <w:t>%</w:t>
            </w:r>
          </w:p>
        </w:tc>
      </w:tr>
      <w:tr w:rsidR="009D0006" w:rsidRPr="00BC3468" w14:paraId="0E5F78C0" w14:textId="77777777" w:rsidTr="009938A0">
        <w:trPr>
          <w:cnfStyle w:val="000000100000" w:firstRow="0" w:lastRow="0" w:firstColumn="0" w:lastColumn="0" w:oddVBand="0" w:evenVBand="0" w:oddHBand="1" w:evenHBand="0" w:firstRowFirstColumn="0" w:firstRowLastColumn="0" w:lastRowFirstColumn="0" w:lastRowLastColumn="0"/>
          <w:trHeight w:val="163"/>
        </w:trPr>
        <w:tc>
          <w:tcPr>
            <w:tcW w:w="6746" w:type="dxa"/>
            <w:noWrap/>
            <w:hideMark/>
          </w:tcPr>
          <w:p w14:paraId="41427645" w14:textId="77777777" w:rsidR="009D0006" w:rsidRPr="00BC3468" w:rsidRDefault="009D0006" w:rsidP="009938A0">
            <w:pPr>
              <w:pStyle w:val="Tabletext"/>
            </w:pPr>
            <w:r>
              <w:rPr>
                <w:lang w:val="en-US"/>
              </w:rPr>
              <w:t>Intimate partner</w:t>
            </w:r>
          </w:p>
        </w:tc>
        <w:tc>
          <w:tcPr>
            <w:tcW w:w="1531" w:type="dxa"/>
          </w:tcPr>
          <w:p w14:paraId="2DC00C5C" w14:textId="77777777" w:rsidR="009D0006" w:rsidRPr="00BC3468" w:rsidRDefault="009D0006" w:rsidP="009938A0">
            <w:pPr>
              <w:pStyle w:val="Tabletext"/>
            </w:pPr>
            <w:r>
              <w:t>135</w:t>
            </w:r>
          </w:p>
        </w:tc>
        <w:tc>
          <w:tcPr>
            <w:tcW w:w="1531" w:type="dxa"/>
          </w:tcPr>
          <w:p w14:paraId="3BA6F05A" w14:textId="77777777" w:rsidR="009D0006" w:rsidRPr="00BC3468" w:rsidRDefault="009D0006" w:rsidP="009938A0">
            <w:pPr>
              <w:pStyle w:val="Tabletext"/>
            </w:pPr>
            <w:r>
              <w:t>68.9</w:t>
            </w:r>
          </w:p>
        </w:tc>
      </w:tr>
      <w:tr w:rsidR="009D0006" w:rsidRPr="00BC3468" w14:paraId="757A5798" w14:textId="77777777" w:rsidTr="009938A0">
        <w:trPr>
          <w:cnfStyle w:val="000000010000" w:firstRow="0" w:lastRow="0" w:firstColumn="0" w:lastColumn="0" w:oddVBand="0" w:evenVBand="0" w:oddHBand="0" w:evenHBand="1" w:firstRowFirstColumn="0" w:firstRowLastColumn="0" w:lastRowFirstColumn="0" w:lastRowLastColumn="0"/>
          <w:trHeight w:val="163"/>
        </w:trPr>
        <w:tc>
          <w:tcPr>
            <w:tcW w:w="6746" w:type="dxa"/>
            <w:noWrap/>
            <w:hideMark/>
          </w:tcPr>
          <w:p w14:paraId="7FA81F3C" w14:textId="77777777" w:rsidR="009D0006" w:rsidRPr="00BC3468" w:rsidRDefault="009D0006" w:rsidP="009938A0">
            <w:pPr>
              <w:pStyle w:val="Tabletext"/>
            </w:pPr>
            <w:r>
              <w:rPr>
                <w:lang w:val="en-US"/>
              </w:rPr>
              <w:t>Family member</w:t>
            </w:r>
          </w:p>
        </w:tc>
        <w:tc>
          <w:tcPr>
            <w:tcW w:w="1531" w:type="dxa"/>
          </w:tcPr>
          <w:p w14:paraId="6FC3378E" w14:textId="77777777" w:rsidR="009D0006" w:rsidRPr="00BC3468" w:rsidRDefault="009D0006" w:rsidP="009938A0">
            <w:pPr>
              <w:pStyle w:val="Tabletext"/>
            </w:pPr>
            <w:r>
              <w:t>157</w:t>
            </w:r>
          </w:p>
        </w:tc>
        <w:tc>
          <w:tcPr>
            <w:tcW w:w="1531" w:type="dxa"/>
          </w:tcPr>
          <w:p w14:paraId="2F373F0B" w14:textId="77777777" w:rsidR="009D0006" w:rsidRPr="00BC3468" w:rsidRDefault="009D0006" w:rsidP="009938A0">
            <w:pPr>
              <w:pStyle w:val="Tabletext"/>
            </w:pPr>
            <w:r>
              <w:t>79.7</w:t>
            </w:r>
          </w:p>
        </w:tc>
      </w:tr>
    </w:tbl>
    <w:p w14:paraId="717F50CF" w14:textId="77777777" w:rsidR="009D0006" w:rsidRDefault="009D0006" w:rsidP="00AB4A74">
      <w:pPr>
        <w:spacing w:before="360"/>
      </w:pPr>
      <w:r w:rsidRPr="005910DE">
        <w:t>As displayed in Table</w:t>
      </w:r>
      <w:r>
        <w:t>s</w:t>
      </w:r>
      <w:r w:rsidRPr="005910DE">
        <w:t xml:space="preserve"> </w:t>
      </w:r>
      <w:r>
        <w:t>129.1-129.7</w:t>
      </w:r>
      <w:r w:rsidRPr="005910DE">
        <w:t xml:space="preserve">, </w:t>
      </w:r>
      <w:r>
        <w:t xml:space="preserve">more than three-quarters of participants with disability in </w:t>
      </w:r>
      <w:r>
        <w:rPr>
          <w:i/>
          <w:iCs/>
        </w:rPr>
        <w:t>Private Lives 3</w:t>
      </w:r>
      <w:r>
        <w:t xml:space="preserve"> who identified as pansexual had experienced some form of violence from an intimate partner in their lifetime (76.8%; n = 199), followed by participants who identified as queer (75.6%; n = 306), participants who identified as lesbian (72.0%; n = 335), participants who identified as bisexual (68.9%; n = 407) or something else (68.9%; n = 135) and participants who identified as gay (67.6%; n = 255). Under half of participants who identified as asexual had experienced violence from an intimate partner (45.7%; n = 53).</w:t>
      </w:r>
    </w:p>
    <w:p w14:paraId="3C4C194C" w14:textId="77777777" w:rsidR="009D0006" w:rsidRDefault="009D0006" w:rsidP="009D0006">
      <w:r>
        <w:t xml:space="preserve">More than </w:t>
      </w:r>
      <w:r>
        <w:lastRenderedPageBreak/>
        <w:t>80% of participants with disability who identified as queer had experienced violence from a family member in their lifetime (85.1%; n = 348). This was followed by participants who identified as pansexual (83.2%; n = 223), participants who identified as something else (79.7%; n = 157), participants who identified as bisexual (77.2%; n = 464), participants who identified as lesbian (76.4%; n = 365), participants who identified as asexual (73.3%; n = 88) and participants who identified as gay (69.7%; n = 264).</w:t>
      </w:r>
    </w:p>
    <w:p w14:paraId="3A87C7EE" w14:textId="0994F8BB" w:rsidR="009D0006" w:rsidRPr="00C5739E" w:rsidRDefault="009D0006" w:rsidP="009401DC">
      <w:pPr>
        <w:pStyle w:val="Heading2Numbered"/>
      </w:pPr>
      <w:bookmarkStart w:id="968" w:name="_Toc115968683"/>
      <w:bookmarkStart w:id="969" w:name="_Toc119662489"/>
      <w:r w:rsidRPr="00C5739E">
        <w:t>Suicidal ideation and suicide attempts</w:t>
      </w:r>
      <w:bookmarkEnd w:id="968"/>
      <w:bookmarkEnd w:id="969"/>
    </w:p>
    <w:p w14:paraId="060DD30D" w14:textId="3316D78E" w:rsidR="009D0006" w:rsidRDefault="009D0006" w:rsidP="009401DC">
      <w:pPr>
        <w:pStyle w:val="Heading3Numbered"/>
      </w:pPr>
      <w:bookmarkStart w:id="970" w:name="_Toc115968684"/>
      <w:r w:rsidRPr="00C5739E">
        <w:t>Suicidal ideation</w:t>
      </w:r>
      <w:r>
        <w:t xml:space="preserve"> </w:t>
      </w:r>
      <w:r w:rsidRPr="00C5739E">
        <w:t>– young people aged 14-</w:t>
      </w:r>
      <w:r>
        <w:t>21</w:t>
      </w:r>
      <w:r w:rsidRPr="00C5739E">
        <w:t xml:space="preserve"> years</w:t>
      </w:r>
      <w:bookmarkEnd w:id="970"/>
    </w:p>
    <w:p w14:paraId="5B66482D" w14:textId="0F7857D7" w:rsidR="009D0006" w:rsidRDefault="009D0006" w:rsidP="009938A0">
      <w:pPr>
        <w:pStyle w:val="Tableheading"/>
      </w:pPr>
      <w:bookmarkStart w:id="971" w:name="_Toc117062847"/>
      <w:bookmarkStart w:id="972" w:name="_Toc119651532"/>
      <w:r w:rsidRPr="00AE109A">
        <w:rPr>
          <w:bCs/>
        </w:rPr>
        <w:t>Table</w:t>
      </w:r>
      <w:r>
        <w:rPr>
          <w:bCs/>
        </w:rPr>
        <w:t>s</w:t>
      </w:r>
      <w:r w:rsidRPr="00AE109A">
        <w:rPr>
          <w:bCs/>
        </w:rPr>
        <w:t xml:space="preserve"> </w:t>
      </w:r>
      <w:r w:rsidRPr="00AE109A">
        <w:rPr>
          <w:bCs/>
        </w:rPr>
        <w:fldChar w:fldCharType="begin"/>
      </w:r>
      <w:r w:rsidRPr="00AE109A">
        <w:rPr>
          <w:bCs/>
        </w:rPr>
        <w:instrText xml:space="preserve"> SEQ Table \* ARABIC </w:instrText>
      </w:r>
      <w:r w:rsidRPr="00AE109A">
        <w:rPr>
          <w:bCs/>
        </w:rPr>
        <w:fldChar w:fldCharType="separate"/>
      </w:r>
      <w:r>
        <w:rPr>
          <w:bCs/>
          <w:noProof/>
        </w:rPr>
        <w:t>130</w:t>
      </w:r>
      <w:r w:rsidRPr="00AE109A">
        <w:rPr>
          <w:bCs/>
        </w:rPr>
        <w:fldChar w:fldCharType="end"/>
      </w:r>
      <w:r>
        <w:rPr>
          <w:bCs/>
        </w:rPr>
        <w:t>.1-130.7</w:t>
      </w:r>
      <w:r>
        <w:t xml:space="preserve">: </w:t>
      </w:r>
      <w:r w:rsidRPr="00C5739E">
        <w:t xml:space="preserve">Suicidal ideation </w:t>
      </w:r>
      <w:r>
        <w:t>among young people with disability aged 14-21 years, grouped</w:t>
      </w:r>
      <w:r w:rsidRPr="00C5739E">
        <w:t xml:space="preserve"> by </w:t>
      </w:r>
      <w:r>
        <w:t>sexual orientation</w:t>
      </w:r>
      <w:r w:rsidRPr="00C5739E">
        <w:t xml:space="preserve"> (n = </w:t>
      </w:r>
      <w:r>
        <w:t>2485</w:t>
      </w:r>
      <w:r w:rsidRPr="00C5739E">
        <w:t>)</w:t>
      </w:r>
      <w:bookmarkEnd w:id="971"/>
      <w:bookmarkEnd w:id="972"/>
    </w:p>
    <w:p w14:paraId="7DEBD7DC" w14:textId="77777777" w:rsidR="009D0006" w:rsidRDefault="009D0006" w:rsidP="009938A0">
      <w:pPr>
        <w:pStyle w:val="Tableheading"/>
      </w:pPr>
      <w:r>
        <w:t>Table 130.1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1363244" w14:textId="77777777" w:rsidTr="009938A0">
        <w:trPr>
          <w:cnfStyle w:val="100000000000" w:firstRow="1" w:lastRow="0" w:firstColumn="0" w:lastColumn="0" w:oddVBand="0" w:evenVBand="0" w:oddHBand="0" w:evenHBand="0" w:firstRowFirstColumn="0" w:firstRowLastColumn="0" w:lastRowFirstColumn="0" w:lastRowLastColumn="0"/>
          <w:trHeight w:val="370"/>
        </w:trPr>
        <w:tc>
          <w:tcPr>
            <w:tcW w:w="6746" w:type="dxa"/>
            <w:noWrap/>
            <w:hideMark/>
          </w:tcPr>
          <w:p w14:paraId="5BC51A3E" w14:textId="77777777" w:rsidR="009D0006" w:rsidRPr="00030452" w:rsidRDefault="009D0006" w:rsidP="009938A0">
            <w:pPr>
              <w:pStyle w:val="Tableheader"/>
              <w:rPr>
                <w:bCs/>
              </w:rPr>
            </w:pPr>
            <w:r w:rsidRPr="00030452">
              <w:t>Suicidal ideation</w:t>
            </w:r>
          </w:p>
        </w:tc>
        <w:tc>
          <w:tcPr>
            <w:tcW w:w="1559" w:type="dxa"/>
            <w:noWrap/>
            <w:hideMark/>
          </w:tcPr>
          <w:p w14:paraId="338C9829" w14:textId="77777777" w:rsidR="009D0006" w:rsidRPr="00972AB9" w:rsidRDefault="009D0006" w:rsidP="009938A0">
            <w:pPr>
              <w:pStyle w:val="Tableheader"/>
              <w:rPr>
                <w:bCs/>
              </w:rPr>
            </w:pPr>
            <w:r w:rsidRPr="00972AB9">
              <w:rPr>
                <w:bCs/>
              </w:rPr>
              <w:t>n</w:t>
            </w:r>
          </w:p>
        </w:tc>
        <w:tc>
          <w:tcPr>
            <w:tcW w:w="1559" w:type="dxa"/>
            <w:noWrap/>
            <w:hideMark/>
          </w:tcPr>
          <w:p w14:paraId="33B63C5B" w14:textId="77777777" w:rsidR="009D0006" w:rsidRPr="00972AB9" w:rsidRDefault="009D0006" w:rsidP="009938A0">
            <w:pPr>
              <w:pStyle w:val="Tableheader"/>
              <w:rPr>
                <w:bCs/>
              </w:rPr>
            </w:pPr>
            <w:r w:rsidRPr="00972AB9">
              <w:rPr>
                <w:bCs/>
              </w:rPr>
              <w:t>%</w:t>
            </w:r>
          </w:p>
        </w:tc>
      </w:tr>
      <w:tr w:rsidR="009D0006" w:rsidRPr="00BC3468" w14:paraId="32FC4B09" w14:textId="77777777" w:rsidTr="009938A0">
        <w:trPr>
          <w:cnfStyle w:val="000000100000" w:firstRow="0" w:lastRow="0" w:firstColumn="0" w:lastColumn="0" w:oddVBand="0" w:evenVBand="0" w:oddHBand="1" w:evenHBand="0" w:firstRowFirstColumn="0" w:firstRowLastColumn="0" w:lastRowFirstColumn="0" w:lastRowLastColumn="0"/>
          <w:trHeight w:val="187"/>
        </w:trPr>
        <w:tc>
          <w:tcPr>
            <w:tcW w:w="6746" w:type="dxa"/>
            <w:noWrap/>
            <w:hideMark/>
          </w:tcPr>
          <w:p w14:paraId="47335848" w14:textId="77777777" w:rsidR="009D0006" w:rsidRPr="00BC3468" w:rsidRDefault="009D0006" w:rsidP="009938A0">
            <w:pPr>
              <w:pStyle w:val="Tabletext"/>
            </w:pPr>
            <w:r>
              <w:rPr>
                <w:lang w:val="en-US"/>
              </w:rPr>
              <w:t>Past 12 months</w:t>
            </w:r>
          </w:p>
        </w:tc>
        <w:tc>
          <w:tcPr>
            <w:tcW w:w="1559" w:type="dxa"/>
            <w:noWrap/>
          </w:tcPr>
          <w:p w14:paraId="17CEAC7B" w14:textId="77777777" w:rsidR="009D0006" w:rsidRPr="00BC3468" w:rsidRDefault="009D0006" w:rsidP="009938A0">
            <w:pPr>
              <w:pStyle w:val="Tabletext"/>
            </w:pPr>
            <w:r>
              <w:t>248</w:t>
            </w:r>
          </w:p>
        </w:tc>
        <w:tc>
          <w:tcPr>
            <w:tcW w:w="1559" w:type="dxa"/>
            <w:noWrap/>
          </w:tcPr>
          <w:p w14:paraId="6EBBBADB" w14:textId="77777777" w:rsidR="009D0006" w:rsidRPr="00BC3468" w:rsidRDefault="009D0006" w:rsidP="009938A0">
            <w:pPr>
              <w:pStyle w:val="Tabletext"/>
            </w:pPr>
            <w:r>
              <w:t>72.9</w:t>
            </w:r>
          </w:p>
        </w:tc>
      </w:tr>
      <w:tr w:rsidR="009D0006" w:rsidRPr="00BC3468" w14:paraId="665BE654" w14:textId="77777777" w:rsidTr="009938A0">
        <w:trPr>
          <w:cnfStyle w:val="000000010000" w:firstRow="0" w:lastRow="0" w:firstColumn="0" w:lastColumn="0" w:oddVBand="0" w:evenVBand="0" w:oddHBand="0" w:evenHBand="1" w:firstRowFirstColumn="0" w:firstRowLastColumn="0" w:lastRowFirstColumn="0" w:lastRowLastColumn="0"/>
          <w:trHeight w:val="370"/>
        </w:trPr>
        <w:tc>
          <w:tcPr>
            <w:tcW w:w="6746" w:type="dxa"/>
            <w:noWrap/>
            <w:hideMark/>
          </w:tcPr>
          <w:p w14:paraId="13D76C44" w14:textId="77777777" w:rsidR="009D0006" w:rsidRPr="00BC3468" w:rsidRDefault="009D0006" w:rsidP="009938A0">
            <w:pPr>
              <w:pStyle w:val="Tabletext"/>
            </w:pPr>
            <w:r>
              <w:rPr>
                <w:lang w:val="en-US"/>
              </w:rPr>
              <w:t>Ever</w:t>
            </w:r>
          </w:p>
        </w:tc>
        <w:tc>
          <w:tcPr>
            <w:tcW w:w="1559" w:type="dxa"/>
            <w:noWrap/>
          </w:tcPr>
          <w:p w14:paraId="4A6137EE" w14:textId="77777777" w:rsidR="009D0006" w:rsidRPr="00BC3468" w:rsidRDefault="009D0006" w:rsidP="009938A0">
            <w:pPr>
              <w:pStyle w:val="Tabletext"/>
            </w:pPr>
            <w:r>
              <w:t>314</w:t>
            </w:r>
          </w:p>
        </w:tc>
        <w:tc>
          <w:tcPr>
            <w:tcW w:w="1559" w:type="dxa"/>
            <w:noWrap/>
          </w:tcPr>
          <w:p w14:paraId="0EAB8D64" w14:textId="77777777" w:rsidR="009D0006" w:rsidRPr="00BC3468" w:rsidRDefault="009D0006" w:rsidP="009938A0">
            <w:pPr>
              <w:pStyle w:val="Tabletext"/>
            </w:pPr>
            <w:r>
              <w:t>92.4</w:t>
            </w:r>
          </w:p>
        </w:tc>
      </w:tr>
    </w:tbl>
    <w:p w14:paraId="6EA01CC6" w14:textId="77777777" w:rsidR="009D0006" w:rsidRDefault="009D0006" w:rsidP="009938A0">
      <w:pPr>
        <w:pStyle w:val="Tableheading"/>
        <w:rPr>
          <w:lang w:val="en-GB"/>
        </w:rPr>
      </w:pPr>
      <w:r>
        <w:rPr>
          <w:lang w:val="en-GB"/>
        </w:rPr>
        <w:t>Table 130.2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43F23CD" w14:textId="77777777" w:rsidTr="009938A0">
        <w:trPr>
          <w:cnfStyle w:val="100000000000" w:firstRow="1" w:lastRow="0" w:firstColumn="0" w:lastColumn="0" w:oddVBand="0" w:evenVBand="0" w:oddHBand="0" w:evenHBand="0" w:firstRowFirstColumn="0" w:firstRowLastColumn="0" w:lastRowFirstColumn="0" w:lastRowLastColumn="0"/>
          <w:trHeight w:val="314"/>
        </w:trPr>
        <w:tc>
          <w:tcPr>
            <w:tcW w:w="6746" w:type="dxa"/>
            <w:noWrap/>
            <w:hideMark/>
          </w:tcPr>
          <w:p w14:paraId="0F7CC63A" w14:textId="77777777" w:rsidR="009D0006" w:rsidRPr="00030452" w:rsidRDefault="009D0006" w:rsidP="009938A0">
            <w:pPr>
              <w:pStyle w:val="Tableheader"/>
              <w:rPr>
                <w:bCs/>
              </w:rPr>
            </w:pPr>
            <w:r w:rsidRPr="00030452">
              <w:t>Suicidal ideation</w:t>
            </w:r>
          </w:p>
        </w:tc>
        <w:tc>
          <w:tcPr>
            <w:tcW w:w="1559" w:type="dxa"/>
            <w:noWrap/>
            <w:hideMark/>
          </w:tcPr>
          <w:p w14:paraId="40CD60EF" w14:textId="77777777" w:rsidR="009D0006" w:rsidRPr="00972AB9" w:rsidRDefault="009D0006" w:rsidP="009938A0">
            <w:pPr>
              <w:pStyle w:val="Tableheader"/>
              <w:rPr>
                <w:bCs/>
              </w:rPr>
            </w:pPr>
            <w:r w:rsidRPr="00972AB9">
              <w:rPr>
                <w:bCs/>
              </w:rPr>
              <w:t>n</w:t>
            </w:r>
          </w:p>
        </w:tc>
        <w:tc>
          <w:tcPr>
            <w:tcW w:w="1559" w:type="dxa"/>
            <w:noWrap/>
            <w:hideMark/>
          </w:tcPr>
          <w:p w14:paraId="220C7DB4" w14:textId="77777777" w:rsidR="009D0006" w:rsidRPr="00972AB9" w:rsidRDefault="009D0006" w:rsidP="009938A0">
            <w:pPr>
              <w:pStyle w:val="Tableheader"/>
              <w:rPr>
                <w:bCs/>
              </w:rPr>
            </w:pPr>
            <w:r w:rsidRPr="00972AB9">
              <w:rPr>
                <w:bCs/>
              </w:rPr>
              <w:t>%</w:t>
            </w:r>
          </w:p>
        </w:tc>
      </w:tr>
      <w:tr w:rsidR="009D0006" w:rsidRPr="00BC3468" w14:paraId="153DF593" w14:textId="77777777" w:rsidTr="009938A0">
        <w:trPr>
          <w:cnfStyle w:val="000000100000" w:firstRow="0" w:lastRow="0" w:firstColumn="0" w:lastColumn="0" w:oddVBand="0" w:evenVBand="0" w:oddHBand="1" w:evenHBand="0" w:firstRowFirstColumn="0" w:firstRowLastColumn="0" w:lastRowFirstColumn="0" w:lastRowLastColumn="0"/>
          <w:trHeight w:val="158"/>
        </w:trPr>
        <w:tc>
          <w:tcPr>
            <w:tcW w:w="6746" w:type="dxa"/>
            <w:noWrap/>
            <w:hideMark/>
          </w:tcPr>
          <w:p w14:paraId="154D5F45" w14:textId="77777777" w:rsidR="009D0006" w:rsidRPr="00BC3468" w:rsidRDefault="009D0006" w:rsidP="00A42607">
            <w:pPr>
              <w:pStyle w:val="Tabletext"/>
            </w:pPr>
            <w:r>
              <w:rPr>
                <w:lang w:val="en-US"/>
              </w:rPr>
              <w:t>Past 12 months</w:t>
            </w:r>
          </w:p>
        </w:tc>
        <w:tc>
          <w:tcPr>
            <w:tcW w:w="1559" w:type="dxa"/>
            <w:noWrap/>
          </w:tcPr>
          <w:p w14:paraId="544C8DD7" w14:textId="77777777" w:rsidR="009D0006" w:rsidRPr="00BC3468" w:rsidRDefault="009D0006" w:rsidP="00A42607">
            <w:pPr>
              <w:pStyle w:val="Tabletext"/>
            </w:pPr>
            <w:r>
              <w:t>176</w:t>
            </w:r>
          </w:p>
        </w:tc>
        <w:tc>
          <w:tcPr>
            <w:tcW w:w="1559" w:type="dxa"/>
            <w:noWrap/>
          </w:tcPr>
          <w:p w14:paraId="17EA5EA7" w14:textId="77777777" w:rsidR="009D0006" w:rsidRPr="00BC3468" w:rsidRDefault="009D0006" w:rsidP="00A42607">
            <w:pPr>
              <w:pStyle w:val="Tabletext"/>
            </w:pPr>
            <w:r>
              <w:t>63.1</w:t>
            </w:r>
          </w:p>
        </w:tc>
      </w:tr>
      <w:tr w:rsidR="009D0006" w:rsidRPr="00BC3468" w14:paraId="53D7CB70" w14:textId="77777777" w:rsidTr="009938A0">
        <w:trPr>
          <w:cnfStyle w:val="000000010000" w:firstRow="0" w:lastRow="0" w:firstColumn="0" w:lastColumn="0" w:oddVBand="0" w:evenVBand="0" w:oddHBand="0" w:evenHBand="1" w:firstRowFirstColumn="0" w:firstRowLastColumn="0" w:lastRowFirstColumn="0" w:lastRowLastColumn="0"/>
          <w:trHeight w:val="314"/>
        </w:trPr>
        <w:tc>
          <w:tcPr>
            <w:tcW w:w="6746" w:type="dxa"/>
            <w:noWrap/>
            <w:hideMark/>
          </w:tcPr>
          <w:p w14:paraId="0502D821" w14:textId="77777777" w:rsidR="009D0006" w:rsidRPr="00BC3468" w:rsidRDefault="009D0006" w:rsidP="00A42607">
            <w:pPr>
              <w:pStyle w:val="Tabletext"/>
            </w:pPr>
            <w:r>
              <w:rPr>
                <w:lang w:val="en-US"/>
              </w:rPr>
              <w:t>Ever</w:t>
            </w:r>
          </w:p>
        </w:tc>
        <w:tc>
          <w:tcPr>
            <w:tcW w:w="1559" w:type="dxa"/>
            <w:noWrap/>
          </w:tcPr>
          <w:p w14:paraId="592A27A7" w14:textId="77777777" w:rsidR="009D0006" w:rsidRPr="00BC3468" w:rsidRDefault="009D0006" w:rsidP="00A42607">
            <w:pPr>
              <w:pStyle w:val="Tabletext"/>
            </w:pPr>
            <w:r>
              <w:t>245</w:t>
            </w:r>
          </w:p>
        </w:tc>
        <w:tc>
          <w:tcPr>
            <w:tcW w:w="1559" w:type="dxa"/>
            <w:noWrap/>
          </w:tcPr>
          <w:p w14:paraId="41401E50" w14:textId="77777777" w:rsidR="009D0006" w:rsidRPr="00BC3468" w:rsidRDefault="009D0006" w:rsidP="00A42607">
            <w:pPr>
              <w:pStyle w:val="Tabletext"/>
            </w:pPr>
            <w:r>
              <w:t>87.8</w:t>
            </w:r>
          </w:p>
        </w:tc>
      </w:tr>
    </w:tbl>
    <w:p w14:paraId="18A46281" w14:textId="77777777" w:rsidR="009D0006" w:rsidRDefault="009D0006" w:rsidP="00A42607">
      <w:pPr>
        <w:pStyle w:val="Tableheading"/>
        <w:rPr>
          <w:lang w:val="en-GB"/>
        </w:rPr>
      </w:pPr>
      <w:r>
        <w:rPr>
          <w:lang w:val="en-GB"/>
        </w:rPr>
        <w:t>Table 130.3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455EE73" w14:textId="77777777" w:rsidTr="00A42607">
        <w:trPr>
          <w:cnfStyle w:val="100000000000" w:firstRow="1" w:lastRow="0" w:firstColumn="0" w:lastColumn="0" w:oddVBand="0" w:evenVBand="0" w:oddHBand="0" w:evenHBand="0" w:firstRowFirstColumn="0" w:firstRowLastColumn="0" w:lastRowFirstColumn="0" w:lastRowLastColumn="0"/>
          <w:trHeight w:val="354"/>
        </w:trPr>
        <w:tc>
          <w:tcPr>
            <w:tcW w:w="6746" w:type="dxa"/>
            <w:noWrap/>
            <w:hideMark/>
          </w:tcPr>
          <w:p w14:paraId="7563A808" w14:textId="77777777" w:rsidR="009D0006" w:rsidRPr="00030452" w:rsidRDefault="009D0006" w:rsidP="00A42607">
            <w:pPr>
              <w:pStyle w:val="Tableheader"/>
              <w:rPr>
                <w:bCs/>
              </w:rPr>
            </w:pPr>
            <w:r w:rsidRPr="00030452">
              <w:t>Suicidal ideation</w:t>
            </w:r>
          </w:p>
        </w:tc>
        <w:tc>
          <w:tcPr>
            <w:tcW w:w="1559" w:type="dxa"/>
          </w:tcPr>
          <w:p w14:paraId="0B322B74" w14:textId="77777777" w:rsidR="009D0006" w:rsidRPr="00972AB9" w:rsidRDefault="009D0006" w:rsidP="00A42607">
            <w:pPr>
              <w:pStyle w:val="Tableheader"/>
              <w:rPr>
                <w:bCs/>
              </w:rPr>
            </w:pPr>
            <w:r w:rsidRPr="00972AB9">
              <w:rPr>
                <w:bCs/>
              </w:rPr>
              <w:t>n</w:t>
            </w:r>
          </w:p>
        </w:tc>
        <w:tc>
          <w:tcPr>
            <w:tcW w:w="1559" w:type="dxa"/>
          </w:tcPr>
          <w:p w14:paraId="1EB9AE06" w14:textId="77777777" w:rsidR="009D0006" w:rsidRPr="00972AB9" w:rsidRDefault="009D0006" w:rsidP="00A42607">
            <w:pPr>
              <w:pStyle w:val="Tableheader"/>
              <w:rPr>
                <w:bCs/>
              </w:rPr>
            </w:pPr>
            <w:r w:rsidRPr="00972AB9">
              <w:rPr>
                <w:bCs/>
              </w:rPr>
              <w:t>%</w:t>
            </w:r>
          </w:p>
        </w:tc>
      </w:tr>
      <w:tr w:rsidR="009D0006" w:rsidRPr="00BC3468" w14:paraId="2E293383" w14:textId="77777777" w:rsidTr="00A42607">
        <w:trPr>
          <w:cnfStyle w:val="000000100000" w:firstRow="0" w:lastRow="0" w:firstColumn="0" w:lastColumn="0" w:oddVBand="0" w:evenVBand="0" w:oddHBand="1" w:evenHBand="0" w:firstRowFirstColumn="0" w:firstRowLastColumn="0" w:lastRowFirstColumn="0" w:lastRowLastColumn="0"/>
          <w:trHeight w:val="179"/>
        </w:trPr>
        <w:tc>
          <w:tcPr>
            <w:tcW w:w="6746" w:type="dxa"/>
            <w:noWrap/>
            <w:hideMark/>
          </w:tcPr>
          <w:p w14:paraId="7FA99C8C" w14:textId="77777777" w:rsidR="009D0006" w:rsidRPr="00BC3468" w:rsidRDefault="009D0006" w:rsidP="00A42607">
            <w:pPr>
              <w:pStyle w:val="Tabletext"/>
            </w:pPr>
            <w:r>
              <w:rPr>
                <w:lang w:val="en-US"/>
              </w:rPr>
              <w:t>Past 12 months</w:t>
            </w:r>
          </w:p>
        </w:tc>
        <w:tc>
          <w:tcPr>
            <w:tcW w:w="1559" w:type="dxa"/>
          </w:tcPr>
          <w:p w14:paraId="28E7A0D8" w14:textId="77777777" w:rsidR="009D0006" w:rsidRPr="00BC3468" w:rsidRDefault="009D0006" w:rsidP="00A42607">
            <w:pPr>
              <w:pStyle w:val="Tabletext"/>
            </w:pPr>
            <w:r>
              <w:t>543</w:t>
            </w:r>
          </w:p>
        </w:tc>
        <w:tc>
          <w:tcPr>
            <w:tcW w:w="1559" w:type="dxa"/>
          </w:tcPr>
          <w:p w14:paraId="59124D38" w14:textId="77777777" w:rsidR="009D0006" w:rsidRPr="00BC3468" w:rsidRDefault="009D0006" w:rsidP="00A42607">
            <w:pPr>
              <w:pStyle w:val="Tabletext"/>
            </w:pPr>
            <w:r>
              <w:t>70.7</w:t>
            </w:r>
          </w:p>
        </w:tc>
      </w:tr>
      <w:tr w:rsidR="009D0006" w:rsidRPr="00BC3468" w14:paraId="05C50C11" w14:textId="77777777" w:rsidTr="00A42607">
        <w:trPr>
          <w:cnfStyle w:val="000000010000" w:firstRow="0" w:lastRow="0" w:firstColumn="0" w:lastColumn="0" w:oddVBand="0" w:evenVBand="0" w:oddHBand="0" w:evenHBand="1" w:firstRowFirstColumn="0" w:firstRowLastColumn="0" w:lastRowFirstColumn="0" w:lastRowLastColumn="0"/>
          <w:trHeight w:val="354"/>
        </w:trPr>
        <w:tc>
          <w:tcPr>
            <w:tcW w:w="6746" w:type="dxa"/>
            <w:noWrap/>
            <w:hideMark/>
          </w:tcPr>
          <w:p w14:paraId="7DA9FE14" w14:textId="77777777" w:rsidR="009D0006" w:rsidRPr="00BC3468" w:rsidRDefault="009D0006" w:rsidP="00A42607">
            <w:pPr>
              <w:pStyle w:val="Tabletext"/>
            </w:pPr>
            <w:r>
              <w:rPr>
                <w:lang w:val="en-US"/>
              </w:rPr>
              <w:t>Ever</w:t>
            </w:r>
          </w:p>
        </w:tc>
        <w:tc>
          <w:tcPr>
            <w:tcW w:w="1559" w:type="dxa"/>
          </w:tcPr>
          <w:p w14:paraId="7D854F21" w14:textId="77777777" w:rsidR="009D0006" w:rsidRPr="00BC3468" w:rsidRDefault="009D0006" w:rsidP="00A42607">
            <w:pPr>
              <w:pStyle w:val="Tabletext"/>
            </w:pPr>
            <w:r>
              <w:t>676</w:t>
            </w:r>
          </w:p>
        </w:tc>
        <w:tc>
          <w:tcPr>
            <w:tcW w:w="1559" w:type="dxa"/>
          </w:tcPr>
          <w:p w14:paraId="7E39AD94" w14:textId="77777777" w:rsidR="009D0006" w:rsidRPr="00BC3468" w:rsidRDefault="009D0006" w:rsidP="00A42607">
            <w:pPr>
              <w:pStyle w:val="Tabletext"/>
            </w:pPr>
            <w:r>
              <w:t>88.0</w:t>
            </w:r>
          </w:p>
        </w:tc>
      </w:tr>
    </w:tbl>
    <w:p w14:paraId="736CA10B" w14:textId="77777777" w:rsidR="009D0006" w:rsidRDefault="009D0006" w:rsidP="00A42607">
      <w:pPr>
        <w:pStyle w:val="Tableheading"/>
        <w:rPr>
          <w:lang w:val="en-GB"/>
        </w:rPr>
      </w:pPr>
      <w:r>
        <w:rPr>
          <w:lang w:val="en-GB"/>
        </w:rPr>
        <w:t xml:space="preserve">Table 130.4 Pansexual </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8C8F963" w14:textId="77777777" w:rsidTr="00A42607">
        <w:trPr>
          <w:cnfStyle w:val="100000000000" w:firstRow="1" w:lastRow="0" w:firstColumn="0" w:lastColumn="0" w:oddVBand="0" w:evenVBand="0" w:oddHBand="0" w:evenHBand="0" w:firstRowFirstColumn="0" w:firstRowLastColumn="0" w:lastRowFirstColumn="0" w:lastRowLastColumn="0"/>
          <w:trHeight w:val="349"/>
        </w:trPr>
        <w:tc>
          <w:tcPr>
            <w:tcW w:w="6746" w:type="dxa"/>
            <w:noWrap/>
            <w:hideMark/>
          </w:tcPr>
          <w:p w14:paraId="296B1E08" w14:textId="77777777" w:rsidR="009D0006" w:rsidRPr="00030452" w:rsidRDefault="009D0006" w:rsidP="00A42607">
            <w:pPr>
              <w:pStyle w:val="Tableheader"/>
              <w:rPr>
                <w:bCs/>
              </w:rPr>
            </w:pPr>
            <w:r w:rsidRPr="00030452">
              <w:t>Suicidal ideation</w:t>
            </w:r>
          </w:p>
        </w:tc>
        <w:tc>
          <w:tcPr>
            <w:tcW w:w="1559" w:type="dxa"/>
            <w:noWrap/>
            <w:hideMark/>
          </w:tcPr>
          <w:p w14:paraId="0D6BD647" w14:textId="77777777" w:rsidR="009D0006" w:rsidRPr="00972AB9" w:rsidRDefault="009D0006" w:rsidP="00A42607">
            <w:pPr>
              <w:pStyle w:val="Tableheader"/>
              <w:rPr>
                <w:bCs/>
              </w:rPr>
            </w:pPr>
            <w:r w:rsidRPr="00972AB9">
              <w:rPr>
                <w:bCs/>
              </w:rPr>
              <w:t>n</w:t>
            </w:r>
          </w:p>
        </w:tc>
        <w:tc>
          <w:tcPr>
            <w:tcW w:w="1559" w:type="dxa"/>
            <w:noWrap/>
            <w:hideMark/>
          </w:tcPr>
          <w:p w14:paraId="7D080C33" w14:textId="77777777" w:rsidR="009D0006" w:rsidRPr="00972AB9" w:rsidRDefault="009D0006" w:rsidP="00A42607">
            <w:pPr>
              <w:pStyle w:val="Tableheader"/>
              <w:rPr>
                <w:bCs/>
              </w:rPr>
            </w:pPr>
            <w:r w:rsidRPr="00972AB9">
              <w:rPr>
                <w:bCs/>
              </w:rPr>
              <w:t>%</w:t>
            </w:r>
          </w:p>
        </w:tc>
      </w:tr>
      <w:tr w:rsidR="009D0006" w:rsidRPr="00BC3468" w14:paraId="52530268" w14:textId="77777777" w:rsidTr="00A42607">
        <w:trPr>
          <w:cnfStyle w:val="000000100000" w:firstRow="0" w:lastRow="0" w:firstColumn="0" w:lastColumn="0" w:oddVBand="0" w:evenVBand="0" w:oddHBand="1" w:evenHBand="0" w:firstRowFirstColumn="0" w:firstRowLastColumn="0" w:lastRowFirstColumn="0" w:lastRowLastColumn="0"/>
          <w:trHeight w:val="176"/>
        </w:trPr>
        <w:tc>
          <w:tcPr>
            <w:tcW w:w="6746" w:type="dxa"/>
            <w:noWrap/>
            <w:hideMark/>
          </w:tcPr>
          <w:p w14:paraId="1114245C" w14:textId="77777777" w:rsidR="009D0006" w:rsidRPr="00BC3468" w:rsidRDefault="009D0006" w:rsidP="00A42607">
            <w:pPr>
              <w:pStyle w:val="Tabletext"/>
            </w:pPr>
            <w:r>
              <w:rPr>
                <w:lang w:val="en-US"/>
              </w:rPr>
              <w:t>Past 12 months</w:t>
            </w:r>
          </w:p>
        </w:tc>
        <w:tc>
          <w:tcPr>
            <w:tcW w:w="1559" w:type="dxa"/>
            <w:noWrap/>
          </w:tcPr>
          <w:p w14:paraId="4CC38549" w14:textId="77777777" w:rsidR="009D0006" w:rsidRPr="00BC3468" w:rsidRDefault="009D0006" w:rsidP="00A42607">
            <w:pPr>
              <w:pStyle w:val="Tabletext"/>
            </w:pPr>
            <w:r>
              <w:t>268</w:t>
            </w:r>
          </w:p>
        </w:tc>
        <w:tc>
          <w:tcPr>
            <w:tcW w:w="1559" w:type="dxa"/>
            <w:noWrap/>
          </w:tcPr>
          <w:p w14:paraId="03DD0D47" w14:textId="77777777" w:rsidR="009D0006" w:rsidRPr="00BC3468" w:rsidRDefault="009D0006" w:rsidP="00A42607">
            <w:pPr>
              <w:pStyle w:val="Tabletext"/>
            </w:pPr>
            <w:r>
              <w:t>76.1</w:t>
            </w:r>
          </w:p>
        </w:tc>
      </w:tr>
      <w:tr w:rsidR="009D0006" w:rsidRPr="00BC3468" w14:paraId="1A94B6C5" w14:textId="77777777" w:rsidTr="00A42607">
        <w:trPr>
          <w:cnfStyle w:val="000000010000" w:firstRow="0" w:lastRow="0" w:firstColumn="0" w:lastColumn="0" w:oddVBand="0" w:evenVBand="0" w:oddHBand="0" w:evenHBand="1" w:firstRowFirstColumn="0" w:firstRowLastColumn="0" w:lastRowFirstColumn="0" w:lastRowLastColumn="0"/>
          <w:trHeight w:val="349"/>
        </w:trPr>
        <w:tc>
          <w:tcPr>
            <w:tcW w:w="6746" w:type="dxa"/>
            <w:noWrap/>
            <w:hideMark/>
          </w:tcPr>
          <w:p w14:paraId="559030AA" w14:textId="77777777" w:rsidR="009D0006" w:rsidRPr="00BC3468" w:rsidRDefault="009D0006" w:rsidP="00A42607">
            <w:pPr>
              <w:pStyle w:val="Tabletext"/>
            </w:pPr>
            <w:r>
              <w:rPr>
                <w:lang w:val="en-US"/>
              </w:rPr>
              <w:t>Ever</w:t>
            </w:r>
          </w:p>
        </w:tc>
        <w:tc>
          <w:tcPr>
            <w:tcW w:w="1559" w:type="dxa"/>
            <w:noWrap/>
          </w:tcPr>
          <w:p w14:paraId="17A7BE48" w14:textId="77777777" w:rsidR="009D0006" w:rsidRPr="00BC3468" w:rsidRDefault="009D0006" w:rsidP="00A42607">
            <w:pPr>
              <w:pStyle w:val="Tabletext"/>
            </w:pPr>
            <w:r>
              <w:t>326</w:t>
            </w:r>
          </w:p>
        </w:tc>
        <w:tc>
          <w:tcPr>
            <w:tcW w:w="1559" w:type="dxa"/>
            <w:noWrap/>
          </w:tcPr>
          <w:p w14:paraId="193B7F70" w14:textId="77777777" w:rsidR="009D0006" w:rsidRPr="00BC3468" w:rsidRDefault="009D0006" w:rsidP="00A42607">
            <w:pPr>
              <w:pStyle w:val="Tabletext"/>
            </w:pPr>
            <w:r>
              <w:t>92.6</w:t>
            </w:r>
          </w:p>
        </w:tc>
      </w:tr>
    </w:tbl>
    <w:p w14:paraId="56345731" w14:textId="77777777" w:rsidR="009D0006" w:rsidRDefault="009D0006" w:rsidP="00A42607">
      <w:pPr>
        <w:pStyle w:val="Tableheading"/>
        <w:rPr>
          <w:lang w:val="en-GB"/>
        </w:rPr>
      </w:pPr>
      <w:r>
        <w:rPr>
          <w:lang w:val="en-GB"/>
        </w:rPr>
        <w:t>Table 130.</w:t>
      </w:r>
      <w:r>
        <w:rPr>
          <w:lang w:val="en-GB"/>
        </w:rPr>
        <w:lastRenderedPageBreak/>
        <w:t>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C367A6B" w14:textId="77777777" w:rsidTr="00A42607">
        <w:trPr>
          <w:cnfStyle w:val="100000000000" w:firstRow="1" w:lastRow="0" w:firstColumn="0" w:lastColumn="0" w:oddVBand="0" w:evenVBand="0" w:oddHBand="0" w:evenHBand="0" w:firstRowFirstColumn="0" w:firstRowLastColumn="0" w:lastRowFirstColumn="0" w:lastRowLastColumn="0"/>
          <w:trHeight w:val="338"/>
        </w:trPr>
        <w:tc>
          <w:tcPr>
            <w:tcW w:w="6746" w:type="dxa"/>
            <w:noWrap/>
            <w:hideMark/>
          </w:tcPr>
          <w:p w14:paraId="3101D269" w14:textId="77777777" w:rsidR="009D0006" w:rsidRPr="00030452" w:rsidRDefault="009D0006" w:rsidP="00A42607">
            <w:pPr>
              <w:pStyle w:val="Tableheader"/>
              <w:rPr>
                <w:bCs/>
              </w:rPr>
            </w:pPr>
            <w:r w:rsidRPr="00030452">
              <w:t>Suicidal ideation</w:t>
            </w:r>
          </w:p>
        </w:tc>
        <w:tc>
          <w:tcPr>
            <w:tcW w:w="1559" w:type="dxa"/>
            <w:noWrap/>
            <w:hideMark/>
          </w:tcPr>
          <w:p w14:paraId="2DF1D74B" w14:textId="77777777" w:rsidR="009D0006" w:rsidRPr="00972AB9" w:rsidRDefault="009D0006" w:rsidP="00A42607">
            <w:pPr>
              <w:pStyle w:val="Tableheader"/>
              <w:rPr>
                <w:bCs/>
              </w:rPr>
            </w:pPr>
            <w:r w:rsidRPr="00972AB9">
              <w:rPr>
                <w:bCs/>
              </w:rPr>
              <w:t>n</w:t>
            </w:r>
          </w:p>
        </w:tc>
        <w:tc>
          <w:tcPr>
            <w:tcW w:w="1559" w:type="dxa"/>
            <w:noWrap/>
            <w:hideMark/>
          </w:tcPr>
          <w:p w14:paraId="31DD2739" w14:textId="77777777" w:rsidR="009D0006" w:rsidRPr="00972AB9" w:rsidRDefault="009D0006" w:rsidP="00A42607">
            <w:pPr>
              <w:pStyle w:val="Tableheader"/>
              <w:rPr>
                <w:bCs/>
              </w:rPr>
            </w:pPr>
            <w:r w:rsidRPr="00972AB9">
              <w:rPr>
                <w:bCs/>
              </w:rPr>
              <w:t>%</w:t>
            </w:r>
          </w:p>
        </w:tc>
      </w:tr>
      <w:tr w:rsidR="009D0006" w:rsidRPr="00BC3468" w14:paraId="16F395F1" w14:textId="77777777" w:rsidTr="00A42607">
        <w:trPr>
          <w:cnfStyle w:val="000000100000" w:firstRow="0" w:lastRow="0" w:firstColumn="0" w:lastColumn="0" w:oddVBand="0" w:evenVBand="0" w:oddHBand="1" w:evenHBand="0" w:firstRowFirstColumn="0" w:firstRowLastColumn="0" w:lastRowFirstColumn="0" w:lastRowLastColumn="0"/>
          <w:trHeight w:val="171"/>
        </w:trPr>
        <w:tc>
          <w:tcPr>
            <w:tcW w:w="6746" w:type="dxa"/>
            <w:noWrap/>
            <w:hideMark/>
          </w:tcPr>
          <w:p w14:paraId="21032401" w14:textId="77777777" w:rsidR="009D0006" w:rsidRPr="00BC3468" w:rsidRDefault="009D0006" w:rsidP="00A42607">
            <w:pPr>
              <w:pStyle w:val="Tabletext"/>
            </w:pPr>
            <w:r>
              <w:rPr>
                <w:lang w:val="en-US"/>
              </w:rPr>
              <w:t>Past 12 months</w:t>
            </w:r>
          </w:p>
        </w:tc>
        <w:tc>
          <w:tcPr>
            <w:tcW w:w="1559" w:type="dxa"/>
            <w:noWrap/>
          </w:tcPr>
          <w:p w14:paraId="1088F8A2" w14:textId="77777777" w:rsidR="009D0006" w:rsidRPr="00BC3468" w:rsidRDefault="009D0006" w:rsidP="00A42607">
            <w:pPr>
              <w:pStyle w:val="Tabletext"/>
            </w:pPr>
            <w:r>
              <w:t>196</w:t>
            </w:r>
          </w:p>
        </w:tc>
        <w:tc>
          <w:tcPr>
            <w:tcW w:w="1559" w:type="dxa"/>
            <w:noWrap/>
          </w:tcPr>
          <w:p w14:paraId="71B71027" w14:textId="77777777" w:rsidR="009D0006" w:rsidRPr="00BC3468" w:rsidRDefault="009D0006" w:rsidP="00A42607">
            <w:pPr>
              <w:pStyle w:val="Tabletext"/>
            </w:pPr>
            <w:r>
              <w:t>74.0</w:t>
            </w:r>
          </w:p>
        </w:tc>
      </w:tr>
      <w:tr w:rsidR="009D0006" w:rsidRPr="00BC3468" w14:paraId="2E1C58B0" w14:textId="77777777" w:rsidTr="00A42607">
        <w:trPr>
          <w:cnfStyle w:val="000000010000" w:firstRow="0" w:lastRow="0" w:firstColumn="0" w:lastColumn="0" w:oddVBand="0" w:evenVBand="0" w:oddHBand="0" w:evenHBand="1" w:firstRowFirstColumn="0" w:firstRowLastColumn="0" w:lastRowFirstColumn="0" w:lastRowLastColumn="0"/>
          <w:trHeight w:val="338"/>
        </w:trPr>
        <w:tc>
          <w:tcPr>
            <w:tcW w:w="6746" w:type="dxa"/>
            <w:noWrap/>
            <w:hideMark/>
          </w:tcPr>
          <w:p w14:paraId="19CBF613" w14:textId="77777777" w:rsidR="009D0006" w:rsidRPr="00BC3468" w:rsidRDefault="009D0006" w:rsidP="00A42607">
            <w:pPr>
              <w:pStyle w:val="Tabletext"/>
            </w:pPr>
            <w:r>
              <w:rPr>
                <w:lang w:val="en-US"/>
              </w:rPr>
              <w:t>Ever</w:t>
            </w:r>
          </w:p>
        </w:tc>
        <w:tc>
          <w:tcPr>
            <w:tcW w:w="1559" w:type="dxa"/>
            <w:noWrap/>
          </w:tcPr>
          <w:p w14:paraId="40AC013B" w14:textId="77777777" w:rsidR="009D0006" w:rsidRPr="00BC3468" w:rsidRDefault="009D0006" w:rsidP="00A42607">
            <w:pPr>
              <w:pStyle w:val="Tabletext"/>
            </w:pPr>
            <w:r>
              <w:t>239</w:t>
            </w:r>
          </w:p>
        </w:tc>
        <w:tc>
          <w:tcPr>
            <w:tcW w:w="1559" w:type="dxa"/>
            <w:noWrap/>
          </w:tcPr>
          <w:p w14:paraId="21B81578" w14:textId="77777777" w:rsidR="009D0006" w:rsidRPr="00BC3468" w:rsidRDefault="009D0006" w:rsidP="00A42607">
            <w:pPr>
              <w:pStyle w:val="Tabletext"/>
            </w:pPr>
            <w:r>
              <w:t>90.2</w:t>
            </w:r>
          </w:p>
        </w:tc>
      </w:tr>
    </w:tbl>
    <w:p w14:paraId="10832557" w14:textId="77777777" w:rsidR="009D0006" w:rsidRDefault="009D0006" w:rsidP="00A42607">
      <w:pPr>
        <w:pStyle w:val="Tableheading"/>
        <w:rPr>
          <w:lang w:val="en-GB"/>
        </w:rPr>
      </w:pPr>
      <w:r>
        <w:rPr>
          <w:lang w:val="en-GB"/>
        </w:rPr>
        <w:t>Table 130.6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C8B5BE8" w14:textId="77777777" w:rsidTr="00A42607">
        <w:trPr>
          <w:cnfStyle w:val="100000000000" w:firstRow="1" w:lastRow="0" w:firstColumn="0" w:lastColumn="0" w:oddVBand="0" w:evenVBand="0" w:oddHBand="0" w:evenHBand="0" w:firstRowFirstColumn="0" w:firstRowLastColumn="0" w:lastRowFirstColumn="0" w:lastRowLastColumn="0"/>
          <w:trHeight w:val="235"/>
        </w:trPr>
        <w:tc>
          <w:tcPr>
            <w:tcW w:w="6746" w:type="dxa"/>
            <w:noWrap/>
            <w:hideMark/>
          </w:tcPr>
          <w:p w14:paraId="123C4670" w14:textId="77777777" w:rsidR="009D0006" w:rsidRPr="00030452" w:rsidRDefault="009D0006" w:rsidP="00A42607">
            <w:pPr>
              <w:pStyle w:val="Tableheader"/>
              <w:rPr>
                <w:bCs/>
              </w:rPr>
            </w:pPr>
            <w:r w:rsidRPr="00030452">
              <w:t>Suicidal ideation</w:t>
            </w:r>
          </w:p>
        </w:tc>
        <w:tc>
          <w:tcPr>
            <w:tcW w:w="1559" w:type="dxa"/>
            <w:noWrap/>
            <w:hideMark/>
          </w:tcPr>
          <w:p w14:paraId="2D66E345" w14:textId="77777777" w:rsidR="009D0006" w:rsidRPr="00972AB9" w:rsidRDefault="009D0006" w:rsidP="00A42607">
            <w:pPr>
              <w:pStyle w:val="Tableheader"/>
              <w:rPr>
                <w:bCs/>
              </w:rPr>
            </w:pPr>
            <w:r w:rsidRPr="00972AB9">
              <w:rPr>
                <w:bCs/>
              </w:rPr>
              <w:t>n</w:t>
            </w:r>
          </w:p>
        </w:tc>
        <w:tc>
          <w:tcPr>
            <w:tcW w:w="1559" w:type="dxa"/>
            <w:noWrap/>
            <w:hideMark/>
          </w:tcPr>
          <w:p w14:paraId="5F29AAD3" w14:textId="77777777" w:rsidR="009D0006" w:rsidRPr="00972AB9" w:rsidRDefault="009D0006" w:rsidP="00A42607">
            <w:pPr>
              <w:pStyle w:val="Tableheader"/>
              <w:rPr>
                <w:bCs/>
              </w:rPr>
            </w:pPr>
            <w:r w:rsidRPr="00972AB9">
              <w:rPr>
                <w:bCs/>
              </w:rPr>
              <w:t>%</w:t>
            </w:r>
          </w:p>
        </w:tc>
      </w:tr>
      <w:tr w:rsidR="009D0006" w:rsidRPr="00BC3468" w14:paraId="1D7EF824" w14:textId="77777777" w:rsidTr="00A42607">
        <w:trPr>
          <w:cnfStyle w:val="000000100000" w:firstRow="0" w:lastRow="0" w:firstColumn="0" w:lastColumn="0" w:oddVBand="0" w:evenVBand="0" w:oddHBand="1" w:evenHBand="0" w:firstRowFirstColumn="0" w:firstRowLastColumn="0" w:lastRowFirstColumn="0" w:lastRowLastColumn="0"/>
          <w:trHeight w:val="119"/>
        </w:trPr>
        <w:tc>
          <w:tcPr>
            <w:tcW w:w="6746" w:type="dxa"/>
            <w:noWrap/>
            <w:hideMark/>
          </w:tcPr>
          <w:p w14:paraId="6951CBC4" w14:textId="77777777" w:rsidR="009D0006" w:rsidRPr="00BC3468" w:rsidRDefault="009D0006" w:rsidP="00A42607">
            <w:pPr>
              <w:pStyle w:val="Tabletext"/>
            </w:pPr>
            <w:r>
              <w:rPr>
                <w:lang w:val="en-US"/>
              </w:rPr>
              <w:t>Past 12 months</w:t>
            </w:r>
          </w:p>
        </w:tc>
        <w:tc>
          <w:tcPr>
            <w:tcW w:w="1559" w:type="dxa"/>
            <w:noWrap/>
          </w:tcPr>
          <w:p w14:paraId="0202FB0B" w14:textId="77777777" w:rsidR="009D0006" w:rsidRPr="00BC3468" w:rsidRDefault="009D0006" w:rsidP="00A42607">
            <w:pPr>
              <w:pStyle w:val="Tabletext"/>
            </w:pPr>
            <w:r>
              <w:t>78</w:t>
            </w:r>
          </w:p>
        </w:tc>
        <w:tc>
          <w:tcPr>
            <w:tcW w:w="1559" w:type="dxa"/>
            <w:noWrap/>
          </w:tcPr>
          <w:p w14:paraId="47658A7F" w14:textId="77777777" w:rsidR="009D0006" w:rsidRPr="00BC3468" w:rsidRDefault="009D0006" w:rsidP="00A42607">
            <w:pPr>
              <w:pStyle w:val="Tabletext"/>
            </w:pPr>
            <w:r>
              <w:t>58.6</w:t>
            </w:r>
          </w:p>
        </w:tc>
      </w:tr>
      <w:tr w:rsidR="009D0006" w:rsidRPr="00BC3468" w14:paraId="191F65C0" w14:textId="77777777" w:rsidTr="00A42607">
        <w:trPr>
          <w:cnfStyle w:val="000000010000" w:firstRow="0" w:lastRow="0" w:firstColumn="0" w:lastColumn="0" w:oddVBand="0" w:evenVBand="0" w:oddHBand="0" w:evenHBand="1" w:firstRowFirstColumn="0" w:firstRowLastColumn="0" w:lastRowFirstColumn="0" w:lastRowLastColumn="0"/>
          <w:trHeight w:val="235"/>
        </w:trPr>
        <w:tc>
          <w:tcPr>
            <w:tcW w:w="6746" w:type="dxa"/>
            <w:noWrap/>
            <w:hideMark/>
          </w:tcPr>
          <w:p w14:paraId="2B024AEE" w14:textId="77777777" w:rsidR="009D0006" w:rsidRPr="00BC3468" w:rsidRDefault="009D0006" w:rsidP="00A42607">
            <w:pPr>
              <w:pStyle w:val="Tabletext"/>
            </w:pPr>
            <w:r>
              <w:rPr>
                <w:lang w:val="en-US"/>
              </w:rPr>
              <w:t>Ever</w:t>
            </w:r>
          </w:p>
        </w:tc>
        <w:tc>
          <w:tcPr>
            <w:tcW w:w="1559" w:type="dxa"/>
            <w:noWrap/>
          </w:tcPr>
          <w:p w14:paraId="12015BBD" w14:textId="77777777" w:rsidR="009D0006" w:rsidRPr="00BC3468" w:rsidRDefault="009D0006" w:rsidP="00A42607">
            <w:pPr>
              <w:pStyle w:val="Tabletext"/>
            </w:pPr>
            <w:r>
              <w:t>108</w:t>
            </w:r>
          </w:p>
        </w:tc>
        <w:tc>
          <w:tcPr>
            <w:tcW w:w="1559" w:type="dxa"/>
            <w:noWrap/>
          </w:tcPr>
          <w:p w14:paraId="59291BE1" w14:textId="77777777" w:rsidR="009D0006" w:rsidRPr="00BC3468" w:rsidRDefault="009D0006" w:rsidP="00A42607">
            <w:pPr>
              <w:pStyle w:val="Tabletext"/>
            </w:pPr>
            <w:r>
              <w:t>81.2</w:t>
            </w:r>
          </w:p>
        </w:tc>
      </w:tr>
    </w:tbl>
    <w:p w14:paraId="648F3683" w14:textId="77777777" w:rsidR="009D0006" w:rsidRDefault="009D0006" w:rsidP="00841AEF">
      <w:pPr>
        <w:pStyle w:val="Tableheading"/>
        <w:rPr>
          <w:lang w:val="en-GB"/>
        </w:rPr>
      </w:pPr>
      <w:r>
        <w:rPr>
          <w:lang w:val="en-GB"/>
        </w:rPr>
        <w:t>Table 130.7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67D1690" w14:textId="77777777" w:rsidTr="00841AEF">
        <w:trPr>
          <w:cnfStyle w:val="100000000000" w:firstRow="1" w:lastRow="0" w:firstColumn="0" w:lastColumn="0" w:oddVBand="0" w:evenVBand="0" w:oddHBand="0" w:evenHBand="0" w:firstRowFirstColumn="0" w:firstRowLastColumn="0" w:lastRowFirstColumn="0" w:lastRowLastColumn="0"/>
          <w:trHeight w:val="264"/>
        </w:trPr>
        <w:tc>
          <w:tcPr>
            <w:tcW w:w="6746" w:type="dxa"/>
            <w:noWrap/>
            <w:hideMark/>
          </w:tcPr>
          <w:p w14:paraId="652B2F88" w14:textId="77777777" w:rsidR="009D0006" w:rsidRPr="00030452" w:rsidRDefault="009D0006" w:rsidP="00841AEF">
            <w:pPr>
              <w:pStyle w:val="Tableheader"/>
              <w:rPr>
                <w:bCs/>
              </w:rPr>
            </w:pPr>
            <w:r w:rsidRPr="00030452">
              <w:t>Suicidal ideation</w:t>
            </w:r>
          </w:p>
        </w:tc>
        <w:tc>
          <w:tcPr>
            <w:tcW w:w="1559" w:type="dxa"/>
          </w:tcPr>
          <w:p w14:paraId="44CB5C7B" w14:textId="77777777" w:rsidR="009D0006" w:rsidRPr="00972AB9" w:rsidRDefault="009D0006" w:rsidP="00841AEF">
            <w:pPr>
              <w:pStyle w:val="Tableheader"/>
              <w:rPr>
                <w:bCs/>
              </w:rPr>
            </w:pPr>
            <w:r w:rsidRPr="00972AB9">
              <w:rPr>
                <w:bCs/>
              </w:rPr>
              <w:t>n</w:t>
            </w:r>
          </w:p>
        </w:tc>
        <w:tc>
          <w:tcPr>
            <w:tcW w:w="1559" w:type="dxa"/>
          </w:tcPr>
          <w:p w14:paraId="48A7BFFD" w14:textId="77777777" w:rsidR="009D0006" w:rsidRPr="00972AB9" w:rsidRDefault="009D0006" w:rsidP="00841AEF">
            <w:pPr>
              <w:pStyle w:val="Tableheader"/>
              <w:rPr>
                <w:bCs/>
              </w:rPr>
            </w:pPr>
            <w:r w:rsidRPr="00972AB9">
              <w:rPr>
                <w:bCs/>
              </w:rPr>
              <w:t>%</w:t>
            </w:r>
          </w:p>
        </w:tc>
      </w:tr>
      <w:tr w:rsidR="009D0006" w:rsidRPr="00BC3468" w14:paraId="476279BF" w14:textId="77777777" w:rsidTr="00841AEF">
        <w:trPr>
          <w:cnfStyle w:val="000000100000" w:firstRow="0" w:lastRow="0" w:firstColumn="0" w:lastColumn="0" w:oddVBand="0" w:evenVBand="0" w:oddHBand="1" w:evenHBand="0" w:firstRowFirstColumn="0" w:firstRowLastColumn="0" w:lastRowFirstColumn="0" w:lastRowLastColumn="0"/>
          <w:trHeight w:val="133"/>
        </w:trPr>
        <w:tc>
          <w:tcPr>
            <w:tcW w:w="6746" w:type="dxa"/>
            <w:noWrap/>
            <w:hideMark/>
          </w:tcPr>
          <w:p w14:paraId="67D7815B" w14:textId="77777777" w:rsidR="009D0006" w:rsidRPr="00BC3468" w:rsidRDefault="009D0006" w:rsidP="00841AEF">
            <w:pPr>
              <w:pStyle w:val="Tabletext"/>
            </w:pPr>
            <w:r>
              <w:rPr>
                <w:lang w:val="en-US"/>
              </w:rPr>
              <w:t>Past 12 months</w:t>
            </w:r>
          </w:p>
        </w:tc>
        <w:tc>
          <w:tcPr>
            <w:tcW w:w="1559" w:type="dxa"/>
          </w:tcPr>
          <w:p w14:paraId="518A613D" w14:textId="77777777" w:rsidR="009D0006" w:rsidRPr="00BC3468" w:rsidRDefault="009D0006" w:rsidP="00841AEF">
            <w:pPr>
              <w:pStyle w:val="Tabletext"/>
            </w:pPr>
            <w:r>
              <w:t>243</w:t>
            </w:r>
          </w:p>
        </w:tc>
        <w:tc>
          <w:tcPr>
            <w:tcW w:w="1559" w:type="dxa"/>
          </w:tcPr>
          <w:p w14:paraId="44C1518D" w14:textId="77777777" w:rsidR="009D0006" w:rsidRPr="00BC3468" w:rsidRDefault="009D0006" w:rsidP="00841AEF">
            <w:pPr>
              <w:pStyle w:val="Tabletext"/>
            </w:pPr>
            <w:r>
              <w:t>69.8</w:t>
            </w:r>
          </w:p>
        </w:tc>
      </w:tr>
      <w:tr w:rsidR="009D0006" w:rsidRPr="00BC3468" w14:paraId="25D03ED8" w14:textId="77777777" w:rsidTr="00841AEF">
        <w:trPr>
          <w:cnfStyle w:val="000000010000" w:firstRow="0" w:lastRow="0" w:firstColumn="0" w:lastColumn="0" w:oddVBand="0" w:evenVBand="0" w:oddHBand="0" w:evenHBand="1" w:firstRowFirstColumn="0" w:firstRowLastColumn="0" w:lastRowFirstColumn="0" w:lastRowLastColumn="0"/>
          <w:trHeight w:val="264"/>
        </w:trPr>
        <w:tc>
          <w:tcPr>
            <w:tcW w:w="6746" w:type="dxa"/>
            <w:noWrap/>
            <w:hideMark/>
          </w:tcPr>
          <w:p w14:paraId="27E560F7" w14:textId="77777777" w:rsidR="009D0006" w:rsidRPr="00BC3468" w:rsidRDefault="009D0006" w:rsidP="00841AEF">
            <w:pPr>
              <w:pStyle w:val="Tabletext"/>
            </w:pPr>
            <w:r>
              <w:rPr>
                <w:lang w:val="en-US"/>
              </w:rPr>
              <w:t>Ever</w:t>
            </w:r>
          </w:p>
        </w:tc>
        <w:tc>
          <w:tcPr>
            <w:tcW w:w="1559" w:type="dxa"/>
          </w:tcPr>
          <w:p w14:paraId="25C5AFA2" w14:textId="77777777" w:rsidR="009D0006" w:rsidRPr="00BC3468" w:rsidRDefault="009D0006" w:rsidP="00841AEF">
            <w:pPr>
              <w:pStyle w:val="Tabletext"/>
            </w:pPr>
            <w:r>
              <w:t>312</w:t>
            </w:r>
          </w:p>
        </w:tc>
        <w:tc>
          <w:tcPr>
            <w:tcW w:w="1559" w:type="dxa"/>
          </w:tcPr>
          <w:p w14:paraId="2BEFB3C4" w14:textId="77777777" w:rsidR="009D0006" w:rsidRPr="00BC3468" w:rsidRDefault="009D0006" w:rsidP="00841AEF">
            <w:pPr>
              <w:pStyle w:val="Tabletext"/>
            </w:pPr>
            <w:r>
              <w:t>89.7</w:t>
            </w:r>
          </w:p>
        </w:tc>
      </w:tr>
    </w:tbl>
    <w:p w14:paraId="4107B9BD" w14:textId="77777777" w:rsidR="009D0006" w:rsidRDefault="009D0006" w:rsidP="00AB4A74">
      <w:pPr>
        <w:spacing w:before="360"/>
      </w:pPr>
      <w:r w:rsidRPr="003271DA">
        <w:t>As displayed in Table</w:t>
      </w:r>
      <w:r>
        <w:t>s</w:t>
      </w:r>
      <w:r w:rsidRPr="003271DA">
        <w:t xml:space="preserve"> </w:t>
      </w:r>
      <w:r>
        <w:t xml:space="preserve">130.1-130.7, more than three-quarters of participants with disability in </w:t>
      </w:r>
      <w:r>
        <w:rPr>
          <w:i/>
          <w:iCs/>
        </w:rPr>
        <w:t>Writing Themselves In 4</w:t>
      </w:r>
      <w:r>
        <w:t xml:space="preserve"> who identified as pansexual had experienced suicidal ideation in the past 12 months (76.1%; n = 268). This was followed by participants who identified as queer (74.0%; n = 196), participants who identified as lesbian (72.9%; n = 248), participants who identified as bisexual (70.7%; n = 543), participants who identified as something else (69.8%; n = 243), participants who identified as gay (63.1%; n = 176) and participants who identified as asexual (58.6%; n = 78).</w:t>
      </w:r>
    </w:p>
    <w:p w14:paraId="606D5642" w14:textId="77777777" w:rsidR="009D0006" w:rsidRPr="005910DE" w:rsidRDefault="009D0006" w:rsidP="009D0006">
      <w:r>
        <w:t>The vast majority of participants with disability across all sexual orientations reported having ever experienced suicidal ideation in their lifetime. More than 90% of participants who identified as pansexual had ever experienced suicidal ideation in their lifetime (92.6%; n = 326). This closely followed by participants who identified as lesbian (92.4%; n = 314), participants who identified as queer (90.2%; n = 239, participants who identified as something else (89.7%; n = 312), participants who identified as bisexual (88.0%; n = 676), participants who identified as gay (87.8%; n = 245) and participants who identified as asexual (81.2%; n = 108).</w:t>
      </w:r>
    </w:p>
    <w:p w14:paraId="5D931092" w14:textId="0E583037" w:rsidR="009D0006" w:rsidRPr="00C5739E" w:rsidRDefault="009D0006" w:rsidP="009401DC">
      <w:pPr>
        <w:pStyle w:val="Heading3Numbered"/>
      </w:pPr>
      <w:bookmarkStart w:id="973" w:name="_Toc115968685"/>
      <w:r w:rsidRPr="00C5739E">
        <w:t>Suicidal i</w:t>
      </w:r>
      <w:r w:rsidRPr="00C5739E">
        <w:lastRenderedPageBreak/>
        <w:t>deation</w:t>
      </w:r>
      <w:r>
        <w:t xml:space="preserve"> </w:t>
      </w:r>
      <w:r w:rsidRPr="00C5739E">
        <w:t>– adults aged 18+ years</w:t>
      </w:r>
      <w:bookmarkEnd w:id="973"/>
    </w:p>
    <w:p w14:paraId="6DEF8EC6" w14:textId="56A3158E" w:rsidR="009D0006" w:rsidRDefault="009D0006" w:rsidP="00841AEF">
      <w:pPr>
        <w:pStyle w:val="Tableheading"/>
      </w:pPr>
      <w:bookmarkStart w:id="974" w:name="_Toc117062848"/>
      <w:bookmarkStart w:id="975" w:name="_Toc119651533"/>
      <w:r w:rsidRPr="00AE109A">
        <w:rPr>
          <w:bCs/>
        </w:rPr>
        <w:t>Table</w:t>
      </w:r>
      <w:r>
        <w:rPr>
          <w:bCs/>
        </w:rPr>
        <w:t>s</w:t>
      </w:r>
      <w:r w:rsidRPr="00AE109A">
        <w:rPr>
          <w:bCs/>
        </w:rPr>
        <w:t xml:space="preserve"> </w:t>
      </w:r>
      <w:r w:rsidRPr="00AE109A">
        <w:rPr>
          <w:bCs/>
        </w:rPr>
        <w:fldChar w:fldCharType="begin"/>
      </w:r>
      <w:r w:rsidRPr="00AE109A">
        <w:rPr>
          <w:bCs/>
        </w:rPr>
        <w:instrText xml:space="preserve"> SEQ Table \* ARABIC </w:instrText>
      </w:r>
      <w:r w:rsidRPr="00AE109A">
        <w:rPr>
          <w:bCs/>
        </w:rPr>
        <w:fldChar w:fldCharType="separate"/>
      </w:r>
      <w:r>
        <w:rPr>
          <w:bCs/>
          <w:noProof/>
        </w:rPr>
        <w:t>131</w:t>
      </w:r>
      <w:r w:rsidRPr="00AE109A">
        <w:rPr>
          <w:bCs/>
        </w:rPr>
        <w:fldChar w:fldCharType="end"/>
      </w:r>
      <w:r>
        <w:rPr>
          <w:bCs/>
        </w:rPr>
        <w:t>.1-131.7</w:t>
      </w:r>
      <w:r>
        <w:t xml:space="preserve">: </w:t>
      </w:r>
      <w:r w:rsidRPr="00C5739E">
        <w:t xml:space="preserve">Suicidal ideation </w:t>
      </w:r>
      <w:r>
        <w:t>among adults with disability aged 18+ years, grouped</w:t>
      </w:r>
      <w:r w:rsidRPr="00C5739E">
        <w:t xml:space="preserve"> by </w:t>
      </w:r>
      <w:r>
        <w:t xml:space="preserve">sexual orientation </w:t>
      </w:r>
      <w:r w:rsidRPr="00C5739E">
        <w:t xml:space="preserve">(n = </w:t>
      </w:r>
      <w:r>
        <w:t>2611</w:t>
      </w:r>
      <w:r w:rsidRPr="00C5739E">
        <w:t>)</w:t>
      </w:r>
      <w:bookmarkEnd w:id="974"/>
      <w:bookmarkEnd w:id="975"/>
    </w:p>
    <w:p w14:paraId="1A4524B0" w14:textId="77777777" w:rsidR="009D0006" w:rsidRDefault="009D0006" w:rsidP="00841AEF">
      <w:pPr>
        <w:pStyle w:val="Tableheading"/>
      </w:pPr>
      <w:r>
        <w:t>Table 131.1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F68FAD8" w14:textId="77777777" w:rsidTr="00841AEF">
        <w:trPr>
          <w:cnfStyle w:val="100000000000" w:firstRow="1" w:lastRow="0" w:firstColumn="0" w:lastColumn="0" w:oddVBand="0" w:evenVBand="0" w:oddHBand="0" w:evenHBand="0" w:firstRowFirstColumn="0" w:firstRowLastColumn="0" w:lastRowFirstColumn="0" w:lastRowLastColumn="0"/>
          <w:trHeight w:val="269"/>
        </w:trPr>
        <w:tc>
          <w:tcPr>
            <w:tcW w:w="6746" w:type="dxa"/>
            <w:noWrap/>
            <w:hideMark/>
          </w:tcPr>
          <w:p w14:paraId="699D36FF" w14:textId="77777777" w:rsidR="009D0006" w:rsidRPr="00030452" w:rsidRDefault="009D0006" w:rsidP="00841AEF">
            <w:pPr>
              <w:pStyle w:val="Tableheader"/>
              <w:rPr>
                <w:bCs/>
              </w:rPr>
            </w:pPr>
            <w:r w:rsidRPr="00030452">
              <w:t>Suicidal ideation</w:t>
            </w:r>
          </w:p>
        </w:tc>
        <w:tc>
          <w:tcPr>
            <w:tcW w:w="1559" w:type="dxa"/>
            <w:noWrap/>
            <w:hideMark/>
          </w:tcPr>
          <w:p w14:paraId="4F53C447" w14:textId="77777777" w:rsidR="009D0006" w:rsidRPr="003845BC" w:rsidRDefault="009D0006" w:rsidP="00841AEF">
            <w:pPr>
              <w:pStyle w:val="Tableheader"/>
              <w:rPr>
                <w:bCs/>
              </w:rPr>
            </w:pPr>
            <w:r w:rsidRPr="003845BC">
              <w:rPr>
                <w:bCs/>
              </w:rPr>
              <w:t>n</w:t>
            </w:r>
          </w:p>
        </w:tc>
        <w:tc>
          <w:tcPr>
            <w:tcW w:w="1559" w:type="dxa"/>
            <w:noWrap/>
            <w:hideMark/>
          </w:tcPr>
          <w:p w14:paraId="5B9DCA5B" w14:textId="77777777" w:rsidR="009D0006" w:rsidRPr="003845BC" w:rsidRDefault="009D0006" w:rsidP="00841AEF">
            <w:pPr>
              <w:pStyle w:val="Tableheader"/>
              <w:rPr>
                <w:bCs/>
              </w:rPr>
            </w:pPr>
            <w:r w:rsidRPr="003845BC">
              <w:rPr>
                <w:bCs/>
              </w:rPr>
              <w:t>%</w:t>
            </w:r>
          </w:p>
        </w:tc>
      </w:tr>
      <w:tr w:rsidR="009D0006" w:rsidRPr="00BC3468" w14:paraId="2EBA9F1C" w14:textId="77777777" w:rsidTr="00841AEF">
        <w:trPr>
          <w:cnfStyle w:val="000000100000" w:firstRow="0" w:lastRow="0" w:firstColumn="0" w:lastColumn="0" w:oddVBand="0" w:evenVBand="0" w:oddHBand="1" w:evenHBand="0" w:firstRowFirstColumn="0" w:firstRowLastColumn="0" w:lastRowFirstColumn="0" w:lastRowLastColumn="0"/>
          <w:trHeight w:val="136"/>
        </w:trPr>
        <w:tc>
          <w:tcPr>
            <w:tcW w:w="6746" w:type="dxa"/>
            <w:noWrap/>
            <w:hideMark/>
          </w:tcPr>
          <w:p w14:paraId="096C1EFE" w14:textId="77777777" w:rsidR="009D0006" w:rsidRPr="00BC3468" w:rsidRDefault="009D0006" w:rsidP="00841AEF">
            <w:pPr>
              <w:pStyle w:val="Tabletext"/>
            </w:pPr>
            <w:r>
              <w:rPr>
                <w:lang w:val="en-US"/>
              </w:rPr>
              <w:t>Past 12 months</w:t>
            </w:r>
          </w:p>
        </w:tc>
        <w:tc>
          <w:tcPr>
            <w:tcW w:w="1559" w:type="dxa"/>
            <w:noWrap/>
          </w:tcPr>
          <w:p w14:paraId="13EDA6AE" w14:textId="77777777" w:rsidR="009D0006" w:rsidRPr="00BC3468" w:rsidRDefault="009D0006" w:rsidP="00841AEF">
            <w:pPr>
              <w:pStyle w:val="Tabletext"/>
            </w:pPr>
            <w:r>
              <w:t>274</w:t>
            </w:r>
          </w:p>
        </w:tc>
        <w:tc>
          <w:tcPr>
            <w:tcW w:w="1559" w:type="dxa"/>
            <w:noWrap/>
          </w:tcPr>
          <w:p w14:paraId="1F2021BA" w14:textId="77777777" w:rsidR="009D0006" w:rsidRPr="00BC3468" w:rsidRDefault="009D0006" w:rsidP="00841AEF">
            <w:pPr>
              <w:pStyle w:val="Tabletext"/>
            </w:pPr>
            <w:r>
              <w:t>53.6</w:t>
            </w:r>
          </w:p>
        </w:tc>
      </w:tr>
      <w:tr w:rsidR="009D0006" w:rsidRPr="00BC3468" w14:paraId="3261D5AA" w14:textId="77777777" w:rsidTr="00841AEF">
        <w:trPr>
          <w:cnfStyle w:val="000000010000" w:firstRow="0" w:lastRow="0" w:firstColumn="0" w:lastColumn="0" w:oddVBand="0" w:evenVBand="0" w:oddHBand="0" w:evenHBand="1" w:firstRowFirstColumn="0" w:firstRowLastColumn="0" w:lastRowFirstColumn="0" w:lastRowLastColumn="0"/>
          <w:trHeight w:val="269"/>
        </w:trPr>
        <w:tc>
          <w:tcPr>
            <w:tcW w:w="6746" w:type="dxa"/>
            <w:noWrap/>
            <w:hideMark/>
          </w:tcPr>
          <w:p w14:paraId="4876B409" w14:textId="77777777" w:rsidR="009D0006" w:rsidRPr="00BC3468" w:rsidRDefault="009D0006" w:rsidP="00841AEF">
            <w:pPr>
              <w:pStyle w:val="Tabletext"/>
            </w:pPr>
            <w:r>
              <w:rPr>
                <w:lang w:val="en-US"/>
              </w:rPr>
              <w:t>Ever</w:t>
            </w:r>
          </w:p>
        </w:tc>
        <w:tc>
          <w:tcPr>
            <w:tcW w:w="1559" w:type="dxa"/>
            <w:noWrap/>
          </w:tcPr>
          <w:p w14:paraId="0CE5A653" w14:textId="77777777" w:rsidR="009D0006" w:rsidRPr="00BC3468" w:rsidRDefault="009D0006" w:rsidP="00841AEF">
            <w:pPr>
              <w:pStyle w:val="Tabletext"/>
            </w:pPr>
            <w:r>
              <w:t>450</w:t>
            </w:r>
          </w:p>
        </w:tc>
        <w:tc>
          <w:tcPr>
            <w:tcW w:w="1559" w:type="dxa"/>
            <w:noWrap/>
          </w:tcPr>
          <w:p w14:paraId="612A6497" w14:textId="77777777" w:rsidR="009D0006" w:rsidRPr="00BC3468" w:rsidRDefault="009D0006" w:rsidP="00841AEF">
            <w:pPr>
              <w:pStyle w:val="Tabletext"/>
            </w:pPr>
            <w:r>
              <w:t>88.1</w:t>
            </w:r>
          </w:p>
        </w:tc>
      </w:tr>
    </w:tbl>
    <w:p w14:paraId="6E4EA84E" w14:textId="77777777" w:rsidR="009D0006" w:rsidRDefault="009D0006" w:rsidP="00841AEF">
      <w:pPr>
        <w:pStyle w:val="Tableheading"/>
      </w:pPr>
      <w:r>
        <w:t>Table 131.2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E6229E0" w14:textId="77777777" w:rsidTr="00841AEF">
        <w:trPr>
          <w:cnfStyle w:val="100000000000" w:firstRow="1" w:lastRow="0" w:firstColumn="0" w:lastColumn="0" w:oddVBand="0" w:evenVBand="0" w:oddHBand="0" w:evenHBand="0" w:firstRowFirstColumn="0" w:firstRowLastColumn="0" w:lastRowFirstColumn="0" w:lastRowLastColumn="0"/>
          <w:trHeight w:val="278"/>
        </w:trPr>
        <w:tc>
          <w:tcPr>
            <w:tcW w:w="6746" w:type="dxa"/>
            <w:noWrap/>
            <w:hideMark/>
          </w:tcPr>
          <w:p w14:paraId="5A9BB876" w14:textId="77777777" w:rsidR="009D0006" w:rsidRPr="00030452" w:rsidRDefault="009D0006" w:rsidP="00841AEF">
            <w:pPr>
              <w:pStyle w:val="Tableheader"/>
              <w:rPr>
                <w:bCs/>
              </w:rPr>
            </w:pPr>
            <w:r w:rsidRPr="00030452">
              <w:t>Suicidal ideation</w:t>
            </w:r>
          </w:p>
        </w:tc>
        <w:tc>
          <w:tcPr>
            <w:tcW w:w="1559" w:type="dxa"/>
            <w:noWrap/>
            <w:hideMark/>
          </w:tcPr>
          <w:p w14:paraId="23007816" w14:textId="77777777" w:rsidR="009D0006" w:rsidRPr="003845BC" w:rsidRDefault="009D0006" w:rsidP="00841AEF">
            <w:pPr>
              <w:pStyle w:val="Tableheader"/>
              <w:rPr>
                <w:bCs/>
              </w:rPr>
            </w:pPr>
            <w:r w:rsidRPr="003845BC">
              <w:rPr>
                <w:bCs/>
              </w:rPr>
              <w:t>n</w:t>
            </w:r>
          </w:p>
        </w:tc>
        <w:tc>
          <w:tcPr>
            <w:tcW w:w="1559" w:type="dxa"/>
            <w:noWrap/>
            <w:hideMark/>
          </w:tcPr>
          <w:p w14:paraId="640BA913" w14:textId="77777777" w:rsidR="009D0006" w:rsidRPr="003845BC" w:rsidRDefault="009D0006" w:rsidP="00841AEF">
            <w:pPr>
              <w:pStyle w:val="Tableheader"/>
              <w:rPr>
                <w:bCs/>
              </w:rPr>
            </w:pPr>
            <w:r w:rsidRPr="003845BC">
              <w:rPr>
                <w:bCs/>
              </w:rPr>
              <w:t>%</w:t>
            </w:r>
          </w:p>
        </w:tc>
      </w:tr>
      <w:tr w:rsidR="009D0006" w:rsidRPr="00BC3468" w14:paraId="60C2BA1C" w14:textId="77777777" w:rsidTr="00841AEF">
        <w:trPr>
          <w:cnfStyle w:val="000000100000" w:firstRow="0" w:lastRow="0" w:firstColumn="0" w:lastColumn="0" w:oddVBand="0" w:evenVBand="0" w:oddHBand="1" w:evenHBand="0" w:firstRowFirstColumn="0" w:firstRowLastColumn="0" w:lastRowFirstColumn="0" w:lastRowLastColumn="0"/>
          <w:trHeight w:val="140"/>
        </w:trPr>
        <w:tc>
          <w:tcPr>
            <w:tcW w:w="6746" w:type="dxa"/>
            <w:noWrap/>
            <w:hideMark/>
          </w:tcPr>
          <w:p w14:paraId="06ED4667" w14:textId="77777777" w:rsidR="009D0006" w:rsidRPr="00BC3468" w:rsidRDefault="009D0006" w:rsidP="00841AEF">
            <w:pPr>
              <w:pStyle w:val="Tabletext"/>
            </w:pPr>
            <w:r>
              <w:rPr>
                <w:lang w:val="en-US"/>
              </w:rPr>
              <w:t>Past 12 months</w:t>
            </w:r>
          </w:p>
        </w:tc>
        <w:tc>
          <w:tcPr>
            <w:tcW w:w="1559" w:type="dxa"/>
            <w:noWrap/>
          </w:tcPr>
          <w:p w14:paraId="57B29098" w14:textId="77777777" w:rsidR="009D0006" w:rsidRPr="00BC3468" w:rsidRDefault="009D0006" w:rsidP="00841AEF">
            <w:pPr>
              <w:pStyle w:val="Tabletext"/>
            </w:pPr>
            <w:r>
              <w:t>217</w:t>
            </w:r>
          </w:p>
        </w:tc>
        <w:tc>
          <w:tcPr>
            <w:tcW w:w="1559" w:type="dxa"/>
            <w:noWrap/>
          </w:tcPr>
          <w:p w14:paraId="7861F361" w14:textId="77777777" w:rsidR="009D0006" w:rsidRPr="00BC3468" w:rsidRDefault="009D0006" w:rsidP="00841AEF">
            <w:pPr>
              <w:pStyle w:val="Tabletext"/>
            </w:pPr>
            <w:r>
              <w:t>51.3</w:t>
            </w:r>
          </w:p>
        </w:tc>
      </w:tr>
      <w:tr w:rsidR="009D0006" w:rsidRPr="00BC3468" w14:paraId="2BEF8E45" w14:textId="77777777" w:rsidTr="00841AEF">
        <w:trPr>
          <w:cnfStyle w:val="000000010000" w:firstRow="0" w:lastRow="0" w:firstColumn="0" w:lastColumn="0" w:oddVBand="0" w:evenVBand="0" w:oddHBand="0" w:evenHBand="1" w:firstRowFirstColumn="0" w:firstRowLastColumn="0" w:lastRowFirstColumn="0" w:lastRowLastColumn="0"/>
          <w:trHeight w:val="278"/>
        </w:trPr>
        <w:tc>
          <w:tcPr>
            <w:tcW w:w="6746" w:type="dxa"/>
            <w:noWrap/>
            <w:hideMark/>
          </w:tcPr>
          <w:p w14:paraId="296AB757" w14:textId="77777777" w:rsidR="009D0006" w:rsidRPr="00BC3468" w:rsidRDefault="009D0006" w:rsidP="00841AEF">
            <w:pPr>
              <w:pStyle w:val="Tabletext"/>
            </w:pPr>
            <w:r>
              <w:rPr>
                <w:lang w:val="en-US"/>
              </w:rPr>
              <w:t>Ever</w:t>
            </w:r>
          </w:p>
        </w:tc>
        <w:tc>
          <w:tcPr>
            <w:tcW w:w="1559" w:type="dxa"/>
            <w:noWrap/>
          </w:tcPr>
          <w:p w14:paraId="7E083F0C" w14:textId="77777777" w:rsidR="009D0006" w:rsidRPr="00BC3468" w:rsidRDefault="009D0006" w:rsidP="00841AEF">
            <w:pPr>
              <w:pStyle w:val="Tabletext"/>
            </w:pPr>
            <w:r>
              <w:t>339</w:t>
            </w:r>
          </w:p>
        </w:tc>
        <w:tc>
          <w:tcPr>
            <w:tcW w:w="1559" w:type="dxa"/>
            <w:noWrap/>
          </w:tcPr>
          <w:p w14:paraId="1D67A347" w14:textId="77777777" w:rsidR="009D0006" w:rsidRPr="00BC3468" w:rsidRDefault="009D0006" w:rsidP="00841AEF">
            <w:pPr>
              <w:pStyle w:val="Tabletext"/>
            </w:pPr>
            <w:r>
              <w:t>80.1</w:t>
            </w:r>
          </w:p>
        </w:tc>
      </w:tr>
    </w:tbl>
    <w:p w14:paraId="2031BEBE" w14:textId="77777777" w:rsidR="009D0006" w:rsidRDefault="009D0006" w:rsidP="00841AEF">
      <w:pPr>
        <w:pStyle w:val="Tableheader"/>
      </w:pPr>
      <w:r>
        <w:t>Table 131.3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E8356E3" w14:textId="77777777" w:rsidTr="00841AEF">
        <w:trPr>
          <w:cnfStyle w:val="100000000000" w:firstRow="1" w:lastRow="0" w:firstColumn="0" w:lastColumn="0" w:oddVBand="0" w:evenVBand="0" w:oddHBand="0" w:evenHBand="0" w:firstRowFirstColumn="0" w:firstRowLastColumn="0" w:lastRowFirstColumn="0" w:lastRowLastColumn="0"/>
          <w:trHeight w:val="334"/>
        </w:trPr>
        <w:tc>
          <w:tcPr>
            <w:tcW w:w="6746" w:type="dxa"/>
            <w:noWrap/>
            <w:hideMark/>
          </w:tcPr>
          <w:p w14:paraId="2F6F320D" w14:textId="77777777" w:rsidR="009D0006" w:rsidRPr="00030452" w:rsidRDefault="009D0006" w:rsidP="00841AEF">
            <w:pPr>
              <w:pStyle w:val="Tableheader"/>
              <w:rPr>
                <w:bCs/>
              </w:rPr>
            </w:pPr>
            <w:r w:rsidRPr="00030452">
              <w:t>Suicidal ideation</w:t>
            </w:r>
          </w:p>
        </w:tc>
        <w:tc>
          <w:tcPr>
            <w:tcW w:w="1559" w:type="dxa"/>
          </w:tcPr>
          <w:p w14:paraId="57DFEAF2" w14:textId="77777777" w:rsidR="009D0006" w:rsidRPr="003845BC" w:rsidRDefault="009D0006" w:rsidP="00841AEF">
            <w:pPr>
              <w:pStyle w:val="Tableheader"/>
              <w:rPr>
                <w:bCs/>
              </w:rPr>
            </w:pPr>
            <w:r w:rsidRPr="003845BC">
              <w:rPr>
                <w:bCs/>
              </w:rPr>
              <w:t>n</w:t>
            </w:r>
          </w:p>
        </w:tc>
        <w:tc>
          <w:tcPr>
            <w:tcW w:w="1559" w:type="dxa"/>
          </w:tcPr>
          <w:p w14:paraId="44453808" w14:textId="77777777" w:rsidR="009D0006" w:rsidRPr="003845BC" w:rsidRDefault="009D0006" w:rsidP="00841AEF">
            <w:pPr>
              <w:pStyle w:val="Tableheader"/>
              <w:rPr>
                <w:bCs/>
              </w:rPr>
            </w:pPr>
            <w:r w:rsidRPr="003845BC">
              <w:rPr>
                <w:bCs/>
              </w:rPr>
              <w:t>%</w:t>
            </w:r>
          </w:p>
        </w:tc>
      </w:tr>
      <w:tr w:rsidR="009D0006" w:rsidRPr="00BC3468" w14:paraId="0C46C45F" w14:textId="77777777" w:rsidTr="00841AEF">
        <w:trPr>
          <w:cnfStyle w:val="000000100000" w:firstRow="0" w:lastRow="0" w:firstColumn="0" w:lastColumn="0" w:oddVBand="0" w:evenVBand="0" w:oddHBand="1" w:evenHBand="0" w:firstRowFirstColumn="0" w:firstRowLastColumn="0" w:lastRowFirstColumn="0" w:lastRowLastColumn="0"/>
          <w:trHeight w:val="168"/>
        </w:trPr>
        <w:tc>
          <w:tcPr>
            <w:tcW w:w="6746" w:type="dxa"/>
            <w:noWrap/>
            <w:hideMark/>
          </w:tcPr>
          <w:p w14:paraId="7FA8FCFB" w14:textId="77777777" w:rsidR="009D0006" w:rsidRPr="00BC3468" w:rsidRDefault="009D0006" w:rsidP="00841AEF">
            <w:pPr>
              <w:pStyle w:val="Tabletext"/>
            </w:pPr>
            <w:r>
              <w:rPr>
                <w:lang w:val="en-US"/>
              </w:rPr>
              <w:t>Past 12 months</w:t>
            </w:r>
          </w:p>
        </w:tc>
        <w:tc>
          <w:tcPr>
            <w:tcW w:w="1559" w:type="dxa"/>
          </w:tcPr>
          <w:p w14:paraId="10FE2412" w14:textId="77777777" w:rsidR="009D0006" w:rsidRPr="00BC3468" w:rsidRDefault="009D0006" w:rsidP="00841AEF">
            <w:pPr>
              <w:pStyle w:val="Tabletext"/>
            </w:pPr>
            <w:r>
              <w:t>395</w:t>
            </w:r>
          </w:p>
        </w:tc>
        <w:tc>
          <w:tcPr>
            <w:tcW w:w="1559" w:type="dxa"/>
          </w:tcPr>
          <w:p w14:paraId="00BA75D3" w14:textId="77777777" w:rsidR="009D0006" w:rsidRPr="00BC3468" w:rsidRDefault="009D0006" w:rsidP="00841AEF">
            <w:pPr>
              <w:pStyle w:val="Tabletext"/>
            </w:pPr>
            <w:r>
              <w:t>61.9</w:t>
            </w:r>
          </w:p>
        </w:tc>
      </w:tr>
      <w:tr w:rsidR="009D0006" w:rsidRPr="00BC3468" w14:paraId="372BB62A" w14:textId="77777777" w:rsidTr="00841AEF">
        <w:trPr>
          <w:cnfStyle w:val="000000010000" w:firstRow="0" w:lastRow="0" w:firstColumn="0" w:lastColumn="0" w:oddVBand="0" w:evenVBand="0" w:oddHBand="0" w:evenHBand="1" w:firstRowFirstColumn="0" w:firstRowLastColumn="0" w:lastRowFirstColumn="0" w:lastRowLastColumn="0"/>
          <w:trHeight w:val="334"/>
        </w:trPr>
        <w:tc>
          <w:tcPr>
            <w:tcW w:w="6746" w:type="dxa"/>
            <w:noWrap/>
            <w:hideMark/>
          </w:tcPr>
          <w:p w14:paraId="11E82424" w14:textId="77777777" w:rsidR="009D0006" w:rsidRPr="00BC3468" w:rsidRDefault="009D0006" w:rsidP="00841AEF">
            <w:pPr>
              <w:pStyle w:val="Tabletext"/>
            </w:pPr>
            <w:r>
              <w:rPr>
                <w:lang w:val="en-US"/>
              </w:rPr>
              <w:t>Ever</w:t>
            </w:r>
          </w:p>
        </w:tc>
        <w:tc>
          <w:tcPr>
            <w:tcW w:w="1559" w:type="dxa"/>
          </w:tcPr>
          <w:p w14:paraId="11BF3DD4" w14:textId="77777777" w:rsidR="009D0006" w:rsidRPr="00BC3468" w:rsidRDefault="009D0006" w:rsidP="00841AEF">
            <w:pPr>
              <w:pStyle w:val="Tabletext"/>
            </w:pPr>
            <w:r>
              <w:t>568</w:t>
            </w:r>
          </w:p>
        </w:tc>
        <w:tc>
          <w:tcPr>
            <w:tcW w:w="1559" w:type="dxa"/>
          </w:tcPr>
          <w:p w14:paraId="70B3A772" w14:textId="77777777" w:rsidR="009D0006" w:rsidRPr="00BC3468" w:rsidRDefault="009D0006" w:rsidP="00841AEF">
            <w:pPr>
              <w:pStyle w:val="Tabletext"/>
            </w:pPr>
            <w:r>
              <w:t>89.0</w:t>
            </w:r>
          </w:p>
        </w:tc>
      </w:tr>
    </w:tbl>
    <w:p w14:paraId="22F84127" w14:textId="77777777" w:rsidR="009D0006" w:rsidRDefault="009D0006" w:rsidP="00841AEF">
      <w:pPr>
        <w:pStyle w:val="Tableheading"/>
      </w:pPr>
      <w:r>
        <w:t>Table 131.4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B4C45AA" w14:textId="77777777" w:rsidTr="00841AEF">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28E82B1E" w14:textId="77777777" w:rsidR="009D0006" w:rsidRPr="00030452" w:rsidRDefault="009D0006" w:rsidP="00841AEF">
            <w:pPr>
              <w:pStyle w:val="Tableheader"/>
              <w:rPr>
                <w:bCs/>
              </w:rPr>
            </w:pPr>
            <w:r w:rsidRPr="00030452">
              <w:t>Suicidal ideation</w:t>
            </w:r>
          </w:p>
        </w:tc>
        <w:tc>
          <w:tcPr>
            <w:tcW w:w="1559" w:type="dxa"/>
            <w:noWrap/>
            <w:hideMark/>
          </w:tcPr>
          <w:p w14:paraId="6DCAEF58" w14:textId="77777777" w:rsidR="009D0006" w:rsidRPr="003845BC" w:rsidRDefault="009D0006" w:rsidP="00841AEF">
            <w:pPr>
              <w:pStyle w:val="Tableheader"/>
              <w:rPr>
                <w:bCs/>
              </w:rPr>
            </w:pPr>
            <w:r w:rsidRPr="003845BC">
              <w:rPr>
                <w:bCs/>
              </w:rPr>
              <w:t>n</w:t>
            </w:r>
          </w:p>
        </w:tc>
        <w:tc>
          <w:tcPr>
            <w:tcW w:w="1559" w:type="dxa"/>
            <w:noWrap/>
            <w:hideMark/>
          </w:tcPr>
          <w:p w14:paraId="1D4CEDD2" w14:textId="77777777" w:rsidR="009D0006" w:rsidRPr="003845BC" w:rsidRDefault="009D0006" w:rsidP="00841AEF">
            <w:pPr>
              <w:pStyle w:val="Tableheader"/>
              <w:rPr>
                <w:bCs/>
              </w:rPr>
            </w:pPr>
            <w:r w:rsidRPr="003845BC">
              <w:rPr>
                <w:bCs/>
              </w:rPr>
              <w:t>%</w:t>
            </w:r>
          </w:p>
        </w:tc>
      </w:tr>
      <w:tr w:rsidR="009D0006" w:rsidRPr="00BC3468" w14:paraId="534D6724" w14:textId="77777777" w:rsidTr="00841AEF">
        <w:trPr>
          <w:cnfStyle w:val="000000100000" w:firstRow="0" w:lastRow="0" w:firstColumn="0" w:lastColumn="0" w:oddVBand="0" w:evenVBand="0" w:oddHBand="1" w:evenHBand="0" w:firstRowFirstColumn="0" w:firstRowLastColumn="0" w:lastRowFirstColumn="0" w:lastRowLastColumn="0"/>
          <w:trHeight w:val="168"/>
        </w:trPr>
        <w:tc>
          <w:tcPr>
            <w:tcW w:w="6746" w:type="dxa"/>
            <w:noWrap/>
            <w:hideMark/>
          </w:tcPr>
          <w:p w14:paraId="28196353" w14:textId="77777777" w:rsidR="009D0006" w:rsidRPr="00BC3468" w:rsidRDefault="009D0006" w:rsidP="00841AEF">
            <w:pPr>
              <w:pStyle w:val="Tabletext"/>
            </w:pPr>
            <w:r>
              <w:rPr>
                <w:lang w:val="en-US"/>
              </w:rPr>
              <w:t>Past 12 months</w:t>
            </w:r>
          </w:p>
        </w:tc>
        <w:tc>
          <w:tcPr>
            <w:tcW w:w="1559" w:type="dxa"/>
            <w:noWrap/>
          </w:tcPr>
          <w:p w14:paraId="71043573" w14:textId="77777777" w:rsidR="009D0006" w:rsidRPr="00BC3468" w:rsidRDefault="009D0006" w:rsidP="00841AEF">
            <w:pPr>
              <w:pStyle w:val="Tabletext"/>
            </w:pPr>
            <w:r>
              <w:t>179</w:t>
            </w:r>
          </w:p>
        </w:tc>
        <w:tc>
          <w:tcPr>
            <w:tcW w:w="1559" w:type="dxa"/>
            <w:noWrap/>
          </w:tcPr>
          <w:p w14:paraId="498375DC" w14:textId="77777777" w:rsidR="009D0006" w:rsidRPr="00BC3468" w:rsidRDefault="009D0006" w:rsidP="00841AEF">
            <w:pPr>
              <w:pStyle w:val="Tabletext"/>
            </w:pPr>
            <w:r>
              <w:t>64.6</w:t>
            </w:r>
          </w:p>
        </w:tc>
      </w:tr>
      <w:tr w:rsidR="009D0006" w:rsidRPr="00BC3468" w14:paraId="4B862943" w14:textId="77777777" w:rsidTr="00841AEF">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5B7AB155" w14:textId="77777777" w:rsidR="009D0006" w:rsidRPr="00BC3468" w:rsidRDefault="009D0006" w:rsidP="00841AEF">
            <w:pPr>
              <w:pStyle w:val="Tabletext"/>
            </w:pPr>
            <w:r>
              <w:rPr>
                <w:lang w:val="en-US"/>
              </w:rPr>
              <w:t>Ever</w:t>
            </w:r>
          </w:p>
        </w:tc>
        <w:tc>
          <w:tcPr>
            <w:tcW w:w="1559" w:type="dxa"/>
            <w:noWrap/>
          </w:tcPr>
          <w:p w14:paraId="0CF2013E" w14:textId="77777777" w:rsidR="009D0006" w:rsidRPr="00BC3468" w:rsidRDefault="009D0006" w:rsidP="00841AEF">
            <w:pPr>
              <w:pStyle w:val="Tabletext"/>
            </w:pPr>
            <w:r>
              <w:t>262</w:t>
            </w:r>
          </w:p>
        </w:tc>
        <w:tc>
          <w:tcPr>
            <w:tcW w:w="1559" w:type="dxa"/>
            <w:noWrap/>
          </w:tcPr>
          <w:p w14:paraId="3B266890" w14:textId="77777777" w:rsidR="009D0006" w:rsidRPr="00BC3468" w:rsidRDefault="009D0006" w:rsidP="00841AEF">
            <w:pPr>
              <w:pStyle w:val="Tabletext"/>
            </w:pPr>
            <w:r>
              <w:t>94.6</w:t>
            </w:r>
          </w:p>
        </w:tc>
      </w:tr>
    </w:tbl>
    <w:p w14:paraId="74E9DE15" w14:textId="77777777" w:rsidR="009D0006" w:rsidRDefault="009D0006" w:rsidP="00841AEF">
      <w:pPr>
        <w:pStyle w:val="Tableheading"/>
      </w:pPr>
      <w:r>
        <w:t>Table 131.5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57743118" w14:textId="77777777" w:rsidTr="00841AEF">
        <w:trPr>
          <w:cnfStyle w:val="100000000000" w:firstRow="1" w:lastRow="0" w:firstColumn="0" w:lastColumn="0" w:oddVBand="0" w:evenVBand="0" w:oddHBand="0" w:evenHBand="0" w:firstRowFirstColumn="0" w:firstRowLastColumn="0" w:lastRowFirstColumn="0" w:lastRowLastColumn="0"/>
          <w:trHeight w:val="294"/>
        </w:trPr>
        <w:tc>
          <w:tcPr>
            <w:tcW w:w="6746" w:type="dxa"/>
            <w:noWrap/>
            <w:hideMark/>
          </w:tcPr>
          <w:p w14:paraId="4AF9B74D" w14:textId="77777777" w:rsidR="009D0006" w:rsidRPr="00030452" w:rsidRDefault="009D0006" w:rsidP="00841AEF">
            <w:pPr>
              <w:pStyle w:val="Tableheader"/>
              <w:rPr>
                <w:bCs/>
              </w:rPr>
            </w:pPr>
            <w:r w:rsidRPr="00030452">
              <w:t>Suicidal ideation</w:t>
            </w:r>
          </w:p>
        </w:tc>
        <w:tc>
          <w:tcPr>
            <w:tcW w:w="1559" w:type="dxa"/>
            <w:noWrap/>
            <w:hideMark/>
          </w:tcPr>
          <w:p w14:paraId="68F9DF8F" w14:textId="77777777" w:rsidR="009D0006" w:rsidRPr="003845BC" w:rsidRDefault="009D0006" w:rsidP="00841AEF">
            <w:pPr>
              <w:pStyle w:val="Tableheader"/>
              <w:rPr>
                <w:bCs/>
              </w:rPr>
            </w:pPr>
            <w:r w:rsidRPr="003845BC">
              <w:rPr>
                <w:bCs/>
              </w:rPr>
              <w:t>n</w:t>
            </w:r>
          </w:p>
        </w:tc>
        <w:tc>
          <w:tcPr>
            <w:tcW w:w="1559" w:type="dxa"/>
            <w:noWrap/>
            <w:hideMark/>
          </w:tcPr>
          <w:p w14:paraId="550261F1" w14:textId="77777777" w:rsidR="009D0006" w:rsidRPr="003845BC" w:rsidRDefault="009D0006" w:rsidP="00841AEF">
            <w:pPr>
              <w:pStyle w:val="Tableheader"/>
              <w:rPr>
                <w:bCs/>
              </w:rPr>
            </w:pPr>
            <w:r w:rsidRPr="003845BC">
              <w:rPr>
                <w:bCs/>
              </w:rPr>
              <w:t>%</w:t>
            </w:r>
          </w:p>
        </w:tc>
      </w:tr>
      <w:tr w:rsidR="009D0006" w:rsidRPr="00BC3468" w14:paraId="42224C1A" w14:textId="77777777" w:rsidTr="00841AEF">
        <w:trPr>
          <w:cnfStyle w:val="000000100000" w:firstRow="0" w:lastRow="0" w:firstColumn="0" w:lastColumn="0" w:oddVBand="0" w:evenVBand="0" w:oddHBand="1" w:evenHBand="0" w:firstRowFirstColumn="0" w:firstRowLastColumn="0" w:lastRowFirstColumn="0" w:lastRowLastColumn="0"/>
          <w:trHeight w:val="148"/>
        </w:trPr>
        <w:tc>
          <w:tcPr>
            <w:tcW w:w="6746" w:type="dxa"/>
            <w:noWrap/>
            <w:hideMark/>
          </w:tcPr>
          <w:p w14:paraId="1F8C37B1" w14:textId="77777777" w:rsidR="009D0006" w:rsidRPr="00BC3468" w:rsidRDefault="009D0006" w:rsidP="00841AEF">
            <w:pPr>
              <w:pStyle w:val="Tabletext"/>
            </w:pPr>
            <w:r>
              <w:rPr>
                <w:lang w:val="en-US"/>
              </w:rPr>
              <w:t>Past 12 months</w:t>
            </w:r>
          </w:p>
        </w:tc>
        <w:tc>
          <w:tcPr>
            <w:tcW w:w="1559" w:type="dxa"/>
            <w:noWrap/>
          </w:tcPr>
          <w:p w14:paraId="61415033" w14:textId="77777777" w:rsidR="009D0006" w:rsidRPr="00BC3468" w:rsidRDefault="009D0006" w:rsidP="00841AEF">
            <w:pPr>
              <w:pStyle w:val="Tabletext"/>
            </w:pPr>
            <w:r>
              <w:t>301</w:t>
            </w:r>
          </w:p>
        </w:tc>
        <w:tc>
          <w:tcPr>
            <w:tcW w:w="1559" w:type="dxa"/>
            <w:noWrap/>
          </w:tcPr>
          <w:p w14:paraId="21AE98A2" w14:textId="77777777" w:rsidR="009D0006" w:rsidRPr="00BC3468" w:rsidRDefault="009D0006" w:rsidP="00841AEF">
            <w:pPr>
              <w:pStyle w:val="Tabletext"/>
            </w:pPr>
            <w:r>
              <w:t>70.8</w:t>
            </w:r>
          </w:p>
        </w:tc>
      </w:tr>
      <w:tr w:rsidR="009D0006" w:rsidRPr="00BC3468" w14:paraId="1D209837" w14:textId="77777777" w:rsidTr="00841AEF">
        <w:trPr>
          <w:cnfStyle w:val="000000010000" w:firstRow="0" w:lastRow="0" w:firstColumn="0" w:lastColumn="0" w:oddVBand="0" w:evenVBand="0" w:oddHBand="0" w:evenHBand="1" w:firstRowFirstColumn="0" w:firstRowLastColumn="0" w:lastRowFirstColumn="0" w:lastRowLastColumn="0"/>
          <w:trHeight w:val="294"/>
        </w:trPr>
        <w:tc>
          <w:tcPr>
            <w:tcW w:w="6746" w:type="dxa"/>
            <w:noWrap/>
            <w:hideMark/>
          </w:tcPr>
          <w:p w14:paraId="38CE65B3" w14:textId="77777777" w:rsidR="009D0006" w:rsidRPr="00BC3468" w:rsidRDefault="009D0006" w:rsidP="00841AEF">
            <w:pPr>
              <w:pStyle w:val="Tabletext"/>
            </w:pPr>
            <w:r>
              <w:rPr>
                <w:lang w:val="en-US"/>
              </w:rPr>
              <w:t>Ever</w:t>
            </w:r>
          </w:p>
        </w:tc>
        <w:tc>
          <w:tcPr>
            <w:tcW w:w="1559" w:type="dxa"/>
            <w:noWrap/>
          </w:tcPr>
          <w:p w14:paraId="61205F37" w14:textId="77777777" w:rsidR="009D0006" w:rsidRPr="00BC3468" w:rsidRDefault="009D0006" w:rsidP="00841AEF">
            <w:pPr>
              <w:pStyle w:val="Tabletext"/>
            </w:pPr>
            <w:r>
              <w:t>401</w:t>
            </w:r>
          </w:p>
        </w:tc>
        <w:tc>
          <w:tcPr>
            <w:tcW w:w="1559" w:type="dxa"/>
            <w:noWrap/>
          </w:tcPr>
          <w:p w14:paraId="31F19CFE" w14:textId="77777777" w:rsidR="009D0006" w:rsidRPr="00BC3468" w:rsidRDefault="009D0006" w:rsidP="00841AEF">
            <w:pPr>
              <w:pStyle w:val="Tabletext"/>
            </w:pPr>
            <w:r>
              <w:t>94.4</w:t>
            </w:r>
          </w:p>
        </w:tc>
      </w:tr>
    </w:tbl>
    <w:p w14:paraId="067C2497" w14:textId="77777777" w:rsidR="009D0006" w:rsidRDefault="009D0006" w:rsidP="00841AEF">
      <w:pPr>
        <w:pStyle w:val="Tableheading"/>
      </w:pPr>
      <w:r>
        <w:t>Table 131.6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2A98B3C" w14:textId="77777777" w:rsidTr="00841AEF">
        <w:trPr>
          <w:cnfStyle w:val="100000000000" w:firstRow="1" w:lastRow="0" w:firstColumn="0" w:lastColumn="0" w:oddVBand="0" w:evenVBand="0" w:oddHBand="0" w:evenHBand="0" w:firstRowFirstColumn="0" w:firstRowLastColumn="0" w:lastRowFirstColumn="0" w:lastRowLastColumn="0"/>
          <w:trHeight w:val="294"/>
        </w:trPr>
        <w:tc>
          <w:tcPr>
            <w:tcW w:w="6746" w:type="dxa"/>
            <w:noWrap/>
            <w:hideMark/>
          </w:tcPr>
          <w:p w14:paraId="63946795" w14:textId="77777777" w:rsidR="009D0006" w:rsidRPr="00030452" w:rsidRDefault="009D0006" w:rsidP="00841AEF">
            <w:pPr>
              <w:pStyle w:val="Tableheader"/>
              <w:rPr>
                <w:bCs/>
              </w:rPr>
            </w:pPr>
            <w:r w:rsidRPr="00030452">
              <w:t>Suicidal ideation</w:t>
            </w:r>
          </w:p>
        </w:tc>
        <w:tc>
          <w:tcPr>
            <w:tcW w:w="1559" w:type="dxa"/>
            <w:noWrap/>
            <w:hideMark/>
          </w:tcPr>
          <w:p w14:paraId="4F5697D8" w14:textId="77777777" w:rsidR="009D0006" w:rsidRPr="003845BC" w:rsidRDefault="009D0006" w:rsidP="00841AEF">
            <w:pPr>
              <w:pStyle w:val="Tableheader"/>
              <w:rPr>
                <w:bCs/>
              </w:rPr>
            </w:pPr>
            <w:r w:rsidRPr="003845BC">
              <w:rPr>
                <w:bCs/>
              </w:rPr>
              <w:t>n</w:t>
            </w:r>
          </w:p>
        </w:tc>
        <w:tc>
          <w:tcPr>
            <w:tcW w:w="1559" w:type="dxa"/>
            <w:noWrap/>
            <w:hideMark/>
          </w:tcPr>
          <w:p w14:paraId="480C15B5" w14:textId="77777777" w:rsidR="009D0006" w:rsidRPr="003845BC" w:rsidRDefault="009D0006" w:rsidP="00841AEF">
            <w:pPr>
              <w:pStyle w:val="Tableheader"/>
              <w:rPr>
                <w:bCs/>
              </w:rPr>
            </w:pPr>
            <w:r w:rsidRPr="003845BC">
              <w:rPr>
                <w:bCs/>
              </w:rPr>
              <w:t>%</w:t>
            </w:r>
          </w:p>
        </w:tc>
      </w:tr>
      <w:tr w:rsidR="009D0006" w:rsidRPr="00BC3468" w14:paraId="2A323626" w14:textId="77777777" w:rsidTr="00841AEF">
        <w:trPr>
          <w:cnfStyle w:val="000000100000" w:firstRow="0" w:lastRow="0" w:firstColumn="0" w:lastColumn="0" w:oddVBand="0" w:evenVBand="0" w:oddHBand="1" w:evenHBand="0" w:firstRowFirstColumn="0" w:firstRowLastColumn="0" w:lastRowFirstColumn="0" w:lastRowLastColumn="0"/>
          <w:trHeight w:val="148"/>
        </w:trPr>
        <w:tc>
          <w:tcPr>
            <w:tcW w:w="6746" w:type="dxa"/>
            <w:noWrap/>
            <w:hideMark/>
          </w:tcPr>
          <w:p w14:paraId="0D4F4568" w14:textId="77777777" w:rsidR="009D0006" w:rsidRPr="00BC3468" w:rsidRDefault="009D0006" w:rsidP="00841AEF">
            <w:pPr>
              <w:pStyle w:val="Tabletext"/>
            </w:pPr>
            <w:r>
              <w:rPr>
                <w:lang w:val="en-US"/>
              </w:rPr>
              <w:t>Past 12 months</w:t>
            </w:r>
          </w:p>
        </w:tc>
        <w:tc>
          <w:tcPr>
            <w:tcW w:w="1559" w:type="dxa"/>
            <w:noWrap/>
          </w:tcPr>
          <w:p w14:paraId="35265AA2" w14:textId="77777777" w:rsidR="009D0006" w:rsidRPr="00BC3468" w:rsidRDefault="009D0006" w:rsidP="00841AEF">
            <w:pPr>
              <w:pStyle w:val="Tabletext"/>
            </w:pPr>
            <w:r>
              <w:t>68</w:t>
            </w:r>
          </w:p>
        </w:tc>
        <w:tc>
          <w:tcPr>
            <w:tcW w:w="1559" w:type="dxa"/>
            <w:noWrap/>
          </w:tcPr>
          <w:p w14:paraId="1B6FC701" w14:textId="77777777" w:rsidR="009D0006" w:rsidRPr="00BC3468" w:rsidRDefault="009D0006" w:rsidP="00841AEF">
            <w:pPr>
              <w:pStyle w:val="Tabletext"/>
            </w:pPr>
            <w:r>
              <w:t>54.8</w:t>
            </w:r>
          </w:p>
        </w:tc>
      </w:tr>
      <w:tr w:rsidR="009D0006" w:rsidRPr="00BC3468" w14:paraId="69993976" w14:textId="77777777" w:rsidTr="00841AEF">
        <w:trPr>
          <w:cnfStyle w:val="000000010000" w:firstRow="0" w:lastRow="0" w:firstColumn="0" w:lastColumn="0" w:oddVBand="0" w:evenVBand="0" w:oddHBand="0" w:evenHBand="1" w:firstRowFirstColumn="0" w:firstRowLastColumn="0" w:lastRowFirstColumn="0" w:lastRowLastColumn="0"/>
          <w:trHeight w:val="294"/>
        </w:trPr>
        <w:tc>
          <w:tcPr>
            <w:tcW w:w="6746" w:type="dxa"/>
            <w:noWrap/>
            <w:hideMark/>
          </w:tcPr>
          <w:p w14:paraId="63541FE7" w14:textId="77777777" w:rsidR="009D0006" w:rsidRPr="00BC3468" w:rsidRDefault="009D0006" w:rsidP="00841AEF">
            <w:pPr>
              <w:pStyle w:val="Tabletext"/>
            </w:pPr>
            <w:r>
              <w:rPr>
                <w:lang w:val="en-US"/>
              </w:rPr>
              <w:t>Ever</w:t>
            </w:r>
          </w:p>
        </w:tc>
        <w:tc>
          <w:tcPr>
            <w:tcW w:w="1559" w:type="dxa"/>
            <w:noWrap/>
          </w:tcPr>
          <w:p w14:paraId="2D58C16D" w14:textId="77777777" w:rsidR="009D0006" w:rsidRPr="00BC3468" w:rsidRDefault="009D0006" w:rsidP="00841AEF">
            <w:pPr>
              <w:pStyle w:val="Tabletext"/>
            </w:pPr>
            <w:r>
              <w:t>104</w:t>
            </w:r>
          </w:p>
        </w:tc>
        <w:tc>
          <w:tcPr>
            <w:tcW w:w="1559" w:type="dxa"/>
            <w:noWrap/>
          </w:tcPr>
          <w:p w14:paraId="41014AA3" w14:textId="77777777" w:rsidR="009D0006" w:rsidRPr="00BC3468" w:rsidRDefault="009D0006" w:rsidP="00841AEF">
            <w:pPr>
              <w:pStyle w:val="Tabletext"/>
            </w:pPr>
            <w:r>
              <w:t>83.9</w:t>
            </w:r>
          </w:p>
        </w:tc>
      </w:tr>
    </w:tbl>
    <w:p w14:paraId="363E5370" w14:textId="77777777" w:rsidR="009D0006" w:rsidRDefault="009D0006" w:rsidP="00841AEF">
      <w:pPr>
        <w:pStyle w:val="Tableheading"/>
      </w:pPr>
      <w:r>
        <w:t>Table 131.</w:t>
      </w:r>
      <w:r>
        <w:lastRenderedPageBreak/>
        <w:t>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F4C7B79" w14:textId="77777777" w:rsidTr="00841AEF">
        <w:trPr>
          <w:cnfStyle w:val="100000000000" w:firstRow="1" w:lastRow="0" w:firstColumn="0" w:lastColumn="0" w:oddVBand="0" w:evenVBand="0" w:oddHBand="0" w:evenHBand="0" w:firstRowFirstColumn="0" w:firstRowLastColumn="0" w:lastRowFirstColumn="0" w:lastRowLastColumn="0"/>
          <w:trHeight w:val="271"/>
        </w:trPr>
        <w:tc>
          <w:tcPr>
            <w:tcW w:w="6746" w:type="dxa"/>
            <w:noWrap/>
            <w:hideMark/>
          </w:tcPr>
          <w:p w14:paraId="1013B4ED" w14:textId="77777777" w:rsidR="009D0006" w:rsidRPr="00030452" w:rsidRDefault="009D0006" w:rsidP="00841AEF">
            <w:pPr>
              <w:pStyle w:val="Tableheader"/>
              <w:rPr>
                <w:bCs/>
              </w:rPr>
            </w:pPr>
            <w:r w:rsidRPr="00030452">
              <w:t>Suicidal ideation</w:t>
            </w:r>
          </w:p>
        </w:tc>
        <w:tc>
          <w:tcPr>
            <w:tcW w:w="1559" w:type="dxa"/>
          </w:tcPr>
          <w:p w14:paraId="5F109547" w14:textId="77777777" w:rsidR="009D0006" w:rsidRPr="003845BC" w:rsidRDefault="009D0006" w:rsidP="00841AEF">
            <w:pPr>
              <w:pStyle w:val="Tableheader"/>
              <w:rPr>
                <w:bCs/>
              </w:rPr>
            </w:pPr>
            <w:r w:rsidRPr="003845BC">
              <w:rPr>
                <w:bCs/>
              </w:rPr>
              <w:t>n</w:t>
            </w:r>
          </w:p>
        </w:tc>
        <w:tc>
          <w:tcPr>
            <w:tcW w:w="1559" w:type="dxa"/>
          </w:tcPr>
          <w:p w14:paraId="1A3BB2F1" w14:textId="77777777" w:rsidR="009D0006" w:rsidRPr="003845BC" w:rsidRDefault="009D0006" w:rsidP="00841AEF">
            <w:pPr>
              <w:pStyle w:val="Tableheader"/>
              <w:rPr>
                <w:bCs/>
              </w:rPr>
            </w:pPr>
            <w:r w:rsidRPr="003845BC">
              <w:rPr>
                <w:bCs/>
              </w:rPr>
              <w:t>%</w:t>
            </w:r>
          </w:p>
        </w:tc>
      </w:tr>
      <w:tr w:rsidR="009D0006" w:rsidRPr="00BC3468" w14:paraId="07699CA1" w14:textId="77777777" w:rsidTr="00841AEF">
        <w:trPr>
          <w:cnfStyle w:val="000000100000" w:firstRow="0" w:lastRow="0" w:firstColumn="0" w:lastColumn="0" w:oddVBand="0" w:evenVBand="0" w:oddHBand="1" w:evenHBand="0" w:firstRowFirstColumn="0" w:firstRowLastColumn="0" w:lastRowFirstColumn="0" w:lastRowLastColumn="0"/>
          <w:trHeight w:val="137"/>
        </w:trPr>
        <w:tc>
          <w:tcPr>
            <w:tcW w:w="6746" w:type="dxa"/>
            <w:noWrap/>
            <w:hideMark/>
          </w:tcPr>
          <w:p w14:paraId="3429CC71" w14:textId="77777777" w:rsidR="009D0006" w:rsidRPr="00BC3468" w:rsidRDefault="009D0006" w:rsidP="00841AEF">
            <w:pPr>
              <w:pStyle w:val="Tabletext"/>
            </w:pPr>
            <w:r>
              <w:rPr>
                <w:lang w:val="en-US"/>
              </w:rPr>
              <w:t>Past 12 months</w:t>
            </w:r>
          </w:p>
        </w:tc>
        <w:tc>
          <w:tcPr>
            <w:tcW w:w="1559" w:type="dxa"/>
          </w:tcPr>
          <w:p w14:paraId="4294CBB7" w14:textId="77777777" w:rsidR="009D0006" w:rsidRPr="00BC3468" w:rsidRDefault="009D0006" w:rsidP="00841AEF">
            <w:pPr>
              <w:pStyle w:val="Tabletext"/>
            </w:pPr>
            <w:r>
              <w:t>127</w:t>
            </w:r>
          </w:p>
        </w:tc>
        <w:tc>
          <w:tcPr>
            <w:tcW w:w="1559" w:type="dxa"/>
          </w:tcPr>
          <w:p w14:paraId="6157FBF4" w14:textId="77777777" w:rsidR="009D0006" w:rsidRPr="00BC3468" w:rsidRDefault="009D0006" w:rsidP="00841AEF">
            <w:pPr>
              <w:pStyle w:val="Tabletext"/>
            </w:pPr>
            <w:r>
              <w:t>59.6</w:t>
            </w:r>
          </w:p>
        </w:tc>
      </w:tr>
      <w:tr w:rsidR="009D0006" w:rsidRPr="00BC3468" w14:paraId="35914E7C" w14:textId="77777777" w:rsidTr="00841AEF">
        <w:trPr>
          <w:cnfStyle w:val="000000010000" w:firstRow="0" w:lastRow="0" w:firstColumn="0" w:lastColumn="0" w:oddVBand="0" w:evenVBand="0" w:oddHBand="0" w:evenHBand="1" w:firstRowFirstColumn="0" w:firstRowLastColumn="0" w:lastRowFirstColumn="0" w:lastRowLastColumn="0"/>
          <w:trHeight w:val="271"/>
        </w:trPr>
        <w:tc>
          <w:tcPr>
            <w:tcW w:w="6746" w:type="dxa"/>
            <w:noWrap/>
            <w:hideMark/>
          </w:tcPr>
          <w:p w14:paraId="79AA8FEC" w14:textId="77777777" w:rsidR="009D0006" w:rsidRPr="00BC3468" w:rsidRDefault="009D0006" w:rsidP="00841AEF">
            <w:pPr>
              <w:pStyle w:val="Tabletext"/>
            </w:pPr>
            <w:r>
              <w:rPr>
                <w:lang w:val="en-US"/>
              </w:rPr>
              <w:t>Ever</w:t>
            </w:r>
          </w:p>
        </w:tc>
        <w:tc>
          <w:tcPr>
            <w:tcW w:w="1559" w:type="dxa"/>
          </w:tcPr>
          <w:p w14:paraId="1F603CDC" w14:textId="77777777" w:rsidR="009D0006" w:rsidRPr="00BC3468" w:rsidRDefault="009D0006" w:rsidP="00841AEF">
            <w:pPr>
              <w:pStyle w:val="Tabletext"/>
            </w:pPr>
            <w:r>
              <w:t>179</w:t>
            </w:r>
          </w:p>
        </w:tc>
        <w:tc>
          <w:tcPr>
            <w:tcW w:w="1559" w:type="dxa"/>
          </w:tcPr>
          <w:p w14:paraId="4A0B7B98" w14:textId="77777777" w:rsidR="009D0006" w:rsidRPr="00BC3468" w:rsidRDefault="009D0006" w:rsidP="00841AEF">
            <w:pPr>
              <w:pStyle w:val="Tabletext"/>
            </w:pPr>
            <w:r>
              <w:t>84.0</w:t>
            </w:r>
          </w:p>
        </w:tc>
      </w:tr>
    </w:tbl>
    <w:p w14:paraId="227CC3D7" w14:textId="77777777" w:rsidR="009D0006" w:rsidRDefault="009D0006" w:rsidP="00AB4A74">
      <w:pPr>
        <w:spacing w:before="360"/>
      </w:pPr>
      <w:r>
        <w:t>As shown in Tables 131.1-131.7, more than half of p</w:t>
      </w:r>
      <w:r w:rsidRPr="003271DA">
        <w:t xml:space="preserve">articipants with disability in </w:t>
      </w:r>
      <w:r w:rsidRPr="003A23CB">
        <w:rPr>
          <w:i/>
          <w:iCs/>
        </w:rPr>
        <w:t>Private Lives 3</w:t>
      </w:r>
      <w:r>
        <w:t xml:space="preserve"> across all sexual orientations had experienced suicidal ideation in the past 12 months. </w:t>
      </w:r>
      <w:r w:rsidRPr="005910DE">
        <w:t xml:space="preserve">This compares to 2.3% in the past 12 months among the general Australian population </w:t>
      </w:r>
      <w:r w:rsidRPr="005910DE">
        <w:fldChar w:fldCharType="begin"/>
      </w:r>
      <w:r>
        <w:instrText xml:space="preserve"> ADDIN ZOTERO_ITEM CSL_CITATION {"citationID":"MB9cAbus","properties":{"formattedCitation":"(66)","plainCitation":"(66)","noteIndex":0},"citationItems":[{"id":"hc6yy1rM/1TRMV6wU","uris":["http://zotero.org/users/4948307/items/PBRBSGQN"],"itemData":{"id":185,"type":"article-journal","abstract":"Objectives: To provide an overview of the lifetime and 12 month prevalence of suicidal ideation, suicide plans and suicide attempts for Australian adults as a whole and for particular sociodemographic and clinical population subgroups, and to explore the health service use of people with suicidality.Method: Data came from the 2007 National Survey of Mental Health and Wellbeing (2007 NSMHWB), a nationally, representative household survey of 8841 individuals aged 16?85 years.Results: A total of 13.3% of respondents had suicidal ideation during their lifetime, 4.0% had made a suicide plan and 3.2% had made a suicide attempt. The equivalent 12 month prevalence rates were 2.3%, 0.6% and 0.4%, for ideation, plans and attempts, respectively. In general, suicidality in the previous 12 months tended to be relatively more common in women, younger people, those outside the labour force, and those with mental disorders; and less common in those who were married or in de facto relationships, and those with moderate levels of education. A number of the differences in prevalence rates between sociodemographic and clinical subgroups did not reach statistical significance due to data availability constraints and the conservative tests of significance that were used by necessity. These patterns warrant further exploration. Service use for mental health problems was higher among people with suicidality than it was among the general population, but significant numbers of those experiencing suicidality did not receive treatment.Conclusions: Suicidal thoughts and behaviours are not uncommon among the Australian adult population. These thoughts and behaviours are not only predictive of subsequent fatal suicidal acts, but are significant public health problems in their own right. They are associated with high levels of burden at an individual and societal level. Further analysis is required to assess the effectiveness of the national policy frameworks in reducing the spectrum of suicidal thoughts and behaviours.","container-title":"Australian &amp; New Zealand Journal of Psychiatry","DOI":"10.1080/00048670902970874","ISSN":"0004-8674","issue":"7","journalAbbreviation":"Aust N Z J Psychiatry","note":"publisher: SAGE Publications Ltd","page":"635-643","title":"Suicidal Thoughts and Behaviours Among Australian Adults: Findings from the 2007 National Survey of Mental Health and Wellbeing","volume":"43","author":[{"family":"Johnston","given":"Amy K."},{"family":"Pirkis","given":"Jane E."},{"family":"Burgess","given":"Philip M."}],"issued":{"date-parts":[["2009",1,1]]}}}],"schema":"https://github.com/citation-style-language/schema/raw/master/csl-citation.json"} </w:instrText>
      </w:r>
      <w:r w:rsidRPr="005910DE">
        <w:fldChar w:fldCharType="separate"/>
      </w:r>
      <w:r>
        <w:rPr>
          <w:lang w:val="en-GB"/>
        </w:rPr>
        <w:t>(66)</w:t>
      </w:r>
      <w:r w:rsidRPr="005910DE">
        <w:fldChar w:fldCharType="end"/>
      </w:r>
      <w:r w:rsidRPr="005910DE">
        <w:t xml:space="preserve">. </w:t>
      </w:r>
      <w:r>
        <w:t>The highest proportion of participants who had experienced suicidal ideation in the past 12 months identified as queer (70.8%; n = 301). This was followed by participants who identified as pansexual (64.6%; n = 179), participants who identified as bisexual (61.9%; n = 395), participants who identified as something else (59.6%; n = 127), participants who identified as asexual (54.8%; n = 68), participants who identified as lesbian (53.6%; n = 274) and participants who identified as gay (51.3%; n = 217).</w:t>
      </w:r>
    </w:p>
    <w:p w14:paraId="2771CBF3" w14:textId="77777777" w:rsidR="009D0006" w:rsidRPr="003A23CB" w:rsidRDefault="009D0006" w:rsidP="009D0006">
      <w:r>
        <w:t>The majority of participants across all sexual orientations had experienced suicidal ideation ever in their lifetime. More than 90% of participants who identified as pansexual (94.6%; n = 262) or queer (94.4%; n = 401) had ever experienced suicidal ideation in their lifetime. Almost 90% of participants who identified as bisexual had ever experienced suicidal ideation in their lifetime (89.0%; n = 568), followed by participants who identified as lesbian (88.1%; n = 450), participants who identified as something else (84.0%; n = 179), participants who identified as asexual (83.9%; n = 104) and participants who identified as gay (80.1%; n = 339).</w:t>
      </w:r>
    </w:p>
    <w:p w14:paraId="60305CCE" w14:textId="3A652D84" w:rsidR="0075118A" w:rsidRPr="0075118A" w:rsidRDefault="009D0006" w:rsidP="0075118A">
      <w:pPr>
        <w:pStyle w:val="Heading3Numbered"/>
        <w:rPr>
          <w:lang w:val="en-GB"/>
        </w:rPr>
      </w:pPr>
      <w:bookmarkStart w:id="976" w:name="_Toc115968686"/>
      <w:r w:rsidRPr="00C5739E">
        <w:t>Suicide attempts</w:t>
      </w:r>
      <w:r>
        <w:t xml:space="preserve"> </w:t>
      </w:r>
      <w:r w:rsidRPr="00C5739E">
        <w:t>– young people aged 14-</w:t>
      </w:r>
      <w:r>
        <w:t>21</w:t>
      </w:r>
      <w:r w:rsidRPr="00C5739E">
        <w:t xml:space="preserve"> year</w:t>
      </w:r>
      <w:r w:rsidR="0075118A">
        <w:t>s</w:t>
      </w:r>
    </w:p>
    <w:p w14:paraId="747C99DA" w14:textId="03CA8D8A" w:rsidR="009D0006" w:rsidRDefault="009D0006" w:rsidP="00841AEF">
      <w:pPr>
        <w:pStyle w:val="Tableheading"/>
      </w:pPr>
      <w:bookmarkStart w:id="977" w:name="_Toc117062849"/>
      <w:bookmarkStart w:id="978" w:name="_Toc119651534"/>
      <w:bookmarkEnd w:id="976"/>
      <w:r w:rsidRPr="00AE109A">
        <w:rPr>
          <w:bCs/>
        </w:rPr>
        <w:t>Table</w:t>
      </w:r>
      <w:r>
        <w:rPr>
          <w:bCs/>
        </w:rPr>
        <w:t>s</w:t>
      </w:r>
      <w:r w:rsidRPr="00AE109A">
        <w:rPr>
          <w:bCs/>
        </w:rPr>
        <w:t xml:space="preserve"> </w:t>
      </w:r>
      <w:r w:rsidRPr="00AE109A">
        <w:rPr>
          <w:bCs/>
        </w:rPr>
        <w:fldChar w:fldCharType="begin"/>
      </w:r>
      <w:r w:rsidRPr="00AE109A">
        <w:rPr>
          <w:bCs/>
        </w:rPr>
        <w:instrText xml:space="preserve"> SEQ Table \* ARABIC </w:instrText>
      </w:r>
      <w:r w:rsidRPr="00AE109A">
        <w:rPr>
          <w:bCs/>
        </w:rPr>
        <w:fldChar w:fldCharType="separate"/>
      </w:r>
      <w:r>
        <w:rPr>
          <w:bCs/>
          <w:noProof/>
        </w:rPr>
        <w:t>132</w:t>
      </w:r>
      <w:r w:rsidRPr="00AE109A">
        <w:rPr>
          <w:bCs/>
        </w:rPr>
        <w:fldChar w:fldCharType="end"/>
      </w:r>
      <w:r>
        <w:rPr>
          <w:bCs/>
        </w:rPr>
        <w:t>.1-132.7</w:t>
      </w:r>
      <w:r>
        <w:t xml:space="preserve">: </w:t>
      </w:r>
      <w:r w:rsidRPr="00C5739E">
        <w:t>Suicid</w:t>
      </w:r>
      <w:r>
        <w:t>e attempts</w:t>
      </w:r>
      <w:r w:rsidRPr="00C5739E">
        <w:t xml:space="preserve"> </w:t>
      </w:r>
      <w:r>
        <w:t>among young people with disability aged 14-21 years, grouped</w:t>
      </w:r>
      <w:r w:rsidRPr="00C5739E">
        <w:t xml:space="preserve"> by </w:t>
      </w:r>
      <w:r>
        <w:t xml:space="preserve">sexual orientation </w:t>
      </w:r>
      <w:r w:rsidRPr="00C5739E">
        <w:t xml:space="preserve">(n = </w:t>
      </w:r>
      <w:r>
        <w:t>2463</w:t>
      </w:r>
      <w:r w:rsidRPr="00C5739E">
        <w:t>)</w:t>
      </w:r>
      <w:bookmarkEnd w:id="977"/>
      <w:bookmarkEnd w:id="978"/>
    </w:p>
    <w:p w14:paraId="6B274677" w14:textId="77777777" w:rsidR="009D0006" w:rsidRPr="004B5CDE" w:rsidRDefault="009D0006" w:rsidP="00841AEF">
      <w:pPr>
        <w:pStyle w:val="Tableheading"/>
        <w:rPr>
          <w:color w:val="auto"/>
        </w:rPr>
      </w:pPr>
      <w:r>
        <w:rPr>
          <w:color w:val="auto"/>
        </w:rPr>
        <w:t>Table 132.1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3D337AC0" w14:textId="77777777" w:rsidTr="00841AEF">
        <w:trPr>
          <w:cnfStyle w:val="100000000000" w:firstRow="1" w:lastRow="0" w:firstColumn="0" w:lastColumn="0" w:oddVBand="0" w:evenVBand="0" w:oddHBand="0" w:evenHBand="0" w:firstRowFirstColumn="0" w:firstRowLastColumn="0" w:lastRowFirstColumn="0" w:lastRowLastColumn="0"/>
          <w:trHeight w:val="305"/>
        </w:trPr>
        <w:tc>
          <w:tcPr>
            <w:tcW w:w="6746" w:type="dxa"/>
            <w:noWrap/>
            <w:hideMark/>
          </w:tcPr>
          <w:p w14:paraId="5CC73040" w14:textId="77777777" w:rsidR="009D0006" w:rsidRPr="00030452" w:rsidRDefault="009D0006" w:rsidP="00841AEF">
            <w:pPr>
              <w:pStyle w:val="Tableheader"/>
              <w:rPr>
                <w:bCs/>
              </w:rPr>
            </w:pPr>
            <w:r w:rsidRPr="00030452">
              <w:t>Suicid</w:t>
            </w:r>
            <w:r>
              <w:t>e attempt</w:t>
            </w:r>
          </w:p>
        </w:tc>
        <w:tc>
          <w:tcPr>
            <w:tcW w:w="1559" w:type="dxa"/>
            <w:noWrap/>
            <w:hideMark/>
          </w:tcPr>
          <w:p w14:paraId="6092EC2D" w14:textId="77777777" w:rsidR="009D0006" w:rsidRPr="003845BC" w:rsidRDefault="009D0006" w:rsidP="00841AEF">
            <w:pPr>
              <w:pStyle w:val="Tableheader"/>
              <w:rPr>
                <w:bCs/>
              </w:rPr>
            </w:pPr>
            <w:r w:rsidRPr="003845BC">
              <w:rPr>
                <w:bCs/>
              </w:rPr>
              <w:t>n</w:t>
            </w:r>
          </w:p>
        </w:tc>
        <w:tc>
          <w:tcPr>
            <w:tcW w:w="1559" w:type="dxa"/>
            <w:noWrap/>
            <w:hideMark/>
          </w:tcPr>
          <w:p w14:paraId="7F7B6DE2" w14:textId="77777777" w:rsidR="009D0006" w:rsidRPr="003845BC" w:rsidRDefault="009D0006" w:rsidP="00841AEF">
            <w:pPr>
              <w:pStyle w:val="Tableheader"/>
              <w:rPr>
                <w:bCs/>
              </w:rPr>
            </w:pPr>
            <w:r w:rsidRPr="003845BC">
              <w:rPr>
                <w:bCs/>
              </w:rPr>
              <w:t>%</w:t>
            </w:r>
          </w:p>
        </w:tc>
      </w:tr>
      <w:tr w:rsidR="009D0006" w:rsidRPr="00BC3468" w14:paraId="614C1A8D" w14:textId="77777777" w:rsidTr="00841AEF">
        <w:trPr>
          <w:cnfStyle w:val="000000100000" w:firstRow="0" w:lastRow="0" w:firstColumn="0" w:lastColumn="0" w:oddVBand="0" w:evenVBand="0" w:oddHBand="1" w:evenHBand="0" w:firstRowFirstColumn="0" w:firstRowLastColumn="0" w:lastRowFirstColumn="0" w:lastRowLastColumn="0"/>
          <w:trHeight w:val="154"/>
        </w:trPr>
        <w:tc>
          <w:tcPr>
            <w:tcW w:w="6746" w:type="dxa"/>
            <w:noWrap/>
            <w:hideMark/>
          </w:tcPr>
          <w:p w14:paraId="7AF8F721" w14:textId="77777777" w:rsidR="009D0006" w:rsidRPr="00BC3468" w:rsidRDefault="009D0006" w:rsidP="00841AEF">
            <w:pPr>
              <w:pStyle w:val="Tabletext"/>
            </w:pPr>
            <w:r>
              <w:rPr>
                <w:lang w:val="en-US"/>
              </w:rPr>
              <w:t>Past 12 months</w:t>
            </w:r>
          </w:p>
        </w:tc>
        <w:tc>
          <w:tcPr>
            <w:tcW w:w="1559" w:type="dxa"/>
            <w:noWrap/>
          </w:tcPr>
          <w:p w14:paraId="3C2DB5F5" w14:textId="77777777" w:rsidR="009D0006" w:rsidRPr="00BC3468" w:rsidRDefault="009D0006" w:rsidP="00841AEF">
            <w:pPr>
              <w:pStyle w:val="Tabletext"/>
            </w:pPr>
            <w:r>
              <w:t>69</w:t>
            </w:r>
          </w:p>
        </w:tc>
        <w:tc>
          <w:tcPr>
            <w:tcW w:w="1559" w:type="dxa"/>
            <w:noWrap/>
          </w:tcPr>
          <w:p w14:paraId="40AA5357" w14:textId="77777777" w:rsidR="009D0006" w:rsidRPr="00BC3468" w:rsidRDefault="009D0006" w:rsidP="00841AEF">
            <w:pPr>
              <w:pStyle w:val="Tabletext"/>
            </w:pPr>
            <w:r>
              <w:t>20.6</w:t>
            </w:r>
          </w:p>
        </w:tc>
      </w:tr>
      <w:tr w:rsidR="009D0006" w:rsidRPr="00BC3468" w14:paraId="6FF1941A" w14:textId="77777777" w:rsidTr="00841AEF">
        <w:trPr>
          <w:cnfStyle w:val="000000010000" w:firstRow="0" w:lastRow="0" w:firstColumn="0" w:lastColumn="0" w:oddVBand="0" w:evenVBand="0" w:oddHBand="0" w:evenHBand="1" w:firstRowFirstColumn="0" w:firstRowLastColumn="0" w:lastRowFirstColumn="0" w:lastRowLastColumn="0"/>
          <w:trHeight w:val="305"/>
        </w:trPr>
        <w:tc>
          <w:tcPr>
            <w:tcW w:w="6746" w:type="dxa"/>
            <w:noWrap/>
            <w:hideMark/>
          </w:tcPr>
          <w:p w14:paraId="3FA38D48" w14:textId="77777777" w:rsidR="009D0006" w:rsidRPr="00BC3468" w:rsidRDefault="009D0006" w:rsidP="00841AEF">
            <w:pPr>
              <w:pStyle w:val="Tabletext"/>
            </w:pPr>
            <w:r>
              <w:rPr>
                <w:lang w:val="en-US"/>
              </w:rPr>
              <w:t>Ever</w:t>
            </w:r>
          </w:p>
        </w:tc>
        <w:tc>
          <w:tcPr>
            <w:tcW w:w="1559" w:type="dxa"/>
            <w:noWrap/>
          </w:tcPr>
          <w:p w14:paraId="006FD8E1" w14:textId="77777777" w:rsidR="009D0006" w:rsidRPr="00BC3468" w:rsidRDefault="009D0006" w:rsidP="00841AEF">
            <w:pPr>
              <w:pStyle w:val="Tabletext"/>
            </w:pPr>
            <w:r>
              <w:t>151</w:t>
            </w:r>
          </w:p>
        </w:tc>
        <w:tc>
          <w:tcPr>
            <w:tcW w:w="1559" w:type="dxa"/>
            <w:noWrap/>
          </w:tcPr>
          <w:p w14:paraId="5DDFDB6C" w14:textId="77777777" w:rsidR="009D0006" w:rsidRPr="00BC3468" w:rsidRDefault="009D0006" w:rsidP="00841AEF">
            <w:pPr>
              <w:pStyle w:val="Tabletext"/>
            </w:pPr>
            <w:r>
              <w:t>45.1</w:t>
            </w:r>
          </w:p>
        </w:tc>
      </w:tr>
    </w:tbl>
    <w:p w14:paraId="039604E7" w14:textId="77777777" w:rsidR="00650B64" w:rsidRDefault="00650B64">
      <w:pPr>
        <w:spacing w:before="0"/>
        <w:rPr>
          <w:rFonts w:eastAsiaTheme="majorEastAsia" w:cstheme="majorBidi"/>
          <w:b/>
          <w:color w:val="000000" w:themeColor="text1"/>
          <w:lang w:val="en-GB"/>
        </w:rPr>
      </w:pPr>
      <w:r>
        <w:rPr>
          <w:lang w:val="en-GB"/>
        </w:rPr>
        <w:br w:type="page"/>
      </w:r>
    </w:p>
    <w:p w14:paraId="21CB94E5" w14:textId="343580AC" w:rsidR="009D0006" w:rsidRDefault="009D0006" w:rsidP="00841AEF">
      <w:pPr>
        <w:pStyle w:val="Tableheading"/>
        <w:rPr>
          <w:lang w:val="en-GB"/>
        </w:rPr>
      </w:pPr>
      <w:r>
        <w:rPr>
          <w:lang w:val="en-GB"/>
        </w:rPr>
        <w:t>Table 132.</w:t>
      </w:r>
      <w:r>
        <w:rPr>
          <w:lang w:val="en-GB"/>
        </w:rPr>
        <w:lastRenderedPageBreak/>
        <w:t>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B2B306B" w14:textId="77777777" w:rsidTr="00841AEF">
        <w:trPr>
          <w:cnfStyle w:val="100000000000" w:firstRow="1" w:lastRow="0" w:firstColumn="0" w:lastColumn="0" w:oddVBand="0" w:evenVBand="0" w:oddHBand="0" w:evenHBand="0" w:firstRowFirstColumn="0" w:firstRowLastColumn="0" w:lastRowFirstColumn="0" w:lastRowLastColumn="0"/>
          <w:trHeight w:val="342"/>
        </w:trPr>
        <w:tc>
          <w:tcPr>
            <w:tcW w:w="6746" w:type="dxa"/>
            <w:noWrap/>
            <w:hideMark/>
          </w:tcPr>
          <w:p w14:paraId="1A1BDAF4" w14:textId="77777777" w:rsidR="009D0006" w:rsidRPr="00030452" w:rsidRDefault="009D0006" w:rsidP="00841AEF">
            <w:pPr>
              <w:pStyle w:val="Tableheader"/>
              <w:rPr>
                <w:bCs/>
              </w:rPr>
            </w:pPr>
            <w:r w:rsidRPr="00030452">
              <w:t>Suicid</w:t>
            </w:r>
            <w:r>
              <w:t>e attempt</w:t>
            </w:r>
          </w:p>
        </w:tc>
        <w:tc>
          <w:tcPr>
            <w:tcW w:w="1559" w:type="dxa"/>
            <w:noWrap/>
            <w:hideMark/>
          </w:tcPr>
          <w:p w14:paraId="39AB7A3D" w14:textId="77777777" w:rsidR="009D0006" w:rsidRPr="00814B85" w:rsidRDefault="009D0006" w:rsidP="00841AEF">
            <w:pPr>
              <w:pStyle w:val="Tableheader"/>
              <w:rPr>
                <w:bCs/>
              </w:rPr>
            </w:pPr>
            <w:r w:rsidRPr="00814B85">
              <w:rPr>
                <w:bCs/>
              </w:rPr>
              <w:t>n</w:t>
            </w:r>
          </w:p>
        </w:tc>
        <w:tc>
          <w:tcPr>
            <w:tcW w:w="1559" w:type="dxa"/>
            <w:noWrap/>
            <w:hideMark/>
          </w:tcPr>
          <w:p w14:paraId="027D4776" w14:textId="77777777" w:rsidR="009D0006" w:rsidRPr="00814B85" w:rsidRDefault="009D0006" w:rsidP="00841AEF">
            <w:pPr>
              <w:pStyle w:val="Tableheader"/>
              <w:rPr>
                <w:bCs/>
              </w:rPr>
            </w:pPr>
            <w:r w:rsidRPr="00814B85">
              <w:rPr>
                <w:bCs/>
              </w:rPr>
              <w:t>%</w:t>
            </w:r>
          </w:p>
        </w:tc>
      </w:tr>
      <w:tr w:rsidR="009D0006" w:rsidRPr="00BC3468" w14:paraId="1306361B" w14:textId="77777777" w:rsidTr="00841AEF">
        <w:trPr>
          <w:cnfStyle w:val="000000100000" w:firstRow="0" w:lastRow="0" w:firstColumn="0" w:lastColumn="0" w:oddVBand="0" w:evenVBand="0" w:oddHBand="1" w:evenHBand="0" w:firstRowFirstColumn="0" w:firstRowLastColumn="0" w:lastRowFirstColumn="0" w:lastRowLastColumn="0"/>
          <w:trHeight w:val="173"/>
        </w:trPr>
        <w:tc>
          <w:tcPr>
            <w:tcW w:w="6746" w:type="dxa"/>
            <w:noWrap/>
            <w:hideMark/>
          </w:tcPr>
          <w:p w14:paraId="62ED3557" w14:textId="77777777" w:rsidR="009D0006" w:rsidRPr="00BC3468" w:rsidRDefault="009D0006" w:rsidP="00841AEF">
            <w:pPr>
              <w:pStyle w:val="Tabletext"/>
            </w:pPr>
            <w:r>
              <w:rPr>
                <w:lang w:val="en-US"/>
              </w:rPr>
              <w:t>Past 12 months</w:t>
            </w:r>
          </w:p>
        </w:tc>
        <w:tc>
          <w:tcPr>
            <w:tcW w:w="1559" w:type="dxa"/>
            <w:noWrap/>
          </w:tcPr>
          <w:p w14:paraId="41242B7D" w14:textId="77777777" w:rsidR="009D0006" w:rsidRPr="00BC3468" w:rsidRDefault="009D0006" w:rsidP="00841AEF">
            <w:pPr>
              <w:pStyle w:val="Tabletext"/>
            </w:pPr>
            <w:r>
              <w:t>44</w:t>
            </w:r>
          </w:p>
        </w:tc>
        <w:tc>
          <w:tcPr>
            <w:tcW w:w="1559" w:type="dxa"/>
            <w:noWrap/>
          </w:tcPr>
          <w:p w14:paraId="23A52EEE" w14:textId="77777777" w:rsidR="009D0006" w:rsidRPr="00BC3468" w:rsidRDefault="009D0006" w:rsidP="00841AEF">
            <w:pPr>
              <w:pStyle w:val="Tabletext"/>
            </w:pPr>
            <w:r>
              <w:t>15.8</w:t>
            </w:r>
          </w:p>
        </w:tc>
      </w:tr>
      <w:tr w:rsidR="009D0006" w:rsidRPr="00BC3468" w14:paraId="5ED2A5C4" w14:textId="77777777" w:rsidTr="00841AEF">
        <w:trPr>
          <w:cnfStyle w:val="000000010000" w:firstRow="0" w:lastRow="0" w:firstColumn="0" w:lastColumn="0" w:oddVBand="0" w:evenVBand="0" w:oddHBand="0" w:evenHBand="1" w:firstRowFirstColumn="0" w:firstRowLastColumn="0" w:lastRowFirstColumn="0" w:lastRowLastColumn="0"/>
          <w:trHeight w:val="342"/>
        </w:trPr>
        <w:tc>
          <w:tcPr>
            <w:tcW w:w="6746" w:type="dxa"/>
            <w:noWrap/>
            <w:hideMark/>
          </w:tcPr>
          <w:p w14:paraId="705674E2" w14:textId="77777777" w:rsidR="009D0006" w:rsidRPr="00BC3468" w:rsidRDefault="009D0006" w:rsidP="00841AEF">
            <w:pPr>
              <w:pStyle w:val="Tabletext"/>
            </w:pPr>
            <w:r>
              <w:rPr>
                <w:lang w:val="en-US"/>
              </w:rPr>
              <w:t>Ever</w:t>
            </w:r>
          </w:p>
        </w:tc>
        <w:tc>
          <w:tcPr>
            <w:tcW w:w="1559" w:type="dxa"/>
            <w:noWrap/>
          </w:tcPr>
          <w:p w14:paraId="3FCF0274" w14:textId="77777777" w:rsidR="009D0006" w:rsidRPr="00BC3468" w:rsidRDefault="009D0006" w:rsidP="00841AEF">
            <w:pPr>
              <w:pStyle w:val="Tabletext"/>
            </w:pPr>
            <w:r>
              <w:t>97</w:t>
            </w:r>
          </w:p>
        </w:tc>
        <w:tc>
          <w:tcPr>
            <w:tcW w:w="1559" w:type="dxa"/>
            <w:noWrap/>
          </w:tcPr>
          <w:p w14:paraId="039DFBD4" w14:textId="77777777" w:rsidR="009D0006" w:rsidRPr="00BC3468" w:rsidRDefault="009D0006" w:rsidP="00841AEF">
            <w:pPr>
              <w:pStyle w:val="Tabletext"/>
            </w:pPr>
            <w:r>
              <w:t>34.9</w:t>
            </w:r>
          </w:p>
        </w:tc>
      </w:tr>
    </w:tbl>
    <w:p w14:paraId="522E416B" w14:textId="77777777" w:rsidR="009D0006" w:rsidRDefault="009D0006" w:rsidP="00841AEF">
      <w:pPr>
        <w:pStyle w:val="Tableheading"/>
        <w:rPr>
          <w:lang w:val="en-GB"/>
        </w:rPr>
      </w:pPr>
      <w:r>
        <w:rPr>
          <w:lang w:val="en-GB"/>
        </w:rPr>
        <w:t>Table 132.3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DD589CE" w14:textId="77777777" w:rsidTr="00FD1BCA">
        <w:trPr>
          <w:cnfStyle w:val="100000000000" w:firstRow="1" w:lastRow="0" w:firstColumn="0" w:lastColumn="0" w:oddVBand="0" w:evenVBand="0" w:oddHBand="0" w:evenHBand="0" w:firstRowFirstColumn="0" w:firstRowLastColumn="0" w:lastRowFirstColumn="0" w:lastRowLastColumn="0"/>
          <w:trHeight w:val="306"/>
        </w:trPr>
        <w:tc>
          <w:tcPr>
            <w:tcW w:w="6746" w:type="dxa"/>
            <w:noWrap/>
            <w:hideMark/>
          </w:tcPr>
          <w:p w14:paraId="53909151" w14:textId="77777777" w:rsidR="009D0006" w:rsidRPr="00030452" w:rsidRDefault="009D0006" w:rsidP="00FD1BCA">
            <w:pPr>
              <w:pStyle w:val="Tableheader"/>
              <w:rPr>
                <w:bCs/>
              </w:rPr>
            </w:pPr>
            <w:r w:rsidRPr="00030452">
              <w:t>Suicid</w:t>
            </w:r>
            <w:r>
              <w:t>e attempt</w:t>
            </w:r>
          </w:p>
        </w:tc>
        <w:tc>
          <w:tcPr>
            <w:tcW w:w="1559" w:type="dxa"/>
          </w:tcPr>
          <w:p w14:paraId="6C23BC65" w14:textId="77777777" w:rsidR="009D0006" w:rsidRPr="00814B85" w:rsidRDefault="009D0006" w:rsidP="00FD1BCA">
            <w:pPr>
              <w:pStyle w:val="Tableheader"/>
              <w:rPr>
                <w:bCs/>
              </w:rPr>
            </w:pPr>
            <w:r w:rsidRPr="00814B85">
              <w:rPr>
                <w:bCs/>
              </w:rPr>
              <w:t>n</w:t>
            </w:r>
          </w:p>
        </w:tc>
        <w:tc>
          <w:tcPr>
            <w:tcW w:w="1559" w:type="dxa"/>
          </w:tcPr>
          <w:p w14:paraId="31FF6514" w14:textId="77777777" w:rsidR="009D0006" w:rsidRPr="00814B85" w:rsidRDefault="009D0006" w:rsidP="00FD1BCA">
            <w:pPr>
              <w:pStyle w:val="Tableheader"/>
              <w:rPr>
                <w:bCs/>
              </w:rPr>
            </w:pPr>
            <w:r w:rsidRPr="00814B85">
              <w:rPr>
                <w:bCs/>
              </w:rPr>
              <w:t>%</w:t>
            </w:r>
          </w:p>
        </w:tc>
      </w:tr>
      <w:tr w:rsidR="009D0006" w:rsidRPr="00BC3468" w14:paraId="349A6E23" w14:textId="77777777" w:rsidTr="00FD1BCA">
        <w:trPr>
          <w:cnfStyle w:val="000000100000" w:firstRow="0" w:lastRow="0" w:firstColumn="0" w:lastColumn="0" w:oddVBand="0" w:evenVBand="0" w:oddHBand="1" w:evenHBand="0" w:firstRowFirstColumn="0" w:firstRowLastColumn="0" w:lastRowFirstColumn="0" w:lastRowLastColumn="0"/>
          <w:trHeight w:val="155"/>
        </w:trPr>
        <w:tc>
          <w:tcPr>
            <w:tcW w:w="6746" w:type="dxa"/>
            <w:noWrap/>
            <w:hideMark/>
          </w:tcPr>
          <w:p w14:paraId="74147FFF" w14:textId="77777777" w:rsidR="009D0006" w:rsidRPr="00BC3468" w:rsidRDefault="009D0006" w:rsidP="00FD1BCA">
            <w:pPr>
              <w:pStyle w:val="Tabletext"/>
            </w:pPr>
            <w:r>
              <w:rPr>
                <w:lang w:val="en-US"/>
              </w:rPr>
              <w:t>Past 12 months</w:t>
            </w:r>
          </w:p>
        </w:tc>
        <w:tc>
          <w:tcPr>
            <w:tcW w:w="1559" w:type="dxa"/>
          </w:tcPr>
          <w:p w14:paraId="517F4382" w14:textId="77777777" w:rsidR="009D0006" w:rsidRPr="00BC3468" w:rsidRDefault="009D0006" w:rsidP="00FD1BCA">
            <w:pPr>
              <w:pStyle w:val="Tabletext"/>
            </w:pPr>
            <w:r>
              <w:t>98</w:t>
            </w:r>
          </w:p>
        </w:tc>
        <w:tc>
          <w:tcPr>
            <w:tcW w:w="1559" w:type="dxa"/>
          </w:tcPr>
          <w:p w14:paraId="1A4DC565" w14:textId="77777777" w:rsidR="009D0006" w:rsidRPr="00BC3468" w:rsidRDefault="009D0006" w:rsidP="00FD1BCA">
            <w:pPr>
              <w:pStyle w:val="Tabletext"/>
            </w:pPr>
            <w:r>
              <w:t>12.8</w:t>
            </w:r>
          </w:p>
        </w:tc>
      </w:tr>
      <w:tr w:rsidR="009D0006" w:rsidRPr="00BC3468" w14:paraId="1D331320" w14:textId="77777777" w:rsidTr="00FD1BCA">
        <w:trPr>
          <w:cnfStyle w:val="000000010000" w:firstRow="0" w:lastRow="0" w:firstColumn="0" w:lastColumn="0" w:oddVBand="0" w:evenVBand="0" w:oddHBand="0" w:evenHBand="1" w:firstRowFirstColumn="0" w:firstRowLastColumn="0" w:lastRowFirstColumn="0" w:lastRowLastColumn="0"/>
          <w:trHeight w:val="306"/>
        </w:trPr>
        <w:tc>
          <w:tcPr>
            <w:tcW w:w="6746" w:type="dxa"/>
            <w:noWrap/>
            <w:hideMark/>
          </w:tcPr>
          <w:p w14:paraId="23800245" w14:textId="77777777" w:rsidR="009D0006" w:rsidRPr="00BC3468" w:rsidRDefault="009D0006" w:rsidP="00FD1BCA">
            <w:pPr>
              <w:pStyle w:val="Tabletext"/>
            </w:pPr>
            <w:r>
              <w:rPr>
                <w:lang w:val="en-US"/>
              </w:rPr>
              <w:t>Ever</w:t>
            </w:r>
          </w:p>
        </w:tc>
        <w:tc>
          <w:tcPr>
            <w:tcW w:w="1559" w:type="dxa"/>
          </w:tcPr>
          <w:p w14:paraId="00E3C479" w14:textId="77777777" w:rsidR="009D0006" w:rsidRPr="00BC3468" w:rsidRDefault="009D0006" w:rsidP="00FD1BCA">
            <w:pPr>
              <w:pStyle w:val="Tabletext"/>
            </w:pPr>
            <w:r>
              <w:t>278</w:t>
            </w:r>
          </w:p>
        </w:tc>
        <w:tc>
          <w:tcPr>
            <w:tcW w:w="1559" w:type="dxa"/>
          </w:tcPr>
          <w:p w14:paraId="3CF4FA4C" w14:textId="77777777" w:rsidR="009D0006" w:rsidRPr="00BC3468" w:rsidRDefault="009D0006" w:rsidP="00FD1BCA">
            <w:pPr>
              <w:pStyle w:val="Tabletext"/>
            </w:pPr>
            <w:r>
              <w:t>36.4</w:t>
            </w:r>
          </w:p>
        </w:tc>
      </w:tr>
    </w:tbl>
    <w:p w14:paraId="4B716593" w14:textId="77777777" w:rsidR="009D0006" w:rsidRDefault="009D0006" w:rsidP="00FD1BCA">
      <w:pPr>
        <w:pStyle w:val="Tableheading"/>
        <w:rPr>
          <w:lang w:val="en-GB"/>
        </w:rPr>
      </w:pPr>
      <w:r>
        <w:rPr>
          <w:lang w:val="en-GB"/>
        </w:rPr>
        <w:t>Table 132.4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9D73C6A" w14:textId="77777777" w:rsidTr="00FD1BCA">
        <w:trPr>
          <w:cnfStyle w:val="100000000000" w:firstRow="1" w:lastRow="0" w:firstColumn="0" w:lastColumn="0" w:oddVBand="0" w:evenVBand="0" w:oddHBand="0" w:evenHBand="0" w:firstRowFirstColumn="0" w:firstRowLastColumn="0" w:lastRowFirstColumn="0" w:lastRowLastColumn="0"/>
          <w:trHeight w:val="265"/>
        </w:trPr>
        <w:tc>
          <w:tcPr>
            <w:tcW w:w="6746" w:type="dxa"/>
            <w:noWrap/>
            <w:hideMark/>
          </w:tcPr>
          <w:p w14:paraId="5852A605" w14:textId="77777777" w:rsidR="009D0006" w:rsidRPr="00030452" w:rsidRDefault="009D0006" w:rsidP="00FD1BCA">
            <w:pPr>
              <w:pStyle w:val="Tableheader"/>
              <w:rPr>
                <w:bCs/>
              </w:rPr>
            </w:pPr>
            <w:r w:rsidRPr="00030452">
              <w:t>Suicid</w:t>
            </w:r>
            <w:r>
              <w:t>e attempt</w:t>
            </w:r>
          </w:p>
        </w:tc>
        <w:tc>
          <w:tcPr>
            <w:tcW w:w="1559" w:type="dxa"/>
            <w:noWrap/>
            <w:hideMark/>
          </w:tcPr>
          <w:p w14:paraId="75B8040D" w14:textId="77777777" w:rsidR="009D0006" w:rsidRPr="00814B85" w:rsidRDefault="009D0006" w:rsidP="00FD1BCA">
            <w:pPr>
              <w:pStyle w:val="Tableheader"/>
              <w:rPr>
                <w:bCs/>
              </w:rPr>
            </w:pPr>
            <w:r w:rsidRPr="00814B85">
              <w:rPr>
                <w:bCs/>
              </w:rPr>
              <w:t>n</w:t>
            </w:r>
          </w:p>
        </w:tc>
        <w:tc>
          <w:tcPr>
            <w:tcW w:w="1559" w:type="dxa"/>
            <w:noWrap/>
            <w:hideMark/>
          </w:tcPr>
          <w:p w14:paraId="2F8058B1" w14:textId="77777777" w:rsidR="009D0006" w:rsidRPr="00814B85" w:rsidRDefault="009D0006" w:rsidP="00FD1BCA">
            <w:pPr>
              <w:pStyle w:val="Tableheader"/>
              <w:rPr>
                <w:bCs/>
              </w:rPr>
            </w:pPr>
            <w:r w:rsidRPr="00814B85">
              <w:rPr>
                <w:bCs/>
              </w:rPr>
              <w:t>%</w:t>
            </w:r>
          </w:p>
        </w:tc>
      </w:tr>
      <w:tr w:rsidR="009D0006" w:rsidRPr="00BC3468" w14:paraId="0FA28510" w14:textId="77777777" w:rsidTr="00FD1BCA">
        <w:trPr>
          <w:cnfStyle w:val="000000100000" w:firstRow="0" w:lastRow="0" w:firstColumn="0" w:lastColumn="0" w:oddVBand="0" w:evenVBand="0" w:oddHBand="1" w:evenHBand="0" w:firstRowFirstColumn="0" w:firstRowLastColumn="0" w:lastRowFirstColumn="0" w:lastRowLastColumn="0"/>
          <w:trHeight w:val="134"/>
        </w:trPr>
        <w:tc>
          <w:tcPr>
            <w:tcW w:w="6746" w:type="dxa"/>
            <w:noWrap/>
            <w:hideMark/>
          </w:tcPr>
          <w:p w14:paraId="01359E9B" w14:textId="77777777" w:rsidR="009D0006" w:rsidRPr="00BC3468" w:rsidRDefault="009D0006" w:rsidP="00FD1BCA">
            <w:pPr>
              <w:pStyle w:val="Tabletext"/>
            </w:pPr>
            <w:r>
              <w:rPr>
                <w:lang w:val="en-US"/>
              </w:rPr>
              <w:t>Past 12 months</w:t>
            </w:r>
          </w:p>
        </w:tc>
        <w:tc>
          <w:tcPr>
            <w:tcW w:w="1559" w:type="dxa"/>
            <w:noWrap/>
          </w:tcPr>
          <w:p w14:paraId="01124999" w14:textId="77777777" w:rsidR="009D0006" w:rsidRPr="00BC3468" w:rsidRDefault="009D0006" w:rsidP="00FD1BCA">
            <w:pPr>
              <w:pStyle w:val="Tabletext"/>
            </w:pPr>
            <w:r>
              <w:t>62</w:t>
            </w:r>
          </w:p>
        </w:tc>
        <w:tc>
          <w:tcPr>
            <w:tcW w:w="1559" w:type="dxa"/>
            <w:noWrap/>
          </w:tcPr>
          <w:p w14:paraId="359E2948" w14:textId="77777777" w:rsidR="009D0006" w:rsidRPr="00BC3468" w:rsidRDefault="009D0006" w:rsidP="00FD1BCA">
            <w:pPr>
              <w:pStyle w:val="Tabletext"/>
            </w:pPr>
            <w:r>
              <w:t>17.8</w:t>
            </w:r>
          </w:p>
        </w:tc>
      </w:tr>
      <w:tr w:rsidR="009D0006" w:rsidRPr="00BC3468" w14:paraId="41AA8EDD" w14:textId="77777777" w:rsidTr="00FD1BCA">
        <w:trPr>
          <w:cnfStyle w:val="000000010000" w:firstRow="0" w:lastRow="0" w:firstColumn="0" w:lastColumn="0" w:oddVBand="0" w:evenVBand="0" w:oddHBand="0" w:evenHBand="1" w:firstRowFirstColumn="0" w:firstRowLastColumn="0" w:lastRowFirstColumn="0" w:lastRowLastColumn="0"/>
          <w:trHeight w:val="265"/>
        </w:trPr>
        <w:tc>
          <w:tcPr>
            <w:tcW w:w="6746" w:type="dxa"/>
            <w:noWrap/>
            <w:hideMark/>
          </w:tcPr>
          <w:p w14:paraId="68D77021" w14:textId="77777777" w:rsidR="009D0006" w:rsidRPr="00BC3468" w:rsidRDefault="009D0006" w:rsidP="00FD1BCA">
            <w:pPr>
              <w:pStyle w:val="Tabletext"/>
            </w:pPr>
            <w:r>
              <w:rPr>
                <w:lang w:val="en-US"/>
              </w:rPr>
              <w:t>Ever</w:t>
            </w:r>
          </w:p>
        </w:tc>
        <w:tc>
          <w:tcPr>
            <w:tcW w:w="1559" w:type="dxa"/>
            <w:noWrap/>
          </w:tcPr>
          <w:p w14:paraId="2BF5A078" w14:textId="77777777" w:rsidR="009D0006" w:rsidRPr="00BC3468" w:rsidRDefault="009D0006" w:rsidP="00FD1BCA">
            <w:pPr>
              <w:pStyle w:val="Tabletext"/>
            </w:pPr>
            <w:r>
              <w:t>162</w:t>
            </w:r>
          </w:p>
        </w:tc>
        <w:tc>
          <w:tcPr>
            <w:tcW w:w="1559" w:type="dxa"/>
            <w:noWrap/>
          </w:tcPr>
          <w:p w14:paraId="0919E673" w14:textId="77777777" w:rsidR="009D0006" w:rsidRPr="00BC3468" w:rsidRDefault="009D0006" w:rsidP="00FD1BCA">
            <w:pPr>
              <w:pStyle w:val="Tabletext"/>
            </w:pPr>
            <w:r>
              <w:t>46.4</w:t>
            </w:r>
          </w:p>
        </w:tc>
      </w:tr>
    </w:tbl>
    <w:p w14:paraId="473779E5" w14:textId="77777777" w:rsidR="009D0006" w:rsidRDefault="009D0006" w:rsidP="00FD1BCA">
      <w:pPr>
        <w:pStyle w:val="Tableheading"/>
        <w:rPr>
          <w:lang w:val="en-GB"/>
        </w:rPr>
      </w:pPr>
      <w:r>
        <w:rPr>
          <w:lang w:val="en-GB"/>
        </w:rPr>
        <w:t>Table 132.5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53B1131" w14:textId="77777777" w:rsidTr="00FD1BCA">
        <w:trPr>
          <w:cnfStyle w:val="100000000000" w:firstRow="1" w:lastRow="0" w:firstColumn="0" w:lastColumn="0" w:oddVBand="0" w:evenVBand="0" w:oddHBand="0" w:evenHBand="0" w:firstRowFirstColumn="0" w:firstRowLastColumn="0" w:lastRowFirstColumn="0" w:lastRowLastColumn="0"/>
          <w:trHeight w:val="212"/>
        </w:trPr>
        <w:tc>
          <w:tcPr>
            <w:tcW w:w="6746" w:type="dxa"/>
            <w:noWrap/>
            <w:hideMark/>
          </w:tcPr>
          <w:p w14:paraId="364C1637" w14:textId="77777777" w:rsidR="009D0006" w:rsidRPr="00030452" w:rsidRDefault="009D0006" w:rsidP="00FD1BCA">
            <w:pPr>
              <w:pStyle w:val="Tableheader"/>
              <w:rPr>
                <w:bCs/>
              </w:rPr>
            </w:pPr>
            <w:r w:rsidRPr="00030452">
              <w:t>Suicid</w:t>
            </w:r>
            <w:r>
              <w:t>e attempt</w:t>
            </w:r>
          </w:p>
        </w:tc>
        <w:tc>
          <w:tcPr>
            <w:tcW w:w="1559" w:type="dxa"/>
            <w:noWrap/>
            <w:hideMark/>
          </w:tcPr>
          <w:p w14:paraId="1FFD1586" w14:textId="77777777" w:rsidR="009D0006" w:rsidRPr="00814B85" w:rsidRDefault="009D0006" w:rsidP="00FD1BCA">
            <w:pPr>
              <w:pStyle w:val="Tableheader"/>
              <w:rPr>
                <w:bCs/>
              </w:rPr>
            </w:pPr>
            <w:r w:rsidRPr="00814B85">
              <w:rPr>
                <w:bCs/>
              </w:rPr>
              <w:t>n</w:t>
            </w:r>
          </w:p>
        </w:tc>
        <w:tc>
          <w:tcPr>
            <w:tcW w:w="1559" w:type="dxa"/>
            <w:noWrap/>
            <w:hideMark/>
          </w:tcPr>
          <w:p w14:paraId="4B2F6B7A" w14:textId="77777777" w:rsidR="009D0006" w:rsidRPr="00814B85" w:rsidRDefault="009D0006" w:rsidP="00FD1BCA">
            <w:pPr>
              <w:pStyle w:val="Tableheader"/>
              <w:rPr>
                <w:bCs/>
              </w:rPr>
            </w:pPr>
            <w:r w:rsidRPr="00814B85">
              <w:rPr>
                <w:bCs/>
              </w:rPr>
              <w:t>%</w:t>
            </w:r>
          </w:p>
        </w:tc>
      </w:tr>
      <w:tr w:rsidR="009D0006" w:rsidRPr="00BC3468" w14:paraId="2F0EA902" w14:textId="77777777" w:rsidTr="00FD1BCA">
        <w:trPr>
          <w:cnfStyle w:val="000000100000" w:firstRow="0" w:lastRow="0" w:firstColumn="0" w:lastColumn="0" w:oddVBand="0" w:evenVBand="0" w:oddHBand="1" w:evenHBand="0" w:firstRowFirstColumn="0" w:firstRowLastColumn="0" w:lastRowFirstColumn="0" w:lastRowLastColumn="0"/>
          <w:trHeight w:val="107"/>
        </w:trPr>
        <w:tc>
          <w:tcPr>
            <w:tcW w:w="6746" w:type="dxa"/>
            <w:noWrap/>
            <w:hideMark/>
          </w:tcPr>
          <w:p w14:paraId="760F77E3" w14:textId="77777777" w:rsidR="009D0006" w:rsidRPr="00BC3468" w:rsidRDefault="009D0006" w:rsidP="00FD1BCA">
            <w:pPr>
              <w:pStyle w:val="Tabletext"/>
            </w:pPr>
            <w:r>
              <w:rPr>
                <w:lang w:val="en-US"/>
              </w:rPr>
              <w:t>Past 12 months</w:t>
            </w:r>
          </w:p>
        </w:tc>
        <w:tc>
          <w:tcPr>
            <w:tcW w:w="1559" w:type="dxa"/>
            <w:noWrap/>
          </w:tcPr>
          <w:p w14:paraId="4A773FAB" w14:textId="77777777" w:rsidR="009D0006" w:rsidRPr="00BC3468" w:rsidRDefault="009D0006" w:rsidP="00FD1BCA">
            <w:pPr>
              <w:pStyle w:val="Tabletext"/>
            </w:pPr>
            <w:r>
              <w:t>47</w:t>
            </w:r>
          </w:p>
        </w:tc>
        <w:tc>
          <w:tcPr>
            <w:tcW w:w="1559" w:type="dxa"/>
            <w:noWrap/>
          </w:tcPr>
          <w:p w14:paraId="5BD254DE" w14:textId="77777777" w:rsidR="009D0006" w:rsidRPr="00BC3468" w:rsidRDefault="009D0006" w:rsidP="00FD1BCA">
            <w:pPr>
              <w:pStyle w:val="Tabletext"/>
            </w:pPr>
            <w:r>
              <w:t>17.9</w:t>
            </w:r>
          </w:p>
        </w:tc>
      </w:tr>
      <w:tr w:rsidR="009D0006" w:rsidRPr="00BC3468" w14:paraId="757072D9" w14:textId="77777777" w:rsidTr="00FD1BCA">
        <w:trPr>
          <w:cnfStyle w:val="000000010000" w:firstRow="0" w:lastRow="0" w:firstColumn="0" w:lastColumn="0" w:oddVBand="0" w:evenVBand="0" w:oddHBand="0" w:evenHBand="1" w:firstRowFirstColumn="0" w:firstRowLastColumn="0" w:lastRowFirstColumn="0" w:lastRowLastColumn="0"/>
          <w:trHeight w:val="212"/>
        </w:trPr>
        <w:tc>
          <w:tcPr>
            <w:tcW w:w="6746" w:type="dxa"/>
            <w:noWrap/>
            <w:hideMark/>
          </w:tcPr>
          <w:p w14:paraId="60767BD4" w14:textId="77777777" w:rsidR="009D0006" w:rsidRPr="00BC3468" w:rsidRDefault="009D0006" w:rsidP="00FD1BCA">
            <w:pPr>
              <w:pStyle w:val="Tabletext"/>
            </w:pPr>
            <w:r>
              <w:rPr>
                <w:lang w:val="en-US"/>
              </w:rPr>
              <w:t>Ever</w:t>
            </w:r>
          </w:p>
        </w:tc>
        <w:tc>
          <w:tcPr>
            <w:tcW w:w="1559" w:type="dxa"/>
            <w:noWrap/>
          </w:tcPr>
          <w:p w14:paraId="3C796682" w14:textId="77777777" w:rsidR="009D0006" w:rsidRPr="00BC3468" w:rsidRDefault="009D0006" w:rsidP="00FD1BCA">
            <w:pPr>
              <w:pStyle w:val="Tabletext"/>
            </w:pPr>
            <w:r>
              <w:t>109</w:t>
            </w:r>
          </w:p>
        </w:tc>
        <w:tc>
          <w:tcPr>
            <w:tcW w:w="1559" w:type="dxa"/>
            <w:noWrap/>
          </w:tcPr>
          <w:p w14:paraId="185E51AF" w14:textId="77777777" w:rsidR="009D0006" w:rsidRPr="00BC3468" w:rsidRDefault="009D0006" w:rsidP="00FD1BCA">
            <w:pPr>
              <w:pStyle w:val="Tabletext"/>
            </w:pPr>
            <w:r>
              <w:t>41.6</w:t>
            </w:r>
          </w:p>
        </w:tc>
      </w:tr>
    </w:tbl>
    <w:p w14:paraId="75F2EB96" w14:textId="77777777" w:rsidR="009D0006" w:rsidRDefault="009D0006" w:rsidP="00FD1BCA">
      <w:pPr>
        <w:pStyle w:val="Tableheading"/>
        <w:rPr>
          <w:lang w:val="en-GB"/>
        </w:rPr>
      </w:pPr>
      <w:r>
        <w:rPr>
          <w:lang w:val="en-GB"/>
        </w:rPr>
        <w:t>Table 132.6 Asexual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2822322A" w14:textId="77777777" w:rsidTr="00FD1BCA">
        <w:trPr>
          <w:cnfStyle w:val="100000000000" w:firstRow="1" w:lastRow="0" w:firstColumn="0" w:lastColumn="0" w:oddVBand="0" w:evenVBand="0" w:oddHBand="0" w:evenHBand="0" w:firstRowFirstColumn="0" w:firstRowLastColumn="0" w:lastRowFirstColumn="0" w:lastRowLastColumn="0"/>
          <w:trHeight w:val="225"/>
        </w:trPr>
        <w:tc>
          <w:tcPr>
            <w:tcW w:w="6746" w:type="dxa"/>
            <w:noWrap/>
            <w:hideMark/>
          </w:tcPr>
          <w:p w14:paraId="0344C3F8" w14:textId="77777777" w:rsidR="009D0006" w:rsidRPr="00030452" w:rsidRDefault="009D0006" w:rsidP="00FD1BCA">
            <w:pPr>
              <w:pStyle w:val="Tableheader"/>
              <w:rPr>
                <w:bCs/>
              </w:rPr>
            </w:pPr>
            <w:r w:rsidRPr="00030452">
              <w:t>Suicid</w:t>
            </w:r>
            <w:r>
              <w:t>e attempt</w:t>
            </w:r>
          </w:p>
        </w:tc>
        <w:tc>
          <w:tcPr>
            <w:tcW w:w="1559" w:type="dxa"/>
            <w:noWrap/>
            <w:hideMark/>
          </w:tcPr>
          <w:p w14:paraId="001EB8EB" w14:textId="77777777" w:rsidR="009D0006" w:rsidRPr="00814B85" w:rsidRDefault="009D0006" w:rsidP="00FD1BCA">
            <w:pPr>
              <w:pStyle w:val="Tableheader"/>
              <w:rPr>
                <w:bCs/>
              </w:rPr>
            </w:pPr>
            <w:r w:rsidRPr="00814B85">
              <w:rPr>
                <w:bCs/>
              </w:rPr>
              <w:t>n</w:t>
            </w:r>
          </w:p>
        </w:tc>
        <w:tc>
          <w:tcPr>
            <w:tcW w:w="1559" w:type="dxa"/>
            <w:noWrap/>
            <w:hideMark/>
          </w:tcPr>
          <w:p w14:paraId="35A8CF37" w14:textId="77777777" w:rsidR="009D0006" w:rsidRPr="00814B85" w:rsidRDefault="009D0006" w:rsidP="00FD1BCA">
            <w:pPr>
              <w:pStyle w:val="Tableheader"/>
              <w:rPr>
                <w:bCs/>
              </w:rPr>
            </w:pPr>
            <w:r w:rsidRPr="00814B85">
              <w:rPr>
                <w:bCs/>
              </w:rPr>
              <w:t>%</w:t>
            </w:r>
          </w:p>
        </w:tc>
      </w:tr>
      <w:tr w:rsidR="009D0006" w:rsidRPr="00BC3468" w14:paraId="3AA8B5ED" w14:textId="77777777" w:rsidTr="00FD1BCA">
        <w:trPr>
          <w:cnfStyle w:val="000000100000" w:firstRow="0" w:lastRow="0" w:firstColumn="0" w:lastColumn="0" w:oddVBand="0" w:evenVBand="0" w:oddHBand="1" w:evenHBand="0" w:firstRowFirstColumn="0" w:firstRowLastColumn="0" w:lastRowFirstColumn="0" w:lastRowLastColumn="0"/>
          <w:trHeight w:val="114"/>
        </w:trPr>
        <w:tc>
          <w:tcPr>
            <w:tcW w:w="6746" w:type="dxa"/>
            <w:noWrap/>
            <w:hideMark/>
          </w:tcPr>
          <w:p w14:paraId="42EB3FE3" w14:textId="77777777" w:rsidR="009D0006" w:rsidRPr="00BC3468" w:rsidRDefault="009D0006" w:rsidP="00FD1BCA">
            <w:pPr>
              <w:pStyle w:val="Tabletext"/>
            </w:pPr>
            <w:r>
              <w:rPr>
                <w:lang w:val="en-US"/>
              </w:rPr>
              <w:t>Past 12 months</w:t>
            </w:r>
          </w:p>
        </w:tc>
        <w:tc>
          <w:tcPr>
            <w:tcW w:w="1559" w:type="dxa"/>
            <w:noWrap/>
          </w:tcPr>
          <w:p w14:paraId="55FEBE02" w14:textId="77777777" w:rsidR="009D0006" w:rsidRPr="00BC3468" w:rsidRDefault="009D0006" w:rsidP="00FD1BCA">
            <w:pPr>
              <w:pStyle w:val="Tabletext"/>
            </w:pPr>
            <w:r>
              <w:t>15</w:t>
            </w:r>
          </w:p>
        </w:tc>
        <w:tc>
          <w:tcPr>
            <w:tcW w:w="1559" w:type="dxa"/>
            <w:noWrap/>
          </w:tcPr>
          <w:p w14:paraId="28CC24B3" w14:textId="77777777" w:rsidR="009D0006" w:rsidRPr="00BC3468" w:rsidRDefault="009D0006" w:rsidP="00FD1BCA">
            <w:pPr>
              <w:pStyle w:val="Tabletext"/>
            </w:pPr>
            <w:r>
              <w:t>11.3</w:t>
            </w:r>
          </w:p>
        </w:tc>
      </w:tr>
      <w:tr w:rsidR="009D0006" w:rsidRPr="00BC3468" w14:paraId="7CBB21EF" w14:textId="77777777" w:rsidTr="00FD1BCA">
        <w:trPr>
          <w:cnfStyle w:val="000000010000" w:firstRow="0" w:lastRow="0" w:firstColumn="0" w:lastColumn="0" w:oddVBand="0" w:evenVBand="0" w:oddHBand="0" w:evenHBand="1" w:firstRowFirstColumn="0" w:firstRowLastColumn="0" w:lastRowFirstColumn="0" w:lastRowLastColumn="0"/>
          <w:trHeight w:val="225"/>
        </w:trPr>
        <w:tc>
          <w:tcPr>
            <w:tcW w:w="6746" w:type="dxa"/>
            <w:noWrap/>
            <w:hideMark/>
          </w:tcPr>
          <w:p w14:paraId="75582933" w14:textId="77777777" w:rsidR="009D0006" w:rsidRPr="00BC3468" w:rsidRDefault="009D0006" w:rsidP="00FD1BCA">
            <w:pPr>
              <w:pStyle w:val="Tabletext"/>
            </w:pPr>
            <w:r>
              <w:rPr>
                <w:lang w:val="en-US"/>
              </w:rPr>
              <w:t>Ever</w:t>
            </w:r>
          </w:p>
        </w:tc>
        <w:tc>
          <w:tcPr>
            <w:tcW w:w="1559" w:type="dxa"/>
            <w:noWrap/>
          </w:tcPr>
          <w:p w14:paraId="52317D24" w14:textId="77777777" w:rsidR="009D0006" w:rsidRPr="00BC3468" w:rsidRDefault="009D0006" w:rsidP="00FD1BCA">
            <w:pPr>
              <w:pStyle w:val="Tabletext"/>
            </w:pPr>
            <w:r>
              <w:t>44</w:t>
            </w:r>
          </w:p>
        </w:tc>
        <w:tc>
          <w:tcPr>
            <w:tcW w:w="1559" w:type="dxa"/>
            <w:noWrap/>
          </w:tcPr>
          <w:p w14:paraId="4F9AB268" w14:textId="77777777" w:rsidR="009D0006" w:rsidRPr="00BC3468" w:rsidRDefault="009D0006" w:rsidP="00FD1BCA">
            <w:pPr>
              <w:pStyle w:val="Tabletext"/>
            </w:pPr>
            <w:r>
              <w:t>33.1</w:t>
            </w:r>
          </w:p>
        </w:tc>
      </w:tr>
    </w:tbl>
    <w:p w14:paraId="3211CC14" w14:textId="77777777" w:rsidR="009D0006" w:rsidRDefault="009D0006" w:rsidP="00FD1BCA">
      <w:pPr>
        <w:pStyle w:val="Tableheading"/>
        <w:rPr>
          <w:lang w:val="en-GB"/>
        </w:rPr>
      </w:pPr>
      <w:r>
        <w:rPr>
          <w:lang w:val="en-GB"/>
        </w:rPr>
        <w:t>Table 132.7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814B85" w14:paraId="6E18C418" w14:textId="77777777" w:rsidTr="00FD1BCA">
        <w:trPr>
          <w:cnfStyle w:val="100000000000" w:firstRow="1" w:lastRow="0" w:firstColumn="0" w:lastColumn="0" w:oddVBand="0" w:evenVBand="0" w:oddHBand="0" w:evenHBand="0" w:firstRowFirstColumn="0" w:firstRowLastColumn="0" w:lastRowFirstColumn="0" w:lastRowLastColumn="0"/>
          <w:trHeight w:val="271"/>
        </w:trPr>
        <w:tc>
          <w:tcPr>
            <w:tcW w:w="6746" w:type="dxa"/>
            <w:noWrap/>
            <w:hideMark/>
          </w:tcPr>
          <w:p w14:paraId="6FCEF7A6" w14:textId="77777777" w:rsidR="009D0006" w:rsidRPr="00030452" w:rsidRDefault="009D0006" w:rsidP="00FD1BCA">
            <w:pPr>
              <w:pStyle w:val="Tableheader"/>
              <w:rPr>
                <w:bCs/>
              </w:rPr>
            </w:pPr>
            <w:r w:rsidRPr="00030452">
              <w:t>Suicid</w:t>
            </w:r>
            <w:r>
              <w:t>e attempt</w:t>
            </w:r>
          </w:p>
        </w:tc>
        <w:tc>
          <w:tcPr>
            <w:tcW w:w="1559" w:type="dxa"/>
          </w:tcPr>
          <w:p w14:paraId="71FF9A15" w14:textId="77777777" w:rsidR="009D0006" w:rsidRPr="00814B85" w:rsidRDefault="009D0006" w:rsidP="00FD1BCA">
            <w:pPr>
              <w:pStyle w:val="Tableheader"/>
              <w:rPr>
                <w:bCs/>
              </w:rPr>
            </w:pPr>
            <w:r w:rsidRPr="00814B85">
              <w:rPr>
                <w:bCs/>
              </w:rPr>
              <w:t>n</w:t>
            </w:r>
          </w:p>
        </w:tc>
        <w:tc>
          <w:tcPr>
            <w:tcW w:w="1559" w:type="dxa"/>
          </w:tcPr>
          <w:p w14:paraId="75C6FE5A" w14:textId="77777777" w:rsidR="009D0006" w:rsidRPr="00814B85" w:rsidRDefault="009D0006" w:rsidP="00FD1BCA">
            <w:pPr>
              <w:pStyle w:val="Tableheader"/>
              <w:rPr>
                <w:bCs/>
              </w:rPr>
            </w:pPr>
            <w:r w:rsidRPr="00814B85">
              <w:rPr>
                <w:bCs/>
              </w:rPr>
              <w:t>%</w:t>
            </w:r>
          </w:p>
        </w:tc>
      </w:tr>
      <w:tr w:rsidR="009D0006" w:rsidRPr="00BC3468" w14:paraId="34562678" w14:textId="77777777" w:rsidTr="00FD1BCA">
        <w:trPr>
          <w:cnfStyle w:val="000000100000" w:firstRow="0" w:lastRow="0" w:firstColumn="0" w:lastColumn="0" w:oddVBand="0" w:evenVBand="0" w:oddHBand="1" w:evenHBand="0" w:firstRowFirstColumn="0" w:firstRowLastColumn="0" w:lastRowFirstColumn="0" w:lastRowLastColumn="0"/>
          <w:trHeight w:val="137"/>
        </w:trPr>
        <w:tc>
          <w:tcPr>
            <w:tcW w:w="6746" w:type="dxa"/>
            <w:noWrap/>
            <w:hideMark/>
          </w:tcPr>
          <w:p w14:paraId="4727C13B" w14:textId="77777777" w:rsidR="009D0006" w:rsidRPr="00BC3468" w:rsidRDefault="009D0006" w:rsidP="00FD1BCA">
            <w:pPr>
              <w:pStyle w:val="Tabletext"/>
            </w:pPr>
            <w:r>
              <w:rPr>
                <w:lang w:val="en-US"/>
              </w:rPr>
              <w:t>Past 12 months</w:t>
            </w:r>
          </w:p>
        </w:tc>
        <w:tc>
          <w:tcPr>
            <w:tcW w:w="1559" w:type="dxa"/>
          </w:tcPr>
          <w:p w14:paraId="5B2CDFA8" w14:textId="77777777" w:rsidR="009D0006" w:rsidRPr="00BC3468" w:rsidRDefault="009D0006" w:rsidP="00FD1BCA">
            <w:pPr>
              <w:pStyle w:val="Tabletext"/>
            </w:pPr>
            <w:r>
              <w:t>52</w:t>
            </w:r>
          </w:p>
        </w:tc>
        <w:tc>
          <w:tcPr>
            <w:tcW w:w="1559" w:type="dxa"/>
          </w:tcPr>
          <w:p w14:paraId="638D0719" w14:textId="77777777" w:rsidR="009D0006" w:rsidRPr="00BC3468" w:rsidRDefault="009D0006" w:rsidP="00FD1BCA">
            <w:pPr>
              <w:pStyle w:val="Tabletext"/>
            </w:pPr>
            <w:r>
              <w:t>15.2</w:t>
            </w:r>
          </w:p>
        </w:tc>
      </w:tr>
      <w:tr w:rsidR="009D0006" w:rsidRPr="00BC3468" w14:paraId="77F830EA" w14:textId="77777777" w:rsidTr="00FD1BCA">
        <w:trPr>
          <w:cnfStyle w:val="000000010000" w:firstRow="0" w:lastRow="0" w:firstColumn="0" w:lastColumn="0" w:oddVBand="0" w:evenVBand="0" w:oddHBand="0" w:evenHBand="1" w:firstRowFirstColumn="0" w:firstRowLastColumn="0" w:lastRowFirstColumn="0" w:lastRowLastColumn="0"/>
          <w:trHeight w:val="271"/>
        </w:trPr>
        <w:tc>
          <w:tcPr>
            <w:tcW w:w="6746" w:type="dxa"/>
            <w:noWrap/>
            <w:hideMark/>
          </w:tcPr>
          <w:p w14:paraId="680EA202" w14:textId="77777777" w:rsidR="009D0006" w:rsidRPr="00BC3468" w:rsidRDefault="009D0006" w:rsidP="00FD1BCA">
            <w:pPr>
              <w:pStyle w:val="Tabletext"/>
            </w:pPr>
            <w:r>
              <w:rPr>
                <w:lang w:val="en-US"/>
              </w:rPr>
              <w:t>Ever</w:t>
            </w:r>
          </w:p>
        </w:tc>
        <w:tc>
          <w:tcPr>
            <w:tcW w:w="1559" w:type="dxa"/>
          </w:tcPr>
          <w:p w14:paraId="146A0D75" w14:textId="77777777" w:rsidR="009D0006" w:rsidRPr="00BC3468" w:rsidRDefault="009D0006" w:rsidP="00FD1BCA">
            <w:pPr>
              <w:pStyle w:val="Tabletext"/>
            </w:pPr>
            <w:r>
              <w:t>130</w:t>
            </w:r>
          </w:p>
        </w:tc>
        <w:tc>
          <w:tcPr>
            <w:tcW w:w="1559" w:type="dxa"/>
          </w:tcPr>
          <w:p w14:paraId="4392F61B" w14:textId="77777777" w:rsidR="009D0006" w:rsidRPr="00BC3468" w:rsidRDefault="009D0006" w:rsidP="00FD1BCA">
            <w:pPr>
              <w:pStyle w:val="Tabletext"/>
            </w:pPr>
            <w:r>
              <w:t>38.0</w:t>
            </w:r>
          </w:p>
        </w:tc>
      </w:tr>
    </w:tbl>
    <w:p w14:paraId="07796950" w14:textId="77777777" w:rsidR="009D0006" w:rsidRDefault="009D0006" w:rsidP="00AB4A74">
      <w:pPr>
        <w:spacing w:before="360"/>
      </w:pPr>
      <w:r w:rsidRPr="003271DA">
        <w:t>As displayed in Table</w:t>
      </w:r>
      <w:r>
        <w:t>s</w:t>
      </w:r>
      <w:r w:rsidRPr="003271DA">
        <w:t xml:space="preserve"> </w:t>
      </w:r>
      <w:r>
        <w:t xml:space="preserve">132.1-132.7, approximately one-fifth of participants with disability in </w:t>
      </w:r>
      <w:r>
        <w:rPr>
          <w:i/>
          <w:iCs/>
        </w:rPr>
        <w:t xml:space="preserve">Writing Themselves In 4 </w:t>
      </w:r>
      <w:r>
        <w:t>who identified as lesbian had attempted suicide in the past 12 months (20.6%; n = 69). This was followed by participants who identified as queer (17.9%; n = 47), participants who identified as pansexual (17.8%; n = 62), participants who identi</w:t>
      </w:r>
      <w:r>
        <w:lastRenderedPageBreak/>
        <w:t>fied as gay (15.8%; n = 44), participants who identified as something else (15.2%; n = 52), participants who identified as bisexual (12.8%; n = 98) and participants who identified as asexual (11.3%; n = 15).</w:t>
      </w:r>
    </w:p>
    <w:p w14:paraId="57C9CF8B" w14:textId="77777777" w:rsidR="009D0006" w:rsidRPr="005910DE" w:rsidRDefault="009D0006" w:rsidP="009D0006">
      <w:r>
        <w:t>Almost half of participants who identified as pansexual had attempted suicide ever in their lifetime (46.4%; n = 162). This was followed by participants who identified as lesbian (45.1%; n = 151), participants who identified as queer (41.6%; n = 109), participants who identified as something else (38.0%; n = 130), participants who identified as bisexual (36.4%; n = 278), participants who identified as gay (34.9%; n = 97) and participants who identified as asexual (33.1%; n = 44).</w:t>
      </w:r>
    </w:p>
    <w:p w14:paraId="742BEB26" w14:textId="56900342" w:rsidR="009D0006" w:rsidRPr="00C5739E" w:rsidRDefault="009D0006" w:rsidP="0075118A">
      <w:pPr>
        <w:pStyle w:val="Heading3Numbered"/>
      </w:pPr>
      <w:bookmarkStart w:id="979" w:name="_Toc115968687"/>
      <w:r w:rsidRPr="00C5739E">
        <w:t>Suicide attempts</w:t>
      </w:r>
      <w:r>
        <w:t xml:space="preserve"> </w:t>
      </w:r>
      <w:r w:rsidRPr="00C5739E">
        <w:t>– adults aged 18+ years</w:t>
      </w:r>
      <w:bookmarkEnd w:id="979"/>
    </w:p>
    <w:p w14:paraId="53E900F9" w14:textId="77777777" w:rsidR="009D0006" w:rsidRDefault="009D0006" w:rsidP="00FD1BCA">
      <w:pPr>
        <w:pStyle w:val="Tableheading"/>
      </w:pPr>
      <w:bookmarkStart w:id="980" w:name="_Toc117062850"/>
      <w:bookmarkStart w:id="981" w:name="_Toc119651535"/>
      <w:r w:rsidRPr="00AE109A">
        <w:rPr>
          <w:bCs/>
        </w:rPr>
        <w:t>Table</w:t>
      </w:r>
      <w:r>
        <w:rPr>
          <w:bCs/>
        </w:rPr>
        <w:t>s</w:t>
      </w:r>
      <w:r w:rsidRPr="00AE109A">
        <w:rPr>
          <w:bCs/>
        </w:rPr>
        <w:t xml:space="preserve"> </w:t>
      </w:r>
      <w:r w:rsidRPr="00AE109A">
        <w:rPr>
          <w:bCs/>
        </w:rPr>
        <w:fldChar w:fldCharType="begin"/>
      </w:r>
      <w:r w:rsidRPr="00AE109A">
        <w:rPr>
          <w:bCs/>
        </w:rPr>
        <w:instrText xml:space="preserve"> SEQ Table \* ARABIC </w:instrText>
      </w:r>
      <w:r w:rsidRPr="00AE109A">
        <w:rPr>
          <w:bCs/>
        </w:rPr>
        <w:fldChar w:fldCharType="separate"/>
      </w:r>
      <w:r>
        <w:rPr>
          <w:bCs/>
          <w:noProof/>
        </w:rPr>
        <w:t>133</w:t>
      </w:r>
      <w:r w:rsidRPr="00AE109A">
        <w:rPr>
          <w:bCs/>
        </w:rPr>
        <w:fldChar w:fldCharType="end"/>
      </w:r>
      <w:r>
        <w:rPr>
          <w:bCs/>
        </w:rPr>
        <w:t>.1-133.7</w:t>
      </w:r>
      <w:r>
        <w:t xml:space="preserve">: </w:t>
      </w:r>
      <w:r w:rsidRPr="00C5739E">
        <w:t>Suicide attempt</w:t>
      </w:r>
      <w:r>
        <w:t>s</w:t>
      </w:r>
      <w:r w:rsidRPr="00C5739E">
        <w:t xml:space="preserve"> </w:t>
      </w:r>
      <w:r>
        <w:t>among adults with disability aged 18+ years, grouped</w:t>
      </w:r>
      <w:r w:rsidRPr="00C5739E">
        <w:t xml:space="preserve"> by </w:t>
      </w:r>
      <w:r>
        <w:t>sexual orientation</w:t>
      </w:r>
      <w:r w:rsidRPr="00C5739E">
        <w:t xml:space="preserve"> (n = </w:t>
      </w:r>
      <w:r>
        <w:t>2183</w:t>
      </w:r>
      <w:r w:rsidRPr="00C5739E">
        <w:t>)</w:t>
      </w:r>
      <w:bookmarkEnd w:id="980"/>
      <w:bookmarkEnd w:id="981"/>
    </w:p>
    <w:p w14:paraId="2CD72727" w14:textId="77777777" w:rsidR="009D0006" w:rsidRPr="00C5739E" w:rsidRDefault="009D0006" w:rsidP="00FD1BCA">
      <w:pPr>
        <w:pStyle w:val="Tableheading"/>
      </w:pPr>
      <w:r>
        <w:t>Table 133.1 Lesbian</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471F153F" w14:textId="77777777" w:rsidTr="00FD1BCA">
        <w:trPr>
          <w:cnfStyle w:val="100000000000" w:firstRow="1" w:lastRow="0" w:firstColumn="0" w:lastColumn="0" w:oddVBand="0" w:evenVBand="0" w:oddHBand="0" w:evenHBand="0" w:firstRowFirstColumn="0" w:firstRowLastColumn="0" w:lastRowFirstColumn="0" w:lastRowLastColumn="0"/>
          <w:trHeight w:val="292"/>
        </w:trPr>
        <w:tc>
          <w:tcPr>
            <w:tcW w:w="6746" w:type="dxa"/>
            <w:noWrap/>
            <w:hideMark/>
          </w:tcPr>
          <w:p w14:paraId="5505BCB6" w14:textId="77777777" w:rsidR="009D0006" w:rsidRPr="00030452" w:rsidRDefault="009D0006" w:rsidP="00FD1BCA">
            <w:pPr>
              <w:pStyle w:val="Tableheader"/>
              <w:rPr>
                <w:bCs/>
              </w:rPr>
            </w:pPr>
            <w:r w:rsidRPr="00030452">
              <w:t>Suicid</w:t>
            </w:r>
            <w:r>
              <w:t>e attempt</w:t>
            </w:r>
          </w:p>
        </w:tc>
        <w:tc>
          <w:tcPr>
            <w:tcW w:w="1559" w:type="dxa"/>
            <w:noWrap/>
            <w:hideMark/>
          </w:tcPr>
          <w:p w14:paraId="58257F23" w14:textId="77777777" w:rsidR="009D0006" w:rsidRPr="000A55D1" w:rsidRDefault="009D0006" w:rsidP="00FD1BCA">
            <w:pPr>
              <w:pStyle w:val="Tableheader"/>
              <w:rPr>
                <w:bCs/>
              </w:rPr>
            </w:pPr>
            <w:r w:rsidRPr="000A55D1">
              <w:rPr>
                <w:bCs/>
              </w:rPr>
              <w:t>n</w:t>
            </w:r>
          </w:p>
        </w:tc>
        <w:tc>
          <w:tcPr>
            <w:tcW w:w="1559" w:type="dxa"/>
            <w:noWrap/>
            <w:hideMark/>
          </w:tcPr>
          <w:p w14:paraId="318B4692" w14:textId="77777777" w:rsidR="009D0006" w:rsidRPr="000A55D1" w:rsidRDefault="009D0006" w:rsidP="00FD1BCA">
            <w:pPr>
              <w:pStyle w:val="Tableheader"/>
              <w:rPr>
                <w:bCs/>
              </w:rPr>
            </w:pPr>
            <w:r w:rsidRPr="000A55D1">
              <w:rPr>
                <w:bCs/>
              </w:rPr>
              <w:t>%</w:t>
            </w:r>
          </w:p>
        </w:tc>
      </w:tr>
      <w:tr w:rsidR="009D0006" w:rsidRPr="00BC3468" w14:paraId="163ACAB7" w14:textId="77777777" w:rsidTr="00FD1BCA">
        <w:trPr>
          <w:cnfStyle w:val="000000100000" w:firstRow="0" w:lastRow="0" w:firstColumn="0" w:lastColumn="0" w:oddVBand="0" w:evenVBand="0" w:oddHBand="1" w:evenHBand="0" w:firstRowFirstColumn="0" w:firstRowLastColumn="0" w:lastRowFirstColumn="0" w:lastRowLastColumn="0"/>
          <w:trHeight w:val="292"/>
        </w:trPr>
        <w:tc>
          <w:tcPr>
            <w:tcW w:w="6746" w:type="dxa"/>
            <w:noWrap/>
            <w:hideMark/>
          </w:tcPr>
          <w:p w14:paraId="0E7EF34C" w14:textId="77777777" w:rsidR="009D0006" w:rsidRPr="00BC3468" w:rsidRDefault="009D0006" w:rsidP="00FD1BCA">
            <w:pPr>
              <w:pStyle w:val="Tabletext"/>
            </w:pPr>
            <w:r>
              <w:rPr>
                <w:lang w:val="en-US"/>
              </w:rPr>
              <w:t>Past 12 months</w:t>
            </w:r>
          </w:p>
        </w:tc>
        <w:tc>
          <w:tcPr>
            <w:tcW w:w="1559" w:type="dxa"/>
            <w:noWrap/>
          </w:tcPr>
          <w:p w14:paraId="3748632E" w14:textId="77777777" w:rsidR="009D0006" w:rsidRPr="00BC3468" w:rsidRDefault="009D0006" w:rsidP="00FD1BCA">
            <w:pPr>
              <w:pStyle w:val="Tabletext"/>
            </w:pPr>
            <w:r>
              <w:t>28</w:t>
            </w:r>
          </w:p>
        </w:tc>
        <w:tc>
          <w:tcPr>
            <w:tcW w:w="1559" w:type="dxa"/>
            <w:noWrap/>
          </w:tcPr>
          <w:p w14:paraId="6F11BADE" w14:textId="77777777" w:rsidR="009D0006" w:rsidRPr="00BC3468" w:rsidRDefault="009D0006" w:rsidP="00FD1BCA">
            <w:pPr>
              <w:pStyle w:val="Tabletext"/>
            </w:pPr>
            <w:r>
              <w:t>7.0</w:t>
            </w:r>
          </w:p>
        </w:tc>
      </w:tr>
      <w:tr w:rsidR="009D0006" w:rsidRPr="00BC3468" w14:paraId="7C937319" w14:textId="77777777" w:rsidTr="00FD1BCA">
        <w:trPr>
          <w:cnfStyle w:val="000000010000" w:firstRow="0" w:lastRow="0" w:firstColumn="0" w:lastColumn="0" w:oddVBand="0" w:evenVBand="0" w:oddHBand="0" w:evenHBand="1" w:firstRowFirstColumn="0" w:firstRowLastColumn="0" w:lastRowFirstColumn="0" w:lastRowLastColumn="0"/>
          <w:trHeight w:val="292"/>
        </w:trPr>
        <w:tc>
          <w:tcPr>
            <w:tcW w:w="6746" w:type="dxa"/>
            <w:noWrap/>
            <w:hideMark/>
          </w:tcPr>
          <w:p w14:paraId="687F8FE4" w14:textId="77777777" w:rsidR="009D0006" w:rsidRPr="00BC3468" w:rsidRDefault="009D0006" w:rsidP="00FD1BCA">
            <w:pPr>
              <w:pStyle w:val="Tabletext"/>
            </w:pPr>
            <w:r>
              <w:rPr>
                <w:lang w:val="en-US"/>
              </w:rPr>
              <w:t>Ever</w:t>
            </w:r>
          </w:p>
        </w:tc>
        <w:tc>
          <w:tcPr>
            <w:tcW w:w="1559" w:type="dxa"/>
            <w:noWrap/>
          </w:tcPr>
          <w:p w14:paraId="00C00DA0" w14:textId="77777777" w:rsidR="009D0006" w:rsidRPr="00BC3468" w:rsidRDefault="009D0006" w:rsidP="00FD1BCA">
            <w:pPr>
              <w:pStyle w:val="Tabletext"/>
            </w:pPr>
            <w:r>
              <w:t>176</w:t>
            </w:r>
          </w:p>
        </w:tc>
        <w:tc>
          <w:tcPr>
            <w:tcW w:w="1559" w:type="dxa"/>
            <w:noWrap/>
          </w:tcPr>
          <w:p w14:paraId="62D766E6" w14:textId="77777777" w:rsidR="009D0006" w:rsidRPr="00BC3468" w:rsidRDefault="009D0006" w:rsidP="00FD1BCA">
            <w:pPr>
              <w:pStyle w:val="Tabletext"/>
            </w:pPr>
            <w:r>
              <w:t>44.2</w:t>
            </w:r>
          </w:p>
        </w:tc>
      </w:tr>
    </w:tbl>
    <w:p w14:paraId="646199C8" w14:textId="77777777" w:rsidR="009D0006" w:rsidRDefault="009D0006" w:rsidP="00BF2011">
      <w:pPr>
        <w:pStyle w:val="Tableheading"/>
      </w:pPr>
      <w:r>
        <w:t>Table 133.2 Gay</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3E37D27" w14:textId="77777777" w:rsidTr="00BF2011">
        <w:trPr>
          <w:cnfStyle w:val="100000000000" w:firstRow="1" w:lastRow="0" w:firstColumn="0" w:lastColumn="0" w:oddVBand="0" w:evenVBand="0" w:oddHBand="0" w:evenHBand="0" w:firstRowFirstColumn="0" w:firstRowLastColumn="0" w:lastRowFirstColumn="0" w:lastRowLastColumn="0"/>
          <w:trHeight w:val="333"/>
        </w:trPr>
        <w:tc>
          <w:tcPr>
            <w:tcW w:w="6746" w:type="dxa"/>
            <w:noWrap/>
            <w:hideMark/>
          </w:tcPr>
          <w:p w14:paraId="0F556EEB" w14:textId="77777777" w:rsidR="009D0006" w:rsidRPr="00030452" w:rsidRDefault="009D0006" w:rsidP="00BF2011">
            <w:pPr>
              <w:pStyle w:val="Tableheader"/>
              <w:rPr>
                <w:bCs/>
              </w:rPr>
            </w:pPr>
            <w:r w:rsidRPr="00030452">
              <w:t>Suicid</w:t>
            </w:r>
            <w:r>
              <w:t>e attempt</w:t>
            </w:r>
          </w:p>
        </w:tc>
        <w:tc>
          <w:tcPr>
            <w:tcW w:w="1559" w:type="dxa"/>
            <w:noWrap/>
            <w:hideMark/>
          </w:tcPr>
          <w:p w14:paraId="5B8CD801" w14:textId="77777777" w:rsidR="009D0006" w:rsidRPr="000A55D1" w:rsidRDefault="009D0006" w:rsidP="00BF2011">
            <w:pPr>
              <w:pStyle w:val="Tableheader"/>
              <w:rPr>
                <w:bCs/>
              </w:rPr>
            </w:pPr>
            <w:r w:rsidRPr="000A55D1">
              <w:rPr>
                <w:bCs/>
              </w:rPr>
              <w:t>n</w:t>
            </w:r>
          </w:p>
        </w:tc>
        <w:tc>
          <w:tcPr>
            <w:tcW w:w="1559" w:type="dxa"/>
            <w:noWrap/>
            <w:hideMark/>
          </w:tcPr>
          <w:p w14:paraId="454785C4" w14:textId="77777777" w:rsidR="009D0006" w:rsidRPr="000A55D1" w:rsidRDefault="009D0006" w:rsidP="00BF2011">
            <w:pPr>
              <w:pStyle w:val="Tableheader"/>
              <w:rPr>
                <w:bCs/>
              </w:rPr>
            </w:pPr>
            <w:r w:rsidRPr="000A55D1">
              <w:rPr>
                <w:bCs/>
              </w:rPr>
              <w:t>%</w:t>
            </w:r>
          </w:p>
        </w:tc>
      </w:tr>
      <w:tr w:rsidR="009D0006" w:rsidRPr="00BC3468" w14:paraId="1471BB37" w14:textId="77777777" w:rsidTr="00BF2011">
        <w:trPr>
          <w:cnfStyle w:val="000000100000" w:firstRow="0" w:lastRow="0" w:firstColumn="0" w:lastColumn="0" w:oddVBand="0" w:evenVBand="0" w:oddHBand="1" w:evenHBand="0" w:firstRowFirstColumn="0" w:firstRowLastColumn="0" w:lastRowFirstColumn="0" w:lastRowLastColumn="0"/>
          <w:trHeight w:val="333"/>
        </w:trPr>
        <w:tc>
          <w:tcPr>
            <w:tcW w:w="6746" w:type="dxa"/>
            <w:noWrap/>
            <w:hideMark/>
          </w:tcPr>
          <w:p w14:paraId="29452FEA" w14:textId="77777777" w:rsidR="009D0006" w:rsidRPr="00BC3468" w:rsidRDefault="009D0006" w:rsidP="00BF2011">
            <w:pPr>
              <w:pStyle w:val="Tabletext"/>
            </w:pPr>
            <w:r>
              <w:rPr>
                <w:lang w:val="en-US"/>
              </w:rPr>
              <w:t>Past 12 months</w:t>
            </w:r>
          </w:p>
        </w:tc>
        <w:tc>
          <w:tcPr>
            <w:tcW w:w="1559" w:type="dxa"/>
            <w:noWrap/>
          </w:tcPr>
          <w:p w14:paraId="5E4BE951" w14:textId="77777777" w:rsidR="009D0006" w:rsidRPr="00BC3468" w:rsidRDefault="009D0006" w:rsidP="00BF2011">
            <w:pPr>
              <w:pStyle w:val="Tabletext"/>
            </w:pPr>
            <w:r>
              <w:t>19</w:t>
            </w:r>
          </w:p>
        </w:tc>
        <w:tc>
          <w:tcPr>
            <w:tcW w:w="1559" w:type="dxa"/>
            <w:noWrap/>
          </w:tcPr>
          <w:p w14:paraId="2142A2F1" w14:textId="77777777" w:rsidR="009D0006" w:rsidRPr="00BC3468" w:rsidRDefault="009D0006" w:rsidP="00BF2011">
            <w:pPr>
              <w:pStyle w:val="Tabletext"/>
            </w:pPr>
            <w:r>
              <w:t>5.8</w:t>
            </w:r>
          </w:p>
        </w:tc>
      </w:tr>
      <w:tr w:rsidR="009D0006" w:rsidRPr="00BC3468" w14:paraId="3106781E" w14:textId="77777777" w:rsidTr="00BF2011">
        <w:trPr>
          <w:cnfStyle w:val="000000010000" w:firstRow="0" w:lastRow="0" w:firstColumn="0" w:lastColumn="0" w:oddVBand="0" w:evenVBand="0" w:oddHBand="0" w:evenHBand="1" w:firstRowFirstColumn="0" w:firstRowLastColumn="0" w:lastRowFirstColumn="0" w:lastRowLastColumn="0"/>
          <w:trHeight w:val="333"/>
        </w:trPr>
        <w:tc>
          <w:tcPr>
            <w:tcW w:w="6746" w:type="dxa"/>
            <w:noWrap/>
            <w:hideMark/>
          </w:tcPr>
          <w:p w14:paraId="6A27E147" w14:textId="77777777" w:rsidR="009D0006" w:rsidRPr="00BC3468" w:rsidRDefault="009D0006" w:rsidP="00BF2011">
            <w:pPr>
              <w:pStyle w:val="Tabletext"/>
            </w:pPr>
            <w:r>
              <w:rPr>
                <w:lang w:val="en-US"/>
              </w:rPr>
              <w:t>Ever</w:t>
            </w:r>
          </w:p>
        </w:tc>
        <w:tc>
          <w:tcPr>
            <w:tcW w:w="1559" w:type="dxa"/>
            <w:noWrap/>
          </w:tcPr>
          <w:p w14:paraId="16FA58C2" w14:textId="77777777" w:rsidR="009D0006" w:rsidRPr="00BC3468" w:rsidRDefault="009D0006" w:rsidP="00BF2011">
            <w:pPr>
              <w:pStyle w:val="Tabletext"/>
            </w:pPr>
            <w:r>
              <w:t>109</w:t>
            </w:r>
          </w:p>
        </w:tc>
        <w:tc>
          <w:tcPr>
            <w:tcW w:w="1559" w:type="dxa"/>
            <w:noWrap/>
          </w:tcPr>
          <w:p w14:paraId="1D2BB689" w14:textId="77777777" w:rsidR="009D0006" w:rsidRPr="00BC3468" w:rsidRDefault="009D0006" w:rsidP="00BF2011">
            <w:pPr>
              <w:pStyle w:val="Tabletext"/>
            </w:pPr>
            <w:r>
              <w:t>33.0</w:t>
            </w:r>
          </w:p>
        </w:tc>
      </w:tr>
    </w:tbl>
    <w:p w14:paraId="603AE246" w14:textId="77777777" w:rsidR="009D0006" w:rsidRDefault="009D0006" w:rsidP="00BF2011">
      <w:pPr>
        <w:pStyle w:val="Tableheading"/>
      </w:pPr>
      <w:r>
        <w:t>Table 133.3 Bisexual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162C85C9" w14:textId="77777777" w:rsidTr="00BF2011">
        <w:trPr>
          <w:cnfStyle w:val="100000000000" w:firstRow="1" w:lastRow="0" w:firstColumn="0" w:lastColumn="0" w:oddVBand="0" w:evenVBand="0" w:oddHBand="0" w:evenHBand="0" w:firstRowFirstColumn="0" w:firstRowLastColumn="0" w:lastRowFirstColumn="0" w:lastRowLastColumn="0"/>
          <w:trHeight w:val="371"/>
        </w:trPr>
        <w:tc>
          <w:tcPr>
            <w:tcW w:w="6746" w:type="dxa"/>
            <w:noWrap/>
            <w:hideMark/>
          </w:tcPr>
          <w:p w14:paraId="4E078D4B" w14:textId="77777777" w:rsidR="009D0006" w:rsidRPr="00030452" w:rsidRDefault="009D0006" w:rsidP="00BF2011">
            <w:pPr>
              <w:pStyle w:val="Tableheader"/>
              <w:rPr>
                <w:bCs/>
              </w:rPr>
            </w:pPr>
            <w:r w:rsidRPr="00030452">
              <w:t>Suicid</w:t>
            </w:r>
            <w:r>
              <w:t>e attempt</w:t>
            </w:r>
          </w:p>
        </w:tc>
        <w:tc>
          <w:tcPr>
            <w:tcW w:w="1559" w:type="dxa"/>
          </w:tcPr>
          <w:p w14:paraId="12C44560" w14:textId="77777777" w:rsidR="009D0006" w:rsidRPr="000A55D1" w:rsidRDefault="009D0006" w:rsidP="00BF2011">
            <w:pPr>
              <w:pStyle w:val="Tableheader"/>
              <w:rPr>
                <w:bCs/>
              </w:rPr>
            </w:pPr>
            <w:r w:rsidRPr="000A55D1">
              <w:rPr>
                <w:bCs/>
              </w:rPr>
              <w:t>n</w:t>
            </w:r>
          </w:p>
        </w:tc>
        <w:tc>
          <w:tcPr>
            <w:tcW w:w="1559" w:type="dxa"/>
          </w:tcPr>
          <w:p w14:paraId="0EA62029" w14:textId="77777777" w:rsidR="009D0006" w:rsidRPr="000A55D1" w:rsidRDefault="009D0006" w:rsidP="00BF2011">
            <w:pPr>
              <w:pStyle w:val="Tableheader"/>
              <w:rPr>
                <w:bCs/>
              </w:rPr>
            </w:pPr>
            <w:r w:rsidRPr="000A55D1">
              <w:rPr>
                <w:bCs/>
              </w:rPr>
              <w:t>%</w:t>
            </w:r>
          </w:p>
        </w:tc>
      </w:tr>
      <w:tr w:rsidR="009D0006" w:rsidRPr="00BC3468" w14:paraId="64E7644E" w14:textId="77777777" w:rsidTr="00BF2011">
        <w:trPr>
          <w:cnfStyle w:val="000000100000" w:firstRow="0" w:lastRow="0" w:firstColumn="0" w:lastColumn="0" w:oddVBand="0" w:evenVBand="0" w:oddHBand="1" w:evenHBand="0" w:firstRowFirstColumn="0" w:firstRowLastColumn="0" w:lastRowFirstColumn="0" w:lastRowLastColumn="0"/>
          <w:trHeight w:val="371"/>
        </w:trPr>
        <w:tc>
          <w:tcPr>
            <w:tcW w:w="6746" w:type="dxa"/>
            <w:noWrap/>
            <w:hideMark/>
          </w:tcPr>
          <w:p w14:paraId="45152F09" w14:textId="77777777" w:rsidR="009D0006" w:rsidRPr="00BC3468" w:rsidRDefault="009D0006" w:rsidP="00BF2011">
            <w:pPr>
              <w:pStyle w:val="Tabletext"/>
            </w:pPr>
            <w:r>
              <w:rPr>
                <w:lang w:val="en-US"/>
              </w:rPr>
              <w:t>Past 12 months</w:t>
            </w:r>
          </w:p>
        </w:tc>
        <w:tc>
          <w:tcPr>
            <w:tcW w:w="1559" w:type="dxa"/>
          </w:tcPr>
          <w:p w14:paraId="58BA3CE4" w14:textId="77777777" w:rsidR="009D0006" w:rsidRPr="00BC3468" w:rsidRDefault="009D0006" w:rsidP="00BF2011">
            <w:pPr>
              <w:pStyle w:val="Tabletext"/>
            </w:pPr>
            <w:r>
              <w:t>48</w:t>
            </w:r>
          </w:p>
        </w:tc>
        <w:tc>
          <w:tcPr>
            <w:tcW w:w="1559" w:type="dxa"/>
          </w:tcPr>
          <w:p w14:paraId="7BBEE1BF" w14:textId="77777777" w:rsidR="009D0006" w:rsidRPr="00BC3468" w:rsidRDefault="009D0006" w:rsidP="00BF2011">
            <w:pPr>
              <w:pStyle w:val="Tabletext"/>
            </w:pPr>
            <w:r>
              <w:t>8.8</w:t>
            </w:r>
          </w:p>
        </w:tc>
      </w:tr>
      <w:tr w:rsidR="009D0006" w:rsidRPr="00BC3468" w14:paraId="4F26EE63" w14:textId="77777777" w:rsidTr="00BF2011">
        <w:trPr>
          <w:cnfStyle w:val="000000010000" w:firstRow="0" w:lastRow="0" w:firstColumn="0" w:lastColumn="0" w:oddVBand="0" w:evenVBand="0" w:oddHBand="0" w:evenHBand="1" w:firstRowFirstColumn="0" w:firstRowLastColumn="0" w:lastRowFirstColumn="0" w:lastRowLastColumn="0"/>
          <w:trHeight w:val="371"/>
        </w:trPr>
        <w:tc>
          <w:tcPr>
            <w:tcW w:w="6746" w:type="dxa"/>
            <w:noWrap/>
            <w:hideMark/>
          </w:tcPr>
          <w:p w14:paraId="1BFFF15C" w14:textId="77777777" w:rsidR="009D0006" w:rsidRPr="00BC3468" w:rsidRDefault="009D0006" w:rsidP="00BF2011">
            <w:pPr>
              <w:pStyle w:val="Tabletext"/>
            </w:pPr>
            <w:r>
              <w:rPr>
                <w:lang w:val="en-US"/>
              </w:rPr>
              <w:t>Ever</w:t>
            </w:r>
          </w:p>
        </w:tc>
        <w:tc>
          <w:tcPr>
            <w:tcW w:w="1559" w:type="dxa"/>
          </w:tcPr>
          <w:p w14:paraId="44DB14E9" w14:textId="77777777" w:rsidR="009D0006" w:rsidRPr="00BC3468" w:rsidRDefault="009D0006" w:rsidP="00BF2011">
            <w:pPr>
              <w:pStyle w:val="Tabletext"/>
            </w:pPr>
            <w:r>
              <w:t>231</w:t>
            </w:r>
          </w:p>
        </w:tc>
        <w:tc>
          <w:tcPr>
            <w:tcW w:w="1559" w:type="dxa"/>
          </w:tcPr>
          <w:p w14:paraId="23BE1B38" w14:textId="77777777" w:rsidR="009D0006" w:rsidRPr="00BC3468" w:rsidRDefault="009D0006" w:rsidP="00BF2011">
            <w:pPr>
              <w:pStyle w:val="Tabletext"/>
            </w:pPr>
            <w:r>
              <w:t>42.5</w:t>
            </w:r>
          </w:p>
        </w:tc>
      </w:tr>
    </w:tbl>
    <w:p w14:paraId="23942AE7" w14:textId="77777777" w:rsidR="009D0006" w:rsidRDefault="009D0006" w:rsidP="00BF2011">
      <w:pPr>
        <w:pStyle w:val="Tableheader"/>
      </w:pPr>
      <w:r>
        <w:t>Table 133.4 Pansexual</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7AF642F7" w14:textId="77777777" w:rsidTr="00BF2011">
        <w:trPr>
          <w:cnfStyle w:val="100000000000" w:firstRow="1" w:lastRow="0" w:firstColumn="0" w:lastColumn="0" w:oddVBand="0" w:evenVBand="0" w:oddHBand="0" w:evenHBand="0" w:firstRowFirstColumn="0" w:firstRowLastColumn="0" w:lastRowFirstColumn="0" w:lastRowLastColumn="0"/>
          <w:trHeight w:val="338"/>
        </w:trPr>
        <w:tc>
          <w:tcPr>
            <w:tcW w:w="6746" w:type="dxa"/>
            <w:noWrap/>
            <w:hideMark/>
          </w:tcPr>
          <w:p w14:paraId="063E98B8" w14:textId="77777777" w:rsidR="009D0006" w:rsidRPr="00030452" w:rsidRDefault="009D0006" w:rsidP="00BF2011">
            <w:pPr>
              <w:pStyle w:val="Tableheader"/>
              <w:rPr>
                <w:bCs/>
              </w:rPr>
            </w:pPr>
            <w:r w:rsidRPr="00030452">
              <w:t>Suicid</w:t>
            </w:r>
            <w:r>
              <w:t>e attempt</w:t>
            </w:r>
          </w:p>
        </w:tc>
        <w:tc>
          <w:tcPr>
            <w:tcW w:w="1559" w:type="dxa"/>
            <w:noWrap/>
            <w:hideMark/>
          </w:tcPr>
          <w:p w14:paraId="2A75722F" w14:textId="77777777" w:rsidR="009D0006" w:rsidRPr="000A55D1" w:rsidRDefault="009D0006" w:rsidP="00BF2011">
            <w:pPr>
              <w:pStyle w:val="Tableheader"/>
              <w:rPr>
                <w:bCs/>
              </w:rPr>
            </w:pPr>
            <w:r w:rsidRPr="000A55D1">
              <w:rPr>
                <w:bCs/>
              </w:rPr>
              <w:t>n</w:t>
            </w:r>
          </w:p>
        </w:tc>
        <w:tc>
          <w:tcPr>
            <w:tcW w:w="1559" w:type="dxa"/>
            <w:noWrap/>
            <w:hideMark/>
          </w:tcPr>
          <w:p w14:paraId="76AA3669" w14:textId="77777777" w:rsidR="009D0006" w:rsidRPr="000A55D1" w:rsidRDefault="009D0006" w:rsidP="00BF2011">
            <w:pPr>
              <w:pStyle w:val="Tableheader"/>
              <w:rPr>
                <w:bCs/>
              </w:rPr>
            </w:pPr>
            <w:r w:rsidRPr="000A55D1">
              <w:rPr>
                <w:bCs/>
              </w:rPr>
              <w:t>%</w:t>
            </w:r>
          </w:p>
        </w:tc>
      </w:tr>
      <w:tr w:rsidR="009D0006" w:rsidRPr="00BC3468" w14:paraId="4EFA1F53" w14:textId="77777777" w:rsidTr="00BF2011">
        <w:trPr>
          <w:cnfStyle w:val="000000100000" w:firstRow="0" w:lastRow="0" w:firstColumn="0" w:lastColumn="0" w:oddVBand="0" w:evenVBand="0" w:oddHBand="1" w:evenHBand="0" w:firstRowFirstColumn="0" w:firstRowLastColumn="0" w:lastRowFirstColumn="0" w:lastRowLastColumn="0"/>
          <w:trHeight w:val="338"/>
        </w:trPr>
        <w:tc>
          <w:tcPr>
            <w:tcW w:w="6746" w:type="dxa"/>
            <w:noWrap/>
            <w:hideMark/>
          </w:tcPr>
          <w:p w14:paraId="5474026D" w14:textId="77777777" w:rsidR="009D0006" w:rsidRPr="00BC3468" w:rsidRDefault="009D0006" w:rsidP="00BF2011">
            <w:pPr>
              <w:pStyle w:val="Tabletext"/>
            </w:pPr>
            <w:r>
              <w:rPr>
                <w:lang w:val="en-US"/>
              </w:rPr>
              <w:t>Past 12 months</w:t>
            </w:r>
          </w:p>
        </w:tc>
        <w:tc>
          <w:tcPr>
            <w:tcW w:w="1559" w:type="dxa"/>
            <w:noWrap/>
          </w:tcPr>
          <w:p w14:paraId="018E03D1" w14:textId="77777777" w:rsidR="009D0006" w:rsidRPr="00BC3468" w:rsidRDefault="009D0006" w:rsidP="00BF2011">
            <w:pPr>
              <w:pStyle w:val="Tabletext"/>
            </w:pPr>
            <w:r>
              <w:t>24</w:t>
            </w:r>
          </w:p>
        </w:tc>
        <w:tc>
          <w:tcPr>
            <w:tcW w:w="1559" w:type="dxa"/>
            <w:noWrap/>
          </w:tcPr>
          <w:p w14:paraId="403511D6" w14:textId="77777777" w:rsidR="009D0006" w:rsidRPr="00BC3468" w:rsidRDefault="009D0006" w:rsidP="00BF2011">
            <w:pPr>
              <w:pStyle w:val="Tabletext"/>
            </w:pPr>
            <w:r>
              <w:t>10.1</w:t>
            </w:r>
          </w:p>
        </w:tc>
      </w:tr>
      <w:tr w:rsidR="009D0006" w:rsidRPr="00BC3468" w14:paraId="5CADF993" w14:textId="77777777" w:rsidTr="00BF2011">
        <w:trPr>
          <w:cnfStyle w:val="000000010000" w:firstRow="0" w:lastRow="0" w:firstColumn="0" w:lastColumn="0" w:oddVBand="0" w:evenVBand="0" w:oddHBand="0" w:evenHBand="1" w:firstRowFirstColumn="0" w:firstRowLastColumn="0" w:lastRowFirstColumn="0" w:lastRowLastColumn="0"/>
          <w:trHeight w:val="338"/>
        </w:trPr>
        <w:tc>
          <w:tcPr>
            <w:tcW w:w="6746" w:type="dxa"/>
            <w:noWrap/>
            <w:hideMark/>
          </w:tcPr>
          <w:p w14:paraId="6C909DA0" w14:textId="77777777" w:rsidR="009D0006" w:rsidRPr="00BC3468" w:rsidRDefault="009D0006" w:rsidP="00BF2011">
            <w:pPr>
              <w:pStyle w:val="Tabletext"/>
            </w:pPr>
            <w:r>
              <w:rPr>
                <w:lang w:val="en-US"/>
              </w:rPr>
              <w:t>Ever</w:t>
            </w:r>
          </w:p>
        </w:tc>
        <w:tc>
          <w:tcPr>
            <w:tcW w:w="1559" w:type="dxa"/>
            <w:noWrap/>
          </w:tcPr>
          <w:p w14:paraId="02FBE13D" w14:textId="77777777" w:rsidR="009D0006" w:rsidRPr="00BC3468" w:rsidRDefault="009D0006" w:rsidP="00BF2011">
            <w:pPr>
              <w:pStyle w:val="Tabletext"/>
            </w:pPr>
            <w:r>
              <w:t>135</w:t>
            </w:r>
          </w:p>
        </w:tc>
        <w:tc>
          <w:tcPr>
            <w:tcW w:w="1559" w:type="dxa"/>
            <w:noWrap/>
          </w:tcPr>
          <w:p w14:paraId="13FC9A09" w14:textId="77777777" w:rsidR="009D0006" w:rsidRPr="00BC3468" w:rsidRDefault="009D0006" w:rsidP="00BF2011">
            <w:pPr>
              <w:pStyle w:val="Tabletext"/>
            </w:pPr>
            <w:r>
              <w:t>56.7</w:t>
            </w:r>
          </w:p>
        </w:tc>
      </w:tr>
    </w:tbl>
    <w:p w14:paraId="194C76FD" w14:textId="77777777" w:rsidR="009D0006" w:rsidRDefault="009D0006" w:rsidP="00BF2011">
      <w:pPr>
        <w:pStyle w:val="Tableheading"/>
      </w:pPr>
      <w:r>
        <w:lastRenderedPageBreak/>
        <w:t>Table 133.5 Queer</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05A94D92" w14:textId="77777777" w:rsidTr="00BF2011">
        <w:trPr>
          <w:cnfStyle w:val="100000000000" w:firstRow="1" w:lastRow="0" w:firstColumn="0" w:lastColumn="0" w:oddVBand="0" w:evenVBand="0" w:oddHBand="0" w:evenHBand="0" w:firstRowFirstColumn="0" w:firstRowLastColumn="0" w:lastRowFirstColumn="0" w:lastRowLastColumn="0"/>
          <w:trHeight w:val="330"/>
        </w:trPr>
        <w:tc>
          <w:tcPr>
            <w:tcW w:w="6746" w:type="dxa"/>
            <w:noWrap/>
            <w:hideMark/>
          </w:tcPr>
          <w:p w14:paraId="257D81AF" w14:textId="77777777" w:rsidR="009D0006" w:rsidRPr="00030452" w:rsidRDefault="009D0006" w:rsidP="00BF2011">
            <w:pPr>
              <w:pStyle w:val="Tableheader"/>
              <w:rPr>
                <w:bCs/>
              </w:rPr>
            </w:pPr>
            <w:r w:rsidRPr="00030452">
              <w:t>Suicid</w:t>
            </w:r>
            <w:r>
              <w:t>e attempt</w:t>
            </w:r>
          </w:p>
        </w:tc>
        <w:tc>
          <w:tcPr>
            <w:tcW w:w="1559" w:type="dxa"/>
            <w:noWrap/>
            <w:hideMark/>
          </w:tcPr>
          <w:p w14:paraId="5AE4CBC6" w14:textId="77777777" w:rsidR="009D0006" w:rsidRPr="000A55D1" w:rsidRDefault="009D0006" w:rsidP="00BF2011">
            <w:pPr>
              <w:pStyle w:val="Tableheader"/>
              <w:rPr>
                <w:bCs/>
              </w:rPr>
            </w:pPr>
            <w:r w:rsidRPr="000A55D1">
              <w:rPr>
                <w:bCs/>
              </w:rPr>
              <w:t>n</w:t>
            </w:r>
          </w:p>
        </w:tc>
        <w:tc>
          <w:tcPr>
            <w:tcW w:w="1559" w:type="dxa"/>
            <w:noWrap/>
            <w:hideMark/>
          </w:tcPr>
          <w:p w14:paraId="166A436C" w14:textId="77777777" w:rsidR="009D0006" w:rsidRPr="000A55D1" w:rsidRDefault="009D0006" w:rsidP="00BF2011">
            <w:pPr>
              <w:pStyle w:val="Tableheader"/>
              <w:rPr>
                <w:bCs/>
              </w:rPr>
            </w:pPr>
            <w:r w:rsidRPr="000A55D1">
              <w:rPr>
                <w:bCs/>
              </w:rPr>
              <w:t>%</w:t>
            </w:r>
          </w:p>
        </w:tc>
      </w:tr>
      <w:tr w:rsidR="009D0006" w:rsidRPr="00BC3468" w14:paraId="53F39724" w14:textId="77777777" w:rsidTr="00BF2011">
        <w:trPr>
          <w:cnfStyle w:val="000000100000" w:firstRow="0" w:lastRow="0" w:firstColumn="0" w:lastColumn="0" w:oddVBand="0" w:evenVBand="0" w:oddHBand="1" w:evenHBand="0" w:firstRowFirstColumn="0" w:firstRowLastColumn="0" w:lastRowFirstColumn="0" w:lastRowLastColumn="0"/>
          <w:trHeight w:val="330"/>
        </w:trPr>
        <w:tc>
          <w:tcPr>
            <w:tcW w:w="6746" w:type="dxa"/>
            <w:noWrap/>
            <w:hideMark/>
          </w:tcPr>
          <w:p w14:paraId="4B118A84" w14:textId="77777777" w:rsidR="009D0006" w:rsidRPr="00BC3468" w:rsidRDefault="009D0006" w:rsidP="00BF2011">
            <w:pPr>
              <w:pStyle w:val="Tabletext"/>
            </w:pPr>
            <w:r>
              <w:rPr>
                <w:lang w:val="en-US"/>
              </w:rPr>
              <w:t>Past 12 months</w:t>
            </w:r>
          </w:p>
        </w:tc>
        <w:tc>
          <w:tcPr>
            <w:tcW w:w="1559" w:type="dxa"/>
            <w:noWrap/>
          </w:tcPr>
          <w:p w14:paraId="7AFBD7CB" w14:textId="77777777" w:rsidR="009D0006" w:rsidRPr="00BC3468" w:rsidRDefault="009D0006" w:rsidP="00BF2011">
            <w:pPr>
              <w:pStyle w:val="Tabletext"/>
            </w:pPr>
            <w:r>
              <w:t>29</w:t>
            </w:r>
          </w:p>
        </w:tc>
        <w:tc>
          <w:tcPr>
            <w:tcW w:w="1559" w:type="dxa"/>
            <w:noWrap/>
          </w:tcPr>
          <w:p w14:paraId="2A9291E4" w14:textId="77777777" w:rsidR="009D0006" w:rsidRPr="00BC3468" w:rsidRDefault="009D0006" w:rsidP="00BF2011">
            <w:pPr>
              <w:pStyle w:val="Tabletext"/>
            </w:pPr>
            <w:r>
              <w:t>7.7</w:t>
            </w:r>
          </w:p>
        </w:tc>
      </w:tr>
      <w:tr w:rsidR="009D0006" w:rsidRPr="00BC3468" w14:paraId="1F3A57AE" w14:textId="77777777" w:rsidTr="00BF2011">
        <w:trPr>
          <w:cnfStyle w:val="000000010000" w:firstRow="0" w:lastRow="0" w:firstColumn="0" w:lastColumn="0" w:oddVBand="0" w:evenVBand="0" w:oddHBand="0" w:evenHBand="1" w:firstRowFirstColumn="0" w:firstRowLastColumn="0" w:lastRowFirstColumn="0" w:lastRowLastColumn="0"/>
          <w:trHeight w:val="330"/>
        </w:trPr>
        <w:tc>
          <w:tcPr>
            <w:tcW w:w="6746" w:type="dxa"/>
            <w:noWrap/>
            <w:hideMark/>
          </w:tcPr>
          <w:p w14:paraId="42FA2C93" w14:textId="77777777" w:rsidR="009D0006" w:rsidRPr="00BC3468" w:rsidRDefault="009D0006" w:rsidP="00BF2011">
            <w:pPr>
              <w:pStyle w:val="Tabletext"/>
            </w:pPr>
            <w:r>
              <w:rPr>
                <w:lang w:val="en-US"/>
              </w:rPr>
              <w:t>Ever</w:t>
            </w:r>
          </w:p>
        </w:tc>
        <w:tc>
          <w:tcPr>
            <w:tcW w:w="1559" w:type="dxa"/>
            <w:noWrap/>
          </w:tcPr>
          <w:p w14:paraId="128CDDD8" w14:textId="77777777" w:rsidR="009D0006" w:rsidRPr="00BC3468" w:rsidRDefault="009D0006" w:rsidP="00BF2011">
            <w:pPr>
              <w:pStyle w:val="Tabletext"/>
            </w:pPr>
            <w:r>
              <w:t>178</w:t>
            </w:r>
          </w:p>
        </w:tc>
        <w:tc>
          <w:tcPr>
            <w:tcW w:w="1559" w:type="dxa"/>
            <w:noWrap/>
          </w:tcPr>
          <w:p w14:paraId="41276429" w14:textId="77777777" w:rsidR="009D0006" w:rsidRPr="00BC3468" w:rsidRDefault="009D0006" w:rsidP="00BF2011">
            <w:pPr>
              <w:pStyle w:val="Tabletext"/>
            </w:pPr>
            <w:r>
              <w:t>47.5</w:t>
            </w:r>
          </w:p>
        </w:tc>
      </w:tr>
    </w:tbl>
    <w:p w14:paraId="1C427F70" w14:textId="77777777" w:rsidR="009D0006" w:rsidRDefault="009D0006" w:rsidP="00BF2011">
      <w:pPr>
        <w:pStyle w:val="Tableheading"/>
      </w:pPr>
      <w:r>
        <w:t xml:space="preserve">Table 133.6 Asexual </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F2011" w14:paraId="3D41DCE1" w14:textId="77777777" w:rsidTr="00BF2011">
        <w:trPr>
          <w:cnfStyle w:val="100000000000" w:firstRow="1" w:lastRow="0" w:firstColumn="0" w:lastColumn="0" w:oddVBand="0" w:evenVBand="0" w:oddHBand="0" w:evenHBand="0" w:firstRowFirstColumn="0" w:firstRowLastColumn="0" w:lastRowFirstColumn="0" w:lastRowLastColumn="0"/>
          <w:trHeight w:val="321"/>
        </w:trPr>
        <w:tc>
          <w:tcPr>
            <w:tcW w:w="6746" w:type="dxa"/>
            <w:noWrap/>
            <w:hideMark/>
          </w:tcPr>
          <w:p w14:paraId="3E1F9B44" w14:textId="77777777" w:rsidR="009D0006" w:rsidRPr="00BF2011" w:rsidRDefault="009D0006" w:rsidP="00BF2011">
            <w:pPr>
              <w:pStyle w:val="Tableheader"/>
            </w:pPr>
            <w:r w:rsidRPr="00BF2011">
              <w:t>Suicide attempt</w:t>
            </w:r>
          </w:p>
        </w:tc>
        <w:tc>
          <w:tcPr>
            <w:tcW w:w="1559" w:type="dxa"/>
            <w:noWrap/>
            <w:hideMark/>
          </w:tcPr>
          <w:p w14:paraId="5D9466A7" w14:textId="77777777" w:rsidR="009D0006" w:rsidRPr="00BF2011" w:rsidRDefault="009D0006" w:rsidP="00BF2011">
            <w:pPr>
              <w:pStyle w:val="Tableheader"/>
            </w:pPr>
            <w:r w:rsidRPr="00BF2011">
              <w:t>n</w:t>
            </w:r>
          </w:p>
        </w:tc>
        <w:tc>
          <w:tcPr>
            <w:tcW w:w="1559" w:type="dxa"/>
            <w:noWrap/>
            <w:hideMark/>
          </w:tcPr>
          <w:p w14:paraId="2133048A" w14:textId="77777777" w:rsidR="009D0006" w:rsidRPr="00BF2011" w:rsidRDefault="009D0006" w:rsidP="00BF2011">
            <w:pPr>
              <w:pStyle w:val="Tableheader"/>
            </w:pPr>
            <w:r w:rsidRPr="00BF2011">
              <w:t>%</w:t>
            </w:r>
          </w:p>
        </w:tc>
      </w:tr>
      <w:tr w:rsidR="009D0006" w:rsidRPr="00BC3468" w14:paraId="447711DA" w14:textId="77777777" w:rsidTr="00BF2011">
        <w:trPr>
          <w:cnfStyle w:val="000000100000" w:firstRow="0" w:lastRow="0" w:firstColumn="0" w:lastColumn="0" w:oddVBand="0" w:evenVBand="0" w:oddHBand="1" w:evenHBand="0" w:firstRowFirstColumn="0" w:firstRowLastColumn="0" w:lastRowFirstColumn="0" w:lastRowLastColumn="0"/>
          <w:trHeight w:val="321"/>
        </w:trPr>
        <w:tc>
          <w:tcPr>
            <w:tcW w:w="6746" w:type="dxa"/>
            <w:noWrap/>
            <w:hideMark/>
          </w:tcPr>
          <w:p w14:paraId="22C366CD" w14:textId="77777777" w:rsidR="009D0006" w:rsidRPr="00BC3468" w:rsidRDefault="009D0006" w:rsidP="00BF2011">
            <w:pPr>
              <w:pStyle w:val="Tabletext"/>
            </w:pPr>
            <w:r>
              <w:rPr>
                <w:lang w:val="en-US"/>
              </w:rPr>
              <w:t>Past 12 months</w:t>
            </w:r>
          </w:p>
        </w:tc>
        <w:tc>
          <w:tcPr>
            <w:tcW w:w="1559" w:type="dxa"/>
            <w:noWrap/>
          </w:tcPr>
          <w:p w14:paraId="3D4B8FC1" w14:textId="77777777" w:rsidR="009D0006" w:rsidRPr="00BC3468" w:rsidRDefault="009D0006" w:rsidP="00BF2011">
            <w:pPr>
              <w:pStyle w:val="Tabletext"/>
            </w:pPr>
            <w:r>
              <w:t>6</w:t>
            </w:r>
          </w:p>
        </w:tc>
        <w:tc>
          <w:tcPr>
            <w:tcW w:w="1559" w:type="dxa"/>
            <w:noWrap/>
          </w:tcPr>
          <w:p w14:paraId="16D6AB51" w14:textId="77777777" w:rsidR="009D0006" w:rsidRPr="00BC3468" w:rsidRDefault="009D0006" w:rsidP="00BF2011">
            <w:pPr>
              <w:pStyle w:val="Tabletext"/>
            </w:pPr>
            <w:r>
              <w:t>5.3</w:t>
            </w:r>
          </w:p>
        </w:tc>
      </w:tr>
      <w:tr w:rsidR="009D0006" w:rsidRPr="00BC3468" w14:paraId="631CCDEC" w14:textId="77777777" w:rsidTr="00BF2011">
        <w:trPr>
          <w:cnfStyle w:val="000000010000" w:firstRow="0" w:lastRow="0" w:firstColumn="0" w:lastColumn="0" w:oddVBand="0" w:evenVBand="0" w:oddHBand="0" w:evenHBand="1" w:firstRowFirstColumn="0" w:firstRowLastColumn="0" w:lastRowFirstColumn="0" w:lastRowLastColumn="0"/>
          <w:trHeight w:val="321"/>
        </w:trPr>
        <w:tc>
          <w:tcPr>
            <w:tcW w:w="6746" w:type="dxa"/>
            <w:noWrap/>
            <w:hideMark/>
          </w:tcPr>
          <w:p w14:paraId="26F4A05A" w14:textId="77777777" w:rsidR="009D0006" w:rsidRPr="00BC3468" w:rsidRDefault="009D0006" w:rsidP="00BF2011">
            <w:pPr>
              <w:pStyle w:val="Tabletext"/>
            </w:pPr>
            <w:r>
              <w:rPr>
                <w:lang w:val="en-US"/>
              </w:rPr>
              <w:t>Ever</w:t>
            </w:r>
          </w:p>
        </w:tc>
        <w:tc>
          <w:tcPr>
            <w:tcW w:w="1559" w:type="dxa"/>
            <w:noWrap/>
          </w:tcPr>
          <w:p w14:paraId="11B87377" w14:textId="77777777" w:rsidR="009D0006" w:rsidRPr="00BC3468" w:rsidRDefault="009D0006" w:rsidP="00BF2011">
            <w:pPr>
              <w:pStyle w:val="Tabletext"/>
            </w:pPr>
            <w:r>
              <w:t>35</w:t>
            </w:r>
          </w:p>
        </w:tc>
        <w:tc>
          <w:tcPr>
            <w:tcW w:w="1559" w:type="dxa"/>
            <w:noWrap/>
          </w:tcPr>
          <w:p w14:paraId="6C325CBE" w14:textId="77777777" w:rsidR="009D0006" w:rsidRPr="00BC3468" w:rsidRDefault="009D0006" w:rsidP="00BF2011">
            <w:pPr>
              <w:pStyle w:val="Tabletext"/>
            </w:pPr>
            <w:r>
              <w:t>31.0</w:t>
            </w:r>
          </w:p>
        </w:tc>
      </w:tr>
    </w:tbl>
    <w:p w14:paraId="6314BBF6" w14:textId="77777777" w:rsidR="009D0006" w:rsidRDefault="009D0006" w:rsidP="00BF2011">
      <w:pPr>
        <w:pStyle w:val="Tableheading"/>
      </w:pPr>
      <w:r>
        <w:t>Table 133.7 Something else</w:t>
      </w:r>
    </w:p>
    <w:tbl>
      <w:tblPr>
        <w:tblStyle w:val="RCTable"/>
        <w:tblW w:w="9864" w:type="dxa"/>
        <w:tblInd w:w="-23" w:type="dxa"/>
        <w:tblLayout w:type="fixed"/>
        <w:tblLook w:val="04A0" w:firstRow="1" w:lastRow="0" w:firstColumn="1" w:lastColumn="0" w:noHBand="0" w:noVBand="1"/>
      </w:tblPr>
      <w:tblGrid>
        <w:gridCol w:w="6746"/>
        <w:gridCol w:w="1559"/>
        <w:gridCol w:w="1559"/>
      </w:tblGrid>
      <w:tr w:rsidR="009D0006" w:rsidRPr="00BC3468" w14:paraId="6AA37BCB" w14:textId="77777777" w:rsidTr="00BF2011">
        <w:trPr>
          <w:cnfStyle w:val="100000000000" w:firstRow="1" w:lastRow="0" w:firstColumn="0" w:lastColumn="0" w:oddVBand="0" w:evenVBand="0" w:oddHBand="0" w:evenHBand="0" w:firstRowFirstColumn="0" w:firstRowLastColumn="0" w:lastRowFirstColumn="0" w:lastRowLastColumn="0"/>
          <w:trHeight w:val="283"/>
        </w:trPr>
        <w:tc>
          <w:tcPr>
            <w:tcW w:w="6746" w:type="dxa"/>
            <w:noWrap/>
            <w:hideMark/>
          </w:tcPr>
          <w:p w14:paraId="2D7BB56B" w14:textId="77777777" w:rsidR="009D0006" w:rsidRPr="00030452" w:rsidRDefault="009D0006" w:rsidP="00BF2011">
            <w:pPr>
              <w:pStyle w:val="Tableheader"/>
              <w:rPr>
                <w:bCs/>
              </w:rPr>
            </w:pPr>
            <w:r w:rsidRPr="00030452">
              <w:t>Suicid</w:t>
            </w:r>
            <w:r>
              <w:t>e attempt</w:t>
            </w:r>
          </w:p>
        </w:tc>
        <w:tc>
          <w:tcPr>
            <w:tcW w:w="1559" w:type="dxa"/>
          </w:tcPr>
          <w:p w14:paraId="7DEB96AB" w14:textId="77777777" w:rsidR="009D0006" w:rsidRPr="000A55D1" w:rsidRDefault="009D0006" w:rsidP="00BF2011">
            <w:pPr>
              <w:pStyle w:val="Tableheader"/>
              <w:rPr>
                <w:bCs/>
              </w:rPr>
            </w:pPr>
            <w:r w:rsidRPr="000A55D1">
              <w:rPr>
                <w:bCs/>
              </w:rPr>
              <w:t>n</w:t>
            </w:r>
          </w:p>
        </w:tc>
        <w:tc>
          <w:tcPr>
            <w:tcW w:w="1559" w:type="dxa"/>
          </w:tcPr>
          <w:p w14:paraId="5200254A" w14:textId="77777777" w:rsidR="009D0006" w:rsidRPr="000A55D1" w:rsidRDefault="009D0006" w:rsidP="00BF2011">
            <w:pPr>
              <w:pStyle w:val="Tableheader"/>
              <w:rPr>
                <w:bCs/>
              </w:rPr>
            </w:pPr>
            <w:r w:rsidRPr="000A55D1">
              <w:rPr>
                <w:bCs/>
              </w:rPr>
              <w:t>%</w:t>
            </w:r>
          </w:p>
        </w:tc>
      </w:tr>
      <w:tr w:rsidR="009D0006" w:rsidRPr="00BC3468" w14:paraId="5A4D4A24" w14:textId="77777777" w:rsidTr="00BF2011">
        <w:trPr>
          <w:cnfStyle w:val="000000100000" w:firstRow="0" w:lastRow="0" w:firstColumn="0" w:lastColumn="0" w:oddVBand="0" w:evenVBand="0" w:oddHBand="1" w:evenHBand="0" w:firstRowFirstColumn="0" w:firstRowLastColumn="0" w:lastRowFirstColumn="0" w:lastRowLastColumn="0"/>
          <w:trHeight w:val="283"/>
        </w:trPr>
        <w:tc>
          <w:tcPr>
            <w:tcW w:w="6746" w:type="dxa"/>
            <w:noWrap/>
            <w:hideMark/>
          </w:tcPr>
          <w:p w14:paraId="1CD11AE0" w14:textId="77777777" w:rsidR="009D0006" w:rsidRPr="00BC3468" w:rsidRDefault="009D0006" w:rsidP="00BF2011">
            <w:pPr>
              <w:pStyle w:val="Tabletext"/>
            </w:pPr>
            <w:r>
              <w:rPr>
                <w:lang w:val="en-US"/>
              </w:rPr>
              <w:t>Past 12 months</w:t>
            </w:r>
          </w:p>
        </w:tc>
        <w:tc>
          <w:tcPr>
            <w:tcW w:w="1559" w:type="dxa"/>
          </w:tcPr>
          <w:p w14:paraId="1D00CE15" w14:textId="77777777" w:rsidR="009D0006" w:rsidRPr="00BC3468" w:rsidRDefault="009D0006" w:rsidP="00BF2011">
            <w:pPr>
              <w:pStyle w:val="Tabletext"/>
            </w:pPr>
            <w:r>
              <w:t>30</w:t>
            </w:r>
          </w:p>
        </w:tc>
        <w:tc>
          <w:tcPr>
            <w:tcW w:w="1559" w:type="dxa"/>
          </w:tcPr>
          <w:p w14:paraId="42EEB2C7" w14:textId="77777777" w:rsidR="009D0006" w:rsidRPr="00BC3468" w:rsidRDefault="009D0006" w:rsidP="00BF2011">
            <w:pPr>
              <w:pStyle w:val="Tabletext"/>
            </w:pPr>
            <w:r>
              <w:t>16.2</w:t>
            </w:r>
          </w:p>
        </w:tc>
      </w:tr>
      <w:tr w:rsidR="009D0006" w:rsidRPr="00BC3468" w14:paraId="57D8B36A" w14:textId="77777777" w:rsidTr="00BF2011">
        <w:trPr>
          <w:cnfStyle w:val="000000010000" w:firstRow="0" w:lastRow="0" w:firstColumn="0" w:lastColumn="0" w:oddVBand="0" w:evenVBand="0" w:oddHBand="0" w:evenHBand="1" w:firstRowFirstColumn="0" w:firstRowLastColumn="0" w:lastRowFirstColumn="0" w:lastRowLastColumn="0"/>
          <w:trHeight w:val="283"/>
        </w:trPr>
        <w:tc>
          <w:tcPr>
            <w:tcW w:w="6746" w:type="dxa"/>
            <w:noWrap/>
            <w:hideMark/>
          </w:tcPr>
          <w:p w14:paraId="62223CB7" w14:textId="77777777" w:rsidR="009D0006" w:rsidRPr="00BC3468" w:rsidRDefault="009D0006" w:rsidP="00BF2011">
            <w:pPr>
              <w:pStyle w:val="Tabletext"/>
            </w:pPr>
            <w:r>
              <w:rPr>
                <w:lang w:val="en-US"/>
              </w:rPr>
              <w:t>Ever</w:t>
            </w:r>
          </w:p>
        </w:tc>
        <w:tc>
          <w:tcPr>
            <w:tcW w:w="1559" w:type="dxa"/>
          </w:tcPr>
          <w:p w14:paraId="56801910" w14:textId="77777777" w:rsidR="009D0006" w:rsidRPr="00BC3468" w:rsidRDefault="009D0006" w:rsidP="00BF2011">
            <w:pPr>
              <w:pStyle w:val="Tabletext"/>
            </w:pPr>
            <w:r>
              <w:t>84</w:t>
            </w:r>
          </w:p>
        </w:tc>
        <w:tc>
          <w:tcPr>
            <w:tcW w:w="1559" w:type="dxa"/>
          </w:tcPr>
          <w:p w14:paraId="0B4E59D3" w14:textId="77777777" w:rsidR="009D0006" w:rsidRPr="00BC3468" w:rsidRDefault="009D0006" w:rsidP="00BF2011">
            <w:pPr>
              <w:pStyle w:val="Tabletext"/>
            </w:pPr>
            <w:r>
              <w:t>45.4</w:t>
            </w:r>
          </w:p>
        </w:tc>
      </w:tr>
    </w:tbl>
    <w:p w14:paraId="2F67D974" w14:textId="77777777" w:rsidR="009D0006" w:rsidRDefault="009D0006" w:rsidP="00AB4A74">
      <w:pPr>
        <w:spacing w:before="360"/>
      </w:pPr>
      <w:r>
        <w:t>As displayed in Tables 133.1-133.7, m</w:t>
      </w:r>
      <w:r w:rsidRPr="003271DA">
        <w:t xml:space="preserve">ore than </w:t>
      </w:r>
      <w:r>
        <w:t>1 in 10</w:t>
      </w:r>
      <w:r w:rsidRPr="003271DA">
        <w:t xml:space="preserve"> participants with disability in </w:t>
      </w:r>
      <w:r>
        <w:rPr>
          <w:i/>
          <w:iCs/>
        </w:rPr>
        <w:t>Private Lives 3</w:t>
      </w:r>
      <w:r>
        <w:t xml:space="preserve"> who identified their sexual orientation as something else had attempted suicide in the past 12 months (16.2%; n = 30). This was followed by participants who identified as pansexual (10.1%; n = 24), participants who identified as bisexual (8.8%; n = 48), participants who identified as queer (7.7%; n = 29), participants who identified as lesbian (7.0%; n = 28), participants who identified as gay (5.8%; n = 19) and participants who identified as asexual (5.3%; n = 6).</w:t>
      </w:r>
    </w:p>
    <w:p w14:paraId="3E0DF8DA" w14:textId="77777777" w:rsidR="009D0006" w:rsidRPr="005910DE" w:rsidRDefault="009D0006" w:rsidP="009D0006">
      <w:r>
        <w:t>More than half of participants who identified as pansexual had attempted suicide ever in their lifetime (56.7%; n = 135). This was followed by participants who identified as queer (47.5%; n = 178), participants who identified as something else (45.4%; n = 84), participants who identified as bisexual (42.5%; n = 231), participants who identified as lesbian (44.2%; n = 176), participants who identified as gay (33.0%; n = 109) and participants who identified as asexual (31.0%; n = 35).</w:t>
      </w:r>
    </w:p>
    <w:p w14:paraId="3910A880" w14:textId="6DD9E0CD" w:rsidR="009D0006" w:rsidRPr="004B5CDE" w:rsidRDefault="009D0006" w:rsidP="0075118A">
      <w:pPr>
        <w:pStyle w:val="Heading2Numbered"/>
      </w:pPr>
      <w:bookmarkStart w:id="982" w:name="_Toc115968688"/>
      <w:bookmarkStart w:id="983" w:name="_Toc119662490"/>
      <w:r w:rsidRPr="004B5CDE">
        <w:t>Summary</w:t>
      </w:r>
      <w:bookmarkEnd w:id="982"/>
      <w:bookmarkEnd w:id="983"/>
    </w:p>
    <w:p w14:paraId="4F1D0027" w14:textId="77777777" w:rsidR="009D0006" w:rsidRPr="00015214" w:rsidRDefault="009D0006" w:rsidP="009D0006">
      <w:r>
        <w:t xml:space="preserve">Overall, complex patterns emerge among LGBTQA+ people with disability across people who hold different sexual orientations. Queer identifying participants were most likely to identify and participate in the LGBTQA+ community but reported low levels of acceptance </w:t>
      </w:r>
      <w:r>
        <w:lastRenderedPageBreak/>
        <w:t xml:space="preserve">with family members. Among young people aged 14-21 years with disability in </w:t>
      </w:r>
      <w:r>
        <w:rPr>
          <w:i/>
        </w:rPr>
        <w:t>Writing Themselves In 4</w:t>
      </w:r>
      <w:r>
        <w:t xml:space="preserve">, gay and lesbian participants reported higher levels of verbal and physical harassment or abuse based on their sexual orientation or gender identity than those who were bisexual, possibly due to their ability to ‘pass’ as heterosexual. However, among adults aged 18+ years with disability in </w:t>
      </w:r>
      <w:r>
        <w:rPr>
          <w:i/>
        </w:rPr>
        <w:t>Private Lives 3</w:t>
      </w:r>
      <w:r>
        <w:t>, gay and lesbian participants reported lower levels of social exclusion based on their sexual orientation or gender identity than those who were bisexual, possibly due to the double exclusion that bisexual people may face from both LGBTQA+ communities and heterosexual communities.</w:t>
      </w:r>
      <w:r w:rsidRPr="00D10722">
        <w:fldChar w:fldCharType="begin"/>
      </w:r>
      <w:r>
        <w:instrText xml:space="preserve"> ADDIN ZOTERO_ITEM CSL_CITATION {"citationID":"aa7qukbh2h","properties":{"formattedCitation":"(101)","plainCitation":"(101)","noteIndex":0},"citationItems":[{"id":5686,"uris":["http://zotero.org/groups/2463045/items/QH4D5PJY"],"itemData":{"id":5686,"type":"article-journal","container-title":"Journal of Psychosocial Nursing and Mental Health Services","DOI":"https://doi.org/10.3928/02793695-20191211-01","issue":"3","page":"28-37","title":"Experiences of bisexual identity, attraction, and behavior and their relationship with mental health: Findings from the Who I Am Study","volume":"58","author":[{"family":"Taylor","given":"Julia"},{"family":"Power","given":"Jennifer"},{"family":"Smith","given":"Elizabeth"}],"issued":{"date-parts":[["2020"]]},"citation-key":"taylorExperiencesBisexualIdentity2020"}}],"schema":"https://github.com/citation-style-language/schema/raw/master/csl-citation.json"} </w:instrText>
      </w:r>
      <w:r w:rsidRPr="00D10722">
        <w:fldChar w:fldCharType="separate"/>
      </w:r>
      <w:r>
        <w:rPr>
          <w:lang w:val="en-GB"/>
        </w:rPr>
        <w:t>(101)</w:t>
      </w:r>
      <w:r w:rsidRPr="00D10722">
        <w:fldChar w:fldCharType="end"/>
      </w:r>
      <w:r>
        <w:t xml:space="preserve"> Regarding suicide attempts across all age groups, gay and asexual identifying participants reported lower levels compared to lesbian, bisexual and queer identifying participants, with pansexual participants reporting the highest levels.</w:t>
      </w:r>
    </w:p>
    <w:p w14:paraId="269BC737" w14:textId="77777777" w:rsidR="009D0006" w:rsidRPr="0075118A" w:rsidRDefault="009D0006" w:rsidP="0075118A">
      <w:r>
        <w:rPr>
          <w:lang w:bidi="en-US"/>
        </w:rPr>
        <w:br w:type="page"/>
      </w:r>
    </w:p>
    <w:p w14:paraId="413643CD" w14:textId="6DAC8BDD" w:rsidR="009D0006" w:rsidRPr="002306D8" w:rsidRDefault="009D0006" w:rsidP="0075118A">
      <w:pPr>
        <w:pStyle w:val="Heading1Numbered"/>
        <w:rPr>
          <w:lang w:bidi="en-US"/>
        </w:rPr>
      </w:pPr>
      <w:bookmarkStart w:id="984" w:name="_Toc115968689"/>
      <w:bookmarkStart w:id="985" w:name="_Toc119662491"/>
      <w:r>
        <w:rPr>
          <w:lang w:bidi="en-US"/>
        </w:rPr>
        <w:lastRenderedPageBreak/>
        <w:t>Summary and recommendations</w:t>
      </w:r>
      <w:bookmarkEnd w:id="984"/>
      <w:bookmarkEnd w:id="985"/>
    </w:p>
    <w:p w14:paraId="59D3D980" w14:textId="77777777" w:rsidR="009D0006" w:rsidRDefault="009D0006" w:rsidP="009D0006">
      <w:pPr>
        <w:rPr>
          <w:lang w:val="en-GB"/>
        </w:rPr>
      </w:pPr>
      <w:r w:rsidRPr="00A651F8">
        <w:rPr>
          <w:lang w:val="en-GB"/>
        </w:rPr>
        <w:t xml:space="preserve">To date, the evidence base relating to the health and wellbeing of LGBTIQ+ people with disability in Australia has been limited because larger population-level studies, as well as disability-specific studies, have not included adequate questions about sex, gender and sexuality. The Australian Census does not allow for an accurate estimate of LGBTQA+ population size or an assessment of other health and wellbeing measures for these communities. Data collection at the health service system level or in coronial reporting, also often does not currently capture LGBTQA+ identities or does so imperfectly. </w:t>
      </w:r>
    </w:p>
    <w:p w14:paraId="2F4BEF06" w14:textId="77777777" w:rsidR="009D0006" w:rsidRPr="00A651F8" w:rsidRDefault="009D0006" w:rsidP="009D0006">
      <w:r w:rsidRPr="00A651F8">
        <w:rPr>
          <w:lang w:val="en-GB"/>
        </w:rPr>
        <w:t xml:space="preserve">It is in this context that </w:t>
      </w:r>
      <w:r w:rsidRPr="00A651F8">
        <w:rPr>
          <w:i/>
          <w:iCs/>
          <w:lang w:val="en-GB"/>
        </w:rPr>
        <w:t>Writing Themselves In 4</w:t>
      </w:r>
      <w:r w:rsidRPr="00A651F8">
        <w:rPr>
          <w:lang w:val="en-GB"/>
        </w:rPr>
        <w:t xml:space="preserve"> and </w:t>
      </w:r>
      <w:r w:rsidRPr="00A651F8">
        <w:rPr>
          <w:i/>
          <w:iCs/>
          <w:lang w:val="en-GB"/>
        </w:rPr>
        <w:t>Private Lives 3</w:t>
      </w:r>
      <w:r w:rsidRPr="00A651F8">
        <w:rPr>
          <w:lang w:val="en-GB"/>
        </w:rPr>
        <w:t xml:space="preserve"> provide large-scale, robust and diverse data that indicate an urgent and targeted policy response is needed to address the health and wellbeing of LGBTQA+ people with disability. </w:t>
      </w:r>
    </w:p>
    <w:p w14:paraId="0F1D85C2" w14:textId="4EC8641B" w:rsidR="009D0006" w:rsidRPr="00A651F8" w:rsidRDefault="009D0006" w:rsidP="0075118A">
      <w:pPr>
        <w:pStyle w:val="Heading2Numbered"/>
      </w:pPr>
      <w:bookmarkStart w:id="986" w:name="_Toc115968690"/>
      <w:bookmarkStart w:id="987" w:name="_Toc119662492"/>
      <w:r w:rsidRPr="00A651F8">
        <w:t>Findings of significant concern</w:t>
      </w:r>
      <w:bookmarkEnd w:id="986"/>
      <w:bookmarkEnd w:id="987"/>
    </w:p>
    <w:p w14:paraId="7AA12F60" w14:textId="77777777" w:rsidR="009D0006" w:rsidRDefault="009D0006" w:rsidP="009D0006">
      <w:r w:rsidRPr="00A651F8">
        <w:t xml:space="preserve">Findings from analyses </w:t>
      </w:r>
      <w:r>
        <w:t xml:space="preserve">presented in this report </w:t>
      </w:r>
      <w:r w:rsidRPr="00A651F8">
        <w:t>are concerning. LGBTQA+ people</w:t>
      </w:r>
      <w:r>
        <w:t xml:space="preserve"> </w:t>
      </w:r>
      <w:r w:rsidRPr="00A651F8">
        <w:t xml:space="preserve">in Australia have consistently reported higher levels of violence, harassment and abuse and poorer physical and mental health than </w:t>
      </w:r>
      <w:r>
        <w:t xml:space="preserve">the general population, as shown </w:t>
      </w:r>
      <w:r w:rsidRPr="00A651F8">
        <w:t xml:space="preserve">in the </w:t>
      </w:r>
      <w:r w:rsidRPr="00A651F8">
        <w:rPr>
          <w:i/>
        </w:rPr>
        <w:t xml:space="preserve">Writing Themselves </w:t>
      </w:r>
      <w:r w:rsidRPr="00912136">
        <w:rPr>
          <w:i/>
        </w:rPr>
        <w:t>In 4</w:t>
      </w:r>
      <w:r w:rsidRPr="00912136">
        <w:fldChar w:fldCharType="begin"/>
      </w:r>
      <w:r>
        <w:instrText xml:space="preserve"> ADDIN ZOTERO_ITEM CSL_CITATION {"citationID":"DxGcMLMh","properties":{"formattedCitation":"(1)","plainCitation":"(1)","noteIndex":0},"citationItems":[{"id":"hc6yy1rM/ZY4LR28S","uris":["http://zotero.org/users/4948307/items/7BM38QY5"],"itemData":{"id":3331,"type":"report","abstract":"The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912136">
        <w:fldChar w:fldCharType="separate"/>
      </w:r>
      <w:r>
        <w:rPr>
          <w:lang w:val="en-GB"/>
        </w:rPr>
        <w:t>(1)</w:t>
      </w:r>
      <w:r w:rsidRPr="00912136">
        <w:fldChar w:fldCharType="end"/>
      </w:r>
      <w:r w:rsidRPr="00912136">
        <w:t xml:space="preserve"> and </w:t>
      </w:r>
      <w:r w:rsidRPr="00912136">
        <w:rPr>
          <w:i/>
        </w:rPr>
        <w:t>Private Lives 3</w:t>
      </w:r>
      <w:r w:rsidRPr="00912136">
        <w:fldChar w:fldCharType="begin"/>
      </w:r>
      <w:r>
        <w:instrText xml:space="preserve"> ADDIN ZOTERO_ITEM CSL_CITATION {"citationID":"tRIu5bMM","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912136">
        <w:fldChar w:fldCharType="separate"/>
      </w:r>
      <w:r>
        <w:rPr>
          <w:lang w:val="en-GB"/>
        </w:rPr>
        <w:t>(2)</w:t>
      </w:r>
      <w:r w:rsidRPr="00912136">
        <w:fldChar w:fldCharType="end"/>
      </w:r>
      <w:r w:rsidRPr="00A651F8">
        <w:t xml:space="preserve"> national reports.</w:t>
      </w:r>
      <w:r>
        <w:t xml:space="preserve"> In turn, </w:t>
      </w:r>
      <w:r w:rsidRPr="00A651F8">
        <w:t>LGBTQA+ people with disability reported substantially greater challenges and poorer outcomes than LGBTQA+ people without disability, including experiences of violence, abuse and neglect. In many instances, large majorities of both young people and adults with disability reported these challenges. Experiences of abuse were also reported in relation to service systems, in intimate relationships and families. Adults categorised with more severe disabilities appear to be at even higher risk of abuse and a host of negative outcomes. It was also often the case that young people with both intellectual disability and autism</w:t>
      </w:r>
      <w:r>
        <w:t>/</w:t>
      </w:r>
      <w:r w:rsidRPr="00A651F8">
        <w:t>neurodiversity had poorer outcomes. In some instances, those with intellectual disability with or without autism</w:t>
      </w:r>
      <w:r>
        <w:t>/</w:t>
      </w:r>
      <w:r w:rsidRPr="00A651F8">
        <w:t xml:space="preserve">neurodiversity also had particularly poorer outcomes, such as verbal, physical and sexual harassment or assault. The impact of this in the lives of LGBTQA+ </w:t>
      </w:r>
      <w:r>
        <w:t xml:space="preserve">people </w:t>
      </w:r>
      <w:r w:rsidRPr="00A651F8">
        <w:t xml:space="preserve">with disability is significant and may be reflected in the high numbers reporting suicidal ideation and suicide attempts, higher than those without disability. </w:t>
      </w:r>
    </w:p>
    <w:p w14:paraId="14A37628" w14:textId="77777777" w:rsidR="009D0006" w:rsidRDefault="009D0006" w:rsidP="009D0006">
      <w:pPr>
        <w:rPr>
          <w:lang w:val="en-GB"/>
        </w:rPr>
      </w:pPr>
      <w:r w:rsidRPr="00A651F8">
        <w:lastRenderedPageBreak/>
        <w:t xml:space="preserve">While these experiences were high among all subpopulations, findings revealed in this report point to priority populations and key issues that require </w:t>
      </w:r>
      <w:r w:rsidRPr="00A651F8">
        <w:rPr>
          <w:lang w:val="en-GB"/>
        </w:rPr>
        <w:t xml:space="preserve">specific initiatives for LGBTQA+ people with disability in Australia including: </w:t>
      </w:r>
    </w:p>
    <w:p w14:paraId="5DF88ECE" w14:textId="77777777" w:rsidR="009D0006" w:rsidRPr="00A651F8" w:rsidRDefault="009D0006" w:rsidP="000256CF">
      <w:pPr>
        <w:pStyle w:val="Bulletlist"/>
        <w:rPr>
          <w:lang w:val="en-GB"/>
        </w:rPr>
      </w:pPr>
      <w:r w:rsidRPr="00A651F8">
        <w:rPr>
          <w:lang w:val="en-GB"/>
        </w:rPr>
        <w:t>High rates of suicidal ideation and suicide attempts, particularly among young people aged 14-21</w:t>
      </w:r>
      <w:r>
        <w:rPr>
          <w:lang w:val="en-GB"/>
        </w:rPr>
        <w:t xml:space="preserve"> years</w:t>
      </w:r>
      <w:r w:rsidRPr="00A651F8">
        <w:rPr>
          <w:lang w:val="en-GB"/>
        </w:rPr>
        <w:t>, people with intellectual disability and trans and gender diverse people.</w:t>
      </w:r>
    </w:p>
    <w:p w14:paraId="238B7078" w14:textId="77777777" w:rsidR="009D0006" w:rsidRPr="00A651F8" w:rsidRDefault="009D0006" w:rsidP="000256CF">
      <w:pPr>
        <w:pStyle w:val="Bulletlist"/>
        <w:rPr>
          <w:lang w:val="en-GB"/>
        </w:rPr>
      </w:pPr>
      <w:r w:rsidRPr="00A651F8">
        <w:rPr>
          <w:lang w:val="en-GB"/>
        </w:rPr>
        <w:t>High rates of harassment, abuse and neglect based on sexual orientation and/or gender identity, particularly at home among young people aged 14-21</w:t>
      </w:r>
      <w:r>
        <w:rPr>
          <w:lang w:val="en-GB"/>
        </w:rPr>
        <w:t xml:space="preserve"> years</w:t>
      </w:r>
      <w:r w:rsidRPr="00A651F8">
        <w:rPr>
          <w:lang w:val="en-GB"/>
        </w:rPr>
        <w:t>.</w:t>
      </w:r>
    </w:p>
    <w:p w14:paraId="37667A32" w14:textId="77777777" w:rsidR="009D0006" w:rsidRPr="00A651F8" w:rsidRDefault="009D0006" w:rsidP="000256CF">
      <w:pPr>
        <w:pStyle w:val="Bulletlist"/>
        <w:rPr>
          <w:lang w:val="en-GB"/>
        </w:rPr>
      </w:pPr>
      <w:r w:rsidRPr="00A651F8">
        <w:rPr>
          <w:lang w:val="en-GB"/>
        </w:rPr>
        <w:t>High levels of family violence, including from parents, and low levels of reporting or satisfaction with support from services.</w:t>
      </w:r>
    </w:p>
    <w:p w14:paraId="716A9864" w14:textId="77777777" w:rsidR="009D0006" w:rsidRDefault="009D0006" w:rsidP="000256CF">
      <w:pPr>
        <w:pStyle w:val="Bulletlist"/>
        <w:rPr>
          <w:lang w:val="en-GB"/>
        </w:rPr>
      </w:pPr>
      <w:r w:rsidRPr="00A651F8">
        <w:rPr>
          <w:lang w:val="en-GB"/>
        </w:rPr>
        <w:t>Low levels of support from disability support services and the NDIS regarding LGBTIQ people and their needs.</w:t>
      </w:r>
    </w:p>
    <w:p w14:paraId="2165386E" w14:textId="77777777" w:rsidR="009D0006" w:rsidRDefault="009D0006" w:rsidP="009D0006">
      <w:r w:rsidRPr="00A651F8">
        <w:t>The findings detailed in this report suggest a need for urgent intervention at systemic and service levels. Legislative, policy and practice initiatives aimed at safeguarding people with disability need to include a focus on LGBTQA+ young people and adults. The findings also suggest that investment and resources are needed to ensure that LGBTQA+ people with disability have the opportunity to live, work or learn in spaces where they feel safe and respected, as well as ensuring support for their health and wellbeing. These issues are the subject of recommendations detailed in the following sections.</w:t>
      </w:r>
    </w:p>
    <w:p w14:paraId="4332906E" w14:textId="77777777" w:rsidR="009D0006" w:rsidRDefault="009D0006" w:rsidP="009D0006">
      <w:pPr>
        <w:rPr>
          <w:lang w:val="en-GB"/>
        </w:rPr>
      </w:pPr>
      <w:r w:rsidRPr="00A651F8">
        <w:rPr>
          <w:lang w:val="en-GB"/>
        </w:rPr>
        <w:t xml:space="preserve">While findings from this report help provide greater understanding of the nature, extent and impact </w:t>
      </w:r>
      <w:r w:rsidRPr="00A651F8">
        <w:t>of violence, abuse, neglect or exploitation experienced by LGBTQA+ people with disability</w:t>
      </w:r>
      <w:r w:rsidRPr="00A651F8">
        <w:rPr>
          <w:lang w:val="en-GB"/>
        </w:rPr>
        <w:t xml:space="preserve">, further research is required to develop and evaluate interventions that seek to address them. As such, recommendations </w:t>
      </w:r>
      <w:r>
        <w:rPr>
          <w:lang w:val="en-GB"/>
        </w:rPr>
        <w:t xml:space="preserve">have also been included </w:t>
      </w:r>
      <w:r w:rsidRPr="00A651F8">
        <w:rPr>
          <w:lang w:val="en-GB"/>
        </w:rPr>
        <w:t xml:space="preserve">to inform future research in this sector. </w:t>
      </w:r>
    </w:p>
    <w:p w14:paraId="05DB95D8" w14:textId="1E1FCBB4" w:rsidR="009D0006" w:rsidRDefault="009D0006" w:rsidP="0075118A">
      <w:pPr>
        <w:pStyle w:val="Heading2Numbered"/>
      </w:pPr>
      <w:bookmarkStart w:id="988" w:name="_Toc115968691"/>
      <w:bookmarkStart w:id="989" w:name="_Toc119662493"/>
      <w:r w:rsidRPr="00A651F8">
        <w:t>Recommendations for structural and policy-level intervention</w:t>
      </w:r>
      <w:bookmarkEnd w:id="988"/>
      <w:bookmarkEnd w:id="989"/>
    </w:p>
    <w:p w14:paraId="541036B1" w14:textId="77777777" w:rsidR="009D0006" w:rsidRDefault="009D0006" w:rsidP="009D0006">
      <w:pPr>
        <w:rPr>
          <w:lang w:val="en-GB"/>
        </w:rPr>
      </w:pPr>
      <w:r>
        <w:rPr>
          <w:lang w:val="en-GB"/>
        </w:rPr>
        <w:t xml:space="preserve">A range of entities and institutions, policies and strategies exist at all levels of government to guide service design, delivery, quality control and safeguarding of people with disability, the majority of which appear insufficient in their capacity to prevent the violence, abuse and neglect of LGBTQA+ people with disability that has been identified in </w:t>
      </w:r>
      <w:r>
        <w:rPr>
          <w:lang w:val="en-GB"/>
        </w:rPr>
        <w:lastRenderedPageBreak/>
        <w:t xml:space="preserve">this report. As a precursor to implementing the recommendations that follow, a comprehensive and robust review needs to be resourced to undertake an examination of existing disability policies, strategies, systems and processes and the extent to which these attend to or disadvantage LGBTIQ people with disability. Beyond just naming broad categories of the NDIA, policy makers and legislators, this process would enable the identification of the specific entities and institutions whose policies, strategies and process are in most need of development to meet their obligations and deliver on the recommendation that follow. </w:t>
      </w:r>
    </w:p>
    <w:p w14:paraId="1277E56B" w14:textId="77777777" w:rsidR="009D0006" w:rsidRDefault="009D0006" w:rsidP="000256CF">
      <w:pPr>
        <w:pStyle w:val="Bulletlist"/>
        <w:rPr>
          <w:lang w:val="en-GB"/>
        </w:rPr>
      </w:pPr>
      <w:r w:rsidRPr="00A651F8">
        <w:rPr>
          <w:b/>
          <w:bCs/>
          <w:lang w:val="en-GB"/>
        </w:rPr>
        <w:t xml:space="preserve">Inclusion of LGBTQA+ people with disability in key strategic </w:t>
      </w:r>
      <w:r>
        <w:rPr>
          <w:b/>
          <w:bCs/>
          <w:lang w:val="en-GB"/>
        </w:rPr>
        <w:t xml:space="preserve">policy </w:t>
      </w:r>
      <w:r w:rsidRPr="00A651F8">
        <w:rPr>
          <w:b/>
          <w:bCs/>
          <w:lang w:val="en-GB"/>
        </w:rPr>
        <w:t>frameworks</w:t>
      </w:r>
      <w:r w:rsidRPr="00A651F8">
        <w:rPr>
          <w:lang w:val="en-GB"/>
        </w:rPr>
        <w:t xml:space="preserve">. </w:t>
      </w:r>
      <w:r>
        <w:rPr>
          <w:lang w:val="en-GB"/>
        </w:rPr>
        <w:t>Across Australia the relevant disability legislation and regulatory standards for service or education settings which seek to address and prevent v</w:t>
      </w:r>
      <w:r w:rsidRPr="00E57E14">
        <w:rPr>
          <w:lang w:val="en-GB"/>
        </w:rPr>
        <w:t>iolence, abuse, neglect and exploitation of</w:t>
      </w:r>
      <w:r>
        <w:rPr>
          <w:lang w:val="en-GB"/>
        </w:rPr>
        <w:t xml:space="preserve"> people with disability rarely include any explicit reference to LGBTIQA+ people within this group, and very few states and territories have regulatory standards or policy frameworks like these for LGBTIQ people, leaving this group uniquely vulnerable. </w:t>
      </w:r>
      <w:r w:rsidRPr="00A651F8">
        <w:rPr>
          <w:lang w:val="en-GB"/>
        </w:rPr>
        <w:t xml:space="preserve">Inclusion of </w:t>
      </w:r>
      <w:r>
        <w:rPr>
          <w:lang w:val="en-GB"/>
        </w:rPr>
        <w:t xml:space="preserve">people with a </w:t>
      </w:r>
      <w:r w:rsidRPr="00A651F8">
        <w:rPr>
          <w:lang w:val="en-GB"/>
        </w:rPr>
        <w:t>disability</w:t>
      </w:r>
      <w:r>
        <w:rPr>
          <w:lang w:val="en-GB"/>
        </w:rPr>
        <w:t xml:space="preserve"> and LGBTQA+ people should be </w:t>
      </w:r>
      <w:r w:rsidRPr="00A651F8">
        <w:rPr>
          <w:lang w:val="en-GB"/>
        </w:rPr>
        <w:t xml:space="preserve">required in all government health and wellbeing policy frameworks </w:t>
      </w:r>
      <w:r>
        <w:rPr>
          <w:lang w:val="en-GB"/>
        </w:rPr>
        <w:t xml:space="preserve">and regulatory standards </w:t>
      </w:r>
      <w:r w:rsidRPr="00A651F8">
        <w:rPr>
          <w:lang w:val="en-GB"/>
        </w:rPr>
        <w:t xml:space="preserve">as </w:t>
      </w:r>
      <w:r>
        <w:rPr>
          <w:lang w:val="en-GB"/>
        </w:rPr>
        <w:t xml:space="preserve">overlapping </w:t>
      </w:r>
      <w:r w:rsidRPr="00A651F8">
        <w:rPr>
          <w:lang w:val="en-GB"/>
        </w:rPr>
        <w:t>key priority populations, with specific and explicit regulatory and practice standard requirements to provide safe and inclusive environments for LGBTQA+ people with disability.</w:t>
      </w:r>
    </w:p>
    <w:p w14:paraId="1CA8F478" w14:textId="77777777" w:rsidR="009D0006" w:rsidRDefault="009D0006" w:rsidP="000256CF">
      <w:pPr>
        <w:pStyle w:val="Bulletlist"/>
        <w:rPr>
          <w:lang w:val="en-GB"/>
        </w:rPr>
      </w:pPr>
      <w:r w:rsidRPr="00A651F8">
        <w:rPr>
          <w:b/>
          <w:bCs/>
          <w:lang w:val="en-GB"/>
        </w:rPr>
        <w:t>Disability sector-level capacity building to ensure LGBTQA+ inclusion</w:t>
      </w:r>
      <w:r w:rsidRPr="00A651F8">
        <w:rPr>
          <w:lang w:val="en-GB"/>
        </w:rPr>
        <w:t>. Capacity building strategies and resourcing are required to improve the disability support services sectors’ capabilities for providing inclusive and culturally safe environments for LGBTQA+ people with disability. These need to be co-designed with lead government agencies, LGBTQA+ capacity building experts from these communities and LGBTQA+ people with disability and be underpinned by key standards and/or accreditation for inclusivity and cultural safety as well as transparency and accountability at every stage.</w:t>
      </w:r>
      <w:r>
        <w:rPr>
          <w:lang w:val="en-GB"/>
        </w:rPr>
        <w:t xml:space="preserve"> While the findings detailed in this report do not speak to the needs of people with disability and with an intersex variation (due to an insufficient sample), it is crucial that the disability sector attend to the unique needs of this population as it develops more affirming practice.</w:t>
      </w:r>
    </w:p>
    <w:p w14:paraId="18B754B8" w14:textId="77777777" w:rsidR="009D0006" w:rsidRDefault="009D0006" w:rsidP="000256CF">
      <w:pPr>
        <w:pStyle w:val="Bulletlist"/>
        <w:rPr>
          <w:lang w:val="en-GB"/>
        </w:rPr>
      </w:pPr>
      <w:r w:rsidRPr="00A651F8">
        <w:rPr>
          <w:b/>
          <w:bCs/>
          <w:lang w:val="en-GB"/>
        </w:rPr>
        <w:t>Routine capture of LGBTQA+ related data in the disability sector</w:t>
      </w:r>
      <w:r w:rsidRPr="00A651F8">
        <w:rPr>
          <w:lang w:val="en-GB"/>
        </w:rPr>
        <w:t>.</w:t>
      </w:r>
      <w:r w:rsidRPr="00677156">
        <w:t xml:space="preserve"> </w:t>
      </w:r>
      <w:r w:rsidRPr="00677156">
        <w:rPr>
          <w:lang w:val="en-GB"/>
        </w:rPr>
        <w:t xml:space="preserve">Mandating the LGBTIQ inclusive questions on gender, pronouns, sexuality, and intersex status is necessary across data gathering and reporting in the disability sector. </w:t>
      </w:r>
      <w:r w:rsidRPr="00677156">
        <w:rPr>
          <w:lang w:val="en-GB"/>
        </w:rPr>
        <w:lastRenderedPageBreak/>
        <w:t>This requires capacity building to ensure cultural competence in the staff gathering this information and systems and processes enabling cultural safety for the clients providing this information.</w:t>
      </w:r>
      <w:r w:rsidRPr="00A651F8">
        <w:rPr>
          <w:lang w:val="en-GB"/>
        </w:rPr>
        <w:t xml:space="preserve"> This action should be required of all organisations and services, including those delivered by faith-based organisations. </w:t>
      </w:r>
    </w:p>
    <w:p w14:paraId="4C39E85E" w14:textId="77777777" w:rsidR="009D0006" w:rsidRPr="00E26C3C" w:rsidRDefault="009D0006" w:rsidP="000256CF">
      <w:pPr>
        <w:pStyle w:val="Bulletlist"/>
        <w:rPr>
          <w:lang w:val="en-GB"/>
        </w:rPr>
      </w:pPr>
      <w:r w:rsidRPr="00E26C3C">
        <w:rPr>
          <w:b/>
          <w:bCs/>
          <w:lang w:val="en-GB"/>
        </w:rPr>
        <w:t>Campaigns to target the social drivers</w:t>
      </w:r>
      <w:r>
        <w:rPr>
          <w:b/>
          <w:bCs/>
          <w:lang w:val="en-GB"/>
        </w:rPr>
        <w:t xml:space="preserve"> of abuse and neglect</w:t>
      </w:r>
      <w:r w:rsidRPr="00E26C3C">
        <w:rPr>
          <w:b/>
          <w:bCs/>
          <w:lang w:val="en-GB"/>
        </w:rPr>
        <w:t>.</w:t>
      </w:r>
      <w:r>
        <w:rPr>
          <w:lang w:val="en-GB"/>
        </w:rPr>
        <w:t xml:space="preserve"> There is a need for campaigns that seek to change the social drivers of discrimination and violence (ableism, heteronormativity and cisnormativity) at a whole of community level. These campaigns should be co-designed with LGBTIQ people with a disability, and delivered in a range of contexts, including public spaces, schools, sporting and cultural clubs, workplaces, etc.</w:t>
      </w:r>
    </w:p>
    <w:p w14:paraId="64942999" w14:textId="676B370B" w:rsidR="009D0006" w:rsidRDefault="009D0006" w:rsidP="0075118A">
      <w:pPr>
        <w:pStyle w:val="Heading2Numbered"/>
      </w:pPr>
      <w:bookmarkStart w:id="990" w:name="_Toc115968692"/>
      <w:bookmarkStart w:id="991" w:name="_Toc119662494"/>
      <w:r w:rsidRPr="00A651F8">
        <w:t>Recommendations for service-level intervention</w:t>
      </w:r>
      <w:bookmarkEnd w:id="990"/>
      <w:bookmarkEnd w:id="991"/>
    </w:p>
    <w:p w14:paraId="230CCF6A" w14:textId="77777777" w:rsidR="009D0006" w:rsidRPr="0036586B" w:rsidRDefault="009D0006" w:rsidP="009D0006">
      <w:r w:rsidRPr="00A651F8">
        <w:t>A wide range of organisations and stakeholders deliver services to people with disability in efforts to maintain and improve their health and wellbeing. LGBTQA+ people with disability have a right to expect a safe, inclusive service in which they are treated with respect, regardless of whether this service is LGBTQA+ specific or not</w:t>
      </w:r>
      <w:r>
        <w:t xml:space="preserve"> and the NDIA has a clear role in coordinating activity across the disability sector to ensure such rights are realised</w:t>
      </w:r>
      <w:r w:rsidRPr="00A651F8">
        <w:t xml:space="preserve">. </w:t>
      </w:r>
      <w:r>
        <w:t>The NDIA ‘LGBTIQA+ Strategy; our bodies, our genders and our relationships’ makes steps to better ensure inclusive practice within the internal divisions of the agency with acknowledgement of the need to improve organisational attitudes, the approach to LGBTIQ community engagement and data collection and evaluation</w:t>
      </w:r>
      <w:r>
        <w:fldChar w:fldCharType="begin"/>
      </w:r>
      <w:r>
        <w:instrText xml:space="preserve"> ADDIN ZOTERO_ITEM CSL_CITATION {"citationID":"Oo8wqcFd","properties":{"formattedCitation":"(102)","plainCitation":"(102)","noteIndex":0},"citationItems":[{"id":6202,"uris":["http://zotero.org/users/7230459/items/L7JIKFRR"],"itemData":{"id":6202,"type":"report","event-place":"Australia","publisher":"NDIS","publisher-place":"Australia","title":"LGBTIQA+ Strategy: Our bodies, our genders and our relationships","URL":"https://www.ndis.gov.au/about-us/strategies/lgbtiqa-strategy","author":[{"family":"National Disability Insurance Agency","given":""}],"accessed":{"date-parts":[["2022",4,29]]},"issued":{"date-parts":[["2020"]]},"citation-key":"nationaldisabilityinsuranceagencyLGBTIQAStrategyOur2020"}}],"schema":"https://github.com/citation-style-language/schema/raw/master/csl-citation.json"} </w:instrText>
      </w:r>
      <w:r>
        <w:fldChar w:fldCharType="separate"/>
      </w:r>
      <w:r>
        <w:rPr>
          <w:noProof/>
        </w:rPr>
        <w:t>(102)</w:t>
      </w:r>
      <w:r>
        <w:fldChar w:fldCharType="end"/>
      </w:r>
      <w:r>
        <w:t xml:space="preserve"> However, the strategy does not outline its expectations of NDIS service providers, nor how the NDIA will support them, to acknowledge and actively engage with LGBTIQ people with disability to deliver NDIS funded services that are LGBTIQ culturally safe. The delivery of the recommendations that follow could be enabled by clear direction to NDIS service providers on the obligations to work with LGBTQA+ clients in safe and affirming ways, and the provision of sufficient resources to build their capacity to do so. </w:t>
      </w:r>
    </w:p>
    <w:p w14:paraId="3D7DE083" w14:textId="77777777" w:rsidR="009D0006" w:rsidRDefault="009D0006" w:rsidP="00666785">
      <w:pPr>
        <w:pStyle w:val="Bulletlist"/>
        <w:rPr>
          <w:lang w:val="en-GB"/>
        </w:rPr>
      </w:pPr>
      <w:r w:rsidRPr="00A651F8">
        <w:rPr>
          <w:b/>
          <w:bCs/>
          <w:lang w:val="en-GB"/>
        </w:rPr>
        <w:t>Interorganisational and inter-sector skills sharing for action</w:t>
      </w:r>
      <w:r w:rsidRPr="00A651F8">
        <w:rPr>
          <w:lang w:val="en-GB"/>
        </w:rPr>
        <w:t xml:space="preserve">. Recognising their intersecting expertise, we recommend that resources be made available for LGBTQA+ community-controlled organisations, national and community-controlled disability organisations and family and domestic violence organisations to work </w:t>
      </w:r>
      <w:r w:rsidRPr="00A651F8">
        <w:rPr>
          <w:lang w:val="en-GB"/>
        </w:rPr>
        <w:lastRenderedPageBreak/>
        <w:t xml:space="preserve">together to provide education, training and campaigns aimed at tackling </w:t>
      </w:r>
      <w:r w:rsidRPr="00A651F8">
        <w:t xml:space="preserve">violence, abuse, neglect or exploitation </w:t>
      </w:r>
      <w:r w:rsidRPr="00A651F8">
        <w:rPr>
          <w:lang w:val="en-GB"/>
        </w:rPr>
        <w:t xml:space="preserve">directed towards LGBTQA+ people with disability. </w:t>
      </w:r>
    </w:p>
    <w:p w14:paraId="211AD49D" w14:textId="77777777" w:rsidR="009D0006" w:rsidRDefault="009D0006" w:rsidP="00666785">
      <w:pPr>
        <w:pStyle w:val="Bulletlist"/>
        <w:numPr>
          <w:ilvl w:val="0"/>
          <w:numId w:val="32"/>
        </w:numPr>
        <w:tabs>
          <w:tab w:val="clear" w:pos="720"/>
          <w:tab w:val="left" w:pos="1560"/>
        </w:tabs>
        <w:ind w:left="1276" w:hanging="567"/>
        <w:rPr>
          <w:lang w:val="en-GB"/>
        </w:rPr>
      </w:pPr>
      <w:r w:rsidRPr="00A651F8">
        <w:rPr>
          <w:lang w:val="en-GB"/>
        </w:rPr>
        <w:t>This work could take the form of a nationally resourced and coordinated network that develops targeted actions within respective sectors to improve safe LGBTQA+-affirming services and includes a Community of Practice to share models of working.</w:t>
      </w:r>
    </w:p>
    <w:p w14:paraId="1D5B4867" w14:textId="77777777" w:rsidR="009D0006" w:rsidRDefault="009D0006" w:rsidP="00666785">
      <w:pPr>
        <w:pStyle w:val="Bulletlist"/>
        <w:numPr>
          <w:ilvl w:val="0"/>
          <w:numId w:val="32"/>
        </w:numPr>
        <w:tabs>
          <w:tab w:val="clear" w:pos="720"/>
          <w:tab w:val="left" w:pos="1560"/>
        </w:tabs>
        <w:ind w:left="1276" w:hanging="567"/>
        <w:rPr>
          <w:lang w:val="en-GB"/>
        </w:rPr>
      </w:pPr>
      <w:r w:rsidRPr="00A651F8">
        <w:rPr>
          <w:lang w:val="en-GB"/>
        </w:rPr>
        <w:t xml:space="preserve">The work of such a network should include addressing </w:t>
      </w:r>
      <w:r w:rsidRPr="00A651F8">
        <w:t>violence, abuse, neglect or exploitation toward</w:t>
      </w:r>
      <w:r w:rsidRPr="00A651F8">
        <w:rPr>
          <w:lang w:val="en-GB"/>
        </w:rPr>
        <w:t xml:space="preserve"> LGBTQA+ people with a disability that is motivated by the combination of social drivers relevant to </w:t>
      </w:r>
      <w:r>
        <w:rPr>
          <w:lang w:val="en-GB"/>
        </w:rPr>
        <w:t xml:space="preserve">the intersectional experiences of LGBTQA+ people and people with a </w:t>
      </w:r>
      <w:r w:rsidRPr="00A651F8">
        <w:rPr>
          <w:lang w:val="en-GB"/>
        </w:rPr>
        <w:t xml:space="preserve">disability. Initiatives should also include the experiences of LGBTQA+ people with </w:t>
      </w:r>
      <w:r>
        <w:rPr>
          <w:lang w:val="en-GB"/>
        </w:rPr>
        <w:t xml:space="preserve">additional </w:t>
      </w:r>
      <w:r w:rsidRPr="00A651F8">
        <w:rPr>
          <w:lang w:val="en-GB"/>
        </w:rPr>
        <w:t>intersecting experiences</w:t>
      </w:r>
      <w:r>
        <w:rPr>
          <w:lang w:val="en-GB"/>
        </w:rPr>
        <w:t>, such as those</w:t>
      </w:r>
      <w:r w:rsidRPr="00A651F8">
        <w:rPr>
          <w:lang w:val="en-GB"/>
        </w:rPr>
        <w:t xml:space="preserve"> examined in this report</w:t>
      </w:r>
      <w:r>
        <w:rPr>
          <w:lang w:val="en-GB"/>
        </w:rPr>
        <w:t>,</w:t>
      </w:r>
      <w:r w:rsidRPr="00A651F8">
        <w:rPr>
          <w:lang w:val="en-GB"/>
        </w:rPr>
        <w:t xml:space="preserve"> that further heighten their risk of experiencing harassment, violence and abuse. </w:t>
      </w:r>
    </w:p>
    <w:p w14:paraId="51F56831" w14:textId="77777777" w:rsidR="009D0006" w:rsidRDefault="009D0006" w:rsidP="00666785">
      <w:pPr>
        <w:pStyle w:val="Bulletlist"/>
        <w:rPr>
          <w:lang w:val="en-GB"/>
        </w:rPr>
      </w:pPr>
      <w:r w:rsidRPr="00A651F8">
        <w:rPr>
          <w:b/>
          <w:bCs/>
          <w:lang w:val="en-GB"/>
        </w:rPr>
        <w:t>LGBTQA-affirmative support training</w:t>
      </w:r>
      <w:r w:rsidRPr="00A651F8">
        <w:rPr>
          <w:lang w:val="en-GB"/>
        </w:rPr>
        <w:t xml:space="preserve">. There is a need for disability support organisations to better understand </w:t>
      </w:r>
      <w:r>
        <w:rPr>
          <w:lang w:val="en-GB"/>
        </w:rPr>
        <w:t xml:space="preserve">and appropriately respond to </w:t>
      </w:r>
      <w:r w:rsidRPr="00A651F8">
        <w:rPr>
          <w:lang w:val="en-GB"/>
        </w:rPr>
        <w:t>the intersection</w:t>
      </w:r>
      <w:r>
        <w:rPr>
          <w:lang w:val="en-GB"/>
        </w:rPr>
        <w:t>al experiences of those with</w:t>
      </w:r>
      <w:r w:rsidRPr="00A651F8">
        <w:rPr>
          <w:lang w:val="en-GB"/>
        </w:rPr>
        <w:t xml:space="preserve"> disability and LGBTQA+ identity and how these can shape unique experiences</w:t>
      </w:r>
      <w:r>
        <w:rPr>
          <w:lang w:val="en-GB"/>
        </w:rPr>
        <w:t>,</w:t>
      </w:r>
      <w:r w:rsidRPr="00A651F8">
        <w:rPr>
          <w:lang w:val="en-GB"/>
        </w:rPr>
        <w:t xml:space="preserve"> challenges</w:t>
      </w:r>
      <w:r>
        <w:rPr>
          <w:lang w:val="en-GB"/>
        </w:rPr>
        <w:t>, and support needs</w:t>
      </w:r>
      <w:r w:rsidRPr="00A651F8">
        <w:rPr>
          <w:lang w:val="en-GB"/>
        </w:rPr>
        <w:t xml:space="preserve">. Such organisations should ensure all staff are trained to provide safe, LGBTQA+-affirming support to clients and service users. This should include facilitating </w:t>
      </w:r>
      <w:r>
        <w:rPr>
          <w:lang w:val="en-GB"/>
        </w:rPr>
        <w:t xml:space="preserve">inclusive and </w:t>
      </w:r>
      <w:r w:rsidRPr="00A651F8">
        <w:rPr>
          <w:lang w:val="en-GB"/>
        </w:rPr>
        <w:t xml:space="preserve">safe environments for </w:t>
      </w:r>
      <w:r>
        <w:rPr>
          <w:lang w:val="en-GB"/>
        </w:rPr>
        <w:t xml:space="preserve">learning about, discussing, and expressing or identifying their own </w:t>
      </w:r>
      <w:r w:rsidRPr="00A651F8">
        <w:rPr>
          <w:lang w:val="en-GB"/>
        </w:rPr>
        <w:t>sexuality</w:t>
      </w:r>
      <w:r>
        <w:rPr>
          <w:lang w:val="en-GB"/>
        </w:rPr>
        <w:t>,</w:t>
      </w:r>
      <w:r w:rsidRPr="00A651F8">
        <w:rPr>
          <w:lang w:val="en-GB"/>
        </w:rPr>
        <w:t xml:space="preserve"> gender </w:t>
      </w:r>
      <w:r>
        <w:rPr>
          <w:lang w:val="en-GB"/>
        </w:rPr>
        <w:t>identity or intersex status</w:t>
      </w:r>
      <w:r w:rsidRPr="00A651F8">
        <w:rPr>
          <w:lang w:val="en-GB"/>
        </w:rPr>
        <w:t xml:space="preserve"> </w:t>
      </w:r>
      <w:r>
        <w:rPr>
          <w:lang w:val="en-GB"/>
        </w:rPr>
        <w:t>which also supportively facilitate</w:t>
      </w:r>
      <w:r w:rsidRPr="00A651F8">
        <w:rPr>
          <w:lang w:val="en-GB"/>
        </w:rPr>
        <w:t xml:space="preserve"> connection</w:t>
      </w:r>
      <w:r>
        <w:rPr>
          <w:lang w:val="en-GB"/>
        </w:rPr>
        <w:t>s</w:t>
      </w:r>
      <w:r w:rsidRPr="00A651F8">
        <w:rPr>
          <w:lang w:val="en-GB"/>
        </w:rPr>
        <w:t xml:space="preserve"> to LGBTQA+ communities and cultures</w:t>
      </w:r>
      <w:r>
        <w:rPr>
          <w:lang w:val="en-GB"/>
        </w:rPr>
        <w:t xml:space="preserve"> with equal emphasis of</w:t>
      </w:r>
      <w:r w:rsidRPr="00A651F8">
        <w:rPr>
          <w:lang w:val="en-GB"/>
        </w:rPr>
        <w:t xml:space="preserve"> importan</w:t>
      </w:r>
      <w:r>
        <w:rPr>
          <w:lang w:val="en-GB"/>
        </w:rPr>
        <w:t>ce</w:t>
      </w:r>
      <w:r w:rsidRPr="00A651F8">
        <w:rPr>
          <w:lang w:val="en-GB"/>
        </w:rPr>
        <w:t xml:space="preserve"> </w:t>
      </w:r>
      <w:r>
        <w:rPr>
          <w:lang w:val="en-GB"/>
        </w:rPr>
        <w:t>to any other supports needed</w:t>
      </w:r>
      <w:r w:rsidRPr="00A651F8">
        <w:rPr>
          <w:lang w:val="en-GB"/>
        </w:rPr>
        <w:t xml:space="preserve"> for people with disability</w:t>
      </w:r>
      <w:r>
        <w:rPr>
          <w:lang w:val="en-GB"/>
        </w:rPr>
        <w:t xml:space="preserve"> to live fulfilling lives</w:t>
      </w:r>
      <w:r w:rsidRPr="00A651F8">
        <w:rPr>
          <w:lang w:val="en-GB"/>
        </w:rPr>
        <w:t>.</w:t>
      </w:r>
    </w:p>
    <w:p w14:paraId="4EAAF24C" w14:textId="77777777" w:rsidR="009D0006" w:rsidRDefault="009D0006" w:rsidP="00666785">
      <w:pPr>
        <w:pStyle w:val="Bulletlist"/>
        <w:rPr>
          <w:lang w:val="en-GB"/>
        </w:rPr>
      </w:pPr>
      <w:r w:rsidRPr="00A651F8">
        <w:rPr>
          <w:b/>
          <w:bCs/>
          <w:lang w:val="en-GB"/>
        </w:rPr>
        <w:t>Key support for people with an intellectual disability</w:t>
      </w:r>
      <w:r w:rsidRPr="00A651F8">
        <w:rPr>
          <w:lang w:val="en-GB"/>
        </w:rPr>
        <w:t xml:space="preserve">. Given the extent of harm evidenced in this report, there is particular need for </w:t>
      </w:r>
      <w:r>
        <w:rPr>
          <w:lang w:val="en-GB"/>
        </w:rPr>
        <w:t xml:space="preserve">evidence-based </w:t>
      </w:r>
      <w:r w:rsidRPr="00A651F8">
        <w:rPr>
          <w:lang w:val="en-GB"/>
        </w:rPr>
        <w:t>holistic sexuality and relationship education programs for people with intellectual disability that are affirming of LGBTQA+ identities. It is important that these projects are long-term</w:t>
      </w:r>
      <w:r>
        <w:rPr>
          <w:lang w:val="en-GB"/>
        </w:rPr>
        <w:t>, developed and delivered in co-design with LGBTQA+ people with intellectual disability</w:t>
      </w:r>
      <w:r w:rsidRPr="00A651F8">
        <w:rPr>
          <w:lang w:val="en-GB"/>
        </w:rPr>
        <w:t xml:space="preserve"> and</w:t>
      </w:r>
      <w:r>
        <w:rPr>
          <w:lang w:val="en-GB"/>
        </w:rPr>
        <w:t xml:space="preserve"> are accompanied by support and service environments that</w:t>
      </w:r>
      <w:r w:rsidRPr="00A651F8">
        <w:rPr>
          <w:lang w:val="en-GB"/>
        </w:rPr>
        <w:t xml:space="preserve"> continue to support the needs of L</w:t>
      </w:r>
      <w:r>
        <w:rPr>
          <w:lang w:val="en-GB"/>
        </w:rPr>
        <w:t>GB</w:t>
      </w:r>
      <w:r w:rsidRPr="00A651F8">
        <w:rPr>
          <w:lang w:val="en-GB"/>
        </w:rPr>
        <w:t>TQA+ people with disability on an ongoing basis.</w:t>
      </w:r>
    </w:p>
    <w:p w14:paraId="0F1E26ED" w14:textId="77777777" w:rsidR="009D0006" w:rsidRPr="00A651F8" w:rsidRDefault="009D0006" w:rsidP="00666785">
      <w:pPr>
        <w:pStyle w:val="Bulletlist"/>
        <w:rPr>
          <w:lang w:val="en-GB"/>
        </w:rPr>
      </w:pPr>
      <w:r w:rsidRPr="00A651F8">
        <w:rPr>
          <w:b/>
          <w:bCs/>
        </w:rPr>
        <w:t>Meaningful involvement of people with disability at every level</w:t>
      </w:r>
      <w:r w:rsidRPr="00A651F8">
        <w:t xml:space="preserve">. In line with principles of ‘nothing about us without us’, every opportunity should be taken to </w:t>
      </w:r>
      <w:r>
        <w:lastRenderedPageBreak/>
        <w:t xml:space="preserve">ensure LGBTQA+ people with disability are part of policy, service provision and community engagement interventions. This can include, but not be limited to: participation in lived experience advisory bodies; peer-support models; intervention co-design; or the </w:t>
      </w:r>
      <w:r w:rsidRPr="00A651F8">
        <w:t>provi</w:t>
      </w:r>
      <w:r>
        <w:t>sion of</w:t>
      </w:r>
      <w:r w:rsidRPr="00A651F8">
        <w:t xml:space="preserve"> training </w:t>
      </w:r>
      <w:r>
        <w:t>to</w:t>
      </w:r>
      <w:r w:rsidRPr="00A651F8">
        <w:t xml:space="preserve"> LGBTQA+ people with disability to become </w:t>
      </w:r>
      <w:r>
        <w:t>peer mentors, supporters, or skilled and employed professionals</w:t>
      </w:r>
      <w:r w:rsidRPr="00A651F8">
        <w:t xml:space="preserve"> in family violence, mental health and suicide prevention so as to reduce, and mitigate, the abuse and neglect of people with disability. </w:t>
      </w:r>
    </w:p>
    <w:p w14:paraId="12C8195C" w14:textId="7D7D155E" w:rsidR="009D0006" w:rsidRDefault="009D0006" w:rsidP="0075118A">
      <w:pPr>
        <w:pStyle w:val="Heading2Numbered"/>
      </w:pPr>
      <w:bookmarkStart w:id="992" w:name="_Toc115968693"/>
      <w:bookmarkStart w:id="993" w:name="_Toc119662495"/>
      <w:r w:rsidRPr="00A651F8">
        <w:t>Recommendations for community-level intervention</w:t>
      </w:r>
      <w:bookmarkEnd w:id="992"/>
      <w:bookmarkEnd w:id="993"/>
    </w:p>
    <w:p w14:paraId="218187EF" w14:textId="77777777" w:rsidR="009D0006" w:rsidRDefault="009D0006" w:rsidP="009D0006">
      <w:pPr>
        <w:rPr>
          <w:lang w:val="en-GB"/>
        </w:rPr>
      </w:pPr>
      <w:r w:rsidRPr="00A651F8">
        <w:rPr>
          <w:lang w:val="en-GB"/>
        </w:rPr>
        <w:t xml:space="preserve">This report details concerning data regarding the exclusion and isolation of LGBTQA+ people with disability, which exacerbates their exposure to neglect and abuse. It is for that reason that community-level interventions (i.e., those that engage interconnected groups of people, rather than individuals on a one-on-one basis) are required. </w:t>
      </w:r>
      <w:r>
        <w:rPr>
          <w:lang w:val="en-GB"/>
        </w:rPr>
        <w:t>We recommend</w:t>
      </w:r>
      <w:r w:rsidRPr="00A651F8">
        <w:rPr>
          <w:lang w:val="en-GB"/>
        </w:rPr>
        <w:t>:</w:t>
      </w:r>
    </w:p>
    <w:p w14:paraId="0148A76E" w14:textId="77777777" w:rsidR="009D0006" w:rsidRDefault="009D0006" w:rsidP="00666785">
      <w:pPr>
        <w:pStyle w:val="Bulletlist"/>
      </w:pPr>
      <w:r>
        <w:rPr>
          <w:b/>
          <w:bCs/>
        </w:rPr>
        <w:t>Best practice guidance and funded strategies to improve intersectional inclusion and cultural safety.</w:t>
      </w:r>
      <w:r>
        <w:rPr>
          <w:rFonts w:ascii="Calibri" w:hAnsi="Calibri"/>
        </w:rPr>
        <w:t> </w:t>
      </w:r>
      <w:r>
        <w:t xml:space="preserve">Experts in LGBTIQA+ inclusive practice and cultural safety, as well as experts in best-practice disability accessibility support frameworks, standards and quality safeguards, should be funded to collaborate on, and co-design with LGBTIQA+ people with disability, a range of resources, recommendations and guidelines to improve the holistic accessibility and safety of LGBTIQA+ people with disability in all service and community settings where they currently experience ableist, heteronormative or cisnormative barriers to their equitable access. These should bring together key principles, frameworks and best-practice standards from each area to inform guidelines and capacity building strategies for application in </w:t>
      </w:r>
      <w:r w:rsidRPr="00CA140B">
        <w:t>disability service settings, LGBTQA+ communities</w:t>
      </w:r>
      <w:r>
        <w:t xml:space="preserve"> and community venues</w:t>
      </w:r>
      <w:r w:rsidRPr="00CA140B">
        <w:t>, in schools and in the broader community</w:t>
      </w:r>
      <w:r>
        <w:t>.</w:t>
      </w:r>
      <w:r w:rsidRPr="00CA140B">
        <w:t xml:space="preserve"> </w:t>
      </w:r>
      <w:r>
        <w:t>These may include, but not be limited to:</w:t>
      </w:r>
    </w:p>
    <w:p w14:paraId="5B4BE500" w14:textId="77777777" w:rsidR="009D0006" w:rsidRPr="00022129" w:rsidRDefault="009D0006" w:rsidP="00666785">
      <w:pPr>
        <w:pStyle w:val="Bulletlist"/>
        <w:numPr>
          <w:ilvl w:val="0"/>
          <w:numId w:val="33"/>
        </w:numPr>
        <w:tabs>
          <w:tab w:val="clear" w:pos="720"/>
          <w:tab w:val="left" w:pos="1276"/>
        </w:tabs>
        <w:ind w:left="1134" w:hanging="425"/>
        <w:rPr>
          <w:lang w:val="en-GB"/>
        </w:rPr>
      </w:pPr>
      <w:r w:rsidRPr="00022129">
        <w:rPr>
          <w:lang w:val="en-GB"/>
        </w:rPr>
        <w:t xml:space="preserve">Guidelines </w:t>
      </w:r>
      <w:r>
        <w:rPr>
          <w:lang w:val="en-GB"/>
        </w:rPr>
        <w:t xml:space="preserve">and grant funding programs </w:t>
      </w:r>
      <w:r w:rsidRPr="00022129">
        <w:rPr>
          <w:lang w:val="en-GB"/>
        </w:rPr>
        <w:t>for LGBTIQA+ venues on improv</w:t>
      </w:r>
      <w:r>
        <w:rPr>
          <w:lang w:val="en-GB"/>
        </w:rPr>
        <w:t>ing</w:t>
      </w:r>
      <w:r w:rsidRPr="00022129">
        <w:rPr>
          <w:lang w:val="en-GB"/>
        </w:rPr>
        <w:t xml:space="preserve"> accessibility for </w:t>
      </w:r>
      <w:r>
        <w:rPr>
          <w:lang w:val="en-GB"/>
        </w:rPr>
        <w:t xml:space="preserve">people with </w:t>
      </w:r>
      <w:r w:rsidRPr="00022129">
        <w:rPr>
          <w:lang w:val="en-GB"/>
        </w:rPr>
        <w:t>physical, sensory and intellectual disability.</w:t>
      </w:r>
    </w:p>
    <w:p w14:paraId="099D1A21" w14:textId="77777777" w:rsidR="009D0006" w:rsidRPr="00022129" w:rsidRDefault="009D0006" w:rsidP="00666785">
      <w:pPr>
        <w:pStyle w:val="Bulletlist"/>
        <w:numPr>
          <w:ilvl w:val="0"/>
          <w:numId w:val="33"/>
        </w:numPr>
        <w:tabs>
          <w:tab w:val="clear" w:pos="720"/>
          <w:tab w:val="left" w:pos="1276"/>
        </w:tabs>
        <w:ind w:left="1134" w:hanging="425"/>
        <w:rPr>
          <w:lang w:val="en-GB"/>
        </w:rPr>
      </w:pPr>
      <w:r w:rsidRPr="00022129">
        <w:rPr>
          <w:lang w:val="en-GB"/>
        </w:rPr>
        <w:t>Easy English interpretations of LGBTIQ</w:t>
      </w:r>
      <w:r>
        <w:rPr>
          <w:lang w:val="en-GB"/>
        </w:rPr>
        <w:t>A+</w:t>
      </w:r>
      <w:r w:rsidRPr="00022129">
        <w:rPr>
          <w:lang w:val="en-GB"/>
        </w:rPr>
        <w:t xml:space="preserve"> </w:t>
      </w:r>
      <w:r>
        <w:rPr>
          <w:lang w:val="en-GB"/>
        </w:rPr>
        <w:t xml:space="preserve">community-controlled and peer support </w:t>
      </w:r>
      <w:r w:rsidRPr="00022129">
        <w:rPr>
          <w:lang w:val="en-GB"/>
        </w:rPr>
        <w:t>service</w:t>
      </w:r>
      <w:r>
        <w:rPr>
          <w:lang w:val="en-GB"/>
        </w:rPr>
        <w:t>’s</w:t>
      </w:r>
      <w:r w:rsidRPr="00022129">
        <w:rPr>
          <w:lang w:val="en-GB"/>
        </w:rPr>
        <w:t xml:space="preserve"> ephemera and campaigns</w:t>
      </w:r>
      <w:r>
        <w:rPr>
          <w:lang w:val="en-GB"/>
        </w:rPr>
        <w:t>.</w:t>
      </w:r>
      <w:r w:rsidRPr="00022129">
        <w:rPr>
          <w:lang w:val="en-GB"/>
        </w:rPr>
        <w:t xml:space="preserve">  </w:t>
      </w:r>
    </w:p>
    <w:p w14:paraId="6B001CDB" w14:textId="77777777" w:rsidR="009D0006" w:rsidRDefault="009D0006" w:rsidP="00666785">
      <w:pPr>
        <w:pStyle w:val="Bulletlist"/>
        <w:numPr>
          <w:ilvl w:val="0"/>
          <w:numId w:val="33"/>
        </w:numPr>
        <w:tabs>
          <w:tab w:val="clear" w:pos="720"/>
          <w:tab w:val="left" w:pos="1276"/>
        </w:tabs>
        <w:ind w:left="1134" w:hanging="425"/>
        <w:rPr>
          <w:lang w:val="en-GB"/>
        </w:rPr>
      </w:pPr>
      <w:r w:rsidRPr="00022129">
        <w:rPr>
          <w:lang w:val="en-GB"/>
        </w:rPr>
        <w:lastRenderedPageBreak/>
        <w:t xml:space="preserve">A disability </w:t>
      </w:r>
      <w:r>
        <w:rPr>
          <w:lang w:val="en-GB"/>
        </w:rPr>
        <w:t xml:space="preserve">service </w:t>
      </w:r>
      <w:r w:rsidRPr="00022129">
        <w:rPr>
          <w:lang w:val="en-GB"/>
        </w:rPr>
        <w:t xml:space="preserve">sector specific application tool and interpretation of accrediting evidence for the Rainbow Tick </w:t>
      </w:r>
      <w:r>
        <w:rPr>
          <w:lang w:val="en-GB"/>
        </w:rPr>
        <w:t>framework and accreditation standards.</w:t>
      </w:r>
    </w:p>
    <w:p w14:paraId="7E5FF896" w14:textId="77777777" w:rsidR="009D0006" w:rsidRDefault="009D0006" w:rsidP="00666785">
      <w:pPr>
        <w:pStyle w:val="Bulletlist"/>
        <w:numPr>
          <w:ilvl w:val="0"/>
          <w:numId w:val="33"/>
        </w:numPr>
        <w:tabs>
          <w:tab w:val="clear" w:pos="720"/>
          <w:tab w:val="left" w:pos="1276"/>
        </w:tabs>
        <w:ind w:left="1134" w:hanging="425"/>
        <w:rPr>
          <w:lang w:val="en-GB"/>
        </w:rPr>
      </w:pPr>
      <w:r>
        <w:rPr>
          <w:lang w:val="en-GB"/>
        </w:rPr>
        <w:t>Campaigns and programs combatting and preventing bullying of LGBTIQA+ young people with disability in mainstream and disability specialist schools.</w:t>
      </w:r>
    </w:p>
    <w:p w14:paraId="42D09C96" w14:textId="77777777" w:rsidR="009D0006" w:rsidRPr="00022129" w:rsidRDefault="009D0006" w:rsidP="00666785">
      <w:pPr>
        <w:pStyle w:val="Bulletlist"/>
        <w:numPr>
          <w:ilvl w:val="0"/>
          <w:numId w:val="33"/>
        </w:numPr>
        <w:tabs>
          <w:tab w:val="clear" w:pos="720"/>
          <w:tab w:val="left" w:pos="1276"/>
        </w:tabs>
        <w:ind w:left="1134" w:hanging="425"/>
        <w:rPr>
          <w:lang w:val="en-GB"/>
        </w:rPr>
      </w:pPr>
      <w:r>
        <w:rPr>
          <w:lang w:val="en-GB"/>
        </w:rPr>
        <w:t>Guidelines and teaching tools for LGBTIQ inclusion within sexuality and relationship education curriculum and programs at disability specialist schools.</w:t>
      </w:r>
    </w:p>
    <w:p w14:paraId="5813F757" w14:textId="77777777" w:rsidR="009D0006" w:rsidRDefault="009D0006" w:rsidP="00666785">
      <w:pPr>
        <w:pStyle w:val="Bulletlist"/>
        <w:numPr>
          <w:ilvl w:val="0"/>
          <w:numId w:val="33"/>
        </w:numPr>
        <w:tabs>
          <w:tab w:val="clear" w:pos="720"/>
          <w:tab w:val="left" w:pos="1276"/>
        </w:tabs>
        <w:ind w:left="1134" w:hanging="425"/>
        <w:rPr>
          <w:lang w:val="en-GB"/>
        </w:rPr>
      </w:pPr>
      <w:r>
        <w:rPr>
          <w:lang w:val="en-GB"/>
        </w:rPr>
        <w:t xml:space="preserve">Guidelines for facilitating peer and social support programs for Rainbow Families with children with disability. </w:t>
      </w:r>
    </w:p>
    <w:p w14:paraId="11049E13" w14:textId="77777777" w:rsidR="009D0006" w:rsidRDefault="009D0006" w:rsidP="00666785">
      <w:pPr>
        <w:pStyle w:val="Bulletlist"/>
        <w:numPr>
          <w:ilvl w:val="0"/>
          <w:numId w:val="33"/>
        </w:numPr>
        <w:tabs>
          <w:tab w:val="clear" w:pos="720"/>
          <w:tab w:val="left" w:pos="1276"/>
        </w:tabs>
        <w:ind w:left="1134" w:hanging="425"/>
        <w:rPr>
          <w:lang w:val="en-GB"/>
        </w:rPr>
      </w:pPr>
      <w:r>
        <w:rPr>
          <w:lang w:val="en-GB"/>
        </w:rPr>
        <w:t>Training programs for Auslan interpreters on LGBTIQA+ inclusion and cultural safety.</w:t>
      </w:r>
    </w:p>
    <w:p w14:paraId="7930EDBB" w14:textId="77777777" w:rsidR="009D0006" w:rsidRPr="005803FC" w:rsidRDefault="009D0006" w:rsidP="00666785">
      <w:pPr>
        <w:pStyle w:val="Bulletlist"/>
        <w:numPr>
          <w:ilvl w:val="0"/>
          <w:numId w:val="33"/>
        </w:numPr>
        <w:tabs>
          <w:tab w:val="clear" w:pos="720"/>
          <w:tab w:val="left" w:pos="1276"/>
        </w:tabs>
        <w:ind w:left="1134" w:hanging="425"/>
        <w:rPr>
          <w:lang w:val="en-GB"/>
        </w:rPr>
      </w:pPr>
      <w:r>
        <w:rPr>
          <w:lang w:val="en-GB"/>
        </w:rPr>
        <w:t xml:space="preserve">Primary prevention campaigns centring the voices of lived experience from LGBTIQA+ people with disability targeting ableist attitudes in the LGBTIQA+ communities as well as campaigns that target homophobia, biphobia and transphobia in disability communities. </w:t>
      </w:r>
    </w:p>
    <w:p w14:paraId="651D0CED" w14:textId="08F99198" w:rsidR="009D0006" w:rsidRDefault="009D0006" w:rsidP="0075118A">
      <w:pPr>
        <w:pStyle w:val="Heading2Numbered"/>
      </w:pPr>
      <w:bookmarkStart w:id="994" w:name="_Toc115968694"/>
      <w:bookmarkStart w:id="995" w:name="_Toc119662496"/>
      <w:r w:rsidRPr="00A651F8">
        <w:t>Recommendations for future research</w:t>
      </w:r>
      <w:bookmarkEnd w:id="994"/>
      <w:bookmarkEnd w:id="995"/>
    </w:p>
    <w:p w14:paraId="2685D2D1" w14:textId="77777777" w:rsidR="009D0006" w:rsidRDefault="009D0006" w:rsidP="009D0006">
      <w:r w:rsidRPr="00A651F8">
        <w:t xml:space="preserve">This report presented results from two large national surveys. These surveys were conducted to provide a snapshot of the lives of LGBTQA+ people across many different areas of life and across diverse subpopulations. This report provides as much of the data as possible that was relevant to the topic of this report. However, additional research is needed to gain further knowledge of the nature and impact of violence, abuse, neglect or exploitation experienced by LGBTQA+ people with disability. Beyond the data presented in this report, there is a significant lack of research on this topic in Australia, as well as limited literature internationally. The calls for future research that follow should be considered by all state, territory and commonwealth-level governments and associated funding bodies. There is a particular need for: </w:t>
      </w:r>
    </w:p>
    <w:p w14:paraId="76F552EC" w14:textId="77777777" w:rsidR="009D0006" w:rsidRDefault="009D0006" w:rsidP="00666785">
      <w:pPr>
        <w:pStyle w:val="Bulletlist"/>
      </w:pPr>
      <w:r w:rsidRPr="00A651F8">
        <w:rPr>
          <w:b/>
          <w:bCs/>
        </w:rPr>
        <w:t>Funding of community participatory research</w:t>
      </w:r>
      <w:r w:rsidRPr="00A651F8">
        <w:t xml:space="preserve"> that specifically examines the life experiences of LGBTQA+ adults and young people with disability and is co-designed with participants</w:t>
      </w:r>
      <w:r>
        <w:t xml:space="preserve"> and peer researchers</w:t>
      </w:r>
      <w:r w:rsidRPr="00A651F8">
        <w:t xml:space="preserve"> to ensure that methodologies are in formats that work for them and can ensure participation of people with diverse disabilities. Further knowledge is needed of the specific contexts or circumstances that give rise to experiences of violence, abuse, neglect or exploitation, as well as </w:t>
      </w:r>
      <w:r w:rsidRPr="00A651F8">
        <w:lastRenderedPageBreak/>
        <w:t xml:space="preserve">ways in which these may vary depending on intersecting backgrounds </w:t>
      </w:r>
      <w:r>
        <w:t xml:space="preserve">within LGBTIQ populations </w:t>
      </w:r>
      <w:r w:rsidRPr="00A651F8">
        <w:t>such as cultural backgrounds or for First Nations peoples</w:t>
      </w:r>
      <w:r>
        <w:t xml:space="preserve"> with disabilities</w:t>
      </w:r>
      <w:r w:rsidRPr="00A651F8">
        <w:t xml:space="preserve">. </w:t>
      </w:r>
    </w:p>
    <w:p w14:paraId="3C7B0E03" w14:textId="77777777" w:rsidR="009D0006" w:rsidRDefault="009D0006" w:rsidP="00666785">
      <w:pPr>
        <w:pStyle w:val="Bulletlist"/>
        <w:numPr>
          <w:ilvl w:val="0"/>
          <w:numId w:val="34"/>
        </w:numPr>
        <w:tabs>
          <w:tab w:val="clear" w:pos="720"/>
          <w:tab w:val="left" w:pos="1134"/>
        </w:tabs>
        <w:ind w:left="1134"/>
      </w:pPr>
      <w:r w:rsidRPr="00A651F8">
        <w:t>This research should include, but not be limited to, the building of new knowledge regarding the types of perpetrators</w:t>
      </w:r>
      <w:r>
        <w:t xml:space="preserve"> of violence and abuse</w:t>
      </w:r>
      <w:r w:rsidRPr="00A651F8">
        <w:t xml:space="preserve">, how instances of abuse are identified and addressed or go unaddressed, </w:t>
      </w:r>
      <w:r>
        <w:t>and</w:t>
      </w:r>
      <w:r w:rsidRPr="00A651F8">
        <w:t xml:space="preserve"> experiences or barriers in accessing </w:t>
      </w:r>
      <w:r>
        <w:t xml:space="preserve">LGBTIQ affirming sexuality and relationship education and LGBTIQ affirming </w:t>
      </w:r>
      <w:r w:rsidRPr="00A651F8">
        <w:t>support</w:t>
      </w:r>
      <w:r>
        <w:t>s.</w:t>
      </w:r>
      <w:r w:rsidRPr="00A651F8">
        <w:t xml:space="preserve"> Further qualitative research that can provide a more nuanced understanding of settings and services where LGBTQA+ people with disability feel included and </w:t>
      </w:r>
      <w:r>
        <w:t>supported</w:t>
      </w:r>
      <w:r w:rsidRPr="00A651F8">
        <w:t xml:space="preserve"> </w:t>
      </w:r>
      <w:r>
        <w:t xml:space="preserve">in all aspects of their identity and experiences </w:t>
      </w:r>
      <w:r w:rsidRPr="00A651F8">
        <w:t>may also enable services to better meet their needs</w:t>
      </w:r>
      <w:r>
        <w:t xml:space="preserve"> as well as prevent or mitigate the impact of violence, abuse, neglect and exploitation</w:t>
      </w:r>
      <w:r w:rsidRPr="00A651F8">
        <w:t>.</w:t>
      </w:r>
    </w:p>
    <w:p w14:paraId="57D560AE" w14:textId="77777777" w:rsidR="009D0006" w:rsidRDefault="009D0006" w:rsidP="00666785">
      <w:pPr>
        <w:pStyle w:val="Bulletlist"/>
      </w:pPr>
      <w:r w:rsidRPr="00A651F8">
        <w:rPr>
          <w:b/>
          <w:bCs/>
        </w:rPr>
        <w:t>Qualitative research</w:t>
      </w:r>
      <w:r w:rsidRPr="00A651F8">
        <w:t xml:space="preserve">. While this report provides an overview of the nature and impact of violence, abuse, neglect or exploitation experienced by LGBTQA+ people with disability, qualitative research beyond that of survey groups is also necessary to gain a more nuanced understanding of </w:t>
      </w:r>
      <w:r>
        <w:t xml:space="preserve">the experiences of </w:t>
      </w:r>
      <w:r w:rsidRPr="00A651F8">
        <w:t xml:space="preserve">these populations. </w:t>
      </w:r>
      <w:r>
        <w:t xml:space="preserve">Additionally, </w:t>
      </w:r>
      <w:r w:rsidRPr="00A651F8">
        <w:t>LGBTQA+ people with intellectual, sensory or physical disability in particular face barriers to participate in many forms of research</w:t>
      </w:r>
      <w:r>
        <w:t xml:space="preserve">, but especially surveys, while </w:t>
      </w:r>
      <w:r w:rsidRPr="00A651F8">
        <w:t>qualitative research such as supported interviews would help to ensure their voices are heard</w:t>
      </w:r>
      <w:r>
        <w:t>. This research needs to be</w:t>
      </w:r>
      <w:r w:rsidRPr="00A651F8">
        <w:t xml:space="preserve"> appropriately funded to be accessible in its data gathering methodology and its frameworks for empowering the involvement of self-advocate peer-researchers at every step.  </w:t>
      </w:r>
    </w:p>
    <w:p w14:paraId="2FEADA04" w14:textId="77777777" w:rsidR="009D0006" w:rsidRDefault="009D0006" w:rsidP="00666785">
      <w:pPr>
        <w:pStyle w:val="Bulletlist"/>
      </w:pPr>
      <w:r w:rsidRPr="00A651F8">
        <w:rPr>
          <w:b/>
          <w:bCs/>
        </w:rPr>
        <w:t>Research that reflects the experiences of people with an intersex variation</w:t>
      </w:r>
      <w:r w:rsidRPr="00A651F8">
        <w:t xml:space="preserve">. As detailed in the methodology chapter, this report was unable to describe the experiences of people with disability who have an intersex variation. As further detailed in the </w:t>
      </w:r>
      <w:r w:rsidRPr="00A651F8">
        <w:rPr>
          <w:i/>
        </w:rPr>
        <w:t xml:space="preserve">Writing </w:t>
      </w:r>
      <w:r w:rsidRPr="00970040">
        <w:rPr>
          <w:i/>
        </w:rPr>
        <w:t>Themselves In 4</w:t>
      </w:r>
      <w:r w:rsidRPr="00970040">
        <w:fldChar w:fldCharType="begin"/>
      </w:r>
      <w:r>
        <w:instrText xml:space="preserve"> ADDIN ZOTERO_ITEM CSL_CITATION {"citationID":"yyYkthTy","properties":{"formattedCitation":"(1)","plainCitation":"(1)","noteIndex":0},"citationItems":[{"id":"hc6yy1rM/ZY4LR28S","uris":["http://zotero.org/users/4948307/items/7BM38QY5"],"itemData":{"id":3331,"type":"report","abstract":"The health and wellbeing of LGBTQA+ young people in Australia aged 14-21. This is the national report. ARCSHS Monograph series number 124.","language":"en","note":"dimensions: 9920053 Bytes\nDOI: 10.26181/6010FAD9B244B","page":"9920053 Bytes","publisher":"La Trobe","source":"DOI.org (Datacite)","title":"Writing Themselves In 4: The health and wellbeing of LGBTQA+ young people in Australia. National report.","title-short":"Writing Themselves In 4","URL":"https://opal.latrobe.edu.au/articles/report/Writing_Themselves_In_4_The_health_and_wellbeing_of_LGBTQA_young_people_in_Australia_National_report_/13647860","author":[{"family":"Hill","given":"Adam O."},{"family":"Lyons","given":"Anthony"},{"family":"Jones","given":"Jami"},{"family":"McGowan","given":"Ivy"},{"family":"Carman","given":"Marina"},{"family":"Parsons","given":"Matthew"},{"family":"Power","given":"Jennifer"},{"family":"Bourne","given":"Adam"}],"accessed":{"date-parts":[["2021",3,26]]},"issued":{"date-parts":[["2021"]]}}}],"schema":"https://github.com/citation-style-language/schema/raw/master/csl-citation.json"} </w:instrText>
      </w:r>
      <w:r w:rsidRPr="00970040">
        <w:fldChar w:fldCharType="separate"/>
      </w:r>
      <w:r>
        <w:rPr>
          <w:lang w:val="en-GB"/>
        </w:rPr>
        <w:t>(1)</w:t>
      </w:r>
      <w:r w:rsidRPr="00970040">
        <w:fldChar w:fldCharType="end"/>
      </w:r>
      <w:r w:rsidRPr="00970040">
        <w:t xml:space="preserve"> and </w:t>
      </w:r>
      <w:r w:rsidRPr="00970040">
        <w:rPr>
          <w:i/>
        </w:rPr>
        <w:t>Private Lives 3</w:t>
      </w:r>
      <w:r w:rsidRPr="00970040">
        <w:fldChar w:fldCharType="begin"/>
      </w:r>
      <w:r>
        <w:instrText xml:space="preserve"> ADDIN ZOTERO_ITEM CSL_CITATION {"citationID":"XtsjvI4Q","properties":{"formattedCitation":"(2)","plainCitation":"(2)","noteIndex":0},"citationItems":[{"id":"hc6yy1rM/D5G7HpXI","uris":["http://zotero.org/users/4948307/items/3D8YXQ9W"],"itemData":{"id":26,"type":"report","language":"en","page":"128","source":"Zotero","title":"Private Lives 3: The health and wellbeing of LGBTIQ people in Australia","author":[{"family":"Hill","given":"Adam O."},{"family":"Bourne","given":"Adam"},{"family":"Mcnair","given":"Ruth"},{"family":"Carman","given":"Marina"},{"family":"Lyons","given":"Anthony"}],"issued":{"date-parts":[["2020"]]}}}],"schema":"https://github.com/citation-style-language/schema/raw/master/csl-citation.json"} </w:instrText>
      </w:r>
      <w:r w:rsidRPr="00970040">
        <w:fldChar w:fldCharType="separate"/>
      </w:r>
      <w:r>
        <w:rPr>
          <w:lang w:val="en-GB"/>
        </w:rPr>
        <w:t>(2)</w:t>
      </w:r>
      <w:r w:rsidRPr="00970040">
        <w:fldChar w:fldCharType="end"/>
      </w:r>
      <w:r w:rsidRPr="00970040">
        <w:t xml:space="preserve"> national</w:t>
      </w:r>
      <w:r w:rsidRPr="00A651F8">
        <w:t xml:space="preserve"> reports, many people with </w:t>
      </w:r>
      <w:r>
        <w:t xml:space="preserve">an </w:t>
      </w:r>
      <w:r w:rsidRPr="00A651F8">
        <w:t>intersex variation</w:t>
      </w:r>
      <w:r>
        <w:t xml:space="preserve"> or variations</w:t>
      </w:r>
      <w:r w:rsidRPr="00A651F8">
        <w:t xml:space="preserve"> are unlikely to identify as belonging to an LGBTIQA+ population and therefore may not participate in research that is targeted to this broader group. It is therefore important to conduct studies that specifically focus on people with intersex variations to gain adequate and appropriate knowledge of the experiences of those with disability.  </w:t>
      </w:r>
    </w:p>
    <w:p w14:paraId="5FBA8705" w14:textId="77777777" w:rsidR="009D0006" w:rsidRPr="00A651F8" w:rsidRDefault="009D0006" w:rsidP="00666785">
      <w:pPr>
        <w:pStyle w:val="Bulletlist"/>
      </w:pPr>
      <w:r w:rsidRPr="00A651F8">
        <w:rPr>
          <w:b/>
          <w:bCs/>
        </w:rPr>
        <w:t>Focussed research among First Nations LGBTQA+ people with disability</w:t>
      </w:r>
      <w:r w:rsidRPr="00A651F8">
        <w:t xml:space="preserve">. In order to attain a holistic understanding of experiences of First Nations LGBTQA+ </w:t>
      </w:r>
      <w:r w:rsidRPr="00A651F8">
        <w:lastRenderedPageBreak/>
        <w:t xml:space="preserve">people with disability, specific, culturally situated research to explore their experiences relating to health, wellbeing, violence, abuse and neglect is required. This research should be led by First Nations researchers and organisations. </w:t>
      </w:r>
    </w:p>
    <w:p w14:paraId="11DAB42B" w14:textId="77777777" w:rsidR="009D0006" w:rsidRDefault="009D0006" w:rsidP="00666785">
      <w:pPr>
        <w:pStyle w:val="Bulletlist"/>
      </w:pPr>
      <w:r w:rsidRPr="00D47F68">
        <w:rPr>
          <w:b/>
          <w:bCs/>
        </w:rPr>
        <w:t>Focussed research among trans and gender diverse people with disability.</w:t>
      </w:r>
      <w:r>
        <w:t xml:space="preserve"> </w:t>
      </w:r>
      <w:r w:rsidRPr="00A651F8">
        <w:t xml:space="preserve">Similarly, trans and gender diverse people report the highest rates of disability and some of the poorest health and wellbeing among LGBTQA+ people. In order to reflect their unique experiences, treatment and mistreatment, specific qualitative research and targeted interviews </w:t>
      </w:r>
      <w:r>
        <w:t>with</w:t>
      </w:r>
      <w:r w:rsidRPr="00A651F8">
        <w:t xml:space="preserve"> trans and gender diverse people co</w:t>
      </w:r>
      <w:r>
        <w:t>-</w:t>
      </w:r>
      <w:r w:rsidRPr="00A651F8">
        <w:t>designed with trans and gender diverse people with disability will provide a greater understanding of their specific experiences relating to health, wellbeing</w:t>
      </w:r>
      <w:r>
        <w:t xml:space="preserve">, </w:t>
      </w:r>
      <w:r w:rsidRPr="00A651F8">
        <w:t xml:space="preserve">violence </w:t>
      </w:r>
      <w:r>
        <w:t xml:space="preserve">and </w:t>
      </w:r>
      <w:r w:rsidRPr="00A651F8">
        <w:t>neglect.</w:t>
      </w:r>
    </w:p>
    <w:p w14:paraId="0E3E97F0" w14:textId="77777777" w:rsidR="009D0006" w:rsidRDefault="009D0006" w:rsidP="00666785">
      <w:pPr>
        <w:pStyle w:val="Bulletlist"/>
      </w:pPr>
      <w:r w:rsidRPr="00A651F8">
        <w:rPr>
          <w:b/>
          <w:bCs/>
        </w:rPr>
        <w:t>Reform of the Standardised Disability Flag Module</w:t>
      </w:r>
      <w:r w:rsidRPr="00A651F8">
        <w:t xml:space="preserve">. The visibility of people with disability, and the nature and quality of data that can be used to inform decision making, is crucial to mounting an effective response to violence, abuse and neglect of people with disability. The </w:t>
      </w:r>
      <w:r>
        <w:t>D</w:t>
      </w:r>
      <w:r w:rsidRPr="00A651F8">
        <w:t xml:space="preserve">isability </w:t>
      </w:r>
      <w:r>
        <w:t>F</w:t>
      </w:r>
      <w:r w:rsidRPr="00A651F8">
        <w:t>lag requires revision in ways that move towards social models of health and acknowledge the role of enabling (or disabling) environments, rather than placing emphasis solely on the person with disability.</w:t>
      </w:r>
    </w:p>
    <w:p w14:paraId="12577C27" w14:textId="77777777" w:rsidR="009D0006" w:rsidRPr="00F5122E" w:rsidRDefault="009D0006" w:rsidP="00666785">
      <w:pPr>
        <w:pStyle w:val="Bulletlist"/>
        <w:rPr>
          <w:lang w:val="en-GB"/>
        </w:rPr>
      </w:pPr>
      <w:r w:rsidRPr="00A651F8">
        <w:rPr>
          <w:b/>
          <w:bCs/>
          <w:lang w:val="en-GB"/>
        </w:rPr>
        <w:t>Periodic monitoring</w:t>
      </w:r>
      <w:r w:rsidRPr="00A651F8">
        <w:rPr>
          <w:lang w:val="en-GB"/>
        </w:rPr>
        <w:t xml:space="preserve">. Ongoing funding is required to enable surveys that can track LGBTQA+ health and wellbeing over time and review of national and state-based </w:t>
      </w:r>
      <w:r>
        <w:rPr>
          <w:lang w:val="en-GB"/>
        </w:rPr>
        <w:t xml:space="preserve">data collection instruments (e.g., </w:t>
      </w:r>
      <w:r w:rsidRPr="00A651F8">
        <w:rPr>
          <w:lang w:val="en-GB"/>
        </w:rPr>
        <w:t>health</w:t>
      </w:r>
      <w:r>
        <w:rPr>
          <w:lang w:val="en-GB"/>
        </w:rPr>
        <w:t xml:space="preserve"> service intake, </w:t>
      </w:r>
      <w:r w:rsidRPr="00A651F8">
        <w:rPr>
          <w:lang w:val="en-GB"/>
        </w:rPr>
        <w:t>coronial data</w:t>
      </w:r>
      <w:r>
        <w:rPr>
          <w:lang w:val="en-GB"/>
        </w:rPr>
        <w:t>, experiences of crime, community attitudinal surveys, household surveys) and</w:t>
      </w:r>
      <w:r w:rsidRPr="00A651F8">
        <w:rPr>
          <w:lang w:val="en-GB"/>
        </w:rPr>
        <w:t xml:space="preserve"> reporting to ensure inclusion of questions that adequately capture disability, sexual orientation, gender identity and intersex variations.</w:t>
      </w:r>
      <w:r>
        <w:rPr>
          <w:lang w:val="en-GB"/>
        </w:rPr>
        <w:t xml:space="preserve"> This could include, but not be limited to, the National Survey of Health and Wellbeing, the National Drug Strategy Household Survey, and the Survey of Disability, Ageing and Carers. Inclusion of questions regarding sexuality, gender diversity and sex characteristics within the census would also help to discern, with accuracy, the LGBTIQ population size and thus facilitate targeting of resources where required. </w:t>
      </w:r>
      <w:r>
        <w:rPr>
          <w:lang w:bidi="en-US"/>
        </w:rPr>
        <w:br w:type="page"/>
      </w:r>
    </w:p>
    <w:p w14:paraId="41428CDB" w14:textId="05E3CB7C" w:rsidR="009D0006" w:rsidRPr="002306D8" w:rsidRDefault="009D0006" w:rsidP="0075118A">
      <w:pPr>
        <w:pStyle w:val="Heading1Numbered"/>
        <w:rPr>
          <w:lang w:bidi="en-US"/>
        </w:rPr>
      </w:pPr>
      <w:bookmarkStart w:id="996" w:name="_Toc115968695"/>
      <w:bookmarkStart w:id="997" w:name="_Toc119662497"/>
      <w:r>
        <w:rPr>
          <w:lang w:bidi="en-US"/>
        </w:rPr>
        <w:lastRenderedPageBreak/>
        <w:t>References</w:t>
      </w:r>
      <w:bookmarkEnd w:id="996"/>
      <w:bookmarkEnd w:id="997"/>
    </w:p>
    <w:p w14:paraId="3122793D" w14:textId="457FB196" w:rsidR="009D0006" w:rsidRPr="002B2C24" w:rsidRDefault="009D0006" w:rsidP="00AD0FF7">
      <w:pPr>
        <w:pStyle w:val="Numberlist"/>
        <w:numPr>
          <w:ilvl w:val="0"/>
          <w:numId w:val="31"/>
        </w:numPr>
        <w:tabs>
          <w:tab w:val="clear" w:pos="720"/>
          <w:tab w:val="left" w:pos="993"/>
        </w:tabs>
        <w:ind w:left="851" w:hanging="494"/>
        <w:rPr>
          <w:rStyle w:val="Hyperlink"/>
          <w:sz w:val="20"/>
          <w:szCs w:val="20"/>
          <w:lang w:val="en-GB"/>
        </w:rPr>
      </w:pPr>
      <w:r w:rsidRPr="00487376">
        <w:rPr>
          <w:rFonts w:cs="Arial"/>
          <w:sz w:val="20"/>
          <w:szCs w:val="20"/>
          <w:lang w:val="en-GB"/>
        </w:rPr>
        <w:fldChar w:fldCharType="begin"/>
      </w:r>
      <w:r w:rsidRPr="00487376">
        <w:rPr>
          <w:rFonts w:cs="Arial"/>
          <w:sz w:val="20"/>
          <w:szCs w:val="20"/>
          <w:lang w:val="en-GB"/>
        </w:rPr>
        <w:instrText xml:space="preserve"> ADDIN ZOTERO_BIBL {"uncited":[],"omitted":[],"custom":[]} CSL_BIBLIOGRAPHY </w:instrText>
      </w:r>
      <w:r w:rsidRPr="00487376">
        <w:rPr>
          <w:rFonts w:cs="Arial"/>
          <w:sz w:val="20"/>
          <w:szCs w:val="20"/>
          <w:lang w:val="en-GB"/>
        </w:rPr>
        <w:fldChar w:fldCharType="separate"/>
      </w:r>
      <w:r w:rsidRPr="00487376">
        <w:rPr>
          <w:rFonts w:cs="Arial"/>
          <w:sz w:val="20"/>
          <w:szCs w:val="20"/>
          <w:lang w:val="en-GB"/>
        </w:rPr>
        <w:t xml:space="preserve">Hill AO, Lyons A, Jones J, McGowan I, Carman M, Parsons M, et al. Writing Themselves In 4: The health and wellbeing of LGBTQA+ young people in Australia. National report. [Internet]. La Trobe; 2021 [cited 2021 Mar 26] p. 9920053 Bytes. Available from: </w:t>
      </w:r>
      <w:hyperlink r:id="rId27" w:history="1">
        <w:r w:rsidRPr="00397A9D">
          <w:rPr>
            <w:rStyle w:val="Hyperlink"/>
            <w:sz w:val="20"/>
            <w:szCs w:val="20"/>
            <w:lang w:val="en-GB"/>
          </w:rPr>
          <w:t>https://opal.latrobe.edu.au/articles/report/Writing_Themselves_In_4_The_health_and_wellbeing_of_LGBTQA_young_people_in_Australia_National_report_/13647860</w:t>
        </w:r>
      </w:hyperlink>
    </w:p>
    <w:p w14:paraId="1291DE2C" w14:textId="65B2D1D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Hill AO, Bourne A, Mcnair R, Carman M, Lyons A. Private Lives 3: The health and wellbeing of LGBTIQ people in Australia. 2020 p. 128. </w:t>
      </w:r>
    </w:p>
    <w:p w14:paraId="0104FCA1" w14:textId="05263668" w:rsidR="009D0006" w:rsidRPr="002B2C24"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Goodley D. Dis/ability studies: Theorising disablism and ableism [Internet]. London: Routledge; 2014. Available from: </w:t>
      </w:r>
      <w:hyperlink r:id="rId28" w:history="1">
        <w:r w:rsidRPr="00397A9D">
          <w:rPr>
            <w:rStyle w:val="Hyperlink"/>
            <w:sz w:val="20"/>
            <w:szCs w:val="20"/>
          </w:rPr>
          <w:t>https://doi.org/10.4324/9780203366974</w:t>
        </w:r>
      </w:hyperlink>
    </w:p>
    <w:p w14:paraId="375C5A45" w14:textId="4673E33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Moore LM, Kyung-Sup C, Epstein C, Kivisto P, Outhwaite W, Ryan M. Heterosexism and homophobia. In: The Wiley Blackwell encyclopedia of social theory [Internet]. Chichester, UK: John Wiley &amp; Sons; 2017. Available from: </w:t>
      </w:r>
      <w:hyperlink r:id="rId29" w:history="1">
        <w:r w:rsidRPr="00397A9D">
          <w:rPr>
            <w:rStyle w:val="Hyperlink"/>
            <w:sz w:val="20"/>
            <w:szCs w:val="20"/>
          </w:rPr>
          <w:t>https://doi.org/10.1002/9781118430873.est0162</w:t>
        </w:r>
      </w:hyperlink>
    </w:p>
    <w:p w14:paraId="6CFFE23B" w14:textId="0B9C216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Rogers MM. The intersection of cisgenderism and hate crime: Learning from trans people’s narratives. Journal of Family Strengths. 2017;17(2):1–24. </w:t>
      </w:r>
    </w:p>
    <w:p w14:paraId="2F96DC95" w14:textId="4135FF4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Bucchianeri MM, Gower AL, McMorris BJ, Eisenberg ME. Youth experiences with multiple types of prejudice-based harassment. Journal of Adolescence. 2016 Aug 10;51:68. </w:t>
      </w:r>
    </w:p>
    <w:p w14:paraId="49991060" w14:textId="500C08A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Leonard W, Mann R. The everyday experiences of lesbian, gay, bisexual, transgender and intersex (LGBTI) people living with disability. Melbourne, Australia: GLHV@ARCSHS, La Trobe University.; 2018. </w:t>
      </w:r>
    </w:p>
    <w:p w14:paraId="10162153" w14:textId="2D12D65B"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McGee MG. Lost in the margins? Intersections between disability and other nondominant statuses with regard to peer victimization. Journal of School Violence. 2014 2018- -24;13(4):396. </w:t>
      </w:r>
    </w:p>
    <w:p w14:paraId="3C091697" w14:textId="1E17155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Vaughn M, McEntee B, Schoen B, McGrady M. Addressing disability stigma within the lesbian community. Journal of Rehabilitation. 2015;81(4):49–56. </w:t>
      </w:r>
    </w:p>
    <w:p w14:paraId="43B4637D" w14:textId="5EA90F9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O’Shea A, Latham JR, McNair R, Despott N, Rose M, Mountford R, et al. Experiences of LGBTIQA+ People with Disability in Healthcare and Community Services: Towards Embracing Multiple Identities. International Journal of Environmental Research and Public Health. 2020 Jan;17(21):8080. </w:t>
      </w:r>
    </w:p>
    <w:p w14:paraId="7A599AEF" w14:textId="61402EB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Duke TS. Lesbian, gay, bisexual, and transgender youth with disabilities: A meta-synthesis. Journal of LGBT Youth. 2011;8(1):1–52. </w:t>
      </w:r>
    </w:p>
    <w:p w14:paraId="5A99AB93" w14:textId="4F97AFCD"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King MT, Merrin GJ, Espelage DL, Grant NJ, Bub KL. Suicidality and intersectionality among students identifying as nonheterosexual and with a disability. Exceptional Children. 2018;84(2):141–58. </w:t>
      </w:r>
    </w:p>
    <w:p w14:paraId="5457FDD8" w14:textId="4258BD06"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Lund EM, Ross SW. Retrospective and current peer victimization in college students with disabilities: Examining the intersectionality of sexual orientation and gender. Sexuality and Disability. 2021;39(1):97–111. </w:t>
      </w:r>
    </w:p>
    <w:p w14:paraId="4EB22055" w14:textId="6A641DF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Wilson NJ, Macdonald J, Hayman B, Bright AM, Frawley P, Gallego G. A narrative review of the literature about people with intellectual disability who identify as lesbian, gay, bisexual, transgender, intersex or questioning. J Intellect Disabil. 2018;22(2):171–96. </w:t>
      </w:r>
    </w:p>
    <w:p w14:paraId="228F470E" w14:textId="6100E3CB"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Hill B, Uink B, Dodd J, Bronson D, Eades AM, Bennett S. Breaking the silence: Insights from WA services working with Aboriginal/ LGBTIQ  people: Organisations summary report 2021 [Internet]. Perth. WA.: Kurongkurl Katitjin, Edith Cowan University; 2021. Available from: </w:t>
      </w:r>
      <w:hyperlink r:id="rId30" w:history="1">
        <w:r w:rsidRPr="00397A9D">
          <w:rPr>
            <w:rStyle w:val="Hyperlink"/>
            <w:sz w:val="20"/>
            <w:szCs w:val="20"/>
          </w:rPr>
          <w:t>https://ro.ecu.edu.au/ecuworkspost2013/10530</w:t>
        </w:r>
      </w:hyperlink>
    </w:p>
    <w:p w14:paraId="6DA5A652" w14:textId="7F28EF85" w:rsidR="009D0006" w:rsidRPr="002B2C24"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Liddelow-Hunt S, Uink B, Hill B, Perry Y, Munns S, Talbott T, et al. Walkern Katatdjin Rainbow Knowledge: Phase 1 Report [Internet]. Perth, WA.; 2021 [cited 2022 Apr 29]. Available from: </w:t>
      </w:r>
      <w:hyperlink r:id="rId31" w:history="1">
        <w:r w:rsidRPr="00397A9D">
          <w:rPr>
            <w:rStyle w:val="Hyperlink"/>
            <w:sz w:val="20"/>
            <w:szCs w:val="20"/>
          </w:rPr>
          <w:t>https://www.lgbtiqhealth.org.au/walkern_katatdjin_rainbow_knowledge_phase_1_report</w:t>
        </w:r>
      </w:hyperlink>
    </w:p>
    <w:p w14:paraId="06EA8783" w14:textId="7DEFBEB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Milnes A, Pegrum K, Nebe B, Topfer A, Gaal L, Zhang J, et al. Young Australians: their health and wellbeing 2011. Canberra, A.C.T.: Australian Institute of Health and Welfare; 2011. </w:t>
      </w:r>
    </w:p>
    <w:p w14:paraId="6E5D5978" w14:textId="523F145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Australian Institute of Health and Welfare. Standardized Disability Flag: Data Collection Guide [Internet]. 2016 [cited 2020 Feb 27]. Available from: </w:t>
      </w:r>
      <w:hyperlink r:id="rId32" w:history="1">
        <w:r w:rsidRPr="00397A9D">
          <w:rPr>
            <w:rStyle w:val="Hyperlink"/>
            <w:sz w:val="20"/>
            <w:szCs w:val="20"/>
          </w:rPr>
          <w:t>https://www.aihw.gov.au/getmedia/2cda5b59-bbac-45f2-aea8-954ae12306b2/dat-6-standardised-disability-flag-data-collection-guide.pdf.aspx</w:t>
        </w:r>
      </w:hyperlink>
    </w:p>
    <w:p w14:paraId="0E3E493B" w14:textId="2588385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Leonard W, Pitts M, Mitchell A, Lyons A, Smith A, Couch M, et al. Private Lives 2: The second national survey of the health and wellbeing of gay, lesbian, bisexual and transgender (GLBT) Australians. Melbourne: Australian Research Centre in Sex, Health and Society, La Trobe University; 2012. </w:t>
      </w:r>
    </w:p>
    <w:p w14:paraId="068C20FF" w14:textId="12EF2B22"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Institute of Health and Welfare. People with disability in Australia [Internet]. Australian Institute of Health and Welfare. 2019 [cited 2020 Nov 30]. Available from: </w:t>
      </w:r>
      <w:hyperlink r:id="rId33" w:history="1">
        <w:r w:rsidRPr="00397A9D">
          <w:rPr>
            <w:rStyle w:val="Hyperlink"/>
            <w:sz w:val="20"/>
            <w:szCs w:val="20"/>
          </w:rPr>
          <w:t>https://www.aihw.gov.au/reports/disability/people-with-disability-in-australia/contents/justice-and-safety/violence-against-people-with-disability</w:t>
        </w:r>
      </w:hyperlink>
    </w:p>
    <w:p w14:paraId="48DA91D4" w14:textId="1F1B57CD"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Parsons M, Despott N, Power R. Our rainbow lives: An introduction to LGBTIQA+ identity, experiences, sexuality, gender and bodies for people with intellectual disability and their supporters [Internet]. Melbourne: Inclusion Melbourne and Rainbow Health victoria; 2021. Available from: </w:t>
      </w:r>
      <w:hyperlink r:id="rId34" w:history="1">
        <w:r w:rsidRPr="00397A9D">
          <w:rPr>
            <w:rStyle w:val="Hyperlink"/>
            <w:sz w:val="20"/>
            <w:szCs w:val="20"/>
          </w:rPr>
          <w:t>https://inclusionmelbourne.org.au/wp-content/uploads/2021/11/Our-Rainbow-Lives.pdf</w:t>
        </w:r>
      </w:hyperlink>
    </w:p>
    <w:p w14:paraId="04195EE4" w14:textId="4B3FC8D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Wilson NJ, Macdonald J, Hayman B, Bright AM, Frawley P, Gallego G. A narrative review of the literature about people with intellectual disability who identify as lesbian, gay, bisexual, transgender, intersex or questioning. J Intellect Disabil. 2018 Jun 1;22(2):171–96. </w:t>
      </w:r>
    </w:p>
    <w:p w14:paraId="5C5A0161" w14:textId="200CFED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Australian Bureau of Statistics. ABS - Key statistics [Internet]. 2019 [cited 2020 Jan 9]. Available from:</w:t>
      </w:r>
      <w:r w:rsidR="00255C62">
        <w:rPr>
          <w:rFonts w:cs="Arial"/>
          <w:sz w:val="20"/>
          <w:szCs w:val="20"/>
          <w:lang w:val="en-GB"/>
        </w:rPr>
        <w:t xml:space="preserve"> </w:t>
      </w:r>
      <w:hyperlink r:id="rId35" w:history="1">
        <w:r w:rsidRPr="00397A9D">
          <w:rPr>
            <w:rStyle w:val="Hyperlink"/>
            <w:sz w:val="20"/>
            <w:szCs w:val="20"/>
          </w:rPr>
          <w:t>https://www.abs.gov.au/ausstats/abs@.nsf/0/C258C88A7AA5A87ECA2568A9001393E8?Opendocument</w:t>
        </w:r>
      </w:hyperlink>
    </w:p>
    <w:p w14:paraId="03F3DB0E" w14:textId="2FD020C4"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Survey of income and housing summary [Internet]. Canberra: Australian Bureau of Statistics; 2018. Available from: </w:t>
      </w:r>
      <w:hyperlink r:id="rId36" w:history="1">
        <w:r w:rsidRPr="00397A9D">
          <w:rPr>
            <w:rStyle w:val="Hyperlink"/>
            <w:sz w:val="20"/>
            <w:szCs w:val="20"/>
          </w:rPr>
          <w:t>https://www.abs.gov.au/ausstats/abs@.nsf/0/88BF225497426920CA257F5C000989A8?Opendocument</w:t>
        </w:r>
      </w:hyperlink>
    </w:p>
    <w:p w14:paraId="3D276261" w14:textId="36CF3BC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Australian Bureau of Statistics  c=AU; o=Commonwealth of A ou=Australian B of. Estimates of Aboriginal and Torres Strait Islander Australians [Internet]. c=AU; o=Commonwealth of Australia; ou=Australian Bureau of Statistics; 2018 [cited 2020 Aug 25]. Available from: </w:t>
      </w:r>
      <w:hyperlink r:id="rId37" w:history="1">
        <w:r w:rsidRPr="00397A9D">
          <w:rPr>
            <w:rStyle w:val="Hyperlink"/>
            <w:sz w:val="20"/>
            <w:szCs w:val="20"/>
          </w:rPr>
          <w:t>https://www.abs.gov.au/ausstats/abs@.nsf/mf/3238.0.55.001</w:t>
        </w:r>
      </w:hyperlink>
    </w:p>
    <w:p w14:paraId="2AF60938" w14:textId="5A0D185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Australian Bureau of Statistics. 2016 Census – a ‘selfie’ of young people in Australia [Internet]. c=AU; o=Commonwealth of Australia; ou=Australian Bureau of Statistics; 2017 [cited 2020 Aug 13]. Available from: </w:t>
      </w:r>
      <w:hyperlink r:id="rId38" w:history="1">
        <w:r w:rsidRPr="00397A9D">
          <w:rPr>
            <w:rStyle w:val="Hyperlink"/>
            <w:sz w:val="20"/>
            <w:szCs w:val="20"/>
          </w:rPr>
          <w:t>https://www.abs.gov.au/AUSSTATS/abs@.nsf/mediareleasesbyReleaseDate/AC02F0705E320F58CA25817C00016A47?OpenDocument</w:t>
        </w:r>
      </w:hyperlink>
    </w:p>
    <w:p w14:paraId="3BCC64FD" w14:textId="13BD5F2E"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2016 Census: Religion [Internet]. 2017 [cited 2020 Jan 9]. Available from: </w:t>
      </w:r>
      <w:hyperlink r:id="rId39" w:history="1">
        <w:r w:rsidRPr="00397A9D">
          <w:rPr>
            <w:rStyle w:val="Hyperlink"/>
            <w:sz w:val="20"/>
            <w:szCs w:val="20"/>
          </w:rPr>
          <w:t>https://www.abs.gov.au/AUSSTATS/abs@.nsf/mediareleasesbyReleaseDate/7E65A144540551D7CA258148000E2B85</w:t>
        </w:r>
      </w:hyperlink>
    </w:p>
    <w:p w14:paraId="2B4B07DE" w14:textId="58AEEEE6"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Disability, Ageing and Carers, Australia: Summary of Findings [Internet]. c=AU; o=Commonwealth of Australia; ou=Australian Bureau of Statistics; 2018 [cited 2020 May 19]. Available from: </w:t>
      </w:r>
      <w:hyperlink r:id="rId40" w:history="1">
        <w:r w:rsidRPr="00397A9D">
          <w:rPr>
            <w:rStyle w:val="Hyperlink"/>
            <w:sz w:val="20"/>
            <w:szCs w:val="20"/>
          </w:rPr>
          <w:t>https://www.abs.gov.au/ausstats/abs@.nsf/0/C258C88A7AA5A87ECA2568A9001393E8?Opendocument</w:t>
        </w:r>
      </w:hyperlink>
    </w:p>
    <w:p w14:paraId="78798DD6" w14:textId="18C3F88A" w:rsidR="009D0006" w:rsidRPr="00397A9D"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Australian Bureau of Statistics. Trend unemployment rate steady at 5.3% [Internet]. c=AU; o=Commonwealth of Australia; ou=Australian Bureau of Statistics; 2019 [cited 2020 May 19]. Available from: </w:t>
      </w:r>
      <w:hyperlink r:id="rId41" w:history="1">
        <w:r w:rsidRPr="00397A9D">
          <w:rPr>
            <w:rStyle w:val="Hyperlink"/>
            <w:sz w:val="20"/>
            <w:szCs w:val="20"/>
          </w:rPr>
          <w:t>https://www.abs.gov.au/ausstats/abs@.nsf/lookup/6202.0Media%20Release1Sep%202019</w:t>
        </w:r>
      </w:hyperlink>
    </w:p>
    <w:p w14:paraId="6A4341CD" w14:textId="60D74B59"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Survey of Income and Housing Summary [Internet]. c=AU; o=Commonwealth of Australia; ou=Australian Bureau of Statistics; 2018 [cited 2020 Apr 29]. Available from: </w:t>
      </w:r>
      <w:hyperlink r:id="rId42" w:history="1">
        <w:r w:rsidRPr="00397A9D">
          <w:rPr>
            <w:rStyle w:val="Hyperlink"/>
            <w:sz w:val="20"/>
            <w:szCs w:val="20"/>
          </w:rPr>
          <w:t>https://www.abs.gov.au/ausstats/abs@.nsf/0/88BF225497426920CA257F5C000989A8?Opendocument</w:t>
        </w:r>
      </w:hyperlink>
    </w:p>
    <w:p w14:paraId="31404771" w14:textId="12A8F993"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Stories from the Census, 2016 [Internet]. c=AU; o=Commonwealth of Australia; ou=Australian Bureau of Statistics; 2017 [cited 2020 May 20]. Available from: </w:t>
      </w:r>
      <w:hyperlink r:id="rId43" w:history="1">
        <w:r w:rsidRPr="00397A9D">
          <w:rPr>
            <w:rStyle w:val="Hyperlink"/>
            <w:sz w:val="20"/>
            <w:szCs w:val="20"/>
          </w:rPr>
          <w:t>https://www.abs.gov.au/ausstats/abs@.nsf/Lookup/by%20Subject/2071.0~2016~Main%20Features~Snapshot%20of%20Australia,%202016~2</w:t>
        </w:r>
      </w:hyperlink>
    </w:p>
    <w:p w14:paraId="0A017818" w14:textId="0C93ECE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Hillier L, Turner, Alina, Mitchell A. Writing Themselves In Again: 6 Years On. Australian Research Centre in Sex, Health and Society; 2005 p. 106. </w:t>
      </w:r>
    </w:p>
    <w:p w14:paraId="7568F37A" w14:textId="58057E0B"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Hillier L, Jones T, Monagle M, Overton N, Gahan L, Blackman J, et al. Writing Themselves in 3: The Third National Study on the Sexual Health and Wellbeing of Same Sex Attracted and Gender Questioning Young People. 2010. </w:t>
      </w:r>
    </w:p>
    <w:p w14:paraId="56518974" w14:textId="58BE176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Smith E, Jones T, Ward R, Dixon J, Mitchell A, Hillier L. From blues to rainbows: the mental health and wellbeing of gender diverse and transgender young people in Australia. Melbourne: Australian Research Centre in Sex, Health and Society; 2014. </w:t>
      </w:r>
    </w:p>
    <w:p w14:paraId="111303FB" w14:textId="70666D78"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Strauss P, Cook A, Winter S, Watson V, Toussaint D, Lin A. Trans Pathways: The mental health experiences and care pathways of trans young people. Summary of results. Telethon Kids Institute; 2017. </w:t>
      </w:r>
    </w:p>
    <w:p w14:paraId="218C69AF" w14:textId="0E4268B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Eisenberg ME, Resnick MD. Suicidality among gay, lesbian and bisexual youth: the role of protective factors. J Adolesc Health. 2006 Nov;39(5):662–8. </w:t>
      </w:r>
    </w:p>
    <w:p w14:paraId="22BF2C94" w14:textId="26EB813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Grossman A, D’Augelli A, Howell T, Hubbard S. Parent’ Reactions to Transgender Youth’ Gender Nonconforming Expression and Identity. Journal of Gay &amp; Lesbian Social Services. 2005 Jul 17;18:3–16. </w:t>
      </w:r>
    </w:p>
    <w:p w14:paraId="1B1DE09E" w14:textId="08F380E2"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Garland-Thomson R. The Story of My Work: How I Became Disabled. Disability Studies Quarterly [Internet]. 2014 Mar 18 [cited 2021 Nov 2];34(2). Available from: https://dsq-sds.org/article/view/4254</w:t>
      </w:r>
    </w:p>
    <w:p w14:paraId="643EBF60" w14:textId="7EE19546"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Stoffelen J, Kok G, Hospers H, Curfs LMG. Homosexuality among people with a mild intellectual disability: an explorative study on the lived experiences of homosexual people in the Netherlands with a mild intellectual disability. Journal of Intellectual Disability Research. 2013;57(3):257–67. </w:t>
      </w:r>
    </w:p>
    <w:p w14:paraId="5640A5A2" w14:textId="7E8590F4"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Vaughn M, McEntee B, Schoen B, McGrady M. Addressing Disability Stigma within the Lesbian Community. Journal of Rehabilitation. 2015;81(4):49–56. </w:t>
      </w:r>
    </w:p>
    <w:p w14:paraId="091F16F0" w14:textId="4EFAEEDC"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Hillier L, Jones T, Monagle M, Overton N, Gahan L, Blackman J, et al. Writing Themselves in 3: The third national study on the sexual health and wellbeing of same sex attracted and gender questioning young people. Melbourne, Victoria: Australian Research Centre in Sex, Health and Society, La Trobe University; 2010. </w:t>
      </w:r>
    </w:p>
    <w:p w14:paraId="08BFBBEC" w14:textId="1262625F"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Robinson K, Bansel P, Denson N, Ovenden G, Davies C. Growing up Queer: Issues facing Young Australians who are Gender Variant and Sexuality Diverse. 2014. </w:t>
      </w:r>
    </w:p>
    <w:p w14:paraId="3E991231" w14:textId="210E70BB"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Bucchianeri MM, Gower AL, McMorris BJ, Eisenberg ME. Youth experiences with multiple types of prejudice-based harassment. Journal of Adolescence. 2016;51:68–75. </w:t>
      </w:r>
    </w:p>
    <w:p w14:paraId="115BCA41" w14:textId="69C07C03"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King MT, Merrin GJ, Espelage DL, Grant NJ, Bub KL. Suicidality and intersectionality among students identifying as nonheterosexual and with a disability. Exceptional Children. 2018;84(2):141–58. </w:t>
      </w:r>
    </w:p>
    <w:p w14:paraId="096ADB09" w14:textId="6DE8E94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Lund EM, Ross SW. Retrospective and Current Peer Victimization in College Students with Disabilities: Examining the Intersectionality of Sexual Orientation and Gender. Sexuality &amp; Disability. 2021;39(1):97–111. </w:t>
      </w:r>
    </w:p>
    <w:p w14:paraId="63619D51" w14:textId="542DF12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Birkett M, Russell ST, Corliss HL. Sexual-orientation disparities in school: The mediational role of indicators of victimization in achievement and truancy because of feeling unsafe. American Journal of Public Health. 2014;104(6):1124–8. </w:t>
      </w:r>
    </w:p>
    <w:p w14:paraId="32DD1D58" w14:textId="0DAFDC4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Day JK, Perez-Brumer A, Russell ST. Safe schools? Transgender youth’s school experiences and perceptions of school climate. J Youth Adolescence. 2018;47(8):1731–42. </w:t>
      </w:r>
    </w:p>
    <w:p w14:paraId="67BB888A" w14:textId="49602788"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Ullman J. Free2Be?: Exploring the schooling experiences of Australia’s sexuality and gender diverse secondary school students [Internet]. Sydney: Centre for Education Research, School of Education, Western Sydney University,; 2015 [cited 2022 Feb 4]. Available from: </w:t>
      </w:r>
      <w:hyperlink r:id="rId44" w:history="1">
        <w:r w:rsidRPr="00397A9D">
          <w:rPr>
            <w:rStyle w:val="Hyperlink"/>
            <w:sz w:val="20"/>
            <w:szCs w:val="20"/>
          </w:rPr>
          <w:t>https://researchdirect.westernsydney.edu.au/islandora/object/uws%3A32727/</w:t>
        </w:r>
      </w:hyperlink>
    </w:p>
    <w:p w14:paraId="20721297" w14:textId="76958F50"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Moffat AK, Redmond G, Raghavendra P. The impact of social network characteristics and gender on covert bullying in Australian students with disability in the middle years. Journal of School Violence. 2019;18(4):613–29. </w:t>
      </w:r>
    </w:p>
    <w:p w14:paraId="533FF961" w14:textId="18AE0D3D"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Shochet IM, Dadds MR, Ham D, Montague R. School connectedness is an underemphasized parameter in adolescent mental health: Results of a community prediction study. Journal of Clinical Child &amp; Adolescent Psychology. 2006;35(2):170–9. </w:t>
      </w:r>
    </w:p>
    <w:p w14:paraId="584EE5DD" w14:textId="022C331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Leonard W, Mann R. The everyday experiences of lesbian, gay, bisexual, transgender and intersex (LGBTI) people living with disability. 2018. </w:t>
      </w:r>
    </w:p>
    <w:p w14:paraId="65D53124" w14:textId="71C475BF"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McGee MG. Lost in the Margins? Intersections Between Disability and Other Nondominant Statuses With Regard to Peer Victimization. Journal of School Violence. 2014;13(4):396–421. </w:t>
      </w:r>
    </w:p>
    <w:p w14:paraId="3ECB1476" w14:textId="79283B7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Smith E, Zirnsak TM, Power J, Lyons A, Bigby C. Social inclusion of LGBTQ and gender diverse adults with intellectual disability in disability services: A systematic review of the literature. J Appl Res Intellect Disabil. 2022;35(1):46–59. </w:t>
      </w:r>
    </w:p>
    <w:p w14:paraId="0FDCB94E" w14:textId="1D67EFC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Dinwoodie R, Greenhill B, Cookson A. “Them two things are what collide together”: Understanding the sexual identity experiences of lesbian, gay, bisexual and trans people labelled with intellectual disability. Journal of Applied Research in Intellectual Disabilities. 2020;33(1):3–16. </w:t>
      </w:r>
    </w:p>
    <w:p w14:paraId="21BD8EEC" w14:textId="24F36193" w:rsidR="009D0006" w:rsidRPr="00487376" w:rsidRDefault="009D0006" w:rsidP="00AD0FF7">
      <w:pPr>
        <w:pStyle w:val="Numberlist"/>
        <w:tabs>
          <w:tab w:val="clear" w:pos="720"/>
          <w:tab w:val="clear" w:pos="1077"/>
          <w:tab w:val="clear" w:pos="1418"/>
          <w:tab w:val="clear" w:pos="1701"/>
        </w:tabs>
        <w:ind w:left="851" w:hanging="494"/>
        <w:rPr>
          <w:rFonts w:cs="Arial"/>
          <w:sz w:val="20"/>
          <w:szCs w:val="20"/>
          <w:lang w:val="en-GB"/>
        </w:rPr>
      </w:pPr>
      <w:r w:rsidRPr="00487376">
        <w:rPr>
          <w:rFonts w:cs="Arial"/>
          <w:sz w:val="20"/>
          <w:szCs w:val="20"/>
          <w:lang w:val="en-GB"/>
        </w:rPr>
        <w:t xml:space="preserve">Asquith NL, Fox CA. No place like home: Intrafamilial hate crime against gay men and lesbians. In: Dwyer A, Ball M, Crofts T, editors. Queering Criminology. London: Palgrave Macmillan UK; 2016. p. 163–82. </w:t>
      </w:r>
    </w:p>
    <w:p w14:paraId="0020C64F" w14:textId="3C75558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D’augelli A, Grossman A, Starks MT. Families of gay, lesbian, and bisexual youth. Journal of GLBT Family Studies. 2008;4(1):95–115. </w:t>
      </w:r>
    </w:p>
    <w:p w14:paraId="04647E9F" w14:textId="705006E6"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Ryan C, Huebner D, Diaz RM, Sanchez J. Family rejection as a predictor of negative health outcomes in white and latino lesbian, gay, and bisexual young adults. Pediatrics. 2009;123(1):346–52. </w:t>
      </w:r>
    </w:p>
    <w:p w14:paraId="1E5A5CE7" w14:textId="6B28B712"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Our Watch. Reporting on Domestic Violence [Internet]. 2014 [cited 2020 Mar 16]. Available from: </w:t>
      </w:r>
      <w:hyperlink r:id="rId45" w:history="1">
        <w:r w:rsidRPr="00397A9D">
          <w:rPr>
            <w:rStyle w:val="Hyperlink"/>
            <w:sz w:val="20"/>
            <w:szCs w:val="20"/>
          </w:rPr>
          <w:t>https://www.ourwatch.org.au/MediaLibraries/OurWatch/Images/ourwatch_reporting_on_domestic_violence_aa_v1.pdf</w:t>
        </w:r>
      </w:hyperlink>
    </w:p>
    <w:p w14:paraId="0BAAC22E" w14:textId="31FA5E82"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Australian Bureau of Statistics. Main Features - About the Personal Safety Survey [Internet]. c=AU; o=Commonwealth of Australia; ou=Australian Bureau of Statistics; 2017 [cited 2020 Mar 13]. Available from: </w:t>
      </w:r>
      <w:hyperlink r:id="rId46" w:history="1">
        <w:r w:rsidRPr="00397A9D">
          <w:rPr>
            <w:rStyle w:val="Hyperlink"/>
            <w:sz w:val="20"/>
            <w:szCs w:val="20"/>
          </w:rPr>
          <w:t>https://www.abs.gov.au/ausstats/abs@.nsf/Lookup/by%20Subject/4906.0~2016~Main%20Features~About%20the%20Personal%20Safety%20Survey%20~2</w:t>
        </w:r>
      </w:hyperlink>
    </w:p>
    <w:p w14:paraId="30E80B1B" w14:textId="06F420B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Willott S, Badger W, Evans V. People with an intellectual disability: under-reporting sexual violence. The Journal of Adult Protection. 2020 Jan 1;22(2):75–86. </w:t>
      </w:r>
    </w:p>
    <w:p w14:paraId="50FEE954" w14:textId="2D80B6E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Fraser-Barbour EF, Crocker R, Walker R. Barriers and facilitators in supporting people with intellectual disability to report sexual violence: perspectives of Australian disability and mainstream support providers. The Journal of Adult Protection. 2018 Jan 1;20(1):5–16. </w:t>
      </w:r>
    </w:p>
    <w:p w14:paraId="5E4A2DE4" w14:textId="59C597E3"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Australian Bureau of Statistics. Use of the Kessler Psychological Distress Scale in ABS Health Surveys, Australia [Internet]. c=AU; o=Commonwealth of Australia; ou=Australian Bureau of Statistics; 2012 [cited 2021 Jan 6]. Available from: </w:t>
      </w:r>
      <w:hyperlink r:id="rId47" w:history="1">
        <w:r w:rsidRPr="00397A9D">
          <w:rPr>
            <w:rStyle w:val="Hyperlink"/>
            <w:sz w:val="20"/>
            <w:szCs w:val="20"/>
          </w:rPr>
          <w:t>https://www.abs.gov.au/ausstats/abs@.nsf/Lookup/4817.0.55.001Chapter92007-08</w:t>
        </w:r>
      </w:hyperlink>
    </w:p>
    <w:p w14:paraId="5ECF7B6A" w14:textId="7A318E5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Australian Institute of Health and Welfare. Deaths in Australia, Leading causes of death [Internet]. Australian Institute of Health and Welfare. 2020 [cited 2020 Oct 13]. Available from: </w:t>
      </w:r>
      <w:hyperlink r:id="rId48" w:history="1">
        <w:r w:rsidRPr="00397A9D">
          <w:rPr>
            <w:rStyle w:val="Hyperlink"/>
            <w:sz w:val="20"/>
            <w:szCs w:val="20"/>
          </w:rPr>
          <w:t>https://www.aihw.gov.au/reports/life-expectancy-death/deaths-in-australia/contents/leading-causes-of-death</w:t>
        </w:r>
      </w:hyperlink>
    </w:p>
    <w:p w14:paraId="58BE6773" w14:textId="5D1ADDEF"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Mathias CW, Furr RM, Sheftall AH, Hill-Kapturczak N, Crum P, Dougherty DM. What’s the Harm in Asking about Suicidal Ideation? Suicide Life Threat Behav. 2012 Jun;42(3):341–51. </w:t>
      </w:r>
    </w:p>
    <w:p w14:paraId="1B938DBB" w14:textId="2F8D6E3E"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lastRenderedPageBreak/>
        <w:t xml:space="preserve">Lawrence D, Johnson SE, Hafekost J, Boterhoven de Haan K, Sawyer MG, Ainley J, et al. The mental health of children and adolescents: Report on the second Australian Child and Adolescent Survey of Mental Health and Wellbeing [Internet]. Canberra: Department of Health; 2015. Available from: </w:t>
      </w:r>
      <w:hyperlink r:id="rId49" w:history="1">
        <w:r w:rsidRPr="00397A9D">
          <w:rPr>
            <w:rStyle w:val="Hyperlink"/>
            <w:sz w:val="20"/>
            <w:szCs w:val="20"/>
          </w:rPr>
          <w:t>http://www.health.gov.au/internet/main/publishing.nsf/Content/mental-pubs-m-child2</w:t>
        </w:r>
      </w:hyperlink>
    </w:p>
    <w:p w14:paraId="06B10871" w14:textId="25EF88DC"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Johnston AK, Pirkis JE, Burgess PM. Suicidal Thoughts and Behaviours Among Australian Adults: Findings from the 2007 National Survey of Mental Health and Wellbeing. Aust N Z J Psychiatry. 2009 Jan 1;43(7):635–43. </w:t>
      </w:r>
    </w:p>
    <w:p w14:paraId="509D91CB" w14:textId="09078BE3"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Maroney MR, McGinley M. Mental health for sexual and gender minority individuals with physical or cognitive disabilities. In: The Oxford Handbook of Sexual and Gender Minority Mental Health [Internet]. Oxford University Press; 2020. p. 407–17. Available from: </w:t>
      </w:r>
      <w:hyperlink r:id="rId50" w:history="1">
        <w:r w:rsidRPr="00397A9D">
          <w:rPr>
            <w:rStyle w:val="Hyperlink"/>
            <w:sz w:val="20"/>
            <w:szCs w:val="20"/>
          </w:rPr>
          <w:t>https://www.scopus.com/inward/record.uri?eid=2-s2.0-85111311602&amp;doi=10.1093%2foxfordhb%2f9780190067991.013.36&amp;partnerID=40&amp;md5=ce30d5e52ef87fdbede26dd5791f0c6c</w:t>
        </w:r>
      </w:hyperlink>
    </w:p>
    <w:p w14:paraId="47EF022C" w14:textId="7703AF0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Hatzenbuehler ML. How does sexual minority stigma “get under the skin”? A psychological mediation framework. Psychol Bull. 2009 Sep;135(5):707–30. </w:t>
      </w:r>
    </w:p>
    <w:p w14:paraId="37331B44" w14:textId="5B5F806C"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Meyer IH. Prejudice, social stress, and mental health in lesbian, gay, and bisexual populations: conceptual issues and research evidence. Psychol Bull. 2003 Sep;129(5):674–97. </w:t>
      </w:r>
    </w:p>
    <w:p w14:paraId="3EA9CBE8" w14:textId="7D48DD98"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Brothers M. It’s not just about ramps and Braille: Disability and sexual orientation. Re-thinking identity: The challenge of diversity. 2003;49–67. </w:t>
      </w:r>
    </w:p>
    <w:p w14:paraId="130052B5" w14:textId="43EFC48F"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Hunt B, Milsom A, Matthews CR. Partner-Related Rehabilitation Experiences of Lesbians with Physical Disabilities: A Qualitative Study. Rehabilitation Counseling Bulletin. 2009 Apr 1;52(3):167–78. </w:t>
      </w:r>
    </w:p>
    <w:p w14:paraId="0E71B1EA" w14:textId="280BD07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Mann R, Horsley P, Saunders M, Briggs V, Mitchell A. SWIMMING UPSTREAM: MAKING PLACES WELCOMING A REPORT ON THE NEEDS OF GAY, LESBIAN AND BISEXUAL PEOPLE IN “HARD TO REACH” GROUPS. 2006 Oct; </w:t>
      </w:r>
    </w:p>
    <w:p w14:paraId="3AC30E6A" w14:textId="3D9AC6F3"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Duke TS. Lesbian, gay, bisexual, and transgender youth with disabilities: a meta-synthesis. Journal of LGBT Youth. 2011;8(1):1–52. </w:t>
      </w:r>
    </w:p>
    <w:p w14:paraId="680CB905" w14:textId="7FB2C0B3"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Abbott D, Howarth J. Still off-limits? Staff views on supporting gay, lesbian and bisexual people with intellectual disabilities to develop sexual and intimate relationships? Journal of Applied Research in Intellectual Disabilities. 2007 Mar;20(2):116–26. </w:t>
      </w:r>
    </w:p>
    <w:p w14:paraId="4B22DDB7" w14:textId="662B458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Ceatha N, Mayock P, Campbell J, Noone C, Browne K. The Power of Recognition: A Qualitative Study of Social Connectedness and Wellbeing through LGBT Sporting, Creative and Social Groups in Ireland. Int J Environ Res Public Health. 2019 27;16(19). </w:t>
      </w:r>
    </w:p>
    <w:p w14:paraId="13A09AB6" w14:textId="748A1CAC"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Roe S. Examining the Role of Peer Relationships in the Lives of Gay and Bisexual Adolescents. Children &amp; Schools. 2015 Mar 20;37. </w:t>
      </w:r>
    </w:p>
    <w:p w14:paraId="135BFACE" w14:textId="15A1F203"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Taylor J, Power J, Smith E, Rathbone M. Bisexual mental health. Australian Journal for General Practitioners. 2019 Feb 28;48:138–44. </w:t>
      </w:r>
    </w:p>
    <w:p w14:paraId="4AB17DA3" w14:textId="4A68499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Shilo G, Antebi N, Mor Z. Individual and Community Resilience Factors Among Lesbian, Gay, Bisexual, Queer and Questioning Youth and Adults in Israel. American Journal of Community Psychology. 2015 Mar 1;55(1–2):215–27. </w:t>
      </w:r>
    </w:p>
    <w:p w14:paraId="162DB706" w14:textId="23E76C01"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Vaughn M, Silver K, Murphy S, Ashbaugh R, Hoffman A. Women with Disabilities Discuss Sexuality in San Francisco Focus Groups. Sexuality &amp; Disability. 2015;33(1):19–46. </w:t>
      </w:r>
    </w:p>
    <w:p w14:paraId="72D32EBA" w14:textId="6372B048"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Stoffelen J, Kok G, Hospers H, Curfs LMG. Homosexuality among people with a mild intellectual disability: an explorative study on the lived experiences of homosexual people in the Netherlands with a mild intellectual disability. Journal of Intellectual Disability Research. 2013;57(3):257–67. </w:t>
      </w:r>
    </w:p>
    <w:p w14:paraId="2AB495B3" w14:textId="4EC476D2"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Stauffer-Kruse S. Gay men with learning disabilities: UK service provision. Journal of Gay &amp; Lesbian Psychotherapy. 2007;11(1–2):145–52. </w:t>
      </w:r>
    </w:p>
    <w:p w14:paraId="6CDFBEE1" w14:textId="5693ABD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Abbott D, Howarth J. Still off-limits? Staff views on supporting gay, lesbian and bisexual people with intellectual disabilities to develop sexual and intimate relationships? Journal of Applied Research in Intellectual Disabilities. 2007 Mar;20(2):116–26. </w:t>
      </w:r>
    </w:p>
    <w:p w14:paraId="5EAAA92F" w14:textId="3151BF7D"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Robinson SR, Ravi K, Voth Schrag RJ. A Systematic Review of Barriers to Formal Help Seeking for Adult Survivors of IPV in the United States, 2005–2019. Trauma, Violence, and Abuse [Internet]. 2020; Available from: </w:t>
      </w:r>
      <w:hyperlink r:id="rId51" w:history="1">
        <w:r w:rsidRPr="00397A9D">
          <w:rPr>
            <w:rStyle w:val="Hyperlink"/>
            <w:sz w:val="20"/>
            <w:szCs w:val="20"/>
          </w:rPr>
          <w:t>https://www.scopus.com/inward/record.uri?eid=2-s2.0-85083063896&amp;doi=10.1177%2f1524838020916254&amp;partnerID=40&amp;md5=4579832504be9ac6da30c6dafe22a464</w:t>
        </w:r>
      </w:hyperlink>
    </w:p>
    <w:p w14:paraId="54295C32" w14:textId="202E1EC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Mann R, Horsley P, Saunders M, Briggs V, Mitchell A. Swimming upstream: Making places welcoming – a report on the needs of gay, lesbian and bisexual people in “hard to reach” groups. Melbourne, Australia: Gay and Lesbian Health Victoria and the Australian Research Centre in Sex, Health and Society, La Trobe University.; 2006. </w:t>
      </w:r>
    </w:p>
    <w:p w14:paraId="51C2C820" w14:textId="25005901"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Toft A, Franklin A, Langley E. Young disabled and LGBT+: Negotiating identity. Journal of LGBT Youth. 2019;16(2):157–72. </w:t>
      </w:r>
    </w:p>
    <w:p w14:paraId="388444EC" w14:textId="339B9D0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Deffew A, Coughlan B, Burke T, Rogers E. Staff member’s views and attitudes to supporting people with an Intellectual Disability: A multi-method investigation of intimate relationships and sexuality. J Appl Res Intellect Disabil. 2021 May 19; </w:t>
      </w:r>
    </w:p>
    <w:p w14:paraId="4554EEA5" w14:textId="47B58EB7"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Nowaskie DZ, Sewell DD. Assessing the LGBT cultural competency of dementia care providers. Alzheimers Dement (N Y). 2021;7(1):e12137. </w:t>
      </w:r>
    </w:p>
    <w:p w14:paraId="665412C5" w14:textId="5B5D5E0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Human Rights Watch. Face the facts: Cultural Diversity [Internet]. 2015 [cited 2020 Jul 16]. Available from: </w:t>
      </w:r>
      <w:hyperlink r:id="rId52" w:history="1">
        <w:r w:rsidRPr="00397A9D">
          <w:rPr>
            <w:rStyle w:val="Hyperlink"/>
            <w:sz w:val="20"/>
            <w:szCs w:val="20"/>
          </w:rPr>
          <w:t>https://humanrights.gov.au/our-work/education/face-facts-cultural-diversity</w:t>
        </w:r>
      </w:hyperlink>
    </w:p>
    <w:p w14:paraId="4260FFCF" w14:textId="04F9D4C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McAllister I, Snagovsky F. Explaining voting in the 2017 Australian same-sex marriage plebiscite. Australian Journal of Political Science. 2018 Oct 2;53(4):409–27. </w:t>
      </w:r>
    </w:p>
    <w:p w14:paraId="1E4285C9" w14:textId="4CC46048"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Lim G, Hewitt B. Discrimination at the Intersections: Experiences of Community and Belonging in Nonmonosexual Persons of Color. Journal of Bisexuality. 2018 Jul 3;18(3):318–52. </w:t>
      </w:r>
    </w:p>
    <w:p w14:paraId="791344D6" w14:textId="4FA039F4"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Pallotta-Chiarolli M. Supporting same-sex attracted and gender diverse young people of multicultural and multi-faith backgrounds. Melbourne, Victoria: Equality Branch of the Department of Premier and Cabinet, Melbourne, Victoria; 2016. </w:t>
      </w:r>
    </w:p>
    <w:p w14:paraId="7344B741" w14:textId="0D39835B"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Tang J, Sudarto B, Pallotta-Chiarolli M. Intersectionality in psychology: A rainbow perspective. InPsych. 2020;42(2). </w:t>
      </w:r>
    </w:p>
    <w:p w14:paraId="2E374003" w14:textId="6A29EDFA"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du Plooy D. An Exploration of Migrant Well-Being in Australia: Identifying a Range of Social Factors Linked to Flourishing and Psychological Distress [Internet]. Latrobe University; 2019 [cited 2020 Oct 27]. Available from: </w:t>
      </w:r>
      <w:hyperlink r:id="rId53" w:history="1">
        <w:r w:rsidRPr="00397A9D">
          <w:rPr>
            <w:rStyle w:val="Hyperlink"/>
            <w:sz w:val="20"/>
            <w:szCs w:val="20"/>
          </w:rPr>
          <w:t>http://oatd.org/oatd/record?record=handle%5C%3A1959.9%5C%2F568948</w:t>
        </w:r>
      </w:hyperlink>
    </w:p>
    <w:p w14:paraId="189F6F43" w14:textId="03F02FB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lastRenderedPageBreak/>
        <w:t xml:space="preserve">Australian Bureau of Statistics. 2016 Census QuickStats: Australia [Internet]. 2016 [cited 2020 Feb 17]. Available from: </w:t>
      </w:r>
      <w:hyperlink r:id="rId54" w:history="1">
        <w:r w:rsidRPr="00397A9D">
          <w:rPr>
            <w:rStyle w:val="Hyperlink"/>
            <w:sz w:val="20"/>
            <w:szCs w:val="20"/>
          </w:rPr>
          <w:t>https://quickstats.censusdata.abs.gov.au/census_services/getproduct/census/2016/quickstat/036</w:t>
        </w:r>
      </w:hyperlink>
    </w:p>
    <w:p w14:paraId="377C0B59" w14:textId="12189D05"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Jones T. Comparing rural and urban education contexts for GLBTIQ students. Australian and International Journal of Rural Education. 2015 Aug;25(2):44. </w:t>
      </w:r>
    </w:p>
    <w:p w14:paraId="2CCC1D0A" w14:textId="7C765C36"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Rosenkrantz DE, Black WW, Abreu RL, Aleshire ME, Fallin-Bennett K. Health and health care of rural sexual and gender minorities: A systematic review. Stigma and Health. 2017 Aug;2(3):229–43. </w:t>
      </w:r>
    </w:p>
    <w:p w14:paraId="2D82DBF4" w14:textId="55D82FF1"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King M, Semlyen J, Tai SS, Killaspy H, Osborn D, Popelyuk D, et al. A systematic review of mental disorder, suicide, and deliberate self harm in lesbian, gay and bisexual people. BMC Psychiatry. 2008 Aug 18;8:70. </w:t>
      </w:r>
    </w:p>
    <w:p w14:paraId="103CF8E2" w14:textId="7C0C3C6A"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Ross LE, Salway T, Tarasoff LA, MacKay JM, Hawkins BW, Fehr CP. Prevalence of Depression and Anxiety Among Bisexual People Compared to Gay, Lesbian, and Heterosexual Individuals:A Systematic Review and Meta-Analysis. The Journal of Sex Research. 2018 Jun 13;55(4–5):435–56. </w:t>
      </w:r>
    </w:p>
    <w:p w14:paraId="0E24B665" w14:textId="122049E1"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Conron KJ, Mimiaga MJ, Landers SJ. A population-based study of sexual orientation identity and gender differences in adult health. American Journal of Public Health. 2010;100(10):1953–60. </w:t>
      </w:r>
    </w:p>
    <w:p w14:paraId="3175EE53" w14:textId="0977DFD9"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Swannell S, Martin G, Page A. Suicidal ideation, suicide attempts and non-suicidal self-injury among lesbian, gay, bisexual and heterosexual adults. Australian and New Zealand Journal of Psychiatry. 2015;50(2):145–53. </w:t>
      </w:r>
    </w:p>
    <w:p w14:paraId="1444B162" w14:textId="7C9F920E" w:rsidR="009D0006" w:rsidRPr="00487376" w:rsidRDefault="009D0006" w:rsidP="00AD0FF7">
      <w:pPr>
        <w:pStyle w:val="Numberlist"/>
        <w:tabs>
          <w:tab w:val="clear" w:pos="720"/>
          <w:tab w:val="left" w:pos="993"/>
        </w:tabs>
        <w:ind w:left="851" w:hanging="494"/>
        <w:rPr>
          <w:rFonts w:cs="Arial"/>
          <w:sz w:val="20"/>
          <w:szCs w:val="20"/>
          <w:lang w:val="en-GB"/>
        </w:rPr>
      </w:pPr>
      <w:r w:rsidRPr="00487376">
        <w:rPr>
          <w:rFonts w:cs="Arial"/>
          <w:sz w:val="20"/>
          <w:szCs w:val="20"/>
          <w:lang w:val="en-GB"/>
        </w:rPr>
        <w:t xml:space="preserve">Taylor J, Power J, Smith E. Experiences of bisexual identity, attraction, and behavior and their relationship with mental health: Findings from the Who I Am Study. Journal of Psychosocial Nursing and Mental Health Services. 2020;58(3):28–37. </w:t>
      </w:r>
    </w:p>
    <w:p w14:paraId="2A55BE2A" w14:textId="35367936" w:rsidR="009D0006" w:rsidRPr="00255C62" w:rsidRDefault="009D0006" w:rsidP="00AD0FF7">
      <w:pPr>
        <w:pStyle w:val="Numberlist"/>
        <w:tabs>
          <w:tab w:val="clear" w:pos="720"/>
          <w:tab w:val="left" w:pos="993"/>
        </w:tabs>
        <w:ind w:left="851" w:hanging="494"/>
        <w:rPr>
          <w:rStyle w:val="Hyperlink"/>
          <w:sz w:val="20"/>
          <w:szCs w:val="20"/>
        </w:rPr>
      </w:pPr>
      <w:r w:rsidRPr="00487376">
        <w:rPr>
          <w:rFonts w:cs="Arial"/>
          <w:sz w:val="20"/>
          <w:szCs w:val="20"/>
          <w:lang w:val="en-GB"/>
        </w:rPr>
        <w:t xml:space="preserve">National Disability Insurance Agency. LGBTIQA+ Strategy: Our bodies, our genders and our relationships [Internet]. Australia: NDIS; 2020 [cited 2022 Apr 29]. Available from: </w:t>
      </w:r>
      <w:hyperlink r:id="rId55" w:history="1">
        <w:r w:rsidRPr="00397A9D">
          <w:rPr>
            <w:rStyle w:val="Hyperlink"/>
            <w:sz w:val="20"/>
            <w:szCs w:val="20"/>
          </w:rPr>
          <w:t>https://www.ndis.gov.au/about-us/strategies/lgbtiqa-strategy</w:t>
        </w:r>
      </w:hyperlink>
    </w:p>
    <w:p w14:paraId="366D28A0" w14:textId="77777777" w:rsidR="009D0006" w:rsidRDefault="009D0006" w:rsidP="00AD0FF7">
      <w:pPr>
        <w:pStyle w:val="Numberlist"/>
        <w:numPr>
          <w:ilvl w:val="0"/>
          <w:numId w:val="0"/>
        </w:numPr>
        <w:tabs>
          <w:tab w:val="clear" w:pos="720"/>
          <w:tab w:val="left" w:pos="993"/>
        </w:tabs>
        <w:ind w:left="851" w:hanging="494"/>
        <w:rPr>
          <w:lang w:val="en-GB"/>
        </w:rPr>
      </w:pPr>
      <w:r w:rsidRPr="00487376">
        <w:rPr>
          <w:rFonts w:cs="Arial"/>
          <w:sz w:val="20"/>
          <w:szCs w:val="20"/>
          <w:lang w:val="en-GB"/>
        </w:rPr>
        <w:fldChar w:fldCharType="end"/>
      </w:r>
      <w:bookmarkEnd w:id="0"/>
      <w:bookmarkEnd w:id="1"/>
      <w:bookmarkEnd w:id="2"/>
      <w:bookmarkEnd w:id="3"/>
      <w:bookmarkEnd w:id="4"/>
      <w:bookmarkEnd w:id="5"/>
    </w:p>
    <w:sectPr w:rsidR="009D0006" w:rsidSect="00790B45">
      <w:headerReference w:type="first" r:id="rId56"/>
      <w:footerReference w:type="first" r:id="rId57"/>
      <w:endnotePr>
        <w:numFmt w:val="decimal"/>
      </w:endnotePr>
      <w:pgSz w:w="11906" w:h="16838" w:code="9"/>
      <w:pgMar w:top="1412" w:right="964" w:bottom="1276" w:left="964" w:header="0" w:footer="3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B16A" w14:textId="77777777" w:rsidR="00C9023A" w:rsidRDefault="00C9023A" w:rsidP="006150CB">
      <w:r>
        <w:separator/>
      </w:r>
    </w:p>
  </w:endnote>
  <w:endnote w:type="continuationSeparator" w:id="0">
    <w:p w14:paraId="493D0551" w14:textId="77777777" w:rsidR="00C9023A" w:rsidRDefault="00C9023A"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ioni Std Medium">
    <w:altName w:val="Calibri"/>
    <w:panose1 w:val="00000000000000000000"/>
    <w:charset w:val="00"/>
    <w:family w:val="modern"/>
    <w:notTrueType/>
    <w:pitch w:val="variable"/>
    <w:sig w:usb0="A000003F" w:usb1="5001E47B" w:usb2="00000000" w:usb3="00000000" w:csb0="00000093" w:csb1="00000000"/>
  </w:font>
  <w:font w:name="Bahnschrift SemiLight SemiConde">
    <w:panose1 w:val="020B0502040204020203"/>
    <w:charset w:val="00"/>
    <w:family w:val="swiss"/>
    <w:pitch w:val="variable"/>
    <w:sig w:usb0="A00002C7" w:usb1="00000002"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Bahnschrift SemiLight Condensed">
    <w:panose1 w:val="020B0502040204020203"/>
    <w:charset w:val="00"/>
    <w:family w:val="swiss"/>
    <w:pitch w:val="variable"/>
    <w:sig w:usb0="A00002C7" w:usb1="00000002"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RoundPro-Medi">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37420"/>
      <w:docPartObj>
        <w:docPartGallery w:val="Page Numbers (Bottom of Page)"/>
        <w:docPartUnique/>
      </w:docPartObj>
    </w:sdtPr>
    <w:sdtEndPr>
      <w:rPr>
        <w:noProof/>
      </w:rPr>
    </w:sdtEndPr>
    <w:sdtContent>
      <w:p w14:paraId="38B6144A" w14:textId="77777777" w:rsidR="008902AC" w:rsidRPr="00617A45" w:rsidRDefault="008902AC" w:rsidP="00617A45">
        <w:pPr>
          <w:pStyle w:val="Footer"/>
          <w:spacing w:before="360"/>
          <w:jc w:val="right"/>
        </w:pPr>
        <w:r w:rsidRPr="00617A45">
          <w:t>Royal Commission into Violence, Abuse, Neglect and Exploitation of People with Disability</w:t>
        </w:r>
        <w:r>
          <w:t xml:space="preserve"> | </w:t>
        </w:r>
        <w:r>
          <w:fldChar w:fldCharType="begin"/>
        </w:r>
        <w:r>
          <w:instrText xml:space="preserve"> PAGE   \* MERGEFORMAT </w:instrText>
        </w:r>
        <w:r>
          <w:fldChar w:fldCharType="separate"/>
        </w:r>
        <w:r>
          <w:rPr>
            <w:noProof/>
          </w:rPr>
          <w:t>4</w:t>
        </w:r>
        <w:r>
          <w:rPr>
            <w:noProof/>
          </w:rPr>
          <w:fldChar w:fldCharType="end"/>
        </w:r>
      </w:p>
    </w:sdtContent>
  </w:sdt>
  <w:p w14:paraId="3114ED6C" w14:textId="77777777" w:rsidR="008902AC" w:rsidRDefault="008902AC"/>
  <w:p w14:paraId="59CCBD0E" w14:textId="77777777" w:rsidR="008902AC" w:rsidRDefault="0089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44B" w14:textId="3F583293" w:rsidR="008902AC" w:rsidRPr="009A6790" w:rsidRDefault="008902AC" w:rsidP="00397A9D">
    <w:pPr>
      <w:pStyle w:val="Footer"/>
      <w:spacing w:line="240" w:lineRule="auto"/>
      <w:jc w:val="right"/>
      <w:rPr>
        <w:rFonts w:ascii="Roboto" w:hAnsi="Roboto"/>
      </w:rPr>
    </w:pPr>
    <w:r>
      <w:t xml:space="preserve">Research Report - Violence, abuse, neglect and exploitation of LGBTQA+ people </w:t>
    </w:r>
    <w:r>
      <w:br/>
      <w:t xml:space="preserve">with disability: a secondary analysis of data from two national surveys | </w:t>
    </w:r>
    <w:sdt>
      <w:sdtPr>
        <w:rPr>
          <w:rStyle w:val="PageNumber"/>
          <w:rFonts w:ascii="Roboto" w:hAnsi="Roboto"/>
        </w:rPr>
        <w:id w:val="-1248265438"/>
        <w:docPartObj>
          <w:docPartGallery w:val="Page Numbers (Bottom of Page)"/>
          <w:docPartUnique/>
        </w:docPartObj>
      </w:sdtPr>
      <w:sdtEndPr>
        <w:rPr>
          <w:rStyle w:val="PageNumber"/>
        </w:rPr>
      </w:sdtEndPr>
      <w:sdtContent>
        <w:r w:rsidRPr="000C7D47">
          <w:rPr>
            <w:rStyle w:val="PageNumber"/>
            <w:rFonts w:ascii="Roboto" w:hAnsi="Roboto"/>
          </w:rPr>
          <w:fldChar w:fldCharType="begin"/>
        </w:r>
        <w:r w:rsidRPr="000C7D47">
          <w:rPr>
            <w:rStyle w:val="PageNumber"/>
            <w:rFonts w:ascii="Roboto" w:hAnsi="Roboto"/>
          </w:rPr>
          <w:instrText xml:space="preserve"> PAGE </w:instrText>
        </w:r>
        <w:r w:rsidRPr="000C7D47">
          <w:rPr>
            <w:rStyle w:val="PageNumber"/>
            <w:rFonts w:ascii="Roboto" w:hAnsi="Roboto"/>
          </w:rPr>
          <w:fldChar w:fldCharType="separate"/>
        </w:r>
        <w:r>
          <w:rPr>
            <w:rStyle w:val="PageNumber"/>
            <w:rFonts w:ascii="Roboto" w:hAnsi="Roboto"/>
          </w:rPr>
          <w:t>1</w:t>
        </w:r>
        <w:r w:rsidRPr="000C7D47">
          <w:rPr>
            <w:rStyle w:val="PageNumber"/>
            <w:rFonts w:ascii="Roboto" w:hAnsi="Roboto"/>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FF05" w14:textId="69AE4422" w:rsidR="008902AC" w:rsidRPr="0018219B" w:rsidRDefault="008902AC" w:rsidP="0018219B">
    <w:pPr>
      <w:pStyle w:val="Footer"/>
      <w:jc w:val="right"/>
      <w:rPr>
        <w:rFonts w:ascii="Roboto" w:hAnsi="Robo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91E3" w14:textId="03EF14AB" w:rsidR="008902AC" w:rsidRPr="0018219B" w:rsidRDefault="008902AC" w:rsidP="0018219B">
    <w:pPr>
      <w:pStyle w:val="Footer"/>
      <w:jc w:val="right"/>
      <w:rPr>
        <w:rFonts w:ascii="Roboto" w:hAnsi="Roboto"/>
      </w:rPr>
    </w:pPr>
    <w:r>
      <w:t xml:space="preserve">Research Report - Violence, abuse, neglect and exploitation of LGBTQA+ people </w:t>
    </w:r>
    <w:r>
      <w:br/>
      <w:t xml:space="preserve">with disability: a secondary analysis of data from two national surveys | </w:t>
    </w:r>
    <w:sdt>
      <w:sdtPr>
        <w:rPr>
          <w:rStyle w:val="PageNumber"/>
          <w:rFonts w:ascii="Roboto" w:hAnsi="Roboto"/>
        </w:rPr>
        <w:id w:val="-1274930793"/>
        <w:docPartObj>
          <w:docPartGallery w:val="Page Numbers (Bottom of Page)"/>
          <w:docPartUnique/>
        </w:docPartObj>
      </w:sdtPr>
      <w:sdtEndPr>
        <w:rPr>
          <w:rStyle w:val="PageNumber"/>
        </w:rPr>
      </w:sdtEndPr>
      <w:sdtContent>
        <w:r w:rsidRPr="000C7D47">
          <w:rPr>
            <w:rStyle w:val="PageNumber"/>
            <w:rFonts w:ascii="Roboto" w:hAnsi="Roboto"/>
          </w:rPr>
          <w:fldChar w:fldCharType="begin"/>
        </w:r>
        <w:r w:rsidRPr="000C7D47">
          <w:rPr>
            <w:rStyle w:val="PageNumber"/>
            <w:rFonts w:ascii="Roboto" w:hAnsi="Roboto"/>
          </w:rPr>
          <w:instrText xml:space="preserve"> PAGE </w:instrText>
        </w:r>
        <w:r w:rsidRPr="000C7D47">
          <w:rPr>
            <w:rStyle w:val="PageNumber"/>
            <w:rFonts w:ascii="Roboto" w:hAnsi="Roboto"/>
          </w:rPr>
          <w:fldChar w:fldCharType="separate"/>
        </w:r>
        <w:r>
          <w:rPr>
            <w:rStyle w:val="PageNumber"/>
            <w:rFonts w:ascii="Roboto" w:hAnsi="Roboto"/>
          </w:rPr>
          <w:t>1</w:t>
        </w:r>
        <w:r w:rsidRPr="000C7D47">
          <w:rPr>
            <w:rStyle w:val="PageNumber"/>
            <w:rFonts w:ascii="Roboto" w:hAnsi="Robo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3037" w14:textId="77777777" w:rsidR="00C9023A" w:rsidRDefault="00C9023A" w:rsidP="006150CB">
      <w:r>
        <w:separator/>
      </w:r>
    </w:p>
  </w:footnote>
  <w:footnote w:type="continuationSeparator" w:id="0">
    <w:p w14:paraId="4104BD38" w14:textId="77777777" w:rsidR="00C9023A" w:rsidRDefault="00C9023A" w:rsidP="006150CB">
      <w:r>
        <w:continuationSeparator/>
      </w:r>
    </w:p>
  </w:footnote>
  <w:footnote w:id="1">
    <w:p w14:paraId="0D59D7D8" w14:textId="77777777" w:rsidR="008902AC" w:rsidRPr="005D64E7" w:rsidRDefault="008902AC" w:rsidP="009D0006">
      <w:pPr>
        <w:pStyle w:val="FootnoteText"/>
        <w:rPr>
          <w:rFonts w:ascii="Roboto" w:hAnsi="Roboto"/>
        </w:rPr>
      </w:pPr>
      <w:r w:rsidRPr="005D64E7">
        <w:rPr>
          <w:rStyle w:val="FootnoteReference"/>
          <w:rFonts w:ascii="Roboto" w:hAnsi="Roboto"/>
        </w:rPr>
        <w:footnoteRef/>
      </w:r>
      <w:r w:rsidRPr="005D64E7">
        <w:rPr>
          <w:rFonts w:ascii="Roboto" w:hAnsi="Roboto"/>
        </w:rPr>
        <w:t xml:space="preserve"> Within this report we use the term ‘family’ to denote a family of origin</w:t>
      </w:r>
      <w:r>
        <w:rPr>
          <w:rFonts w:ascii="Roboto" w:hAnsi="Roboto"/>
        </w:rPr>
        <w:t xml:space="preserve"> (i</w:t>
      </w:r>
      <w:r w:rsidRPr="005D64E7">
        <w:rPr>
          <w:rFonts w:ascii="Roboto" w:hAnsi="Roboto"/>
        </w:rPr>
        <w:t>.e.</w:t>
      </w:r>
      <w:r>
        <w:rPr>
          <w:rFonts w:ascii="Roboto" w:hAnsi="Roboto"/>
        </w:rPr>
        <w:t>,</w:t>
      </w:r>
      <w:r w:rsidRPr="005D64E7">
        <w:rPr>
          <w:rFonts w:ascii="Roboto" w:hAnsi="Roboto"/>
        </w:rPr>
        <w:t xml:space="preserve"> the family with whom the individual was raised</w:t>
      </w:r>
      <w:r>
        <w:rPr>
          <w:rFonts w:ascii="Roboto" w:hAnsi="Roboto"/>
        </w:rPr>
        <w:t>)</w:t>
      </w:r>
      <w:r w:rsidRPr="005D64E7">
        <w:rPr>
          <w:rFonts w:ascii="Roboto" w:hAnsi="Roboto"/>
        </w:rPr>
        <w:t xml:space="preserve">. This is distinct from ‘families of choice’, which can include friends and significant others who can form a family unit. Families of choice may be more likely to exist within LGBTIQ communities due to experiences of stigma or rejection by families of origin. </w:t>
      </w:r>
    </w:p>
  </w:footnote>
  <w:footnote w:id="2">
    <w:p w14:paraId="4ABA40A6" w14:textId="77777777" w:rsidR="008902AC" w:rsidRDefault="008902AC" w:rsidP="009D0006">
      <w:pPr>
        <w:pStyle w:val="FootnoteText"/>
      </w:pPr>
      <w:r>
        <w:rPr>
          <w:rStyle w:val="FootnoteReference"/>
        </w:rPr>
        <w:footnoteRef/>
      </w:r>
      <w:r>
        <w:t xml:space="preserve"> It is recognised that ‘Sistergirl’ and ‘Brotherboy’ are sovereign terms that do not prescribe to colonial narratives. It is further recognised that there is gender diversity within these communities. However, for analysis purposes, these are included within the ‘trans woman’ and ‘trans man’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E83C" w14:textId="77777777" w:rsidR="008902AC" w:rsidRDefault="008902AC">
    <w:pPr>
      <w:pStyle w:val="Header"/>
    </w:pPr>
  </w:p>
  <w:p w14:paraId="7B66ADF5" w14:textId="77777777" w:rsidR="008902AC" w:rsidRDefault="008902AC"/>
  <w:p w14:paraId="35E16550" w14:textId="77777777" w:rsidR="008902AC" w:rsidRDefault="0089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144C" w14:textId="0918FAFD" w:rsidR="008902AC" w:rsidRDefault="008902AC" w:rsidP="009A6790">
    <w:pPr>
      <w:pStyle w:val="Header"/>
      <w:ind w:hanging="964"/>
    </w:pPr>
    <w:r>
      <w:rPr>
        <w:noProof/>
        <w:w w:val="100"/>
        <w:lang w:eastAsia="en-AU"/>
      </w:rPr>
      <w:drawing>
        <wp:inline distT="0" distB="0" distL="0" distR="0" wp14:anchorId="3AB39E25" wp14:editId="17C6C13E">
          <wp:extent cx="7589520" cy="1272557"/>
          <wp:effectExtent l="0" t="0" r="0" b="3810"/>
          <wp:docPr id="5" name="Picture 5" title="Disability Royal Commission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MS 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9941" cy="12927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6B18" w14:textId="572DF081" w:rsidR="008902AC" w:rsidRDefault="008902AC" w:rsidP="0018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183D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65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289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B041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EB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D0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1CF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AD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BCA5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83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70541"/>
    <w:multiLevelType w:val="multilevel"/>
    <w:tmpl w:val="9FAE7686"/>
    <w:lvl w:ilvl="0">
      <w:start w:val="1"/>
      <w:numFmt w:val="decimal"/>
      <w:pStyle w:val="Numberlist"/>
      <w:lvlText w:val="%1."/>
      <w:lvlJc w:val="left"/>
      <w:pPr>
        <w:ind w:left="720" w:hanging="363"/>
      </w:pPr>
      <w:rPr>
        <w:rFonts w:hint="default"/>
        <w:color w:val="auto"/>
      </w:rPr>
    </w:lvl>
    <w:lvl w:ilvl="1">
      <w:start w:val="1"/>
      <w:numFmt w:val="lowerLetter"/>
      <w:lvlText w:val="%2."/>
      <w:lvlJc w:val="left"/>
      <w:pPr>
        <w:ind w:left="1077" w:hanging="357"/>
      </w:pPr>
      <w:rPr>
        <w:rFonts w:hint="default"/>
      </w:rPr>
    </w:lvl>
    <w:lvl w:ilvl="2">
      <w:start w:val="1"/>
      <w:numFmt w:val="lowerRoman"/>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79691F"/>
    <w:multiLevelType w:val="multilevel"/>
    <w:tmpl w:val="45DA0E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22356"/>
    <w:multiLevelType w:val="multilevel"/>
    <w:tmpl w:val="BF0EED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7F53B9"/>
    <w:multiLevelType w:val="hybridMultilevel"/>
    <w:tmpl w:val="659CA5CA"/>
    <w:lvl w:ilvl="0" w:tplc="0C090003">
      <w:start w:val="1"/>
      <w:numFmt w:val="bullet"/>
      <w:lvlText w:val="o"/>
      <w:lvlJc w:val="left"/>
      <w:pPr>
        <w:ind w:left="720" w:hanging="360"/>
      </w:pPr>
      <w:rPr>
        <w:rFonts w:ascii="Courier New" w:hAnsi="Courier New" w:cs="Courier New" w:hint="default"/>
        <w:color w:val="DD2F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D225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C47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695D9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9144C2"/>
    <w:multiLevelType w:val="multilevel"/>
    <w:tmpl w:val="370ACB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C926AE"/>
    <w:multiLevelType w:val="multilevel"/>
    <w:tmpl w:val="32B2291E"/>
    <w:lvl w:ilvl="0">
      <w:start w:val="1"/>
      <w:numFmt w:val="bullet"/>
      <w:pStyle w:val="Bulletlis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227DA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ED5843"/>
    <w:multiLevelType w:val="hybridMultilevel"/>
    <w:tmpl w:val="836C625E"/>
    <w:lvl w:ilvl="0" w:tplc="6D6AE112">
      <w:start w:val="1"/>
      <w:numFmt w:val="bullet"/>
      <w:lvlText w:val=""/>
      <w:lvlJc w:val="left"/>
      <w:pPr>
        <w:ind w:left="720" w:hanging="360"/>
      </w:pPr>
      <w:rPr>
        <w:rFonts w:ascii="Wingdings" w:hAnsi="Wingdings" w:hint="default"/>
        <w:color w:val="DD2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F23A2"/>
    <w:multiLevelType w:val="multilevel"/>
    <w:tmpl w:val="EA046230"/>
    <w:styleLink w:val="MultilevelNumberedList"/>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D1D1644"/>
    <w:multiLevelType w:val="multilevel"/>
    <w:tmpl w:val="A560D41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39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D879E1"/>
    <w:multiLevelType w:val="multilevel"/>
    <w:tmpl w:val="1FB4A89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E84E34"/>
    <w:multiLevelType w:val="hybridMultilevel"/>
    <w:tmpl w:val="DF6252F2"/>
    <w:lvl w:ilvl="0" w:tplc="6D6AE112">
      <w:start w:val="1"/>
      <w:numFmt w:val="bullet"/>
      <w:lvlText w:val=""/>
      <w:lvlJc w:val="left"/>
      <w:pPr>
        <w:ind w:left="720" w:hanging="360"/>
      </w:pPr>
      <w:rPr>
        <w:rFonts w:ascii="Wingdings" w:hAnsi="Wingdings" w:hint="default"/>
        <w:color w:val="DD2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A57E5"/>
    <w:multiLevelType w:val="hybridMultilevel"/>
    <w:tmpl w:val="B8F29168"/>
    <w:lvl w:ilvl="0" w:tplc="6D6AE112">
      <w:start w:val="1"/>
      <w:numFmt w:val="bullet"/>
      <w:lvlText w:val=""/>
      <w:lvlJc w:val="left"/>
      <w:pPr>
        <w:ind w:left="720" w:hanging="360"/>
      </w:pPr>
      <w:rPr>
        <w:rFonts w:ascii="Wingdings" w:hAnsi="Wingdings" w:hint="default"/>
        <w:color w:val="DD2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44C82"/>
    <w:multiLevelType w:val="hybridMultilevel"/>
    <w:tmpl w:val="BD829C7C"/>
    <w:lvl w:ilvl="0" w:tplc="EFD2E4BA">
      <w:start w:val="1"/>
      <w:numFmt w:val="bullet"/>
      <w:pStyle w:val="LTU-Bullets10pt"/>
      <w:lvlText w:val=""/>
      <w:lvlJc w:val="left"/>
      <w:pPr>
        <w:ind w:left="3797" w:hanging="360"/>
      </w:pPr>
      <w:rPr>
        <w:rFonts w:ascii="Wingdings" w:hAnsi="Wingdings" w:hint="default"/>
        <w:color w:val="AB2328"/>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68054BFE"/>
    <w:multiLevelType w:val="multilevel"/>
    <w:tmpl w:val="37D2C4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81443E"/>
    <w:multiLevelType w:val="hybridMultilevel"/>
    <w:tmpl w:val="8A08CFA2"/>
    <w:lvl w:ilvl="0" w:tplc="6D6AE112">
      <w:start w:val="1"/>
      <w:numFmt w:val="bullet"/>
      <w:lvlText w:val=""/>
      <w:lvlJc w:val="left"/>
      <w:pPr>
        <w:ind w:left="720" w:hanging="360"/>
      </w:pPr>
      <w:rPr>
        <w:rFonts w:ascii="Wingdings" w:hAnsi="Wingdings" w:hint="default"/>
        <w:color w:val="DD2F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29"/>
  </w:num>
  <w:num w:numId="5">
    <w:abstractNumId w:val="17"/>
  </w:num>
  <w:num w:numId="6">
    <w:abstractNumId w:val="28"/>
  </w:num>
  <w:num w:numId="7">
    <w:abstractNumId w:val="31"/>
  </w:num>
  <w:num w:numId="8">
    <w:abstractNumId w:val="22"/>
  </w:num>
  <w:num w:numId="9">
    <w:abstractNumId w:val="27"/>
  </w:num>
  <w:num w:numId="10">
    <w:abstractNumId w:val="14"/>
  </w:num>
  <w:num w:numId="11">
    <w:abstractNumId w:val="13"/>
  </w:num>
  <w:num w:numId="12">
    <w:abstractNumId w:val="19"/>
  </w:num>
  <w:num w:numId="13">
    <w:abstractNumId w:val="11"/>
  </w:num>
  <w:num w:numId="14">
    <w:abstractNumId w:val="21"/>
  </w:num>
  <w:num w:numId="15">
    <w:abstractNumId w:val="25"/>
  </w:num>
  <w:num w:numId="16">
    <w:abstractNumId w:val="18"/>
  </w:num>
  <w:num w:numId="17">
    <w:abstractNumId w:val="16"/>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W0MDU0MDY0MrA0M7dU0lEKTi0uzszPAykwqQUAzGK2WywAAAA="/>
  </w:docVars>
  <w:rsids>
    <w:rsidRoot w:val="003B28B8"/>
    <w:rsid w:val="000067D6"/>
    <w:rsid w:val="00011ACD"/>
    <w:rsid w:val="00017FD9"/>
    <w:rsid w:val="000256CF"/>
    <w:rsid w:val="000257F1"/>
    <w:rsid w:val="00025D9E"/>
    <w:rsid w:val="00030563"/>
    <w:rsid w:val="000779BE"/>
    <w:rsid w:val="00077D88"/>
    <w:rsid w:val="0008318E"/>
    <w:rsid w:val="00087835"/>
    <w:rsid w:val="0009043B"/>
    <w:rsid w:val="00090F5F"/>
    <w:rsid w:val="00092809"/>
    <w:rsid w:val="00092DFB"/>
    <w:rsid w:val="00096B7A"/>
    <w:rsid w:val="000B23AA"/>
    <w:rsid w:val="000C0D5D"/>
    <w:rsid w:val="000C53FA"/>
    <w:rsid w:val="000D0288"/>
    <w:rsid w:val="000E30E2"/>
    <w:rsid w:val="000E6F47"/>
    <w:rsid w:val="000F0835"/>
    <w:rsid w:val="000F3D72"/>
    <w:rsid w:val="0011430B"/>
    <w:rsid w:val="001153FB"/>
    <w:rsid w:val="00121B09"/>
    <w:rsid w:val="001230E5"/>
    <w:rsid w:val="00132813"/>
    <w:rsid w:val="00132E93"/>
    <w:rsid w:val="001339B6"/>
    <w:rsid w:val="00142545"/>
    <w:rsid w:val="00147967"/>
    <w:rsid w:val="00151A0A"/>
    <w:rsid w:val="00153892"/>
    <w:rsid w:val="001574DE"/>
    <w:rsid w:val="001600D7"/>
    <w:rsid w:val="0016445B"/>
    <w:rsid w:val="00172963"/>
    <w:rsid w:val="00174F06"/>
    <w:rsid w:val="00181045"/>
    <w:rsid w:val="0018219B"/>
    <w:rsid w:val="00182350"/>
    <w:rsid w:val="00184CF2"/>
    <w:rsid w:val="00187E45"/>
    <w:rsid w:val="00192F33"/>
    <w:rsid w:val="00192F58"/>
    <w:rsid w:val="00193468"/>
    <w:rsid w:val="001A6D2D"/>
    <w:rsid w:val="001B17CA"/>
    <w:rsid w:val="001D0952"/>
    <w:rsid w:val="001D2855"/>
    <w:rsid w:val="001D6E2C"/>
    <w:rsid w:val="001E2549"/>
    <w:rsid w:val="001F0C1E"/>
    <w:rsid w:val="00212009"/>
    <w:rsid w:val="00214354"/>
    <w:rsid w:val="00230B26"/>
    <w:rsid w:val="002372D7"/>
    <w:rsid w:val="00242D69"/>
    <w:rsid w:val="002465E4"/>
    <w:rsid w:val="00246D84"/>
    <w:rsid w:val="00253442"/>
    <w:rsid w:val="00254922"/>
    <w:rsid w:val="00255C62"/>
    <w:rsid w:val="00260038"/>
    <w:rsid w:val="002618BD"/>
    <w:rsid w:val="0026661E"/>
    <w:rsid w:val="002876D2"/>
    <w:rsid w:val="002A0994"/>
    <w:rsid w:val="002B2BBC"/>
    <w:rsid w:val="002B2C24"/>
    <w:rsid w:val="002C36D2"/>
    <w:rsid w:val="002C7734"/>
    <w:rsid w:val="002C7BF2"/>
    <w:rsid w:val="002D66E8"/>
    <w:rsid w:val="002E002A"/>
    <w:rsid w:val="002E19CA"/>
    <w:rsid w:val="002E3A62"/>
    <w:rsid w:val="002F7783"/>
    <w:rsid w:val="003113F7"/>
    <w:rsid w:val="00311BD7"/>
    <w:rsid w:val="00314B0E"/>
    <w:rsid w:val="003179CF"/>
    <w:rsid w:val="00326595"/>
    <w:rsid w:val="00333515"/>
    <w:rsid w:val="0034675B"/>
    <w:rsid w:val="00351A38"/>
    <w:rsid w:val="00355230"/>
    <w:rsid w:val="00364095"/>
    <w:rsid w:val="00372C25"/>
    <w:rsid w:val="00377017"/>
    <w:rsid w:val="00385690"/>
    <w:rsid w:val="003859FB"/>
    <w:rsid w:val="003921D8"/>
    <w:rsid w:val="00394664"/>
    <w:rsid w:val="00395615"/>
    <w:rsid w:val="003969C8"/>
    <w:rsid w:val="00397A9D"/>
    <w:rsid w:val="003B28B8"/>
    <w:rsid w:val="003C1FB4"/>
    <w:rsid w:val="003D29A6"/>
    <w:rsid w:val="003E1758"/>
    <w:rsid w:val="003E27FC"/>
    <w:rsid w:val="003E611C"/>
    <w:rsid w:val="003F4AC6"/>
    <w:rsid w:val="0042121A"/>
    <w:rsid w:val="00423E50"/>
    <w:rsid w:val="00435C26"/>
    <w:rsid w:val="00441CD6"/>
    <w:rsid w:val="004450A3"/>
    <w:rsid w:val="00453257"/>
    <w:rsid w:val="00460BA4"/>
    <w:rsid w:val="00462328"/>
    <w:rsid w:val="00466C21"/>
    <w:rsid w:val="0046729C"/>
    <w:rsid w:val="004750A1"/>
    <w:rsid w:val="004843BA"/>
    <w:rsid w:val="004856F1"/>
    <w:rsid w:val="00487376"/>
    <w:rsid w:val="00494856"/>
    <w:rsid w:val="00497A08"/>
    <w:rsid w:val="004A736E"/>
    <w:rsid w:val="004B22C9"/>
    <w:rsid w:val="004B4BED"/>
    <w:rsid w:val="004B4E13"/>
    <w:rsid w:val="004D16FC"/>
    <w:rsid w:val="004D2B2C"/>
    <w:rsid w:val="004D2D7E"/>
    <w:rsid w:val="004D30E1"/>
    <w:rsid w:val="004E2605"/>
    <w:rsid w:val="004F6C14"/>
    <w:rsid w:val="004F77DC"/>
    <w:rsid w:val="00503037"/>
    <w:rsid w:val="00504499"/>
    <w:rsid w:val="00504F4F"/>
    <w:rsid w:val="00504FB4"/>
    <w:rsid w:val="00511A60"/>
    <w:rsid w:val="00512995"/>
    <w:rsid w:val="005138BA"/>
    <w:rsid w:val="00513F7E"/>
    <w:rsid w:val="00526E70"/>
    <w:rsid w:val="00532632"/>
    <w:rsid w:val="00540EFF"/>
    <w:rsid w:val="00554A7F"/>
    <w:rsid w:val="005823EA"/>
    <w:rsid w:val="005B382F"/>
    <w:rsid w:val="005C1BB3"/>
    <w:rsid w:val="005C2EE6"/>
    <w:rsid w:val="005D3770"/>
    <w:rsid w:val="005D3BB8"/>
    <w:rsid w:val="005D3FEF"/>
    <w:rsid w:val="005F0DA0"/>
    <w:rsid w:val="005F2A19"/>
    <w:rsid w:val="005F68CE"/>
    <w:rsid w:val="00600E98"/>
    <w:rsid w:val="0060242A"/>
    <w:rsid w:val="00603068"/>
    <w:rsid w:val="0061231B"/>
    <w:rsid w:val="0061250E"/>
    <w:rsid w:val="00614560"/>
    <w:rsid w:val="00614F7B"/>
    <w:rsid w:val="006150CB"/>
    <w:rsid w:val="00617A45"/>
    <w:rsid w:val="00623769"/>
    <w:rsid w:val="00624FFC"/>
    <w:rsid w:val="006343A3"/>
    <w:rsid w:val="006346CA"/>
    <w:rsid w:val="00643AB1"/>
    <w:rsid w:val="00647803"/>
    <w:rsid w:val="00650B64"/>
    <w:rsid w:val="00656DE7"/>
    <w:rsid w:val="00660CDF"/>
    <w:rsid w:val="006623DD"/>
    <w:rsid w:val="006632C1"/>
    <w:rsid w:val="00666785"/>
    <w:rsid w:val="006731BC"/>
    <w:rsid w:val="00676B44"/>
    <w:rsid w:val="0068253A"/>
    <w:rsid w:val="00684004"/>
    <w:rsid w:val="00687C93"/>
    <w:rsid w:val="00691744"/>
    <w:rsid w:val="00696182"/>
    <w:rsid w:val="0069734E"/>
    <w:rsid w:val="006A039A"/>
    <w:rsid w:val="006C4166"/>
    <w:rsid w:val="006C5544"/>
    <w:rsid w:val="006F395A"/>
    <w:rsid w:val="006F5F53"/>
    <w:rsid w:val="006F6F7F"/>
    <w:rsid w:val="0071488F"/>
    <w:rsid w:val="00724FA1"/>
    <w:rsid w:val="0072552A"/>
    <w:rsid w:val="00731058"/>
    <w:rsid w:val="00731484"/>
    <w:rsid w:val="00736415"/>
    <w:rsid w:val="00743026"/>
    <w:rsid w:val="00746AAB"/>
    <w:rsid w:val="00747848"/>
    <w:rsid w:val="0075118A"/>
    <w:rsid w:val="00770E6C"/>
    <w:rsid w:val="007768C7"/>
    <w:rsid w:val="00790B45"/>
    <w:rsid w:val="00791324"/>
    <w:rsid w:val="00791601"/>
    <w:rsid w:val="007B0031"/>
    <w:rsid w:val="007B2370"/>
    <w:rsid w:val="007B4E6B"/>
    <w:rsid w:val="007B5881"/>
    <w:rsid w:val="007C2865"/>
    <w:rsid w:val="007C3AEA"/>
    <w:rsid w:val="007C558E"/>
    <w:rsid w:val="007E713F"/>
    <w:rsid w:val="007F1E90"/>
    <w:rsid w:val="007F672C"/>
    <w:rsid w:val="008019E2"/>
    <w:rsid w:val="008130B4"/>
    <w:rsid w:val="0081543B"/>
    <w:rsid w:val="0082031B"/>
    <w:rsid w:val="008274D5"/>
    <w:rsid w:val="00830196"/>
    <w:rsid w:val="008363E6"/>
    <w:rsid w:val="008367F5"/>
    <w:rsid w:val="00836CA9"/>
    <w:rsid w:val="00841AEF"/>
    <w:rsid w:val="00850F24"/>
    <w:rsid w:val="00851C15"/>
    <w:rsid w:val="00871B79"/>
    <w:rsid w:val="008729BD"/>
    <w:rsid w:val="00873F25"/>
    <w:rsid w:val="008830CD"/>
    <w:rsid w:val="008902AC"/>
    <w:rsid w:val="00890FF8"/>
    <w:rsid w:val="008934DA"/>
    <w:rsid w:val="008A35CE"/>
    <w:rsid w:val="008A5486"/>
    <w:rsid w:val="008C1EBA"/>
    <w:rsid w:val="008C6268"/>
    <w:rsid w:val="008D2EF7"/>
    <w:rsid w:val="008D5576"/>
    <w:rsid w:val="008F4D07"/>
    <w:rsid w:val="00901FAD"/>
    <w:rsid w:val="00905374"/>
    <w:rsid w:val="009057A5"/>
    <w:rsid w:val="00906752"/>
    <w:rsid w:val="009147A5"/>
    <w:rsid w:val="00917612"/>
    <w:rsid w:val="0091776D"/>
    <w:rsid w:val="009401DC"/>
    <w:rsid w:val="009425C3"/>
    <w:rsid w:val="00950602"/>
    <w:rsid w:val="0095196D"/>
    <w:rsid w:val="00971A49"/>
    <w:rsid w:val="00974A59"/>
    <w:rsid w:val="00976E68"/>
    <w:rsid w:val="00983324"/>
    <w:rsid w:val="00986284"/>
    <w:rsid w:val="0098671E"/>
    <w:rsid w:val="0098717D"/>
    <w:rsid w:val="009938A0"/>
    <w:rsid w:val="00994B31"/>
    <w:rsid w:val="009A0312"/>
    <w:rsid w:val="009A2AF2"/>
    <w:rsid w:val="009A3A4C"/>
    <w:rsid w:val="009A6790"/>
    <w:rsid w:val="009B034F"/>
    <w:rsid w:val="009B15F5"/>
    <w:rsid w:val="009B191E"/>
    <w:rsid w:val="009D0006"/>
    <w:rsid w:val="009D1DF6"/>
    <w:rsid w:val="009D252A"/>
    <w:rsid w:val="009F7B20"/>
    <w:rsid w:val="00A00FCE"/>
    <w:rsid w:val="00A07EC7"/>
    <w:rsid w:val="00A10F92"/>
    <w:rsid w:val="00A41FDE"/>
    <w:rsid w:val="00A42607"/>
    <w:rsid w:val="00A47F78"/>
    <w:rsid w:val="00A56342"/>
    <w:rsid w:val="00A64DD0"/>
    <w:rsid w:val="00A677EB"/>
    <w:rsid w:val="00A752CC"/>
    <w:rsid w:val="00A76397"/>
    <w:rsid w:val="00A82544"/>
    <w:rsid w:val="00A84700"/>
    <w:rsid w:val="00AA0F30"/>
    <w:rsid w:val="00AA61CE"/>
    <w:rsid w:val="00AB0CA5"/>
    <w:rsid w:val="00AB4A74"/>
    <w:rsid w:val="00AB5528"/>
    <w:rsid w:val="00AB76D1"/>
    <w:rsid w:val="00AC5F0A"/>
    <w:rsid w:val="00AD0FF7"/>
    <w:rsid w:val="00AD61E9"/>
    <w:rsid w:val="00AD67F2"/>
    <w:rsid w:val="00AE1F0D"/>
    <w:rsid w:val="00AE4DB5"/>
    <w:rsid w:val="00AE56EF"/>
    <w:rsid w:val="00AE656B"/>
    <w:rsid w:val="00AF1BC0"/>
    <w:rsid w:val="00B01C87"/>
    <w:rsid w:val="00B12408"/>
    <w:rsid w:val="00B15BAC"/>
    <w:rsid w:val="00B1720D"/>
    <w:rsid w:val="00B31675"/>
    <w:rsid w:val="00B344E3"/>
    <w:rsid w:val="00B345AD"/>
    <w:rsid w:val="00B417E5"/>
    <w:rsid w:val="00B63294"/>
    <w:rsid w:val="00B74535"/>
    <w:rsid w:val="00B81BBA"/>
    <w:rsid w:val="00B867C2"/>
    <w:rsid w:val="00B876FB"/>
    <w:rsid w:val="00B95C9E"/>
    <w:rsid w:val="00B97BAE"/>
    <w:rsid w:val="00BB280F"/>
    <w:rsid w:val="00BB51A5"/>
    <w:rsid w:val="00BC5607"/>
    <w:rsid w:val="00BE0D98"/>
    <w:rsid w:val="00BE74CE"/>
    <w:rsid w:val="00BF004D"/>
    <w:rsid w:val="00BF2011"/>
    <w:rsid w:val="00C03A6B"/>
    <w:rsid w:val="00C0720F"/>
    <w:rsid w:val="00C107F7"/>
    <w:rsid w:val="00C11A03"/>
    <w:rsid w:val="00C22AC3"/>
    <w:rsid w:val="00C279C1"/>
    <w:rsid w:val="00C320CE"/>
    <w:rsid w:val="00C33BE7"/>
    <w:rsid w:val="00C3759B"/>
    <w:rsid w:val="00C45093"/>
    <w:rsid w:val="00C539D4"/>
    <w:rsid w:val="00C544D8"/>
    <w:rsid w:val="00C65BCE"/>
    <w:rsid w:val="00C70D70"/>
    <w:rsid w:val="00C72085"/>
    <w:rsid w:val="00C75AC6"/>
    <w:rsid w:val="00C9023A"/>
    <w:rsid w:val="00C90BA5"/>
    <w:rsid w:val="00C95758"/>
    <w:rsid w:val="00CA5622"/>
    <w:rsid w:val="00CB0D36"/>
    <w:rsid w:val="00CB72A3"/>
    <w:rsid w:val="00CD6347"/>
    <w:rsid w:val="00CE048A"/>
    <w:rsid w:val="00CE09AB"/>
    <w:rsid w:val="00CE2E76"/>
    <w:rsid w:val="00CE4436"/>
    <w:rsid w:val="00CF0C3F"/>
    <w:rsid w:val="00CF245A"/>
    <w:rsid w:val="00CF60BF"/>
    <w:rsid w:val="00D17EEF"/>
    <w:rsid w:val="00D214FB"/>
    <w:rsid w:val="00D22BD6"/>
    <w:rsid w:val="00D51760"/>
    <w:rsid w:val="00D529DF"/>
    <w:rsid w:val="00D559E6"/>
    <w:rsid w:val="00D626D2"/>
    <w:rsid w:val="00D630F3"/>
    <w:rsid w:val="00D632C1"/>
    <w:rsid w:val="00D71951"/>
    <w:rsid w:val="00D74274"/>
    <w:rsid w:val="00D942DD"/>
    <w:rsid w:val="00DA0487"/>
    <w:rsid w:val="00DA0F2B"/>
    <w:rsid w:val="00DA4ECC"/>
    <w:rsid w:val="00DC2204"/>
    <w:rsid w:val="00DC683E"/>
    <w:rsid w:val="00DE075F"/>
    <w:rsid w:val="00DF5CD6"/>
    <w:rsid w:val="00DF6647"/>
    <w:rsid w:val="00E15CFD"/>
    <w:rsid w:val="00E241C1"/>
    <w:rsid w:val="00E305AF"/>
    <w:rsid w:val="00E343E2"/>
    <w:rsid w:val="00E34811"/>
    <w:rsid w:val="00E42498"/>
    <w:rsid w:val="00E666BA"/>
    <w:rsid w:val="00E701B5"/>
    <w:rsid w:val="00E71DF8"/>
    <w:rsid w:val="00EA37E2"/>
    <w:rsid w:val="00EB3906"/>
    <w:rsid w:val="00EB5C8F"/>
    <w:rsid w:val="00ED7801"/>
    <w:rsid w:val="00EE0020"/>
    <w:rsid w:val="00EE447F"/>
    <w:rsid w:val="00EF2A4F"/>
    <w:rsid w:val="00EF3CEB"/>
    <w:rsid w:val="00EF4EA2"/>
    <w:rsid w:val="00EF6BFB"/>
    <w:rsid w:val="00F03C8F"/>
    <w:rsid w:val="00F051FE"/>
    <w:rsid w:val="00F07C83"/>
    <w:rsid w:val="00F21FB3"/>
    <w:rsid w:val="00F40437"/>
    <w:rsid w:val="00F427A2"/>
    <w:rsid w:val="00F42D23"/>
    <w:rsid w:val="00F65D40"/>
    <w:rsid w:val="00F91EF9"/>
    <w:rsid w:val="00FA62D4"/>
    <w:rsid w:val="00FB6919"/>
    <w:rsid w:val="00FC1B56"/>
    <w:rsid w:val="00FC2425"/>
    <w:rsid w:val="00FC6749"/>
    <w:rsid w:val="00FD1390"/>
    <w:rsid w:val="00FD1BCA"/>
    <w:rsid w:val="00FD1D3F"/>
    <w:rsid w:val="00FE2582"/>
    <w:rsid w:val="00FE2A3A"/>
    <w:rsid w:val="00FE3AC2"/>
    <w:rsid w:val="00FE730F"/>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13A9"/>
  <w15:docId w15:val="{816084D4-FC82-45D6-BCC6-4E0286F2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9"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4"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2"/>
    <w:lsdException w:name="Subtle Reference" w:semiHidden="1" w:uiPriority="32"/>
    <w:lsdException w:name="Intense Reference" w:semiHidden="1" w:uiPriority="33"/>
    <w:lsdException w:name="Book Title" w:semiHidden="1" w:uiPriority="34"/>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C3"/>
    <w:pPr>
      <w:spacing w:before="120"/>
    </w:pPr>
    <w:rPr>
      <w:rFonts w:ascii="Arial" w:hAnsi="Arial" w:cs="Calibri"/>
      <w:w w:val="105"/>
      <w:kern w:val="40"/>
      <w:sz w:val="24"/>
      <w:szCs w:val="22"/>
      <w:lang w:eastAsia="en-US"/>
    </w:rPr>
  </w:style>
  <w:style w:type="paragraph" w:styleId="Heading1">
    <w:name w:val="heading 1"/>
    <w:basedOn w:val="Normal"/>
    <w:next w:val="Normal"/>
    <w:link w:val="Heading1Char"/>
    <w:uiPriority w:val="9"/>
    <w:qFormat/>
    <w:rsid w:val="00D632C1"/>
    <w:pPr>
      <w:keepNext/>
      <w:spacing w:before="360" w:after="240" w:line="240" w:lineRule="auto"/>
      <w:outlineLvl w:val="0"/>
    </w:pPr>
    <w:rPr>
      <w:rFonts w:eastAsia="SimSun" w:cs="Angsana New"/>
      <w:b/>
      <w:bCs/>
      <w:color w:val="46276B"/>
      <w:kern w:val="32"/>
      <w:sz w:val="52"/>
      <w:szCs w:val="52"/>
    </w:rPr>
  </w:style>
  <w:style w:type="paragraph" w:styleId="Heading2">
    <w:name w:val="heading 2"/>
    <w:basedOn w:val="Normal"/>
    <w:next w:val="Normal"/>
    <w:link w:val="Heading2Char"/>
    <w:uiPriority w:val="9"/>
    <w:unhideWhenUsed/>
    <w:qFormat/>
    <w:rsid w:val="00D632C1"/>
    <w:pPr>
      <w:keepNext/>
      <w:spacing w:before="360" w:after="240" w:line="240" w:lineRule="auto"/>
      <w:outlineLvl w:val="1"/>
    </w:pPr>
    <w:rPr>
      <w:rFonts w:eastAsia="SimSun" w:cs="Angsana New"/>
      <w:b/>
      <w:bCs/>
      <w:iCs/>
      <w:color w:val="336884"/>
      <w:sz w:val="40"/>
      <w:szCs w:val="48"/>
    </w:rPr>
  </w:style>
  <w:style w:type="paragraph" w:styleId="Heading3">
    <w:name w:val="heading 3"/>
    <w:basedOn w:val="Normal"/>
    <w:next w:val="Normal"/>
    <w:link w:val="Heading3Char"/>
    <w:uiPriority w:val="9"/>
    <w:unhideWhenUsed/>
    <w:qFormat/>
    <w:rsid w:val="00D632C1"/>
    <w:pPr>
      <w:keepNext/>
      <w:spacing w:before="360" w:after="240" w:line="240" w:lineRule="auto"/>
      <w:outlineLvl w:val="2"/>
    </w:pPr>
    <w:rPr>
      <w:rFonts w:eastAsia="SimSun" w:cs="Angsana New"/>
      <w:b/>
      <w:bCs/>
      <w:color w:val="843F81"/>
      <w:sz w:val="32"/>
      <w:szCs w:val="32"/>
    </w:rPr>
  </w:style>
  <w:style w:type="paragraph" w:styleId="Heading4">
    <w:name w:val="heading 4"/>
    <w:basedOn w:val="Normal"/>
    <w:next w:val="Normal"/>
    <w:link w:val="Heading4Char"/>
    <w:uiPriority w:val="99"/>
    <w:unhideWhenUsed/>
    <w:qFormat/>
    <w:rsid w:val="00D632C1"/>
    <w:pPr>
      <w:keepNext/>
      <w:keepLines/>
      <w:spacing w:before="360" w:after="240" w:line="240" w:lineRule="auto"/>
      <w:outlineLvl w:val="3"/>
    </w:pPr>
    <w:rPr>
      <w:b/>
      <w:color w:val="46276B"/>
      <w:sz w:val="26"/>
      <w:szCs w:val="26"/>
    </w:rPr>
  </w:style>
  <w:style w:type="paragraph" w:styleId="Heading5">
    <w:name w:val="heading 5"/>
    <w:basedOn w:val="Normal"/>
    <w:next w:val="Normal"/>
    <w:link w:val="Heading5Char"/>
    <w:uiPriority w:val="1"/>
    <w:unhideWhenUsed/>
    <w:qFormat/>
    <w:rsid w:val="00532632"/>
    <w:pPr>
      <w:keepNext/>
      <w:keepLines/>
      <w:spacing w:before="36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11"/>
    <w:semiHidden/>
    <w:rsid w:val="00A47F78"/>
    <w:pPr>
      <w:keepNext/>
      <w:keepLines/>
      <w:spacing w:before="40" w:after="0"/>
      <w:outlineLvl w:val="5"/>
    </w:pPr>
    <w:rPr>
      <w:rFonts w:eastAsiaTheme="majorEastAsia" w:cstheme="majorBidi"/>
      <w:color w:val="33688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A6D2D"/>
    <w:rPr>
      <w:rFonts w:ascii="Arial" w:eastAsia="SimSun" w:hAnsi="Arial" w:cs="Angsana New"/>
      <w:b/>
      <w:bCs/>
      <w:color w:val="46276B"/>
      <w:w w:val="105"/>
      <w:kern w:val="32"/>
      <w:sz w:val="52"/>
      <w:szCs w:val="52"/>
      <w:lang w:eastAsia="en-US"/>
    </w:rPr>
  </w:style>
  <w:style w:type="paragraph" w:styleId="Title">
    <w:name w:val="Title"/>
    <w:basedOn w:val="Normal"/>
    <w:next w:val="Normal"/>
    <w:link w:val="TitleChar"/>
    <w:uiPriority w:val="11"/>
    <w:semiHidden/>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1"/>
    <w:semiHidden/>
    <w:rsid w:val="008A35CE"/>
    <w:rPr>
      <w:rFonts w:ascii="Arial" w:eastAsia="SimSun" w:hAnsi="Arial" w:cs="Angsana New"/>
      <w:b/>
      <w:bCs/>
      <w:noProof/>
      <w:w w:val="105"/>
      <w:kern w:val="28"/>
      <w:sz w:val="56"/>
      <w:szCs w:val="32"/>
      <w:lang w:eastAsia="en-US"/>
    </w:rPr>
  </w:style>
  <w:style w:type="character" w:customStyle="1" w:styleId="Heading2Char">
    <w:name w:val="Heading 2 Char"/>
    <w:link w:val="Heading2"/>
    <w:uiPriority w:val="9"/>
    <w:qFormat/>
    <w:rsid w:val="001A6D2D"/>
    <w:rPr>
      <w:rFonts w:ascii="Arial" w:eastAsia="SimSun" w:hAnsi="Arial" w:cs="Angsana New"/>
      <w:b/>
      <w:bCs/>
      <w:iCs/>
      <w:color w:val="336884"/>
      <w:w w:val="105"/>
      <w:kern w:val="40"/>
      <w:sz w:val="40"/>
      <w:szCs w:val="48"/>
      <w:lang w:eastAsia="en-US"/>
    </w:rPr>
  </w:style>
  <w:style w:type="paragraph" w:styleId="Subtitle">
    <w:name w:val="Subtitle"/>
    <w:basedOn w:val="Title"/>
    <w:next w:val="Normal"/>
    <w:link w:val="SubtitleChar"/>
    <w:uiPriority w:val="12"/>
    <w:semiHidden/>
    <w:rsid w:val="006150CB"/>
    <w:pPr>
      <w:jc w:val="right"/>
    </w:pPr>
    <w:rPr>
      <w:sz w:val="28"/>
      <w:szCs w:val="28"/>
    </w:rPr>
  </w:style>
  <w:style w:type="character" w:customStyle="1" w:styleId="SubtitleChar">
    <w:name w:val="Subtitle Char"/>
    <w:link w:val="Subtitle"/>
    <w:uiPriority w:val="12"/>
    <w:semiHidden/>
    <w:rsid w:val="008A35CE"/>
    <w:rPr>
      <w:rFonts w:ascii="Arial" w:eastAsia="SimSun" w:hAnsi="Arial" w:cs="Angsana New"/>
      <w:b/>
      <w:bCs/>
      <w:noProof/>
      <w:w w:val="105"/>
      <w:kern w:val="28"/>
      <w:sz w:val="28"/>
      <w:szCs w:val="28"/>
      <w:lang w:eastAsia="en-US"/>
    </w:rPr>
  </w:style>
  <w:style w:type="character" w:customStyle="1" w:styleId="Heading3Char">
    <w:name w:val="Heading 3 Char"/>
    <w:link w:val="Heading3"/>
    <w:uiPriority w:val="9"/>
    <w:qFormat/>
    <w:rsid w:val="001A6D2D"/>
    <w:rPr>
      <w:rFonts w:ascii="Arial" w:eastAsia="SimSun" w:hAnsi="Arial" w:cs="Angsana New"/>
      <w:b/>
      <w:bCs/>
      <w:color w:val="843F81"/>
      <w:w w:val="105"/>
      <w:kern w:val="40"/>
      <w:sz w:val="32"/>
      <w:szCs w:val="32"/>
      <w:lang w:eastAsia="en-US"/>
    </w:rPr>
  </w:style>
  <w:style w:type="paragraph" w:styleId="Footer">
    <w:name w:val="footer"/>
    <w:basedOn w:val="Normal"/>
    <w:link w:val="FooterChar"/>
    <w:uiPriority w:val="99"/>
    <w:unhideWhenUsed/>
    <w:rsid w:val="00351A38"/>
    <w:pPr>
      <w:tabs>
        <w:tab w:val="center" w:pos="4513"/>
        <w:tab w:val="right" w:pos="9026"/>
      </w:tabs>
    </w:pPr>
    <w:rPr>
      <w:sz w:val="18"/>
    </w:rPr>
  </w:style>
  <w:style w:type="character" w:customStyle="1" w:styleId="FooterChar">
    <w:name w:val="Footer Char"/>
    <w:link w:val="Footer"/>
    <w:uiPriority w:val="99"/>
    <w:qFormat/>
    <w:rsid w:val="00351A38"/>
    <w:rPr>
      <w:rFonts w:ascii="Arial" w:hAnsi="Arial" w:cs="Calibri"/>
      <w:w w:val="105"/>
      <w:kern w:val="40"/>
      <w:sz w:val="18"/>
      <w:szCs w:val="22"/>
      <w:lang w:eastAsia="en-US"/>
    </w:rPr>
  </w:style>
  <w:style w:type="paragraph" w:styleId="BalloonText">
    <w:name w:val="Balloon Text"/>
    <w:basedOn w:val="Normal"/>
    <w:link w:val="BalloonTextChar"/>
    <w:uiPriority w:val="99"/>
    <w:semiHidden/>
    <w:unhideWhenUsed/>
    <w:qFormat/>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sid w:val="005C1BB3"/>
    <w:rPr>
      <w:rFonts w:ascii="Tahoma" w:hAnsi="Tahoma" w:cs="Tahoma"/>
      <w:w w:val="105"/>
      <w:kern w:val="40"/>
      <w:sz w:val="16"/>
      <w:szCs w:val="16"/>
      <w:lang w:eastAsia="en-US"/>
    </w:rPr>
  </w:style>
  <w:style w:type="numbering" w:customStyle="1" w:styleId="Bullet2">
    <w:name w:val="Bullet 2"/>
    <w:basedOn w:val="NoList"/>
    <w:uiPriority w:val="99"/>
    <w:rsid w:val="0011430B"/>
    <w:pPr>
      <w:numPr>
        <w:numId w:val="1"/>
      </w:numPr>
    </w:pPr>
  </w:style>
  <w:style w:type="character" w:customStyle="1" w:styleId="Heading4Char">
    <w:name w:val="Heading 4 Char"/>
    <w:basedOn w:val="DefaultParagraphFont"/>
    <w:link w:val="Heading4"/>
    <w:uiPriority w:val="99"/>
    <w:rsid w:val="001A6D2D"/>
    <w:rPr>
      <w:rFonts w:ascii="Arial" w:hAnsi="Arial" w:cs="Calibri"/>
      <w:b/>
      <w:color w:val="46276B"/>
      <w:w w:val="105"/>
      <w:kern w:val="40"/>
      <w:sz w:val="26"/>
      <w:szCs w:val="26"/>
      <w:lang w:eastAsia="en-US"/>
    </w:rPr>
  </w:style>
  <w:style w:type="character" w:styleId="Strong">
    <w:name w:val="Strong"/>
    <w:basedOn w:val="DefaultParagraphFont"/>
    <w:uiPriority w:val="22"/>
    <w:qFormat/>
    <w:rsid w:val="00A47F78"/>
    <w:rPr>
      <w:rFonts w:ascii="Arial" w:hAnsi="Arial"/>
      <w:b/>
      <w:bCs/>
    </w:rPr>
  </w:style>
  <w:style w:type="character" w:styleId="SubtleEmphasis">
    <w:name w:val="Subtle Emphasis"/>
    <w:basedOn w:val="DefaultParagraphFont"/>
    <w:uiPriority w:val="20"/>
    <w:semiHidden/>
    <w:rsid w:val="00A47F78"/>
    <w:rPr>
      <w:rFonts w:ascii="Arial" w:hAnsi="Arial"/>
      <w:i/>
      <w:iCs/>
      <w:color w:val="000000" w:themeColor="text1"/>
    </w:rPr>
  </w:style>
  <w:style w:type="paragraph" w:styleId="FootnoteText">
    <w:name w:val="footnote text"/>
    <w:basedOn w:val="Normal"/>
    <w:link w:val="FootnoteTextChar"/>
    <w:uiPriority w:val="99"/>
    <w:unhideWhenUsed/>
    <w:rsid w:val="0095196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95196D"/>
    <w:rPr>
      <w:rFonts w:cs="Calibri"/>
      <w:w w:val="105"/>
      <w:kern w:val="40"/>
      <w:lang w:eastAsia="en-US"/>
    </w:rPr>
  </w:style>
  <w:style w:type="character" w:styleId="FootnoteReference">
    <w:name w:val="footnote reference"/>
    <w:basedOn w:val="DefaultParagraphFont"/>
    <w:uiPriority w:val="99"/>
    <w:unhideWhenUsed/>
    <w:rsid w:val="008F4D07"/>
    <w:rPr>
      <w:vertAlign w:val="superscript"/>
    </w:rPr>
  </w:style>
  <w:style w:type="character" w:styleId="Hyperlink">
    <w:name w:val="Hyperlink"/>
    <w:basedOn w:val="DefaultParagraphFont"/>
    <w:uiPriority w:val="99"/>
    <w:unhideWhenUsed/>
    <w:rsid w:val="00A47F78"/>
    <w:rPr>
      <w:rFonts w:ascii="Arial" w:hAnsi="Arial"/>
      <w:color w:val="441B6C"/>
      <w:u w:val="single"/>
    </w:rPr>
  </w:style>
  <w:style w:type="table" w:styleId="TableGrid">
    <w:name w:val="Table Grid"/>
    <w:basedOn w:val="TableNormal"/>
    <w:uiPriority w:val="39"/>
    <w:unhideWhenUsed/>
    <w:rsid w:val="008F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Table">
    <w:name w:val="RC Table"/>
    <w:basedOn w:val="TableNormal"/>
    <w:uiPriority w:val="99"/>
    <w:rsid w:val="00614560"/>
    <w:pPr>
      <w:spacing w:before="60" w:after="60"/>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table" w:styleId="TableGridLight">
    <w:name w:val="Grid Table Light"/>
    <w:basedOn w:val="TableNormal"/>
    <w:uiPriority w:val="40"/>
    <w:rsid w:val="004F77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630F3"/>
    <w:rPr>
      <w:color w:val="808080"/>
    </w:rPr>
  </w:style>
  <w:style w:type="paragraph" w:customStyle="1" w:styleId="Tabletext">
    <w:name w:val="Table text"/>
    <w:basedOn w:val="Normal"/>
    <w:uiPriority w:val="7"/>
    <w:qFormat/>
    <w:rsid w:val="00B876FB"/>
    <w:pPr>
      <w:spacing w:after="60" w:line="240" w:lineRule="auto"/>
    </w:pPr>
    <w:rPr>
      <w:color w:val="000000" w:themeColor="text1"/>
      <w:sz w:val="22"/>
      <w:szCs w:val="20"/>
    </w:rPr>
  </w:style>
  <w:style w:type="paragraph" w:customStyle="1" w:styleId="Tableheader">
    <w:name w:val="Table header"/>
    <w:basedOn w:val="Normal"/>
    <w:link w:val="TableheaderChar"/>
    <w:uiPriority w:val="7"/>
    <w:qFormat/>
    <w:rsid w:val="001E2549"/>
    <w:pPr>
      <w:spacing w:before="80" w:after="80" w:line="240" w:lineRule="auto"/>
    </w:pPr>
    <w:rPr>
      <w:b/>
      <w:sz w:val="22"/>
      <w:szCs w:val="20"/>
    </w:rPr>
  </w:style>
  <w:style w:type="character" w:customStyle="1" w:styleId="UnresolvedMention1">
    <w:name w:val="Unresolved Mention1"/>
    <w:basedOn w:val="DefaultParagraphFont"/>
    <w:uiPriority w:val="99"/>
    <w:unhideWhenUsed/>
    <w:qFormat/>
    <w:rsid w:val="00F42D23"/>
    <w:rPr>
      <w:color w:val="605E5C"/>
      <w:shd w:val="clear" w:color="auto" w:fill="E1DFDD"/>
    </w:rPr>
  </w:style>
  <w:style w:type="character" w:styleId="FollowedHyperlink">
    <w:name w:val="FollowedHyperlink"/>
    <w:basedOn w:val="DefaultParagraphFont"/>
    <w:uiPriority w:val="99"/>
    <w:semiHidden/>
    <w:unhideWhenUsed/>
    <w:rsid w:val="00F42D23"/>
    <w:rPr>
      <w:color w:val="000000" w:themeColor="text1"/>
      <w:u w:val="single"/>
    </w:rPr>
  </w:style>
  <w:style w:type="paragraph" w:styleId="BodyText">
    <w:name w:val="Body Text"/>
    <w:basedOn w:val="Normal"/>
    <w:link w:val="BodyTextChar"/>
    <w:uiPriority w:val="99"/>
    <w:semiHidden/>
    <w:unhideWhenUsed/>
    <w:rsid w:val="009D1DF6"/>
  </w:style>
  <w:style w:type="character" w:customStyle="1" w:styleId="BodyTextChar">
    <w:name w:val="Body Text Char"/>
    <w:basedOn w:val="DefaultParagraphFont"/>
    <w:link w:val="BodyText"/>
    <w:uiPriority w:val="99"/>
    <w:semiHidden/>
    <w:rsid w:val="009D1DF6"/>
    <w:rPr>
      <w:rFonts w:ascii="Arial" w:hAnsi="Arial" w:cs="Calibri"/>
      <w:w w:val="105"/>
      <w:kern w:val="40"/>
      <w:sz w:val="24"/>
      <w:szCs w:val="22"/>
      <w:lang w:eastAsia="en-US"/>
    </w:rPr>
  </w:style>
  <w:style w:type="character" w:customStyle="1" w:styleId="Heading5Char">
    <w:name w:val="Heading 5 Char"/>
    <w:basedOn w:val="DefaultParagraphFont"/>
    <w:link w:val="Heading5"/>
    <w:uiPriority w:val="1"/>
    <w:rsid w:val="00532632"/>
    <w:rPr>
      <w:rFonts w:ascii="Arial" w:eastAsiaTheme="majorEastAsia" w:hAnsi="Arial" w:cstheme="majorBidi"/>
      <w:b/>
      <w:color w:val="000000" w:themeColor="text1"/>
      <w:w w:val="105"/>
      <w:kern w:val="40"/>
      <w:sz w:val="24"/>
      <w:szCs w:val="22"/>
      <w:lang w:eastAsia="en-US"/>
    </w:rPr>
  </w:style>
  <w:style w:type="character" w:customStyle="1" w:styleId="Heading6Char">
    <w:name w:val="Heading 6 Char"/>
    <w:basedOn w:val="DefaultParagraphFont"/>
    <w:link w:val="Heading6"/>
    <w:uiPriority w:val="11"/>
    <w:semiHidden/>
    <w:rsid w:val="008A35CE"/>
    <w:rPr>
      <w:rFonts w:ascii="Arial" w:eastAsiaTheme="majorEastAsia" w:hAnsi="Arial" w:cstheme="majorBidi"/>
      <w:color w:val="336884"/>
      <w:w w:val="105"/>
      <w:kern w:val="40"/>
      <w:sz w:val="22"/>
      <w:szCs w:val="22"/>
      <w:lang w:eastAsia="en-US"/>
    </w:rPr>
  </w:style>
  <w:style w:type="paragraph" w:styleId="Quote">
    <w:name w:val="Quote"/>
    <w:aliases w:val="Pop out Quote"/>
    <w:basedOn w:val="Normal"/>
    <w:next w:val="Normal"/>
    <w:link w:val="QuoteChar"/>
    <w:uiPriority w:val="4"/>
    <w:qFormat/>
    <w:rsid w:val="00A64DD0"/>
    <w:pPr>
      <w:spacing w:before="200" w:after="160"/>
      <w:ind w:left="862" w:right="862"/>
      <w:jc w:val="center"/>
    </w:pPr>
    <w:rPr>
      <w:i/>
      <w:iCs/>
      <w:color w:val="843F81"/>
    </w:rPr>
  </w:style>
  <w:style w:type="character" w:customStyle="1" w:styleId="QuoteChar">
    <w:name w:val="Quote Char"/>
    <w:aliases w:val="Pop out Quote Char"/>
    <w:basedOn w:val="DefaultParagraphFont"/>
    <w:link w:val="Quote"/>
    <w:uiPriority w:val="4"/>
    <w:rsid w:val="003C1FB4"/>
    <w:rPr>
      <w:rFonts w:ascii="Arial" w:hAnsi="Arial" w:cs="Calibri"/>
      <w:i/>
      <w:iCs/>
      <w:color w:val="843F81"/>
      <w:w w:val="105"/>
      <w:kern w:val="40"/>
      <w:sz w:val="24"/>
      <w:szCs w:val="22"/>
      <w:lang w:eastAsia="en-US"/>
    </w:rPr>
  </w:style>
  <w:style w:type="paragraph" w:customStyle="1" w:styleId="LongQuote">
    <w:name w:val="Long Quote"/>
    <w:basedOn w:val="Normal"/>
    <w:autoRedefine/>
    <w:uiPriority w:val="5"/>
    <w:qFormat/>
    <w:rsid w:val="00ED7801"/>
    <w:pPr>
      <w:ind w:left="720"/>
    </w:pPr>
    <w:rPr>
      <w:sz w:val="22"/>
    </w:rPr>
  </w:style>
  <w:style w:type="paragraph" w:styleId="ListParagraph">
    <w:name w:val="List Paragraph"/>
    <w:basedOn w:val="Normal"/>
    <w:link w:val="ListParagraphChar"/>
    <w:uiPriority w:val="34"/>
    <w:qFormat/>
    <w:rsid w:val="0071488F"/>
    <w:pPr>
      <w:tabs>
        <w:tab w:val="left" w:pos="357"/>
        <w:tab w:val="left" w:pos="720"/>
        <w:tab w:val="left" w:pos="1077"/>
        <w:tab w:val="left" w:pos="1418"/>
      </w:tabs>
      <w:ind w:left="720"/>
      <w:contextualSpacing/>
    </w:pPr>
  </w:style>
  <w:style w:type="paragraph" w:customStyle="1" w:styleId="Numberlist">
    <w:name w:val="Number list"/>
    <w:basedOn w:val="ListParagraph"/>
    <w:link w:val="NumberlistChar"/>
    <w:uiPriority w:val="3"/>
    <w:qFormat/>
    <w:rsid w:val="0071488F"/>
    <w:pPr>
      <w:numPr>
        <w:numId w:val="2"/>
      </w:numPr>
      <w:tabs>
        <w:tab w:val="left" w:pos="1701"/>
      </w:tabs>
    </w:pPr>
  </w:style>
  <w:style w:type="paragraph" w:customStyle="1" w:styleId="Bulletlist">
    <w:name w:val="Bullet list"/>
    <w:basedOn w:val="ListParagraph"/>
    <w:link w:val="BulletlistChar"/>
    <w:uiPriority w:val="3"/>
    <w:qFormat/>
    <w:rsid w:val="002F7783"/>
    <w:pPr>
      <w:numPr>
        <w:numId w:val="3"/>
      </w:numPr>
    </w:pPr>
  </w:style>
  <w:style w:type="character" w:customStyle="1" w:styleId="ListParagraphChar">
    <w:name w:val="List Paragraph Char"/>
    <w:basedOn w:val="DefaultParagraphFont"/>
    <w:link w:val="ListParagraph"/>
    <w:uiPriority w:val="4"/>
    <w:rsid w:val="0071488F"/>
    <w:rPr>
      <w:rFonts w:ascii="Arial" w:hAnsi="Arial" w:cs="Calibri"/>
      <w:w w:val="105"/>
      <w:kern w:val="40"/>
      <w:sz w:val="24"/>
      <w:szCs w:val="22"/>
      <w:lang w:eastAsia="en-US"/>
    </w:rPr>
  </w:style>
  <w:style w:type="character" w:customStyle="1" w:styleId="NumberlistChar">
    <w:name w:val="Number list Char"/>
    <w:basedOn w:val="ListParagraphChar"/>
    <w:link w:val="Numberlist"/>
    <w:uiPriority w:val="3"/>
    <w:rsid w:val="0071488F"/>
    <w:rPr>
      <w:rFonts w:ascii="Arial" w:hAnsi="Arial" w:cs="Calibri"/>
      <w:w w:val="105"/>
      <w:kern w:val="40"/>
      <w:sz w:val="24"/>
      <w:szCs w:val="22"/>
      <w:lang w:eastAsia="en-US"/>
    </w:rPr>
  </w:style>
  <w:style w:type="paragraph" w:customStyle="1" w:styleId="FigureHeading">
    <w:name w:val="Figure Heading"/>
    <w:basedOn w:val="Tableheader"/>
    <w:link w:val="FigureHeadingChar"/>
    <w:uiPriority w:val="9"/>
    <w:qFormat/>
    <w:rsid w:val="006623DD"/>
    <w:pPr>
      <w:spacing w:before="0" w:after="360" w:line="360" w:lineRule="auto"/>
      <w:outlineLvl w:val="4"/>
    </w:pPr>
  </w:style>
  <w:style w:type="character" w:customStyle="1" w:styleId="BulletlistChar">
    <w:name w:val="Bullet list Char"/>
    <w:basedOn w:val="ListParagraphChar"/>
    <w:link w:val="Bulletlist"/>
    <w:uiPriority w:val="3"/>
    <w:rsid w:val="003C1FB4"/>
    <w:rPr>
      <w:rFonts w:ascii="Arial" w:hAnsi="Arial" w:cs="Calibri"/>
      <w:w w:val="105"/>
      <w:kern w:val="40"/>
      <w:sz w:val="24"/>
      <w:szCs w:val="22"/>
      <w:lang w:eastAsia="en-US"/>
    </w:rPr>
  </w:style>
  <w:style w:type="paragraph" w:styleId="EndnoteText">
    <w:name w:val="endnote text"/>
    <w:basedOn w:val="Normal"/>
    <w:link w:val="EndnoteTextChar"/>
    <w:uiPriority w:val="99"/>
    <w:semiHidden/>
    <w:unhideWhenUsed/>
    <w:rsid w:val="000C0D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0D5D"/>
    <w:rPr>
      <w:rFonts w:ascii="Arial" w:hAnsi="Arial" w:cs="Calibri"/>
      <w:w w:val="105"/>
      <w:kern w:val="40"/>
      <w:lang w:eastAsia="en-US"/>
    </w:rPr>
  </w:style>
  <w:style w:type="character" w:styleId="EndnoteReference">
    <w:name w:val="endnote reference"/>
    <w:basedOn w:val="DefaultParagraphFont"/>
    <w:uiPriority w:val="99"/>
    <w:semiHidden/>
    <w:unhideWhenUsed/>
    <w:rsid w:val="000C0D5D"/>
    <w:rPr>
      <w:vertAlign w:val="superscript"/>
    </w:rPr>
  </w:style>
  <w:style w:type="character" w:customStyle="1" w:styleId="IndentednormalChar">
    <w:name w:val="Indented normal Char"/>
    <w:basedOn w:val="DefaultParagraphFont"/>
    <w:link w:val="Indentednormal"/>
    <w:uiPriority w:val="2"/>
    <w:locked/>
    <w:rsid w:val="003C1FB4"/>
    <w:rPr>
      <w:rFonts w:ascii="Arial" w:hAnsi="Arial" w:cs="Calibri"/>
      <w:w w:val="105"/>
      <w:kern w:val="40"/>
      <w:sz w:val="24"/>
    </w:rPr>
  </w:style>
  <w:style w:type="paragraph" w:customStyle="1" w:styleId="Indentednormal">
    <w:name w:val="Indented normal"/>
    <w:basedOn w:val="ListParagraph"/>
    <w:link w:val="IndentednormalChar"/>
    <w:uiPriority w:val="2"/>
    <w:qFormat/>
    <w:rsid w:val="004D2B2C"/>
    <w:pPr>
      <w:spacing w:before="0" w:after="200"/>
      <w:ind w:left="714" w:hanging="357"/>
    </w:pPr>
    <w:rPr>
      <w:szCs w:val="20"/>
      <w:lang w:eastAsia="en-AU"/>
    </w:rPr>
  </w:style>
  <w:style w:type="paragraph" w:customStyle="1" w:styleId="Heading1Numbered">
    <w:name w:val="Heading 1 (Numbered)"/>
    <w:basedOn w:val="Heading1"/>
    <w:qFormat/>
    <w:rsid w:val="00153892"/>
    <w:pPr>
      <w:numPr>
        <w:numId w:val="18"/>
      </w:numPr>
    </w:pPr>
  </w:style>
  <w:style w:type="character" w:customStyle="1" w:styleId="TableheaderChar">
    <w:name w:val="Table header Char"/>
    <w:basedOn w:val="DefaultParagraphFont"/>
    <w:link w:val="Tableheader"/>
    <w:uiPriority w:val="7"/>
    <w:rsid w:val="00087835"/>
    <w:rPr>
      <w:rFonts w:ascii="Arial" w:hAnsi="Arial" w:cs="Calibri"/>
      <w:b/>
      <w:w w:val="105"/>
      <w:kern w:val="40"/>
      <w:sz w:val="22"/>
      <w:lang w:eastAsia="en-US"/>
    </w:rPr>
  </w:style>
  <w:style w:type="paragraph" w:customStyle="1" w:styleId="BoxHeading5">
    <w:name w:val="Box Heading 5"/>
    <w:basedOn w:val="Heading5"/>
    <w:link w:val="BoxHeading5Char"/>
    <w:uiPriority w:val="6"/>
    <w:qFormat/>
    <w:rsid w:val="001230E5"/>
    <w:pPr>
      <w:spacing w:before="120"/>
    </w:pPr>
  </w:style>
  <w:style w:type="character" w:customStyle="1" w:styleId="BoxHeading5Char">
    <w:name w:val="Box Heading 5 Char"/>
    <w:basedOn w:val="Heading5Char"/>
    <w:link w:val="BoxHeading5"/>
    <w:uiPriority w:val="6"/>
    <w:rsid w:val="001230E5"/>
    <w:rPr>
      <w:rFonts w:ascii="Arial" w:eastAsiaTheme="majorEastAsia" w:hAnsi="Arial" w:cstheme="majorBidi"/>
      <w:b/>
      <w:color w:val="000000" w:themeColor="text1"/>
      <w:w w:val="105"/>
      <w:kern w:val="40"/>
      <w:sz w:val="24"/>
      <w:szCs w:val="22"/>
      <w:lang w:eastAsia="en-US"/>
    </w:rPr>
  </w:style>
  <w:style w:type="paragraph" w:customStyle="1" w:styleId="TableTextNotebelow">
    <w:name w:val="Table Text (Note below)"/>
    <w:basedOn w:val="Normal"/>
    <w:link w:val="TableTextNotebelowChar"/>
    <w:uiPriority w:val="8"/>
    <w:qFormat/>
    <w:rsid w:val="00B417E5"/>
    <w:pPr>
      <w:keepNext/>
      <w:keepLines/>
      <w:spacing w:line="300" w:lineRule="exact"/>
    </w:pPr>
    <w:rPr>
      <w:sz w:val="20"/>
      <w:szCs w:val="20"/>
    </w:rPr>
  </w:style>
  <w:style w:type="table" w:customStyle="1" w:styleId="RCTable2">
    <w:name w:val="RC Table2"/>
    <w:basedOn w:val="TableNormal"/>
    <w:uiPriority w:val="99"/>
    <w:rsid w:val="00770E6C"/>
    <w:pPr>
      <w:spacing w:before="60" w:after="6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Pr>
    <w:tcPr>
      <w:shd w:val="clear" w:color="auto" w:fill="auto"/>
    </w:tcPr>
    <w:tblStylePr w:type="firstRow">
      <w:pPr>
        <w:wordWrap/>
        <w:spacing w:beforeLines="0" w:before="80" w:beforeAutospacing="0" w:afterLines="0" w:after="80" w:afterAutospacing="0"/>
        <w:contextualSpacing w:val="0"/>
        <w:jc w:val="left"/>
      </w:pPr>
      <w:rPr>
        <w:b w: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441B6C"/>
        <w:vAlign w:val="center"/>
      </w:tcPr>
    </w:tblStylePr>
    <w:tblStylePr w:type="band1Horz">
      <w:rPr>
        <w:color w:val="000000" w:themeColor="text1"/>
      </w:rPr>
      <w:tblPr/>
      <w:tcPr>
        <w:shd w:val="clear" w:color="auto" w:fill="EBE8F0"/>
      </w:tcPr>
    </w:tblStylePr>
    <w:tblStylePr w:type="band2Horz">
      <w:rPr>
        <w:color w:val="auto"/>
      </w:rPr>
      <w:tblPr/>
      <w:tcPr>
        <w:shd w:val="clear" w:color="auto" w:fill="FFFFFF" w:themeFill="background1"/>
      </w:tcPr>
    </w:tblStylePr>
  </w:style>
  <w:style w:type="character" w:customStyle="1" w:styleId="TableTextNotebelowChar">
    <w:name w:val="Table Text (Note below) Char"/>
    <w:basedOn w:val="DefaultParagraphFont"/>
    <w:link w:val="TableTextNotebelow"/>
    <w:uiPriority w:val="8"/>
    <w:rsid w:val="00E15CFD"/>
    <w:rPr>
      <w:rFonts w:ascii="Arial" w:hAnsi="Arial" w:cs="Calibri"/>
      <w:w w:val="105"/>
      <w:kern w:val="40"/>
      <w:lang w:eastAsia="en-US"/>
    </w:rPr>
  </w:style>
  <w:style w:type="paragraph" w:customStyle="1" w:styleId="Tableheading">
    <w:name w:val="Table heading"/>
    <w:basedOn w:val="Normal"/>
    <w:link w:val="TableheadingChar"/>
    <w:uiPriority w:val="6"/>
    <w:qFormat/>
    <w:rsid w:val="001230E5"/>
    <w:pPr>
      <w:keepNext/>
      <w:keepLines/>
      <w:spacing w:before="240" w:line="240" w:lineRule="auto"/>
      <w:outlineLvl w:val="4"/>
    </w:pPr>
    <w:rPr>
      <w:rFonts w:eastAsiaTheme="majorEastAsia" w:cstheme="majorBidi"/>
      <w:b/>
      <w:color w:val="000000" w:themeColor="text1"/>
    </w:rPr>
  </w:style>
  <w:style w:type="character" w:customStyle="1" w:styleId="TableheadingChar">
    <w:name w:val="Table heading Char"/>
    <w:basedOn w:val="DefaultParagraphFont"/>
    <w:link w:val="Tableheading"/>
    <w:uiPriority w:val="6"/>
    <w:rsid w:val="001230E5"/>
    <w:rPr>
      <w:rFonts w:ascii="Arial" w:eastAsiaTheme="majorEastAsia" w:hAnsi="Arial" w:cstheme="majorBidi"/>
      <w:b/>
      <w:color w:val="000000" w:themeColor="text1"/>
      <w:w w:val="105"/>
      <w:kern w:val="40"/>
      <w:sz w:val="24"/>
      <w:szCs w:val="22"/>
      <w:lang w:eastAsia="en-US"/>
    </w:rPr>
  </w:style>
  <w:style w:type="paragraph" w:customStyle="1" w:styleId="Aftertabletext-Normal">
    <w:name w:val="After table text - Normal"/>
    <w:basedOn w:val="Normal"/>
    <w:link w:val="Aftertabletext-NormalChar"/>
    <w:uiPriority w:val="9"/>
    <w:qFormat/>
    <w:rsid w:val="006F5F53"/>
    <w:pPr>
      <w:spacing w:before="360"/>
    </w:pPr>
  </w:style>
  <w:style w:type="character" w:styleId="CommentReference">
    <w:name w:val="annotation reference"/>
    <w:basedOn w:val="DefaultParagraphFont"/>
    <w:uiPriority w:val="99"/>
    <w:semiHidden/>
    <w:unhideWhenUsed/>
    <w:qFormat/>
    <w:rsid w:val="006F5F53"/>
    <w:rPr>
      <w:sz w:val="16"/>
      <w:szCs w:val="16"/>
    </w:rPr>
  </w:style>
  <w:style w:type="character" w:customStyle="1" w:styleId="Aftertabletext-NormalChar">
    <w:name w:val="After table text - Normal Char"/>
    <w:basedOn w:val="DefaultParagraphFont"/>
    <w:link w:val="Aftertabletext-Normal"/>
    <w:uiPriority w:val="9"/>
    <w:rsid w:val="00E15CFD"/>
    <w:rPr>
      <w:rFonts w:ascii="Arial" w:hAnsi="Arial" w:cs="Calibri"/>
      <w:w w:val="105"/>
      <w:kern w:val="40"/>
      <w:sz w:val="24"/>
      <w:szCs w:val="22"/>
      <w:lang w:eastAsia="en-US"/>
    </w:rPr>
  </w:style>
  <w:style w:type="paragraph" w:customStyle="1" w:styleId="Heading2Numbered">
    <w:name w:val="Heading 2 (Numbered)"/>
    <w:basedOn w:val="Heading2"/>
    <w:qFormat/>
    <w:rsid w:val="00153892"/>
    <w:pPr>
      <w:numPr>
        <w:ilvl w:val="1"/>
        <w:numId w:val="18"/>
      </w:numPr>
    </w:pPr>
  </w:style>
  <w:style w:type="paragraph" w:customStyle="1" w:styleId="Heading3Numbered">
    <w:name w:val="Heading 3 (Numbered)"/>
    <w:basedOn w:val="Heading3"/>
    <w:qFormat/>
    <w:rsid w:val="00153892"/>
    <w:pPr>
      <w:numPr>
        <w:ilvl w:val="2"/>
        <w:numId w:val="18"/>
      </w:numPr>
    </w:pPr>
  </w:style>
  <w:style w:type="paragraph" w:customStyle="1" w:styleId="LookslikeH5">
    <w:name w:val="Looks like H5"/>
    <w:basedOn w:val="Heading5"/>
    <w:link w:val="LookslikeH5Char"/>
    <w:uiPriority w:val="10"/>
    <w:qFormat/>
    <w:rsid w:val="0069734E"/>
    <w:pPr>
      <w:spacing w:before="120" w:after="120" w:line="276" w:lineRule="auto"/>
      <w:outlineLvl w:val="9"/>
    </w:pPr>
    <w:rPr>
      <w:rFonts w:eastAsia="SimSun" w:cs="Angsana New"/>
      <w:bCs/>
      <w:szCs w:val="24"/>
    </w:rPr>
  </w:style>
  <w:style w:type="character" w:customStyle="1" w:styleId="LookslikeH5Char">
    <w:name w:val="Looks like H5 Char"/>
    <w:basedOn w:val="Heading5Char"/>
    <w:link w:val="LookslikeH5"/>
    <w:uiPriority w:val="10"/>
    <w:rsid w:val="00E15CFD"/>
    <w:rPr>
      <w:rFonts w:ascii="Arial" w:eastAsia="SimSun" w:hAnsi="Arial" w:cs="Angsana New"/>
      <w:b/>
      <w:bCs/>
      <w:color w:val="000000" w:themeColor="text1"/>
      <w:w w:val="105"/>
      <w:kern w:val="40"/>
      <w:sz w:val="24"/>
      <w:szCs w:val="24"/>
      <w:lang w:eastAsia="en-US"/>
    </w:rPr>
  </w:style>
  <w:style w:type="paragraph" w:customStyle="1" w:styleId="Qualifyingtext-narratives">
    <w:name w:val="Qualifying text - narratives"/>
    <w:basedOn w:val="Normal"/>
    <w:link w:val="Qualifyingtext-narrativesChar"/>
    <w:uiPriority w:val="6"/>
    <w:qFormat/>
    <w:rsid w:val="00905374"/>
    <w:pPr>
      <w:spacing w:before="60"/>
    </w:pPr>
    <w:rPr>
      <w:sz w:val="20"/>
    </w:rPr>
  </w:style>
  <w:style w:type="character" w:customStyle="1" w:styleId="FigureHeadingChar">
    <w:name w:val="Figure Heading Char"/>
    <w:basedOn w:val="TableheaderChar"/>
    <w:link w:val="FigureHeading"/>
    <w:uiPriority w:val="9"/>
    <w:rsid w:val="006623DD"/>
    <w:rPr>
      <w:rFonts w:ascii="Arial" w:hAnsi="Arial" w:cs="Calibri"/>
      <w:b/>
      <w:w w:val="105"/>
      <w:kern w:val="40"/>
      <w:sz w:val="22"/>
      <w:lang w:eastAsia="en-US"/>
    </w:rPr>
  </w:style>
  <w:style w:type="character" w:customStyle="1" w:styleId="Qualifyingtext-narrativesChar">
    <w:name w:val="Qualifying text - narratives Char"/>
    <w:basedOn w:val="DefaultParagraphFont"/>
    <w:link w:val="Qualifyingtext-narratives"/>
    <w:uiPriority w:val="6"/>
    <w:rsid w:val="003C1FB4"/>
    <w:rPr>
      <w:rFonts w:ascii="Arial" w:hAnsi="Arial" w:cs="Calibri"/>
      <w:w w:val="105"/>
      <w:kern w:val="40"/>
      <w:szCs w:val="22"/>
      <w:lang w:eastAsia="en-US"/>
    </w:rPr>
  </w:style>
  <w:style w:type="paragraph" w:customStyle="1" w:styleId="EndnotesText">
    <w:name w:val="Endnotes Text"/>
    <w:basedOn w:val="EndnoteText"/>
    <w:link w:val="EndnotesTextChar"/>
    <w:uiPriority w:val="11"/>
    <w:qFormat/>
    <w:rsid w:val="0009043B"/>
    <w:pPr>
      <w:spacing w:before="60" w:after="120"/>
    </w:pPr>
  </w:style>
  <w:style w:type="character" w:customStyle="1" w:styleId="EndnotesTextChar">
    <w:name w:val="Endnotes Text Char"/>
    <w:basedOn w:val="EndnoteTextChar"/>
    <w:link w:val="EndnotesText"/>
    <w:uiPriority w:val="11"/>
    <w:rsid w:val="007B4E6B"/>
    <w:rPr>
      <w:rFonts w:ascii="Arial" w:hAnsi="Arial" w:cs="Calibri"/>
      <w:w w:val="105"/>
      <w:kern w:val="40"/>
      <w:lang w:eastAsia="en-US"/>
    </w:rPr>
  </w:style>
  <w:style w:type="paragraph" w:customStyle="1" w:styleId="FootnotesText">
    <w:name w:val="Footnotes Text"/>
    <w:basedOn w:val="FootnoteText"/>
    <w:uiPriority w:val="7"/>
    <w:qFormat/>
    <w:rsid w:val="00364095"/>
  </w:style>
  <w:style w:type="paragraph" w:styleId="Header">
    <w:name w:val="header"/>
    <w:basedOn w:val="Normal"/>
    <w:link w:val="HeaderChar"/>
    <w:uiPriority w:val="99"/>
    <w:unhideWhenUsed/>
    <w:rsid w:val="00BB28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280F"/>
    <w:rPr>
      <w:rFonts w:ascii="Arial" w:hAnsi="Arial" w:cs="Calibri"/>
      <w:w w:val="105"/>
      <w:kern w:val="40"/>
      <w:sz w:val="24"/>
      <w:szCs w:val="22"/>
      <w:lang w:eastAsia="en-US"/>
    </w:rPr>
  </w:style>
  <w:style w:type="paragraph" w:styleId="Revision">
    <w:name w:val="Revision"/>
    <w:hidden/>
    <w:uiPriority w:val="99"/>
    <w:semiHidden/>
    <w:qFormat/>
    <w:rsid w:val="0061250E"/>
    <w:pPr>
      <w:spacing w:after="0" w:line="240" w:lineRule="auto"/>
    </w:pPr>
    <w:rPr>
      <w:rFonts w:ascii="Arial" w:hAnsi="Arial" w:cs="Calibri"/>
      <w:w w:val="105"/>
      <w:kern w:val="40"/>
      <w:sz w:val="24"/>
      <w:szCs w:val="22"/>
      <w:lang w:eastAsia="en-US"/>
    </w:rPr>
  </w:style>
  <w:style w:type="numbering" w:customStyle="1" w:styleId="NoList1">
    <w:name w:val="No List1"/>
    <w:next w:val="NoList"/>
    <w:uiPriority w:val="99"/>
    <w:semiHidden/>
    <w:unhideWhenUsed/>
    <w:qFormat/>
    <w:rsid w:val="009D0006"/>
  </w:style>
  <w:style w:type="numbering" w:customStyle="1" w:styleId="MultilevelNumberedList">
    <w:name w:val="Multilevel Numbered List"/>
    <w:uiPriority w:val="99"/>
    <w:rsid w:val="00153892"/>
    <w:pPr>
      <w:numPr>
        <w:numId w:val="18"/>
      </w:numPr>
    </w:pPr>
  </w:style>
  <w:style w:type="paragraph" w:styleId="CommentText">
    <w:name w:val="annotation text"/>
    <w:basedOn w:val="Normal"/>
    <w:link w:val="CommentTextChar"/>
    <w:uiPriority w:val="99"/>
    <w:semiHidden/>
    <w:unhideWhenUsed/>
    <w:qFormat/>
    <w:rsid w:val="00D17EEF"/>
    <w:pPr>
      <w:spacing w:line="240" w:lineRule="auto"/>
    </w:pPr>
    <w:rPr>
      <w:sz w:val="20"/>
      <w:szCs w:val="20"/>
    </w:rPr>
  </w:style>
  <w:style w:type="paragraph" w:customStyle="1" w:styleId="TIMHeading3">
    <w:name w:val="TIM Heading 3"/>
    <w:basedOn w:val="Normal"/>
    <w:next w:val="Normal"/>
    <w:qFormat/>
    <w:rsid w:val="009D0006"/>
    <w:pPr>
      <w:autoSpaceDE w:val="0"/>
      <w:autoSpaceDN w:val="0"/>
      <w:adjustRightInd w:val="0"/>
      <w:spacing w:before="226" w:after="113" w:line="240" w:lineRule="auto"/>
      <w:textAlignment w:val="center"/>
      <w:outlineLvl w:val="2"/>
    </w:pPr>
    <w:rPr>
      <w:rFonts w:ascii="Roboto" w:eastAsia="MS Mincho" w:hAnsi="Roboto" w:cs="Brioni Std Medium"/>
      <w:b/>
      <w:color w:val="696766"/>
      <w:w w:val="100"/>
      <w:kern w:val="0"/>
      <w:sz w:val="23"/>
      <w:szCs w:val="23"/>
      <w:lang w:val="en-GB"/>
    </w:rPr>
  </w:style>
  <w:style w:type="paragraph" w:customStyle="1" w:styleId="LTU-Infoline">
    <w:name w:val="LTU - Info line"/>
    <w:basedOn w:val="LTU-Body0pt"/>
    <w:qFormat/>
    <w:rsid w:val="009D0006"/>
    <w:rPr>
      <w:color w:val="69584C"/>
    </w:rPr>
  </w:style>
  <w:style w:type="paragraph" w:customStyle="1" w:styleId="LTU-Body0pt">
    <w:name w:val="LTU - Body 0pt"/>
    <w:basedOn w:val="Normal"/>
    <w:qFormat/>
    <w:rsid w:val="00153892"/>
    <w:pPr>
      <w:spacing w:before="0" w:after="0" w:line="240" w:lineRule="auto"/>
    </w:pPr>
    <w:rPr>
      <w:rFonts w:ascii="Times New Roman" w:eastAsia="MS Mincho" w:hAnsi="Times New Roman" w:cs="Arial"/>
      <w:color w:val="000000"/>
      <w:w w:val="100"/>
      <w:kern w:val="0"/>
      <w:sz w:val="18"/>
      <w:szCs w:val="17"/>
    </w:rPr>
  </w:style>
  <w:style w:type="paragraph" w:customStyle="1" w:styleId="LTU-Table-Heading">
    <w:name w:val="LTU - Table - Heading"/>
    <w:basedOn w:val="Normal"/>
    <w:qFormat/>
    <w:rsid w:val="00153892"/>
    <w:pPr>
      <w:spacing w:before="0" w:after="0" w:line="240" w:lineRule="auto"/>
    </w:pPr>
    <w:rPr>
      <w:rFonts w:ascii="Times New Roman" w:eastAsia="MS Mincho" w:hAnsi="Times New Roman" w:cs="Arial"/>
      <w:color w:val="FFFFFF"/>
      <w:w w:val="100"/>
      <w:kern w:val="0"/>
      <w:sz w:val="18"/>
      <w:szCs w:val="17"/>
    </w:rPr>
  </w:style>
  <w:style w:type="character" w:customStyle="1" w:styleId="CommentTextChar">
    <w:name w:val="Comment Text Char"/>
    <w:basedOn w:val="DefaultParagraphFont"/>
    <w:link w:val="CommentText"/>
    <w:uiPriority w:val="99"/>
    <w:semiHidden/>
    <w:rsid w:val="00D17EEF"/>
    <w:rPr>
      <w:rFonts w:ascii="Arial" w:hAnsi="Arial" w:cs="Calibri"/>
      <w:w w:val="105"/>
      <w:kern w:val="40"/>
      <w:lang w:eastAsia="en-US"/>
    </w:rPr>
  </w:style>
  <w:style w:type="paragraph" w:styleId="TOC1">
    <w:name w:val="toc 1"/>
    <w:basedOn w:val="Normal"/>
    <w:next w:val="Normal"/>
    <w:autoRedefine/>
    <w:uiPriority w:val="39"/>
    <w:qFormat/>
    <w:rsid w:val="0061231B"/>
    <w:pPr>
      <w:tabs>
        <w:tab w:val="right" w:leader="dot" w:pos="9968"/>
      </w:tabs>
      <w:spacing w:after="100"/>
    </w:pPr>
    <w:rPr>
      <w:rFonts w:eastAsiaTheme="minorEastAsia" w:cstheme="minorBidi"/>
      <w:b/>
      <w:noProof/>
    </w:rPr>
  </w:style>
  <w:style w:type="paragraph" w:styleId="TOC2">
    <w:name w:val="toc 2"/>
    <w:basedOn w:val="TOC1"/>
    <w:next w:val="Normal"/>
    <w:autoRedefine/>
    <w:uiPriority w:val="39"/>
    <w:qFormat/>
    <w:rsid w:val="0061231B"/>
    <w:pPr>
      <w:tabs>
        <w:tab w:val="left" w:leader="dot" w:pos="879"/>
      </w:tabs>
      <w:ind w:left="238"/>
    </w:pPr>
    <w:rPr>
      <w:b w:val="0"/>
    </w:rPr>
  </w:style>
  <w:style w:type="paragraph" w:styleId="TOC4">
    <w:name w:val="toc 4"/>
    <w:basedOn w:val="Normal"/>
    <w:next w:val="Normal"/>
    <w:autoRedefine/>
    <w:uiPriority w:val="39"/>
    <w:rsid w:val="009D0006"/>
    <w:pPr>
      <w:spacing w:before="0" w:after="0" w:line="276" w:lineRule="auto"/>
      <w:ind w:left="540"/>
    </w:pPr>
    <w:rPr>
      <w:rFonts w:ascii="Times New Roman" w:eastAsia="MS Mincho" w:hAnsi="Times New Roman" w:cs="Times New Roman"/>
      <w:w w:val="100"/>
      <w:kern w:val="0"/>
      <w:sz w:val="18"/>
      <w:szCs w:val="18"/>
    </w:rPr>
  </w:style>
  <w:style w:type="paragraph" w:styleId="TOC3">
    <w:name w:val="toc 3"/>
    <w:basedOn w:val="Normal"/>
    <w:next w:val="Normal"/>
    <w:autoRedefine/>
    <w:uiPriority w:val="39"/>
    <w:unhideWhenUsed/>
    <w:qFormat/>
    <w:rsid w:val="007F672C"/>
    <w:pPr>
      <w:tabs>
        <w:tab w:val="right" w:leader="dot" w:pos="9214"/>
      </w:tabs>
      <w:spacing w:after="100"/>
      <w:ind w:left="1253" w:hanging="771"/>
    </w:pPr>
    <w:rPr>
      <w:rFonts w:eastAsia="MS Mincho" w:cs="Times New Roman"/>
      <w:iCs/>
      <w:kern w:val="0"/>
    </w:rPr>
  </w:style>
  <w:style w:type="paragraph" w:styleId="TOC5">
    <w:name w:val="toc 5"/>
    <w:basedOn w:val="Normal"/>
    <w:next w:val="Normal"/>
    <w:autoRedefine/>
    <w:uiPriority w:val="39"/>
    <w:rsid w:val="009D0006"/>
    <w:pPr>
      <w:spacing w:before="0" w:after="0" w:line="276" w:lineRule="auto"/>
      <w:ind w:left="720"/>
    </w:pPr>
    <w:rPr>
      <w:rFonts w:ascii="Times New Roman" w:eastAsia="MS Mincho" w:hAnsi="Times New Roman" w:cs="Times New Roman"/>
      <w:w w:val="100"/>
      <w:kern w:val="0"/>
      <w:sz w:val="18"/>
      <w:szCs w:val="18"/>
    </w:rPr>
  </w:style>
  <w:style w:type="paragraph" w:styleId="TOC7">
    <w:name w:val="toc 7"/>
    <w:basedOn w:val="Normal"/>
    <w:next w:val="Normal"/>
    <w:autoRedefine/>
    <w:uiPriority w:val="39"/>
    <w:rsid w:val="009D0006"/>
    <w:pPr>
      <w:spacing w:before="0" w:after="0" w:line="276" w:lineRule="auto"/>
      <w:ind w:left="1080"/>
    </w:pPr>
    <w:rPr>
      <w:rFonts w:ascii="Times New Roman" w:eastAsia="MS Mincho" w:hAnsi="Times New Roman" w:cs="Times New Roman"/>
      <w:w w:val="100"/>
      <w:kern w:val="0"/>
      <w:sz w:val="18"/>
      <w:szCs w:val="18"/>
    </w:rPr>
  </w:style>
  <w:style w:type="paragraph" w:styleId="TOC8">
    <w:name w:val="toc 8"/>
    <w:basedOn w:val="Normal"/>
    <w:next w:val="Normal"/>
    <w:autoRedefine/>
    <w:uiPriority w:val="39"/>
    <w:rsid w:val="009D0006"/>
    <w:pPr>
      <w:spacing w:before="0" w:after="0" w:line="276" w:lineRule="auto"/>
      <w:ind w:left="1260"/>
    </w:pPr>
    <w:rPr>
      <w:rFonts w:ascii="Times New Roman" w:eastAsia="MS Mincho" w:hAnsi="Times New Roman" w:cs="Times New Roman"/>
      <w:w w:val="100"/>
      <w:kern w:val="0"/>
      <w:sz w:val="18"/>
      <w:szCs w:val="18"/>
    </w:rPr>
  </w:style>
  <w:style w:type="paragraph" w:styleId="TOC9">
    <w:name w:val="toc 9"/>
    <w:basedOn w:val="Normal"/>
    <w:next w:val="Normal"/>
    <w:autoRedefine/>
    <w:uiPriority w:val="39"/>
    <w:rsid w:val="009D0006"/>
    <w:pPr>
      <w:spacing w:before="0" w:after="0" w:line="276" w:lineRule="auto"/>
      <w:ind w:left="1440"/>
    </w:pPr>
    <w:rPr>
      <w:rFonts w:ascii="Times New Roman" w:eastAsia="MS Mincho" w:hAnsi="Times New Roman" w:cs="Times New Roman"/>
      <w:w w:val="100"/>
      <w:kern w:val="0"/>
      <w:sz w:val="18"/>
      <w:szCs w:val="18"/>
    </w:rPr>
  </w:style>
  <w:style w:type="paragraph" w:customStyle="1" w:styleId="LTU-Subhead3">
    <w:name w:val="LTU - Subhead 3"/>
    <w:basedOn w:val="Normal"/>
    <w:next w:val="Normal"/>
    <w:qFormat/>
    <w:rsid w:val="00153892"/>
    <w:pPr>
      <w:spacing w:before="0" w:after="57" w:line="276" w:lineRule="auto"/>
    </w:pPr>
    <w:rPr>
      <w:rFonts w:ascii="Times New Roman" w:eastAsia="MS Mincho" w:hAnsi="Times New Roman" w:cs="Arial"/>
      <w:b/>
      <w:w w:val="100"/>
      <w:kern w:val="0"/>
      <w:sz w:val="20"/>
      <w:szCs w:val="20"/>
    </w:rPr>
  </w:style>
  <w:style w:type="table" w:styleId="MediumGrid3-Accent1">
    <w:name w:val="Medium Grid 3 Accent 1"/>
    <w:basedOn w:val="TableNormal"/>
    <w:uiPriority w:val="64"/>
    <w:rsid w:val="009D0006"/>
    <w:pPr>
      <w:spacing w:after="0" w:line="240" w:lineRule="auto"/>
      <w:jc w:val="both"/>
    </w:pPr>
    <w:rPr>
      <w:rFonts w:eastAsia="MS Mincho"/>
      <w:lang w:val="en-US" w:eastAsia="ja-JP"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0"/>
    <w:rsid w:val="009D0006"/>
    <w:pPr>
      <w:spacing w:after="0" w:line="240" w:lineRule="auto"/>
      <w:jc w:val="both"/>
    </w:pPr>
    <w:rPr>
      <w:rFonts w:eastAsia="MS Mincho"/>
      <w:color w:val="000000"/>
      <w:lang w:val="en-US" w:eastAsia="ja-JP"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TU-Bullets">
    <w:name w:val="LTU - Bullets"/>
    <w:basedOn w:val="Normal"/>
    <w:qFormat/>
    <w:rsid w:val="009D0006"/>
    <w:pPr>
      <w:spacing w:before="0" w:after="0" w:line="276" w:lineRule="auto"/>
      <w:ind w:left="170" w:hanging="170"/>
      <w:contextualSpacing/>
    </w:pPr>
    <w:rPr>
      <w:rFonts w:ascii="Times New Roman" w:eastAsia="MS Mincho" w:hAnsi="Times New Roman" w:cs="Arial"/>
      <w:w w:val="100"/>
      <w:kern w:val="0"/>
      <w:sz w:val="18"/>
      <w:szCs w:val="18"/>
      <w:lang w:bidi="en-US"/>
    </w:rPr>
  </w:style>
  <w:style w:type="paragraph" w:customStyle="1" w:styleId="LTU-Bullets10pt">
    <w:name w:val="LTU - Bullets 10pt"/>
    <w:basedOn w:val="Normal"/>
    <w:next w:val="Normal"/>
    <w:qFormat/>
    <w:rsid w:val="009D0006"/>
    <w:pPr>
      <w:numPr>
        <w:numId w:val="4"/>
      </w:numPr>
      <w:spacing w:before="0" w:after="200" w:line="276" w:lineRule="auto"/>
      <w:ind w:left="170" w:hanging="170"/>
      <w:contextualSpacing/>
    </w:pPr>
    <w:rPr>
      <w:rFonts w:ascii="Times New Roman" w:eastAsia="Times New Roman" w:hAnsi="Times New Roman" w:cs="Arial"/>
      <w:color w:val="000000"/>
      <w:w w:val="100"/>
      <w:kern w:val="0"/>
      <w:sz w:val="18"/>
      <w:szCs w:val="18"/>
      <w:lang w:eastAsia="en-AU" w:bidi="en-US"/>
    </w:rPr>
  </w:style>
  <w:style w:type="paragraph" w:customStyle="1" w:styleId="LTU-Body5pt">
    <w:name w:val="LTU - Body 5pt"/>
    <w:basedOn w:val="Normal"/>
    <w:qFormat/>
    <w:rsid w:val="00153892"/>
    <w:pPr>
      <w:spacing w:before="0" w:after="100" w:line="276" w:lineRule="auto"/>
    </w:pPr>
    <w:rPr>
      <w:rFonts w:ascii="Times New Roman" w:eastAsia="MS Mincho" w:hAnsi="Times New Roman" w:cs="Arial"/>
      <w:w w:val="100"/>
      <w:kern w:val="0"/>
      <w:sz w:val="18"/>
      <w:szCs w:val="18"/>
    </w:rPr>
  </w:style>
  <w:style w:type="paragraph" w:customStyle="1" w:styleId="LTU-Bulletssub0pt">
    <w:name w:val="LTU - Bullets (sub) 0pt"/>
    <w:basedOn w:val="LTU-Bullets"/>
    <w:rsid w:val="009D0006"/>
    <w:pPr>
      <w:numPr>
        <w:ilvl w:val="1"/>
        <w:numId w:val="5"/>
      </w:numPr>
      <w:ind w:left="329" w:hanging="159"/>
    </w:pPr>
  </w:style>
  <w:style w:type="paragraph" w:customStyle="1" w:styleId="LTU-Bullets0pt">
    <w:name w:val="LTU - Bullets 0pt"/>
    <w:basedOn w:val="LTU-Bullets10pt"/>
    <w:qFormat/>
    <w:rsid w:val="009D0006"/>
    <w:pPr>
      <w:spacing w:after="0"/>
    </w:pPr>
  </w:style>
  <w:style w:type="paragraph" w:customStyle="1" w:styleId="LTU-Bulletssub10pt">
    <w:name w:val="LTU - Bullets (sub) 10pt"/>
    <w:basedOn w:val="LTU-Bulletssub0pt"/>
    <w:next w:val="Normal"/>
    <w:qFormat/>
    <w:rsid w:val="009D0006"/>
    <w:pPr>
      <w:spacing w:after="200"/>
    </w:pPr>
  </w:style>
  <w:style w:type="paragraph" w:customStyle="1" w:styleId="LTU-Tablebody">
    <w:name w:val="LTU - Table body"/>
    <w:basedOn w:val="Normal"/>
    <w:qFormat/>
    <w:rsid w:val="00153892"/>
    <w:pPr>
      <w:spacing w:before="0" w:after="0" w:line="240" w:lineRule="auto"/>
    </w:pPr>
    <w:rPr>
      <w:rFonts w:ascii="Times New Roman" w:eastAsia="MS Mincho" w:hAnsi="Times New Roman" w:cs="Arial"/>
      <w:color w:val="000000"/>
      <w:w w:val="100"/>
      <w:kern w:val="0"/>
      <w:sz w:val="18"/>
      <w:szCs w:val="18"/>
      <w:lang w:bidi="en-US"/>
    </w:rPr>
  </w:style>
  <w:style w:type="table" w:customStyle="1" w:styleId="LTU-Table1">
    <w:name w:val="LTU - Table 1"/>
    <w:basedOn w:val="TableNormal"/>
    <w:uiPriority w:val="99"/>
    <w:rsid w:val="009D0006"/>
    <w:pPr>
      <w:spacing w:after="0" w:line="240" w:lineRule="auto"/>
    </w:pPr>
    <w:rPr>
      <w:rFonts w:eastAsia="MS Mincho"/>
      <w:color w:val="000000"/>
      <w:lang w:eastAsia="ja-JP"/>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Bahnschrift SemiLight SemiConde" w:hAnsi="Bahnschrift SemiLight SemiConde"/>
        <w:b/>
        <w:caps/>
        <w:smallCaps w:val="0"/>
        <w:color w:val="FFFFFF"/>
        <w:sz w:val="18"/>
      </w:rPr>
      <w:tblPr/>
      <w:tcPr>
        <w:tcBorders>
          <w:top w:val="nil"/>
          <w:left w:val="nil"/>
          <w:bottom w:val="nil"/>
          <w:right w:val="nil"/>
          <w:insideH w:val="nil"/>
          <w:insideV w:val="single" w:sz="4" w:space="0" w:color="FFFFFF"/>
        </w:tcBorders>
        <w:shd w:val="clear" w:color="auto" w:fill="7030A0"/>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Pagenumber-Right">
    <w:name w:val="LTU - Page number - Right"/>
    <w:basedOn w:val="Normal"/>
    <w:qFormat/>
    <w:rsid w:val="009D0006"/>
    <w:pPr>
      <w:spacing w:before="0" w:after="0" w:line="240" w:lineRule="auto"/>
    </w:pPr>
    <w:rPr>
      <w:rFonts w:ascii="Times New Roman" w:eastAsia="MS Mincho" w:hAnsi="Times New Roman" w:cs="Arial"/>
      <w:b/>
      <w:color w:val="FFFFFF"/>
      <w:w w:val="100"/>
      <w:kern w:val="0"/>
      <w:sz w:val="18"/>
      <w:szCs w:val="18"/>
    </w:rPr>
  </w:style>
  <w:style w:type="paragraph" w:customStyle="1" w:styleId="LTU-Pagenumber-Left">
    <w:name w:val="LTU - Page number - Left"/>
    <w:basedOn w:val="LTU-Pagenumber-Right"/>
    <w:qFormat/>
    <w:rsid w:val="009D0006"/>
    <w:pPr>
      <w:jc w:val="right"/>
    </w:pPr>
  </w:style>
  <w:style w:type="paragraph" w:styleId="TOC6">
    <w:name w:val="toc 6"/>
    <w:basedOn w:val="Normal"/>
    <w:next w:val="Normal"/>
    <w:autoRedefine/>
    <w:uiPriority w:val="39"/>
    <w:rsid w:val="009D0006"/>
    <w:pPr>
      <w:spacing w:before="0" w:after="0" w:line="276" w:lineRule="auto"/>
      <w:ind w:left="900"/>
    </w:pPr>
    <w:rPr>
      <w:rFonts w:ascii="Times New Roman" w:eastAsia="MS Mincho" w:hAnsi="Times New Roman" w:cs="Times New Roman"/>
      <w:w w:val="100"/>
      <w:kern w:val="0"/>
      <w:sz w:val="18"/>
      <w:szCs w:val="18"/>
    </w:rPr>
  </w:style>
  <w:style w:type="paragraph" w:customStyle="1" w:styleId="LTU-Footnote">
    <w:name w:val="LTU - Footnote"/>
    <w:basedOn w:val="FootnoteText"/>
    <w:link w:val="LTU-FootnoteChar"/>
    <w:qFormat/>
    <w:rsid w:val="009D0006"/>
    <w:pPr>
      <w:autoSpaceDE w:val="0"/>
      <w:autoSpaceDN w:val="0"/>
      <w:adjustRightInd w:val="0"/>
      <w:spacing w:before="0" w:after="75"/>
      <w:ind w:left="227" w:hanging="227"/>
    </w:pPr>
    <w:rPr>
      <w:rFonts w:ascii="Times New Roman" w:eastAsia="MS Mincho" w:hAnsi="Times New Roman"/>
      <w:color w:val="625F5E"/>
      <w:w w:val="100"/>
      <w:kern w:val="0"/>
      <w:sz w:val="16"/>
      <w:szCs w:val="18"/>
    </w:rPr>
  </w:style>
  <w:style w:type="character" w:customStyle="1" w:styleId="LTU-FootnoteChar">
    <w:name w:val="LTU - Footnote Char"/>
    <w:link w:val="LTU-Footnote"/>
    <w:rsid w:val="009D0006"/>
    <w:rPr>
      <w:rFonts w:ascii="Times New Roman" w:eastAsia="MS Mincho" w:hAnsi="Times New Roman" w:cs="Calibri"/>
      <w:color w:val="625F5E"/>
      <w:sz w:val="16"/>
      <w:szCs w:val="18"/>
      <w:lang w:eastAsia="en-US"/>
    </w:rPr>
  </w:style>
  <w:style w:type="table" w:customStyle="1" w:styleId="LTU-TableofContents">
    <w:name w:val="LTU - Table of Contents"/>
    <w:basedOn w:val="TableNormal"/>
    <w:uiPriority w:val="99"/>
    <w:rsid w:val="009D0006"/>
    <w:pPr>
      <w:spacing w:after="0" w:line="240" w:lineRule="auto"/>
    </w:pPr>
    <w:rPr>
      <w:rFonts w:eastAsia="MS Mincho"/>
      <w:lang w:eastAsia="ja-JP"/>
    </w:rPr>
    <w:tblPr>
      <w:tblBorders>
        <w:bottom w:val="single" w:sz="4" w:space="0" w:color="696766"/>
        <w:insideH w:val="single" w:sz="4" w:space="0" w:color="696766"/>
      </w:tblBorders>
    </w:tblPr>
    <w:tcPr>
      <w:tcMar>
        <w:top w:w="57" w:type="dxa"/>
        <w:left w:w="0" w:type="dxa"/>
        <w:bottom w:w="57" w:type="dxa"/>
        <w:right w:w="0" w:type="dxa"/>
      </w:tcMar>
    </w:tcPr>
  </w:style>
  <w:style w:type="paragraph" w:customStyle="1" w:styleId="LTU-Header-Right">
    <w:name w:val="LTU - Header - Right"/>
    <w:basedOn w:val="Normal"/>
    <w:qFormat/>
    <w:rsid w:val="00153892"/>
    <w:pPr>
      <w:pBdr>
        <w:bottom w:val="single" w:sz="4" w:space="1" w:color="565652"/>
      </w:pBdr>
      <w:spacing w:before="0" w:after="200" w:line="276" w:lineRule="auto"/>
      <w:jc w:val="right"/>
    </w:pPr>
    <w:rPr>
      <w:rFonts w:ascii="Times New Roman" w:eastAsia="MS Mincho" w:hAnsi="Times New Roman" w:cs="Times New Roman"/>
      <w:color w:val="696766"/>
      <w:w w:val="100"/>
      <w:kern w:val="0"/>
      <w:sz w:val="18"/>
      <w:szCs w:val="18"/>
    </w:rPr>
  </w:style>
  <w:style w:type="paragraph" w:customStyle="1" w:styleId="Hiddentext">
    <w:name w:val="Hidden text"/>
    <w:basedOn w:val="Normal"/>
    <w:uiPriority w:val="99"/>
    <w:qFormat/>
    <w:rsid w:val="009D0006"/>
    <w:pPr>
      <w:spacing w:before="0" w:after="200" w:line="276" w:lineRule="auto"/>
      <w:jc w:val="center"/>
    </w:pPr>
    <w:rPr>
      <w:rFonts w:ascii="Times New Roman" w:eastAsia="MS Mincho" w:hAnsi="Times New Roman" w:cs="Times New Roman"/>
      <w:vanish/>
      <w:color w:val="565652"/>
      <w:w w:val="100"/>
      <w:kern w:val="0"/>
      <w:sz w:val="22"/>
      <w:szCs w:val="18"/>
    </w:rPr>
  </w:style>
  <w:style w:type="paragraph" w:customStyle="1" w:styleId="LTU-Bulletlistnumber0pt">
    <w:name w:val="LTU - Bullet list number 0pt"/>
    <w:basedOn w:val="LTU-Bulletlistnumber10pt"/>
    <w:qFormat/>
    <w:rsid w:val="009D0006"/>
    <w:pPr>
      <w:spacing w:after="0"/>
    </w:pPr>
  </w:style>
  <w:style w:type="paragraph" w:customStyle="1" w:styleId="LTU-Bulletlistnumber10pt">
    <w:name w:val="LTU - Bullet list number 10pt"/>
    <w:basedOn w:val="LTU-Bulletssub10pt"/>
    <w:next w:val="Normal"/>
    <w:qFormat/>
    <w:rsid w:val="009D0006"/>
    <w:pPr>
      <w:numPr>
        <w:ilvl w:val="0"/>
        <w:numId w:val="0"/>
      </w:numPr>
      <w:ind w:left="284" w:hanging="284"/>
    </w:pPr>
  </w:style>
  <w:style w:type="paragraph" w:customStyle="1" w:styleId="Notes">
    <w:name w:val="Notes"/>
    <w:basedOn w:val="Normal"/>
    <w:uiPriority w:val="99"/>
    <w:qFormat/>
    <w:rsid w:val="009D0006"/>
    <w:pPr>
      <w:spacing w:before="0" w:after="80" w:line="240" w:lineRule="auto"/>
    </w:pPr>
    <w:rPr>
      <w:rFonts w:ascii="Times New Roman" w:eastAsia="MS Mincho" w:hAnsi="Times New Roman" w:cs="Times New Roman"/>
      <w:color w:val="CC3399"/>
      <w:w w:val="100"/>
      <w:kern w:val="0"/>
      <w:sz w:val="18"/>
      <w:szCs w:val="20"/>
    </w:rPr>
  </w:style>
  <w:style w:type="character" w:customStyle="1" w:styleId="MediumGrid11">
    <w:name w:val="Medium Grid 11"/>
    <w:uiPriority w:val="99"/>
    <w:rsid w:val="009D0006"/>
    <w:rPr>
      <w:color w:val="808080"/>
    </w:rPr>
  </w:style>
  <w:style w:type="paragraph" w:customStyle="1" w:styleId="LTU-Cover-Heading2">
    <w:name w:val="LTU - Cover - Heading 2"/>
    <w:basedOn w:val="Normal"/>
    <w:qFormat/>
    <w:rsid w:val="009D0006"/>
    <w:pPr>
      <w:widowControl w:val="0"/>
      <w:autoSpaceDE w:val="0"/>
      <w:autoSpaceDN w:val="0"/>
      <w:adjustRightInd w:val="0"/>
      <w:spacing w:before="0" w:after="0" w:line="240" w:lineRule="auto"/>
      <w:textAlignment w:val="center"/>
    </w:pPr>
    <w:rPr>
      <w:rFonts w:ascii="Roboto Medium" w:eastAsia="MS Mincho" w:hAnsi="Roboto Medium" w:cs="Georgia"/>
      <w:b/>
      <w:bCs/>
      <w:color w:val="FFFFFF"/>
      <w:w w:val="100"/>
      <w:kern w:val="0"/>
      <w:sz w:val="36"/>
      <w:szCs w:val="36"/>
      <w:lang w:val="en-GB" w:eastAsia="en-AU"/>
    </w:rPr>
  </w:style>
  <w:style w:type="paragraph" w:customStyle="1" w:styleId="LTU-Cover-Heading3">
    <w:name w:val="LTU - Cover - Heading 3"/>
    <w:basedOn w:val="Normal"/>
    <w:qFormat/>
    <w:rsid w:val="009D0006"/>
    <w:pPr>
      <w:widowControl w:val="0"/>
      <w:autoSpaceDE w:val="0"/>
      <w:autoSpaceDN w:val="0"/>
      <w:adjustRightInd w:val="0"/>
      <w:spacing w:before="0" w:after="0" w:line="240" w:lineRule="auto"/>
      <w:textAlignment w:val="center"/>
    </w:pPr>
    <w:rPr>
      <w:rFonts w:ascii="Times New Roman" w:eastAsia="MS Mincho" w:hAnsi="Times New Roman" w:cs="Arial"/>
      <w:color w:val="FFFFFF"/>
      <w:w w:val="100"/>
      <w:kern w:val="0"/>
      <w:sz w:val="26"/>
      <w:szCs w:val="26"/>
      <w:lang w:val="en-GB" w:eastAsia="en-AU"/>
    </w:rPr>
  </w:style>
  <w:style w:type="paragraph" w:customStyle="1" w:styleId="LTU-Header-DivisionSchoolResearchCentre">
    <w:name w:val="LTU - Header - Division / School / Research Centre"/>
    <w:basedOn w:val="Header"/>
    <w:qFormat/>
    <w:rsid w:val="009D0006"/>
    <w:pPr>
      <w:tabs>
        <w:tab w:val="clear" w:pos="4513"/>
        <w:tab w:val="clear" w:pos="9026"/>
      </w:tabs>
    </w:pPr>
    <w:rPr>
      <w:rFonts w:ascii="Times New Roman" w:eastAsia="MS Mincho" w:hAnsi="Times New Roman" w:cs="Times New Roman"/>
      <w:color w:val="696766"/>
      <w:w w:val="100"/>
      <w:kern w:val="0"/>
      <w:sz w:val="18"/>
      <w:szCs w:val="18"/>
    </w:rPr>
  </w:style>
  <w:style w:type="paragraph" w:customStyle="1" w:styleId="TOCHeading1">
    <w:name w:val="TOC Heading1"/>
    <w:basedOn w:val="Normal"/>
    <w:qFormat/>
    <w:rsid w:val="00153892"/>
    <w:pPr>
      <w:tabs>
        <w:tab w:val="left" w:pos="2680"/>
      </w:tabs>
      <w:spacing w:before="0" w:after="600" w:line="560" w:lineRule="exact"/>
      <w:outlineLvl w:val="0"/>
    </w:pPr>
    <w:rPr>
      <w:rFonts w:ascii="Roboto Medium" w:eastAsia="MS Mincho" w:hAnsi="Roboto Medium" w:cs="Arial"/>
      <w:color w:val="565652"/>
      <w:spacing w:val="5"/>
      <w:w w:val="100"/>
      <w:kern w:val="0"/>
      <w:sz w:val="47"/>
      <w:szCs w:val="47"/>
      <w:lang w:bidi="en-US"/>
    </w:rPr>
  </w:style>
  <w:style w:type="paragraph" w:customStyle="1" w:styleId="LTU-Disclaimer-Body">
    <w:name w:val="LTU - Disclaimer - Body"/>
    <w:basedOn w:val="Footer"/>
    <w:qFormat/>
    <w:rsid w:val="009D0006"/>
    <w:pPr>
      <w:spacing w:before="0" w:after="100" w:line="240" w:lineRule="auto"/>
      <w:jc w:val="both"/>
    </w:pPr>
    <w:rPr>
      <w:rFonts w:ascii="Times New Roman" w:eastAsia="MS Mincho" w:hAnsi="Times New Roman" w:cs="Times New Roman"/>
      <w:color w:val="565652"/>
      <w:w w:val="100"/>
      <w:kern w:val="0"/>
      <w:sz w:val="15"/>
      <w:szCs w:val="18"/>
    </w:rPr>
  </w:style>
  <w:style w:type="paragraph" w:customStyle="1" w:styleId="LTU-Disclaimer-SubheadLine">
    <w:name w:val="LTU - Disclaimer - Subhead + Line"/>
    <w:basedOn w:val="Footer"/>
    <w:next w:val="LTU-Disclaimer-Body"/>
    <w:qFormat/>
    <w:rsid w:val="009D0006"/>
    <w:pPr>
      <w:pBdr>
        <w:top w:val="single" w:sz="4" w:space="5" w:color="565652"/>
      </w:pBdr>
      <w:spacing w:before="0" w:after="100" w:line="240" w:lineRule="auto"/>
    </w:pPr>
    <w:rPr>
      <w:rFonts w:ascii="Times New Roman" w:eastAsia="MS Mincho" w:hAnsi="Times New Roman" w:cs="Times New Roman"/>
      <w:b/>
      <w:color w:val="565652"/>
      <w:w w:val="100"/>
      <w:kern w:val="0"/>
      <w:sz w:val="15"/>
      <w:szCs w:val="18"/>
    </w:rPr>
  </w:style>
  <w:style w:type="paragraph" w:customStyle="1" w:styleId="LTU-Cover-Year">
    <w:name w:val="LTU - Cover - Year"/>
    <w:basedOn w:val="Normal"/>
    <w:next w:val="LTU-Cover-Heading2"/>
    <w:rsid w:val="009D0006"/>
    <w:pPr>
      <w:widowControl w:val="0"/>
      <w:autoSpaceDE w:val="0"/>
      <w:autoSpaceDN w:val="0"/>
      <w:adjustRightInd w:val="0"/>
      <w:spacing w:before="0" w:after="0" w:line="240" w:lineRule="auto"/>
      <w:textAlignment w:val="center"/>
    </w:pPr>
    <w:rPr>
      <w:rFonts w:ascii="Calibri" w:eastAsia="MS Mincho" w:hAnsi="Calibri" w:cs="Arial"/>
      <w:color w:val="625F5E"/>
      <w:w w:val="100"/>
      <w:kern w:val="0"/>
      <w:sz w:val="20"/>
      <w:szCs w:val="20"/>
      <w:lang w:val="en-GB" w:eastAsia="en-AU"/>
    </w:rPr>
  </w:style>
  <w:style w:type="paragraph" w:customStyle="1" w:styleId="ListParagraph1">
    <w:name w:val="List Paragraph1"/>
    <w:basedOn w:val="Normal"/>
    <w:next w:val="ListParagraph"/>
    <w:uiPriority w:val="34"/>
    <w:qFormat/>
    <w:locked/>
    <w:rsid w:val="009D0006"/>
    <w:pPr>
      <w:spacing w:before="0" w:after="160" w:line="259" w:lineRule="auto"/>
      <w:ind w:left="720"/>
      <w:contextualSpacing/>
    </w:pPr>
    <w:rPr>
      <w:rFonts w:ascii="Times New Roman" w:eastAsia="Times New Roman" w:hAnsi="Times New Roman" w:cs="Times New Roman"/>
      <w:w w:val="100"/>
      <w:kern w:val="0"/>
      <w:sz w:val="22"/>
      <w:lang w:eastAsia="ja-JP"/>
    </w:rPr>
  </w:style>
  <w:style w:type="paragraph" w:customStyle="1" w:styleId="NormalWeb1">
    <w:name w:val="Normal (Web)1"/>
    <w:basedOn w:val="Normal"/>
    <w:next w:val="NormalWeb"/>
    <w:uiPriority w:val="99"/>
    <w:semiHidden/>
    <w:unhideWhenUsed/>
    <w:rsid w:val="009D0006"/>
    <w:pPr>
      <w:spacing w:before="0" w:after="160" w:line="259" w:lineRule="auto"/>
    </w:pPr>
    <w:rPr>
      <w:rFonts w:ascii="Times New Roman" w:eastAsia="Times New Roman" w:hAnsi="Times New Roman" w:cs="Times New Roman"/>
      <w:w w:val="100"/>
      <w:kern w:val="0"/>
      <w:szCs w:val="24"/>
      <w:lang w:eastAsia="ja-JP"/>
    </w:rPr>
  </w:style>
  <w:style w:type="paragraph" w:styleId="CommentSubject">
    <w:name w:val="annotation subject"/>
    <w:basedOn w:val="Normal"/>
    <w:next w:val="Normal"/>
    <w:link w:val="CommentSubjectChar"/>
    <w:uiPriority w:val="99"/>
    <w:semiHidden/>
    <w:unhideWhenUsed/>
    <w:qFormat/>
    <w:rsid w:val="00174F06"/>
    <w:pPr>
      <w:spacing w:before="0" w:after="160" w:line="240" w:lineRule="auto"/>
    </w:pPr>
    <w:rPr>
      <w:rFonts w:ascii="Times New Roman" w:eastAsia="Times New Roman" w:hAnsi="Times New Roman" w:cs="Times New Roman"/>
      <w:b/>
      <w:bCs/>
      <w:w w:val="100"/>
      <w:kern w:val="0"/>
      <w:sz w:val="20"/>
      <w:szCs w:val="20"/>
      <w:lang w:eastAsia="ja-JP"/>
    </w:rPr>
  </w:style>
  <w:style w:type="character" w:customStyle="1" w:styleId="CommentSubjectChar">
    <w:name w:val="Comment Subject Char"/>
    <w:basedOn w:val="DefaultParagraphFont"/>
    <w:link w:val="CommentSubject"/>
    <w:uiPriority w:val="99"/>
    <w:semiHidden/>
    <w:qFormat/>
    <w:rsid w:val="00174F06"/>
    <w:rPr>
      <w:rFonts w:ascii="Times New Roman" w:eastAsia="Times New Roman" w:hAnsi="Times New Roman" w:cs="Calibri"/>
      <w:b/>
      <w:bCs/>
      <w:w w:val="105"/>
      <w:kern w:val="40"/>
      <w:lang w:eastAsia="ja-JP"/>
    </w:rPr>
  </w:style>
  <w:style w:type="table" w:customStyle="1" w:styleId="PL3VIC">
    <w:name w:val="PL3 VIC"/>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WTI4tablestyle">
    <w:name w:val="WTI4 table style"/>
    <w:basedOn w:val="TableNormal"/>
    <w:uiPriority w:val="99"/>
    <w:rsid w:val="009D0006"/>
    <w:pPr>
      <w:spacing w:after="0" w:line="240" w:lineRule="auto"/>
    </w:pPr>
    <w:rPr>
      <w:rFonts w:eastAsia="MS Mincho"/>
      <w:lang w:eastAsia="ja-JP"/>
    </w:rPr>
    <w:tblPr/>
  </w:style>
  <w:style w:type="paragraph" w:styleId="TableofFigures">
    <w:name w:val="table of figures"/>
    <w:basedOn w:val="Normal"/>
    <w:next w:val="Normal"/>
    <w:uiPriority w:val="99"/>
    <w:unhideWhenUsed/>
    <w:qFormat/>
    <w:rsid w:val="00C90BA5"/>
    <w:pPr>
      <w:spacing w:after="100"/>
    </w:pPr>
    <w:rPr>
      <w:rFonts w:eastAsia="MS Mincho" w:cs="Times New Roman"/>
      <w:w w:val="100"/>
      <w:kern w:val="0"/>
      <w:szCs w:val="18"/>
    </w:rPr>
  </w:style>
  <w:style w:type="paragraph" w:styleId="Bibliography">
    <w:name w:val="Bibliography"/>
    <w:basedOn w:val="Normal"/>
    <w:next w:val="Normal"/>
    <w:uiPriority w:val="37"/>
    <w:unhideWhenUsed/>
    <w:qFormat/>
    <w:rsid w:val="009D0006"/>
    <w:pPr>
      <w:tabs>
        <w:tab w:val="left" w:pos="380"/>
        <w:tab w:val="left" w:pos="500"/>
      </w:tabs>
      <w:spacing w:before="0" w:after="240" w:line="240" w:lineRule="auto"/>
      <w:ind w:left="504" w:hanging="504"/>
    </w:pPr>
    <w:rPr>
      <w:rFonts w:ascii="Times New Roman" w:eastAsia="MS Mincho" w:hAnsi="Times New Roman" w:cs="Times New Roman"/>
      <w:w w:val="100"/>
      <w:kern w:val="0"/>
      <w:sz w:val="18"/>
      <w:szCs w:val="18"/>
    </w:rPr>
  </w:style>
  <w:style w:type="paragraph" w:customStyle="1" w:styleId="TOCHeading2">
    <w:name w:val="TOC Heading2"/>
    <w:basedOn w:val="Heading1"/>
    <w:next w:val="Normal"/>
    <w:uiPriority w:val="39"/>
    <w:unhideWhenUsed/>
    <w:qFormat/>
    <w:locked/>
    <w:rsid w:val="009D0006"/>
    <w:pPr>
      <w:keepLines/>
      <w:tabs>
        <w:tab w:val="left" w:pos="2680"/>
      </w:tabs>
      <w:spacing w:before="240" w:after="0" w:line="259" w:lineRule="auto"/>
      <w:outlineLvl w:val="9"/>
    </w:pPr>
    <w:rPr>
      <w:rFonts w:ascii="Roboto Medium" w:eastAsia="MS Gothic" w:hAnsi="Roboto Medium" w:cs="Times New Roman"/>
      <w:b w:val="0"/>
      <w:bCs w:val="0"/>
      <w:color w:val="532477"/>
      <w:w w:val="100"/>
      <w:kern w:val="0"/>
      <w:sz w:val="32"/>
      <w:szCs w:val="32"/>
      <w:lang w:val="en-US"/>
    </w:rPr>
  </w:style>
  <w:style w:type="character" w:customStyle="1" w:styleId="FollowedHyperlink1">
    <w:name w:val="FollowedHyperlink1"/>
    <w:basedOn w:val="DefaultParagraphFont"/>
    <w:uiPriority w:val="99"/>
    <w:semiHidden/>
    <w:unhideWhenUsed/>
    <w:rsid w:val="009D0006"/>
    <w:rPr>
      <w:color w:val="EE3124"/>
      <w:u w:val="single"/>
    </w:rPr>
  </w:style>
  <w:style w:type="paragraph" w:customStyle="1" w:styleId="Revision1">
    <w:name w:val="Revision1"/>
    <w:next w:val="Revision"/>
    <w:hidden/>
    <w:uiPriority w:val="99"/>
    <w:semiHidden/>
    <w:qFormat/>
    <w:locked/>
    <w:rsid w:val="009D0006"/>
    <w:pPr>
      <w:spacing w:after="0" w:line="240" w:lineRule="auto"/>
    </w:pPr>
    <w:rPr>
      <w:rFonts w:asciiTheme="minorHAnsi" w:eastAsia="MS Mincho" w:hAnsiTheme="minorHAnsi"/>
      <w:sz w:val="18"/>
      <w:szCs w:val="18"/>
      <w:lang w:eastAsia="en-US"/>
    </w:rPr>
  </w:style>
  <w:style w:type="paragraph" w:customStyle="1" w:styleId="p1">
    <w:name w:val="p1"/>
    <w:basedOn w:val="Normal"/>
    <w:rsid w:val="009D0006"/>
    <w:pPr>
      <w:spacing w:before="0" w:after="0" w:line="240" w:lineRule="auto"/>
    </w:pPr>
    <w:rPr>
      <w:rFonts w:ascii="Helvetica" w:eastAsia="MS Mincho" w:hAnsi="Helvetica" w:cs="Times New Roman"/>
      <w:w w:val="100"/>
      <w:kern w:val="0"/>
      <w:sz w:val="27"/>
      <w:szCs w:val="27"/>
      <w:lang w:val="en-US" w:eastAsia="ja-JP"/>
    </w:rPr>
  </w:style>
  <w:style w:type="paragraph" w:customStyle="1" w:styleId="p2">
    <w:name w:val="p2"/>
    <w:basedOn w:val="Normal"/>
    <w:rsid w:val="009D0006"/>
    <w:pPr>
      <w:spacing w:before="0" w:after="0" w:line="240" w:lineRule="auto"/>
    </w:pPr>
    <w:rPr>
      <w:rFonts w:ascii="Helvetica" w:eastAsia="MS Mincho" w:hAnsi="Helvetica" w:cs="Times New Roman"/>
      <w:w w:val="100"/>
      <w:kern w:val="0"/>
      <w:sz w:val="20"/>
      <w:szCs w:val="20"/>
      <w:lang w:val="en-US" w:eastAsia="ja-JP"/>
    </w:rPr>
  </w:style>
  <w:style w:type="character" w:customStyle="1" w:styleId="s1">
    <w:name w:val="s1"/>
    <w:basedOn w:val="DefaultParagraphFont"/>
    <w:rsid w:val="009D0006"/>
    <w:rPr>
      <w:color w:val="E32333"/>
    </w:rPr>
  </w:style>
  <w:style w:type="character" w:customStyle="1" w:styleId="UnresolvedMention2">
    <w:name w:val="Unresolved Mention2"/>
    <w:basedOn w:val="DefaultParagraphFont"/>
    <w:uiPriority w:val="99"/>
    <w:rsid w:val="009D0006"/>
    <w:rPr>
      <w:color w:val="605E5C"/>
      <w:shd w:val="clear" w:color="auto" w:fill="E1DFDD"/>
    </w:rPr>
  </w:style>
  <w:style w:type="character" w:styleId="Emphasis">
    <w:name w:val="Emphasis"/>
    <w:basedOn w:val="DefaultParagraphFont"/>
    <w:uiPriority w:val="20"/>
    <w:qFormat/>
    <w:rsid w:val="009D0006"/>
    <w:rPr>
      <w:i/>
      <w:iCs/>
    </w:rPr>
  </w:style>
  <w:style w:type="table" w:customStyle="1" w:styleId="PL3VIC1">
    <w:name w:val="PL3 VIC1"/>
    <w:basedOn w:val="TableNormal"/>
    <w:uiPriority w:val="99"/>
    <w:rsid w:val="009D0006"/>
    <w:pPr>
      <w:spacing w:after="0" w:line="240" w:lineRule="auto"/>
    </w:pPr>
    <w:rPr>
      <w:rFonts w:ascii="Roboto" w:eastAsia="Yu Mincho" w:hAnsi="Roboto"/>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character" w:customStyle="1" w:styleId="UnresolvedMention3">
    <w:name w:val="Unresolved Mention3"/>
    <w:basedOn w:val="DefaultParagraphFont"/>
    <w:uiPriority w:val="99"/>
    <w:unhideWhenUsed/>
    <w:rsid w:val="009D0006"/>
    <w:rPr>
      <w:color w:val="605E5C"/>
      <w:shd w:val="clear" w:color="auto" w:fill="E1DFDD"/>
    </w:rPr>
  </w:style>
  <w:style w:type="paragraph" w:customStyle="1" w:styleId="p3">
    <w:name w:val="p3"/>
    <w:basedOn w:val="Normal"/>
    <w:rsid w:val="009D0006"/>
    <w:pPr>
      <w:spacing w:before="0" w:after="0" w:line="240" w:lineRule="auto"/>
    </w:pPr>
    <w:rPr>
      <w:rFonts w:ascii="Helvetica" w:eastAsia="MS Mincho" w:hAnsi="Helvetica" w:cs="Times New Roman"/>
      <w:color w:val="555351"/>
      <w:w w:val="100"/>
      <w:kern w:val="0"/>
      <w:sz w:val="21"/>
      <w:szCs w:val="21"/>
      <w:lang w:val="en-US" w:eastAsia="ja-JP"/>
    </w:rPr>
  </w:style>
  <w:style w:type="character" w:customStyle="1" w:styleId="UnresolvedMention4">
    <w:name w:val="Unresolved Mention4"/>
    <w:basedOn w:val="DefaultParagraphFont"/>
    <w:uiPriority w:val="99"/>
    <w:unhideWhenUsed/>
    <w:rsid w:val="009D0006"/>
    <w:rPr>
      <w:color w:val="605E5C"/>
      <w:shd w:val="clear" w:color="auto" w:fill="E1DFDD"/>
    </w:rPr>
  </w:style>
  <w:style w:type="character" w:customStyle="1" w:styleId="UnresolvedMention5">
    <w:name w:val="Unresolved Mention5"/>
    <w:basedOn w:val="DefaultParagraphFont"/>
    <w:uiPriority w:val="99"/>
    <w:unhideWhenUsed/>
    <w:qFormat/>
    <w:rsid w:val="009D0006"/>
    <w:rPr>
      <w:color w:val="605E5C"/>
      <w:shd w:val="clear" w:color="auto" w:fill="E1DFDD"/>
    </w:rPr>
  </w:style>
  <w:style w:type="table" w:customStyle="1" w:styleId="PL3VIC3">
    <w:name w:val="PL3 VIC3"/>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8">
    <w:name w:val="PL3 VIC8"/>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6">
    <w:name w:val="PL3 VIC6"/>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10">
    <w:name w:val="PL3 VIC10"/>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test62">
    <w:name w:val="pl3 test 62"/>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test6">
    <w:name w:val="pl3 test 6"/>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2">
    <w:name w:val="PL3 VIC2"/>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4">
    <w:name w:val="PL3 VIC4"/>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5">
    <w:name w:val="PL3 VIC5"/>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7">
    <w:name w:val="PL3 VIC7"/>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numbering" w:customStyle="1" w:styleId="NoList11">
    <w:name w:val="No List11"/>
    <w:next w:val="NoList"/>
    <w:uiPriority w:val="99"/>
    <w:semiHidden/>
    <w:unhideWhenUsed/>
    <w:qFormat/>
    <w:rsid w:val="009D0006"/>
  </w:style>
  <w:style w:type="table" w:customStyle="1" w:styleId="pl3test61">
    <w:name w:val="pl3 test 6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9">
    <w:name w:val="PL3 VIC9"/>
    <w:basedOn w:val="pl3test6"/>
    <w:uiPriority w:val="99"/>
    <w:rsid w:val="009D0006"/>
    <w:tblPr/>
    <w:tcPr>
      <w:shd w:val="clear" w:color="auto" w:fill="FFFFFF"/>
    </w:tcPr>
    <w:tblStylePr w:type="firstRow">
      <w:rPr>
        <w:rFonts w:ascii="Bahnschrift SemiLight Condensed" w:eastAsia="Bahnschrift SemiLight Condensed" w:hAnsi="Bahnschrift SemiLight Condensed" w:cs="Bahnschrift SemiLight Condensed"/>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numbering" w:customStyle="1" w:styleId="NoList2">
    <w:name w:val="No List2"/>
    <w:next w:val="NoList"/>
    <w:uiPriority w:val="99"/>
    <w:semiHidden/>
    <w:unhideWhenUsed/>
    <w:qFormat/>
    <w:rsid w:val="009D0006"/>
  </w:style>
  <w:style w:type="character" w:styleId="PageNumber">
    <w:name w:val="page number"/>
    <w:basedOn w:val="DefaultParagraphFont"/>
    <w:uiPriority w:val="99"/>
    <w:semiHidden/>
    <w:unhideWhenUsed/>
    <w:qFormat/>
    <w:rsid w:val="009D0006"/>
  </w:style>
  <w:style w:type="paragraph" w:customStyle="1" w:styleId="xmsolistparagraph">
    <w:name w:val="x_msolistparagraph"/>
    <w:basedOn w:val="Normal"/>
    <w:qFormat/>
    <w:rsid w:val="009D0006"/>
    <w:pPr>
      <w:spacing w:before="0" w:after="0" w:line="240" w:lineRule="auto"/>
      <w:ind w:left="720"/>
    </w:pPr>
    <w:rPr>
      <w:rFonts w:ascii="Calibri" w:eastAsia="Roboto" w:hAnsi="Calibri"/>
      <w:w w:val="100"/>
      <w:kern w:val="0"/>
      <w:sz w:val="22"/>
      <w:lang w:eastAsia="en-AU"/>
    </w:rPr>
  </w:style>
  <w:style w:type="character" w:customStyle="1" w:styleId="FootnoteCharacters">
    <w:name w:val="Footnote Characters"/>
    <w:uiPriority w:val="99"/>
    <w:unhideWhenUsed/>
    <w:qFormat/>
    <w:rsid w:val="009D0006"/>
    <w:rPr>
      <w:vertAlign w:val="superscript"/>
    </w:rPr>
  </w:style>
  <w:style w:type="character" w:customStyle="1" w:styleId="FootnoteAnchor">
    <w:name w:val="Footnote Anchor"/>
    <w:rsid w:val="009D0006"/>
    <w:rPr>
      <w:vertAlign w:val="superscript"/>
    </w:rPr>
  </w:style>
  <w:style w:type="character" w:customStyle="1" w:styleId="EndnoteCharacters">
    <w:name w:val="Endnote Characters"/>
    <w:basedOn w:val="DefaultParagraphFont"/>
    <w:uiPriority w:val="99"/>
    <w:semiHidden/>
    <w:unhideWhenUsed/>
    <w:qFormat/>
    <w:rsid w:val="009D0006"/>
    <w:rPr>
      <w:vertAlign w:val="superscript"/>
    </w:rPr>
  </w:style>
  <w:style w:type="character" w:customStyle="1" w:styleId="EndnoteAnchor">
    <w:name w:val="Endnote Anchor"/>
    <w:rsid w:val="009D0006"/>
    <w:rPr>
      <w:vertAlign w:val="superscript"/>
    </w:rPr>
  </w:style>
  <w:style w:type="paragraph" w:customStyle="1" w:styleId="Heading">
    <w:name w:val="Heading"/>
    <w:basedOn w:val="Normal"/>
    <w:next w:val="Normal"/>
    <w:qFormat/>
    <w:rsid w:val="009D0006"/>
    <w:pPr>
      <w:keepNext/>
      <w:suppressAutoHyphens/>
      <w:spacing w:before="240" w:line="276" w:lineRule="auto"/>
    </w:pPr>
    <w:rPr>
      <w:rFonts w:ascii="Liberation Sans" w:eastAsia="Microsoft YaHei" w:hAnsi="Liberation Sans" w:cs="Lucida Sans"/>
      <w:w w:val="100"/>
      <w:kern w:val="0"/>
      <w:sz w:val="28"/>
      <w:szCs w:val="28"/>
    </w:rPr>
  </w:style>
  <w:style w:type="paragraph" w:styleId="List">
    <w:name w:val="List"/>
    <w:basedOn w:val="Normal"/>
    <w:rsid w:val="009D0006"/>
    <w:pPr>
      <w:suppressAutoHyphens/>
      <w:spacing w:before="0" w:after="140" w:line="276" w:lineRule="auto"/>
    </w:pPr>
    <w:rPr>
      <w:rFonts w:ascii="Times New Roman" w:hAnsi="Times New Roman" w:cs="Lucida Sans"/>
      <w:w w:val="100"/>
      <w:kern w:val="0"/>
      <w:sz w:val="18"/>
      <w:szCs w:val="18"/>
    </w:rPr>
  </w:style>
  <w:style w:type="paragraph" w:customStyle="1" w:styleId="Index">
    <w:name w:val="Index"/>
    <w:basedOn w:val="Normal"/>
    <w:qFormat/>
    <w:rsid w:val="009D0006"/>
    <w:pPr>
      <w:suppressLineNumbers/>
      <w:suppressAutoHyphens/>
      <w:spacing w:before="0" w:after="200" w:line="276" w:lineRule="auto"/>
    </w:pPr>
    <w:rPr>
      <w:rFonts w:ascii="Times New Roman" w:hAnsi="Times New Roman" w:cs="Lucida Sans"/>
      <w:w w:val="100"/>
      <w:kern w:val="0"/>
      <w:sz w:val="18"/>
      <w:szCs w:val="18"/>
    </w:rPr>
  </w:style>
  <w:style w:type="paragraph" w:customStyle="1" w:styleId="DRCSubheading3">
    <w:name w:val="DRC Subheading 3"/>
    <w:basedOn w:val="Normal"/>
    <w:qFormat/>
    <w:rsid w:val="009D0006"/>
    <w:pPr>
      <w:autoSpaceDE w:val="0"/>
      <w:autoSpaceDN w:val="0"/>
      <w:adjustRightInd w:val="0"/>
      <w:spacing w:before="360" w:line="240" w:lineRule="auto"/>
      <w:textAlignment w:val="center"/>
      <w:outlineLvl w:val="2"/>
    </w:pPr>
    <w:rPr>
      <w:rFonts w:ascii="Roboto Medium" w:eastAsia="MS Mincho" w:hAnsi="Roboto Medium" w:cs="Brioni Std Medium"/>
      <w:color w:val="000000" w:themeColor="text1"/>
      <w:w w:val="100"/>
      <w:kern w:val="0"/>
      <w:sz w:val="25"/>
      <w:szCs w:val="25"/>
      <w:lang w:val="en-GB"/>
    </w:rPr>
  </w:style>
  <w:style w:type="character" w:customStyle="1" w:styleId="year">
    <w:name w:val="year"/>
    <w:basedOn w:val="DefaultParagraphFont"/>
    <w:rsid w:val="009D0006"/>
  </w:style>
  <w:style w:type="character" w:customStyle="1" w:styleId="journalname">
    <w:name w:val="journalname"/>
    <w:basedOn w:val="DefaultParagraphFont"/>
    <w:rsid w:val="009D0006"/>
  </w:style>
  <w:style w:type="character" w:customStyle="1" w:styleId="volume">
    <w:name w:val="volume"/>
    <w:basedOn w:val="DefaultParagraphFont"/>
    <w:rsid w:val="009D0006"/>
  </w:style>
  <w:style w:type="character" w:customStyle="1" w:styleId="page">
    <w:name w:val="page"/>
    <w:basedOn w:val="DefaultParagraphFont"/>
    <w:rsid w:val="009D0006"/>
  </w:style>
  <w:style w:type="paragraph" w:styleId="NormalWeb">
    <w:name w:val="Normal (Web)"/>
    <w:basedOn w:val="Normal"/>
    <w:uiPriority w:val="99"/>
    <w:semiHidden/>
    <w:unhideWhenUsed/>
    <w:rsid w:val="009D0006"/>
    <w:pPr>
      <w:spacing w:before="0" w:after="0" w:line="240" w:lineRule="auto"/>
    </w:pPr>
    <w:rPr>
      <w:rFonts w:ascii="Times New Roman" w:eastAsia="Times New Roman" w:hAnsi="Times New Roman" w:cs="Times New Roman"/>
      <w:w w:val="100"/>
      <w:kern w:val="0"/>
      <w:szCs w:val="24"/>
      <w:lang w:eastAsia="ja-JP"/>
    </w:rPr>
  </w:style>
  <w:style w:type="paragraph" w:customStyle="1" w:styleId="DRCReport">
    <w:name w:val="DRC Report"/>
    <w:basedOn w:val="DRCTabletitle"/>
    <w:next w:val="Normal"/>
    <w:rsid w:val="009D0006"/>
    <w:pPr>
      <w:keepNext w:val="0"/>
      <w:spacing w:before="200" w:line="276" w:lineRule="auto"/>
    </w:pPr>
    <w:rPr>
      <w:rFonts w:ascii="Roboto" w:hAnsi="Roboto"/>
      <w:sz w:val="22"/>
    </w:rPr>
  </w:style>
  <w:style w:type="paragraph" w:customStyle="1" w:styleId="Style1">
    <w:name w:val="Style1"/>
    <w:basedOn w:val="Normal"/>
    <w:qFormat/>
    <w:rsid w:val="009D0006"/>
    <w:pPr>
      <w:keepNext/>
      <w:spacing w:before="0" w:after="200" w:line="240" w:lineRule="auto"/>
    </w:pPr>
    <w:rPr>
      <w:rFonts w:ascii="Roboto Medium" w:eastAsia="MS Mincho" w:hAnsi="Roboto Medium" w:cs="Times New Roman"/>
      <w:color w:val="000000"/>
      <w:w w:val="100"/>
      <w:kern w:val="0"/>
      <w:sz w:val="23"/>
      <w:szCs w:val="20"/>
    </w:rPr>
  </w:style>
  <w:style w:type="paragraph" w:customStyle="1" w:styleId="DRCTabletitle">
    <w:name w:val="DRC Table title"/>
    <w:basedOn w:val="Normal"/>
    <w:qFormat/>
    <w:rsid w:val="009D0006"/>
    <w:pPr>
      <w:keepNext/>
      <w:spacing w:before="360" w:after="200" w:line="240" w:lineRule="auto"/>
    </w:pPr>
    <w:rPr>
      <w:rFonts w:ascii="Roboto Medium" w:eastAsia="MS Mincho" w:hAnsi="Roboto Medium" w:cs="Times New Roman"/>
      <w:color w:val="000000"/>
      <w:w w:val="100"/>
      <w:kern w:val="0"/>
      <w:sz w:val="23"/>
      <w:szCs w:val="23"/>
    </w:rPr>
  </w:style>
  <w:style w:type="paragraph" w:customStyle="1" w:styleId="DRCTabletext">
    <w:name w:val="DRC Table text"/>
    <w:basedOn w:val="Normal"/>
    <w:qFormat/>
    <w:rsid w:val="009D0006"/>
    <w:pPr>
      <w:spacing w:before="0" w:after="0" w:line="240" w:lineRule="auto"/>
    </w:pPr>
    <w:rPr>
      <w:rFonts w:ascii="Roboto" w:eastAsia="Times New Roman" w:hAnsi="Roboto" w:cs="Times New Roman"/>
      <w:b/>
      <w:bCs/>
      <w:color w:val="0D0D0D"/>
      <w:w w:val="100"/>
      <w:kern w:val="0"/>
      <w:sz w:val="22"/>
    </w:rPr>
  </w:style>
  <w:style w:type="table" w:customStyle="1" w:styleId="PL3VIC101">
    <w:name w:val="PL3 VIC101"/>
    <w:basedOn w:val="TableNormal"/>
    <w:uiPriority w:val="99"/>
    <w:rsid w:val="009D0006"/>
    <w:pPr>
      <w:spacing w:after="0" w:line="240" w:lineRule="auto"/>
    </w:pPr>
    <w:rPr>
      <w:rFonts w:ascii="Roboto" w:eastAsia="MS Mincho" w:hAnsi="Roboto"/>
      <w:color w:val="000000"/>
      <w:sz w:val="18"/>
      <w:szCs w:val="22"/>
      <w:lang w:eastAsia="ja-JP"/>
    </w:rPr>
    <w:tblPr>
      <w:tblStyleRowBandSize w:val="1"/>
      <w:tblStyleColBandSize w:val="1"/>
      <w:tblInd w:w="0" w:type="nil"/>
    </w:tblPr>
    <w:tcPr>
      <w:shd w:val="clear" w:color="auto" w:fill="FFFFFF"/>
    </w:tcPr>
    <w:tblStylePr w:type="firstRow">
      <w:rPr>
        <w:rFonts w:ascii="Bahnschrift SemiLight SemiConde" w:eastAsia="Bahnschrift SemiLight SemiConde" w:hAnsi="Bahnschrift SemiLight SemiConde" w:cs="Bahnschrift SemiLight SemiConde" w:hint="default"/>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81">
    <w:name w:val="PL3 VIC81"/>
    <w:basedOn w:val="TableNormal"/>
    <w:uiPriority w:val="99"/>
    <w:rsid w:val="009D0006"/>
    <w:pPr>
      <w:spacing w:after="0" w:line="240" w:lineRule="auto"/>
    </w:pPr>
    <w:rPr>
      <w:rFonts w:ascii="Roboto" w:eastAsia="MS Mincho" w:hAnsi="Roboto"/>
      <w:color w:val="000000"/>
      <w:sz w:val="18"/>
      <w:szCs w:val="22"/>
      <w:lang w:eastAsia="ja-JP"/>
    </w:rPr>
    <w:tblPr>
      <w:tblStyleRowBandSize w:val="1"/>
      <w:tblStyleColBandSize w:val="1"/>
      <w:tblInd w:w="0" w:type="nil"/>
    </w:tblPr>
    <w:tcPr>
      <w:shd w:val="clear" w:color="auto" w:fill="FFFFFF"/>
    </w:tcPr>
    <w:tblStylePr w:type="firstRow">
      <w:rPr>
        <w:rFonts w:ascii="Bahnschrift SemiLight SemiConde" w:eastAsia="Bahnschrift SemiLight SemiConde" w:hAnsi="Bahnschrift SemiLight SemiConde" w:cs="Bahnschrift SemiLight SemiConde" w:hint="default"/>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14">
    <w:name w:val="PL3 VIC14"/>
    <w:basedOn w:val="TableNormal"/>
    <w:uiPriority w:val="99"/>
    <w:rsid w:val="009D0006"/>
    <w:pPr>
      <w:spacing w:after="0" w:line="240" w:lineRule="auto"/>
    </w:pPr>
    <w:rPr>
      <w:rFonts w:ascii="Roboto" w:eastAsia="MS Mincho" w:hAnsi="Roboto"/>
      <w:color w:val="000000"/>
      <w:sz w:val="18"/>
      <w:szCs w:val="22"/>
      <w:lang w:eastAsia="ja-JP"/>
    </w:rPr>
    <w:tblPr>
      <w:tblStyleRowBandSize w:val="1"/>
      <w:tblStyleColBandSize w:val="1"/>
      <w:tblInd w:w="0" w:type="nil"/>
    </w:tblPr>
    <w:tcPr>
      <w:shd w:val="clear" w:color="auto" w:fill="FFFFFF"/>
    </w:tcPr>
    <w:tblStylePr w:type="firstRow">
      <w:rPr>
        <w:rFonts w:ascii="Bahnschrift SemiLight SemiConde" w:eastAsia="Bahnschrift SemiLight SemiConde" w:hAnsi="Bahnschrift SemiLight SemiConde" w:cs="Bahnschrift SemiLight SemiConde" w:hint="default"/>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11">
    <w:name w:val="PL3 VIC1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numbering" w:customStyle="1" w:styleId="NoList3">
    <w:name w:val="No List3"/>
    <w:next w:val="NoList"/>
    <w:uiPriority w:val="99"/>
    <w:semiHidden/>
    <w:unhideWhenUsed/>
    <w:rsid w:val="009D0006"/>
  </w:style>
  <w:style w:type="table" w:customStyle="1" w:styleId="TableGrid1">
    <w:name w:val="Table Grid1"/>
    <w:basedOn w:val="TableNormal"/>
    <w:next w:val="TableGrid"/>
    <w:uiPriority w:val="39"/>
    <w:locked/>
    <w:rsid w:val="009D0006"/>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4"/>
    <w:locked/>
    <w:rsid w:val="009D0006"/>
    <w:pPr>
      <w:spacing w:after="0" w:line="240" w:lineRule="auto"/>
      <w:jc w:val="both"/>
    </w:pPr>
    <w:rPr>
      <w:rFonts w:eastAsia="MS Mincho"/>
      <w:lang w:val="en-US" w:eastAsia="ja-JP"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next w:val="MediumGrid3"/>
    <w:uiPriority w:val="60"/>
    <w:locked/>
    <w:rsid w:val="009D0006"/>
    <w:pPr>
      <w:spacing w:after="0" w:line="240" w:lineRule="auto"/>
      <w:jc w:val="both"/>
    </w:pPr>
    <w:rPr>
      <w:rFonts w:eastAsia="MS Mincho"/>
      <w:color w:val="000000"/>
      <w:lang w:val="en-US" w:eastAsia="ja-JP"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TU-Table11">
    <w:name w:val="LTU - Table 11"/>
    <w:basedOn w:val="TableNormal"/>
    <w:uiPriority w:val="99"/>
    <w:rsid w:val="009D0006"/>
    <w:pPr>
      <w:spacing w:after="0" w:line="240" w:lineRule="auto"/>
    </w:pPr>
    <w:rPr>
      <w:rFonts w:eastAsia="MS Mincho"/>
      <w:color w:val="000000"/>
      <w:lang w:eastAsia="ja-JP"/>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Bahnschrift SemiLight SemiConde" w:hAnsi="Bahnschrift SemiLight SemiConde"/>
        <w:b/>
        <w:caps/>
        <w:smallCaps w:val="0"/>
        <w:color w:val="FFFFFF"/>
        <w:sz w:val="18"/>
      </w:rPr>
      <w:tblPr/>
      <w:tcPr>
        <w:tcBorders>
          <w:top w:val="nil"/>
          <w:left w:val="nil"/>
          <w:bottom w:val="nil"/>
          <w:right w:val="nil"/>
          <w:insideH w:val="nil"/>
          <w:insideV w:val="single" w:sz="4" w:space="0" w:color="FFFFFF"/>
        </w:tcBorders>
        <w:shd w:val="clear" w:color="auto" w:fill="7030A0"/>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table" w:customStyle="1" w:styleId="LTU-TableofContents1">
    <w:name w:val="LTU - Table of Contents1"/>
    <w:basedOn w:val="TableNormal"/>
    <w:uiPriority w:val="99"/>
    <w:rsid w:val="009D0006"/>
    <w:pPr>
      <w:spacing w:after="0" w:line="240" w:lineRule="auto"/>
    </w:pPr>
    <w:rPr>
      <w:rFonts w:eastAsia="MS Mincho"/>
      <w:lang w:eastAsia="ja-JP"/>
    </w:r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PL3VIC12">
    <w:name w:val="PL3 VIC12"/>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WTI4tablestyle1">
    <w:name w:val="WTI4 table style1"/>
    <w:basedOn w:val="TableNormal"/>
    <w:uiPriority w:val="99"/>
    <w:rsid w:val="009D0006"/>
    <w:pPr>
      <w:spacing w:after="0" w:line="240" w:lineRule="auto"/>
    </w:pPr>
    <w:rPr>
      <w:rFonts w:eastAsia="MS Mincho"/>
      <w:lang w:eastAsia="ja-JP"/>
    </w:rPr>
    <w:tblPr/>
  </w:style>
  <w:style w:type="paragraph" w:customStyle="1" w:styleId="TOCHeading3">
    <w:name w:val="TOC Heading3"/>
    <w:basedOn w:val="Heading1"/>
    <w:next w:val="Normal"/>
    <w:uiPriority w:val="39"/>
    <w:unhideWhenUsed/>
    <w:qFormat/>
    <w:locked/>
    <w:rsid w:val="009D0006"/>
    <w:pPr>
      <w:keepLines/>
      <w:tabs>
        <w:tab w:val="left" w:pos="2680"/>
      </w:tabs>
      <w:spacing w:before="240" w:after="0" w:line="259" w:lineRule="auto"/>
      <w:outlineLvl w:val="9"/>
    </w:pPr>
    <w:rPr>
      <w:rFonts w:ascii="Roboto Medium" w:eastAsia="MS Gothic" w:hAnsi="Roboto Medium" w:cs="Times New Roman"/>
      <w:b w:val="0"/>
      <w:bCs w:val="0"/>
      <w:color w:val="532477"/>
      <w:w w:val="100"/>
      <w:kern w:val="0"/>
      <w:sz w:val="32"/>
      <w:szCs w:val="32"/>
      <w:lang w:val="en-US"/>
    </w:rPr>
  </w:style>
  <w:style w:type="table" w:customStyle="1" w:styleId="PL3VIC13">
    <w:name w:val="PL3 VIC13"/>
    <w:basedOn w:val="TableNormal"/>
    <w:uiPriority w:val="99"/>
    <w:rsid w:val="009D0006"/>
    <w:pPr>
      <w:spacing w:after="0" w:line="240" w:lineRule="auto"/>
    </w:pPr>
    <w:rPr>
      <w:rFonts w:ascii="Roboto" w:eastAsia="Yu Mincho" w:hAnsi="Roboto"/>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31">
    <w:name w:val="PL3 VIC3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61">
    <w:name w:val="PL3 VIC6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test621">
    <w:name w:val="pl3 test 62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test63">
    <w:name w:val="pl3 test 63"/>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21">
    <w:name w:val="PL3 VIC2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41">
    <w:name w:val="PL3 VIC4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51">
    <w:name w:val="PL3 VIC5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71">
    <w:name w:val="PL3 VIC7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numbering" w:customStyle="1" w:styleId="NoList12">
    <w:name w:val="No List12"/>
    <w:next w:val="NoList"/>
    <w:uiPriority w:val="99"/>
    <w:semiHidden/>
    <w:unhideWhenUsed/>
    <w:qFormat/>
    <w:rsid w:val="009D0006"/>
  </w:style>
  <w:style w:type="table" w:customStyle="1" w:styleId="pl3test611">
    <w:name w:val="pl3 test 611"/>
    <w:basedOn w:val="TableNormal"/>
    <w:uiPriority w:val="99"/>
    <w:rsid w:val="009D0006"/>
    <w:pPr>
      <w:spacing w:after="0" w:line="240" w:lineRule="auto"/>
    </w:pPr>
    <w:rPr>
      <w:rFonts w:ascii="Roboto" w:eastAsiaTheme="minorEastAsia" w:hAnsi="Roboto" w:cstheme="minorBidi"/>
      <w:color w:val="000000"/>
      <w:sz w:val="18"/>
      <w:szCs w:val="22"/>
      <w:lang w:eastAsia="ja-JP"/>
    </w:rPr>
    <w:tblPr>
      <w:tblStyleRowBandSize w:val="1"/>
      <w:tblStyleColBandSize w:val="1"/>
    </w:tblPr>
    <w:tcPr>
      <w:shd w:val="clear" w:color="auto" w:fill="FFFFFF"/>
    </w:tcPr>
    <w:tblStylePr w:type="firstRow">
      <w:rPr>
        <w:rFonts w:ascii="Bahnschrift SemiLight SemiConde" w:eastAsia="Bahnschrift SemiLight SemiConde" w:hAnsi="Bahnschrift SemiLight SemiConde" w:cs="Bahnschrift SemiLight SemiConde"/>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table" w:customStyle="1" w:styleId="PL3VIC91">
    <w:name w:val="PL3 VIC91"/>
    <w:basedOn w:val="pl3test6"/>
    <w:uiPriority w:val="99"/>
    <w:rsid w:val="009D0006"/>
    <w:tblPr/>
    <w:tcPr>
      <w:shd w:val="clear" w:color="auto" w:fill="FFFFFF"/>
    </w:tcPr>
    <w:tblStylePr w:type="firstRow">
      <w:rPr>
        <w:rFonts w:ascii="Bahnschrift SemiLight Condensed" w:eastAsia="Bahnschrift SemiLight Condensed" w:hAnsi="Bahnschrift SemiLight Condensed" w:cs="Bahnschrift SemiLight Condensed"/>
        <w:b/>
        <w:bCs/>
        <w:color w:val="0D0D0D"/>
        <w:sz w:val="18"/>
        <w:szCs w:val="18"/>
      </w:rPr>
      <w:tblPr/>
      <w:tcPr>
        <w:tcBorders>
          <w:top w:val="single" w:sz="12" w:space="0" w:color="757171"/>
          <w:left w:val="nil"/>
          <w:bottom w:val="single" w:sz="12" w:space="0" w:color="757171"/>
          <w:right w:val="nil"/>
          <w:insideH w:val="nil"/>
          <w:insideV w:val="nil"/>
        </w:tcBorders>
      </w:tcPr>
    </w:tblStylePr>
    <w:tblStylePr w:type="firstCol">
      <w:tblPr/>
      <w:tcPr>
        <w:shd w:val="clear" w:color="auto" w:fill="FFFFFF"/>
      </w:tcPr>
    </w:tblStylePr>
    <w:tblStylePr w:type="lastCol">
      <w:tblPr/>
      <w:tcPr>
        <w:shd w:val="clear" w:color="auto" w:fill="F2F2F2"/>
      </w:tcPr>
    </w:tblStylePr>
    <w:tblStylePr w:type="band1Vert">
      <w:tblPr/>
      <w:tcPr>
        <w:shd w:val="clear" w:color="auto" w:fill="FFFFFF"/>
      </w:tcPr>
    </w:tblStylePr>
    <w:tblStylePr w:type="band2Vert">
      <w:tblPr/>
      <w:tcPr>
        <w:shd w:val="clear" w:color="auto" w:fill="F2F2F2"/>
      </w:tcPr>
    </w:tblStylePr>
    <w:tblStylePr w:type="band1Horz">
      <w:tblPr/>
      <w:tcPr>
        <w:tcBorders>
          <w:top w:val="single" w:sz="4" w:space="0" w:color="757171"/>
          <w:bottom w:val="single" w:sz="4" w:space="0" w:color="757171"/>
        </w:tcBorders>
      </w:tcPr>
    </w:tblStylePr>
    <w:tblStylePr w:type="band2Horz">
      <w:tblPr/>
      <w:tcPr>
        <w:tcBorders>
          <w:top w:val="single" w:sz="4" w:space="0" w:color="757171"/>
          <w:bottom w:val="single" w:sz="4" w:space="0" w:color="757171"/>
        </w:tcBorders>
      </w:tcPr>
    </w:tblStylePr>
  </w:style>
  <w:style w:type="numbering" w:customStyle="1" w:styleId="NoList21">
    <w:name w:val="No List21"/>
    <w:next w:val="NoList"/>
    <w:uiPriority w:val="99"/>
    <w:semiHidden/>
    <w:unhideWhenUsed/>
    <w:qFormat/>
    <w:rsid w:val="009D0006"/>
  </w:style>
  <w:style w:type="paragraph" w:customStyle="1" w:styleId="HeaderandFooter">
    <w:name w:val="Header and Footer"/>
    <w:basedOn w:val="Normal"/>
    <w:qFormat/>
    <w:rsid w:val="009D0006"/>
    <w:pPr>
      <w:suppressAutoHyphens/>
      <w:spacing w:before="0" w:after="200" w:line="276" w:lineRule="auto"/>
    </w:pPr>
    <w:rPr>
      <w:rFonts w:ascii="Roboto" w:hAnsi="Roboto" w:cs="Times New Roman"/>
      <w:w w:val="100"/>
      <w:kern w:val="0"/>
      <w:sz w:val="18"/>
      <w:szCs w:val="18"/>
    </w:rPr>
  </w:style>
  <w:style w:type="paragraph" w:styleId="TOCHeading">
    <w:name w:val="TOC Heading"/>
    <w:basedOn w:val="Heading1"/>
    <w:next w:val="Normal"/>
    <w:uiPriority w:val="39"/>
    <w:unhideWhenUsed/>
    <w:qFormat/>
    <w:rsid w:val="009D0006"/>
    <w:pPr>
      <w:keepLines/>
      <w:tabs>
        <w:tab w:val="left" w:pos="2680"/>
      </w:tabs>
      <w:spacing w:before="240" w:after="0" w:line="259" w:lineRule="auto"/>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customStyle="1" w:styleId="DRCTOC">
    <w:name w:val="DRC TOC"/>
    <w:basedOn w:val="TOC2"/>
    <w:qFormat/>
    <w:rsid w:val="009D0006"/>
    <w:pPr>
      <w:ind w:left="448"/>
    </w:pPr>
    <w:rPr>
      <w:rFonts w:ascii="Roboto" w:hAnsi="Roboto" w:cs="Arial"/>
      <w:bCs/>
      <w:iCs/>
      <w:color w:val="000000"/>
      <w:spacing w:val="5"/>
      <w:lang w:bidi="en-US"/>
    </w:rPr>
  </w:style>
  <w:style w:type="paragraph" w:customStyle="1" w:styleId="well">
    <w:name w:val="well"/>
    <w:basedOn w:val="Normal"/>
    <w:rsid w:val="009D0006"/>
    <w:pPr>
      <w:spacing w:before="100" w:beforeAutospacing="1" w:after="100" w:afterAutospacing="1" w:line="240" w:lineRule="auto"/>
    </w:pPr>
    <w:rPr>
      <w:rFonts w:ascii="Times New Roman" w:eastAsia="Times New Roman" w:hAnsi="Times New Roman" w:cs="Times New Roman"/>
      <w:w w:val="100"/>
      <w:kern w:val="0"/>
      <w:szCs w:val="24"/>
      <w:lang w:eastAsia="en-GB"/>
    </w:rPr>
  </w:style>
  <w:style w:type="character" w:customStyle="1" w:styleId="person">
    <w:name w:val="person"/>
    <w:basedOn w:val="DefaultParagraphFont"/>
    <w:rsid w:val="009D0006"/>
  </w:style>
  <w:style w:type="character" w:customStyle="1" w:styleId="personname">
    <w:name w:val="person_name"/>
    <w:basedOn w:val="DefaultParagraphFont"/>
    <w:rsid w:val="009D0006"/>
  </w:style>
  <w:style w:type="paragraph" w:customStyle="1" w:styleId="xmsonormal">
    <w:name w:val="xmsonormal"/>
    <w:basedOn w:val="Normal"/>
    <w:rsid w:val="009D0006"/>
    <w:pPr>
      <w:spacing w:before="100" w:beforeAutospacing="1" w:after="100" w:afterAutospacing="1" w:line="240" w:lineRule="auto"/>
    </w:pPr>
    <w:rPr>
      <w:rFonts w:ascii="Times New Roman" w:eastAsia="Times New Roman" w:hAnsi="Times New Roman" w:cs="Times New Roman"/>
      <w:w w:val="100"/>
      <w:kern w:val="0"/>
      <w:szCs w:val="24"/>
      <w:lang w:eastAsia="en-GB"/>
    </w:rPr>
  </w:style>
  <w:style w:type="character" w:styleId="UnresolvedMention">
    <w:name w:val="Unresolved Mention"/>
    <w:basedOn w:val="DefaultParagraphFont"/>
    <w:uiPriority w:val="99"/>
    <w:semiHidden/>
    <w:unhideWhenUsed/>
    <w:rsid w:val="009D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atrobe.edu.au/__data/assets/pdf_file/0010/1198945/Writing-Themselves-In-4-National-report.pdf" TargetMode="External"/><Relationship Id="rId26" Type="http://schemas.openxmlformats.org/officeDocument/2006/relationships/chart" Target="charts/chart5.xml"/><Relationship Id="rId39" Type="http://schemas.openxmlformats.org/officeDocument/2006/relationships/hyperlink" Target="https://www.abs.gov.au/AUSSTATS/abs@.nsf/mediareleasesbyReleaseDate/7E65A144540551D7CA258148000E2B85" TargetMode="External"/><Relationship Id="rId21" Type="http://schemas.openxmlformats.org/officeDocument/2006/relationships/hyperlink" Target="https://www.latrobe.edu.au/__data/assets/pdf_file/0009/1185885/Private-Lives-3.pdf" TargetMode="External"/><Relationship Id="rId34" Type="http://schemas.openxmlformats.org/officeDocument/2006/relationships/hyperlink" Target="https://inclusionmelbourne.org.au/wp-content/uploads/2021/11/Our-Rainbow-Lives.pdf" TargetMode="External"/><Relationship Id="rId42" Type="http://schemas.openxmlformats.org/officeDocument/2006/relationships/hyperlink" Target="https://www.abs.gov.au/ausstats/abs@.nsf/0/88BF225497426920CA257F5C000989A8?Opendocument" TargetMode="External"/><Relationship Id="rId47" Type="http://schemas.openxmlformats.org/officeDocument/2006/relationships/hyperlink" Target="https://www.abs.gov.au/ausstats/abs@.nsf/Lookup/4817.0.55.001Chapter92007-08" TargetMode="External"/><Relationship Id="rId50" Type="http://schemas.openxmlformats.org/officeDocument/2006/relationships/hyperlink" Target="https://www.scopus.com/inward/record.uri?eid=2-s2.0-85111311602&amp;doi=10.1093%2foxfordhb%2f9780190067991.013.36&amp;partnerID=40&amp;md5=ce30d5e52ef87fdbede26dd5791f0c6c" TargetMode="External"/><Relationship Id="rId55" Type="http://schemas.openxmlformats.org/officeDocument/2006/relationships/hyperlink" Target="https://www.ndis.gov.au/about-us/strategies/lgbtiqa-strategy" TargetMode="External"/><Relationship Id="rId7" Type="http://schemas.openxmlformats.org/officeDocument/2006/relationships/settings" Target="settings.xml"/><Relationship Id="rId12" Type="http://schemas.openxmlformats.org/officeDocument/2006/relationships/hyperlink" Target="https://www.latrobe.edu.au/arcshs/publications/private-lives/private-lives-3" TargetMode="External"/><Relationship Id="rId17" Type="http://schemas.openxmlformats.org/officeDocument/2006/relationships/footer" Target="footer3.xml"/><Relationship Id="rId25" Type="http://schemas.openxmlformats.org/officeDocument/2006/relationships/chart" Target="charts/chart4.xml"/><Relationship Id="rId33" Type="http://schemas.openxmlformats.org/officeDocument/2006/relationships/hyperlink" Target="https://www.aihw.gov.au/reports/disability/people-with-disability-in-australia/contents/justice-and-safety/violence-against-people-with-disability" TargetMode="External"/><Relationship Id="rId38" Type="http://schemas.openxmlformats.org/officeDocument/2006/relationships/hyperlink" Target="https://www.abs.gov.au/AUSSTATS/abs@.nsf/mediareleasesbyReleaseDate/AC02F0705E320F58CA25817C00016A47?OpenDocument" TargetMode="External"/><Relationship Id="rId46" Type="http://schemas.openxmlformats.org/officeDocument/2006/relationships/hyperlink" Target="https://www.abs.gov.au/ausstats/abs@.nsf/Lookup/by%20Subject/4906.0~2016~Main%20Features~About%20the%20Personal%20Safety%20Survey%20~2"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atrobe.edu.au/__data/assets/pdf_file/0010/1198945/Writing-Themselves-In-4-National-report.pdf" TargetMode="External"/><Relationship Id="rId29" Type="http://schemas.openxmlformats.org/officeDocument/2006/relationships/hyperlink" Target="https://doi.org/10.1002/9781118430873.est0162" TargetMode="External"/><Relationship Id="rId41" Type="http://schemas.openxmlformats.org/officeDocument/2006/relationships/hyperlink" Target="https://www.abs.gov.au/ausstats/abs@.nsf/lookup/6202.0Media%20Release1Sep%202019" TargetMode="External"/><Relationship Id="rId54" Type="http://schemas.openxmlformats.org/officeDocument/2006/relationships/hyperlink" Target="https://quickstats.censusdata.abs.gov.au/census_services/getproduct/census/2016/quickstat/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robe.edu.au/arcshs/publications/writing-themselves-in-publications" TargetMode="External"/><Relationship Id="rId24" Type="http://schemas.openxmlformats.org/officeDocument/2006/relationships/chart" Target="charts/chart3.xml"/><Relationship Id="rId32" Type="http://schemas.openxmlformats.org/officeDocument/2006/relationships/hyperlink" Target="https://www.aihw.gov.au/getmedia/2cda5b59-bbac-45f2-aea8-954ae12306b2/dat-6-standardised-disability-flag-data-collection-guide.pdf.aspx" TargetMode="External"/><Relationship Id="rId37" Type="http://schemas.openxmlformats.org/officeDocument/2006/relationships/hyperlink" Target="https://www.abs.gov.au/ausstats/abs@.nsf/mf/3238.0.55.001" TargetMode="External"/><Relationship Id="rId40" Type="http://schemas.openxmlformats.org/officeDocument/2006/relationships/hyperlink" Target="https://www.abs.gov.au/ausstats/abs@.nsf/0/C258C88A7AA5A87ECA2568A9001393E8?Opendocument" TargetMode="External"/><Relationship Id="rId45" Type="http://schemas.openxmlformats.org/officeDocument/2006/relationships/hyperlink" Target="https://www.ourwatch.org.au/MediaLibraries/OurWatch/Images/ourwatch_reporting_on_domestic_violence_aa_v1.pdf" TargetMode="External"/><Relationship Id="rId53" Type="http://schemas.openxmlformats.org/officeDocument/2006/relationships/hyperlink" Target="http://oatd.org/oatd/record?record=handle%5C%3A1959.9%5C%2F568948"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hyperlink" Target="https://doi.org/10.4324/9780203366974" TargetMode="External"/><Relationship Id="rId36" Type="http://schemas.openxmlformats.org/officeDocument/2006/relationships/hyperlink" Target="https://www.abs.gov.au/ausstats/abs@.nsf/0/88BF225497426920CA257F5C000989A8?Opendocument" TargetMode="External"/><Relationship Id="rId49" Type="http://schemas.openxmlformats.org/officeDocument/2006/relationships/hyperlink" Target="http://www.health.gov.au/internet/main/publishing.nsf/Content/mental-pubs-m-child2" TargetMode="Externa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atrobe.edu.au/__data/assets/pdf_file/0009/1185885/Private-Lives-3.pdf" TargetMode="External"/><Relationship Id="rId31" Type="http://schemas.openxmlformats.org/officeDocument/2006/relationships/hyperlink" Target="https://www.lgbtiqhealth.org.au/walkern_katatdjin_rainbow_knowledge_phase_1_report" TargetMode="External"/><Relationship Id="rId44" Type="http://schemas.openxmlformats.org/officeDocument/2006/relationships/hyperlink" Target="https://researchdirect.westernsydney.edu.au/islandora/object/uws%3A32727/" TargetMode="External"/><Relationship Id="rId52" Type="http://schemas.openxmlformats.org/officeDocument/2006/relationships/hyperlink" Target="https://humanrights.gov.au/our-work/education/face-facts-cultural-divers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hyperlink" Target="https://opal.latrobe.edu.au/articles/report/Writing_Themselves_In_4_The_health_and_wellbeing_of_LGBTQA_young_people_in_Australia_National_report_/13647860" TargetMode="External"/><Relationship Id="rId30" Type="http://schemas.openxmlformats.org/officeDocument/2006/relationships/hyperlink" Target="https://ro.ecu.edu.au/ecuworkspost2013/10530" TargetMode="External"/><Relationship Id="rId35" Type="http://schemas.openxmlformats.org/officeDocument/2006/relationships/hyperlink" Target="https://www.abs.gov.au/ausstats/abs@.nsf/0/C258C88A7AA5A87ECA2568A9001393E8?Opendocument" TargetMode="External"/><Relationship Id="rId43" Type="http://schemas.openxmlformats.org/officeDocument/2006/relationships/hyperlink" Target="https://www.abs.gov.au/ausstats/abs@.nsf/Lookup/by%20Subject/2071.0~2016~Main%20Features~Snapshot%20of%20Australia,%202016~2" TargetMode="External"/><Relationship Id="rId48" Type="http://schemas.openxmlformats.org/officeDocument/2006/relationships/hyperlink" Target="https://www.aihw.gov.au/reports/life-expectancy-death/deaths-in-australia/contents/leading-causes-of-death"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scopus.com/inward/record.uri?eid=2-s2.0-85083063896&amp;doi=10.1177%2f1524838020916254&amp;partnerID=40&amp;md5=4579832504be9ac6da30c6dafe22a464"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adam\Desktop\27.10.21%20work%20today\dis%20gender%20and%20dis%20intersection%20with%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ar\folders\y6\b1bckd9n7v7clf31mj35bwfm0000gn\T\com.microsoft.Outlook\Outlook%20Temp\demographics_WTI4_DIS%5b1%5d.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adam\Desktop\27.10.21%20work%20today\DIS_disclosure_national_WTI4%20with%20tabl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adam\Desktop\PL3\Disabity%20report\Data\Discrimination%20&amp;%20harassment\WTI4_DIS_Harassment_national.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latrobeuni-my.sharepoint.com/personal/alyons_ltu_edu_au/Documents/SHARED%20-%20Disability%20Project/Main%20report/Full%20report/Full%20report%20-%20second%20draft/Figures%20-%20family%20viol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483270551739426E-2"/>
          <c:y val="7.7909098234570387E-2"/>
          <c:w val="0.91214269886993127"/>
          <c:h val="0.78945961905976048"/>
        </c:manualLayout>
      </c:layout>
      <c:barChart>
        <c:barDir val="col"/>
        <c:grouping val="stacked"/>
        <c:varyColors val="0"/>
        <c:ser>
          <c:idx val="0"/>
          <c:order val="0"/>
          <c:tx>
            <c:strRef>
              <c:f>'dis gender and dis intersection'!$A$2</c:f>
              <c:strCache>
                <c:ptCount val="1"/>
                <c:pt idx="0">
                  <c:v>Any disability*</c:v>
                </c:pt>
              </c:strCache>
            </c:strRef>
          </c:tx>
          <c:spPr>
            <a:solidFill>
              <a:srgbClr val="7030A0"/>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08-4734-996D-FBDAC30533F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08-4734-996D-FBDAC30533F2}"/>
                </c:ext>
              </c:extLst>
            </c:dLbl>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intersection'!$B$1:$F$1</c:f>
              <c:strCache>
                <c:ptCount val="5"/>
                <c:pt idx="0">
                  <c:v>Cisgender woman</c:v>
                </c:pt>
                <c:pt idx="1">
                  <c:v>Cisgender man</c:v>
                </c:pt>
                <c:pt idx="2">
                  <c:v>Trans woman</c:v>
                </c:pt>
                <c:pt idx="3">
                  <c:v>Trans man</c:v>
                </c:pt>
                <c:pt idx="4">
                  <c:v>Non-binary</c:v>
                </c:pt>
              </c:strCache>
            </c:strRef>
          </c:cat>
          <c:val>
            <c:numRef>
              <c:f>'dis gender and dis intersection'!$B$2:$F$2</c:f>
              <c:numCache>
                <c:formatCode>0.0</c:formatCode>
                <c:ptCount val="5"/>
                <c:pt idx="0">
                  <c:v>20</c:v>
                </c:pt>
                <c:pt idx="1">
                  <c:v>13</c:v>
                </c:pt>
                <c:pt idx="2">
                  <c:v>54.5</c:v>
                </c:pt>
                <c:pt idx="3">
                  <c:v>45.2</c:v>
                </c:pt>
                <c:pt idx="4">
                  <c:v>41.8</c:v>
                </c:pt>
              </c:numCache>
            </c:numRef>
          </c:val>
          <c:extLst>
            <c:ext xmlns:c16="http://schemas.microsoft.com/office/drawing/2014/chart" uri="{C3380CC4-5D6E-409C-BE32-E72D297353CC}">
              <c16:uniqueId val="{00000002-BF08-4734-996D-FBDAC30533F2}"/>
            </c:ext>
          </c:extLst>
        </c:ser>
        <c:ser>
          <c:idx val="1"/>
          <c:order val="1"/>
          <c:tx>
            <c:strRef>
              <c:f>'dis gender and dis intersection'!$A$3</c:f>
              <c:strCache>
                <c:ptCount val="1"/>
                <c:pt idx="0">
                  <c:v>No disability </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intersection'!$B$1:$F$1</c:f>
              <c:strCache>
                <c:ptCount val="5"/>
                <c:pt idx="0">
                  <c:v>Cisgender woman</c:v>
                </c:pt>
                <c:pt idx="1">
                  <c:v>Cisgender man</c:v>
                </c:pt>
                <c:pt idx="2">
                  <c:v>Trans woman</c:v>
                </c:pt>
                <c:pt idx="3">
                  <c:v>Trans man</c:v>
                </c:pt>
                <c:pt idx="4">
                  <c:v>Non-binary</c:v>
                </c:pt>
              </c:strCache>
            </c:strRef>
          </c:cat>
          <c:val>
            <c:numRef>
              <c:f>'dis gender and dis intersection'!$B$3:$F$3</c:f>
              <c:numCache>
                <c:formatCode>0.0</c:formatCode>
                <c:ptCount val="5"/>
                <c:pt idx="0">
                  <c:v>80</c:v>
                </c:pt>
                <c:pt idx="1">
                  <c:v>87</c:v>
                </c:pt>
                <c:pt idx="2">
                  <c:v>45.5</c:v>
                </c:pt>
                <c:pt idx="3">
                  <c:v>54.8</c:v>
                </c:pt>
                <c:pt idx="4">
                  <c:v>58.2</c:v>
                </c:pt>
              </c:numCache>
            </c:numRef>
          </c:val>
          <c:extLst>
            <c:ext xmlns:c16="http://schemas.microsoft.com/office/drawing/2014/chart" uri="{C3380CC4-5D6E-409C-BE32-E72D297353CC}">
              <c16:uniqueId val="{00000003-BF08-4734-996D-FBDAC30533F2}"/>
            </c:ext>
          </c:extLst>
        </c:ser>
        <c:dLbls>
          <c:dLblPos val="ctr"/>
          <c:showLegendKey val="0"/>
          <c:showVal val="1"/>
          <c:showCatName val="0"/>
          <c:showSerName val="0"/>
          <c:showPercent val="0"/>
          <c:showBubbleSize val="0"/>
        </c:dLbls>
        <c:gapWidth val="79"/>
        <c:overlap val="100"/>
        <c:axId val="64495912"/>
        <c:axId val="64499048"/>
      </c:barChart>
      <c:catAx>
        <c:axId val="6449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Roboto" panose="02000000000000000000" pitchFamily="2" charset="0"/>
                <a:ea typeface="Roboto" panose="02000000000000000000" pitchFamily="2" charset="0"/>
                <a:cs typeface="+mn-cs"/>
              </a:defRPr>
            </a:pPr>
            <a:endParaRPr lang="en-US"/>
          </a:p>
        </c:txPr>
        <c:crossAx val="64499048"/>
        <c:crosses val="autoZero"/>
        <c:auto val="1"/>
        <c:lblAlgn val="ctr"/>
        <c:lblOffset val="100"/>
        <c:noMultiLvlLbl val="0"/>
      </c:catAx>
      <c:valAx>
        <c:axId val="64499048"/>
        <c:scaling>
          <c:orientation val="minMax"/>
        </c:scaling>
        <c:delete val="1"/>
        <c:axPos val="l"/>
        <c:title>
          <c:tx>
            <c:rich>
              <a:bodyPr rot="-5400000" spcFirstLastPara="1" vertOverflow="ellipsis" vert="horz" wrap="square" anchor="ctr" anchorCtr="1"/>
              <a:lstStyle/>
              <a:p>
                <a:pPr>
                  <a:defRPr sz="1000" b="0" i="0" u="none" strike="noStrike" kern="1200" cap="none" baseline="0">
                    <a:solidFill>
                      <a:schemeClr val="tx1"/>
                    </a:solidFill>
                    <a:latin typeface="Roboto" panose="02000000000000000000" pitchFamily="2" charset="0"/>
                    <a:ea typeface="Roboto" panose="02000000000000000000" pitchFamily="2" charset="0"/>
                    <a:cs typeface="+mn-cs"/>
                  </a:defRPr>
                </a:pPr>
                <a:r>
                  <a:rPr lang="en-GB" sz="1000" cap="none" baseline="0">
                    <a:solidFill>
                      <a:schemeClr val="tx1"/>
                    </a:solidFill>
                    <a:latin typeface="Roboto" panose="02000000000000000000" pitchFamily="2" charset="0"/>
                    <a:ea typeface="Roboto" panose="02000000000000000000" pitchFamily="2" charset="0"/>
                  </a:rPr>
                  <a:t>Participants (%)</a:t>
                </a:r>
              </a:p>
            </c:rich>
          </c:tx>
          <c:overlay val="0"/>
          <c:spPr>
            <a:noFill/>
            <a:ln>
              <a:noFill/>
            </a:ln>
            <a:effectLst/>
          </c:spPr>
          <c:txPr>
            <a:bodyPr rot="-5400000" spcFirstLastPara="1" vertOverflow="ellipsis" vert="horz" wrap="square" anchor="ctr" anchorCtr="1"/>
            <a:lstStyle/>
            <a:p>
              <a:pPr>
                <a:defRPr sz="1000" b="0" i="0" u="none" strike="noStrike" kern="1200" cap="none" baseline="0">
                  <a:solidFill>
                    <a:schemeClr val="tx1"/>
                  </a:solidFill>
                  <a:latin typeface="Roboto" panose="02000000000000000000" pitchFamily="2" charset="0"/>
                  <a:ea typeface="Roboto" panose="02000000000000000000" pitchFamily="2" charset="0"/>
                  <a:cs typeface="+mn-cs"/>
                </a:defRPr>
              </a:pPr>
              <a:endParaRPr lang="en-US"/>
            </a:p>
          </c:txPr>
        </c:title>
        <c:numFmt formatCode="0.0" sourceLinked="1"/>
        <c:majorTickMark val="none"/>
        <c:minorTickMark val="none"/>
        <c:tickLblPos val="nextTo"/>
        <c:crossAx val="64495912"/>
        <c:crosses val="autoZero"/>
        <c:crossBetween val="between"/>
      </c:valAx>
      <c:spPr>
        <a:noFill/>
        <a:ln>
          <a:noFill/>
        </a:ln>
        <a:effectLst/>
      </c:spPr>
    </c:plotArea>
    <c:legend>
      <c:legendPos val="t"/>
      <c:layout>
        <c:manualLayout>
          <c:xMode val="edge"/>
          <c:yMode val="edge"/>
          <c:x val="0.31118448715957925"/>
          <c:y val="5.4987016954330226E-2"/>
          <c:w val="0.37763085120675005"/>
          <c:h val="5.462043684130135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
    <c:plotVisOnly val="1"/>
    <c:dispBlanksAs val="gap"/>
    <c:showDLblsOverMax val="0"/>
    <c:extLst/>
  </c:chart>
  <c:spPr>
    <a:solidFill>
      <a:schemeClr val="lt1"/>
    </a:solidFill>
    <a:ln w="9525" cap="flat" cmpd="sng" algn="ctr">
      <a:noFill/>
      <a:round/>
    </a:ln>
    <a:effectLst/>
  </c:spPr>
  <c:txPr>
    <a:bodyPr/>
    <a:lstStyle/>
    <a:p>
      <a:pPr>
        <a:defRPr sz="11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362373964278178E-2"/>
          <c:y val="0"/>
          <c:w val="0.92026359545739256"/>
          <c:h val="0.93058070678414861"/>
        </c:manualLayout>
      </c:layout>
      <c:barChart>
        <c:barDir val="col"/>
        <c:grouping val="stacked"/>
        <c:varyColors val="0"/>
        <c:ser>
          <c:idx val="0"/>
          <c:order val="0"/>
          <c:tx>
            <c:strRef>
              <c:f>'dis gender and dis intersection'!$L$48</c:f>
              <c:strCache>
                <c:ptCount val="1"/>
                <c:pt idx="0">
                  <c:v>No disability</c:v>
                </c:pt>
              </c:strCache>
            </c:strRef>
          </c:tx>
          <c:spPr>
            <a:solidFill>
              <a:srgbClr val="7030A0"/>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57-4063-A6CB-DBE15B3FEE1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57-4063-A6CB-DBE15B3FEE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intersection'!$K$49:$K$53</c:f>
              <c:strCache>
                <c:ptCount val="5"/>
                <c:pt idx="0">
                  <c:v>Cisgender woman</c:v>
                </c:pt>
                <c:pt idx="1">
                  <c:v>Cisgender man</c:v>
                </c:pt>
                <c:pt idx="2">
                  <c:v>Trans woman</c:v>
                </c:pt>
                <c:pt idx="3">
                  <c:v>Trans man</c:v>
                </c:pt>
                <c:pt idx="4">
                  <c:v>Non-binary</c:v>
                </c:pt>
              </c:strCache>
            </c:strRef>
          </c:cat>
          <c:val>
            <c:numRef>
              <c:f>'dis gender and dis intersection'!$L$49:$L$53</c:f>
              <c:numCache>
                <c:formatCode>0.0</c:formatCode>
                <c:ptCount val="5"/>
                <c:pt idx="0">
                  <c:v>56.58</c:v>
                </c:pt>
                <c:pt idx="1">
                  <c:v>77.290000000000006</c:v>
                </c:pt>
                <c:pt idx="2">
                  <c:v>50.56</c:v>
                </c:pt>
                <c:pt idx="3">
                  <c:v>39.130000000000003</c:v>
                </c:pt>
                <c:pt idx="4">
                  <c:v>34.5</c:v>
                </c:pt>
              </c:numCache>
            </c:numRef>
          </c:val>
          <c:extLst>
            <c:ext xmlns:c16="http://schemas.microsoft.com/office/drawing/2014/chart" uri="{C3380CC4-5D6E-409C-BE32-E72D297353CC}">
              <c16:uniqueId val="{00000002-1A57-4063-A6CB-DBE15B3FEE15}"/>
            </c:ext>
          </c:extLst>
        </c:ser>
        <c:ser>
          <c:idx val="1"/>
          <c:order val="1"/>
          <c:tx>
            <c:strRef>
              <c:f>'dis gender and dis intersection'!$M$48</c:f>
              <c:strCache>
                <c:ptCount val="1"/>
                <c:pt idx="0">
                  <c:v>Mild</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intersection'!$K$49:$K$53</c:f>
              <c:strCache>
                <c:ptCount val="5"/>
                <c:pt idx="0">
                  <c:v>Cisgender woman</c:v>
                </c:pt>
                <c:pt idx="1">
                  <c:v>Cisgender man</c:v>
                </c:pt>
                <c:pt idx="2">
                  <c:v>Trans woman</c:v>
                </c:pt>
                <c:pt idx="3">
                  <c:v>Trans man</c:v>
                </c:pt>
                <c:pt idx="4">
                  <c:v>Non-binary</c:v>
                </c:pt>
              </c:strCache>
            </c:strRef>
          </c:cat>
          <c:val>
            <c:numRef>
              <c:f>'dis gender and dis intersection'!$M$49:$M$53</c:f>
              <c:numCache>
                <c:formatCode>0.0</c:formatCode>
                <c:ptCount val="5"/>
                <c:pt idx="0">
                  <c:v>7.73</c:v>
                </c:pt>
                <c:pt idx="1">
                  <c:v>4.9000000000000004</c:v>
                </c:pt>
                <c:pt idx="2">
                  <c:v>5.99</c:v>
                </c:pt>
                <c:pt idx="3">
                  <c:v>5.43</c:v>
                </c:pt>
                <c:pt idx="4">
                  <c:v>8.16</c:v>
                </c:pt>
              </c:numCache>
            </c:numRef>
          </c:val>
          <c:extLst>
            <c:ext xmlns:c16="http://schemas.microsoft.com/office/drawing/2014/chart" uri="{C3380CC4-5D6E-409C-BE32-E72D297353CC}">
              <c16:uniqueId val="{00000003-1A57-4063-A6CB-DBE15B3FEE15}"/>
            </c:ext>
          </c:extLst>
        </c:ser>
        <c:ser>
          <c:idx val="2"/>
          <c:order val="2"/>
          <c:tx>
            <c:strRef>
              <c:f>'dis gender and dis intersection'!$N$48</c:f>
              <c:strCache>
                <c:ptCount val="1"/>
                <c:pt idx="0">
                  <c:v>Moderate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intersection'!$K$49:$K$53</c:f>
              <c:strCache>
                <c:ptCount val="5"/>
                <c:pt idx="0">
                  <c:v>Cisgender woman</c:v>
                </c:pt>
                <c:pt idx="1">
                  <c:v>Cisgender man</c:v>
                </c:pt>
                <c:pt idx="2">
                  <c:v>Trans woman</c:v>
                </c:pt>
                <c:pt idx="3">
                  <c:v>Trans man</c:v>
                </c:pt>
                <c:pt idx="4">
                  <c:v>Non-binary</c:v>
                </c:pt>
              </c:strCache>
            </c:strRef>
          </c:cat>
          <c:val>
            <c:numRef>
              <c:f>'dis gender and dis intersection'!$N$49:$N$53</c:f>
              <c:numCache>
                <c:formatCode>0.0</c:formatCode>
                <c:ptCount val="5"/>
                <c:pt idx="0">
                  <c:v>23.48</c:v>
                </c:pt>
                <c:pt idx="1">
                  <c:v>12.9</c:v>
                </c:pt>
                <c:pt idx="2">
                  <c:v>22.47</c:v>
                </c:pt>
                <c:pt idx="3">
                  <c:v>29.35</c:v>
                </c:pt>
                <c:pt idx="4">
                  <c:v>33.22</c:v>
                </c:pt>
              </c:numCache>
            </c:numRef>
          </c:val>
          <c:extLst>
            <c:ext xmlns:c16="http://schemas.microsoft.com/office/drawing/2014/chart" uri="{C3380CC4-5D6E-409C-BE32-E72D297353CC}">
              <c16:uniqueId val="{00000004-1A57-4063-A6CB-DBE15B3FEE15}"/>
            </c:ext>
          </c:extLst>
        </c:ser>
        <c:ser>
          <c:idx val="3"/>
          <c:order val="3"/>
          <c:tx>
            <c:strRef>
              <c:f>'dis gender and dis intersection'!$O$48</c:f>
              <c:strCache>
                <c:ptCount val="1"/>
                <c:pt idx="0">
                  <c:v>Severe</c:v>
                </c:pt>
              </c:strCache>
            </c:strRef>
          </c:tx>
          <c:spPr>
            <a:solidFill>
              <a:srgbClr val="00B050"/>
            </a:solidFill>
            <a:ln>
              <a:noFill/>
            </a:ln>
            <a:effectLst/>
          </c:spPr>
          <c:invertIfNegative val="0"/>
          <c:dLbls>
            <c:dLbl>
              <c:idx val="1"/>
              <c:layout>
                <c:manualLayout>
                  <c:x val="-4.5332300058166268E-3"/>
                  <c:y val="4.0453565113101669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5FC874A4-021B-B547-AB00-B0AB82E3A8F4}" type="VALUE">
                      <a:rPr lang="en-US" sz="900">
                        <a:solidFill>
                          <a:schemeClr val="bg1"/>
                        </a:solidFill>
                      </a:rPr>
                      <a:pPr>
                        <a:defRPr>
                          <a:solidFill>
                            <a:schemeClr val="tx1"/>
                          </a:solidFill>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A57-4063-A6CB-DBE15B3FEE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'dis gender and dis intersection'!$K$49:$K$53</c:f>
              <c:strCache>
                <c:ptCount val="5"/>
                <c:pt idx="0">
                  <c:v>Cisgender woman</c:v>
                </c:pt>
                <c:pt idx="1">
                  <c:v>Cisgender man</c:v>
                </c:pt>
                <c:pt idx="2">
                  <c:v>Trans woman</c:v>
                </c:pt>
                <c:pt idx="3">
                  <c:v>Trans man</c:v>
                </c:pt>
                <c:pt idx="4">
                  <c:v>Non-binary</c:v>
                </c:pt>
              </c:strCache>
            </c:strRef>
          </c:cat>
          <c:val>
            <c:numRef>
              <c:f>'dis gender and dis intersection'!$O$49:$O$53</c:f>
              <c:numCache>
                <c:formatCode>0.0</c:formatCode>
                <c:ptCount val="5"/>
                <c:pt idx="0">
                  <c:v>12.2</c:v>
                </c:pt>
                <c:pt idx="1">
                  <c:v>4.9000000000000004</c:v>
                </c:pt>
                <c:pt idx="2">
                  <c:v>20.97</c:v>
                </c:pt>
                <c:pt idx="3">
                  <c:v>26.09</c:v>
                </c:pt>
                <c:pt idx="4">
                  <c:v>24.13</c:v>
                </c:pt>
              </c:numCache>
            </c:numRef>
          </c:val>
          <c:extLst>
            <c:ext xmlns:c16="http://schemas.microsoft.com/office/drawing/2014/chart" uri="{C3380CC4-5D6E-409C-BE32-E72D297353CC}">
              <c16:uniqueId val="{00000006-1A57-4063-A6CB-DBE15B3FEE15}"/>
            </c:ext>
          </c:extLst>
        </c:ser>
        <c:dLbls>
          <c:dLblPos val="ctr"/>
          <c:showLegendKey val="0"/>
          <c:showVal val="1"/>
          <c:showCatName val="0"/>
          <c:showSerName val="0"/>
          <c:showPercent val="0"/>
          <c:showBubbleSize val="0"/>
        </c:dLbls>
        <c:gapWidth val="79"/>
        <c:overlap val="100"/>
        <c:axId val="64496304"/>
        <c:axId val="64496696"/>
      </c:barChart>
      <c:catAx>
        <c:axId val="6449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Roboto" panose="02000000000000000000" pitchFamily="2" charset="0"/>
                <a:ea typeface="Roboto" panose="02000000000000000000" pitchFamily="2" charset="0"/>
                <a:cs typeface="+mn-cs"/>
              </a:defRPr>
            </a:pPr>
            <a:endParaRPr lang="en-US"/>
          </a:p>
        </c:txPr>
        <c:crossAx val="64496696"/>
        <c:crosses val="autoZero"/>
        <c:auto val="1"/>
        <c:lblAlgn val="ctr"/>
        <c:lblOffset val="100"/>
        <c:noMultiLvlLbl val="0"/>
      </c:catAx>
      <c:valAx>
        <c:axId val="64496696"/>
        <c:scaling>
          <c:orientation val="minMax"/>
        </c:scaling>
        <c:delete val="1"/>
        <c:axPos val="l"/>
        <c:title>
          <c:tx>
            <c:rich>
              <a:bodyPr rot="-5400000" spcFirstLastPara="1" vertOverflow="ellipsis" vert="horz" wrap="square" anchor="ctr" anchorCtr="1"/>
              <a:lstStyle/>
              <a:p>
                <a:pPr>
                  <a:defRPr sz="1000" b="0" i="0" u="none" strike="noStrike" kern="1200" cap="none" baseline="0">
                    <a:solidFill>
                      <a:schemeClr val="tx1"/>
                    </a:solidFill>
                    <a:latin typeface="Roboto" panose="02000000000000000000" pitchFamily="2" charset="0"/>
                    <a:ea typeface="Roboto" panose="02000000000000000000" pitchFamily="2" charset="0"/>
                    <a:cs typeface="+mn-cs"/>
                  </a:defRPr>
                </a:pPr>
                <a:r>
                  <a:rPr lang="en-GB" sz="1000" b="0" i="0">
                    <a:solidFill>
                      <a:schemeClr val="tx1"/>
                    </a:solidFill>
                    <a:latin typeface="Roboto" panose="02000000000000000000" pitchFamily="2" charset="0"/>
                    <a:ea typeface="Roboto" panose="02000000000000000000" pitchFamily="2" charset="0"/>
                  </a:rPr>
                  <a:t>Participants (%)</a:t>
                </a:r>
              </a:p>
            </c:rich>
          </c:tx>
          <c:layout>
            <c:manualLayout>
              <c:xMode val="edge"/>
              <c:yMode val="edge"/>
              <c:x val="1.8527988899941481E-2"/>
              <c:y val="0.41374424890275485"/>
            </c:manualLayout>
          </c:layout>
          <c:overlay val="0"/>
          <c:spPr>
            <a:noFill/>
            <a:ln>
              <a:noFill/>
            </a:ln>
            <a:effectLst/>
          </c:spPr>
          <c:txPr>
            <a:bodyPr rot="-5400000" spcFirstLastPara="1" vertOverflow="ellipsis" vert="horz" wrap="square" anchor="ctr" anchorCtr="1"/>
            <a:lstStyle/>
            <a:p>
              <a:pPr>
                <a:defRPr sz="1000" b="0" i="0" u="none" strike="noStrike" kern="1200" cap="none" baseline="0">
                  <a:solidFill>
                    <a:schemeClr val="tx1"/>
                  </a:solidFill>
                  <a:latin typeface="Roboto" panose="02000000000000000000" pitchFamily="2" charset="0"/>
                  <a:ea typeface="Roboto" panose="02000000000000000000" pitchFamily="2" charset="0"/>
                  <a:cs typeface="+mn-cs"/>
                </a:defRPr>
              </a:pPr>
              <a:endParaRPr lang="en-US"/>
            </a:p>
          </c:txPr>
        </c:title>
        <c:numFmt formatCode="0.0" sourceLinked="1"/>
        <c:majorTickMark val="none"/>
        <c:minorTickMark val="none"/>
        <c:tickLblPos val="nextTo"/>
        <c:crossAx val="64496304"/>
        <c:crosses val="autoZero"/>
        <c:crossBetween val="between"/>
      </c:valAx>
      <c:spPr>
        <a:noFill/>
        <a:ln>
          <a:noFill/>
        </a:ln>
        <a:effectLst/>
      </c:spPr>
    </c:plotArea>
    <c:legend>
      <c:legendPos val="t"/>
      <c:layout>
        <c:manualLayout>
          <c:xMode val="edge"/>
          <c:yMode val="edge"/>
          <c:x val="0.25268778469040026"/>
          <c:y val="4.8668766103635845E-2"/>
          <c:w val="0.49462425989032377"/>
          <c:h val="5.11880904666475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
    <c:plotVisOnly val="1"/>
    <c:dispBlanksAs val="gap"/>
    <c:showDLblsOverMax val="0"/>
    <c:extLst/>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DIS_disclosure_national!$E$31</c:f>
              <c:strCache>
                <c:ptCount val="1"/>
                <c:pt idx="0">
                  <c:v>None of them</c:v>
                </c:pt>
              </c:strCache>
            </c:strRef>
          </c:tx>
          <c:spPr>
            <a:solidFill>
              <a:srgbClr val="7030A0"/>
            </a:solidFill>
            <a:ln>
              <a:noFill/>
            </a:ln>
            <a:effectLst/>
          </c:spPr>
          <c:invertIfNegative val="0"/>
          <c:dPt>
            <c:idx val="2"/>
            <c:invertIfNegative val="0"/>
            <c:bubble3D val="0"/>
            <c:extLst>
              <c:ext xmlns:c16="http://schemas.microsoft.com/office/drawing/2014/chart" uri="{C3380CC4-5D6E-409C-BE32-E72D297353CC}">
                <c16:uniqueId val="{00000000-127C-436A-93F7-B1D18A969DE4}"/>
              </c:ext>
            </c:extLst>
          </c:dPt>
          <c:dPt>
            <c:idx val="3"/>
            <c:invertIfNegative val="0"/>
            <c:bubble3D val="0"/>
            <c:extLst>
              <c:ext xmlns:c16="http://schemas.microsoft.com/office/drawing/2014/chart" uri="{C3380CC4-5D6E-409C-BE32-E72D297353CC}">
                <c16:uniqueId val="{00000001-127C-436A-93F7-B1D18A969DE4}"/>
              </c:ext>
            </c:extLst>
          </c:dPt>
          <c:dPt>
            <c:idx val="4"/>
            <c:invertIfNegative val="0"/>
            <c:bubble3D val="0"/>
            <c:extLst>
              <c:ext xmlns:c16="http://schemas.microsoft.com/office/drawing/2014/chart" uri="{C3380CC4-5D6E-409C-BE32-E72D297353CC}">
                <c16:uniqueId val="{00000002-127C-436A-93F7-B1D18A969DE4}"/>
              </c:ext>
            </c:extLst>
          </c:dPt>
          <c:dPt>
            <c:idx val="5"/>
            <c:invertIfNegative val="0"/>
            <c:bubble3D val="0"/>
            <c:extLst>
              <c:ext xmlns:c16="http://schemas.microsoft.com/office/drawing/2014/chart" uri="{C3380CC4-5D6E-409C-BE32-E72D297353CC}">
                <c16:uniqueId val="{00000003-127C-436A-93F7-B1D18A969DE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DIS_disclosure_national!$F$30:$K$30</c:f>
              <c:strCache>
                <c:ptCount val="6"/>
                <c:pt idx="0">
                  <c:v>Family</c:v>
                </c:pt>
                <c:pt idx="1">
                  <c:v>Friends</c:v>
                </c:pt>
                <c:pt idx="2">
                  <c:v>Co-workers</c:v>
                </c:pt>
                <c:pt idx="3">
                  <c:v>Classmates</c:v>
                </c:pt>
                <c:pt idx="4">
                  <c:v>Teachers</c:v>
                </c:pt>
                <c:pt idx="5">
                  <c:v>Sports teammates</c:v>
                </c:pt>
              </c:strCache>
            </c:strRef>
          </c:cat>
          <c:val>
            <c:numRef>
              <c:f>DIS_disclosure_national!$F$31:$K$31</c:f>
              <c:numCache>
                <c:formatCode>General</c:formatCode>
                <c:ptCount val="6"/>
                <c:pt idx="0">
                  <c:v>20.6</c:v>
                </c:pt>
                <c:pt idx="1">
                  <c:v>3.2</c:v>
                </c:pt>
                <c:pt idx="2">
                  <c:v>52.1</c:v>
                </c:pt>
                <c:pt idx="3">
                  <c:v>27.3</c:v>
                </c:pt>
                <c:pt idx="4">
                  <c:v>56.8</c:v>
                </c:pt>
                <c:pt idx="5">
                  <c:v>68.3</c:v>
                </c:pt>
              </c:numCache>
            </c:numRef>
          </c:val>
          <c:extLst>
            <c:ext xmlns:c16="http://schemas.microsoft.com/office/drawing/2014/chart" uri="{C3380CC4-5D6E-409C-BE32-E72D297353CC}">
              <c16:uniqueId val="{00000004-127C-436A-93F7-B1D18A969DE4}"/>
            </c:ext>
          </c:extLst>
        </c:ser>
        <c:ser>
          <c:idx val="1"/>
          <c:order val="1"/>
          <c:tx>
            <c:strRef>
              <c:f>DIS_disclosure_national!$E$32</c:f>
              <c:strCache>
                <c:ptCount val="1"/>
                <c:pt idx="0">
                  <c:v>A few of them or some of them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DIS_disclosure_national!$F$30:$K$30</c:f>
              <c:strCache>
                <c:ptCount val="6"/>
                <c:pt idx="0">
                  <c:v>Family</c:v>
                </c:pt>
                <c:pt idx="1">
                  <c:v>Friends</c:v>
                </c:pt>
                <c:pt idx="2">
                  <c:v>Co-workers</c:v>
                </c:pt>
                <c:pt idx="3">
                  <c:v>Classmates</c:v>
                </c:pt>
                <c:pt idx="4">
                  <c:v>Teachers</c:v>
                </c:pt>
                <c:pt idx="5">
                  <c:v>Sports teammates</c:v>
                </c:pt>
              </c:strCache>
            </c:strRef>
          </c:cat>
          <c:val>
            <c:numRef>
              <c:f>DIS_disclosure_national!$F$32:$K$32</c:f>
              <c:numCache>
                <c:formatCode>General</c:formatCode>
                <c:ptCount val="6"/>
                <c:pt idx="0">
                  <c:v>48.2</c:v>
                </c:pt>
                <c:pt idx="1">
                  <c:v>26.2</c:v>
                </c:pt>
                <c:pt idx="2">
                  <c:v>31.4</c:v>
                </c:pt>
                <c:pt idx="3">
                  <c:v>48.3</c:v>
                </c:pt>
                <c:pt idx="4">
                  <c:v>28.8</c:v>
                </c:pt>
                <c:pt idx="5">
                  <c:v>20.100000000000001</c:v>
                </c:pt>
              </c:numCache>
            </c:numRef>
          </c:val>
          <c:extLst>
            <c:ext xmlns:c16="http://schemas.microsoft.com/office/drawing/2014/chart" uri="{C3380CC4-5D6E-409C-BE32-E72D297353CC}">
              <c16:uniqueId val="{00000005-127C-436A-93F7-B1D18A969DE4}"/>
            </c:ext>
          </c:extLst>
        </c:ser>
        <c:ser>
          <c:idx val="2"/>
          <c:order val="2"/>
          <c:tx>
            <c:strRef>
              <c:f>DIS_disclosure_national!$E$33</c:f>
              <c:strCache>
                <c:ptCount val="1"/>
                <c:pt idx="0">
                  <c:v>Most of them or all of them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DIS_disclosure_national!$F$30:$K$30</c:f>
              <c:strCache>
                <c:ptCount val="6"/>
                <c:pt idx="0">
                  <c:v>Family</c:v>
                </c:pt>
                <c:pt idx="1">
                  <c:v>Friends</c:v>
                </c:pt>
                <c:pt idx="2">
                  <c:v>Co-workers</c:v>
                </c:pt>
                <c:pt idx="3">
                  <c:v>Classmates</c:v>
                </c:pt>
                <c:pt idx="4">
                  <c:v>Teachers</c:v>
                </c:pt>
                <c:pt idx="5">
                  <c:v>Sports teammates</c:v>
                </c:pt>
              </c:strCache>
            </c:strRef>
          </c:cat>
          <c:val>
            <c:numRef>
              <c:f>DIS_disclosure_national!$F$33:$K$33</c:f>
              <c:numCache>
                <c:formatCode>General</c:formatCode>
                <c:ptCount val="6"/>
                <c:pt idx="0">
                  <c:v>31.1</c:v>
                </c:pt>
                <c:pt idx="1">
                  <c:v>70.7</c:v>
                </c:pt>
                <c:pt idx="2">
                  <c:v>16.600000000000001</c:v>
                </c:pt>
                <c:pt idx="3">
                  <c:v>24.4</c:v>
                </c:pt>
                <c:pt idx="4">
                  <c:v>14.4</c:v>
                </c:pt>
                <c:pt idx="5">
                  <c:v>11.6</c:v>
                </c:pt>
              </c:numCache>
            </c:numRef>
          </c:val>
          <c:extLst>
            <c:ext xmlns:c16="http://schemas.microsoft.com/office/drawing/2014/chart" uri="{C3380CC4-5D6E-409C-BE32-E72D297353CC}">
              <c16:uniqueId val="{00000006-127C-436A-93F7-B1D18A969DE4}"/>
            </c:ext>
          </c:extLst>
        </c:ser>
        <c:dLbls>
          <c:showLegendKey val="0"/>
          <c:showVal val="0"/>
          <c:showCatName val="0"/>
          <c:showSerName val="0"/>
          <c:showPercent val="0"/>
          <c:showBubbleSize val="0"/>
        </c:dLbls>
        <c:gapWidth val="100"/>
        <c:overlap val="-24"/>
        <c:axId val="861491808"/>
        <c:axId val="861492200"/>
      </c:barChart>
      <c:catAx>
        <c:axId val="861491808"/>
        <c:scaling>
          <c:orientation val="minMax"/>
        </c:scaling>
        <c:delete val="0"/>
        <c:axPos val="b"/>
        <c:numFmt formatCode="General" sourceLinked="1"/>
        <c:majorTickMark val="out"/>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861492200"/>
        <c:crosses val="autoZero"/>
        <c:auto val="1"/>
        <c:lblAlgn val="ctr"/>
        <c:lblOffset val="100"/>
        <c:noMultiLvlLbl val="0"/>
      </c:catAx>
      <c:valAx>
        <c:axId val="8614922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r>
                  <a:rPr lang="en-GB"/>
                  <a:t>Participants (%)</a:t>
                </a:r>
              </a:p>
            </c:rich>
          </c:tx>
          <c:layout>
            <c:manualLayout>
              <c:xMode val="edge"/>
              <c:yMode val="edge"/>
              <c:x val="8.2235282882914176E-3"/>
              <c:y val="0.339995740438364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86149180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
    <c:plotVisOnly val="1"/>
    <c:dispBlanksAs val="gap"/>
    <c:showDLblsOverMax val="0"/>
    <c:extLst/>
  </c:chart>
  <c:spPr>
    <a:noFill/>
    <a:ln w="9525" cap="flat" cmpd="sng" algn="ctr">
      <a:noFill/>
      <a:round/>
    </a:ln>
    <a:effectLst/>
  </c:spPr>
  <c:txPr>
    <a:bodyPr/>
    <a:lstStyle/>
    <a:p>
      <a:pPr>
        <a:defRPr sz="1000">
          <a:solidFill>
            <a:schemeClr val="tx1"/>
          </a:solidFill>
          <a:latin typeface="Roboto" panose="02000000000000000000" pitchFamily="2" charset="0"/>
          <a:ea typeface="Roboto" panose="02000000000000000000" pitchFamily="2"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DIS_Harassment_national!$F$3</c:f>
              <c:strCache>
                <c:ptCount val="1"/>
                <c:pt idx="0">
                  <c:v>Past 12 months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2"/>
            <c:invertIfNegative val="0"/>
            <c:bubble3D val="0"/>
            <c:spPr>
              <a:solidFill>
                <a:srgbClr val="7030A0"/>
              </a:solidFill>
              <a:ln>
                <a:noFill/>
              </a:ln>
              <a:effectLst/>
            </c:spPr>
            <c:extLst>
              <c:ext xmlns:c16="http://schemas.microsoft.com/office/drawing/2014/chart" uri="{C3380CC4-5D6E-409C-BE32-E72D297353CC}">
                <c16:uniqueId val="{00000001-7779-4185-9E1A-14B98504641C}"/>
              </c:ext>
            </c:extLst>
          </c:dPt>
          <c:dPt>
            <c:idx val="3"/>
            <c:invertIfNegative val="0"/>
            <c:bubble3D val="0"/>
            <c:spPr>
              <a:solidFill>
                <a:srgbClr val="ED7D31"/>
              </a:solidFill>
              <a:ln>
                <a:noFill/>
              </a:ln>
              <a:effectLst/>
            </c:spPr>
            <c:extLst>
              <c:ext xmlns:c16="http://schemas.microsoft.com/office/drawing/2014/chart" uri="{C3380CC4-5D6E-409C-BE32-E72D297353CC}">
                <c16:uniqueId val="{00000003-7779-4185-9E1A-14B98504641C}"/>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5-7779-4185-9E1A-14B98504641C}"/>
              </c:ext>
            </c:extLst>
          </c:dPt>
          <c:dPt>
            <c:idx val="5"/>
            <c:invertIfNegative val="0"/>
            <c:bubble3D val="0"/>
            <c:spPr>
              <a:solidFill>
                <a:schemeClr val="accent3"/>
              </a:solidFill>
              <a:ln>
                <a:noFill/>
              </a:ln>
              <a:effectLst/>
            </c:spPr>
            <c:extLst>
              <c:ext xmlns:c16="http://schemas.microsoft.com/office/drawing/2014/chart" uri="{C3380CC4-5D6E-409C-BE32-E72D297353CC}">
                <c16:uniqueId val="{00000007-7779-4185-9E1A-14B9850464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DIS_Harassment_national!$E$4:$E$6</c:f>
              <c:strCache>
                <c:ptCount val="3"/>
                <c:pt idx="0">
                  <c:v>Verbal</c:v>
                </c:pt>
                <c:pt idx="1">
                  <c:v>Physical</c:v>
                </c:pt>
                <c:pt idx="2">
                  <c:v>Sexual</c:v>
                </c:pt>
              </c:strCache>
            </c:strRef>
          </c:cat>
          <c:val>
            <c:numRef>
              <c:f>DIS_Harassment_national!$F$4:$F$6</c:f>
              <c:numCache>
                <c:formatCode>0.0</c:formatCode>
                <c:ptCount val="3"/>
                <c:pt idx="0">
                  <c:v>48.4</c:v>
                </c:pt>
                <c:pt idx="1">
                  <c:v>12.4</c:v>
                </c:pt>
                <c:pt idx="2">
                  <c:v>29.7</c:v>
                </c:pt>
              </c:numCache>
            </c:numRef>
          </c:val>
          <c:extLst>
            <c:ext xmlns:c16="http://schemas.microsoft.com/office/drawing/2014/chart" uri="{C3380CC4-5D6E-409C-BE32-E72D297353CC}">
              <c16:uniqueId val="{00000008-7779-4185-9E1A-14B98504641C}"/>
            </c:ext>
          </c:extLst>
        </c:ser>
        <c:ser>
          <c:idx val="1"/>
          <c:order val="1"/>
          <c:tx>
            <c:strRef>
              <c:f>DIS_Harassment_national!$G$3</c:f>
              <c:strCache>
                <c:ptCount val="1"/>
                <c:pt idx="0">
                  <c:v>Ever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DIS_Harassment_national!$E$4:$E$6</c:f>
              <c:strCache>
                <c:ptCount val="3"/>
                <c:pt idx="0">
                  <c:v>Verbal</c:v>
                </c:pt>
                <c:pt idx="1">
                  <c:v>Physical</c:v>
                </c:pt>
                <c:pt idx="2">
                  <c:v>Sexual</c:v>
                </c:pt>
              </c:strCache>
            </c:strRef>
          </c:cat>
          <c:val>
            <c:numRef>
              <c:f>DIS_Harassment_national!$G$4:$G$6</c:f>
              <c:numCache>
                <c:formatCode>0.0</c:formatCode>
                <c:ptCount val="3"/>
                <c:pt idx="0">
                  <c:v>66.3</c:v>
                </c:pt>
                <c:pt idx="1">
                  <c:v>20</c:v>
                </c:pt>
                <c:pt idx="2">
                  <c:v>39.299999999999997</c:v>
                </c:pt>
              </c:numCache>
            </c:numRef>
          </c:val>
          <c:extLst>
            <c:ext xmlns:c16="http://schemas.microsoft.com/office/drawing/2014/chart" uri="{C3380CC4-5D6E-409C-BE32-E72D297353CC}">
              <c16:uniqueId val="{00000009-7779-4185-9E1A-14B98504641C}"/>
            </c:ext>
          </c:extLst>
        </c:ser>
        <c:dLbls>
          <c:showLegendKey val="0"/>
          <c:showVal val="0"/>
          <c:showCatName val="0"/>
          <c:showSerName val="0"/>
          <c:showPercent val="0"/>
          <c:showBubbleSize val="0"/>
        </c:dLbls>
        <c:gapWidth val="100"/>
        <c:overlap val="-24"/>
        <c:axId val="424196800"/>
        <c:axId val="419924432"/>
      </c:barChart>
      <c:catAx>
        <c:axId val="424196800"/>
        <c:scaling>
          <c:orientation val="minMax"/>
        </c:scaling>
        <c:delete val="0"/>
        <c:axPos val="b"/>
        <c:numFmt formatCode="General" sourceLinked="1"/>
        <c:majorTickMark val="out"/>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419924432"/>
        <c:crosses val="autoZero"/>
        <c:auto val="1"/>
        <c:lblAlgn val="ctr"/>
        <c:lblOffset val="100"/>
        <c:noMultiLvlLbl val="0"/>
      </c:catAx>
      <c:valAx>
        <c:axId val="4199244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r>
                  <a:rPr lang="en-GB" sz="1000"/>
                  <a:t>Participants (%)</a:t>
                </a:r>
              </a:p>
            </c:rich>
          </c:tx>
          <c:layout>
            <c:manualLayout>
              <c:xMode val="edge"/>
              <c:yMode val="edge"/>
              <c:x val="9.4132261829779577E-3"/>
              <c:y val="0.349641445310736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424196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
    <c:plotVisOnly val="1"/>
    <c:dispBlanksAs val="gap"/>
    <c:showDLblsOverMax val="0"/>
    <c:extLst/>
  </c:chart>
  <c:spPr>
    <a:noFill/>
    <a:ln w="9525" cap="flat" cmpd="sng" algn="ctr">
      <a:noFill/>
      <a:round/>
    </a:ln>
    <a:effectLst/>
  </c:spPr>
  <c:txPr>
    <a:bodyPr/>
    <a:lstStyle/>
    <a:p>
      <a:pPr>
        <a:defRPr>
          <a:solidFill>
            <a:schemeClr val="tx1"/>
          </a:solidFill>
          <a:latin typeface="Roboto" panose="02000000000000000000" pitchFamily="2" charset="0"/>
          <a:ea typeface="Roboto" panose="02000000000000000000" pitchFamily="2"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Sheet1!$C$3</c:f>
              <c:strCache>
                <c:ptCount val="1"/>
                <c:pt idx="0">
                  <c:v>Violence from an intimate partner</c:v>
                </c:pt>
              </c:strCache>
            </c:strRef>
          </c:tx>
          <c:spPr>
            <a:solidFill>
              <a:srgbClr val="7030A0"/>
            </a:solidFill>
            <a:ln>
              <a:noFill/>
            </a:ln>
            <a:effectLst/>
          </c:spPr>
          <c:invertIfNegative val="0"/>
          <c:dPt>
            <c:idx val="0"/>
            <c:invertIfNegative val="0"/>
            <c:bubble3D val="0"/>
            <c:extLst>
              <c:ext xmlns:c16="http://schemas.microsoft.com/office/drawing/2014/chart" uri="{C3380CC4-5D6E-409C-BE32-E72D297353CC}">
                <c16:uniqueId val="{00000000-2C7C-4A46-86C7-7A8FCA5504DF}"/>
              </c:ext>
            </c:extLst>
          </c:dPt>
          <c:dPt>
            <c:idx val="1"/>
            <c:invertIfNegative val="0"/>
            <c:bubble3D val="0"/>
            <c:extLst>
              <c:ext xmlns:c16="http://schemas.microsoft.com/office/drawing/2014/chart" uri="{C3380CC4-5D6E-409C-BE32-E72D297353CC}">
                <c16:uniqueId val="{00000001-2C7C-4A46-86C7-7A8FCA5504DF}"/>
              </c:ext>
            </c:extLst>
          </c:dPt>
          <c:dPt>
            <c:idx val="2"/>
            <c:invertIfNegative val="0"/>
            <c:bubble3D val="0"/>
            <c:extLst>
              <c:ext xmlns:c16="http://schemas.microsoft.com/office/drawing/2014/chart" uri="{C3380CC4-5D6E-409C-BE32-E72D297353CC}">
                <c16:uniqueId val="{00000002-2C7C-4A46-86C7-7A8FCA5504DF}"/>
              </c:ext>
            </c:extLst>
          </c:dPt>
          <c:dPt>
            <c:idx val="3"/>
            <c:invertIfNegative val="0"/>
            <c:bubble3D val="0"/>
            <c:extLst>
              <c:ext xmlns:c16="http://schemas.microsoft.com/office/drawing/2014/chart" uri="{C3380CC4-5D6E-409C-BE32-E72D297353CC}">
                <c16:uniqueId val="{00000003-2C7C-4A46-86C7-7A8FCA5504DF}"/>
              </c:ext>
            </c:extLst>
          </c:dPt>
          <c:dPt>
            <c:idx val="4"/>
            <c:invertIfNegative val="0"/>
            <c:bubble3D val="0"/>
            <c:extLst>
              <c:ext xmlns:c16="http://schemas.microsoft.com/office/drawing/2014/chart" uri="{C3380CC4-5D6E-409C-BE32-E72D297353CC}">
                <c16:uniqueId val="{00000004-2C7C-4A46-86C7-7A8FCA5504DF}"/>
              </c:ext>
            </c:extLst>
          </c:dPt>
          <c:dLbls>
            <c:dLbl>
              <c:idx val="0"/>
              <c:tx>
                <c:rich>
                  <a:bodyPr/>
                  <a:lstStyle/>
                  <a:p>
                    <a:fld id="{6E7D12B7-2027-BE4C-940F-746B37DE2B0C}" type="VALUE">
                      <a:rPr lang="en-US"/>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7C-4A46-86C7-7A8FCA5504D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Sheet1!$B$4:$B$14</c:f>
              <c:strCache>
                <c:ptCount val="11"/>
                <c:pt idx="0">
                  <c:v>Physical</c:v>
                </c:pt>
                <c:pt idx="1">
                  <c:v>Verbal</c:v>
                </c:pt>
                <c:pt idx="2">
                  <c:v>Sexual</c:v>
                </c:pt>
                <c:pt idx="3">
                  <c:v>Financial</c:v>
                </c:pt>
                <c:pt idx="4">
                  <c:v>Emotional</c:v>
                </c:pt>
                <c:pt idx="5">
                  <c:v>Harassment or stalking</c:v>
                </c:pt>
                <c:pt idx="6">
                  <c:v>Property damage</c:v>
                </c:pt>
                <c:pt idx="7">
                  <c:v>Social isolation</c:v>
                </c:pt>
                <c:pt idx="8">
                  <c:v>Threats of self-harm or suicide</c:v>
                </c:pt>
                <c:pt idx="9">
                  <c:v>LGBTIQ-related abuse</c:v>
                </c:pt>
                <c:pt idx="10">
                  <c:v>Other</c:v>
                </c:pt>
              </c:strCache>
            </c:strRef>
          </c:cat>
          <c:val>
            <c:numRef>
              <c:f>Sheet1!$C$4:$C$14</c:f>
              <c:numCache>
                <c:formatCode>0.0</c:formatCode>
                <c:ptCount val="11"/>
                <c:pt idx="0">
                  <c:v>30.6</c:v>
                </c:pt>
                <c:pt idx="1">
                  <c:v>52.3</c:v>
                </c:pt>
                <c:pt idx="2">
                  <c:v>32</c:v>
                </c:pt>
                <c:pt idx="3">
                  <c:v>21.5</c:v>
                </c:pt>
                <c:pt idx="4">
                  <c:v>59.5</c:v>
                </c:pt>
                <c:pt idx="5">
                  <c:v>23.1</c:v>
                </c:pt>
                <c:pt idx="6">
                  <c:v>13.3</c:v>
                </c:pt>
                <c:pt idx="7">
                  <c:v>35.9</c:v>
                </c:pt>
                <c:pt idx="8">
                  <c:v>31.5</c:v>
                </c:pt>
                <c:pt idx="9">
                  <c:v>14.5</c:v>
                </c:pt>
                <c:pt idx="10">
                  <c:v>1.6</c:v>
                </c:pt>
              </c:numCache>
            </c:numRef>
          </c:val>
          <c:extLst>
            <c:ext xmlns:c16="http://schemas.microsoft.com/office/drawing/2014/chart" uri="{C3380CC4-5D6E-409C-BE32-E72D297353CC}">
              <c16:uniqueId val="{00000005-2C7C-4A46-86C7-7A8FCA5504DF}"/>
            </c:ext>
          </c:extLst>
        </c:ser>
        <c:ser>
          <c:idx val="1"/>
          <c:order val="1"/>
          <c:tx>
            <c:strRef>
              <c:f>Sheet1!$D$3</c:f>
              <c:strCache>
                <c:ptCount val="1"/>
                <c:pt idx="0">
                  <c:v>Violence from a family member</c:v>
                </c:pt>
              </c:strCache>
            </c:strRef>
          </c:tx>
          <c:spPr>
            <a:solidFill>
              <a:srgbClr val="00B0F0"/>
            </a:solidFill>
            <a:ln>
              <a:noFill/>
            </a:ln>
            <a:effectLst/>
          </c:spPr>
          <c:invertIfNegative val="0"/>
          <c:dLbls>
            <c:dLbl>
              <c:idx val="1"/>
              <c:layout>
                <c:manualLayout>
                  <c:x val="-3.8792047286391855E-17"/>
                  <c:y val="-1.98052483908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7C-4A46-86C7-7A8FCA5504DF}"/>
                </c:ext>
              </c:extLst>
            </c:dLbl>
            <c:dLbl>
              <c:idx val="4"/>
              <c:tx>
                <c:rich>
                  <a:bodyPr/>
                  <a:lstStyle/>
                  <a:p>
                    <a:r>
                      <a:rPr lang="en-US"/>
                      <a:t> </a:t>
                    </a:r>
                    <a:fld id="{F36BB432-FF2B-584B-92BF-2C964DFDA301}"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C7C-4A46-86C7-7A8FCA5504DF}"/>
                </c:ext>
              </c:extLst>
            </c:dLbl>
            <c:dLbl>
              <c:idx val="6"/>
              <c:layout>
                <c:manualLayout>
                  <c:x val="0"/>
                  <c:y val="-5.2813995708862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7C-4A46-86C7-7A8FCA5504DF}"/>
                </c:ext>
              </c:extLst>
            </c:dLbl>
            <c:dLbl>
              <c:idx val="7"/>
              <c:tx>
                <c:rich>
                  <a:bodyPr/>
                  <a:lstStyle/>
                  <a:p>
                    <a:r>
                      <a:rPr lang="en-US"/>
                      <a:t> </a:t>
                    </a:r>
                    <a:fld id="{D0B537D6-E7B6-8049-88D1-C90359CB1B4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C7C-4A46-86C7-7A8FCA5504D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Sheet1!$B$4:$B$14</c:f>
              <c:strCache>
                <c:ptCount val="11"/>
                <c:pt idx="0">
                  <c:v>Physical</c:v>
                </c:pt>
                <c:pt idx="1">
                  <c:v>Verbal</c:v>
                </c:pt>
                <c:pt idx="2">
                  <c:v>Sexual</c:v>
                </c:pt>
                <c:pt idx="3">
                  <c:v>Financial</c:v>
                </c:pt>
                <c:pt idx="4">
                  <c:v>Emotional</c:v>
                </c:pt>
                <c:pt idx="5">
                  <c:v>Harassment or stalking</c:v>
                </c:pt>
                <c:pt idx="6">
                  <c:v>Property damage</c:v>
                </c:pt>
                <c:pt idx="7">
                  <c:v>Social isolation</c:v>
                </c:pt>
                <c:pt idx="8">
                  <c:v>Threats of self-harm or suicide</c:v>
                </c:pt>
                <c:pt idx="9">
                  <c:v>LGBTIQ-related abuse</c:v>
                </c:pt>
                <c:pt idx="10">
                  <c:v>Other</c:v>
                </c:pt>
              </c:strCache>
            </c:strRef>
          </c:cat>
          <c:val>
            <c:numRef>
              <c:f>Sheet1!$D$4:$D$14</c:f>
              <c:numCache>
                <c:formatCode>0.0</c:formatCode>
                <c:ptCount val="11"/>
                <c:pt idx="0">
                  <c:v>35</c:v>
                </c:pt>
                <c:pt idx="1">
                  <c:v>54.8</c:v>
                </c:pt>
                <c:pt idx="2">
                  <c:v>14.8</c:v>
                </c:pt>
                <c:pt idx="3">
                  <c:v>15.1</c:v>
                </c:pt>
                <c:pt idx="4">
                  <c:v>54</c:v>
                </c:pt>
                <c:pt idx="5">
                  <c:v>11.8</c:v>
                </c:pt>
                <c:pt idx="6">
                  <c:v>12.8</c:v>
                </c:pt>
                <c:pt idx="7">
                  <c:v>25.9</c:v>
                </c:pt>
                <c:pt idx="8">
                  <c:v>11.4</c:v>
                </c:pt>
                <c:pt idx="9">
                  <c:v>50.7</c:v>
                </c:pt>
                <c:pt idx="10">
                  <c:v>2.2999999999999998</c:v>
                </c:pt>
              </c:numCache>
            </c:numRef>
          </c:val>
          <c:extLst>
            <c:ext xmlns:c16="http://schemas.microsoft.com/office/drawing/2014/chart" uri="{C3380CC4-5D6E-409C-BE32-E72D297353CC}">
              <c16:uniqueId val="{0000000A-2C7C-4A46-86C7-7A8FCA5504DF}"/>
            </c:ext>
          </c:extLst>
        </c:ser>
        <c:dLbls>
          <c:showLegendKey val="0"/>
          <c:showVal val="0"/>
          <c:showCatName val="0"/>
          <c:showSerName val="0"/>
          <c:showPercent val="0"/>
          <c:showBubbleSize val="0"/>
        </c:dLbls>
        <c:gapWidth val="100"/>
        <c:overlap val="-24"/>
        <c:axId val="423042120"/>
        <c:axId val="423040944"/>
      </c:barChart>
      <c:catAx>
        <c:axId val="423042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423040944"/>
        <c:crosses val="autoZero"/>
        <c:auto val="1"/>
        <c:lblAlgn val="ctr"/>
        <c:lblOffset val="100"/>
        <c:noMultiLvlLbl val="0"/>
      </c:catAx>
      <c:valAx>
        <c:axId val="42304094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r>
                  <a:rPr lang="en-GB" sz="1000">
                    <a:solidFill>
                      <a:schemeClr val="tx1"/>
                    </a:solidFill>
                  </a:rPr>
                  <a:t>Participants (%)</a:t>
                </a:r>
              </a:p>
            </c:rich>
          </c:tx>
          <c:layout>
            <c:manualLayout>
              <c:xMode val="edge"/>
              <c:yMode val="edge"/>
              <c:x val="8.9986653657517825E-3"/>
              <c:y val="0.256849773887255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crossAx val="423042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Roboto" panose="02000000000000000000" pitchFamily="2" charset="0"/>
              <a:ea typeface="Roboto" panose="02000000000000000000" pitchFamily="2" charset="0"/>
              <a:cs typeface="+mn-cs"/>
            </a:defRPr>
          </a:pPr>
          <a:endParaRPr lang="en-US"/>
        </a:p>
      </c:txPr>
    </c:legend>
    <c:plotVisOnly val="1"/>
    <c:dispBlanksAs val="gap"/>
    <c:showDLblsOverMax val="0"/>
    <c:extLst/>
  </c:chart>
  <c:spPr>
    <a:noFill/>
    <a:ln w="9525" cap="flat" cmpd="sng" algn="ctr">
      <a:noFill/>
      <a:round/>
    </a:ln>
    <a:effectLst/>
  </c:spPr>
  <c:txPr>
    <a:bodyPr/>
    <a:lstStyle/>
    <a:p>
      <a:pPr>
        <a:defRPr>
          <a:latin typeface="Roboto" panose="02000000000000000000" pitchFamily="2" charset="0"/>
          <a:ea typeface="Roboto" panose="02000000000000000000"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TIM Interim Colours">
    <a:dk1>
      <a:srgbClr val="000000"/>
    </a:dk1>
    <a:lt1>
      <a:sysClr val="window" lastClr="FFFFFF"/>
    </a:lt1>
    <a:dk2>
      <a:srgbClr val="000000"/>
    </a:dk2>
    <a:lt2>
      <a:srgbClr val="FFFFFF"/>
    </a:lt2>
    <a:accent1>
      <a:srgbClr val="7030A0"/>
    </a:accent1>
    <a:accent2>
      <a:srgbClr val="00B0F0"/>
    </a:accent2>
    <a:accent3>
      <a:srgbClr val="BCDDDC"/>
    </a:accent3>
    <a:accent4>
      <a:srgbClr val="E88429"/>
    </a:accent4>
    <a:accent5>
      <a:srgbClr val="DC2F30"/>
    </a:accent5>
    <a:accent6>
      <a:srgbClr val="7F7F7F"/>
    </a:accent6>
    <a:hlink>
      <a:srgbClr val="EE3124"/>
    </a:hlink>
    <a:folHlink>
      <a:srgbClr val="EE3124"/>
    </a:folHlink>
  </a:clrScheme>
  <a:fontScheme name="LTU 2017">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TIM Interim Colours">
    <a:dk1>
      <a:srgbClr val="000000"/>
    </a:dk1>
    <a:lt1>
      <a:sysClr val="window" lastClr="FFFFFF"/>
    </a:lt1>
    <a:dk2>
      <a:srgbClr val="000000"/>
    </a:dk2>
    <a:lt2>
      <a:srgbClr val="FFFFFF"/>
    </a:lt2>
    <a:accent1>
      <a:srgbClr val="7030A0"/>
    </a:accent1>
    <a:accent2>
      <a:srgbClr val="00B0F0"/>
    </a:accent2>
    <a:accent3>
      <a:srgbClr val="BCDDDC"/>
    </a:accent3>
    <a:accent4>
      <a:srgbClr val="E88429"/>
    </a:accent4>
    <a:accent5>
      <a:srgbClr val="DC2F30"/>
    </a:accent5>
    <a:accent6>
      <a:srgbClr val="7F7F7F"/>
    </a:accent6>
    <a:hlink>
      <a:srgbClr val="EE3124"/>
    </a:hlink>
    <a:folHlink>
      <a:srgbClr val="EE3124"/>
    </a:folHlink>
  </a:clrScheme>
  <a:fontScheme name="LTU 2017">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EE64F59FEF5945850C9BCED5F408EA" ma:contentTypeVersion="1" ma:contentTypeDescription="Create a new document." ma:contentTypeScope="" ma:versionID="1a8257df57204a5ea969e75fa9e5e2c5">
  <xsd:schema xmlns:xsd="http://www.w3.org/2001/XMLSchema" xmlns:xs="http://www.w3.org/2001/XMLSchema" xmlns:p="http://schemas.microsoft.com/office/2006/metadata/properties" xmlns:ns2="15bb3937-dff1-4f30-b7ca-70708c8f35cc" targetNamespace="http://schemas.microsoft.com/office/2006/metadata/properties" ma:root="true" ma:fieldsID="43389539a4203bafad8cd6ae9b0886d9" ns2:_="">
    <xsd:import namespace="15bb3937-dff1-4f30-b7ca-70708c8f35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b3937-dff1-4f30-b7ca-70708c8f3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2.xml><?xml version="1.0" encoding="utf-8"?>
<ds:datastoreItem xmlns:ds="http://schemas.openxmlformats.org/officeDocument/2006/customXml" ds:itemID="{CDD96B20-E25B-4A92-99D8-434553C85E38}">
  <ds:schemaRefs>
    <ds:schemaRef ds:uri="http://schemas.openxmlformats.org/officeDocument/2006/bibliography"/>
  </ds:schemaRefs>
</ds:datastoreItem>
</file>

<file path=customXml/itemProps3.xml><?xml version="1.0" encoding="utf-8"?>
<ds:datastoreItem xmlns:ds="http://schemas.openxmlformats.org/officeDocument/2006/customXml" ds:itemID="{FD95AF6B-BA97-466B-A6C2-F9C906498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622F2-DA78-4E20-82DE-08CF85CA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b3937-dff1-4f30-b7ca-70708c8f3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273</Pages>
  <Words>106698</Words>
  <Characters>608179</Characters>
  <Application>Microsoft Office Word</Application>
  <DocSecurity>0</DocSecurity>
  <Lines>5068</Lines>
  <Paragraphs>1426</Paragraphs>
  <ScaleCrop>false</ScaleCrop>
  <HeadingPairs>
    <vt:vector size="2" baseType="variant">
      <vt:variant>
        <vt:lpstr>Title</vt:lpstr>
      </vt:variant>
      <vt:variant>
        <vt:i4>1</vt:i4>
      </vt:variant>
    </vt:vector>
  </HeadingPairs>
  <TitlesOfParts>
    <vt:vector size="1" baseType="lpstr">
      <vt:lpstr>DRC Report template</vt:lpstr>
    </vt:vector>
  </TitlesOfParts>
  <Company>Attorney-General's Department</Company>
  <LinksUpToDate>false</LinksUpToDate>
  <CharactersWithSpaces>713451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Report template</dc:title>
  <dc:subject/>
  <dc:creator>Disability Royal Commission</dc:creator>
  <cp:keywords/>
  <dc:description/>
  <cp:lastModifiedBy>Nicole Eckersley</cp:lastModifiedBy>
  <cp:revision>2</cp:revision>
  <dcterms:created xsi:type="dcterms:W3CDTF">2022-11-24T03:18:00Z</dcterms:created>
  <dcterms:modified xsi:type="dcterms:W3CDTF">2022-11-24T03:18:00Z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0x010100C1EE64F59FEF5945850C9BCED5F408EA</vt:lpwstr>
  </property>
</Properties>
</file>