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8103" w14:textId="7FD2CE58" w:rsidR="009977BA" w:rsidRPr="009977BA" w:rsidRDefault="009977BA" w:rsidP="003861B4">
      <w:pPr>
        <w:spacing w:after="0" w:line="480" w:lineRule="auto"/>
        <w:rPr>
          <w:b/>
          <w:bCs/>
        </w:rPr>
      </w:pPr>
      <w:r w:rsidRPr="009977BA">
        <w:rPr>
          <w:rFonts w:eastAsia="Garamond"/>
          <w:sz w:val="24"/>
          <w:szCs w:val="24"/>
        </w:rPr>
        <w:t xml:space="preserve">Fraser, S., Moore, D., Waling, A. &amp; Farrugia, A. (2021). Making epistemic citizens: Young people and the search for reliable and credible sexual health information. </w:t>
      </w:r>
      <w:r w:rsidRPr="009977BA">
        <w:rPr>
          <w:rFonts w:eastAsia="Garamond"/>
          <w:i/>
          <w:iCs/>
          <w:sz w:val="24"/>
          <w:szCs w:val="24"/>
        </w:rPr>
        <w:t>Social Science and Medicine</w:t>
      </w:r>
      <w:r w:rsidRPr="009977BA">
        <w:rPr>
          <w:rFonts w:eastAsia="Garamond"/>
          <w:sz w:val="24"/>
          <w:szCs w:val="24"/>
        </w:rPr>
        <w:t>, 276, 113817</w:t>
      </w:r>
      <w:r w:rsidRPr="009977BA">
        <w:rPr>
          <w:rFonts w:eastAsia="Times New Roman"/>
          <w:color w:val="000000"/>
          <w:sz w:val="24"/>
          <w:szCs w:val="24"/>
        </w:rPr>
        <w:t>.</w:t>
      </w:r>
    </w:p>
    <w:p w14:paraId="07EF3BB9" w14:textId="77777777" w:rsidR="009977BA" w:rsidRDefault="009977BA" w:rsidP="003861B4">
      <w:pPr>
        <w:spacing w:after="0" w:line="480" w:lineRule="auto"/>
        <w:rPr>
          <w:b/>
          <w:bCs/>
        </w:rPr>
      </w:pPr>
    </w:p>
    <w:p w14:paraId="0635879F" w14:textId="7F7007FC" w:rsidR="006945F8" w:rsidRPr="00487819" w:rsidRDefault="006945F8" w:rsidP="003861B4">
      <w:pPr>
        <w:spacing w:after="0" w:line="480" w:lineRule="auto"/>
        <w:rPr>
          <w:b/>
          <w:bCs/>
        </w:rPr>
      </w:pPr>
      <w:r w:rsidRPr="00487819">
        <w:rPr>
          <w:b/>
          <w:bCs/>
        </w:rPr>
        <w:t xml:space="preserve">Making epistemic citizens: Young people and the search for reliable and </w:t>
      </w:r>
      <w:r w:rsidR="0022287E">
        <w:rPr>
          <w:b/>
          <w:bCs/>
        </w:rPr>
        <w:t xml:space="preserve">credible </w:t>
      </w:r>
      <w:r w:rsidRPr="00487819">
        <w:rPr>
          <w:b/>
          <w:bCs/>
        </w:rPr>
        <w:t>sexual health information</w:t>
      </w:r>
    </w:p>
    <w:p w14:paraId="00EBE1C7" w14:textId="60E3B40A" w:rsidR="006945F8" w:rsidRPr="00D73205" w:rsidRDefault="006945F8" w:rsidP="003861B4">
      <w:pPr>
        <w:spacing w:after="0" w:line="480" w:lineRule="auto"/>
      </w:pPr>
    </w:p>
    <w:p w14:paraId="1A7EDB12" w14:textId="0215F727" w:rsidR="00503A48" w:rsidRPr="00487819" w:rsidRDefault="00487819" w:rsidP="003861B4">
      <w:pPr>
        <w:spacing w:after="0" w:line="480" w:lineRule="auto"/>
        <w:rPr>
          <w:b/>
          <w:bCs/>
        </w:rPr>
      </w:pPr>
      <w:r w:rsidRPr="00487819">
        <w:rPr>
          <w:b/>
          <w:bCs/>
        </w:rPr>
        <w:t>Abstract</w:t>
      </w:r>
    </w:p>
    <w:p w14:paraId="4E918572" w14:textId="420DDCE1" w:rsidR="003F5A28" w:rsidRDefault="000A0D17" w:rsidP="003F5A28">
      <w:pPr>
        <w:spacing w:after="0" w:line="480" w:lineRule="auto"/>
      </w:pPr>
      <w:r w:rsidRPr="00D73205">
        <w:t>The 21</w:t>
      </w:r>
      <w:r w:rsidRPr="00D73205">
        <w:rPr>
          <w:vertAlign w:val="superscript"/>
        </w:rPr>
        <w:t>st</w:t>
      </w:r>
      <w:r w:rsidRPr="00D73205">
        <w:t xml:space="preserve"> century has seen the proliferation of technologies and sources of information </w:t>
      </w:r>
      <w:r w:rsidR="0022287E">
        <w:t>on</w:t>
      </w:r>
      <w:r w:rsidR="0022287E" w:rsidRPr="00D73205">
        <w:t xml:space="preserve"> </w:t>
      </w:r>
      <w:r w:rsidRPr="00D73205">
        <w:t xml:space="preserve">issues of all kinds, including sexuality. Amid debates about the role of social media and the internet in mediating sexuality, questions about </w:t>
      </w:r>
      <w:r w:rsidR="00EB61DB">
        <w:t xml:space="preserve">credible, </w:t>
      </w:r>
      <w:r w:rsidRPr="00D73205">
        <w:t xml:space="preserve">reliable </w:t>
      </w:r>
      <w:r w:rsidR="00EB61DB">
        <w:t xml:space="preserve">and objective </w:t>
      </w:r>
      <w:r w:rsidRPr="00D73205">
        <w:t>sources of information have also arisen, particularly in relation to young people</w:t>
      </w:r>
      <w:r w:rsidR="00A003CA" w:rsidRPr="00D73205">
        <w:t>’s knowledge-seeking</w:t>
      </w:r>
      <w:r w:rsidRPr="00D73205">
        <w:t xml:space="preserve">. </w:t>
      </w:r>
      <w:r w:rsidR="00A003CA" w:rsidRPr="00D73205">
        <w:t>Drawing on</w:t>
      </w:r>
      <w:r w:rsidR="00081F0A">
        <w:t xml:space="preserve"> </w:t>
      </w:r>
      <w:r w:rsidR="00A003CA" w:rsidRPr="00D73205">
        <w:t>key ideas from the theorisation of sexual citizenship, and considering them alongside</w:t>
      </w:r>
      <w:r w:rsidR="00081F0A">
        <w:t xml:space="preserve"> Foucault’s notion of the ‘episteme’ and</w:t>
      </w:r>
      <w:r w:rsidR="00A003CA" w:rsidRPr="00D73205">
        <w:t xml:space="preserve"> the work of science and technology studies scholar John Law, this article examines </w:t>
      </w:r>
      <w:r w:rsidR="0064694D">
        <w:t>a</w:t>
      </w:r>
      <w:r w:rsidR="0064694D" w:rsidRPr="00D73205">
        <w:t xml:space="preserve"> </w:t>
      </w:r>
      <w:r w:rsidR="008771BC" w:rsidRPr="00D73205">
        <w:t>‘</w:t>
      </w:r>
      <w:r w:rsidR="00A003CA" w:rsidRPr="00D73205">
        <w:t>collateral realit</w:t>
      </w:r>
      <w:r w:rsidR="0064694D">
        <w:t>y</w:t>
      </w:r>
      <w:r w:rsidR="008771BC" w:rsidRPr="00D73205">
        <w:t>’</w:t>
      </w:r>
      <w:r w:rsidR="00A003CA" w:rsidRPr="00D73205">
        <w:t xml:space="preserve"> produced by contemporary demands on young people to source, assess and act on</w:t>
      </w:r>
      <w:r w:rsidR="007F0123" w:rsidRPr="00D73205">
        <w:t xml:space="preserve"> </w:t>
      </w:r>
      <w:r w:rsidR="00A003CA" w:rsidRPr="00D73205">
        <w:t xml:space="preserve">sexual health information. Using interviews collected with </w:t>
      </w:r>
      <w:r w:rsidR="002219E9">
        <w:t>37</w:t>
      </w:r>
      <w:r w:rsidR="00A003CA" w:rsidRPr="00D73205">
        <w:t xml:space="preserve"> young people living in Australia, the analysis identifies a range of approaches to sexual health-seeking practices, key dynamics in the construction of reliability and fact, and the extent and nature of the accommodations many young people report making to navigat</w:t>
      </w:r>
      <w:r w:rsidR="007F0123" w:rsidRPr="00D73205">
        <w:t>e incomplete and unreliable information.</w:t>
      </w:r>
      <w:r w:rsidR="0022287E" w:rsidRPr="0022287E">
        <w:t xml:space="preserve"> </w:t>
      </w:r>
      <w:r w:rsidR="0022287E" w:rsidRPr="00D73205">
        <w:t xml:space="preserve">With the contemporary self increasingly framed through the ability to discern truth from falsehood, reality from fake news, these </w:t>
      </w:r>
      <w:proofErr w:type="gramStart"/>
      <w:r w:rsidR="0022287E" w:rsidRPr="00D73205">
        <w:t>demands</w:t>
      </w:r>
      <w:proofErr w:type="gramEnd"/>
      <w:r w:rsidR="0022287E" w:rsidRPr="00D73205">
        <w:t xml:space="preserve"> and choices have significant implications for qualification as the proper modern citizen. </w:t>
      </w:r>
      <w:r w:rsidR="00EB61DB">
        <w:t>A</w:t>
      </w:r>
      <w:r w:rsidR="007F0123" w:rsidRPr="00D73205">
        <w:t xml:space="preserve">ccommodating information weaknesses and gaps </w:t>
      </w:r>
      <w:r w:rsidR="0022287E">
        <w:t xml:space="preserve">in sexual health information, we argue, </w:t>
      </w:r>
      <w:r w:rsidR="007F0123" w:rsidRPr="00D73205">
        <w:t>produces</w:t>
      </w:r>
      <w:r w:rsidR="008771BC" w:rsidRPr="00D73205">
        <w:t xml:space="preserve"> what we call</w:t>
      </w:r>
      <w:r w:rsidR="007F0123" w:rsidRPr="00D73205">
        <w:t xml:space="preserve"> </w:t>
      </w:r>
      <w:r w:rsidR="00E054A5" w:rsidRPr="00D73205">
        <w:t>contemporary</w:t>
      </w:r>
      <w:r w:rsidR="007F0123" w:rsidRPr="00D73205">
        <w:t xml:space="preserve"> </w:t>
      </w:r>
      <w:r w:rsidR="0064694D">
        <w:t>‘</w:t>
      </w:r>
      <w:r w:rsidR="007F0123" w:rsidRPr="00D73205">
        <w:t>epistem</w:t>
      </w:r>
      <w:r w:rsidR="00CB59EA">
        <w:t>ic</w:t>
      </w:r>
      <w:r w:rsidR="007F0123" w:rsidRPr="00D73205">
        <w:t xml:space="preserve"> citizens</w:t>
      </w:r>
      <w:r w:rsidR="0064694D">
        <w:t>’</w:t>
      </w:r>
      <w:r w:rsidR="007F0123" w:rsidRPr="00D73205">
        <w:t>; young people explicitly aware of the limits of official knowledges about sexualities</w:t>
      </w:r>
      <w:r w:rsidR="00334BA6" w:rsidRPr="00D73205">
        <w:t>,</w:t>
      </w:r>
      <w:r w:rsidR="007F0123" w:rsidRPr="00D73205">
        <w:t xml:space="preserve"> and </w:t>
      </w:r>
      <w:r w:rsidR="008771BC" w:rsidRPr="00D73205">
        <w:t xml:space="preserve">of </w:t>
      </w:r>
      <w:r w:rsidR="007F0123" w:rsidRPr="00D73205">
        <w:t>the expectation that individual citizens</w:t>
      </w:r>
      <w:r w:rsidR="008771BC" w:rsidRPr="00D73205">
        <w:t xml:space="preserve"> must either</w:t>
      </w:r>
      <w:r w:rsidR="007F0123" w:rsidRPr="00D73205">
        <w:t xml:space="preserve"> content themselves with officially constituted sexual selves or else seek and enact marginal or unofficial alternatives</w:t>
      </w:r>
      <w:r w:rsidR="008771BC" w:rsidRPr="00D73205">
        <w:t xml:space="preserve"> using sources </w:t>
      </w:r>
      <w:r w:rsidR="008771BC" w:rsidRPr="00D73205">
        <w:lastRenderedPageBreak/>
        <w:t xml:space="preserve">generally </w:t>
      </w:r>
      <w:r w:rsidR="00334BA6" w:rsidRPr="00D73205">
        <w:t>denigrated</w:t>
      </w:r>
      <w:r w:rsidR="008771BC" w:rsidRPr="00D73205">
        <w:t xml:space="preserve"> as unreliable</w:t>
      </w:r>
      <w:r w:rsidR="007F0123" w:rsidRPr="00D73205">
        <w:t xml:space="preserve">. </w:t>
      </w:r>
      <w:r w:rsidR="0022287E">
        <w:t>As we will conclude, current forms of</w:t>
      </w:r>
      <w:r w:rsidR="0064694D" w:rsidRPr="0064694D">
        <w:t xml:space="preserve"> sexual health information and </w:t>
      </w:r>
      <w:r w:rsidR="0022287E">
        <w:t>related</w:t>
      </w:r>
      <w:r w:rsidR="0064694D" w:rsidRPr="0064694D">
        <w:t xml:space="preserve"> call</w:t>
      </w:r>
      <w:r w:rsidR="0022287E">
        <w:t>s</w:t>
      </w:r>
      <w:r w:rsidR="0064694D" w:rsidRPr="0064694D">
        <w:t xml:space="preserve"> for youth literacy operate as a mechanism for generating a specific modern form of epistemic citizenship</w:t>
      </w:r>
      <w:r w:rsidR="00EB61DB">
        <w:t xml:space="preserve">. </w:t>
      </w:r>
      <w:r w:rsidR="0064694D" w:rsidRPr="0064694D">
        <w:t xml:space="preserve">Future sexuality education </w:t>
      </w:r>
      <w:r w:rsidR="00EB61DB">
        <w:t>might</w:t>
      </w:r>
      <w:r w:rsidR="0064694D" w:rsidRPr="0064694D">
        <w:t xml:space="preserve"> consider ways to </w:t>
      </w:r>
      <w:r w:rsidR="0022287E">
        <w:t xml:space="preserve">support </w:t>
      </w:r>
      <w:r w:rsidR="0064694D" w:rsidRPr="0064694D">
        <w:t>more literate, sophisticated epistemic citizens</w:t>
      </w:r>
      <w:r w:rsidR="0022287E">
        <w:t xml:space="preserve"> relieved of the responsibility to piece the truth together on their own,</w:t>
      </w:r>
      <w:r w:rsidR="0064694D" w:rsidRPr="0064694D">
        <w:t xml:space="preserve"> </w:t>
      </w:r>
      <w:r w:rsidR="005D5556">
        <w:t xml:space="preserve">and </w:t>
      </w:r>
      <w:r w:rsidR="0064694D" w:rsidRPr="0064694D">
        <w:t xml:space="preserve">who </w:t>
      </w:r>
      <w:r w:rsidR="0022287E">
        <w:t>in turn</w:t>
      </w:r>
      <w:r w:rsidR="0064694D" w:rsidRPr="0064694D">
        <w:t xml:space="preserve"> feel more included.</w:t>
      </w:r>
      <w:r w:rsidR="003F5A28">
        <w:br w:type="page"/>
      </w:r>
    </w:p>
    <w:p w14:paraId="2FAE4F4D" w14:textId="5234CC61" w:rsidR="00503A48" w:rsidRPr="00487819" w:rsidRDefault="00487819" w:rsidP="003861B4">
      <w:pPr>
        <w:spacing w:after="0" w:line="480" w:lineRule="auto"/>
        <w:rPr>
          <w:b/>
          <w:bCs/>
        </w:rPr>
      </w:pPr>
      <w:r w:rsidRPr="00487819">
        <w:rPr>
          <w:b/>
          <w:bCs/>
        </w:rPr>
        <w:lastRenderedPageBreak/>
        <w:t>Introduction</w:t>
      </w:r>
    </w:p>
    <w:p w14:paraId="206AD7F2" w14:textId="345ABF0E" w:rsidR="00503A48" w:rsidRPr="00D73205" w:rsidRDefault="00503A48" w:rsidP="003861B4">
      <w:pPr>
        <w:spacing w:after="0" w:line="480" w:lineRule="auto"/>
      </w:pPr>
      <w:r w:rsidRPr="00D73205">
        <w:t>The 21</w:t>
      </w:r>
      <w:r w:rsidRPr="00D73205">
        <w:rPr>
          <w:vertAlign w:val="superscript"/>
        </w:rPr>
        <w:t>st</w:t>
      </w:r>
      <w:r w:rsidRPr="00D73205">
        <w:t xml:space="preserve"> century has seen the proliferation of technologies and sources of information about issues of all kinds, including sexuality. Hailed by some as a step forward in offering accounts of sex and selfhood much more expansive and diverse than traditional mainstream accounts</w:t>
      </w:r>
      <w:r w:rsidR="00224A56">
        <w:t xml:space="preserve"> (Attwood, Hakim and Alison, 2017)</w:t>
      </w:r>
      <w:r w:rsidRPr="00D73205">
        <w:t>, these developments have also been criticised as opening up scope for bullying, unwanted exposure and new forms of normalisation</w:t>
      </w:r>
      <w:r w:rsidR="00224A56">
        <w:t xml:space="preserve"> (Flood, 2009; Nicol, 2012)</w:t>
      </w:r>
      <w:r w:rsidRPr="00D73205">
        <w:t>. Amid debates about the role of social media and the internet in mediating sexuality</w:t>
      </w:r>
      <w:r w:rsidR="00224A56">
        <w:t xml:space="preserve"> (Attwood et al., 201</w:t>
      </w:r>
      <w:r w:rsidR="00E62DE4">
        <w:t>7</w:t>
      </w:r>
      <w:r w:rsidR="00224A56">
        <w:t>)</w:t>
      </w:r>
      <w:r w:rsidRPr="00D73205">
        <w:t>, questions about reliable sources of information have also arisen, particularly in relation to young people’s knowledge-seeking. How do young people access information about sexuality and sexual health, and what sources of information do they trust most? These important questions are the subject of a qualitative research project recently conducted in Australia</w:t>
      </w:r>
      <w:r w:rsidR="00BD35F3">
        <w:t>, which</w:t>
      </w:r>
      <w:r w:rsidRPr="00D73205">
        <w:t xml:space="preserve"> investigated the role of sexual information-seeking in the formation of notions of credibility, reliability and objectivity. This article examines these issues in detail. Drawing on, and inverting, key ideas from the theorisation of sexual citizenship, and considering them alongside the work of science and technology studies scholar John Law, this article examines the ‘collateral realities’ produced by contemporary demands on young people to source, assess and act on sexual health information. Using interviews collected with </w:t>
      </w:r>
      <w:r w:rsidR="002219E9">
        <w:t>37</w:t>
      </w:r>
      <w:r w:rsidRPr="00D73205">
        <w:t xml:space="preserve"> young people </w:t>
      </w:r>
      <w:r w:rsidR="008E5289">
        <w:t xml:space="preserve">aged between 18 and 21 </w:t>
      </w:r>
      <w:r w:rsidRPr="00D73205">
        <w:t>living in Australia, the analysis identifies a range of approaches to sexual health</w:t>
      </w:r>
      <w:r w:rsidR="00CB59EA">
        <w:t xml:space="preserve"> information</w:t>
      </w:r>
      <w:r w:rsidRPr="00D73205">
        <w:t>-seeking practices, key dynamics in the construction of reliability and fact, and the extent and nature of the accommodations many young people report making to navigate incomplete and unreliable information. In the process, the article examines the ways in which accommodating such information weaknesses and gaps produces what we call contemporary epistem</w:t>
      </w:r>
      <w:r w:rsidR="00CB59EA">
        <w:t>ic</w:t>
      </w:r>
      <w:r w:rsidRPr="00D73205">
        <w:t xml:space="preserve"> citizens; young people explicitly aware of the limits of official knowledges about sexualities, and of the expectation that individual citizens must either content themselves with officially constituted sexual selves or else seek and enact marginal or unofficial alternatives using sources generally denigrated as unreliable. With the contemporary self increasingly framed through the ability to discern truth from falsehood, reality from fake news, these </w:t>
      </w:r>
      <w:proofErr w:type="gramStart"/>
      <w:r w:rsidRPr="00D73205">
        <w:t>demands</w:t>
      </w:r>
      <w:proofErr w:type="gramEnd"/>
      <w:r w:rsidRPr="00D73205">
        <w:t xml:space="preserve"> and </w:t>
      </w:r>
      <w:r w:rsidRPr="00D73205">
        <w:lastRenderedPageBreak/>
        <w:t>choices have significant implications for qualification as the proper modern citizen. What kinds of epistem</w:t>
      </w:r>
      <w:r w:rsidR="00C83B89" w:rsidRPr="00D73205">
        <w:t xml:space="preserve">ic </w:t>
      </w:r>
      <w:r w:rsidRPr="00D73205">
        <w:t>citizens, we ask, are constituted in the production and pursuit of sexual health knowledges, and what are their implications for broader, urgently needed, debates about the nature of truth and the responsible, knowing citizen?</w:t>
      </w:r>
    </w:p>
    <w:p w14:paraId="10E1402F" w14:textId="2C681687" w:rsidR="00503A48" w:rsidRPr="00D73205" w:rsidRDefault="00503A48" w:rsidP="003861B4">
      <w:pPr>
        <w:spacing w:after="0" w:line="480" w:lineRule="auto"/>
      </w:pPr>
    </w:p>
    <w:p w14:paraId="30350F83" w14:textId="728FF0C9" w:rsidR="00503A48" w:rsidRPr="00D73205" w:rsidRDefault="00765B53" w:rsidP="003861B4">
      <w:pPr>
        <w:spacing w:after="0" w:line="480" w:lineRule="auto"/>
        <w:rPr>
          <w:b/>
          <w:bCs/>
        </w:rPr>
      </w:pPr>
      <w:r w:rsidRPr="00D73205">
        <w:rPr>
          <w:b/>
          <w:bCs/>
        </w:rPr>
        <w:t xml:space="preserve">Background </w:t>
      </w:r>
      <w:r w:rsidR="005172E4" w:rsidRPr="00D73205">
        <w:rPr>
          <w:b/>
          <w:bCs/>
        </w:rPr>
        <w:t>and literature</w:t>
      </w:r>
    </w:p>
    <w:p w14:paraId="47F0AE37" w14:textId="2DB7C197" w:rsidR="0002706D" w:rsidRDefault="00436F0D" w:rsidP="003861B4">
      <w:pPr>
        <w:spacing w:after="0" w:line="480" w:lineRule="auto"/>
      </w:pPr>
      <w:r w:rsidRPr="00D73205">
        <w:t>While many researchers, educators and advocates position relationship</w:t>
      </w:r>
      <w:r w:rsidR="003F5A28">
        <w:t>s</w:t>
      </w:r>
      <w:r w:rsidRPr="00D73205">
        <w:t xml:space="preserve"> and sexuality education as essential </w:t>
      </w:r>
      <w:r w:rsidR="00765B53" w:rsidRPr="00D73205">
        <w:t>to providing</w:t>
      </w:r>
      <w:r w:rsidRPr="00D73205">
        <w:t xml:space="preserve"> young people with the knowledge and skills to have fulfilling relationships and </w:t>
      </w:r>
      <w:r w:rsidR="00487819">
        <w:t>navigate</w:t>
      </w:r>
      <w:r w:rsidR="00487819" w:rsidRPr="00D73205">
        <w:t xml:space="preserve"> </w:t>
      </w:r>
      <w:r w:rsidR="00765B53" w:rsidRPr="00D73205">
        <w:t>important</w:t>
      </w:r>
      <w:r w:rsidRPr="00D73205">
        <w:t xml:space="preserve"> issues such as consent, </w:t>
      </w:r>
      <w:r w:rsidR="00765B53" w:rsidRPr="00D73205">
        <w:t>the nature of such information and how it should be presented</w:t>
      </w:r>
      <w:r w:rsidRPr="00D73205">
        <w:t xml:space="preserve"> is by no means settled (Sundaram and </w:t>
      </w:r>
      <w:proofErr w:type="spellStart"/>
      <w:r w:rsidRPr="00D73205">
        <w:t>Sauntson</w:t>
      </w:r>
      <w:proofErr w:type="spellEnd"/>
      <w:r w:rsidRPr="00D73205">
        <w:t xml:space="preserve">, 2016). </w:t>
      </w:r>
      <w:r w:rsidR="00765B53" w:rsidRPr="00D73205">
        <w:t xml:space="preserve">In Australia, sexual health information aimed at young people </w:t>
      </w:r>
      <w:r w:rsidR="00602C8A">
        <w:t>frequently</w:t>
      </w:r>
      <w:r w:rsidRPr="00D73205">
        <w:t xml:space="preserve"> focus</w:t>
      </w:r>
      <w:r w:rsidR="00D8432D">
        <w:t>es</w:t>
      </w:r>
      <w:r w:rsidRPr="00D73205">
        <w:t xml:space="preserve"> on </w:t>
      </w:r>
      <w:r w:rsidR="00D364CB" w:rsidRPr="00D73205">
        <w:t xml:space="preserve">issues of </w:t>
      </w:r>
      <w:r w:rsidRPr="00D73205">
        <w:t>risk, such as sexually transmi</w:t>
      </w:r>
      <w:r w:rsidR="00602C8A">
        <w:t>ssible</w:t>
      </w:r>
      <w:r w:rsidRPr="00D73205">
        <w:t xml:space="preserve"> infections, </w:t>
      </w:r>
      <w:r w:rsidR="00487819">
        <w:t xml:space="preserve">and </w:t>
      </w:r>
      <w:r w:rsidR="00765B53" w:rsidRPr="00D73205">
        <w:t>pay</w:t>
      </w:r>
      <w:r w:rsidR="00487819">
        <w:t>s</w:t>
      </w:r>
      <w:r w:rsidR="00765B53" w:rsidRPr="00D73205">
        <w:t xml:space="preserve"> little attention to</w:t>
      </w:r>
      <w:r w:rsidRPr="00D73205">
        <w:t xml:space="preserve"> pleasure</w:t>
      </w:r>
      <w:r w:rsidR="00D364CB" w:rsidRPr="00D73205">
        <w:t xml:space="preserve"> </w:t>
      </w:r>
      <w:r w:rsidRPr="00D73205">
        <w:t xml:space="preserve">(Allen, Rasmussen and </w:t>
      </w:r>
      <w:proofErr w:type="spellStart"/>
      <w:r w:rsidRPr="00D73205">
        <w:t>Quinlivan</w:t>
      </w:r>
      <w:proofErr w:type="spellEnd"/>
      <w:r w:rsidRPr="00D73205">
        <w:t xml:space="preserve">, 2014). </w:t>
      </w:r>
      <w:r w:rsidR="00602C8A">
        <w:t xml:space="preserve">While sources that advocate for consideration of pleasure, or sex positive approaches, do exist, it is unclear how young people may find or access them. </w:t>
      </w:r>
      <w:r w:rsidRPr="00D73205">
        <w:t>Formal relationship</w:t>
      </w:r>
      <w:r w:rsidR="00CC4518">
        <w:t>s</w:t>
      </w:r>
      <w:r w:rsidRPr="00D73205">
        <w:t xml:space="preserve"> and sexuality education</w:t>
      </w:r>
      <w:r w:rsidR="00765B53" w:rsidRPr="00D73205">
        <w:t xml:space="preserve"> in schools</w:t>
      </w:r>
      <w:r w:rsidRPr="00D73205">
        <w:t xml:space="preserve"> is not nationally mandated in Australia</w:t>
      </w:r>
      <w:r w:rsidR="00765B53" w:rsidRPr="00D73205">
        <w:t>,</w:t>
      </w:r>
      <w:r w:rsidRPr="00D73205">
        <w:t xml:space="preserve"> and guidelines and policies differ by jurisdiction and can vary across schools in the same jurisdiction (Mitchell et al., 2011</w:t>
      </w:r>
      <w:r w:rsidR="00765B53" w:rsidRPr="00D73205">
        <w:t>;</w:t>
      </w:r>
      <w:r w:rsidRPr="00D73205">
        <w:t xml:space="preserve"> Fisher et al., 2019). Multiple studies note a consistent trend </w:t>
      </w:r>
      <w:r w:rsidR="00487819">
        <w:t>in</w:t>
      </w:r>
      <w:r w:rsidRPr="00D73205">
        <w:t xml:space="preserve"> negative experiences with school-based relationship</w:t>
      </w:r>
      <w:r w:rsidR="00CC4518">
        <w:t>s</w:t>
      </w:r>
      <w:r w:rsidRPr="00D73205">
        <w:t xml:space="preserve"> and sexuality education (e.g. Pound, Langford and Campbell, 2016; </w:t>
      </w:r>
      <w:proofErr w:type="spellStart"/>
      <w:r w:rsidRPr="00D73205">
        <w:t>Narushima</w:t>
      </w:r>
      <w:proofErr w:type="spellEnd"/>
      <w:r w:rsidRPr="00D73205">
        <w:t xml:space="preserve"> et al., 2020; Waling et al., 2020). This research suggests that this aspect of education often does not meet the needs of young people, with many reporting a preference for positive and supportive</w:t>
      </w:r>
      <w:r w:rsidR="0002706D">
        <w:t xml:space="preserve"> </w:t>
      </w:r>
      <w:r w:rsidR="0002706D" w:rsidRPr="00D73205">
        <w:t>LGBTIQ</w:t>
      </w:r>
      <w:r w:rsidR="0002706D">
        <w:t xml:space="preserve"> (lesbian, gay, bisexual, trans, intersex and queer)</w:t>
      </w:r>
      <w:r w:rsidR="00250CB6">
        <w:t>-</w:t>
      </w:r>
      <w:r w:rsidRPr="00D73205">
        <w:t xml:space="preserve">inclusive material that addresses broader issues </w:t>
      </w:r>
      <w:r w:rsidR="00765B53" w:rsidRPr="00D73205">
        <w:t>such as</w:t>
      </w:r>
      <w:r w:rsidRPr="00D73205">
        <w:t xml:space="preserve"> intimacy and trust</w:t>
      </w:r>
      <w:r w:rsidR="00765B53" w:rsidRPr="00D73205">
        <w:t>,</w:t>
      </w:r>
      <w:r w:rsidRPr="00D73205">
        <w:t xml:space="preserve"> and is not centred solely on penile-vaginal intercourse </w:t>
      </w:r>
      <w:r w:rsidR="00765B53" w:rsidRPr="00D73205">
        <w:t>and</w:t>
      </w:r>
      <w:r w:rsidRPr="00D73205">
        <w:t xml:space="preserve"> risk (Grant and Nash 2018; Waling et al., 2020</w:t>
      </w:r>
      <w:r w:rsidR="009162D2">
        <w:t xml:space="preserve">; Waling et al., </w:t>
      </w:r>
      <w:r w:rsidR="00602C8A">
        <w:t>i</w:t>
      </w:r>
      <w:r w:rsidR="009162D2">
        <w:t xml:space="preserve">n </w:t>
      </w:r>
      <w:r w:rsidR="00602C8A">
        <w:t>p</w:t>
      </w:r>
      <w:r w:rsidR="009162D2">
        <w:t>ress</w:t>
      </w:r>
      <w:r w:rsidRPr="00D73205">
        <w:t xml:space="preserve">). </w:t>
      </w:r>
    </w:p>
    <w:p w14:paraId="12A577D8" w14:textId="77777777" w:rsidR="0002706D" w:rsidRDefault="0002706D" w:rsidP="003861B4">
      <w:pPr>
        <w:spacing w:after="0" w:line="480" w:lineRule="auto"/>
      </w:pPr>
    </w:p>
    <w:p w14:paraId="1A2C0E75" w14:textId="35C50AD1" w:rsidR="00436F0D" w:rsidRPr="00D73205" w:rsidRDefault="00436F0D" w:rsidP="003861B4">
      <w:pPr>
        <w:spacing w:after="0" w:line="480" w:lineRule="auto"/>
      </w:pPr>
      <w:r w:rsidRPr="00D73205">
        <w:t>Given these dynamics, it is perhaps unsurprising that young people report seeking sexual health information on the internet (</w:t>
      </w:r>
      <w:r w:rsidR="00946B01" w:rsidRPr="00D73205">
        <w:t>Magee et al., 2012</w:t>
      </w:r>
      <w:r w:rsidR="00946B01">
        <w:t xml:space="preserve">; </w:t>
      </w:r>
      <w:r w:rsidRPr="00D73205">
        <w:t xml:space="preserve">Cassidy et al., 2014; Fisher et al., </w:t>
      </w:r>
      <w:r w:rsidRPr="00D73205">
        <w:lastRenderedPageBreak/>
        <w:t>2019</w:t>
      </w:r>
      <w:r w:rsidR="007333A1">
        <w:t xml:space="preserve">; </w:t>
      </w:r>
      <w:r w:rsidR="006F675C">
        <w:t xml:space="preserve">Waling et al., </w:t>
      </w:r>
      <w:r w:rsidR="00602C8A">
        <w:t>i</w:t>
      </w:r>
      <w:r w:rsidR="006F675C">
        <w:t xml:space="preserve">n </w:t>
      </w:r>
      <w:r w:rsidR="00602C8A">
        <w:t>p</w:t>
      </w:r>
      <w:r w:rsidR="006F675C">
        <w:t>ress</w:t>
      </w:r>
      <w:r w:rsidRPr="00D73205">
        <w:t xml:space="preserve">). Significantly for our analysis, research suggests that gender and sexuality shape engagement with online sexual health information in complex ways. For example, LGBTIQ young people appear to use the internet as a source of sexual health information more than their heterosexual counterparts (Charest, </w:t>
      </w:r>
      <w:proofErr w:type="spellStart"/>
      <w:r w:rsidRPr="00D73205">
        <w:t>Kleinplatz</w:t>
      </w:r>
      <w:proofErr w:type="spellEnd"/>
      <w:r w:rsidRPr="00D73205">
        <w:t xml:space="preserve"> and Lund, 2016; </w:t>
      </w:r>
      <w:proofErr w:type="spellStart"/>
      <w:r w:rsidRPr="00D73205">
        <w:t>Nikkelen</w:t>
      </w:r>
      <w:proofErr w:type="spellEnd"/>
      <w:r w:rsidRPr="00D73205">
        <w:t xml:space="preserve">, van </w:t>
      </w:r>
      <w:proofErr w:type="spellStart"/>
      <w:r w:rsidRPr="00D73205">
        <w:t>Oosten</w:t>
      </w:r>
      <w:proofErr w:type="spellEnd"/>
      <w:r w:rsidRPr="00D73205">
        <w:t xml:space="preserve"> and van den Borne, 2020). Explanations offered for this include fear of prejudice and discrimination, and </w:t>
      </w:r>
      <w:bookmarkStart w:id="0" w:name="_Hlk46320692"/>
      <w:r w:rsidRPr="00D73205">
        <w:t xml:space="preserve">lack of appropriate content in formal education and health service settings (Grant and Nash 2018; </w:t>
      </w:r>
      <w:proofErr w:type="spellStart"/>
      <w:r w:rsidRPr="00D73205">
        <w:t>Narushima</w:t>
      </w:r>
      <w:proofErr w:type="spellEnd"/>
      <w:r w:rsidRPr="00D73205">
        <w:t xml:space="preserve"> et al., 2020). </w:t>
      </w:r>
      <w:bookmarkStart w:id="1" w:name="_Hlk46320739"/>
      <w:bookmarkEnd w:id="0"/>
      <w:r w:rsidRPr="00D73205">
        <w:t>Other research also suggests that LGBTIQ content is absent from much formal sex education, or takes a heterosexual viewpoint that does not address the experiences and concerns of gender and sexually diverse young people (</w:t>
      </w:r>
      <w:r w:rsidR="009162D2">
        <w:t xml:space="preserve">Grant and Nash 2018; </w:t>
      </w:r>
      <w:r w:rsidRPr="00D73205">
        <w:t>Pound, Langford and Campbell, 2016; Shannon, 2016</w:t>
      </w:r>
      <w:r w:rsidR="009162D2">
        <w:t xml:space="preserve">; Waling et al., </w:t>
      </w:r>
      <w:r w:rsidR="00602C8A">
        <w:t>i</w:t>
      </w:r>
      <w:r w:rsidR="009162D2">
        <w:t xml:space="preserve">n </w:t>
      </w:r>
      <w:r w:rsidR="00602C8A">
        <w:t>p</w:t>
      </w:r>
      <w:r w:rsidR="009162D2">
        <w:t>ress</w:t>
      </w:r>
      <w:r w:rsidRPr="00D73205">
        <w:t xml:space="preserve">). </w:t>
      </w:r>
      <w:bookmarkEnd w:id="1"/>
      <w:r w:rsidR="009162D2">
        <w:t>In</w:t>
      </w:r>
      <w:r w:rsidR="00602C8A">
        <w:t>deed, in</w:t>
      </w:r>
      <w:r w:rsidR="009162D2">
        <w:t xml:space="preserve"> a recent national s</w:t>
      </w:r>
      <w:r w:rsidR="00A52BFA">
        <w:t>urvey</w:t>
      </w:r>
      <w:r w:rsidR="009162D2">
        <w:t xml:space="preserve"> of young people and their sexual health, </w:t>
      </w:r>
      <w:r w:rsidR="00602C8A">
        <w:t>participants</w:t>
      </w:r>
      <w:r w:rsidR="009162D2">
        <w:t xml:space="preserve"> </w:t>
      </w:r>
      <w:r w:rsidR="00602C8A">
        <w:t>indicated</w:t>
      </w:r>
      <w:r w:rsidR="009162D2">
        <w:t xml:space="preserve"> an awareness of the information they were not receiving in their formal relationships and sexuality </w:t>
      </w:r>
      <w:r w:rsidR="007333A1">
        <w:t>education</w:t>
      </w:r>
      <w:r w:rsidR="00A52BFA">
        <w:t xml:space="preserve"> </w:t>
      </w:r>
      <w:r w:rsidR="009162D2">
        <w:t xml:space="preserve">(Waling et al., </w:t>
      </w:r>
      <w:r w:rsidR="00602C8A">
        <w:t>i</w:t>
      </w:r>
      <w:r w:rsidR="009162D2">
        <w:t xml:space="preserve">n </w:t>
      </w:r>
      <w:r w:rsidR="00602C8A">
        <w:t>p</w:t>
      </w:r>
      <w:r w:rsidR="009162D2">
        <w:t xml:space="preserve">ress). </w:t>
      </w:r>
      <w:r w:rsidRPr="00D73205">
        <w:t xml:space="preserve">Young people’s widespread use of the internet and social media has led some researchers to call for </w:t>
      </w:r>
      <w:r w:rsidR="00D364CB" w:rsidRPr="00D73205">
        <w:t xml:space="preserve">greater </w:t>
      </w:r>
      <w:r w:rsidRPr="00D73205">
        <w:t>provision of sexual health information via social media (</w:t>
      </w:r>
      <w:r w:rsidR="00A667B2">
        <w:t xml:space="preserve">Byron et al., 2013; </w:t>
      </w:r>
      <w:r w:rsidR="00946B01" w:rsidRPr="00D73205">
        <w:t>Lim et al., 2014</w:t>
      </w:r>
      <w:r w:rsidR="00946B01">
        <w:t xml:space="preserve">; </w:t>
      </w:r>
      <w:r w:rsidRPr="00D73205">
        <w:t xml:space="preserve">Byron, 2017). However, they also caution that young people can be hesitant to access sexual health information using social media because of concerns about confidentiality and the potentially negative implications for online </w:t>
      </w:r>
      <w:r w:rsidR="00C83B89" w:rsidRPr="00D73205">
        <w:t>exposure</w:t>
      </w:r>
      <w:r w:rsidRPr="00D73205">
        <w:t xml:space="preserve"> (</w:t>
      </w:r>
      <w:r w:rsidR="00A667B2">
        <w:t xml:space="preserve">Byron et al., 2013; </w:t>
      </w:r>
      <w:r w:rsidRPr="00D73205">
        <w:t xml:space="preserve">Lim et al., 2014; Patterson et al., 2019). </w:t>
      </w:r>
      <w:r w:rsidR="00602C8A">
        <w:t>That said</w:t>
      </w:r>
      <w:r w:rsidR="007333A1">
        <w:t xml:space="preserve">, </w:t>
      </w:r>
      <w:r w:rsidR="00602C8A">
        <w:t xml:space="preserve">online </w:t>
      </w:r>
      <w:r w:rsidR="007333A1">
        <w:t xml:space="preserve">spaces such as Reddit have increasingly been used by people </w:t>
      </w:r>
      <w:r w:rsidR="00A52BFA">
        <w:t xml:space="preserve">(including young people) </w:t>
      </w:r>
      <w:r w:rsidR="007333A1">
        <w:t xml:space="preserve">seeking sexual health information and medical diagnosis due to the anonymity </w:t>
      </w:r>
      <w:r w:rsidR="00602C8A">
        <w:t>they afford</w:t>
      </w:r>
      <w:r w:rsidR="007333A1">
        <w:t xml:space="preserve"> (Nobles et al., 2019). </w:t>
      </w:r>
      <w:r w:rsidRPr="00D73205">
        <w:t>These concerns</w:t>
      </w:r>
      <w:r w:rsidR="00C83B89" w:rsidRPr="00D73205">
        <w:t xml:space="preserve"> </w:t>
      </w:r>
      <w:r w:rsidRPr="00D73205">
        <w:t xml:space="preserve">point to the importance of understanding the social dynamics that shape </w:t>
      </w:r>
      <w:r w:rsidR="00C83B89" w:rsidRPr="00D73205">
        <w:t xml:space="preserve">young people’s </w:t>
      </w:r>
      <w:r w:rsidRPr="00D73205">
        <w:t>online engagement</w:t>
      </w:r>
      <w:r w:rsidR="00D364CB" w:rsidRPr="00D73205">
        <w:t xml:space="preserve">, </w:t>
      </w:r>
      <w:r w:rsidRPr="00D73205">
        <w:t>the processes by which they assess the credibility of internet-based sexual health information</w:t>
      </w:r>
      <w:r w:rsidR="00D364CB" w:rsidRPr="00D73205">
        <w:t>, and how the pursuit of reliable and credible sexual health information itself shapes identities and perspectives.</w:t>
      </w:r>
    </w:p>
    <w:p w14:paraId="27334D7C" w14:textId="45472665" w:rsidR="00436F0D" w:rsidRPr="00D73205" w:rsidRDefault="00436F0D" w:rsidP="003861B4">
      <w:pPr>
        <w:spacing w:after="0" w:line="480" w:lineRule="auto"/>
      </w:pPr>
    </w:p>
    <w:p w14:paraId="7630639D" w14:textId="19A687F0" w:rsidR="00436F0D" w:rsidRPr="00D73205" w:rsidRDefault="00436F0D" w:rsidP="003861B4">
      <w:pPr>
        <w:spacing w:after="0" w:line="480" w:lineRule="auto"/>
      </w:pPr>
      <w:r w:rsidRPr="00D73205">
        <w:t>While young people’s views on formal sexual health education have been researched in detail (</w:t>
      </w:r>
      <w:r w:rsidR="009162D2">
        <w:t>i.e.</w:t>
      </w:r>
      <w:r w:rsidRPr="00D73205">
        <w:t xml:space="preserve"> </w:t>
      </w:r>
      <w:proofErr w:type="spellStart"/>
      <w:r w:rsidR="009162D2">
        <w:t>All</w:t>
      </w:r>
      <w:r w:rsidR="00592D1F">
        <w:t>dred</w:t>
      </w:r>
      <w:proofErr w:type="spellEnd"/>
      <w:r w:rsidR="00592D1F">
        <w:t xml:space="preserve"> </w:t>
      </w:r>
      <w:r w:rsidR="009162D2">
        <w:t>and David, 2007;</w:t>
      </w:r>
      <w:r w:rsidR="007333A1">
        <w:t xml:space="preserve"> McKee et al., 2014;</w:t>
      </w:r>
      <w:r w:rsidR="009162D2">
        <w:t xml:space="preserve"> </w:t>
      </w:r>
      <w:r w:rsidRPr="00D73205">
        <w:t xml:space="preserve">Pound, Langford and Campbell, </w:t>
      </w:r>
      <w:r w:rsidRPr="00D73205">
        <w:lastRenderedPageBreak/>
        <w:t>2016</w:t>
      </w:r>
      <w:r w:rsidR="009162D2">
        <w:t xml:space="preserve">; Pound et al., 2017; Waling et al., 2020; Waling et al., </w:t>
      </w:r>
      <w:r w:rsidR="00602C8A">
        <w:t>i</w:t>
      </w:r>
      <w:r w:rsidR="009162D2">
        <w:t xml:space="preserve">n </w:t>
      </w:r>
      <w:r w:rsidR="00602C8A">
        <w:t>p</w:t>
      </w:r>
      <w:r w:rsidR="009162D2">
        <w:t>ress</w:t>
      </w:r>
      <w:r w:rsidRPr="00D73205">
        <w:t>), less is known about how they appraise information found online</w:t>
      </w:r>
      <w:r w:rsidR="00765B53" w:rsidRPr="00D73205">
        <w:t xml:space="preserve">, and what this process of appraisal means in terms of their sense of </w:t>
      </w:r>
      <w:r w:rsidR="00D364CB" w:rsidRPr="00D73205">
        <w:t xml:space="preserve">self, </w:t>
      </w:r>
      <w:r w:rsidR="00765B53" w:rsidRPr="00D73205">
        <w:t>belonging and responsibility within mainstream sexual health</w:t>
      </w:r>
      <w:r w:rsidR="00C83B89" w:rsidRPr="00D73205">
        <w:t xml:space="preserve"> knowledge systems (what we will term</w:t>
      </w:r>
      <w:r w:rsidR="00765B53" w:rsidRPr="00D73205">
        <w:t xml:space="preserve"> </w:t>
      </w:r>
      <w:r w:rsidR="00C83B89" w:rsidRPr="00D73205">
        <w:t>‘</w:t>
      </w:r>
      <w:r w:rsidR="00765B53" w:rsidRPr="00D73205">
        <w:t>epistemes</w:t>
      </w:r>
      <w:r w:rsidR="00C83B89" w:rsidRPr="00D73205">
        <w:t>’ [see below])</w:t>
      </w:r>
      <w:r w:rsidR="00765B53" w:rsidRPr="00D73205">
        <w:t xml:space="preserve">. </w:t>
      </w:r>
      <w:r w:rsidRPr="00D73205">
        <w:t xml:space="preserve">Some scholars have raised concerns about young people’s ability to evaluate online health information critically (e.g. </w:t>
      </w:r>
      <w:proofErr w:type="spellStart"/>
      <w:r w:rsidRPr="00D73205">
        <w:t>Eysenbach</w:t>
      </w:r>
      <w:proofErr w:type="spellEnd"/>
      <w:r w:rsidRPr="00D73205">
        <w:t>, 2008) and pornography is often cited as a major concern in this regard, with some suggesting that it promotes unrealistic expectations about sex and encourages gender-based violence (</w:t>
      </w:r>
      <w:r w:rsidR="004F6684" w:rsidRPr="004F6684">
        <w:t xml:space="preserve">Goldsmith, Dunkley, Dang, </w:t>
      </w:r>
      <w:r w:rsidR="00602C8A">
        <w:t>and</w:t>
      </w:r>
      <w:r w:rsidR="004F6684" w:rsidRPr="004F6684">
        <w:t xml:space="preserve"> </w:t>
      </w:r>
      <w:proofErr w:type="spellStart"/>
      <w:r w:rsidR="004F6684" w:rsidRPr="004F6684">
        <w:t>Gorzalka</w:t>
      </w:r>
      <w:proofErr w:type="spellEnd"/>
      <w:r w:rsidR="004F6684" w:rsidRPr="004F6684">
        <w:t xml:space="preserve">, 2017; </w:t>
      </w:r>
      <w:r w:rsidRPr="00D73205">
        <w:t xml:space="preserve">Davis et al., 2020). However, others </w:t>
      </w:r>
      <w:r w:rsidR="00602C8A">
        <w:t>argue</w:t>
      </w:r>
      <w:r w:rsidRPr="00D73205">
        <w:t xml:space="preserve"> that young people are not </w:t>
      </w:r>
      <w:r w:rsidR="00A21E6C" w:rsidRPr="00D73205">
        <w:t xml:space="preserve">merely </w:t>
      </w:r>
      <w:r w:rsidRPr="00D73205">
        <w:t xml:space="preserve">passive consumers of sexual health information, </w:t>
      </w:r>
      <w:r w:rsidR="00C83B89" w:rsidRPr="00D73205">
        <w:t>instead</w:t>
      </w:r>
      <w:r w:rsidRPr="00D73205">
        <w:t xml:space="preserve"> actively weigh</w:t>
      </w:r>
      <w:r w:rsidR="00C83B89" w:rsidRPr="00D73205">
        <w:t>ing</w:t>
      </w:r>
      <w:r w:rsidRPr="00D73205">
        <w:t xml:space="preserve"> up the credibility of the sources they find (</w:t>
      </w:r>
      <w:r w:rsidR="00946B01" w:rsidRPr="00D73205">
        <w:t>Magee et al., 2012</w:t>
      </w:r>
      <w:r w:rsidR="00946B01">
        <w:t xml:space="preserve">; </w:t>
      </w:r>
      <w:r w:rsidR="009162D2">
        <w:t xml:space="preserve">Patterson et al., 2019; </w:t>
      </w:r>
      <w:r w:rsidRPr="00D73205">
        <w:t xml:space="preserve">Simon and </w:t>
      </w:r>
      <w:proofErr w:type="spellStart"/>
      <w:r w:rsidRPr="00D73205">
        <w:t>Daneback</w:t>
      </w:r>
      <w:proofErr w:type="spellEnd"/>
      <w:r w:rsidR="00E377DC">
        <w:t>,</w:t>
      </w:r>
      <w:r w:rsidRPr="00D73205">
        <w:t xml:space="preserve"> 2013).</w:t>
      </w:r>
      <w:r w:rsidRPr="00D73205" w:rsidDel="00D354B3">
        <w:t xml:space="preserve"> </w:t>
      </w:r>
      <w:r w:rsidRPr="00D73205">
        <w:t>Australian research on young men’s sources of sexual health information found that they used strategies such as cross-referencing online information to evaluate reliability (</w:t>
      </w:r>
      <w:proofErr w:type="spellStart"/>
      <w:r w:rsidRPr="00D73205">
        <w:t>Litras</w:t>
      </w:r>
      <w:proofErr w:type="spellEnd"/>
      <w:r w:rsidRPr="00D73205">
        <w:t xml:space="preserve">, </w:t>
      </w:r>
      <w:proofErr w:type="spellStart"/>
      <w:r w:rsidRPr="00D73205">
        <w:t>Latreille</w:t>
      </w:r>
      <w:proofErr w:type="spellEnd"/>
      <w:r w:rsidRPr="00D73205">
        <w:t xml:space="preserve"> and Temple-Smith, 2015). Similar strategies have been identified in recent research on how young sexual minority women evaluate different forms of online sexual health information (Flanders et al., 2020). Building on </w:t>
      </w:r>
      <w:r w:rsidR="007E60D9">
        <w:t xml:space="preserve">and extending </w:t>
      </w:r>
      <w:r w:rsidRPr="00D73205">
        <w:t xml:space="preserve">this literature, our analysis </w:t>
      </w:r>
      <w:r w:rsidR="00C83B89" w:rsidRPr="00D73205">
        <w:t xml:space="preserve">examines </w:t>
      </w:r>
      <w:r w:rsidR="00A21E6C" w:rsidRPr="00D73205">
        <w:t xml:space="preserve">the strategies </w:t>
      </w:r>
      <w:r w:rsidR="007E60D9">
        <w:t xml:space="preserve">used by </w:t>
      </w:r>
      <w:r w:rsidR="00A21E6C" w:rsidRPr="00D73205">
        <w:t xml:space="preserve">young people to collect and assess sexual health information, </w:t>
      </w:r>
      <w:r w:rsidR="007E60D9">
        <w:t xml:space="preserve">and </w:t>
      </w:r>
      <w:r w:rsidR="00A21E6C" w:rsidRPr="00D73205">
        <w:t>consider</w:t>
      </w:r>
      <w:r w:rsidR="007E60D9">
        <w:t>s</w:t>
      </w:r>
      <w:r w:rsidR="00A21E6C" w:rsidRPr="00D73205">
        <w:t xml:space="preserve"> the implications of these activities for their perspectives on public health, mainstream health advice and their own belonging within Australia’s mainstream sexual cultures.</w:t>
      </w:r>
      <w:r w:rsidRPr="00D73205">
        <w:t xml:space="preserve"> </w:t>
      </w:r>
      <w:r w:rsidR="00A21E6C" w:rsidRPr="00D73205">
        <w:t>To conduct th</w:t>
      </w:r>
      <w:r w:rsidR="00C83B89" w:rsidRPr="00D73205">
        <w:t>e</w:t>
      </w:r>
      <w:r w:rsidR="00A21E6C" w:rsidRPr="00D73205">
        <w:t xml:space="preserve"> </w:t>
      </w:r>
      <w:proofErr w:type="gramStart"/>
      <w:r w:rsidR="00A21E6C" w:rsidRPr="00D73205">
        <w:t>analysis</w:t>
      </w:r>
      <w:proofErr w:type="gramEnd"/>
      <w:r w:rsidR="00A21E6C" w:rsidRPr="00D73205">
        <w:t xml:space="preserve"> we begin by outlining </w:t>
      </w:r>
      <w:r w:rsidR="00B831CE">
        <w:t>our</w:t>
      </w:r>
      <w:r w:rsidR="00A21E6C" w:rsidRPr="00D73205">
        <w:t xml:space="preserve"> key concepts: sexual citizenship, </w:t>
      </w:r>
      <w:r w:rsidR="00C83B89" w:rsidRPr="00D73205">
        <w:t xml:space="preserve">collateral realities, </w:t>
      </w:r>
      <w:r w:rsidR="00A21E6C" w:rsidRPr="00D73205">
        <w:t>the episteme</w:t>
      </w:r>
      <w:r w:rsidR="00671C17" w:rsidRPr="00D73205">
        <w:t xml:space="preserve"> and, in turn, </w:t>
      </w:r>
      <w:r w:rsidR="00A21E6C" w:rsidRPr="00D73205">
        <w:t>epistemic citizenship.</w:t>
      </w:r>
    </w:p>
    <w:p w14:paraId="47470787" w14:textId="0AF8B17E" w:rsidR="00D2293B" w:rsidRPr="00D73205" w:rsidRDefault="00D2293B" w:rsidP="003861B4">
      <w:pPr>
        <w:spacing w:after="0" w:line="480" w:lineRule="auto"/>
      </w:pPr>
    </w:p>
    <w:p w14:paraId="01BDF463" w14:textId="6E986843" w:rsidR="00D2293B" w:rsidRPr="00D73205" w:rsidRDefault="00D2293B" w:rsidP="003861B4">
      <w:pPr>
        <w:spacing w:after="0" w:line="480" w:lineRule="auto"/>
        <w:rPr>
          <w:b/>
          <w:bCs/>
        </w:rPr>
      </w:pPr>
      <w:r w:rsidRPr="00D73205">
        <w:rPr>
          <w:b/>
          <w:bCs/>
        </w:rPr>
        <w:t>Approach</w:t>
      </w:r>
    </w:p>
    <w:p w14:paraId="5DD7D3E8" w14:textId="7688CFAF" w:rsidR="0045351C" w:rsidRPr="00D73205" w:rsidRDefault="00BA6FEE" w:rsidP="003861B4">
      <w:pPr>
        <w:spacing w:after="0" w:line="480" w:lineRule="auto"/>
      </w:pPr>
      <w:r w:rsidRPr="00D73205">
        <w:t>The notion of sexual citizenship emerged in the early 1990s as a means of describing the relationship between sexuality, the state</w:t>
      </w:r>
      <w:r w:rsidR="007E60D9">
        <w:t>,</w:t>
      </w:r>
      <w:r w:rsidRPr="00D73205">
        <w:t xml:space="preserve"> and global market economies and consumption</w:t>
      </w:r>
      <w:r w:rsidR="001E6BAF" w:rsidRPr="00D73205">
        <w:t xml:space="preserve"> (</w:t>
      </w:r>
      <w:proofErr w:type="spellStart"/>
      <w:r w:rsidR="001E6BAF" w:rsidRPr="00D73205">
        <w:t>Aggleton</w:t>
      </w:r>
      <w:proofErr w:type="spellEnd"/>
      <w:r w:rsidR="001E6BAF" w:rsidRPr="00D73205">
        <w:t xml:space="preserve">, </w:t>
      </w:r>
      <w:proofErr w:type="spellStart"/>
      <w:r w:rsidR="001E6BAF" w:rsidRPr="00D73205">
        <w:t>Prankumar</w:t>
      </w:r>
      <w:proofErr w:type="spellEnd"/>
      <w:r w:rsidR="001E6BAF" w:rsidRPr="00D73205">
        <w:t>, Cover, Leahy, Marshall and Rasmussen, 2019)</w:t>
      </w:r>
      <w:r w:rsidRPr="00D73205">
        <w:t xml:space="preserve">. Defined broadly, the term refers to the ways in which claims to social and political belonging may be made by those traditionally excluded from full participation in the polity by virtue of their sexual </w:t>
      </w:r>
      <w:r w:rsidRPr="00D73205">
        <w:lastRenderedPageBreak/>
        <w:t>identities or practices. In claiming right</w:t>
      </w:r>
      <w:r w:rsidR="001E6BAF" w:rsidRPr="00D73205">
        <w:t>s</w:t>
      </w:r>
      <w:r w:rsidRPr="00D73205">
        <w:t xml:space="preserve"> to live openly and without legal constraint as non-heteronormative citizens,</w:t>
      </w:r>
      <w:r w:rsidR="001E6BAF" w:rsidRPr="00D73205">
        <w:t xml:space="preserve"> for example,</w:t>
      </w:r>
      <w:r w:rsidRPr="00D73205">
        <w:t xml:space="preserve"> LGBTIQ people enact forms of sexual citizenship</w:t>
      </w:r>
      <w:r w:rsidR="00A135B0" w:rsidRPr="00D73205">
        <w:t xml:space="preserve"> via </w:t>
      </w:r>
      <w:r w:rsidR="00CC4518">
        <w:t xml:space="preserve">claiming </w:t>
      </w:r>
      <w:r w:rsidR="00A135B0" w:rsidRPr="00D73205">
        <w:t>common features of citizenship such as ‘enfranchisement, inclusion, belonging, equity and justice, tempered by new responsibilities’ (</w:t>
      </w:r>
      <w:proofErr w:type="spellStart"/>
      <w:r w:rsidRPr="00D73205">
        <w:t>Aggleton</w:t>
      </w:r>
      <w:proofErr w:type="spellEnd"/>
      <w:r w:rsidR="001E6BAF" w:rsidRPr="00D73205">
        <w:t xml:space="preserve"> et al.</w:t>
      </w:r>
      <w:r w:rsidR="00A135B0" w:rsidRPr="00D73205">
        <w:t>,</w:t>
      </w:r>
      <w:r w:rsidR="00C83B89" w:rsidRPr="00D73205">
        <w:t xml:space="preserve"> 2019,</w:t>
      </w:r>
      <w:r w:rsidR="00A135B0" w:rsidRPr="00D73205">
        <w:t xml:space="preserve"> </w:t>
      </w:r>
      <w:r w:rsidRPr="00D73205">
        <w:t>paraphrasing Weekes</w:t>
      </w:r>
      <w:r w:rsidR="00A135B0" w:rsidRPr="00D73205">
        <w:t>, 1998, p. 4). One of the strengths of the notion of sexual citizenship and its mobilisation in scholarship on LGBTIQ claims-making is its capacity to illuminate the mutually constitutive relations between</w:t>
      </w:r>
      <w:r w:rsidR="001E6BAF" w:rsidRPr="00D73205">
        <w:t xml:space="preserve"> the</w:t>
      </w:r>
      <w:r w:rsidR="00A135B0" w:rsidRPr="00D73205">
        <w:t xml:space="preserve"> conventionally separated public and private spheres</w:t>
      </w:r>
      <w:r w:rsidR="001E6BAF" w:rsidRPr="00D73205">
        <w:t xml:space="preserve"> of citizenship and sexuality</w:t>
      </w:r>
      <w:r w:rsidR="00A135B0" w:rsidRPr="00D73205">
        <w:t>. As have feminists (for example, Vance, 198</w:t>
      </w:r>
      <w:r w:rsidR="00D73205" w:rsidRPr="00D73205">
        <w:t>4</w:t>
      </w:r>
      <w:r w:rsidR="007E60D9">
        <w:t>;</w:t>
      </w:r>
      <w:r w:rsidR="00A135B0" w:rsidRPr="00D73205">
        <w:t xml:space="preserve"> </w:t>
      </w:r>
      <w:proofErr w:type="spellStart"/>
      <w:r w:rsidR="00A135B0" w:rsidRPr="00D73205">
        <w:t>Pateman</w:t>
      </w:r>
      <w:proofErr w:type="spellEnd"/>
      <w:r w:rsidR="007E60D9">
        <w:t>,</w:t>
      </w:r>
      <w:r w:rsidR="00A135B0" w:rsidRPr="00D73205">
        <w:t xml:space="preserve"> </w:t>
      </w:r>
      <w:r w:rsidR="00D73205" w:rsidRPr="00D73205">
        <w:t>1988</w:t>
      </w:r>
      <w:r w:rsidR="00A135B0" w:rsidRPr="00D73205">
        <w:t xml:space="preserve">) </w:t>
      </w:r>
      <w:r w:rsidR="007E60D9">
        <w:t xml:space="preserve">before them, </w:t>
      </w:r>
      <w:r w:rsidR="00A135B0" w:rsidRPr="00D73205">
        <w:t xml:space="preserve">activists and scholars working in this area have drawn attention to the key role putatively private practices such as sexual relationships </w:t>
      </w:r>
      <w:r w:rsidR="00D73205" w:rsidRPr="00D73205">
        <w:t xml:space="preserve">play in </w:t>
      </w:r>
      <w:r w:rsidR="00A135B0" w:rsidRPr="00D73205">
        <w:t>produc</w:t>
      </w:r>
      <w:r w:rsidR="00D73205" w:rsidRPr="00D73205">
        <w:t>ing</w:t>
      </w:r>
      <w:r w:rsidR="00A135B0" w:rsidRPr="00D73205">
        <w:t xml:space="preserve"> some as citizens and exclud</w:t>
      </w:r>
      <w:r w:rsidR="007E60D9">
        <w:t>ing</w:t>
      </w:r>
      <w:r w:rsidR="00A135B0" w:rsidRPr="00D73205">
        <w:t xml:space="preserve"> others </w:t>
      </w:r>
      <w:r w:rsidR="007E60D9">
        <w:t>from such status</w:t>
      </w:r>
      <w:r w:rsidR="00A135B0" w:rsidRPr="00D73205">
        <w:t xml:space="preserve">. </w:t>
      </w:r>
    </w:p>
    <w:p w14:paraId="51077D83" w14:textId="77777777" w:rsidR="00A135B0" w:rsidRPr="00D73205" w:rsidRDefault="00A135B0" w:rsidP="003861B4">
      <w:pPr>
        <w:spacing w:after="0" w:line="480" w:lineRule="auto"/>
      </w:pPr>
    </w:p>
    <w:p w14:paraId="67E4C3DB" w14:textId="51417D64" w:rsidR="00D2293B" w:rsidRPr="00D73205" w:rsidRDefault="00A135B0" w:rsidP="003861B4">
      <w:pPr>
        <w:spacing w:after="0" w:line="480" w:lineRule="auto"/>
      </w:pPr>
      <w:r w:rsidRPr="00D73205">
        <w:t xml:space="preserve">Sexual citizenship has been taken up by a wide range of researchers, including those interested in discourses of sexuality surrounding youth, and young people’s ways of navigating sexual identity, sexual practice and sexual norms. As </w:t>
      </w:r>
      <w:proofErr w:type="spellStart"/>
      <w:r w:rsidRPr="00D73205">
        <w:t>Aggleton</w:t>
      </w:r>
      <w:proofErr w:type="spellEnd"/>
      <w:r w:rsidRPr="00D73205">
        <w:t xml:space="preserve"> et al. </w:t>
      </w:r>
      <w:r w:rsidR="007E60D9">
        <w:t xml:space="preserve">(2019) </w:t>
      </w:r>
      <w:r w:rsidRPr="00D73205">
        <w:t xml:space="preserve">point out, while sexual citizenship is, in itself, a challenging concept </w:t>
      </w:r>
      <w:r w:rsidR="00F1503F" w:rsidRPr="00D73205">
        <w:t xml:space="preserve">in the ways </w:t>
      </w:r>
      <w:r w:rsidR="007E60D9">
        <w:t xml:space="preserve">in which </w:t>
      </w:r>
      <w:r w:rsidR="00F1503F" w:rsidRPr="00D73205">
        <w:t xml:space="preserve">it collapses public and private, its use in understanding young people </w:t>
      </w:r>
      <w:r w:rsidR="00BC00A2" w:rsidRPr="00D73205">
        <w:t xml:space="preserve">in particular </w:t>
      </w:r>
      <w:r w:rsidR="00F1503F" w:rsidRPr="00D73205">
        <w:t xml:space="preserve">is even more fraught, most obviously because any discussion of sexuality relating to young people faces a range of </w:t>
      </w:r>
      <w:r w:rsidR="004F5482">
        <w:t xml:space="preserve">further </w:t>
      </w:r>
      <w:r w:rsidR="00F1503F" w:rsidRPr="00D73205">
        <w:t>challenges and concerns. A</w:t>
      </w:r>
      <w:r w:rsidR="003233AB">
        <w:t xml:space="preserve">s indicated above, </w:t>
      </w:r>
      <w:proofErr w:type="gramStart"/>
      <w:r w:rsidR="003233AB">
        <w:t>a</w:t>
      </w:r>
      <w:r w:rsidR="00F1503F" w:rsidRPr="00D73205">
        <w:t xml:space="preserve"> number of</w:t>
      </w:r>
      <w:proofErr w:type="gramEnd"/>
      <w:r w:rsidR="00F1503F" w:rsidRPr="00D73205">
        <w:t xml:space="preserve"> researchers have identified issues of </w:t>
      </w:r>
      <w:r w:rsidR="00BC00A2" w:rsidRPr="00D73205">
        <w:t xml:space="preserve">direct </w:t>
      </w:r>
      <w:r w:rsidR="00F1503F" w:rsidRPr="00D73205">
        <w:t xml:space="preserve">relevance to our argument in this article, in particular, the difficulty young people face </w:t>
      </w:r>
      <w:r w:rsidR="004F5482">
        <w:t xml:space="preserve">in </w:t>
      </w:r>
      <w:r w:rsidR="00F1503F" w:rsidRPr="00D73205">
        <w:t xml:space="preserve">accessing </w:t>
      </w:r>
      <w:r w:rsidR="004F5482" w:rsidRPr="00D73205">
        <w:t xml:space="preserve">reliable factual </w:t>
      </w:r>
      <w:r w:rsidR="00F1503F" w:rsidRPr="00D73205">
        <w:t xml:space="preserve">advice, information and support </w:t>
      </w:r>
      <w:r w:rsidR="003233AB">
        <w:t>on</w:t>
      </w:r>
      <w:r w:rsidR="00F1503F" w:rsidRPr="00D73205">
        <w:t xml:space="preserve"> issues of </w:t>
      </w:r>
      <w:r w:rsidR="005172E4" w:rsidRPr="00D73205">
        <w:t xml:space="preserve">sex and </w:t>
      </w:r>
      <w:r w:rsidR="00F1503F" w:rsidRPr="00D73205">
        <w:t>sexuality. This dynamic is especially evident in the interview material that forms the basis for this article, and that has been analysed in earlier publications from the same project (</w:t>
      </w:r>
      <w:r w:rsidR="00E23540">
        <w:t>Removed to preserve anonymity</w:t>
      </w:r>
      <w:r w:rsidR="00F1503F" w:rsidRPr="00D73205">
        <w:t xml:space="preserve">, </w:t>
      </w:r>
      <w:r w:rsidR="004F5482">
        <w:t>20</w:t>
      </w:r>
      <w:r w:rsidR="004964E1">
        <w:t>20</w:t>
      </w:r>
      <w:r w:rsidR="004F5482">
        <w:t xml:space="preserve">; </w:t>
      </w:r>
      <w:r w:rsidR="00602C8A">
        <w:t>Removed to preserve anonymity</w:t>
      </w:r>
      <w:r w:rsidR="004F5482">
        <w:t xml:space="preserve">, </w:t>
      </w:r>
      <w:r w:rsidR="004964E1">
        <w:t>under review</w:t>
      </w:r>
      <w:r w:rsidR="00F1503F" w:rsidRPr="00D73205">
        <w:t>).</w:t>
      </w:r>
    </w:p>
    <w:p w14:paraId="75CB0842" w14:textId="0908D360" w:rsidR="0045351C" w:rsidRPr="00D73205" w:rsidRDefault="0045351C" w:rsidP="003861B4">
      <w:pPr>
        <w:spacing w:after="0" w:line="480" w:lineRule="auto"/>
      </w:pPr>
    </w:p>
    <w:p w14:paraId="0337685F" w14:textId="4D1DB2C5" w:rsidR="0045351C" w:rsidRPr="00D73205" w:rsidRDefault="0045351C" w:rsidP="003861B4">
      <w:pPr>
        <w:spacing w:after="0" w:line="480" w:lineRule="auto"/>
      </w:pPr>
      <w:bookmarkStart w:id="2" w:name="_Hlk52276633"/>
      <w:r w:rsidRPr="00D73205">
        <w:t xml:space="preserve">To place this </w:t>
      </w:r>
      <w:r w:rsidR="00BC00A2" w:rsidRPr="00D73205">
        <w:t>dynamic</w:t>
      </w:r>
      <w:r w:rsidRPr="00D73205">
        <w:t xml:space="preserve"> in context, we also draw on the notion of the episteme as mobilised in Michel Foucault’s book, </w:t>
      </w:r>
      <w:r w:rsidRPr="00D73205">
        <w:rPr>
          <w:i/>
          <w:iCs/>
        </w:rPr>
        <w:t>The Order of Things</w:t>
      </w:r>
      <w:r w:rsidRPr="00D73205">
        <w:rPr>
          <w:iCs/>
        </w:rPr>
        <w:t xml:space="preserve"> (1994 [1970])</w:t>
      </w:r>
      <w:r w:rsidRPr="00D73205">
        <w:rPr>
          <w:i/>
          <w:iCs/>
        </w:rPr>
        <w:t xml:space="preserve">. </w:t>
      </w:r>
      <w:r w:rsidRPr="00D73205">
        <w:t>In this work Foucault</w:t>
      </w:r>
      <w:r w:rsidRPr="00D73205">
        <w:rPr>
          <w:i/>
          <w:iCs/>
        </w:rPr>
        <w:t xml:space="preserve"> </w:t>
      </w:r>
      <w:r w:rsidRPr="00D73205">
        <w:t xml:space="preserve">examines </w:t>
      </w:r>
      <w:r w:rsidRPr="00D73205">
        <w:lastRenderedPageBreak/>
        <w:t>three disciplines – economics, linguistics and natural history – in order to illustrate the ways in which these diverse intellectual fields share characteristics he defines as emerging from an ‘episteme’ common to all. What does Foucault mean by ‘episteme’? For him the term refers to the system of knowledge, of basic concepts, available at a given time, a system that operates both as the basis for, and boundary of, all knowledge. As Payne puts it, epistemes ‘both enable and limit the production of knowledge, not simply by external, institutional, or political manipulation but by their own determination of the extent of possible intellectual production’ (Payne, 1997, p. 45).</w:t>
      </w:r>
    </w:p>
    <w:p w14:paraId="7FABA5DA" w14:textId="77777777" w:rsidR="0045351C" w:rsidRPr="00D73205" w:rsidRDefault="0045351C" w:rsidP="003861B4">
      <w:pPr>
        <w:spacing w:after="0" w:line="480" w:lineRule="auto"/>
      </w:pPr>
    </w:p>
    <w:p w14:paraId="770695E1" w14:textId="77777777" w:rsidR="0045351C" w:rsidRPr="00D73205" w:rsidRDefault="0045351C" w:rsidP="003861B4">
      <w:pPr>
        <w:spacing w:after="0" w:line="480" w:lineRule="auto"/>
      </w:pPr>
      <w:r w:rsidRPr="00D73205">
        <w:t>Foucault’s book opens with the citation of a short story by Borges in which a taxonomy of animals, reputedly taken from an ancient Chinese encyclopaedia, is quoted (1994, p. xv):</w:t>
      </w:r>
    </w:p>
    <w:p w14:paraId="631E02B6" w14:textId="1D7512A5" w:rsidR="0045351C" w:rsidRPr="00D73205" w:rsidRDefault="0045351C" w:rsidP="0023649D">
      <w:pPr>
        <w:spacing w:after="0" w:line="480" w:lineRule="auto"/>
        <w:ind w:left="720"/>
      </w:pPr>
      <w:r w:rsidRPr="00D73205">
        <w:t>Animals are divided into: (a) belonging to the Emperor, (b) embalmed, (c) tame, (d) sucking pigs, (e) sirens, (f) fabulous, (g) stray dogs, (h) included in the present classification, (</w:t>
      </w:r>
      <w:proofErr w:type="spellStart"/>
      <w:r w:rsidRPr="00D73205">
        <w:t>i</w:t>
      </w:r>
      <w:proofErr w:type="spellEnd"/>
      <w:r w:rsidRPr="00D73205">
        <w:t xml:space="preserve">) frenzied, (j) innumerable, (k) drawn with a very fine camelhair brush, (l) </w:t>
      </w:r>
      <w:r w:rsidRPr="00D73205">
        <w:rPr>
          <w:i/>
        </w:rPr>
        <w:t>et cetera</w:t>
      </w:r>
      <w:r w:rsidRPr="00D73205">
        <w:t>, (m) having just broken the water pitcher, (n) that from a long way off look like flies.</w:t>
      </w:r>
    </w:p>
    <w:p w14:paraId="7E84AE06" w14:textId="06C5D888" w:rsidR="00D73205" w:rsidRPr="00D73205" w:rsidRDefault="003B491D" w:rsidP="003861B4">
      <w:pPr>
        <w:spacing w:after="0" w:line="480" w:lineRule="auto"/>
      </w:pPr>
      <w:r>
        <w:t>Wholly</w:t>
      </w:r>
      <w:r w:rsidR="0045351C" w:rsidRPr="00D73205">
        <w:t xml:space="preserve"> incongruent with modern Western logics, this taxonomy indicates to Foucault the inherent contingency of processes of classification (of systems of knowledge), that is, their dependence on their intellectual, political and philosophical context</w:t>
      </w:r>
      <w:r w:rsidR="00BC00A2" w:rsidRPr="00D73205">
        <w:t>s</w:t>
      </w:r>
      <w:r w:rsidR="0045351C" w:rsidRPr="00D73205">
        <w:t>. He thus asks,</w:t>
      </w:r>
    </w:p>
    <w:p w14:paraId="7EB8586D" w14:textId="0C5495BF" w:rsidR="0045351C" w:rsidRPr="00D73205" w:rsidRDefault="0045351C" w:rsidP="0023649D">
      <w:pPr>
        <w:spacing w:after="0" w:line="480" w:lineRule="auto"/>
        <w:ind w:left="720"/>
      </w:pPr>
      <w:r w:rsidRPr="00D73205">
        <w:t>What if…errors (and truths), the practice of old beliefs, including not only genuine discoveries, but also the most naïve notions, obeyed at a given moment, the laws of a certain code of knowledge? (1994, p. ix)</w:t>
      </w:r>
    </w:p>
    <w:p w14:paraId="01253753" w14:textId="035B1127" w:rsidR="0045351C" w:rsidRPr="00D73205" w:rsidRDefault="0045351C" w:rsidP="003861B4">
      <w:pPr>
        <w:spacing w:after="0" w:line="480" w:lineRule="auto"/>
      </w:pPr>
      <w:r w:rsidRPr="00D73205">
        <w:t>His intention</w:t>
      </w:r>
      <w:r w:rsidR="003B491D">
        <w:t xml:space="preserve"> </w:t>
      </w:r>
      <w:r w:rsidRPr="00D73205">
        <w:t xml:space="preserve">is to describe this ‘code of knowledge’, the ‘epistemological space’ in which his three disciplines of economics, linguistics and natural history are formed. This is not, he says, to draw their validity into question, but to provide a description of the ‘positive unconscious’ (Foucault, 1994, p. xi) of their knowledge. </w:t>
      </w:r>
    </w:p>
    <w:p w14:paraId="0BC82A05" w14:textId="77777777" w:rsidR="0045351C" w:rsidRPr="00D73205" w:rsidRDefault="0045351C" w:rsidP="003861B4">
      <w:pPr>
        <w:spacing w:after="0" w:line="480" w:lineRule="auto"/>
      </w:pPr>
    </w:p>
    <w:p w14:paraId="5BE981D2" w14:textId="7714CDCF" w:rsidR="00B6231C" w:rsidRPr="00D73205" w:rsidRDefault="0045351C" w:rsidP="003861B4">
      <w:pPr>
        <w:spacing w:after="0" w:line="480" w:lineRule="auto"/>
      </w:pPr>
      <w:r w:rsidRPr="00D73205">
        <w:lastRenderedPageBreak/>
        <w:t xml:space="preserve">Part of the task of this article is to </w:t>
      </w:r>
      <w:r w:rsidR="00AC530E">
        <w:t xml:space="preserve">likewise </w:t>
      </w:r>
      <w:r w:rsidRPr="00D73205">
        <w:t xml:space="preserve">consider the ‘unconscious’ that informs the </w:t>
      </w:r>
      <w:r w:rsidR="00BC00A2" w:rsidRPr="00D73205">
        <w:t xml:space="preserve">acquisition and </w:t>
      </w:r>
      <w:r w:rsidRPr="00D73205">
        <w:t xml:space="preserve">navigation of sexual health information described by our participants – to identify and consider the implications of the conventions and values </w:t>
      </w:r>
      <w:r w:rsidR="00D73205" w:rsidRPr="00D73205">
        <w:t>informing</w:t>
      </w:r>
      <w:r w:rsidRPr="00D73205">
        <w:t xml:space="preserve"> the composition and assessment of </w:t>
      </w:r>
      <w:r w:rsidR="00BC00A2" w:rsidRPr="00D73205">
        <w:t xml:space="preserve">that </w:t>
      </w:r>
      <w:r w:rsidRPr="00D73205">
        <w:t>information</w:t>
      </w:r>
      <w:r w:rsidR="00D73205" w:rsidRPr="00D73205">
        <w:t xml:space="preserve"> – what science and technology studies theorist John Law might call the ‘hinterland’ of these composition and assessment efforts</w:t>
      </w:r>
      <w:r w:rsidRPr="00D73205">
        <w:t>. In doing so, the article will illuminate how</w:t>
      </w:r>
      <w:r w:rsidR="003D463C" w:rsidRPr="00D73205">
        <w:t xml:space="preserve">, </w:t>
      </w:r>
      <w:r w:rsidRPr="00D73205">
        <w:t>in search</w:t>
      </w:r>
      <w:r w:rsidR="003D463C" w:rsidRPr="00D73205">
        <w:t>ing for reputable</w:t>
      </w:r>
      <w:r w:rsidRPr="00D73205">
        <w:t xml:space="preserve"> sexual health information</w:t>
      </w:r>
      <w:r w:rsidR="003D463C" w:rsidRPr="00D73205">
        <w:t>,</w:t>
      </w:r>
      <w:r w:rsidRPr="00D73205">
        <w:t xml:space="preserve"> </w:t>
      </w:r>
      <w:r w:rsidR="00782633" w:rsidRPr="00D73205">
        <w:t xml:space="preserve">participants </w:t>
      </w:r>
      <w:r w:rsidR="003D463C" w:rsidRPr="00D73205">
        <w:t>simultaneously</w:t>
      </w:r>
      <w:r w:rsidRPr="00D73205">
        <w:t xml:space="preserve"> act to qualify as ‘epistemic </w:t>
      </w:r>
      <w:proofErr w:type="gramStart"/>
      <w:r w:rsidRPr="00D73205">
        <w:t>citizens’</w:t>
      </w:r>
      <w:proofErr w:type="gramEnd"/>
      <w:r w:rsidRPr="00D73205">
        <w:t>.</w:t>
      </w:r>
      <w:r w:rsidR="003D463C" w:rsidRPr="00D73205">
        <w:t xml:space="preserve"> </w:t>
      </w:r>
      <w:r w:rsidR="00F1503F" w:rsidRPr="00D73205">
        <w:t xml:space="preserve">As Law </w:t>
      </w:r>
      <w:r w:rsidR="005172E4" w:rsidRPr="00D73205">
        <w:t>has</w:t>
      </w:r>
      <w:r w:rsidR="00F1503F" w:rsidRPr="00D73205">
        <w:t xml:space="preserve"> observe</w:t>
      </w:r>
      <w:r w:rsidR="005172E4" w:rsidRPr="00D73205">
        <w:t>d</w:t>
      </w:r>
      <w:r w:rsidR="00F1503F" w:rsidRPr="00D73205">
        <w:t xml:space="preserve"> about the production of any given reality (such as the reality of the youth sexual citizen with rights and responsibilities), other realities always ‘</w:t>
      </w:r>
      <w:r w:rsidR="004F5482">
        <w:t xml:space="preserve">get done incidentally, and </w:t>
      </w:r>
      <w:r w:rsidR="00F1503F" w:rsidRPr="00D73205">
        <w:t>along the way</w:t>
      </w:r>
      <w:r w:rsidR="005172E4" w:rsidRPr="00D73205">
        <w:t>’</w:t>
      </w:r>
      <w:r w:rsidR="00F1503F" w:rsidRPr="00D73205">
        <w:t xml:space="preserve"> (</w:t>
      </w:r>
      <w:r w:rsidR="004F5482">
        <w:t>2011, p. 156</w:t>
      </w:r>
      <w:r w:rsidR="00F1503F" w:rsidRPr="00D73205">
        <w:t>) –</w:t>
      </w:r>
      <w:r w:rsidR="00AC530E">
        <w:t xml:space="preserve"> that is,</w:t>
      </w:r>
      <w:r w:rsidR="00F1503F" w:rsidRPr="00D73205">
        <w:t xml:space="preserve"> ‘collateral’ to the main realities being produced in any process of meaning making. In the context of youth sexual citizenship, such collateral realities are many. Here we focus on one</w:t>
      </w:r>
      <w:r w:rsidR="007A268C" w:rsidRPr="00D73205">
        <w:t xml:space="preserve"> </w:t>
      </w:r>
      <w:r w:rsidR="00F1503F" w:rsidRPr="00D73205">
        <w:t xml:space="preserve">we </w:t>
      </w:r>
      <w:r w:rsidR="00FC233A" w:rsidRPr="00D73205">
        <w:t xml:space="preserve">have </w:t>
      </w:r>
      <w:r w:rsidR="00F1503F" w:rsidRPr="00D73205">
        <w:t>term</w:t>
      </w:r>
      <w:r w:rsidR="00FC233A" w:rsidRPr="00D73205">
        <w:t>ed</w:t>
      </w:r>
      <w:r w:rsidR="00F1503F" w:rsidRPr="00D73205">
        <w:t xml:space="preserve"> ‘epistemic citizenship’</w:t>
      </w:r>
      <w:r w:rsidR="007A268C" w:rsidRPr="00D73205">
        <w:t xml:space="preserve">, or the </w:t>
      </w:r>
      <w:r w:rsidR="00FC233A" w:rsidRPr="00D73205">
        <w:t xml:space="preserve">pursuit </w:t>
      </w:r>
      <w:r w:rsidR="007A268C" w:rsidRPr="00D73205">
        <w:t>of forms of citizenship inclusion through the enactment of specific epistemic values and practices</w:t>
      </w:r>
      <w:r w:rsidR="00F1503F" w:rsidRPr="00D73205">
        <w:t xml:space="preserve">. </w:t>
      </w:r>
      <w:r w:rsidR="00B6231C" w:rsidRPr="00D73205">
        <w:t xml:space="preserve">In mobilising this </w:t>
      </w:r>
      <w:proofErr w:type="gramStart"/>
      <w:r w:rsidR="00B6231C" w:rsidRPr="00D73205">
        <w:t>expression</w:t>
      </w:r>
      <w:proofErr w:type="gramEnd"/>
      <w:r w:rsidR="00B6231C" w:rsidRPr="00D73205">
        <w:t xml:space="preserve"> we acknowledge connections with other notions of epistemic citizenship such as that articulated in Foster’s work on patent law in South Africa (</w:t>
      </w:r>
      <w:r w:rsidR="00D16DD8">
        <w:t xml:space="preserve">2012, </w:t>
      </w:r>
      <w:proofErr w:type="spellStart"/>
      <w:r w:rsidR="00D16DD8">
        <w:t>p.iii</w:t>
      </w:r>
      <w:proofErr w:type="spellEnd"/>
      <w:r w:rsidR="00D16DD8">
        <w:t>)</w:t>
      </w:r>
      <w:r w:rsidR="00B6231C" w:rsidRPr="00D73205">
        <w:t>. Here the term is defined as:</w:t>
      </w:r>
    </w:p>
    <w:p w14:paraId="261D6960" w14:textId="08C49617" w:rsidR="00B6231C" w:rsidRPr="00D73205" w:rsidRDefault="00B6231C" w:rsidP="003861B4">
      <w:pPr>
        <w:spacing w:after="0" w:line="480" w:lineRule="auto"/>
        <w:ind w:left="720"/>
      </w:pPr>
      <w:r w:rsidRPr="00D73205">
        <w:t>the ways in which privileges and responsibilities are being granted in unequal ways based upon whose knowledge matters most to neoliberal economies. To be sure, citizenship has always been linked to knowledge and power. Yet, this research contends that lines of inclusion and exclusion within the nation-state are being drawn in new ways through the expanding regulation and control of knowledge.</w:t>
      </w:r>
    </w:p>
    <w:p w14:paraId="45243C7F" w14:textId="2629B13D" w:rsidR="001F0FA0" w:rsidRPr="00D73205" w:rsidRDefault="00B6231C" w:rsidP="003861B4">
      <w:pPr>
        <w:spacing w:after="0" w:line="480" w:lineRule="auto"/>
      </w:pPr>
      <w:r w:rsidRPr="00D73205">
        <w:t xml:space="preserve">Foster draws on Sheila </w:t>
      </w:r>
      <w:proofErr w:type="spellStart"/>
      <w:r w:rsidRPr="00D73205">
        <w:t>Jasanoff’s</w:t>
      </w:r>
      <w:proofErr w:type="spellEnd"/>
      <w:r w:rsidRPr="00D73205">
        <w:t xml:space="preserve"> elaborations of civic epistemol</w:t>
      </w:r>
      <w:r w:rsidR="00A43B9C" w:rsidRPr="00D73205">
        <w:t>o</w:t>
      </w:r>
      <w:r w:rsidRPr="00D73205">
        <w:t xml:space="preserve">gies (2005) to build her approach, noting that, for </w:t>
      </w:r>
      <w:proofErr w:type="spellStart"/>
      <w:r w:rsidRPr="00D73205">
        <w:t>Jasanoff</w:t>
      </w:r>
      <w:proofErr w:type="spellEnd"/>
      <w:r w:rsidRPr="00D73205">
        <w:t>, ‘modes of citizenship find new expression in political contestations over science and knowledge</w:t>
      </w:r>
      <w:r w:rsidR="00A43B9C" w:rsidRPr="00D73205">
        <w:t>’. As will become clear, the argument being made in our analysis here</w:t>
      </w:r>
      <w:r w:rsidR="00BC00A2" w:rsidRPr="00D73205">
        <w:t xml:space="preserve"> identifies similar contestations in our data, while</w:t>
      </w:r>
      <w:r w:rsidR="00A43B9C" w:rsidRPr="00D73205">
        <w:t xml:space="preserve"> focus</w:t>
      </w:r>
      <w:r w:rsidR="00BC00A2" w:rsidRPr="00D73205">
        <w:t>ing</w:t>
      </w:r>
      <w:r w:rsidR="00A43B9C" w:rsidRPr="00D73205">
        <w:t xml:space="preserve"> </w:t>
      </w:r>
      <w:r w:rsidR="00BC00A2" w:rsidRPr="00D73205">
        <w:t>especially</w:t>
      </w:r>
      <w:r w:rsidR="00A43B9C" w:rsidRPr="00D73205">
        <w:t xml:space="preserve"> closely on the governmentality dimensions of </w:t>
      </w:r>
      <w:proofErr w:type="gramStart"/>
      <w:r w:rsidR="00A43B9C" w:rsidRPr="00D73205">
        <w:t>particular engagements</w:t>
      </w:r>
      <w:proofErr w:type="gramEnd"/>
      <w:r w:rsidR="00A43B9C" w:rsidRPr="00D73205">
        <w:t xml:space="preserve"> with knowledge making and values relating to knowledge. </w:t>
      </w:r>
      <w:r w:rsidR="00F1503F" w:rsidRPr="00D73205">
        <w:t xml:space="preserve">This focus arises out of two key observations: </w:t>
      </w:r>
    </w:p>
    <w:p w14:paraId="008FCE9D" w14:textId="76AC325D" w:rsidR="001F0FA0" w:rsidRPr="00D73205" w:rsidRDefault="00F1503F" w:rsidP="003861B4">
      <w:pPr>
        <w:spacing w:after="0" w:line="480" w:lineRule="auto"/>
        <w:ind w:left="720"/>
      </w:pPr>
      <w:r w:rsidRPr="00D73205">
        <w:lastRenderedPageBreak/>
        <w:t xml:space="preserve">1) </w:t>
      </w:r>
      <w:r w:rsidR="006F6896" w:rsidRPr="00D73205">
        <w:t xml:space="preserve">our interview data indicate considerable struggles </w:t>
      </w:r>
      <w:r w:rsidR="00AC530E">
        <w:t xml:space="preserve">among young people </w:t>
      </w:r>
      <w:r w:rsidR="006F6896" w:rsidRPr="00D73205">
        <w:t xml:space="preserve">to find relevant and reliable </w:t>
      </w:r>
      <w:r w:rsidR="001F0FA0" w:rsidRPr="00D73205">
        <w:t>relationship</w:t>
      </w:r>
      <w:r w:rsidR="00AC530E">
        <w:t>s</w:t>
      </w:r>
      <w:r w:rsidR="001F0FA0" w:rsidRPr="00D73205">
        <w:t xml:space="preserve"> and </w:t>
      </w:r>
      <w:r w:rsidR="006F6896" w:rsidRPr="00D73205">
        <w:t>sexual health information</w:t>
      </w:r>
      <w:r w:rsidR="001F0FA0" w:rsidRPr="00D73205">
        <w:t xml:space="preserve">, </w:t>
      </w:r>
      <w:r w:rsidR="005172E4" w:rsidRPr="00D73205">
        <w:t>inviting</w:t>
      </w:r>
      <w:r w:rsidR="001F0FA0" w:rsidRPr="00D73205">
        <w:t xml:space="preserve"> extensive and complex processes of research and synthesis</w:t>
      </w:r>
      <w:r w:rsidR="006F6896" w:rsidRPr="00D73205">
        <w:t xml:space="preserve">; and </w:t>
      </w:r>
    </w:p>
    <w:p w14:paraId="3D3AF5AF" w14:textId="0E735D98" w:rsidR="001F0FA0" w:rsidRPr="00D73205" w:rsidRDefault="006F6896" w:rsidP="003861B4">
      <w:pPr>
        <w:spacing w:after="0" w:line="480" w:lineRule="auto"/>
        <w:ind w:left="720"/>
      </w:pPr>
      <w:r w:rsidRPr="00D73205">
        <w:t>2) th</w:t>
      </w:r>
      <w:r w:rsidR="001F0FA0" w:rsidRPr="00D73205">
        <w:t xml:space="preserve">is research and synthesis </w:t>
      </w:r>
      <w:r w:rsidR="005172E4" w:rsidRPr="00D73205">
        <w:t>entails</w:t>
      </w:r>
      <w:r w:rsidR="001F0FA0" w:rsidRPr="00D73205">
        <w:t xml:space="preserve"> the </w:t>
      </w:r>
      <w:r w:rsidRPr="00D73205">
        <w:t xml:space="preserve">enactment of a particular </w:t>
      </w:r>
      <w:r w:rsidR="00782633" w:rsidRPr="00D73205">
        <w:t xml:space="preserve">episteme </w:t>
      </w:r>
      <w:r w:rsidR="00081422">
        <w:t xml:space="preserve">– </w:t>
      </w:r>
      <w:r w:rsidR="00BC00A2" w:rsidRPr="00D73205">
        <w:t xml:space="preserve">that of </w:t>
      </w:r>
      <w:r w:rsidR="00782633" w:rsidRPr="00D73205">
        <w:t>scientific rationalism</w:t>
      </w:r>
      <w:r w:rsidR="00081422">
        <w:t xml:space="preserve"> –</w:t>
      </w:r>
      <w:r w:rsidR="00782633" w:rsidRPr="00D73205">
        <w:t xml:space="preserve"> and a particular </w:t>
      </w:r>
      <w:r w:rsidRPr="00D73205">
        <w:t>kind of knowledge citizenship – one in which young people enact themselves as careful, informed, responsible seekers of</w:t>
      </w:r>
      <w:r w:rsidR="001F0FA0" w:rsidRPr="00D73205">
        <w:t xml:space="preserve"> high-quality,</w:t>
      </w:r>
      <w:r w:rsidRPr="00D73205">
        <w:t xml:space="preserve"> trustworthy</w:t>
      </w:r>
      <w:r w:rsidR="00C16515">
        <w:t>,</w:t>
      </w:r>
      <w:r w:rsidRPr="00D73205">
        <w:t xml:space="preserve"> legitimate knowledge</w:t>
      </w:r>
      <w:r w:rsidR="001F0FA0" w:rsidRPr="00D73205">
        <w:t xml:space="preserve"> about sex and sexuality</w:t>
      </w:r>
      <w:r w:rsidR="005172E4" w:rsidRPr="00D73205">
        <w:t>,</w:t>
      </w:r>
      <w:r w:rsidR="001F0FA0" w:rsidRPr="00D73205">
        <w:t xml:space="preserve"> even as that high-quality information remains elusive</w:t>
      </w:r>
      <w:r w:rsidR="005172E4" w:rsidRPr="00D73205">
        <w:t>, and its promise of quality is undermined by failures of scope or detail</w:t>
      </w:r>
      <w:r w:rsidRPr="00D73205">
        <w:t xml:space="preserve">. </w:t>
      </w:r>
    </w:p>
    <w:p w14:paraId="7C639600" w14:textId="6F0D146E" w:rsidR="00F1503F" w:rsidRPr="00D73205" w:rsidRDefault="001F0FA0" w:rsidP="003861B4">
      <w:pPr>
        <w:spacing w:after="0" w:line="480" w:lineRule="auto"/>
      </w:pPr>
      <w:r w:rsidRPr="00D73205">
        <w:t xml:space="preserve">As we will argue, these </w:t>
      </w:r>
      <w:r w:rsidR="006F6896" w:rsidRPr="00D73205">
        <w:t>dynamic</w:t>
      </w:r>
      <w:r w:rsidRPr="00D73205">
        <w:t>s are</w:t>
      </w:r>
      <w:r w:rsidR="006F6896" w:rsidRPr="00D73205">
        <w:t xml:space="preserve"> important for several reasons. </w:t>
      </w:r>
      <w:r w:rsidRPr="00D73205">
        <w:t>First, they are uniquely challenging for young people</w:t>
      </w:r>
      <w:r w:rsidR="006F6896" w:rsidRPr="00D73205">
        <w:t xml:space="preserve"> in that </w:t>
      </w:r>
      <w:r w:rsidR="008E5289">
        <w:t>official or formal</w:t>
      </w:r>
      <w:r w:rsidR="00BC00A2" w:rsidRPr="00D73205">
        <w:t xml:space="preserve"> knowledge</w:t>
      </w:r>
      <w:r w:rsidR="006F6896" w:rsidRPr="00D73205">
        <w:t xml:space="preserve"> resources available to </w:t>
      </w:r>
      <w:r w:rsidRPr="00D73205">
        <w:t>them</w:t>
      </w:r>
      <w:r w:rsidR="006F6896" w:rsidRPr="00D73205">
        <w:t xml:space="preserve"> are so limited and partial</w:t>
      </w:r>
      <w:r w:rsidRPr="00D73205">
        <w:t>. Second, based on our interviews, they appear to</w:t>
      </w:r>
      <w:r w:rsidR="006F6896" w:rsidRPr="00D73205">
        <w:t xml:space="preserve"> require the strict separation of knowledge into binary pairs (fact and opinion, science and experience) – the very binary dynamic that has historically erased the relationship between sexuality and citizenship, limiting capacities to challenge </w:t>
      </w:r>
      <w:r w:rsidR="005172E4" w:rsidRPr="00D73205">
        <w:t xml:space="preserve">sex and sexuality-based </w:t>
      </w:r>
      <w:r w:rsidR="006F6896" w:rsidRPr="00D73205">
        <w:t>discrimination</w:t>
      </w:r>
      <w:r w:rsidR="005172E4" w:rsidRPr="00D73205">
        <w:t>,</w:t>
      </w:r>
      <w:r w:rsidRPr="00D73205">
        <w:t xml:space="preserve"> and expand rights</w:t>
      </w:r>
      <w:r w:rsidR="006F6896" w:rsidRPr="00D73205">
        <w:t>.</w:t>
      </w:r>
      <w:r w:rsidR="00BC00A2" w:rsidRPr="00D73205">
        <w:t xml:space="preserve"> This is the scientific rationalism noted above.</w:t>
      </w:r>
      <w:r w:rsidRPr="00D73205">
        <w:t xml:space="preserve"> Third</w:t>
      </w:r>
      <w:r w:rsidR="006F6896" w:rsidRPr="00D73205">
        <w:t xml:space="preserve">, </w:t>
      </w:r>
      <w:r w:rsidR="00A43520" w:rsidRPr="00D73205">
        <w:t>even as</w:t>
      </w:r>
      <w:r w:rsidR="006F6896" w:rsidRPr="00D73205">
        <w:t xml:space="preserve"> young people take up the injunction to separate science and experience, fact and opinion, </w:t>
      </w:r>
      <w:r w:rsidRPr="00D73205">
        <w:t>the</w:t>
      </w:r>
      <w:r w:rsidR="00A43520" w:rsidRPr="00D73205">
        <w:t>se efforts</w:t>
      </w:r>
      <w:r w:rsidRPr="00D73205">
        <w:t xml:space="preserve"> </w:t>
      </w:r>
      <w:r w:rsidR="006F6896" w:rsidRPr="00D73205">
        <w:t>do not deliver the clear, representative and nuanced information they seek</w:t>
      </w:r>
      <w:r w:rsidR="00A43520" w:rsidRPr="00D73205">
        <w:t xml:space="preserve">. </w:t>
      </w:r>
      <w:r w:rsidR="001E6BAF" w:rsidRPr="00D73205">
        <w:t xml:space="preserve">In concluding our analysis, we will argue that sexual health information </w:t>
      </w:r>
      <w:r w:rsidR="00BC00A2" w:rsidRPr="00D73205">
        <w:t xml:space="preserve">and the call for youth literacy in it </w:t>
      </w:r>
      <w:r w:rsidR="001E6BAF" w:rsidRPr="00D73205">
        <w:t>operate</w:t>
      </w:r>
      <w:r w:rsidR="00BC00A2" w:rsidRPr="00D73205">
        <w:t>s</w:t>
      </w:r>
      <w:r w:rsidR="001E6BAF" w:rsidRPr="00D73205">
        <w:t xml:space="preserve"> among young people as a mechanism for generating a specific modern form of ‘epistemic citizenship’ by which new citizens are minted not only as sceptical, but also as </w:t>
      </w:r>
      <w:proofErr w:type="spellStart"/>
      <w:r w:rsidR="001E6BAF" w:rsidRPr="00D73205">
        <w:t>responsibilised</w:t>
      </w:r>
      <w:proofErr w:type="spellEnd"/>
      <w:r w:rsidR="001E6BAF" w:rsidRPr="00D73205">
        <w:t xml:space="preserve"> for seeking and finding the ‘truth’ even as that truth</w:t>
      </w:r>
      <w:r w:rsidR="00A43520" w:rsidRPr="00D73205">
        <w:t xml:space="preserve"> itself </w:t>
      </w:r>
      <w:r w:rsidR="00BC00A2" w:rsidRPr="00D73205">
        <w:t>proves relentlessly</w:t>
      </w:r>
      <w:r w:rsidR="00A43520" w:rsidRPr="00D73205">
        <w:t xml:space="preserve"> partial.</w:t>
      </w:r>
    </w:p>
    <w:bookmarkEnd w:id="2"/>
    <w:p w14:paraId="38C870C6" w14:textId="7C9B3A90" w:rsidR="00D2293B" w:rsidRPr="00D73205" w:rsidRDefault="00D2293B" w:rsidP="003861B4">
      <w:pPr>
        <w:spacing w:after="0" w:line="480" w:lineRule="auto"/>
      </w:pPr>
    </w:p>
    <w:p w14:paraId="4150EC55" w14:textId="59BA874C" w:rsidR="00436F0D" w:rsidRPr="00D73205" w:rsidRDefault="00D2293B" w:rsidP="003861B4">
      <w:pPr>
        <w:spacing w:after="0" w:line="480" w:lineRule="auto"/>
      </w:pPr>
      <w:r w:rsidRPr="00D73205">
        <w:rPr>
          <w:b/>
          <w:bCs/>
        </w:rPr>
        <w:t>Method</w:t>
      </w:r>
    </w:p>
    <w:p w14:paraId="4F0879B5" w14:textId="7D8A87BB" w:rsidR="00436F0D" w:rsidRPr="00065E1C" w:rsidRDefault="00A43B9C" w:rsidP="00065E1C">
      <w:pPr>
        <w:spacing w:after="0" w:line="480" w:lineRule="auto"/>
        <w:rPr>
          <w:lang w:eastAsia="ja-JP"/>
        </w:rPr>
      </w:pPr>
      <w:r w:rsidRPr="00065E1C">
        <w:t xml:space="preserve">The </w:t>
      </w:r>
      <w:r w:rsidR="00436F0D" w:rsidRPr="00065E1C">
        <w:t xml:space="preserve">analysis </w:t>
      </w:r>
      <w:r w:rsidRPr="00065E1C">
        <w:t xml:space="preserve">conducted here </w:t>
      </w:r>
      <w:r w:rsidR="00436F0D" w:rsidRPr="00065E1C">
        <w:t xml:space="preserve">draws on semi-structured interviews conducted with 37 </w:t>
      </w:r>
      <w:r w:rsidR="00426195" w:rsidRPr="00065E1C">
        <w:t>young people in Australia</w:t>
      </w:r>
      <w:r w:rsidR="00436F0D" w:rsidRPr="00065E1C">
        <w:t xml:space="preserve"> aged between 18 and 21</w:t>
      </w:r>
      <w:r w:rsidRPr="00065E1C">
        <w:t xml:space="preserve">. </w:t>
      </w:r>
      <w:r w:rsidR="00436F0D" w:rsidRPr="00065E1C">
        <w:t xml:space="preserve">Recruitment primarily relied on a database of contacts from a national sexual health survey of Australian secondary students (Fisher et al., </w:t>
      </w:r>
      <w:r w:rsidR="00436F0D" w:rsidRPr="00065E1C">
        <w:lastRenderedPageBreak/>
        <w:t xml:space="preserve">2019). </w:t>
      </w:r>
      <w:r w:rsidR="00065E1C" w:rsidRPr="00065E1C">
        <w:rPr>
          <w:lang w:eastAsia="ja-JP"/>
        </w:rPr>
        <w:t>Prospective participants who responded to an initial email invitation were screened to confirm eligibility. The majority</w:t>
      </w:r>
      <w:r w:rsidR="00065E1C">
        <w:rPr>
          <w:lang w:eastAsia="ja-JP"/>
        </w:rPr>
        <w:t xml:space="preserve"> (17)</w:t>
      </w:r>
      <w:r w:rsidR="00065E1C" w:rsidRPr="00065E1C">
        <w:rPr>
          <w:lang w:eastAsia="ja-JP"/>
        </w:rPr>
        <w:t xml:space="preserve"> of the 32 young people who were recruited using this method were heterosexual or LBQ women</w:t>
      </w:r>
      <w:r w:rsidR="00065E1C">
        <w:rPr>
          <w:lang w:eastAsia="ja-JP"/>
        </w:rPr>
        <w:t xml:space="preserve"> (see appendix for participant breakdown)</w:t>
      </w:r>
      <w:r w:rsidR="00065E1C" w:rsidRPr="00065E1C">
        <w:rPr>
          <w:lang w:eastAsia="ja-JP"/>
        </w:rPr>
        <w:t>. In order to recruit more young men and trans and gender diverse people, we posted a special call targeting these groups on social media. Five more participants were recruited this way, including two heterosexual men, one non-binary person, one trans man and one trans woman. This brought the total number of participants to 37.</w:t>
      </w:r>
      <w:r w:rsidR="00065E1C">
        <w:rPr>
          <w:lang w:eastAsia="ja-JP"/>
        </w:rPr>
        <w:t xml:space="preserve"> </w:t>
      </w:r>
      <w:r w:rsidR="00065E1C">
        <w:t>Of p</w:t>
      </w:r>
      <w:r w:rsidR="00436F0D" w:rsidRPr="00065E1C">
        <w:t>articular relevan</w:t>
      </w:r>
      <w:r w:rsidR="00065E1C">
        <w:t>ce</w:t>
      </w:r>
      <w:r w:rsidR="00436F0D" w:rsidRPr="00065E1C">
        <w:t xml:space="preserve"> to our focus on </w:t>
      </w:r>
      <w:r w:rsidR="005D3B7B" w:rsidRPr="00065E1C">
        <w:t>assessments of reliability and truth</w:t>
      </w:r>
      <w:r w:rsidR="00436F0D" w:rsidRPr="00065E1C">
        <w:t>, most participants were university students</w:t>
      </w:r>
      <w:r w:rsidR="00081422" w:rsidRPr="00065E1C">
        <w:t xml:space="preserve"> in</w:t>
      </w:r>
      <w:r w:rsidR="00436F0D" w:rsidRPr="00065E1C">
        <w:t xml:space="preserve"> their first or second year of </w:t>
      </w:r>
      <w:r w:rsidR="00081422" w:rsidRPr="00065E1C">
        <w:t>study</w:t>
      </w:r>
      <w:r w:rsidR="00436F0D" w:rsidRPr="00065E1C">
        <w:t xml:space="preserve">, which meant that the majority had at least a secondary school </w:t>
      </w:r>
      <w:proofErr w:type="gramStart"/>
      <w:r w:rsidR="00436F0D" w:rsidRPr="00065E1C">
        <w:t>education</w:t>
      </w:r>
      <w:r w:rsidR="00065E1C">
        <w:t>, and</w:t>
      </w:r>
      <w:proofErr w:type="gramEnd"/>
      <w:r w:rsidR="00065E1C">
        <w:t xml:space="preserve"> had embarked on higher education</w:t>
      </w:r>
      <w:r w:rsidR="00436F0D" w:rsidRPr="00065E1C">
        <w:t xml:space="preserve">. </w:t>
      </w:r>
    </w:p>
    <w:p w14:paraId="13320347" w14:textId="77777777" w:rsidR="00436F0D" w:rsidRPr="00D73205" w:rsidRDefault="00436F0D" w:rsidP="003861B4">
      <w:pPr>
        <w:spacing w:after="0" w:line="480" w:lineRule="auto"/>
      </w:pPr>
    </w:p>
    <w:p w14:paraId="35F8A87F" w14:textId="48BD5114" w:rsidR="00A43B9C" w:rsidRDefault="00A43B9C" w:rsidP="003861B4">
      <w:pPr>
        <w:pStyle w:val="LTU-Body10pt"/>
        <w:spacing w:after="0" w:line="480" w:lineRule="auto"/>
        <w:jc w:val="left"/>
        <w:rPr>
          <w:rFonts w:ascii="Arial" w:hAnsi="Arial"/>
          <w:sz w:val="22"/>
          <w:szCs w:val="22"/>
        </w:rPr>
      </w:pPr>
      <w:r w:rsidRPr="00D73205">
        <w:rPr>
          <w:rFonts w:ascii="Arial" w:hAnsi="Arial"/>
          <w:sz w:val="22"/>
          <w:szCs w:val="22"/>
        </w:rPr>
        <w:t xml:space="preserve">Interviews were conducted via audio/video conferencing, phone calls and instant messaging. These collection methods were adopted because the project was conducted during the outbreak of COVID-19 in Australia, meaning in-person contact was highly </w:t>
      </w:r>
      <w:r w:rsidR="00081422">
        <w:rPr>
          <w:rFonts w:ascii="Arial" w:hAnsi="Arial"/>
          <w:sz w:val="22"/>
          <w:szCs w:val="22"/>
        </w:rPr>
        <w:t>restricted</w:t>
      </w:r>
      <w:r w:rsidRPr="00D73205">
        <w:rPr>
          <w:rFonts w:ascii="Arial" w:hAnsi="Arial"/>
          <w:sz w:val="22"/>
          <w:szCs w:val="22"/>
        </w:rPr>
        <w:t xml:space="preserve">. </w:t>
      </w:r>
      <w:r w:rsidR="00436F0D" w:rsidRPr="00D73205">
        <w:rPr>
          <w:rFonts w:ascii="Arial" w:hAnsi="Arial"/>
          <w:sz w:val="22"/>
          <w:szCs w:val="22"/>
        </w:rPr>
        <w:t xml:space="preserve">While the differing functionalities of these technologies likely shaped how the interviews unfolded, the approach allowed us to be highly flexible in complying with the COVID-19 restrictions and adapting to the contextual constraints of our participants. For example, </w:t>
      </w:r>
      <w:proofErr w:type="gramStart"/>
      <w:r w:rsidR="00436F0D" w:rsidRPr="00D73205">
        <w:rPr>
          <w:rFonts w:ascii="Arial" w:hAnsi="Arial"/>
          <w:sz w:val="22"/>
          <w:szCs w:val="22"/>
        </w:rPr>
        <w:t>the majority of</w:t>
      </w:r>
      <w:proofErr w:type="gramEnd"/>
      <w:r w:rsidR="00436F0D" w:rsidRPr="00D73205">
        <w:rPr>
          <w:rFonts w:ascii="Arial" w:hAnsi="Arial"/>
          <w:sz w:val="22"/>
          <w:szCs w:val="22"/>
        </w:rPr>
        <w:t xml:space="preserve"> young people did not have access to private spaces for</w:t>
      </w:r>
      <w:r w:rsidR="00426195" w:rsidRPr="00D73205">
        <w:rPr>
          <w:rFonts w:ascii="Arial" w:hAnsi="Arial"/>
          <w:sz w:val="22"/>
          <w:szCs w:val="22"/>
        </w:rPr>
        <w:t xml:space="preserve"> voice</w:t>
      </w:r>
      <w:r w:rsidR="00436F0D" w:rsidRPr="00D73205">
        <w:rPr>
          <w:rFonts w:ascii="Arial" w:hAnsi="Arial"/>
          <w:sz w:val="22"/>
          <w:szCs w:val="22"/>
        </w:rPr>
        <w:t xml:space="preserve"> or video-chat interviews (four out of five were living with their parents at the time of interview). As a result, about half opted for an instant messaging interview as this enabled a degree of privacy and freedom in responding. </w:t>
      </w:r>
      <w:r w:rsidRPr="00D73205">
        <w:rPr>
          <w:rFonts w:ascii="Arial" w:hAnsi="Arial"/>
          <w:sz w:val="22"/>
          <w:szCs w:val="22"/>
        </w:rPr>
        <w:t xml:space="preserve">Ethics approval was granted by </w:t>
      </w:r>
      <w:r w:rsidR="00081422">
        <w:rPr>
          <w:rFonts w:ascii="Arial" w:hAnsi="Arial"/>
          <w:sz w:val="22"/>
          <w:szCs w:val="22"/>
        </w:rPr>
        <w:t xml:space="preserve">the </w:t>
      </w:r>
      <w:r w:rsidR="00F86ECB">
        <w:rPr>
          <w:rFonts w:ascii="Arial" w:hAnsi="Arial"/>
          <w:sz w:val="22"/>
          <w:szCs w:val="22"/>
        </w:rPr>
        <w:t>[redacted]</w:t>
      </w:r>
      <w:r w:rsidRPr="00D73205">
        <w:rPr>
          <w:rFonts w:ascii="Arial" w:hAnsi="Arial"/>
          <w:sz w:val="22"/>
          <w:szCs w:val="22"/>
        </w:rPr>
        <w:t xml:space="preserve"> </w:t>
      </w:r>
      <w:r w:rsidR="00081422">
        <w:rPr>
          <w:rFonts w:ascii="Arial" w:hAnsi="Arial"/>
          <w:sz w:val="22"/>
          <w:szCs w:val="22"/>
        </w:rPr>
        <w:t xml:space="preserve">University </w:t>
      </w:r>
      <w:r w:rsidRPr="00D73205">
        <w:rPr>
          <w:rFonts w:ascii="Arial" w:hAnsi="Arial"/>
          <w:sz w:val="22"/>
          <w:szCs w:val="22"/>
        </w:rPr>
        <w:t>Human Research Ethics Committee (HEC20110).</w:t>
      </w:r>
    </w:p>
    <w:p w14:paraId="21DC38EB" w14:textId="5E098E70" w:rsidR="00767458" w:rsidRPr="00767458" w:rsidRDefault="00767458" w:rsidP="00767458">
      <w:pPr>
        <w:pStyle w:val="LTU-Body10pt"/>
        <w:spacing w:after="0" w:line="480" w:lineRule="auto"/>
        <w:jc w:val="left"/>
        <w:rPr>
          <w:rFonts w:ascii="Arial" w:hAnsi="Arial"/>
          <w:sz w:val="22"/>
          <w:szCs w:val="22"/>
        </w:rPr>
      </w:pPr>
    </w:p>
    <w:p w14:paraId="7BDB14A0" w14:textId="115D64C8" w:rsidR="00767458" w:rsidRPr="00767458" w:rsidRDefault="00767458" w:rsidP="00767458">
      <w:pPr>
        <w:pStyle w:val="LTU-Body10pt"/>
        <w:spacing w:after="0" w:line="480" w:lineRule="auto"/>
        <w:jc w:val="left"/>
        <w:rPr>
          <w:rFonts w:ascii="Arial" w:hAnsi="Arial"/>
          <w:sz w:val="22"/>
          <w:szCs w:val="22"/>
        </w:rPr>
      </w:pPr>
      <w:r>
        <w:rPr>
          <w:rFonts w:ascii="Arial" w:hAnsi="Arial"/>
          <w:sz w:val="22"/>
          <w:szCs w:val="22"/>
        </w:rPr>
        <w:t>Interviewing via i</w:t>
      </w:r>
      <w:r w:rsidRPr="00767458">
        <w:rPr>
          <w:rFonts w:ascii="Arial" w:hAnsi="Arial"/>
          <w:sz w:val="22"/>
          <w:szCs w:val="22"/>
        </w:rPr>
        <w:t xml:space="preserve">nstant messaging was not without challenges. </w:t>
      </w:r>
      <w:r>
        <w:rPr>
          <w:rFonts w:ascii="Arial" w:hAnsi="Arial"/>
          <w:sz w:val="22"/>
          <w:szCs w:val="22"/>
        </w:rPr>
        <w:t>Participant responses were slow at times</w:t>
      </w:r>
      <w:r w:rsidRPr="00767458">
        <w:rPr>
          <w:rFonts w:ascii="Arial" w:hAnsi="Arial"/>
          <w:sz w:val="22"/>
          <w:szCs w:val="22"/>
        </w:rPr>
        <w:t xml:space="preserve">, and </w:t>
      </w:r>
      <w:r>
        <w:rPr>
          <w:rFonts w:ascii="Arial" w:hAnsi="Arial"/>
          <w:sz w:val="22"/>
          <w:szCs w:val="22"/>
        </w:rPr>
        <w:t>these</w:t>
      </w:r>
      <w:r w:rsidRPr="00767458">
        <w:rPr>
          <w:rFonts w:ascii="Arial" w:hAnsi="Arial"/>
          <w:sz w:val="22"/>
          <w:szCs w:val="22"/>
        </w:rPr>
        <w:t xml:space="preserve"> interviews took on average </w:t>
      </w:r>
      <w:r w:rsidR="003A6600">
        <w:rPr>
          <w:rFonts w:ascii="Arial" w:hAnsi="Arial"/>
          <w:sz w:val="22"/>
          <w:szCs w:val="22"/>
        </w:rPr>
        <w:t>30 minutes</w:t>
      </w:r>
      <w:r w:rsidRPr="00767458">
        <w:rPr>
          <w:rFonts w:ascii="Arial" w:hAnsi="Arial"/>
          <w:sz w:val="22"/>
          <w:szCs w:val="22"/>
        </w:rPr>
        <w:t xml:space="preserve"> longer than</w:t>
      </w:r>
      <w:r>
        <w:rPr>
          <w:rFonts w:ascii="Arial" w:hAnsi="Arial"/>
          <w:sz w:val="22"/>
          <w:szCs w:val="22"/>
        </w:rPr>
        <w:t xml:space="preserve"> audio/video or phone </w:t>
      </w:r>
      <w:r w:rsidRPr="00767458">
        <w:rPr>
          <w:rFonts w:ascii="Arial" w:hAnsi="Arial"/>
          <w:sz w:val="22"/>
          <w:szCs w:val="22"/>
        </w:rPr>
        <w:t>interviews. Assessing facial</w:t>
      </w:r>
      <w:r>
        <w:rPr>
          <w:rFonts w:ascii="Arial" w:hAnsi="Arial"/>
          <w:sz w:val="22"/>
          <w:szCs w:val="22"/>
        </w:rPr>
        <w:t xml:space="preserve"> expressions and </w:t>
      </w:r>
      <w:r w:rsidRPr="00767458">
        <w:rPr>
          <w:rFonts w:ascii="Arial" w:hAnsi="Arial"/>
          <w:sz w:val="22"/>
          <w:szCs w:val="22"/>
        </w:rPr>
        <w:t>body language, or vocal inflection, which can be important parts of the data collection process</w:t>
      </w:r>
      <w:r>
        <w:rPr>
          <w:rFonts w:ascii="Arial" w:hAnsi="Arial"/>
          <w:sz w:val="22"/>
          <w:szCs w:val="22"/>
        </w:rPr>
        <w:t>,</w:t>
      </w:r>
      <w:r w:rsidRPr="00767458">
        <w:rPr>
          <w:rFonts w:ascii="Arial" w:hAnsi="Arial"/>
          <w:sz w:val="22"/>
          <w:szCs w:val="22"/>
        </w:rPr>
        <w:t xml:space="preserve"> is also not</w:t>
      </w:r>
      <w:r>
        <w:rPr>
          <w:rFonts w:ascii="Arial" w:hAnsi="Arial"/>
          <w:sz w:val="22"/>
          <w:szCs w:val="22"/>
        </w:rPr>
        <w:t xml:space="preserve"> possible</w:t>
      </w:r>
      <w:r w:rsidRPr="00767458">
        <w:rPr>
          <w:rFonts w:ascii="Arial" w:hAnsi="Arial"/>
          <w:sz w:val="22"/>
          <w:szCs w:val="22"/>
        </w:rPr>
        <w:t xml:space="preserve"> in this method. However, instant messaging </w:t>
      </w:r>
      <w:r>
        <w:rPr>
          <w:rFonts w:ascii="Arial" w:hAnsi="Arial"/>
          <w:sz w:val="22"/>
          <w:szCs w:val="22"/>
        </w:rPr>
        <w:t>had positives as well</w:t>
      </w:r>
      <w:r w:rsidR="003A6600">
        <w:rPr>
          <w:rFonts w:ascii="Arial" w:hAnsi="Arial"/>
          <w:sz w:val="22"/>
          <w:szCs w:val="22"/>
        </w:rPr>
        <w:t>,</w:t>
      </w:r>
      <w:r>
        <w:rPr>
          <w:rFonts w:ascii="Arial" w:hAnsi="Arial"/>
          <w:sz w:val="22"/>
          <w:szCs w:val="22"/>
        </w:rPr>
        <w:t xml:space="preserve"> for example, it </w:t>
      </w:r>
      <w:r w:rsidRPr="00767458">
        <w:rPr>
          <w:rFonts w:ascii="Arial" w:hAnsi="Arial"/>
          <w:sz w:val="22"/>
          <w:szCs w:val="22"/>
        </w:rPr>
        <w:t xml:space="preserve">allowed young people a </w:t>
      </w:r>
      <w:r w:rsidRPr="00767458">
        <w:rPr>
          <w:rFonts w:ascii="Arial" w:hAnsi="Arial"/>
          <w:sz w:val="22"/>
          <w:szCs w:val="22"/>
        </w:rPr>
        <w:lastRenderedPageBreak/>
        <w:t xml:space="preserve">degree of privacy </w:t>
      </w:r>
      <w:r>
        <w:rPr>
          <w:rFonts w:ascii="Arial" w:hAnsi="Arial"/>
          <w:sz w:val="22"/>
          <w:szCs w:val="22"/>
        </w:rPr>
        <w:t>in</w:t>
      </w:r>
      <w:r w:rsidRPr="00767458">
        <w:rPr>
          <w:rFonts w:ascii="Arial" w:hAnsi="Arial"/>
          <w:sz w:val="22"/>
          <w:szCs w:val="22"/>
        </w:rPr>
        <w:t xml:space="preserve"> talk</w:t>
      </w:r>
      <w:r>
        <w:rPr>
          <w:rFonts w:ascii="Arial" w:hAnsi="Arial"/>
          <w:sz w:val="22"/>
          <w:szCs w:val="22"/>
        </w:rPr>
        <w:t>ing</w:t>
      </w:r>
      <w:r w:rsidRPr="00767458">
        <w:rPr>
          <w:rFonts w:ascii="Arial" w:hAnsi="Arial"/>
          <w:sz w:val="22"/>
          <w:szCs w:val="22"/>
        </w:rPr>
        <w:t xml:space="preserve"> about stigmatised and taboo </w:t>
      </w:r>
      <w:proofErr w:type="gramStart"/>
      <w:r w:rsidRPr="00767458">
        <w:rPr>
          <w:rFonts w:ascii="Arial" w:hAnsi="Arial"/>
          <w:sz w:val="22"/>
          <w:szCs w:val="22"/>
        </w:rPr>
        <w:t>topics</w:t>
      </w:r>
      <w:r>
        <w:rPr>
          <w:rFonts w:ascii="Arial" w:hAnsi="Arial"/>
          <w:sz w:val="22"/>
          <w:szCs w:val="22"/>
        </w:rPr>
        <w:t>, and</w:t>
      </w:r>
      <w:proofErr w:type="gramEnd"/>
      <w:r>
        <w:rPr>
          <w:rFonts w:ascii="Arial" w:hAnsi="Arial"/>
          <w:sz w:val="22"/>
          <w:szCs w:val="22"/>
        </w:rPr>
        <w:t xml:space="preserve"> offered</w:t>
      </w:r>
      <w:r w:rsidRPr="00767458">
        <w:rPr>
          <w:rFonts w:ascii="Arial" w:hAnsi="Arial"/>
          <w:sz w:val="22"/>
          <w:szCs w:val="22"/>
        </w:rPr>
        <w:t xml:space="preserve"> a platform </w:t>
      </w:r>
      <w:r>
        <w:rPr>
          <w:rFonts w:ascii="Arial" w:hAnsi="Arial"/>
          <w:sz w:val="22"/>
          <w:szCs w:val="22"/>
        </w:rPr>
        <w:t>with which they were</w:t>
      </w:r>
      <w:r w:rsidRPr="00767458">
        <w:rPr>
          <w:rFonts w:ascii="Arial" w:hAnsi="Arial"/>
          <w:sz w:val="22"/>
          <w:szCs w:val="22"/>
        </w:rPr>
        <w:t xml:space="preserve"> familiar. The degree of distance and anonymity </w:t>
      </w:r>
      <w:r>
        <w:rPr>
          <w:rFonts w:ascii="Arial" w:hAnsi="Arial"/>
          <w:sz w:val="22"/>
          <w:szCs w:val="22"/>
        </w:rPr>
        <w:t xml:space="preserve">the platform </w:t>
      </w:r>
      <w:r w:rsidRPr="00767458">
        <w:rPr>
          <w:rFonts w:ascii="Arial" w:hAnsi="Arial"/>
          <w:sz w:val="22"/>
          <w:szCs w:val="22"/>
        </w:rPr>
        <w:t xml:space="preserve">offered </w:t>
      </w:r>
      <w:r>
        <w:rPr>
          <w:rFonts w:ascii="Arial" w:hAnsi="Arial"/>
          <w:sz w:val="22"/>
          <w:szCs w:val="22"/>
        </w:rPr>
        <w:t xml:space="preserve">likely aided </w:t>
      </w:r>
      <w:r w:rsidRPr="00767458">
        <w:rPr>
          <w:rFonts w:ascii="Arial" w:hAnsi="Arial"/>
          <w:sz w:val="22"/>
          <w:szCs w:val="22"/>
        </w:rPr>
        <w:t>open</w:t>
      </w:r>
      <w:r>
        <w:rPr>
          <w:rFonts w:ascii="Arial" w:hAnsi="Arial"/>
          <w:sz w:val="22"/>
          <w:szCs w:val="22"/>
        </w:rPr>
        <w:t>ness in talking</w:t>
      </w:r>
      <w:r w:rsidRPr="00767458">
        <w:rPr>
          <w:rFonts w:ascii="Arial" w:hAnsi="Arial"/>
          <w:sz w:val="22"/>
          <w:szCs w:val="22"/>
        </w:rPr>
        <w:t xml:space="preserve"> about </w:t>
      </w:r>
      <w:r>
        <w:rPr>
          <w:rFonts w:ascii="Arial" w:hAnsi="Arial"/>
          <w:sz w:val="22"/>
          <w:szCs w:val="22"/>
        </w:rPr>
        <w:t>sensitive topics</w:t>
      </w:r>
      <w:r w:rsidRPr="00767458">
        <w:rPr>
          <w:rFonts w:ascii="Arial" w:hAnsi="Arial"/>
          <w:sz w:val="22"/>
          <w:szCs w:val="22"/>
        </w:rPr>
        <w:t xml:space="preserve">. Instant messaging also enabled a degree of flexibility as participants could access Zoom via computer or mobile device wherever they felt </w:t>
      </w:r>
      <w:proofErr w:type="gramStart"/>
      <w:r w:rsidRPr="00767458">
        <w:rPr>
          <w:rFonts w:ascii="Arial" w:hAnsi="Arial"/>
          <w:sz w:val="22"/>
          <w:szCs w:val="22"/>
        </w:rPr>
        <w:t>comfortable, and</w:t>
      </w:r>
      <w:proofErr w:type="gramEnd"/>
      <w:r w:rsidRPr="00767458">
        <w:rPr>
          <w:rFonts w:ascii="Arial" w:hAnsi="Arial"/>
          <w:sz w:val="22"/>
          <w:szCs w:val="22"/>
        </w:rPr>
        <w:t xml:space="preserve"> did not require them to travel to a physical location</w:t>
      </w:r>
      <w:r>
        <w:rPr>
          <w:rFonts w:ascii="Arial" w:hAnsi="Arial"/>
          <w:sz w:val="22"/>
          <w:szCs w:val="22"/>
        </w:rPr>
        <w:t>,</w:t>
      </w:r>
      <w:r w:rsidRPr="00767458">
        <w:rPr>
          <w:rFonts w:ascii="Arial" w:hAnsi="Arial"/>
          <w:sz w:val="22"/>
          <w:szCs w:val="22"/>
        </w:rPr>
        <w:t xml:space="preserve"> which can be difficult due to cost, time or physical mobility restrictions.</w:t>
      </w:r>
    </w:p>
    <w:p w14:paraId="1EB34539" w14:textId="77777777" w:rsidR="00767458" w:rsidRPr="00767458" w:rsidRDefault="00767458" w:rsidP="00767458">
      <w:pPr>
        <w:spacing w:after="0" w:line="480" w:lineRule="auto"/>
      </w:pPr>
    </w:p>
    <w:p w14:paraId="0476D387" w14:textId="46F010EA" w:rsidR="00CF17AE" w:rsidRPr="00CF17AE" w:rsidRDefault="00CF17AE" w:rsidP="00CF17AE">
      <w:pPr>
        <w:spacing w:line="480" w:lineRule="auto"/>
        <w:rPr>
          <w:lang w:eastAsia="ja-JP"/>
        </w:rPr>
      </w:pPr>
      <w:r w:rsidRPr="00D73205">
        <w:rPr>
          <w:rFonts w:eastAsia="Calibri"/>
          <w:lang w:eastAsia="ja-JP"/>
        </w:rPr>
        <w:t xml:space="preserve">Participants were given an information statement explaining the project, and each gave written or audio-recorded verbal consent before the interview. Interviews explored preferred sources of sexual health information, why certain sources were chosen, how credibility and trustworthiness were assessed or determined, and what measures </w:t>
      </w:r>
      <w:r w:rsidRPr="00CF17AE">
        <w:rPr>
          <w:rFonts w:eastAsia="Calibri"/>
          <w:lang w:eastAsia="ja-JP"/>
        </w:rPr>
        <w:t xml:space="preserve">might be effective in developing trust and improving access to reliable sexual health information. </w:t>
      </w:r>
      <w:bookmarkStart w:id="3" w:name="_Hlk61607576"/>
      <w:r>
        <w:t>The approach taken in this article to the notion of ‘</w:t>
      </w:r>
      <w:r w:rsidRPr="00CF17AE">
        <w:t>sexual health</w:t>
      </w:r>
      <w:r>
        <w:t>’</w:t>
      </w:r>
      <w:r w:rsidRPr="00CF17AE">
        <w:t xml:space="preserve"> </w:t>
      </w:r>
      <w:r>
        <w:t>draws on</w:t>
      </w:r>
      <w:r w:rsidRPr="00CF17AE">
        <w:t xml:space="preserve"> the World Health Organisation (WHO) definition, in which sexual health encompasses a spectrum of physical, sexual, social and emotional well-being</w:t>
      </w:r>
      <w:r w:rsidR="001F393D">
        <w:t xml:space="preserve"> issues</w:t>
      </w:r>
      <w:r w:rsidR="00250CB6">
        <w:t>.</w:t>
      </w:r>
      <w:r w:rsidR="001F393D">
        <w:rPr>
          <w:rStyle w:val="FootnoteReference"/>
        </w:rPr>
        <w:footnoteReference w:id="1"/>
      </w:r>
      <w:r w:rsidRPr="00CF17AE">
        <w:t xml:space="preserve"> </w:t>
      </w:r>
      <w:r w:rsidRPr="00CF17AE">
        <w:rPr>
          <w:lang w:eastAsia="ja-JP"/>
        </w:rPr>
        <w:t>As ‘sexual health’ can have an array of meanings for young people</w:t>
      </w:r>
      <w:r>
        <w:rPr>
          <w:lang w:eastAsia="ja-JP"/>
        </w:rPr>
        <w:t>,</w:t>
      </w:r>
      <w:r w:rsidRPr="00CF17AE">
        <w:rPr>
          <w:lang w:eastAsia="ja-JP"/>
        </w:rPr>
        <w:t xml:space="preserve"> and can often only focus on STI/HIV/HPV prevention and reproductive health, we first checked to see how </w:t>
      </w:r>
      <w:r>
        <w:rPr>
          <w:lang w:eastAsia="ja-JP"/>
        </w:rPr>
        <w:t>participants understood the term and what it meant to them</w:t>
      </w:r>
      <w:r w:rsidRPr="00CF17AE">
        <w:rPr>
          <w:lang w:eastAsia="ja-JP"/>
        </w:rPr>
        <w:t xml:space="preserve">. Follow-up questions were then asked if participants did not mention </w:t>
      </w:r>
      <w:proofErr w:type="gramStart"/>
      <w:r w:rsidRPr="00CF17AE">
        <w:rPr>
          <w:lang w:eastAsia="ja-JP"/>
        </w:rPr>
        <w:t>particular topics</w:t>
      </w:r>
      <w:proofErr w:type="gramEnd"/>
      <w:r w:rsidRPr="00CF17AE">
        <w:rPr>
          <w:lang w:eastAsia="ja-JP"/>
        </w:rPr>
        <w:t>. These included consent, relationships, pleasure, and diverse genders and sexualities</w:t>
      </w:r>
      <w:r w:rsidR="00A667B2">
        <w:rPr>
          <w:lang w:eastAsia="ja-JP"/>
        </w:rPr>
        <w:t>. Some</w:t>
      </w:r>
      <w:r w:rsidRPr="00CF17AE">
        <w:rPr>
          <w:lang w:eastAsia="ja-JP"/>
        </w:rPr>
        <w:t xml:space="preserve"> participants </w:t>
      </w:r>
      <w:r w:rsidR="0079608A">
        <w:rPr>
          <w:lang w:eastAsia="ja-JP"/>
        </w:rPr>
        <w:t>raised</w:t>
      </w:r>
      <w:r w:rsidRPr="00CF17AE">
        <w:rPr>
          <w:lang w:eastAsia="ja-JP"/>
        </w:rPr>
        <w:t xml:space="preserve"> </w:t>
      </w:r>
      <w:r w:rsidR="00A667B2">
        <w:rPr>
          <w:lang w:eastAsia="ja-JP"/>
        </w:rPr>
        <w:t xml:space="preserve">these topics </w:t>
      </w:r>
      <w:r w:rsidRPr="00CF17AE">
        <w:rPr>
          <w:lang w:eastAsia="ja-JP"/>
        </w:rPr>
        <w:t>without prompting.</w:t>
      </w:r>
    </w:p>
    <w:bookmarkEnd w:id="3"/>
    <w:p w14:paraId="1E4EBBBE" w14:textId="77777777" w:rsidR="00CF17AE" w:rsidRDefault="00CF17AE" w:rsidP="003861B4">
      <w:pPr>
        <w:spacing w:after="0" w:line="480" w:lineRule="auto"/>
        <w:rPr>
          <w:rFonts w:eastAsia="Calibri"/>
          <w:lang w:eastAsia="ja-JP"/>
        </w:rPr>
      </w:pPr>
    </w:p>
    <w:p w14:paraId="0E1C1C89" w14:textId="3B4D44A2" w:rsidR="00436F0D" w:rsidRPr="00D73205" w:rsidRDefault="00436F0D" w:rsidP="003861B4">
      <w:pPr>
        <w:spacing w:after="0" w:line="480" w:lineRule="auto"/>
        <w:rPr>
          <w:rFonts w:eastAsia="Calibri"/>
          <w:lang w:eastAsia="ja-JP"/>
        </w:rPr>
      </w:pPr>
      <w:r w:rsidRPr="00D73205">
        <w:rPr>
          <w:rFonts w:eastAsia="Calibri"/>
          <w:lang w:eastAsia="ja-JP"/>
        </w:rPr>
        <w:lastRenderedPageBreak/>
        <w:t xml:space="preserve">Audio and video interviews were professionally transcribed (instant messaging does not need transcribing as it is conducted in text format). To protect participant identities, each was assigned a pseudonym and all identifying details were removed from the transcripts. </w:t>
      </w:r>
    </w:p>
    <w:p w14:paraId="677F7E22" w14:textId="77777777" w:rsidR="00436F0D" w:rsidRPr="00D73205" w:rsidRDefault="00436F0D" w:rsidP="003861B4">
      <w:pPr>
        <w:spacing w:after="0" w:line="480" w:lineRule="auto"/>
        <w:rPr>
          <w:rFonts w:eastAsia="Calibri"/>
          <w:lang w:eastAsia="ja-JP"/>
        </w:rPr>
      </w:pPr>
    </w:p>
    <w:p w14:paraId="4506BB56" w14:textId="79586913" w:rsidR="00767458" w:rsidRPr="00767458" w:rsidRDefault="00767458" w:rsidP="00767458">
      <w:pPr>
        <w:spacing w:after="0" w:line="480" w:lineRule="auto"/>
        <w:rPr>
          <w:lang w:eastAsia="ja-JP"/>
        </w:rPr>
      </w:pPr>
      <w:r>
        <w:rPr>
          <w:lang w:eastAsia="ja-JP"/>
        </w:rPr>
        <w:t>A t</w:t>
      </w:r>
      <w:r w:rsidRPr="00767458">
        <w:rPr>
          <w:lang w:eastAsia="ja-JP"/>
        </w:rPr>
        <w:t>hematic analysis</w:t>
      </w:r>
      <w:r>
        <w:rPr>
          <w:lang w:eastAsia="ja-JP"/>
        </w:rPr>
        <w:t xml:space="preserve"> approach</w:t>
      </w:r>
      <w:r w:rsidRPr="00767458">
        <w:rPr>
          <w:lang w:eastAsia="ja-JP"/>
        </w:rPr>
        <w:t xml:space="preserve"> was used to analyse the data </w:t>
      </w:r>
      <w:r>
        <w:rPr>
          <w:lang w:eastAsia="ja-JP"/>
        </w:rPr>
        <w:t xml:space="preserve">(see </w:t>
      </w:r>
      <w:r w:rsidRPr="00767458">
        <w:rPr>
          <w:lang w:eastAsia="ja-JP"/>
        </w:rPr>
        <w:t>Braun and Clarke</w:t>
      </w:r>
      <w:r>
        <w:rPr>
          <w:lang w:eastAsia="ja-JP"/>
        </w:rPr>
        <w:t xml:space="preserve">, </w:t>
      </w:r>
      <w:r w:rsidRPr="00767458">
        <w:rPr>
          <w:lang w:eastAsia="ja-JP"/>
        </w:rPr>
        <w:t>2006). The authors first familiarised themselves with the data by reading the transcripts and post-interview research reflections. A coding schedule was then developed with reference to the aims of the project, the relevant literature and the contents of the interviews themselves. This schedule was cross-checked and adjusted prior to coding. Once the coding schedule was agreed upon, the data were coded using NVivo software. Authors periodically discuss</w:t>
      </w:r>
      <w:r>
        <w:rPr>
          <w:lang w:eastAsia="ja-JP"/>
        </w:rPr>
        <w:t>ed</w:t>
      </w:r>
      <w:r w:rsidRPr="00767458">
        <w:rPr>
          <w:lang w:eastAsia="ja-JP"/>
        </w:rPr>
        <w:t xml:space="preserve"> the findings to ensure codes were addressing the main research questions. In this </w:t>
      </w:r>
      <w:r>
        <w:rPr>
          <w:lang w:eastAsia="ja-JP"/>
        </w:rPr>
        <w:t>article</w:t>
      </w:r>
      <w:r w:rsidRPr="00767458">
        <w:rPr>
          <w:lang w:eastAsia="ja-JP"/>
        </w:rPr>
        <w:t>, we focus on the codes ‘</w:t>
      </w:r>
      <w:r>
        <w:rPr>
          <w:lang w:eastAsia="ja-JP"/>
        </w:rPr>
        <w:t>S</w:t>
      </w:r>
      <w:r w:rsidRPr="00767458">
        <w:rPr>
          <w:lang w:eastAsia="ja-JP"/>
        </w:rPr>
        <w:t>ources of sexual health information’ and ‘</w:t>
      </w:r>
      <w:r>
        <w:rPr>
          <w:lang w:eastAsia="ja-JP"/>
        </w:rPr>
        <w:t>T</w:t>
      </w:r>
      <w:r w:rsidRPr="00767458">
        <w:rPr>
          <w:lang w:eastAsia="ja-JP"/>
        </w:rPr>
        <w:t>rust in sexual health information</w:t>
      </w:r>
      <w:r w:rsidR="00250CB6">
        <w:rPr>
          <w:lang w:eastAsia="ja-JP"/>
        </w:rPr>
        <w:t>’</w:t>
      </w:r>
      <w:r w:rsidRPr="00767458">
        <w:rPr>
          <w:lang w:eastAsia="ja-JP"/>
        </w:rPr>
        <w:t>. Latent themes emerging from these codes were explored, agreed upon by the authors to ensure their relevanc</w:t>
      </w:r>
      <w:r>
        <w:rPr>
          <w:lang w:eastAsia="ja-JP"/>
        </w:rPr>
        <w:t>e</w:t>
      </w:r>
      <w:r w:rsidRPr="00767458">
        <w:rPr>
          <w:lang w:eastAsia="ja-JP"/>
        </w:rPr>
        <w:t xml:space="preserve"> to the research questions, and then defined and written up</w:t>
      </w:r>
      <w:r>
        <w:rPr>
          <w:lang w:eastAsia="ja-JP"/>
        </w:rPr>
        <w:t xml:space="preserve"> to form the basis for the analysis presented here</w:t>
      </w:r>
      <w:r w:rsidRPr="00767458">
        <w:rPr>
          <w:lang w:eastAsia="ja-JP"/>
        </w:rPr>
        <w:t xml:space="preserve">. </w:t>
      </w:r>
    </w:p>
    <w:p w14:paraId="2116D60D" w14:textId="2E4DB479" w:rsidR="00436F0D" w:rsidRPr="00D73205" w:rsidRDefault="00436F0D" w:rsidP="003861B4">
      <w:pPr>
        <w:autoSpaceDE w:val="0"/>
        <w:autoSpaceDN w:val="0"/>
        <w:adjustRightInd w:val="0"/>
        <w:spacing w:after="0" w:line="480" w:lineRule="auto"/>
      </w:pPr>
      <w:r w:rsidRPr="00D73205">
        <w:rPr>
          <w:rFonts w:eastAsia="Calibri"/>
          <w:lang w:eastAsia="ja-JP"/>
        </w:rPr>
        <w:t xml:space="preserve"> </w:t>
      </w:r>
    </w:p>
    <w:p w14:paraId="39C09460" w14:textId="4D839C50" w:rsidR="008C1BDC" w:rsidRPr="00D73205" w:rsidRDefault="00D2293B" w:rsidP="003861B4">
      <w:pPr>
        <w:spacing w:after="0" w:line="480" w:lineRule="auto"/>
        <w:rPr>
          <w:b/>
          <w:bCs/>
        </w:rPr>
      </w:pPr>
      <w:r w:rsidRPr="00D73205">
        <w:rPr>
          <w:b/>
          <w:bCs/>
        </w:rPr>
        <w:t>Analysis: Performing epistem</w:t>
      </w:r>
      <w:r w:rsidR="00426195" w:rsidRPr="00D73205">
        <w:rPr>
          <w:b/>
          <w:bCs/>
        </w:rPr>
        <w:t xml:space="preserve">ic </w:t>
      </w:r>
      <w:r w:rsidRPr="00D73205">
        <w:rPr>
          <w:b/>
          <w:bCs/>
        </w:rPr>
        <w:t>citizenship</w:t>
      </w:r>
    </w:p>
    <w:p w14:paraId="52BF8199" w14:textId="68E02AE3" w:rsidR="008C1BDC" w:rsidRPr="00D73205" w:rsidRDefault="0018182E" w:rsidP="003861B4">
      <w:pPr>
        <w:spacing w:after="0" w:line="480" w:lineRule="auto"/>
      </w:pPr>
      <w:r w:rsidRPr="00D73205">
        <w:t>As we have noted, the</w:t>
      </w:r>
      <w:r w:rsidR="00A43520" w:rsidRPr="00D73205">
        <w:t xml:space="preserve"> young people </w:t>
      </w:r>
      <w:r w:rsidRPr="00D73205">
        <w:t xml:space="preserve">in our study consistently </w:t>
      </w:r>
      <w:r w:rsidR="00A43520" w:rsidRPr="00D73205">
        <w:t xml:space="preserve">describe </w:t>
      </w:r>
      <w:r w:rsidRPr="00D73205">
        <w:t xml:space="preserve">complex processes for </w:t>
      </w:r>
      <w:r w:rsidR="00A43520" w:rsidRPr="00D73205">
        <w:t>accessing and evaluating information about sexual relationships and sexual health</w:t>
      </w:r>
      <w:r w:rsidRPr="00D73205">
        <w:t xml:space="preserve"> via the internet</w:t>
      </w:r>
      <w:r w:rsidR="00A43520" w:rsidRPr="00D73205">
        <w:t xml:space="preserve">. </w:t>
      </w:r>
      <w:r w:rsidR="00426195" w:rsidRPr="00D73205">
        <w:t>Key factors in this process were: the kind of information sought</w:t>
      </w:r>
      <w:r w:rsidR="00A43520" w:rsidRPr="00D73205">
        <w:t xml:space="preserve">, </w:t>
      </w:r>
      <w:r w:rsidR="00426195" w:rsidRPr="00D73205">
        <w:t>the kind of information considered valid or important (</w:t>
      </w:r>
      <w:r w:rsidR="00A43520" w:rsidRPr="00D73205">
        <w:t xml:space="preserve">here </w:t>
      </w:r>
      <w:r w:rsidR="00426195" w:rsidRPr="00D73205">
        <w:t xml:space="preserve">medical </w:t>
      </w:r>
      <w:r w:rsidR="00A43520" w:rsidRPr="00D73205">
        <w:t>information and</w:t>
      </w:r>
      <w:r w:rsidR="00426195" w:rsidRPr="00D73205">
        <w:t xml:space="preserve"> lived experience</w:t>
      </w:r>
      <w:r w:rsidR="00A43520" w:rsidRPr="00D73205">
        <w:t xml:space="preserve"> were clearly separated</w:t>
      </w:r>
      <w:r w:rsidR="00426195" w:rsidRPr="00D73205">
        <w:t xml:space="preserve">), and demographic and identity issues such as gender identity and/or sexual orientation. For information on physical states and processes, </w:t>
      </w:r>
      <w:r w:rsidR="00990C77">
        <w:t xml:space="preserve">such as those relating to pregnancy or STIs, </w:t>
      </w:r>
      <w:r w:rsidR="00426195" w:rsidRPr="00D73205">
        <w:t xml:space="preserve">government or organisation website domains (i.e. .gov or .org) were </w:t>
      </w:r>
      <w:r w:rsidR="00A43520" w:rsidRPr="00D73205">
        <w:t xml:space="preserve">often </w:t>
      </w:r>
      <w:r w:rsidR="00426195" w:rsidRPr="00D73205">
        <w:t xml:space="preserve">deemed credible and trustworthy, the </w:t>
      </w:r>
      <w:r w:rsidR="00062F0C">
        <w:t>rationale</w:t>
      </w:r>
      <w:r w:rsidR="00062F0C" w:rsidRPr="00D73205">
        <w:t xml:space="preserve"> </w:t>
      </w:r>
      <w:r w:rsidR="00426195" w:rsidRPr="00D73205">
        <w:t xml:space="preserve">being that </w:t>
      </w:r>
      <w:r w:rsidR="00A43520" w:rsidRPr="00D73205">
        <w:t>they are informed by</w:t>
      </w:r>
      <w:r w:rsidR="00426195" w:rsidRPr="00D73205">
        <w:t xml:space="preserve"> reliable medical sources</w:t>
      </w:r>
      <w:r w:rsidR="00F137BF">
        <w:t>,</w:t>
      </w:r>
      <w:r w:rsidR="00426195" w:rsidRPr="00D73205">
        <w:t xml:space="preserve"> focus on facts, and are written by doctors or sexual health experts. For information on relationships, or consent and sexual practices, forum-based websites such as Reddit, or question-and-answer websites such as Ask.com and Quora</w:t>
      </w:r>
      <w:r w:rsidRPr="00D73205">
        <w:t>,</w:t>
      </w:r>
      <w:r w:rsidR="00426195" w:rsidRPr="00D73205">
        <w:t xml:space="preserve"> were </w:t>
      </w:r>
      <w:r w:rsidR="00A43520" w:rsidRPr="00D73205">
        <w:t xml:space="preserve">positioned as </w:t>
      </w:r>
      <w:r w:rsidR="0069201A" w:rsidRPr="00D73205">
        <w:lastRenderedPageBreak/>
        <w:t xml:space="preserve">often </w:t>
      </w:r>
      <w:r w:rsidR="00A43520" w:rsidRPr="00D73205">
        <w:t xml:space="preserve">more </w:t>
      </w:r>
      <w:r w:rsidR="00D9185C" w:rsidRPr="00D73205">
        <w:t>relevant</w:t>
      </w:r>
      <w:r w:rsidR="00A43520" w:rsidRPr="00D73205">
        <w:t xml:space="preserve"> or useful</w:t>
      </w:r>
      <w:r w:rsidR="00426195" w:rsidRPr="00D73205">
        <w:t xml:space="preserve">, </w:t>
      </w:r>
      <w:r w:rsidR="00A43520" w:rsidRPr="00D73205">
        <w:t xml:space="preserve">in that </w:t>
      </w:r>
      <w:r w:rsidR="00426195" w:rsidRPr="00D73205">
        <w:t xml:space="preserve">they </w:t>
      </w:r>
      <w:r w:rsidR="00F137BF">
        <w:t>we</w:t>
      </w:r>
      <w:r w:rsidR="00A43520" w:rsidRPr="00D73205">
        <w:t>re seen</w:t>
      </w:r>
      <w:r w:rsidR="00426195" w:rsidRPr="00D73205">
        <w:t xml:space="preserve"> to </w:t>
      </w:r>
      <w:r w:rsidR="0069201A" w:rsidRPr="00D73205">
        <w:t xml:space="preserve">offer </w:t>
      </w:r>
      <w:r w:rsidR="00F137BF">
        <w:t xml:space="preserve">more </w:t>
      </w:r>
      <w:r w:rsidR="0069201A" w:rsidRPr="00D73205">
        <w:t xml:space="preserve">detail and </w:t>
      </w:r>
      <w:r w:rsidR="00426195" w:rsidRPr="00D73205">
        <w:t>explore a diversity of experiences.</w:t>
      </w:r>
      <w:r w:rsidR="006413FB" w:rsidRPr="00D73205">
        <w:t xml:space="preserve"> In assessing reliability, a </w:t>
      </w:r>
      <w:r w:rsidR="00426195" w:rsidRPr="00D73205">
        <w:t xml:space="preserve">number of participants paid particular attention to language, especially </w:t>
      </w:r>
      <w:r w:rsidRPr="00D73205">
        <w:t>where</w:t>
      </w:r>
      <w:r w:rsidR="00426195" w:rsidRPr="00D73205">
        <w:t xml:space="preserve"> the content was concerned with medical sexual health questions, </w:t>
      </w:r>
      <w:r w:rsidR="006413FB" w:rsidRPr="00D73205">
        <w:t>explaining that, to them,</w:t>
      </w:r>
      <w:r w:rsidR="00426195" w:rsidRPr="00D73205">
        <w:t xml:space="preserve"> </w:t>
      </w:r>
      <w:r w:rsidR="00426195" w:rsidRPr="00767458">
        <w:t>language that was professional</w:t>
      </w:r>
      <w:r w:rsidR="00782633" w:rsidRPr="00D73205">
        <w:t xml:space="preserve"> (often meaning medical or scientific) </w:t>
      </w:r>
      <w:r w:rsidR="006413FB" w:rsidRPr="00D73205">
        <w:t xml:space="preserve">in tone </w:t>
      </w:r>
      <w:r w:rsidR="00426195" w:rsidRPr="00D73205">
        <w:t xml:space="preserve">indicated the source was </w:t>
      </w:r>
      <w:r w:rsidR="0047685A">
        <w:t xml:space="preserve">more </w:t>
      </w:r>
      <w:r w:rsidR="00426195" w:rsidRPr="00D73205">
        <w:t>trustworthy than</w:t>
      </w:r>
      <w:r w:rsidR="0047685A">
        <w:t xml:space="preserve"> if th</w:t>
      </w:r>
      <w:r w:rsidR="0047685A" w:rsidRPr="00FE0611">
        <w:t>e</w:t>
      </w:r>
      <w:r w:rsidR="00426195" w:rsidRPr="00FE0611">
        <w:t xml:space="preserve"> language </w:t>
      </w:r>
      <w:r w:rsidR="0047685A" w:rsidRPr="00626FE4">
        <w:t>used</w:t>
      </w:r>
      <w:r w:rsidR="00426195" w:rsidRPr="00626FE4">
        <w:t xml:space="preserve"> was colloquial</w:t>
      </w:r>
      <w:r w:rsidR="006413FB" w:rsidRPr="00626FE4">
        <w:t xml:space="preserve"> in tone. </w:t>
      </w:r>
      <w:r w:rsidR="00982B35" w:rsidRPr="00626FE4">
        <w:t xml:space="preserve">Participants </w:t>
      </w:r>
      <w:r w:rsidR="00426195" w:rsidRPr="00743205">
        <w:t xml:space="preserve">also noted that they did not necessarily trust </w:t>
      </w:r>
      <w:r w:rsidR="00982B35" w:rsidRPr="00FE0611">
        <w:t xml:space="preserve">the </w:t>
      </w:r>
      <w:r w:rsidR="00426195" w:rsidRPr="00FE0611">
        <w:t>information</w:t>
      </w:r>
      <w:r w:rsidR="00982B35" w:rsidRPr="00FE0611">
        <w:t xml:space="preserve"> they received</w:t>
      </w:r>
      <w:r w:rsidR="00426195" w:rsidRPr="00FE0611">
        <w:t xml:space="preserve"> from the internet, friends or parents, and </w:t>
      </w:r>
      <w:r w:rsidR="00426195" w:rsidRPr="00767458">
        <w:t>often</w:t>
      </w:r>
      <w:r w:rsidR="006413FB" w:rsidRPr="00767458">
        <w:t xml:space="preserve"> felt the need to</w:t>
      </w:r>
      <w:r w:rsidR="00426195" w:rsidRPr="00767458">
        <w:t xml:space="preserve"> crosscheck </w:t>
      </w:r>
      <w:r w:rsidR="006413FB" w:rsidRPr="00767458">
        <w:t>one source</w:t>
      </w:r>
      <w:r w:rsidR="00426195" w:rsidRPr="00767458">
        <w:t xml:space="preserve"> with</w:t>
      </w:r>
      <w:r w:rsidR="006413FB" w:rsidRPr="00767458">
        <w:t xml:space="preserve"> other</w:t>
      </w:r>
      <w:r w:rsidR="00426195" w:rsidRPr="00767458">
        <w:t xml:space="preserve"> online sources</w:t>
      </w:r>
      <w:r w:rsidR="00F137BF" w:rsidRPr="00767458">
        <w:t>,</w:t>
      </w:r>
      <w:r w:rsidR="00426195" w:rsidRPr="00767458">
        <w:t xml:space="preserve"> or </w:t>
      </w:r>
      <w:r w:rsidR="00F137BF" w:rsidRPr="00767458">
        <w:t xml:space="preserve">turn to </w:t>
      </w:r>
      <w:r w:rsidR="00426195" w:rsidRPr="00767458">
        <w:t xml:space="preserve">their general </w:t>
      </w:r>
      <w:r w:rsidR="0047685A" w:rsidRPr="00767458">
        <w:t xml:space="preserve">medical </w:t>
      </w:r>
      <w:r w:rsidR="00426195" w:rsidRPr="00767458">
        <w:t>practitioner</w:t>
      </w:r>
      <w:r w:rsidR="00317068" w:rsidRPr="00FE0611">
        <w:t xml:space="preserve"> (GP)</w:t>
      </w:r>
      <w:r w:rsidR="00EE68A7" w:rsidRPr="00FE0611">
        <w:t xml:space="preserve"> (</w:t>
      </w:r>
      <w:proofErr w:type="spellStart"/>
      <w:r w:rsidR="00FE0611" w:rsidRPr="00FE0611">
        <w:t>Litras</w:t>
      </w:r>
      <w:proofErr w:type="spellEnd"/>
      <w:r w:rsidR="00FE0611" w:rsidRPr="00FE0611">
        <w:t xml:space="preserve">, </w:t>
      </w:r>
      <w:proofErr w:type="spellStart"/>
      <w:r w:rsidR="00FE0611" w:rsidRPr="00FE0611">
        <w:t>Latreille</w:t>
      </w:r>
      <w:proofErr w:type="spellEnd"/>
      <w:r w:rsidR="00FE0611" w:rsidRPr="00FE0611">
        <w:t xml:space="preserve"> and Temple-Smith, 2015)</w:t>
      </w:r>
      <w:r w:rsidR="00426195" w:rsidRPr="00FE0611">
        <w:t>.</w:t>
      </w:r>
      <w:r w:rsidR="00982B35" w:rsidRPr="00FE0611">
        <w:t xml:space="preserve"> In addition, t</w:t>
      </w:r>
      <w:r w:rsidR="006413FB" w:rsidRPr="00FE0611">
        <w:t>rans and gender diverse and lesbian, gay and bisexual+ par</w:t>
      </w:r>
      <w:r w:rsidR="006413FB" w:rsidRPr="00D73205">
        <w:t xml:space="preserve">ticipants noted that they were </w:t>
      </w:r>
      <w:r w:rsidR="006413FB" w:rsidRPr="00767458">
        <w:t>more likely to trust a sexual health website that had strong sexuality and gender diverse content,</w:t>
      </w:r>
      <w:r w:rsidR="006413FB" w:rsidRPr="00D73205">
        <w:t xml:space="preserve"> even if it was not a .gov or .org </w:t>
      </w:r>
      <w:r w:rsidR="00F137BF">
        <w:t xml:space="preserve">website </w:t>
      </w:r>
      <w:r w:rsidR="006413FB" w:rsidRPr="00D73205">
        <w:t>or otherwise regarded as credible, on the basis that it would have a better understanding of their unique needs than other websites. In these comments we can identify a number of issues of relevance to our analysis: the desire to identify reliable, credible information by accessing</w:t>
      </w:r>
      <w:r w:rsidR="0069201A" w:rsidRPr="00D73205">
        <w:t xml:space="preserve"> official</w:t>
      </w:r>
      <w:r w:rsidR="006413FB" w:rsidRPr="00D73205">
        <w:t xml:space="preserve"> sources, the importance of language and tone in communicating credibility, the common experience of encountering multiple divergent accounts, the role of </w:t>
      </w:r>
      <w:r w:rsidR="00317068">
        <w:t>GPs</w:t>
      </w:r>
      <w:r w:rsidR="006413FB" w:rsidRPr="00D73205">
        <w:t xml:space="preserve"> as trusted sources in their level of education and access to science, and the importance of inclusivity in communicating and </w:t>
      </w:r>
      <w:r w:rsidR="0069201A" w:rsidRPr="00D73205">
        <w:t>demonstrating</w:t>
      </w:r>
      <w:r w:rsidR="006413FB" w:rsidRPr="00D73205">
        <w:t xml:space="preserve"> reliability.</w:t>
      </w:r>
      <w:r w:rsidR="00982B35" w:rsidRPr="00D73205">
        <w:t xml:space="preserve"> </w:t>
      </w:r>
      <w:r w:rsidR="008C1BDC" w:rsidRPr="00D73205">
        <w:t xml:space="preserve">Overarching these issues was a dynamic implicit in many responses and made explicit by Eve </w:t>
      </w:r>
      <w:r w:rsidR="008C1BDC" w:rsidRPr="00510964">
        <w:t>(</w:t>
      </w:r>
      <w:r w:rsidR="00510964">
        <w:t>woman, bisexual, 18, IM messaging</w:t>
      </w:r>
      <w:r w:rsidR="00626FE4">
        <w:rPr>
          <w:rStyle w:val="FootnoteReference"/>
        </w:rPr>
        <w:footnoteReference w:id="2"/>
      </w:r>
      <w:r w:rsidR="008C1BDC" w:rsidRPr="00D73205">
        <w:t>), who explained her own view on the use of the internet to access sexual health information in these terms:</w:t>
      </w:r>
    </w:p>
    <w:p w14:paraId="397EC0EE" w14:textId="0270CDA6" w:rsidR="008C1BDC" w:rsidRPr="00D73205" w:rsidRDefault="008C1BDC" w:rsidP="003861B4">
      <w:pPr>
        <w:spacing w:after="0" w:line="480" w:lineRule="auto"/>
        <w:ind w:left="720"/>
      </w:pPr>
      <w:r w:rsidRPr="00D73205">
        <w:t xml:space="preserve">Most websites are pretty good at explaining things from scratch. However, it is up to the individual to </w:t>
      </w:r>
      <w:r w:rsidRPr="00767458">
        <w:t>discern the reliability</w:t>
      </w:r>
      <w:r w:rsidRPr="00D73205">
        <w:t xml:space="preserve"> of that information</w:t>
      </w:r>
      <w:r w:rsidR="00510964">
        <w:t>.</w:t>
      </w:r>
      <w:r w:rsidRPr="00D73205">
        <w:rPr>
          <w:i/>
          <w:iCs/>
        </w:rPr>
        <w:t xml:space="preserve"> </w:t>
      </w:r>
    </w:p>
    <w:p w14:paraId="2F549AAA" w14:textId="20A9C56B" w:rsidR="00426195" w:rsidRPr="00D73205" w:rsidRDefault="008C1BDC" w:rsidP="00BB4AE9">
      <w:pPr>
        <w:spacing w:after="0" w:line="480" w:lineRule="auto"/>
        <w:rPr>
          <w:i/>
          <w:iCs/>
        </w:rPr>
      </w:pPr>
      <w:r w:rsidRPr="00D73205">
        <w:t xml:space="preserve">Eve’s final words in this extract raise an important question, one that underpins our analysis: what collateral realities are made when young people seek knowledge about a sensitive and contested area such as sex and sexuality, particularly in a ‘post-truth’ world? </w:t>
      </w:r>
      <w:r w:rsidR="000F102C">
        <w:t xml:space="preserve">How might </w:t>
      </w:r>
      <w:r w:rsidR="000F102C">
        <w:lastRenderedPageBreak/>
        <w:t xml:space="preserve">individuals understand their role in gleaning the </w:t>
      </w:r>
      <w:r w:rsidR="00250B2D">
        <w:t>‘</w:t>
      </w:r>
      <w:r w:rsidR="000F102C">
        <w:t>truth</w:t>
      </w:r>
      <w:r w:rsidR="00250B2D">
        <w:t>’,</w:t>
      </w:r>
      <w:r w:rsidR="000F102C">
        <w:t xml:space="preserve"> given widespread recognition that our media, social media and broader internet landscape are characterised by false information and ‘fake news’? </w:t>
      </w:r>
      <w:r w:rsidR="00982B35" w:rsidRPr="00D73205">
        <w:t xml:space="preserve">Below we examine in more detail </w:t>
      </w:r>
      <w:r w:rsidRPr="00D73205">
        <w:t xml:space="preserve">the ways in which young people </w:t>
      </w:r>
      <w:r w:rsidR="000F102C">
        <w:t xml:space="preserve">articulate their pursuit of reliable information on (or the </w:t>
      </w:r>
      <w:r w:rsidR="00250B2D">
        <w:t>‘</w:t>
      </w:r>
      <w:r w:rsidR="000F102C">
        <w:t>truth</w:t>
      </w:r>
      <w:r w:rsidR="00250B2D">
        <w:t>’</w:t>
      </w:r>
      <w:r w:rsidR="000F102C">
        <w:t xml:space="preserve"> of) sexual health, and in so doing, how they frame this </w:t>
      </w:r>
      <w:r w:rsidRPr="00D73205">
        <w:t xml:space="preserve">responsibility, identifying as we </w:t>
      </w:r>
      <w:r w:rsidR="00250B2D">
        <w:t>proceed</w:t>
      </w:r>
      <w:r w:rsidRPr="00D73205">
        <w:t xml:space="preserve"> the </w:t>
      </w:r>
      <w:r w:rsidR="00982B35" w:rsidRPr="00D73205">
        <w:t xml:space="preserve">key epistemic issues </w:t>
      </w:r>
      <w:r w:rsidRPr="00D73205">
        <w:t>visible in their</w:t>
      </w:r>
      <w:r w:rsidR="00982B35" w:rsidRPr="00D73205">
        <w:t xml:space="preserve"> descriptions</w:t>
      </w:r>
      <w:r w:rsidRPr="00D73205">
        <w:t xml:space="preserve">, and the forms of epistemic citizenship produced (and </w:t>
      </w:r>
      <w:r w:rsidR="00250B2D">
        <w:t>enjoined</w:t>
      </w:r>
      <w:r w:rsidRPr="00D73205">
        <w:t>) ‘along the way’.</w:t>
      </w:r>
    </w:p>
    <w:p w14:paraId="5FC45D68" w14:textId="77777777" w:rsidR="00982B35" w:rsidRPr="00D73205" w:rsidRDefault="00982B35" w:rsidP="003861B4">
      <w:pPr>
        <w:spacing w:after="0" w:line="480" w:lineRule="auto"/>
      </w:pPr>
    </w:p>
    <w:p w14:paraId="16664F3B" w14:textId="14EE15AE" w:rsidR="00D2293B" w:rsidRPr="003861B4" w:rsidRDefault="00D2293B" w:rsidP="00BB4AE9">
      <w:pPr>
        <w:keepNext/>
        <w:spacing w:after="0" w:line="480" w:lineRule="auto"/>
        <w:rPr>
          <w:b/>
          <w:bCs/>
          <w:i/>
          <w:iCs/>
        </w:rPr>
      </w:pPr>
      <w:r w:rsidRPr="003861B4">
        <w:rPr>
          <w:b/>
          <w:bCs/>
          <w:i/>
          <w:iCs/>
        </w:rPr>
        <w:t xml:space="preserve">Distinguishing </w:t>
      </w:r>
      <w:r w:rsidR="00676BFC" w:rsidRPr="003861B4">
        <w:rPr>
          <w:b/>
          <w:bCs/>
          <w:i/>
          <w:iCs/>
        </w:rPr>
        <w:t xml:space="preserve">fact from </w:t>
      </w:r>
      <w:r w:rsidRPr="003861B4">
        <w:rPr>
          <w:b/>
          <w:bCs/>
          <w:i/>
          <w:iCs/>
        </w:rPr>
        <w:t>opinion</w:t>
      </w:r>
      <w:r w:rsidR="00C438C3">
        <w:rPr>
          <w:b/>
          <w:bCs/>
          <w:i/>
          <w:iCs/>
        </w:rPr>
        <w:t xml:space="preserve"> or </w:t>
      </w:r>
      <w:r w:rsidRPr="003861B4">
        <w:rPr>
          <w:b/>
          <w:bCs/>
          <w:i/>
          <w:iCs/>
        </w:rPr>
        <w:t>experience</w:t>
      </w:r>
    </w:p>
    <w:p w14:paraId="47346990" w14:textId="2F03F06E" w:rsidR="00E74B3D" w:rsidRPr="00D73205" w:rsidRDefault="00E37F3F" w:rsidP="003861B4">
      <w:pPr>
        <w:spacing w:after="0" w:line="480" w:lineRule="auto"/>
      </w:pPr>
      <w:r w:rsidRPr="00D73205">
        <w:t>One of the key discourses mobili</w:t>
      </w:r>
      <w:r w:rsidR="009039FC" w:rsidRPr="00D73205">
        <w:t>s</w:t>
      </w:r>
      <w:r w:rsidRPr="00D73205">
        <w:t xml:space="preserve">ed by participants in our study was the importance of </w:t>
      </w:r>
      <w:r w:rsidRPr="00767458">
        <w:t>distinguishing fact from opinion</w:t>
      </w:r>
      <w:r w:rsidR="003861B4" w:rsidRPr="00767458">
        <w:t xml:space="preserve"> or experience</w:t>
      </w:r>
      <w:r w:rsidR="009E12B3" w:rsidRPr="009E12B3">
        <w:rPr>
          <w:sz w:val="20"/>
          <w:szCs w:val="20"/>
        </w:rPr>
        <w:t xml:space="preserve"> </w:t>
      </w:r>
      <w:r w:rsidR="009E12B3" w:rsidRPr="009E12B3">
        <w:t>(Flanders et al., 2020)</w:t>
      </w:r>
      <w:r w:rsidRPr="009E12B3">
        <w:rPr>
          <w:sz w:val="20"/>
          <w:szCs w:val="20"/>
        </w:rPr>
        <w:t xml:space="preserve">. </w:t>
      </w:r>
      <w:r w:rsidR="00782633" w:rsidRPr="00D73205">
        <w:t xml:space="preserve">It is here that we identify a strong thread of scientific rationalism </w:t>
      </w:r>
      <w:r w:rsidR="003861B4">
        <w:t xml:space="preserve">– in particular, its dependence on the binary </w:t>
      </w:r>
      <w:r w:rsidR="005978B8">
        <w:t xml:space="preserve">logic </w:t>
      </w:r>
      <w:r w:rsidR="00250B2D">
        <w:t>of</w:t>
      </w:r>
      <w:r w:rsidR="005978B8">
        <w:t xml:space="preserve"> </w:t>
      </w:r>
      <w:r w:rsidR="003861B4" w:rsidRPr="00767458">
        <w:t xml:space="preserve">reason </w:t>
      </w:r>
      <w:r w:rsidR="005517BC" w:rsidRPr="00767458">
        <w:t>versus</w:t>
      </w:r>
      <w:r w:rsidR="003861B4" w:rsidRPr="00767458">
        <w:t xml:space="preserve"> </w:t>
      </w:r>
      <w:r w:rsidR="005517BC" w:rsidRPr="00767458">
        <w:t>emotion</w:t>
      </w:r>
      <w:r w:rsidR="005517BC">
        <w:t xml:space="preserve"> </w:t>
      </w:r>
      <w:r w:rsidR="00250B2D">
        <w:t>or</w:t>
      </w:r>
      <w:r w:rsidR="005517BC">
        <w:t xml:space="preserve"> experience </w:t>
      </w:r>
      <w:r w:rsidR="003861B4">
        <w:t>in the production of scientific fact</w:t>
      </w:r>
      <w:r w:rsidR="003861B4" w:rsidRPr="00D73205">
        <w:t xml:space="preserve"> </w:t>
      </w:r>
      <w:r w:rsidR="003861B4">
        <w:t xml:space="preserve">– </w:t>
      </w:r>
      <w:r w:rsidR="00782633" w:rsidRPr="00D73205">
        <w:t xml:space="preserve">in the episteme informing participant engagement with </w:t>
      </w:r>
      <w:r w:rsidR="00250B2D">
        <w:t xml:space="preserve">sexual health </w:t>
      </w:r>
      <w:r w:rsidR="00782633" w:rsidRPr="00D73205">
        <w:t xml:space="preserve">knowledges. </w:t>
      </w:r>
    </w:p>
    <w:p w14:paraId="05B083FF" w14:textId="77777777" w:rsidR="00E74B3D" w:rsidRPr="00D73205" w:rsidRDefault="00E74B3D" w:rsidP="003861B4">
      <w:pPr>
        <w:spacing w:after="0" w:line="480" w:lineRule="auto"/>
      </w:pPr>
    </w:p>
    <w:p w14:paraId="480790E6" w14:textId="1907C6AE" w:rsidR="00690395" w:rsidRPr="00D73205" w:rsidRDefault="00D9185C" w:rsidP="003861B4">
      <w:pPr>
        <w:spacing w:after="0" w:line="480" w:lineRule="auto"/>
      </w:pPr>
      <w:r w:rsidRPr="00D73205">
        <w:t>For many</w:t>
      </w:r>
      <w:r w:rsidR="003861B4">
        <w:t xml:space="preserve"> participants</w:t>
      </w:r>
      <w:r w:rsidRPr="00D73205">
        <w:t>, th</w:t>
      </w:r>
      <w:r w:rsidR="00C438C3">
        <w:t>e</w:t>
      </w:r>
      <w:r w:rsidR="00782633" w:rsidRPr="00D73205">
        <w:t xml:space="preserve"> distinction </w:t>
      </w:r>
      <w:r w:rsidR="00C438C3">
        <w:t xml:space="preserve">between fact and opinion or experience </w:t>
      </w:r>
      <w:r w:rsidRPr="00D73205">
        <w:t xml:space="preserve">was </w:t>
      </w:r>
      <w:r w:rsidR="00250B2D">
        <w:t>treated</w:t>
      </w:r>
      <w:r w:rsidR="00782633" w:rsidRPr="00D73205">
        <w:t xml:space="preserve"> as self-evident, and </w:t>
      </w:r>
      <w:r w:rsidRPr="00D73205">
        <w:t xml:space="preserve">as core to ensuring </w:t>
      </w:r>
      <w:r w:rsidR="00782633" w:rsidRPr="00D73205">
        <w:t xml:space="preserve">the reliability of </w:t>
      </w:r>
      <w:r w:rsidRPr="00D73205">
        <w:t xml:space="preserve">information. </w:t>
      </w:r>
      <w:r w:rsidR="00690395" w:rsidRPr="00D73205">
        <w:t xml:space="preserve">As Blake </w:t>
      </w:r>
      <w:r w:rsidR="00F95AFD">
        <w:t>(</w:t>
      </w:r>
      <w:r w:rsidR="00510964">
        <w:t>woman, straight, 18, video chat</w:t>
      </w:r>
      <w:r w:rsidR="00F95AFD">
        <w:t xml:space="preserve">) </w:t>
      </w:r>
      <w:r w:rsidR="00690395" w:rsidRPr="00D73205">
        <w:t xml:space="preserve">explains, when asked about how </w:t>
      </w:r>
      <w:r w:rsidR="00690395" w:rsidRPr="00250B2D">
        <w:t>she</w:t>
      </w:r>
      <w:r w:rsidR="00690395" w:rsidRPr="00D73205">
        <w:t xml:space="preserve"> identifies reliable information, finding credible sources depends on the kind of information being sought: fact or opinion:</w:t>
      </w:r>
    </w:p>
    <w:p w14:paraId="14CECEA6" w14:textId="4EC433E8" w:rsidR="00690395" w:rsidRPr="00D73205" w:rsidRDefault="00690395" w:rsidP="004E6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pPr>
      <w:r w:rsidRPr="00D73205">
        <w:t xml:space="preserve">It depends on the topic, like if it's an opinionated </w:t>
      </w:r>
      <w:r w:rsidR="009403E9" w:rsidRPr="00D73205">
        <w:t xml:space="preserve">[sic] </w:t>
      </w:r>
      <w:r w:rsidRPr="00D73205">
        <w:t xml:space="preserve">topic, everybody’s got their own opinion on how things should be. If </w:t>
      </w:r>
      <w:proofErr w:type="gramStart"/>
      <w:r w:rsidRPr="00D73205">
        <w:t>it's</w:t>
      </w:r>
      <w:proofErr w:type="gramEnd"/>
      <w:r w:rsidRPr="00D73205">
        <w:t xml:space="preserve"> a factual topic, I would try and find a lot more other resources, and a lot more other opinions, and kind of compare them to each other, and try and figure out what I believe the most.</w:t>
      </w:r>
      <w:r w:rsidR="00947A6B">
        <w:t xml:space="preserve"> </w:t>
      </w:r>
    </w:p>
    <w:p w14:paraId="1A43246E" w14:textId="7AD92CE9" w:rsidR="00690395" w:rsidRPr="00D73205" w:rsidRDefault="00990C77" w:rsidP="003861B4">
      <w:pPr>
        <w:spacing w:after="0" w:line="480" w:lineRule="auto"/>
      </w:pPr>
      <w:r>
        <w:t xml:space="preserve">Here, when Blake uses the word ‘opinionated’ she </w:t>
      </w:r>
      <w:r w:rsidR="009E723D">
        <w:t xml:space="preserve">is drawing a distinction between </w:t>
      </w:r>
      <w:r>
        <w:t xml:space="preserve">a matter </w:t>
      </w:r>
      <w:r w:rsidR="009E723D">
        <w:t xml:space="preserve">of </w:t>
      </w:r>
      <w:r>
        <w:t xml:space="preserve">opinion, such as how one might feel about an experience or practice, </w:t>
      </w:r>
      <w:r w:rsidR="009E723D">
        <w:t>and</w:t>
      </w:r>
      <w:r>
        <w:t xml:space="preserve"> a matter of fact, such as how an STI can be transmitted. </w:t>
      </w:r>
      <w:r w:rsidR="00690395" w:rsidRPr="00D73205">
        <w:t xml:space="preserve">Carrie </w:t>
      </w:r>
      <w:r w:rsidR="00F95AFD">
        <w:t>(</w:t>
      </w:r>
      <w:r w:rsidR="00510964">
        <w:t>woman, bisexual, 19, IM messaging</w:t>
      </w:r>
      <w:r w:rsidR="00F95AFD">
        <w:t xml:space="preserve">) </w:t>
      </w:r>
      <w:r w:rsidR="00690395" w:rsidRPr="00D73205">
        <w:t>draws a similar distinction</w:t>
      </w:r>
      <w:r w:rsidR="00250B2D">
        <w:t>, if in reverse</w:t>
      </w:r>
      <w:r w:rsidR="00690395" w:rsidRPr="00D73205">
        <w:t>:</w:t>
      </w:r>
    </w:p>
    <w:p w14:paraId="7A15450F" w14:textId="47297601" w:rsidR="004E69CB" w:rsidRPr="00D73205" w:rsidRDefault="00690395" w:rsidP="00E377DC">
      <w:pPr>
        <w:spacing w:after="0" w:line="480" w:lineRule="auto"/>
        <w:ind w:left="720"/>
      </w:pPr>
      <w:r w:rsidRPr="00D73205">
        <w:lastRenderedPageBreak/>
        <w:t xml:space="preserve">if it’s backed by like a scientific study or something </w:t>
      </w:r>
      <w:proofErr w:type="spellStart"/>
      <w:r w:rsidRPr="00D73205">
        <w:t>i</w:t>
      </w:r>
      <w:proofErr w:type="spellEnd"/>
      <w:r w:rsidRPr="00D73205">
        <w:t xml:space="preserve"> feel comfortable noting it as facts but if it’s on a reddit forum or something like that </w:t>
      </w:r>
      <w:proofErr w:type="spellStart"/>
      <w:r w:rsidRPr="00D73205">
        <w:t>i</w:t>
      </w:r>
      <w:proofErr w:type="spellEnd"/>
      <w:r w:rsidRPr="00D73205">
        <w:t xml:space="preserve"> more take it as personal experience or opinion</w:t>
      </w:r>
      <w:r w:rsidR="003861B4">
        <w:t>.</w:t>
      </w:r>
    </w:p>
    <w:p w14:paraId="7F3B0009" w14:textId="1F7FC778" w:rsidR="00D9185C" w:rsidRPr="00D73205" w:rsidRDefault="00DE58D7" w:rsidP="003861B4">
      <w:pPr>
        <w:spacing w:after="0" w:line="480" w:lineRule="auto"/>
      </w:pPr>
      <w:r>
        <w:rPr>
          <w:rFonts w:ascii="Segoe UI" w:hAnsi="Segoe UI" w:cs="Segoe UI"/>
          <w:color w:val="000000"/>
          <w:sz w:val="21"/>
          <w:szCs w:val="21"/>
        </w:rPr>
        <w:t>Hayley (woman, straight, 19, audio chat)</w:t>
      </w:r>
      <w:r w:rsidR="00F95AFD" w:rsidRPr="00D73205">
        <w:t xml:space="preserve"> </w:t>
      </w:r>
      <w:r w:rsidR="00C438C3">
        <w:t>also</w:t>
      </w:r>
      <w:r w:rsidR="0050590C" w:rsidRPr="00D73205">
        <w:t xml:space="preserve"> </w:t>
      </w:r>
      <w:r w:rsidR="00C438C3">
        <w:t>provides</w:t>
      </w:r>
      <w:r w:rsidR="0050590C" w:rsidRPr="00D73205">
        <w:t xml:space="preserve"> an example of this distinction, offering a </w:t>
      </w:r>
      <w:r w:rsidR="00250B2D">
        <w:t xml:space="preserve">detailed </w:t>
      </w:r>
      <w:r w:rsidR="0050590C" w:rsidRPr="00D73205">
        <w:t>description of</w:t>
      </w:r>
      <w:r w:rsidR="00D9185C" w:rsidRPr="00D73205">
        <w:t xml:space="preserve"> trying to find out </w:t>
      </w:r>
      <w:r w:rsidR="00E74B3D" w:rsidRPr="00D73205">
        <w:t xml:space="preserve">more </w:t>
      </w:r>
      <w:r w:rsidR="00D9185C" w:rsidRPr="00D73205">
        <w:t>about menstrual cup usag</w:t>
      </w:r>
      <w:r w:rsidR="0050590C" w:rsidRPr="00D73205">
        <w:t>e:</w:t>
      </w:r>
      <w:r w:rsidR="00E74B3D" w:rsidRPr="00D73205">
        <w:t xml:space="preserve"> </w:t>
      </w:r>
    </w:p>
    <w:p w14:paraId="0964EA04" w14:textId="0C310A71" w:rsidR="00162E96" w:rsidRPr="00D73205" w:rsidRDefault="00D9185C" w:rsidP="004E6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ight="720"/>
      </w:pPr>
      <w:r w:rsidRPr="00D73205">
        <w:t xml:space="preserve">I’ve gotten a mix of both scientific </w:t>
      </w:r>
      <w:r w:rsidR="00E74B3D" w:rsidRPr="00D73205">
        <w:t xml:space="preserve">[fact] </w:t>
      </w:r>
      <w:r w:rsidRPr="00D73205">
        <w:t>and personal experiences with sexual knowledge […] With the menstrual cup, sometimes if I urinate, it can actually fill up with urine, and if I looked on a scientific website, that said scientifically this is impossible, there is no connection between the urethra and the cervix … but then I’ve looked it up on things like Reddit and there’s been a lot of other women that have had instances of experiencing the same thing, and it’s, like, okay I’m not losing my mind, that it must be possible.</w:t>
      </w:r>
    </w:p>
    <w:p w14:paraId="5495F2EB" w14:textId="0C327DD7" w:rsidR="00E74B3D" w:rsidRPr="00D73205" w:rsidRDefault="00E74B3D" w:rsidP="003861B4">
      <w:pPr>
        <w:spacing w:after="0" w:line="480" w:lineRule="auto"/>
      </w:pPr>
      <w:r w:rsidRPr="00D73205">
        <w:t>In this case, as in many others</w:t>
      </w:r>
      <w:r w:rsidR="00162E96" w:rsidRPr="00D73205">
        <w:t xml:space="preserve"> recounted by participants</w:t>
      </w:r>
      <w:r w:rsidRPr="00D73205">
        <w:t>, Katie perceives a functional difference between fact and experience, rather than, for instance, framing the experiences she consults as also composed of facts – facts relating to the location of the urethra and the positioning of the cup – that would likely resolve the apparent dissonance between scientific facts and experience in her account</w:t>
      </w:r>
      <w:r w:rsidR="0050590C" w:rsidRPr="00D73205">
        <w:t>.</w:t>
      </w:r>
    </w:p>
    <w:p w14:paraId="062BB9B5" w14:textId="77777777" w:rsidR="00D9185C" w:rsidRPr="00D73205" w:rsidRDefault="00D9185C" w:rsidP="003861B4">
      <w:pPr>
        <w:spacing w:after="0" w:line="480" w:lineRule="auto"/>
      </w:pPr>
    </w:p>
    <w:p w14:paraId="451AE915" w14:textId="04D8ECDA" w:rsidR="0050590C" w:rsidRPr="00D73205" w:rsidRDefault="00E45088" w:rsidP="004E69CB">
      <w:pPr>
        <w:spacing w:after="0" w:line="480" w:lineRule="auto"/>
      </w:pPr>
      <w:r w:rsidRPr="00D73205">
        <w:t xml:space="preserve">Also notable in participant accounts was the sense of </w:t>
      </w:r>
      <w:r w:rsidR="00162E96" w:rsidRPr="00D73205">
        <w:t xml:space="preserve">a specific undersupply of </w:t>
      </w:r>
      <w:r w:rsidRPr="00D73205">
        <w:t xml:space="preserve">reliable, </w:t>
      </w:r>
      <w:proofErr w:type="gramStart"/>
      <w:r w:rsidRPr="00D73205">
        <w:t>factual information</w:t>
      </w:r>
      <w:proofErr w:type="gramEnd"/>
      <w:r w:rsidRPr="00D73205">
        <w:t xml:space="preserve"> about LG</w:t>
      </w:r>
      <w:r w:rsidRPr="0052681A">
        <w:t>BTIQ sex, relationships and sexual health</w:t>
      </w:r>
      <w:r w:rsidR="0052681A" w:rsidRPr="0052681A">
        <w:t xml:space="preserve"> (</w:t>
      </w:r>
      <w:r w:rsidR="006F675C">
        <w:t xml:space="preserve">Grant and Nash 2018; </w:t>
      </w:r>
      <w:r w:rsidR="0052681A" w:rsidRPr="0052681A">
        <w:t>Pound, Langford and Campbell, 2016; Shannon, 2016</w:t>
      </w:r>
      <w:r w:rsidR="006F675C">
        <w:t xml:space="preserve">; Waling et al., 2020; Waling et al., </w:t>
      </w:r>
      <w:r w:rsidR="003247E2">
        <w:t>i</w:t>
      </w:r>
      <w:r w:rsidR="006F675C">
        <w:t xml:space="preserve">n </w:t>
      </w:r>
      <w:r w:rsidR="003247E2">
        <w:t>p</w:t>
      </w:r>
      <w:r w:rsidR="006F675C">
        <w:t>ress</w:t>
      </w:r>
      <w:r w:rsidR="0052681A" w:rsidRPr="0052681A">
        <w:t>)</w:t>
      </w:r>
      <w:r w:rsidRPr="0052681A">
        <w:t xml:space="preserve">. </w:t>
      </w:r>
      <w:r w:rsidR="00162E96" w:rsidRPr="00D73205">
        <w:t xml:space="preserve">As Ted </w:t>
      </w:r>
      <w:r w:rsidR="00F95AFD">
        <w:t>(</w:t>
      </w:r>
      <w:r w:rsidR="00510964">
        <w:t>man, bisexual, 19, audio chat</w:t>
      </w:r>
      <w:r w:rsidR="00F95AFD">
        <w:t xml:space="preserve">) </w:t>
      </w:r>
      <w:r w:rsidR="00162E96" w:rsidRPr="00D73205">
        <w:t>explains, in referring to the consequences of this undersupply</w:t>
      </w:r>
      <w:r w:rsidR="00F95AFD">
        <w:t>:</w:t>
      </w:r>
    </w:p>
    <w:p w14:paraId="3BEFC3C5" w14:textId="21976E06" w:rsidR="00162E96" w:rsidRPr="00D73205" w:rsidRDefault="009A6F22" w:rsidP="004E69CB">
      <w:pPr>
        <w:spacing w:after="0" w:line="480" w:lineRule="auto"/>
        <w:ind w:left="360"/>
      </w:pPr>
      <w:r w:rsidRPr="00D73205">
        <w:t>I’d probably choose a</w:t>
      </w:r>
      <w:r w:rsidR="00F95AFD">
        <w:t>[n]</w:t>
      </w:r>
      <w:r w:rsidRPr="00D73205">
        <w:t xml:space="preserve"> LGBT site over a government site</w:t>
      </w:r>
      <w:r w:rsidR="00AD6971">
        <w:t>. T</w:t>
      </w:r>
      <w:r w:rsidRPr="00D73205">
        <w:t>here ha</w:t>
      </w:r>
      <w:r w:rsidR="00F95AFD">
        <w:t>[</w:t>
      </w:r>
      <w:proofErr w:type="spellStart"/>
      <w:r w:rsidR="00F95AFD">
        <w:t>ve</w:t>
      </w:r>
      <w:proofErr w:type="spellEnd"/>
      <w:r w:rsidR="00F95AFD">
        <w:t>]</w:t>
      </w:r>
      <w:r w:rsidRPr="00D73205">
        <w:t xml:space="preserve"> been times when I’ve looked for information before and the whole premise behind the information that they were giving was quite outdated. So yeah, I’d probably change my answer and </w:t>
      </w:r>
      <w:r w:rsidRPr="00D73205">
        <w:lastRenderedPageBreak/>
        <w:t>say a</w:t>
      </w:r>
      <w:r w:rsidR="00F95AFD">
        <w:t>[n]</w:t>
      </w:r>
      <w:r w:rsidRPr="00D73205">
        <w:t xml:space="preserve"> LGBT site that I think has valid information that’s, you know</w:t>
      </w:r>
      <w:r w:rsidR="00BB4AE9">
        <w:t>,</w:t>
      </w:r>
      <w:r w:rsidRPr="00D73205">
        <w:t xml:space="preserve"> not like a blog really.</w:t>
      </w:r>
      <w:r w:rsidR="00947A6B">
        <w:t xml:space="preserve"> </w:t>
      </w:r>
      <w:r w:rsidRPr="00D73205">
        <w:t>I’d probably look for that, look at that site for information.</w:t>
      </w:r>
    </w:p>
    <w:p w14:paraId="6C5214CC" w14:textId="7DEFDFEC" w:rsidR="00162E96" w:rsidRPr="00D73205" w:rsidRDefault="00162E96" w:rsidP="003861B4">
      <w:pPr>
        <w:spacing w:after="0" w:line="480" w:lineRule="auto"/>
      </w:pPr>
      <w:r w:rsidRPr="00D73205">
        <w:t>In cases</w:t>
      </w:r>
      <w:r w:rsidR="0050590C" w:rsidRPr="00D73205">
        <w:t xml:space="preserve"> such as Ted’s</w:t>
      </w:r>
      <w:r w:rsidRPr="00D73205">
        <w:t xml:space="preserve">, the desire to access facts is modulated by the awareness that some providers of validated information may not </w:t>
      </w:r>
      <w:r w:rsidR="0050590C" w:rsidRPr="00D73205">
        <w:t>offer</w:t>
      </w:r>
      <w:r w:rsidRPr="00D73205">
        <w:t xml:space="preserve"> current information in that the premises of the information are dated</w:t>
      </w:r>
      <w:r w:rsidR="00990C77">
        <w:t xml:space="preserve"> (for example, that marriage is for men and women, or that reproduction occurs only in heterosexual relationships)</w:t>
      </w:r>
      <w:r w:rsidRPr="00D73205">
        <w:t>.</w:t>
      </w:r>
    </w:p>
    <w:p w14:paraId="187F7C8A" w14:textId="6DD97A32" w:rsidR="00162E96" w:rsidRPr="00D73205" w:rsidRDefault="00162E96" w:rsidP="003861B4">
      <w:pPr>
        <w:spacing w:after="0" w:line="480" w:lineRule="auto"/>
      </w:pPr>
    </w:p>
    <w:p w14:paraId="4B31B59E" w14:textId="5EA4FB81" w:rsidR="00162E96" w:rsidRPr="00D73205" w:rsidRDefault="00162E96" w:rsidP="003861B4">
      <w:pPr>
        <w:spacing w:after="0" w:line="480" w:lineRule="auto"/>
      </w:pPr>
      <w:r w:rsidRPr="00D73205">
        <w:t>In all these extracts participants discuss the importance of locating valid, reliable information based on scientific fact. At the same time, they also describe other priorities, such as accessing information that offers greater detail by way of descriptions of experience, or else is more current and unencumbered by dated premises</w:t>
      </w:r>
      <w:r w:rsidR="00AD6971">
        <w:t xml:space="preserve"> (such as the norm of the heterosexual couple</w:t>
      </w:r>
      <w:r w:rsidR="001B3604">
        <w:t>)</w:t>
      </w:r>
      <w:r w:rsidRPr="00D73205">
        <w:t>. These dynamics have been identified previously in our work on this project (</w:t>
      </w:r>
      <w:r w:rsidR="004964E1">
        <w:t>omitted to preserve author anonymity</w:t>
      </w:r>
      <w:r w:rsidRPr="00D73205">
        <w:t xml:space="preserve">). Here, the key point for our analysis is the distinction consistently drawn </w:t>
      </w:r>
      <w:r w:rsidR="005978B8">
        <w:t xml:space="preserve">by participants </w:t>
      </w:r>
      <w:r w:rsidRPr="00D73205">
        <w:t>between fact and experience (with the latter sometimes framed as ‘opinion’). Even as many of the</w:t>
      </w:r>
      <w:r w:rsidR="005978B8">
        <w:t>ir</w:t>
      </w:r>
      <w:r w:rsidRPr="00D73205">
        <w:t xml:space="preserve"> accounts offer direct insights into the ways in which fact and experience are mutually productive and co-extensive, the importance of the </w:t>
      </w:r>
      <w:r w:rsidR="005978B8">
        <w:t xml:space="preserve">epistemic </w:t>
      </w:r>
      <w:r w:rsidRPr="00D73205">
        <w:t>distinction is itself never queried. As noted at the outset, the scientific rationalis</w:t>
      </w:r>
      <w:r w:rsidR="00250B2D">
        <w:t>t episteme</w:t>
      </w:r>
      <w:r w:rsidRPr="00D73205">
        <w:t xml:space="preserve"> that underpins simplistic claims about the nature of fact has been key to education in the </w:t>
      </w:r>
      <w:r w:rsidR="00761CF0" w:rsidRPr="00D73205">
        <w:t>W</w:t>
      </w:r>
      <w:r w:rsidRPr="00D73205">
        <w:t xml:space="preserve">est since the Enlightenment. It is unsurprising then to see its traces in this context. That said, it remains important to consider the role </w:t>
      </w:r>
      <w:r w:rsidR="00761CF0" w:rsidRPr="00D73205">
        <w:t xml:space="preserve">of </w:t>
      </w:r>
      <w:r w:rsidRPr="00D73205">
        <w:t xml:space="preserve">adherence to this </w:t>
      </w:r>
      <w:r w:rsidR="00761CF0" w:rsidRPr="00D73205">
        <w:t xml:space="preserve">powerful epistemic commitment in ordering, assessing and in some respects limiting, information, especially information about identities and practices that exceed normative assumptions. This is the first aspect of </w:t>
      </w:r>
      <w:r w:rsidR="005978B8">
        <w:t xml:space="preserve">the collateral reality of </w:t>
      </w:r>
      <w:r w:rsidR="00761CF0" w:rsidRPr="00D73205">
        <w:t xml:space="preserve">epistemic citizenship identified in our analysis: adherence to a narrow definition of fact </w:t>
      </w:r>
      <w:r w:rsidR="005978B8">
        <w:t>as being</w:t>
      </w:r>
      <w:r w:rsidR="00761CF0" w:rsidRPr="00D73205">
        <w:t xml:space="preserve"> distinct</w:t>
      </w:r>
      <w:r w:rsidR="005978B8">
        <w:t xml:space="preserve"> from</w:t>
      </w:r>
      <w:r w:rsidR="00761CF0" w:rsidRPr="00D73205">
        <w:t xml:space="preserve"> experience.</w:t>
      </w:r>
    </w:p>
    <w:p w14:paraId="508A7FB5" w14:textId="77777777" w:rsidR="00162E96" w:rsidRPr="00D73205" w:rsidRDefault="00162E96" w:rsidP="004E69CB">
      <w:pPr>
        <w:spacing w:after="0" w:line="480" w:lineRule="auto"/>
      </w:pPr>
    </w:p>
    <w:p w14:paraId="3000B3C5" w14:textId="0CB06A0D" w:rsidR="00594A75" w:rsidRPr="004E69CB" w:rsidRDefault="00AC603B" w:rsidP="004E69CB">
      <w:pPr>
        <w:spacing w:after="0" w:line="480" w:lineRule="auto"/>
        <w:rPr>
          <w:b/>
          <w:bCs/>
          <w:i/>
          <w:iCs/>
        </w:rPr>
      </w:pPr>
      <w:r w:rsidRPr="004E69CB">
        <w:rPr>
          <w:b/>
          <w:bCs/>
          <w:i/>
          <w:iCs/>
        </w:rPr>
        <w:t>Piecing</w:t>
      </w:r>
      <w:r w:rsidR="00D2293B" w:rsidRPr="004E69CB">
        <w:rPr>
          <w:b/>
          <w:bCs/>
          <w:i/>
          <w:iCs/>
        </w:rPr>
        <w:t xml:space="preserve"> together sources</w:t>
      </w:r>
    </w:p>
    <w:p w14:paraId="362D68BF" w14:textId="42B17FF3" w:rsidR="00AC603B" w:rsidRPr="00D73205" w:rsidRDefault="008C4330" w:rsidP="003861B4">
      <w:pPr>
        <w:spacing w:after="0" w:line="480" w:lineRule="auto"/>
      </w:pPr>
      <w:r>
        <w:t>A</w:t>
      </w:r>
      <w:r w:rsidR="009A0D88">
        <w:t xml:space="preserve"> second aspect of the collateral reality of epistemic citizenship </w:t>
      </w:r>
      <w:r>
        <w:t xml:space="preserve">is also </w:t>
      </w:r>
      <w:r w:rsidR="009A0D88">
        <w:t xml:space="preserve">enacted by </w:t>
      </w:r>
      <w:r w:rsidR="00AC603B" w:rsidRPr="00D73205">
        <w:t xml:space="preserve">young people </w:t>
      </w:r>
      <w:r w:rsidR="009A0D88">
        <w:t>as they</w:t>
      </w:r>
      <w:r w:rsidR="00AC603B" w:rsidRPr="00D73205">
        <w:t xml:space="preserve"> seek and establish reliable information about sex, relationships and sexual </w:t>
      </w:r>
      <w:r w:rsidR="00AC603B" w:rsidRPr="00D73205">
        <w:lastRenderedPageBreak/>
        <w:t>health</w:t>
      </w:r>
      <w:r w:rsidR="009A0D88">
        <w:t>:</w:t>
      </w:r>
      <w:r w:rsidR="00761CF0" w:rsidRPr="00D73205">
        <w:t xml:space="preserve"> the need to</w:t>
      </w:r>
      <w:r w:rsidR="00AC603B" w:rsidRPr="00D73205">
        <w:t xml:space="preserve"> </w:t>
      </w:r>
      <w:r w:rsidR="004C2408" w:rsidRPr="00D73205">
        <w:t>piec</w:t>
      </w:r>
      <w:r w:rsidR="00761CF0" w:rsidRPr="00D73205">
        <w:t>e</w:t>
      </w:r>
      <w:r w:rsidR="00AC603B" w:rsidRPr="00D73205">
        <w:t xml:space="preserve"> together information from different sources in order to produce knowledge </w:t>
      </w:r>
      <w:r w:rsidR="00761CF0" w:rsidRPr="00D73205">
        <w:t xml:space="preserve">they </w:t>
      </w:r>
      <w:r>
        <w:t>are satisfied is</w:t>
      </w:r>
      <w:r w:rsidR="00AC603B" w:rsidRPr="00D73205">
        <w:t xml:space="preserve"> reliable and relevant. Often this piecing together involves mixing highly credible and less credible information as gaps emerge that prove difficult to fill.</w:t>
      </w:r>
      <w:r w:rsidR="00AD087C" w:rsidRPr="00D73205">
        <w:t xml:space="preserve"> </w:t>
      </w:r>
      <w:r w:rsidR="002A266F">
        <w:t xml:space="preserve">The description offered by </w:t>
      </w:r>
      <w:r w:rsidR="00BD63D3">
        <w:rPr>
          <w:rFonts w:ascii="Segoe UI" w:hAnsi="Segoe UI" w:cs="Segoe UI"/>
          <w:color w:val="000000"/>
          <w:sz w:val="24"/>
          <w:szCs w:val="24"/>
        </w:rPr>
        <w:t>Leslie (genderqueer, lesbian/gay, 19, IM messaging)</w:t>
      </w:r>
      <w:r w:rsidR="00AD087C" w:rsidRPr="00D73205">
        <w:t xml:space="preserve"> focuses specifically on accessing information relevant to </w:t>
      </w:r>
      <w:r>
        <w:t>her</w:t>
      </w:r>
      <w:r w:rsidR="00AD087C" w:rsidRPr="00D73205">
        <w:t xml:space="preserve"> sexuality:</w:t>
      </w:r>
    </w:p>
    <w:p w14:paraId="5B778A23" w14:textId="21E77274" w:rsidR="00594A75" w:rsidRPr="00D73205" w:rsidRDefault="00AD087C" w:rsidP="002A2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09"/>
      </w:pPr>
      <w:r w:rsidRPr="00D73205">
        <w:tab/>
      </w:r>
      <w:r w:rsidR="00594A75" w:rsidRPr="00D73205">
        <w:t>I have defiantly</w:t>
      </w:r>
      <w:r w:rsidR="0050590C" w:rsidRPr="00D73205">
        <w:t xml:space="preserve"> [sic]</w:t>
      </w:r>
      <w:r w:rsidR="00594A75" w:rsidRPr="00D73205">
        <w:t xml:space="preserve"> found some</w:t>
      </w:r>
      <w:r w:rsidR="00AC603B" w:rsidRPr="00D73205">
        <w:t xml:space="preserve"> [sources]</w:t>
      </w:r>
      <w:r w:rsidR="00594A75" w:rsidRPr="00D73205">
        <w:t xml:space="preserve"> that relate to my sexuality even though there is often less than there is about Heterosexual or even Gay male</w:t>
      </w:r>
      <w:r w:rsidR="002A266F">
        <w:t>[s]</w:t>
      </w:r>
      <w:r w:rsidR="00594A75" w:rsidRPr="00D73205">
        <w:t>. However for my gender I have found almost nothin</w:t>
      </w:r>
      <w:r w:rsidR="00E377DC">
        <w:t xml:space="preserve">g […] It </w:t>
      </w:r>
      <w:r w:rsidR="00594A75" w:rsidRPr="00D73205">
        <w:t>is difficult to find it, I often just go with a mix of Female and Trans male information and I do find that by using the two of them I can find things to help</w:t>
      </w:r>
      <w:r w:rsidR="00947A6B">
        <w:t>.</w:t>
      </w:r>
    </w:p>
    <w:p w14:paraId="314FB4FA" w14:textId="12691E1A" w:rsidR="00594A75" w:rsidRPr="00D73205" w:rsidRDefault="00E234ED" w:rsidP="004E6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pPr>
      <w:r w:rsidRPr="00D73205">
        <w:t xml:space="preserve">While </w:t>
      </w:r>
      <w:r w:rsidR="0013095B">
        <w:t xml:space="preserve">Leslie </w:t>
      </w:r>
      <w:r w:rsidRPr="00D73205">
        <w:t xml:space="preserve">talks about piecing together information from different sources to build relevance to </w:t>
      </w:r>
      <w:r w:rsidR="008C4330">
        <w:t>her</w:t>
      </w:r>
      <w:r w:rsidRPr="00D73205">
        <w:t xml:space="preserve"> experience, Zander </w:t>
      </w:r>
      <w:r w:rsidR="00947A6B">
        <w:t>(</w:t>
      </w:r>
      <w:r w:rsidR="002A266F">
        <w:t>man, straight, 20, audio chat</w:t>
      </w:r>
      <w:r w:rsidR="00947A6B">
        <w:t xml:space="preserve">) </w:t>
      </w:r>
      <w:r w:rsidRPr="00D73205">
        <w:t>talks about the piecing work necessary where conflicting information is evident:</w:t>
      </w:r>
    </w:p>
    <w:p w14:paraId="608F7416" w14:textId="3228D79D" w:rsidR="00594A75" w:rsidRPr="00D73205" w:rsidRDefault="00E234ED" w:rsidP="002A2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09"/>
      </w:pPr>
      <w:r w:rsidRPr="00D73205">
        <w:tab/>
      </w:r>
      <w:r w:rsidR="00594A75" w:rsidRPr="00D73205">
        <w:t>Yeah</w:t>
      </w:r>
      <w:r w:rsidR="003247E2">
        <w:t>,</w:t>
      </w:r>
      <w:r w:rsidR="00594A75" w:rsidRPr="00D73205">
        <w:t xml:space="preserve"> I do think there is that gap</w:t>
      </w:r>
      <w:r w:rsidR="00947A6B">
        <w:t>.</w:t>
      </w:r>
      <w:r w:rsidR="002A266F">
        <w:t xml:space="preserve"> […] </w:t>
      </w:r>
      <w:r w:rsidR="00594A75" w:rsidRPr="00D73205">
        <w:t>I would tend to, if I did find conflicting information, I would look at, first of all</w:t>
      </w:r>
      <w:r w:rsidR="002A266F">
        <w:t>,</w:t>
      </w:r>
      <w:r w:rsidR="00594A75" w:rsidRPr="00D73205">
        <w:t xml:space="preserve"> I’d look at a lot more different sources and compare a few more, and if it's still conflicting I would probably ask some kind of forum on</w:t>
      </w:r>
      <w:r w:rsidR="002A266F">
        <w:t>,</w:t>
      </w:r>
      <w:r w:rsidR="00594A75" w:rsidRPr="00D73205">
        <w:t xml:space="preserve"> like</w:t>
      </w:r>
      <w:r w:rsidR="002A266F">
        <w:t>,</w:t>
      </w:r>
      <w:r w:rsidR="00594A75" w:rsidRPr="00D73205">
        <w:t xml:space="preserve"> Reddit or something like that</w:t>
      </w:r>
      <w:r w:rsidR="00947A6B">
        <w:t>.</w:t>
      </w:r>
    </w:p>
    <w:p w14:paraId="34E09DD8" w14:textId="4E05DECB" w:rsidR="00594A75" w:rsidRPr="00D73205" w:rsidRDefault="00594A75"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pPr>
    </w:p>
    <w:p w14:paraId="28C76BA7" w14:textId="0B22E10C" w:rsidR="00594A75" w:rsidRPr="00D73205" w:rsidRDefault="00E234ED"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pPr>
      <w:r w:rsidRPr="00D73205">
        <w:t xml:space="preserve">In a further comment on this process of piecing together information, </w:t>
      </w:r>
      <w:r w:rsidR="00EE2A23">
        <w:rPr>
          <w:rFonts w:ascii="Segoe UI" w:hAnsi="Segoe UI" w:cs="Segoe UI"/>
          <w:color w:val="000000"/>
          <w:sz w:val="20"/>
          <w:szCs w:val="20"/>
        </w:rPr>
        <w:t>Mark (man, straight, 19, IM messaging)</w:t>
      </w:r>
      <w:r w:rsidR="00947A6B">
        <w:t xml:space="preserve"> </w:t>
      </w:r>
      <w:r w:rsidR="008C4330">
        <w:t>cites</w:t>
      </w:r>
      <w:r w:rsidRPr="00D73205">
        <w:t xml:space="preserve"> the value of identifying common information across different sources, placing particular emphasis on the points of agreement where other disagreements exist. If these sources disagree on key issues, the points they </w:t>
      </w:r>
      <w:proofErr w:type="gramStart"/>
      <w:r w:rsidRPr="00D73205">
        <w:t>share in common</w:t>
      </w:r>
      <w:proofErr w:type="gramEnd"/>
      <w:r w:rsidRPr="00D73205">
        <w:t>, he reasons, must have some reliability:</w:t>
      </w:r>
    </w:p>
    <w:p w14:paraId="4B3BFBCB" w14:textId="7BBAC521" w:rsidR="00AD087C" w:rsidRPr="00D73205" w:rsidRDefault="00594A75" w:rsidP="00E3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pPr>
      <w:r w:rsidRPr="00D73205">
        <w:t xml:space="preserve">I think it’s hard to assume that whatever I’m reading is ever </w:t>
      </w:r>
      <w:r w:rsidR="004B3052">
        <w:t>hundred percent</w:t>
      </w:r>
      <w:r w:rsidRPr="00D73205">
        <w:t xml:space="preserve"> accurate but I guess I lean more towards articles that are on more official sites or written by a doctor, and sometimes even contrasting arguments seem to have some points which they agree on</w:t>
      </w:r>
      <w:r w:rsidR="00947A6B">
        <w:t>.</w:t>
      </w:r>
      <w:r w:rsidRPr="00D73205">
        <w:t xml:space="preserve"> </w:t>
      </w:r>
    </w:p>
    <w:p w14:paraId="71E97251" w14:textId="0DBD65ED" w:rsidR="00982B35" w:rsidRPr="00D73205" w:rsidRDefault="0050590C" w:rsidP="004E69CB">
      <w:pPr>
        <w:spacing w:after="0" w:line="480" w:lineRule="auto"/>
        <w:rPr>
          <w:i/>
          <w:iCs/>
        </w:rPr>
      </w:pPr>
      <w:r w:rsidRPr="00D73205">
        <w:lastRenderedPageBreak/>
        <w:t xml:space="preserve">While </w:t>
      </w:r>
      <w:r w:rsidR="00095363">
        <w:t>Mark</w:t>
      </w:r>
      <w:r w:rsidRPr="00D73205">
        <w:t xml:space="preserve"> describes employing a </w:t>
      </w:r>
      <w:r w:rsidR="00E377DC">
        <w:t>form</w:t>
      </w:r>
      <w:r w:rsidRPr="00D73205">
        <w:t xml:space="preserve"> of reasoning based on identification of common ground despite divergent positions, </w:t>
      </w:r>
      <w:r w:rsidR="003F56BF" w:rsidRPr="00D73205">
        <w:t xml:space="preserve">Jessica </w:t>
      </w:r>
      <w:r w:rsidR="00947A6B">
        <w:t>(</w:t>
      </w:r>
      <w:r w:rsidR="006C2182">
        <w:t>woman, bisexual, 18, video chat</w:t>
      </w:r>
      <w:r w:rsidR="00947A6B">
        <w:t xml:space="preserve">) </w:t>
      </w:r>
      <w:r w:rsidR="003F56BF" w:rsidRPr="00D73205">
        <w:t>outlines turning to refereed journals to find answers, expressing what appears to be a high degree of confidence in the scientific peer-review process for establishing reliable knowledge, but also turning to blog posts or other ‘real-world’ material to confirm her conclusions:</w:t>
      </w:r>
    </w:p>
    <w:p w14:paraId="3C57850E" w14:textId="036B2677" w:rsidR="008E0A6E" w:rsidRPr="00D73205" w:rsidRDefault="008E0A6E"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b/>
        </w:rPr>
      </w:pPr>
      <w:r w:rsidRPr="00D73205">
        <w:rPr>
          <w:b/>
        </w:rPr>
        <w:t>And how do you determine whether a source is actually reliable so if you go online, how do you actually assess, what are the steps you take to assess information to ensure that it</w:t>
      </w:r>
      <w:r w:rsidR="00947A6B">
        <w:rPr>
          <w:b/>
        </w:rPr>
        <w:t>’</w:t>
      </w:r>
      <w:r w:rsidRPr="00D73205">
        <w:rPr>
          <w:b/>
        </w:rPr>
        <w:t>s accurate and reliable for you?</w:t>
      </w:r>
    </w:p>
    <w:p w14:paraId="04984474" w14:textId="442424AF" w:rsidR="008E0A6E" w:rsidRPr="00D73205" w:rsidRDefault="008E0A6E"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pPr>
      <w:r w:rsidRPr="00D73205">
        <w:t>So like I said if I’m reading something from a journal, I know a lot of the information in there has to be really heavily scrutinised and you know, worked through in order to make sure that it’s good enough for that particular journal so I think that reassures me. If I can find anything that is like referenced or supported by other evidence, that’s definitely helpful</w:t>
      </w:r>
      <w:r w:rsidR="005F45A1">
        <w:t>,</w:t>
      </w:r>
      <w:r w:rsidRPr="00D73205">
        <w:t xml:space="preserve"> and if I find something and I’m able to find</w:t>
      </w:r>
      <w:r w:rsidR="006C2182">
        <w:t>,</w:t>
      </w:r>
      <w:r w:rsidRPr="00D73205">
        <w:t xml:space="preserve"> you know</w:t>
      </w:r>
      <w:r w:rsidR="006C2182">
        <w:t>,</w:t>
      </w:r>
      <w:r w:rsidRPr="00D73205">
        <w:t xml:space="preserve"> like a blog entry or you know</w:t>
      </w:r>
      <w:r w:rsidR="005F45A1">
        <w:t xml:space="preserve"> </w:t>
      </w:r>
      <w:r w:rsidRPr="00D73205">
        <w:t>how</w:t>
      </w:r>
      <w:r w:rsidR="005F45A1">
        <w:t>,</w:t>
      </w:r>
      <w:r w:rsidRPr="00D73205">
        <w:t xml:space="preserve"> like</w:t>
      </w:r>
      <w:r w:rsidR="005F45A1">
        <w:t>,</w:t>
      </w:r>
      <w:r w:rsidRPr="00D73205">
        <w:t xml:space="preserve"> you’ve got like mainstream websites and they have people that work there that like write about their experiences with their sexuality?</w:t>
      </w:r>
    </w:p>
    <w:p w14:paraId="6086CBDD" w14:textId="4D9DB0BB" w:rsidR="008E0A6E" w:rsidRPr="00D73205" w:rsidRDefault="008E0A6E" w:rsidP="006C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09"/>
        <w:rPr>
          <w:b/>
        </w:rPr>
      </w:pPr>
      <w:r w:rsidRPr="00D73205">
        <w:rPr>
          <w:b/>
        </w:rPr>
        <w:t>Yep.</w:t>
      </w:r>
    </w:p>
    <w:p w14:paraId="2E47C031" w14:textId="3591CBCD" w:rsidR="008E0A6E" w:rsidRPr="00D73205" w:rsidRDefault="008E0A6E"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pPr>
      <w:r w:rsidRPr="00D73205">
        <w:t>If I can find like a real-world example to relate to, I think that also helps me decide whether something is</w:t>
      </w:r>
      <w:r w:rsidR="006C2182">
        <w:t>,</w:t>
      </w:r>
      <w:r w:rsidRPr="00D73205">
        <w:t xml:space="preserve"> you know, accurate or not.</w:t>
      </w:r>
    </w:p>
    <w:p w14:paraId="749610F8" w14:textId="77777777" w:rsidR="00095363" w:rsidRDefault="00095363"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pPr>
    </w:p>
    <w:p w14:paraId="32D6C02D" w14:textId="29BDE20F" w:rsidR="00761CF0" w:rsidRPr="00D73205" w:rsidRDefault="00761CF0"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pPr>
      <w:r w:rsidRPr="00D73205">
        <w:t>Th</w:t>
      </w:r>
      <w:r w:rsidR="003F56BF" w:rsidRPr="00D73205">
        <w:t>is</w:t>
      </w:r>
      <w:r w:rsidRPr="00D73205">
        <w:t xml:space="preserve"> process of collection and synthesis</w:t>
      </w:r>
      <w:r w:rsidR="003F56BF" w:rsidRPr="00D73205">
        <w:t xml:space="preserve"> described so frequently by participants</w:t>
      </w:r>
      <w:r w:rsidRPr="00D73205">
        <w:t xml:space="preserve"> has two important implications for our analysi</w:t>
      </w:r>
      <w:r w:rsidR="000F102C">
        <w:t>s. F</w:t>
      </w:r>
      <w:r w:rsidRPr="00D73205">
        <w:t xml:space="preserve">irst, as flagged in the previous section, </w:t>
      </w:r>
      <w:r w:rsidR="003F56BF" w:rsidRPr="00D73205">
        <w:t>young people indicate that</w:t>
      </w:r>
      <w:r w:rsidRPr="00D73205">
        <w:t xml:space="preserve"> much </w:t>
      </w:r>
      <w:r w:rsidR="00317068">
        <w:t xml:space="preserve">of the </w:t>
      </w:r>
      <w:r w:rsidRPr="00D73205">
        <w:t xml:space="preserve">information registering as </w:t>
      </w:r>
      <w:r w:rsidR="00196C05">
        <w:t xml:space="preserve">epistemically </w:t>
      </w:r>
      <w:r w:rsidRPr="00D73205">
        <w:t xml:space="preserve">reliable is </w:t>
      </w:r>
      <w:r w:rsidR="00F56714">
        <w:t xml:space="preserve">nevertheless often </w:t>
      </w:r>
      <w:r w:rsidRPr="00D73205">
        <w:t xml:space="preserve">insufficiently detailed and comprehensive, </w:t>
      </w:r>
      <w:r w:rsidR="003F56BF" w:rsidRPr="00D73205">
        <w:t xml:space="preserve">often </w:t>
      </w:r>
      <w:r w:rsidRPr="00D73205">
        <w:t xml:space="preserve">selective in its focus. </w:t>
      </w:r>
      <w:r w:rsidR="000F102C">
        <w:t>Second</w:t>
      </w:r>
      <w:r w:rsidRPr="00D73205">
        <w:t>, young people describe having to conduct extensive searches to piece together enough information to answer their questions, taking upon themselves, in the process, the responsibility for this quest. Here</w:t>
      </w:r>
      <w:r w:rsidR="000F102C">
        <w:t xml:space="preserve"> the </w:t>
      </w:r>
      <w:r w:rsidRPr="00D73205">
        <w:t>dimension</w:t>
      </w:r>
      <w:r w:rsidR="000F102C">
        <w:t>s</w:t>
      </w:r>
      <w:r w:rsidRPr="00D73205">
        <w:t xml:space="preserve"> of epistemic citizenship</w:t>
      </w:r>
      <w:r w:rsidR="000F102C">
        <w:t xml:space="preserve"> constituted</w:t>
      </w:r>
      <w:r w:rsidRPr="00D73205">
        <w:t xml:space="preserve"> in this domain of knowledge</w:t>
      </w:r>
      <w:r w:rsidR="000F102C">
        <w:t xml:space="preserve"> and selfhood can be identified</w:t>
      </w:r>
      <w:r w:rsidRPr="00D73205">
        <w:t xml:space="preserve">: </w:t>
      </w:r>
      <w:r w:rsidR="000F102C">
        <w:t>an</w:t>
      </w:r>
      <w:r w:rsidRPr="00D73205">
        <w:t xml:space="preserve"> injunction to assume responsibility </w:t>
      </w:r>
      <w:r w:rsidRPr="00D73205">
        <w:lastRenderedPageBreak/>
        <w:t xml:space="preserve">for self-education, even in a context of knowledge scarcity </w:t>
      </w:r>
      <w:r w:rsidR="005517BC">
        <w:t xml:space="preserve">that </w:t>
      </w:r>
      <w:r w:rsidR="00F56714">
        <w:t>operates</w:t>
      </w:r>
      <w:r w:rsidR="005517BC">
        <w:t xml:space="preserve"> </w:t>
      </w:r>
      <w:r w:rsidRPr="00D73205">
        <w:t>beyond individual control.</w:t>
      </w:r>
    </w:p>
    <w:p w14:paraId="46089528" w14:textId="77777777" w:rsidR="0069201A" w:rsidRPr="00D73205" w:rsidRDefault="0069201A" w:rsidP="003861B4">
      <w:pPr>
        <w:spacing w:after="0" w:line="480" w:lineRule="auto"/>
      </w:pPr>
    </w:p>
    <w:p w14:paraId="507A9B24" w14:textId="2AC17452" w:rsidR="00FA2BC3" w:rsidRPr="00D73205" w:rsidRDefault="004B183C" w:rsidP="0023649D">
      <w:pPr>
        <w:keepNext/>
        <w:spacing w:after="0" w:line="480" w:lineRule="auto"/>
      </w:pPr>
      <w:r>
        <w:rPr>
          <w:b/>
          <w:bCs/>
          <w:i/>
          <w:iCs/>
        </w:rPr>
        <w:t>Establishing h</w:t>
      </w:r>
      <w:r w:rsidR="007D4EE9" w:rsidRPr="00F56714">
        <w:rPr>
          <w:b/>
          <w:bCs/>
          <w:i/>
          <w:iCs/>
        </w:rPr>
        <w:t>ierarchies of expertise</w:t>
      </w:r>
    </w:p>
    <w:p w14:paraId="62A92F50" w14:textId="69535F7A" w:rsidR="00466AD5" w:rsidRPr="00D73205" w:rsidRDefault="00466AD5" w:rsidP="003861B4">
      <w:pPr>
        <w:spacing w:after="0" w:line="480" w:lineRule="auto"/>
      </w:pPr>
      <w:r w:rsidRPr="00D73205">
        <w:t xml:space="preserve">In the previous sections we have examined the ways in which </w:t>
      </w:r>
      <w:r w:rsidR="00196C05">
        <w:t xml:space="preserve">core binaries in the episteme of scientific rationalism – </w:t>
      </w:r>
      <w:r w:rsidRPr="00D73205">
        <w:t>fact and experience, science and opinion</w:t>
      </w:r>
      <w:r w:rsidR="00196C05">
        <w:t xml:space="preserve"> –</w:t>
      </w:r>
      <w:r w:rsidRPr="00D73205">
        <w:t xml:space="preserve"> are</w:t>
      </w:r>
      <w:r w:rsidR="00BC5163">
        <w:t xml:space="preserve"> identified and</w:t>
      </w:r>
      <w:r w:rsidRPr="00D73205">
        <w:t xml:space="preserve"> </w:t>
      </w:r>
      <w:r w:rsidR="00196C05">
        <w:t>reproduced</w:t>
      </w:r>
      <w:r w:rsidR="00196C05" w:rsidRPr="00D73205">
        <w:t xml:space="preserve"> </w:t>
      </w:r>
      <w:r w:rsidRPr="00D73205">
        <w:t xml:space="preserve">by participants, while both </w:t>
      </w:r>
      <w:r w:rsidR="00196C05">
        <w:t xml:space="preserve">types of information </w:t>
      </w:r>
      <w:r w:rsidRPr="00D73205">
        <w:t xml:space="preserve">are often sought out and </w:t>
      </w:r>
      <w:r w:rsidR="00196C05">
        <w:t>pieced</w:t>
      </w:r>
      <w:r w:rsidR="00196C05" w:rsidRPr="00D73205">
        <w:t xml:space="preserve"> </w:t>
      </w:r>
      <w:r w:rsidRPr="00D73205">
        <w:t xml:space="preserve">together in the production of reliable knowledge. As participants have indicated, identifying reliable yet diverse and nuanced information is not easy. For some, GPs have the capacity to fill the gap between </w:t>
      </w:r>
      <w:r w:rsidR="000F102C">
        <w:t xml:space="preserve">dry or narrow </w:t>
      </w:r>
      <w:r w:rsidRPr="00D73205">
        <w:t xml:space="preserve">scientific information and arbitrary personal experience. As Katie </w:t>
      </w:r>
      <w:r w:rsidR="00A575B2" w:rsidRPr="00A575B2">
        <w:t xml:space="preserve">(woman, bisexual, 19, audio chat) </w:t>
      </w:r>
      <w:r w:rsidRPr="00D73205">
        <w:t xml:space="preserve">explains, if faced with a choice between a range of sources, including her own knowledge and social media platforms such as Instagram, </w:t>
      </w:r>
      <w:r w:rsidR="004B183C">
        <w:t xml:space="preserve">she regards </w:t>
      </w:r>
      <w:r w:rsidRPr="00D73205">
        <w:t xml:space="preserve">her GP </w:t>
      </w:r>
      <w:r w:rsidR="004B183C">
        <w:t>a</w:t>
      </w:r>
      <w:r w:rsidRPr="00D73205">
        <w:t>s her most trusted informant</w:t>
      </w:r>
      <w:r w:rsidR="00317068">
        <w:t>:</w:t>
      </w:r>
    </w:p>
    <w:p w14:paraId="01D16069" w14:textId="6CE3DBCA" w:rsidR="00466AD5" w:rsidRPr="00D73205" w:rsidRDefault="00466AD5" w:rsidP="006C2182">
      <w:pPr>
        <w:spacing w:after="0" w:line="480" w:lineRule="auto"/>
        <w:ind w:left="720"/>
      </w:pPr>
      <w:r w:rsidRPr="00D73205">
        <w:t>I always talk to my doctor about it because she’s ultimately</w:t>
      </w:r>
      <w:r w:rsidR="00F571E9">
        <w:t>,</w:t>
      </w:r>
      <w:r w:rsidRPr="00D73205">
        <w:t xml:space="preserve"> like</w:t>
      </w:r>
      <w:r w:rsidR="00F571E9">
        <w:t>,</w:t>
      </w:r>
      <w:r w:rsidRPr="00D73205">
        <w:t xml:space="preserve"> way more educated in biology than I am and sort of like pharmaceuticals and stuff. But yeah, like I just, back to Instagram I just don’t trust it like there’s not that many scientifically literate people on Instagram and I’ve seen blatantly wrong information in people’s captions.</w:t>
      </w:r>
      <w:r w:rsidR="00947A6B">
        <w:t xml:space="preserve"> </w:t>
      </w:r>
      <w:r w:rsidRPr="00D73205">
        <w:t>And nobody has even caught onto that so</w:t>
      </w:r>
      <w:r w:rsidR="006A063F">
        <w:t>,</w:t>
      </w:r>
      <w:r w:rsidRPr="00D73205">
        <w:t xml:space="preserve"> yeah, it just concerns me, like I’m actually quite annoyed by the fact that people can</w:t>
      </w:r>
      <w:r w:rsidR="00317068">
        <w:t>,</w:t>
      </w:r>
      <w:r w:rsidRPr="00D73205">
        <w:t xml:space="preserve"> you know, market themselves as like sex educators and then spread literally like scientifically wrong stuff about biochemistry that could</w:t>
      </w:r>
      <w:r w:rsidR="00317068">
        <w:t>,</w:t>
      </w:r>
      <w:r w:rsidRPr="00D73205">
        <w:t xml:space="preserve"> you know, potentially harm somebody</w:t>
      </w:r>
      <w:r w:rsidR="00317068">
        <w:t>.</w:t>
      </w:r>
    </w:p>
    <w:p w14:paraId="3C9B0928" w14:textId="4286FB45" w:rsidR="00466AD5" w:rsidRPr="00D73205" w:rsidRDefault="00466AD5" w:rsidP="003861B4">
      <w:pPr>
        <w:spacing w:after="0" w:line="480" w:lineRule="auto"/>
      </w:pPr>
      <w:r w:rsidRPr="00D73205">
        <w:t xml:space="preserve">Here, Katie’s GP figures as the properly educated counter to internet </w:t>
      </w:r>
      <w:r w:rsidR="003247E2">
        <w:t>imposters</w:t>
      </w:r>
      <w:r w:rsidRPr="00D73205">
        <w:t xml:space="preserve"> producing dangerous and baseless knowledge.</w:t>
      </w:r>
    </w:p>
    <w:p w14:paraId="39616C09" w14:textId="2031D288" w:rsidR="00466AD5" w:rsidRPr="00D73205" w:rsidRDefault="00466AD5" w:rsidP="003861B4">
      <w:pPr>
        <w:spacing w:after="0" w:line="480" w:lineRule="auto"/>
      </w:pPr>
    </w:p>
    <w:p w14:paraId="2118737F" w14:textId="4F625E42" w:rsidR="00466AD5" w:rsidRPr="00D73205" w:rsidRDefault="002911D0" w:rsidP="003861B4">
      <w:pPr>
        <w:spacing w:after="0" w:line="480" w:lineRule="auto"/>
      </w:pPr>
      <w:r>
        <w:t>A similar</w:t>
      </w:r>
      <w:r w:rsidR="00A575B2">
        <w:t xml:space="preserve"> preference </w:t>
      </w:r>
      <w:r>
        <w:t>expressed by</w:t>
      </w:r>
      <w:r w:rsidR="00A575B2">
        <w:t xml:space="preserve"> </w:t>
      </w:r>
      <w:r w:rsidR="00466AD5" w:rsidRPr="00D73205">
        <w:t>Jessica</w:t>
      </w:r>
      <w:r w:rsidR="00A575B2">
        <w:t xml:space="preserve"> (</w:t>
      </w:r>
      <w:r w:rsidR="00A575B2" w:rsidRPr="00A575B2">
        <w:t>woman, bisexual, 18, video chat)</w:t>
      </w:r>
      <w:r w:rsidR="00466AD5" w:rsidRPr="00D73205">
        <w:t xml:space="preserve"> for her GP </w:t>
      </w:r>
      <w:r>
        <w:t>mobi</w:t>
      </w:r>
      <w:r w:rsidR="003F5A28">
        <w:t>l</w:t>
      </w:r>
      <w:r>
        <w:t>ises</w:t>
      </w:r>
      <w:r w:rsidR="00466AD5" w:rsidRPr="00D73205">
        <w:t xml:space="preserve"> terms slightly different from Katie’s, in that she describes her GP as able to convert obscure or difficult-to-follow scientific information (such as diagrams) into more accessible knowledge. As Jessica puts it, </w:t>
      </w:r>
      <w:r w:rsidR="001D4092" w:rsidRPr="00D73205">
        <w:t xml:space="preserve">offering an insight into the </w:t>
      </w:r>
      <w:r w:rsidR="0023649D">
        <w:t>lengths</w:t>
      </w:r>
      <w:r w:rsidR="001D4092" w:rsidRPr="00D73205">
        <w:t xml:space="preserve"> </w:t>
      </w:r>
      <w:r w:rsidR="006A063F">
        <w:t xml:space="preserve">to which </w:t>
      </w:r>
      <w:r w:rsidR="001D4092" w:rsidRPr="00D73205">
        <w:t xml:space="preserve">some </w:t>
      </w:r>
      <w:r w:rsidR="001D4092" w:rsidRPr="00D73205">
        <w:lastRenderedPageBreak/>
        <w:t>young people must go in seeking information, in the end her GP is the quickest way to access reliable, accessible information:</w:t>
      </w:r>
    </w:p>
    <w:p w14:paraId="4F126D34" w14:textId="340787FD" w:rsidR="00466AD5" w:rsidRPr="00D73205" w:rsidRDefault="00FA2BC3" w:rsidP="003861B4">
      <w:pPr>
        <w:spacing w:after="0" w:line="480" w:lineRule="auto"/>
        <w:ind w:left="720"/>
      </w:pPr>
      <w:r w:rsidRPr="00D73205">
        <w:t>Yeah</w:t>
      </w:r>
      <w:r w:rsidR="004F25DE">
        <w:t>,</w:t>
      </w:r>
      <w:r w:rsidRPr="00D73205">
        <w:t xml:space="preserve"> definitely it’s been a lot of, </w:t>
      </w:r>
      <w:r w:rsidR="006A063F">
        <w:t>‘O</w:t>
      </w:r>
      <w:r w:rsidRPr="00D73205">
        <w:t xml:space="preserve">h what’s this, what is </w:t>
      </w:r>
      <w:proofErr w:type="gramStart"/>
      <w:r w:rsidRPr="00D73205">
        <w:t>that,</w:t>
      </w:r>
      <w:proofErr w:type="gramEnd"/>
      <w:r w:rsidRPr="00D73205">
        <w:t xml:space="preserve"> what is this diagram, oh wait</w:t>
      </w:r>
      <w:r w:rsidR="006A063F">
        <w:t>,</w:t>
      </w:r>
      <w:r w:rsidRPr="00D73205">
        <w:t xml:space="preserve"> that’s what my</w:t>
      </w:r>
      <w:r w:rsidR="006A063F">
        <w:t>,</w:t>
      </w:r>
      <w:r w:rsidRPr="00D73205">
        <w:t xml:space="preserve"> you know, pubic region looks like, that’s great</w:t>
      </w:r>
      <w:r w:rsidR="006A063F">
        <w:t>’</w:t>
      </w:r>
      <w:r w:rsidR="001B3604">
        <w:t>. L</w:t>
      </w:r>
      <w:r w:rsidRPr="00D73205">
        <w:t>ike it’s, that’s been very challenging to do independently. And I think now</w:t>
      </w:r>
      <w:r w:rsidR="001B3604">
        <w:t>,</w:t>
      </w:r>
      <w:r w:rsidRPr="00D73205">
        <w:t xml:space="preserve"> as opposed to spending hours and hours of researching stuff about my body, I’ve reached the point where I’d rather than just go to my GP and get an answer straight</w:t>
      </w:r>
      <w:r w:rsidR="001B3604">
        <w:t xml:space="preserve"> </w:t>
      </w:r>
      <w:r w:rsidRPr="00D73205">
        <w:t>away</w:t>
      </w:r>
      <w:r w:rsidR="004B3052">
        <w:t>. D</w:t>
      </w:r>
      <w:r w:rsidRPr="00D73205">
        <w:t>oes that make sense?</w:t>
      </w:r>
    </w:p>
    <w:p w14:paraId="664BD05E" w14:textId="0BC6DBCD" w:rsidR="001D4092" w:rsidRPr="00D73205" w:rsidRDefault="001D4092" w:rsidP="003861B4">
      <w:pPr>
        <w:spacing w:after="0" w:line="480" w:lineRule="auto"/>
      </w:pPr>
      <w:r w:rsidRPr="00D73205">
        <w:t>Luke</w:t>
      </w:r>
      <w:r w:rsidR="006A063F">
        <w:t xml:space="preserve"> (</w:t>
      </w:r>
      <w:r w:rsidR="006A063F" w:rsidRPr="00D73205">
        <w:t>man, straight, 19, video chat</w:t>
      </w:r>
      <w:r w:rsidR="006A063F">
        <w:t>)</w:t>
      </w:r>
      <w:r w:rsidR="004B3052">
        <w:t xml:space="preserve"> </w:t>
      </w:r>
      <w:r w:rsidR="004F25DE">
        <w:t xml:space="preserve">also </w:t>
      </w:r>
      <w:r w:rsidR="009423C5">
        <w:t xml:space="preserve">reproduces the scientific rationalist </w:t>
      </w:r>
      <w:r w:rsidR="009423C5" w:rsidRPr="009423C5">
        <w:t xml:space="preserve">episteme </w:t>
      </w:r>
      <w:r w:rsidR="009423C5">
        <w:t xml:space="preserve">when he </w:t>
      </w:r>
      <w:r w:rsidRPr="00D73205">
        <w:t>identifies GPs as his authoritative source in seeking sexual health information:</w:t>
      </w:r>
    </w:p>
    <w:p w14:paraId="5D7CEF31" w14:textId="3727693E" w:rsidR="00982B35" w:rsidRPr="00D73205" w:rsidRDefault="00982B35"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ight="720"/>
      </w:pPr>
      <w:r w:rsidRPr="00D73205">
        <w:t>Yeah, well it really depends on the sources, like if my mum’s telling me one thing, the internet’s telling me another thing, and a [</w:t>
      </w:r>
      <w:r w:rsidR="006A063F">
        <w:t>GP</w:t>
      </w:r>
      <w:r w:rsidRPr="00D73205">
        <w:t>] is telling me a third thing, then I’m just going to trust the [</w:t>
      </w:r>
      <w:r w:rsidR="006A063F">
        <w:t>GP</w:t>
      </w:r>
      <w:r w:rsidRPr="00D73205">
        <w:t xml:space="preserve">], because they went to school for </w:t>
      </w:r>
      <w:r w:rsidR="004B3052">
        <w:t>twelve</w:t>
      </w:r>
      <w:r w:rsidRPr="00D73205">
        <w:t xml:space="preserve"> years or however long it takes to be a [</w:t>
      </w:r>
      <w:r w:rsidR="006A063F">
        <w:t>GP</w:t>
      </w:r>
      <w:r w:rsidRPr="00D73205">
        <w:t>].</w:t>
      </w:r>
    </w:p>
    <w:p w14:paraId="1AC32D58" w14:textId="77777777" w:rsidR="001D4092" w:rsidRPr="00D73205" w:rsidRDefault="001D4092"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right="720"/>
      </w:pPr>
    </w:p>
    <w:p w14:paraId="207090B4" w14:textId="24CCFE3A" w:rsidR="00982B35" w:rsidRPr="00D73205" w:rsidRDefault="001D4092" w:rsidP="006C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right="720"/>
      </w:pPr>
      <w:r w:rsidRPr="00D73205">
        <w:t>Whether or not GPs are consistently able to engage young people in clear, open discussions about sex and sexual health, and provide comprehensive, current and accurate information</w:t>
      </w:r>
      <w:r w:rsidR="004B3052">
        <w:t>,</w:t>
      </w:r>
      <w:r w:rsidR="000F102C">
        <w:t xml:space="preserve"> remains open to debate, and a literature on these issues indicates that GPs are not always able to act effectively in this capacity (</w:t>
      </w:r>
      <w:r w:rsidR="004F6684">
        <w:t xml:space="preserve">Jarrett, </w:t>
      </w:r>
      <w:proofErr w:type="spellStart"/>
      <w:r w:rsidR="004F6684">
        <w:t>Dadich</w:t>
      </w:r>
      <w:proofErr w:type="spellEnd"/>
      <w:r w:rsidR="004F6684">
        <w:t>, Robards</w:t>
      </w:r>
      <w:r w:rsidR="003247E2">
        <w:t xml:space="preserve"> and</w:t>
      </w:r>
      <w:r w:rsidR="004F6684">
        <w:t xml:space="preserve"> Bennett 2011; </w:t>
      </w:r>
      <w:proofErr w:type="spellStart"/>
      <w:r w:rsidR="004F6684">
        <w:t>Macdowall</w:t>
      </w:r>
      <w:proofErr w:type="spellEnd"/>
      <w:r w:rsidR="004F6684">
        <w:t xml:space="preserve"> et al., 2010; Roberts, Crosland</w:t>
      </w:r>
      <w:r w:rsidR="003247E2">
        <w:t xml:space="preserve"> and</w:t>
      </w:r>
      <w:r w:rsidR="004F6684">
        <w:t xml:space="preserve"> Fulton, 2013</w:t>
      </w:r>
      <w:r w:rsidR="000F102C">
        <w:t>).</w:t>
      </w:r>
      <w:r w:rsidRPr="00D73205">
        <w:t xml:space="preserve"> </w:t>
      </w:r>
      <w:r w:rsidR="00D02C4F">
        <w:t xml:space="preserve">That said, </w:t>
      </w:r>
      <w:r w:rsidRPr="00D73205">
        <w:t xml:space="preserve">many young people in our project expressed faith in the </w:t>
      </w:r>
      <w:r w:rsidR="00D02C4F">
        <w:t>ability</w:t>
      </w:r>
      <w:r w:rsidRPr="00D73205">
        <w:t xml:space="preserve"> </w:t>
      </w:r>
      <w:r w:rsidR="006A063F">
        <w:t xml:space="preserve">of GPs </w:t>
      </w:r>
      <w:r w:rsidRPr="00D73205">
        <w:t xml:space="preserve">to do so. Thinking back to </w:t>
      </w:r>
      <w:r w:rsidR="00D02C4F">
        <w:t>the</w:t>
      </w:r>
      <w:r w:rsidRPr="00D73205">
        <w:t xml:space="preserve"> outline of scientific rationalism </w:t>
      </w:r>
      <w:r w:rsidR="00D02C4F">
        <w:t>provided earlier</w:t>
      </w:r>
      <w:r w:rsidRPr="00D73205">
        <w:t xml:space="preserve">, this faith in GPs is consistent with the </w:t>
      </w:r>
      <w:r w:rsidR="004F25DE">
        <w:t xml:space="preserve">animating </w:t>
      </w:r>
      <w:r w:rsidRPr="00D73205">
        <w:t xml:space="preserve">episteme at work in participant responses overall: </w:t>
      </w:r>
      <w:r w:rsidR="00A575B2" w:rsidRPr="00A575B2">
        <w:t xml:space="preserve">the role of scientific training and method in the constitution of </w:t>
      </w:r>
      <w:r w:rsidR="007D4EE9" w:rsidRPr="00D73205">
        <w:t xml:space="preserve">the </w:t>
      </w:r>
      <w:r w:rsidR="004F25DE">
        <w:t xml:space="preserve">crucial </w:t>
      </w:r>
      <w:r w:rsidR="007D4EE9" w:rsidRPr="00D73205">
        <w:t>distinction between fact and opinion, truth and experience.</w:t>
      </w:r>
      <w:r w:rsidR="00C75F4C" w:rsidRPr="00D73205">
        <w:t xml:space="preserve"> Katie </w:t>
      </w:r>
      <w:r w:rsidR="00A575B2">
        <w:t>articulates</w:t>
      </w:r>
      <w:r w:rsidR="00A575B2" w:rsidRPr="00D73205">
        <w:t xml:space="preserve"> </w:t>
      </w:r>
      <w:r w:rsidR="00C75F4C" w:rsidRPr="00D73205">
        <w:t>th</w:t>
      </w:r>
      <w:r w:rsidR="00A575B2">
        <w:t>is</w:t>
      </w:r>
      <w:r w:rsidR="00C75F4C" w:rsidRPr="00D73205">
        <w:t xml:space="preserve"> link clearly in the remarks she makes following her nomination of her GP as </w:t>
      </w:r>
      <w:r w:rsidR="006A063F">
        <w:t xml:space="preserve">a </w:t>
      </w:r>
      <w:r w:rsidR="00C75F4C" w:rsidRPr="00D73205">
        <w:t>key source of reliable information:</w:t>
      </w:r>
    </w:p>
    <w:p w14:paraId="6486AEA9" w14:textId="527086B2" w:rsidR="008E0A6E" w:rsidRPr="00D73205" w:rsidRDefault="008E0A6E" w:rsidP="006C2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pPr>
      <w:r w:rsidRPr="00D73205">
        <w:lastRenderedPageBreak/>
        <w:t>I think</w:t>
      </w:r>
      <w:r w:rsidR="003247E2">
        <w:t>,</w:t>
      </w:r>
      <w:r w:rsidRPr="00D73205">
        <w:t xml:space="preserve"> like</w:t>
      </w:r>
      <w:r w:rsidR="003247E2">
        <w:t>,</w:t>
      </w:r>
      <w:r w:rsidRPr="00D73205">
        <w:t xml:space="preserve"> my science education is like the most valuable thing to ever come to me and I’ve probably talked about it</w:t>
      </w:r>
      <w:r w:rsidR="003247E2">
        <w:t>,</w:t>
      </w:r>
      <w:r w:rsidRPr="00D73205">
        <w:t xml:space="preserve"> like</w:t>
      </w:r>
      <w:r w:rsidR="003247E2">
        <w:t>,</w:t>
      </w:r>
      <w:r w:rsidRPr="00D73205">
        <w:t xml:space="preserve"> way too much but I just can’t imagine</w:t>
      </w:r>
      <w:r w:rsidR="003247E2">
        <w:t>,</w:t>
      </w:r>
      <w:r w:rsidRPr="00D73205">
        <w:t xml:space="preserve"> like</w:t>
      </w:r>
      <w:r w:rsidR="003247E2">
        <w:t>,</w:t>
      </w:r>
      <w:r w:rsidRPr="00D73205">
        <w:t xml:space="preserve"> going through just</w:t>
      </w:r>
      <w:r w:rsidR="003247E2">
        <w:t>,</w:t>
      </w:r>
      <w:r w:rsidRPr="00D73205">
        <w:t xml:space="preserve"> like</w:t>
      </w:r>
      <w:r w:rsidR="003247E2">
        <w:t>,</w:t>
      </w:r>
      <w:r w:rsidRPr="00D73205">
        <w:t xml:space="preserve"> life but not knowing</w:t>
      </w:r>
      <w:r w:rsidR="003247E2">
        <w:t>,</w:t>
      </w:r>
      <w:r w:rsidRPr="00D73205">
        <w:t xml:space="preserve"> like</w:t>
      </w:r>
      <w:r w:rsidR="003247E2">
        <w:t>,</w:t>
      </w:r>
      <w:r w:rsidRPr="00D73205">
        <w:t xml:space="preserve"> what certain drugs can do or</w:t>
      </w:r>
      <w:r w:rsidR="003247E2">
        <w:t>,</w:t>
      </w:r>
      <w:r w:rsidRPr="00D73205">
        <w:t xml:space="preserve"> like</w:t>
      </w:r>
      <w:r w:rsidR="003247E2">
        <w:t>,</w:t>
      </w:r>
      <w:r w:rsidRPr="00D73205">
        <w:t xml:space="preserve"> how molecules work and stuff like that. Because I just find it really helpful for informing myself of</w:t>
      </w:r>
      <w:r w:rsidR="003247E2">
        <w:t>,</w:t>
      </w:r>
      <w:r w:rsidRPr="00D73205">
        <w:t xml:space="preserve"> like</w:t>
      </w:r>
      <w:r w:rsidR="003247E2">
        <w:t>,</w:t>
      </w:r>
      <w:r w:rsidRPr="00D73205">
        <w:t xml:space="preserve"> what I’m getting into but then yeah, like</w:t>
      </w:r>
      <w:r w:rsidR="003247E2">
        <w:t>,</w:t>
      </w:r>
      <w:r w:rsidRPr="00D73205">
        <w:t xml:space="preserve"> because it helps me be critical because if I didn’t know that a chemical behaved a certain way and somebody just said </w:t>
      </w:r>
      <w:r w:rsidR="008C6A73">
        <w:t>‘O</w:t>
      </w:r>
      <w:r w:rsidRPr="00D73205">
        <w:t xml:space="preserve">h it behaves </w:t>
      </w:r>
      <w:r w:rsidR="005F1B2F">
        <w:t>[in]</w:t>
      </w:r>
      <w:r w:rsidRPr="00D73205">
        <w:t xml:space="preserve"> this way</w:t>
      </w:r>
      <w:r w:rsidR="008C6A73">
        <w:t>’,</w:t>
      </w:r>
      <w:r w:rsidRPr="00D73205">
        <w:t xml:space="preserve"> I would never question it. Do you know what I mean? It’s not like I think that I’m right all the time, it’s just that I have a lot of, I hear a lot of different information and I can critically pick between which one I think is more plausible and not just take things at face value because like one person says so and they’re the only thing I’ve heard.</w:t>
      </w:r>
    </w:p>
    <w:p w14:paraId="7EE726B8" w14:textId="6313A10B" w:rsidR="008662DB" w:rsidRDefault="00D02C4F" w:rsidP="003861B4">
      <w:pPr>
        <w:spacing w:after="0" w:line="480" w:lineRule="auto"/>
      </w:pPr>
      <w:r>
        <w:t xml:space="preserve">Here, as with previous remarks </w:t>
      </w:r>
      <w:r w:rsidR="008C6A73">
        <w:t xml:space="preserve">made by </w:t>
      </w:r>
      <w:r>
        <w:t xml:space="preserve">participants about their search for information, Katie spells out a sophisticated and highly responsible relationship to information – one in which she brings to bear the full extent of her formal science education to navigate the public domain in which distinguishing between claims is a personal necessity. </w:t>
      </w:r>
      <w:r w:rsidR="008662DB">
        <w:t xml:space="preserve">Importantly for Katie, this education also informs </w:t>
      </w:r>
      <w:r w:rsidR="00087A39">
        <w:t>her critical perspective on</w:t>
      </w:r>
      <w:r w:rsidR="008662DB">
        <w:t xml:space="preserve"> the truths produced within this episteme: </w:t>
      </w:r>
    </w:p>
    <w:p w14:paraId="03F33680" w14:textId="56E10A4B" w:rsidR="008662DB" w:rsidRPr="008662DB" w:rsidRDefault="008662DB" w:rsidP="008662DB">
      <w:pPr>
        <w:spacing w:after="0" w:line="480" w:lineRule="auto"/>
        <w:ind w:left="720"/>
        <w:rPr>
          <w:sz w:val="20"/>
          <w:szCs w:val="20"/>
        </w:rPr>
      </w:pPr>
      <w:r>
        <w:t>E</w:t>
      </w:r>
      <w:r w:rsidRPr="008662DB">
        <w:t>ven in the scientific community, like, it’s not always like a clean process. People manipulate data, people have agendas, you know, it’s like publish or perish [and] some people just put out really bad work just so they can keep their research rankings.</w:t>
      </w:r>
    </w:p>
    <w:p w14:paraId="5CB6ABB0" w14:textId="41EC4AFB" w:rsidR="00D02C4F" w:rsidRDefault="008662DB" w:rsidP="003861B4">
      <w:pPr>
        <w:spacing w:after="0" w:line="480" w:lineRule="auto"/>
      </w:pPr>
      <w:r>
        <w:t>Even where she critically questions the politics of research and impact on research findings, Katie emphasises an investment</w:t>
      </w:r>
      <w:r w:rsidR="00BB284C">
        <w:t xml:space="preserve"> in distinctions between fact and opinion or, more specifically, personal ‘</w:t>
      </w:r>
      <w:proofErr w:type="gramStart"/>
      <w:r w:rsidR="00BB284C">
        <w:t>agendas’</w:t>
      </w:r>
      <w:proofErr w:type="gramEnd"/>
      <w:r w:rsidR="00BB284C">
        <w:t>.</w:t>
      </w:r>
      <w:r>
        <w:t xml:space="preserve"> </w:t>
      </w:r>
      <w:r w:rsidR="00D02C4F">
        <w:t xml:space="preserve">For Katie, </w:t>
      </w:r>
      <w:r w:rsidR="00BB284C">
        <w:t xml:space="preserve">her </w:t>
      </w:r>
      <w:r w:rsidR="00D02C4F">
        <w:t>capacity</w:t>
      </w:r>
      <w:r w:rsidR="00BB284C">
        <w:t xml:space="preserve"> to critically appraise this information and make these distinctions</w:t>
      </w:r>
      <w:r w:rsidR="00D02C4F">
        <w:t xml:space="preserve"> is so important, she ‘</w:t>
      </w:r>
      <w:bookmarkStart w:id="4" w:name="_Hlk52289709"/>
      <w:r w:rsidR="00D02C4F">
        <w:t>can’t imagine</w:t>
      </w:r>
      <w:r w:rsidR="005F1B2F">
        <w:t xml:space="preserve"> […]</w:t>
      </w:r>
      <w:r w:rsidR="008C6A73">
        <w:t xml:space="preserve"> </w:t>
      </w:r>
      <w:r w:rsidR="00D02C4F">
        <w:t xml:space="preserve">going through </w:t>
      </w:r>
      <w:r w:rsidR="005F1B2F">
        <w:t>[…]</w:t>
      </w:r>
      <w:r w:rsidR="008C6A73">
        <w:t xml:space="preserve"> </w:t>
      </w:r>
      <w:r w:rsidR="00D02C4F">
        <w:t xml:space="preserve">life’ </w:t>
      </w:r>
      <w:bookmarkEnd w:id="4"/>
      <w:r w:rsidR="00D02C4F">
        <w:t>without it.</w:t>
      </w:r>
    </w:p>
    <w:p w14:paraId="78D5242E" w14:textId="77777777" w:rsidR="00E77091" w:rsidRPr="00D73205" w:rsidRDefault="00E77091" w:rsidP="003861B4">
      <w:pPr>
        <w:pStyle w:val="ListParagraph"/>
        <w:spacing w:after="0" w:line="480" w:lineRule="auto"/>
        <w:rPr>
          <w:b/>
          <w:bCs/>
        </w:rPr>
      </w:pPr>
    </w:p>
    <w:p w14:paraId="5115FFEC" w14:textId="5E41FE0D" w:rsidR="00E77091" w:rsidRDefault="00E77091" w:rsidP="003861B4">
      <w:pPr>
        <w:spacing w:after="0" w:line="480" w:lineRule="auto"/>
      </w:pPr>
      <w:r>
        <w:lastRenderedPageBreak/>
        <w:t>Where does this plethora of information, commentary</w:t>
      </w:r>
      <w:r w:rsidR="00CD2D88">
        <w:t>,</w:t>
      </w:r>
      <w:r>
        <w:t xml:space="preserve"> and reliable and unreliable facts leave </w:t>
      </w:r>
      <w:r w:rsidR="00C430B7">
        <w:t xml:space="preserve">the </w:t>
      </w:r>
      <w:r w:rsidR="009423C5">
        <w:t>epistemic citizens in our study</w:t>
      </w:r>
      <w:r w:rsidR="00C430B7">
        <w:t xml:space="preserve"> and elsewhere</w:t>
      </w:r>
      <w:r>
        <w:t xml:space="preserve">? In </w:t>
      </w:r>
      <w:r w:rsidR="009423C5">
        <w:t>a</w:t>
      </w:r>
      <w:r>
        <w:t xml:space="preserve"> previous article we identified the production of a sceptical public of sexual health information </w:t>
      </w:r>
      <w:r w:rsidR="007E7690">
        <w:t>among</w:t>
      </w:r>
      <w:r>
        <w:t xml:space="preserve"> </w:t>
      </w:r>
      <w:r w:rsidR="00C430B7">
        <w:t>our</w:t>
      </w:r>
      <w:r>
        <w:t xml:space="preserve"> participants. Here we would emphasise this same dynamic, </w:t>
      </w:r>
      <w:r w:rsidR="00C430B7">
        <w:t>in comments such as</w:t>
      </w:r>
      <w:r w:rsidR="003E1DD9">
        <w:t xml:space="preserve"> Mark</w:t>
      </w:r>
      <w:r w:rsidR="00C430B7">
        <w:t>’s</w:t>
      </w:r>
      <w:r w:rsidR="00F571E9">
        <w:t xml:space="preserve"> (quoted above)</w:t>
      </w:r>
      <w:r>
        <w:t>:</w:t>
      </w:r>
    </w:p>
    <w:p w14:paraId="56778A16" w14:textId="074FC0DB" w:rsidR="004052B1" w:rsidRPr="00D73205" w:rsidRDefault="004052B1" w:rsidP="00625A00">
      <w:pPr>
        <w:spacing w:after="0" w:line="480" w:lineRule="auto"/>
        <w:ind w:left="720"/>
      </w:pPr>
      <w:r w:rsidRPr="00D73205">
        <w:t xml:space="preserve">I think it’s hard to assume that whatever I’m reading is ever </w:t>
      </w:r>
      <w:r w:rsidR="009423C5">
        <w:t>hundred percent</w:t>
      </w:r>
      <w:r w:rsidRPr="00D73205">
        <w:t xml:space="preserve"> accurate</w:t>
      </w:r>
      <w:r w:rsidR="009423C5">
        <w:t xml:space="preserve"> […]</w:t>
      </w:r>
      <w:r w:rsidR="007E7690">
        <w:t>.</w:t>
      </w:r>
    </w:p>
    <w:p w14:paraId="181D7629" w14:textId="494D6FB8" w:rsidR="00411C70" w:rsidRPr="00411C70" w:rsidRDefault="00411C70" w:rsidP="003861B4">
      <w:pPr>
        <w:spacing w:after="0" w:line="480" w:lineRule="auto"/>
      </w:pPr>
      <w:r w:rsidRPr="00411C70">
        <w:t xml:space="preserve">As we have argued here, this scepticism seems to carry with it a sense of felt obligation to </w:t>
      </w:r>
      <w:r>
        <w:t xml:space="preserve">collate, sift, synthesise, </w:t>
      </w:r>
      <w:proofErr w:type="gramStart"/>
      <w:r>
        <w:t>filter</w:t>
      </w:r>
      <w:proofErr w:type="gramEnd"/>
      <w:r>
        <w:t xml:space="preserve"> and assess information and sources in order to act as proper epistemic citizens animated by the pursuit of scientifically validated reliable knowledge.</w:t>
      </w:r>
    </w:p>
    <w:p w14:paraId="56EFB890" w14:textId="77777777" w:rsidR="00411C70" w:rsidRPr="00D73205" w:rsidRDefault="00411C70" w:rsidP="00386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color w:val="000000"/>
          <w:shd w:val="clear" w:color="auto" w:fill="D3D3D3"/>
        </w:rPr>
      </w:pPr>
    </w:p>
    <w:p w14:paraId="571A21F2" w14:textId="7C6D2F91" w:rsidR="00A844DA" w:rsidRPr="00D73205" w:rsidRDefault="00D2293B" w:rsidP="003861B4">
      <w:pPr>
        <w:spacing w:after="0" w:line="480" w:lineRule="auto"/>
      </w:pPr>
      <w:r w:rsidRPr="00D73205">
        <w:rPr>
          <w:b/>
          <w:bCs/>
        </w:rPr>
        <w:t>Conclusions</w:t>
      </w:r>
    </w:p>
    <w:p w14:paraId="53EB910C" w14:textId="3BE96331" w:rsidR="006C2A8B" w:rsidRDefault="004D3036" w:rsidP="006C2A8B">
      <w:pPr>
        <w:spacing w:after="0" w:line="480" w:lineRule="auto"/>
      </w:pPr>
      <w:r>
        <w:t>In this article, we have drawn on</w:t>
      </w:r>
      <w:r w:rsidR="00FD6175">
        <w:t>, and inverted,</w:t>
      </w:r>
      <w:r>
        <w:t xml:space="preserve"> </w:t>
      </w:r>
      <w:r w:rsidRPr="004D3036">
        <w:t xml:space="preserve">key ideas from the theorisation of sexual citizenship, </w:t>
      </w:r>
      <w:r w:rsidR="00FD6175">
        <w:t xml:space="preserve">and considered them alongside Foucault’s </w:t>
      </w:r>
      <w:r w:rsidR="00FD6175" w:rsidRPr="00D73205">
        <w:t xml:space="preserve">notion of the episteme </w:t>
      </w:r>
      <w:r w:rsidRPr="004D3036">
        <w:t>and Law</w:t>
      </w:r>
      <w:r w:rsidR="00FD6175">
        <w:t xml:space="preserve">’s </w:t>
      </w:r>
      <w:r w:rsidR="00DE6401">
        <w:t>work on</w:t>
      </w:r>
      <w:r w:rsidRPr="004D3036">
        <w:t xml:space="preserve"> ‘collateral </w:t>
      </w:r>
      <w:proofErr w:type="gramStart"/>
      <w:r w:rsidRPr="004D3036">
        <w:t>realities’</w:t>
      </w:r>
      <w:proofErr w:type="gramEnd"/>
      <w:r w:rsidR="00FD6175">
        <w:t xml:space="preserve">. Putting these theoretical </w:t>
      </w:r>
      <w:r w:rsidR="00D73839">
        <w:t>re</w:t>
      </w:r>
      <w:r w:rsidR="00FD6175">
        <w:t>sources to work, we i</w:t>
      </w:r>
      <w:r w:rsidR="00DE6401">
        <w:t>d</w:t>
      </w:r>
      <w:r w:rsidR="00FD6175">
        <w:t>entified</w:t>
      </w:r>
      <w:r w:rsidR="00FD4C9A">
        <w:t xml:space="preserve"> for the first time as far as we are aware</w:t>
      </w:r>
      <w:r w:rsidR="00FD6175">
        <w:t xml:space="preserve"> </w:t>
      </w:r>
      <w:r w:rsidR="00D73839">
        <w:t xml:space="preserve">a </w:t>
      </w:r>
      <w:r w:rsidR="00E60837">
        <w:t xml:space="preserve">highly consequential </w:t>
      </w:r>
      <w:r w:rsidR="00DE6401">
        <w:t>collateral reality</w:t>
      </w:r>
      <w:r w:rsidR="00BD35F3" w:rsidRPr="00BD35F3">
        <w:t xml:space="preserve"> produced by contemporary demands on young people to source, assess and act on sexual health information</w:t>
      </w:r>
      <w:r w:rsidR="00DE6401">
        <w:t xml:space="preserve">: what </w:t>
      </w:r>
      <w:r w:rsidR="00DE6401" w:rsidRPr="00D73205">
        <w:t>we have termed ‘epistemic citizenship’</w:t>
      </w:r>
      <w:r w:rsidR="00DE6401">
        <w:t xml:space="preserve">. </w:t>
      </w:r>
      <w:r w:rsidR="003D5643">
        <w:t xml:space="preserve">As our data suggest, young people </w:t>
      </w:r>
      <w:r w:rsidR="003D5643" w:rsidRPr="00D73205">
        <w:t>struggle to find relevant and reliable relationship</w:t>
      </w:r>
      <w:r w:rsidR="006C2A8B">
        <w:t>s</w:t>
      </w:r>
      <w:r w:rsidR="003D5643" w:rsidRPr="00D73205">
        <w:t xml:space="preserve"> and sexual health </w:t>
      </w:r>
      <w:proofErr w:type="gramStart"/>
      <w:r w:rsidR="003D5643" w:rsidRPr="00D73205">
        <w:t xml:space="preserve">information, </w:t>
      </w:r>
      <w:r w:rsidR="003D5643">
        <w:t>and</w:t>
      </w:r>
      <w:proofErr w:type="gramEnd"/>
      <w:r w:rsidR="003D5643">
        <w:t xml:space="preserve"> engage in</w:t>
      </w:r>
      <w:r w:rsidR="003D5643" w:rsidRPr="00D73205">
        <w:t xml:space="preserve"> extensive and complex processes of research and synthesis</w:t>
      </w:r>
      <w:r w:rsidR="006C2A8B">
        <w:t xml:space="preserve"> to generate their own knowledge base</w:t>
      </w:r>
      <w:r w:rsidR="003D5643">
        <w:t xml:space="preserve">. </w:t>
      </w:r>
      <w:r w:rsidR="003F5A28">
        <w:t xml:space="preserve">At least three steps are cited here: distinguishing between fact and opinion or experience, synthesising different sources, and establishing hierarchies of expertise. </w:t>
      </w:r>
      <w:r w:rsidR="006C2A8B">
        <w:t>In this respect, it is possible to argue that c</w:t>
      </w:r>
      <w:r w:rsidR="001A30B9">
        <w:t>urrent forms of</w:t>
      </w:r>
      <w:r w:rsidR="001A30B9" w:rsidRPr="001A30B9">
        <w:t xml:space="preserve"> relationship</w:t>
      </w:r>
      <w:r w:rsidR="006C2A8B">
        <w:t>s</w:t>
      </w:r>
      <w:r w:rsidR="001A30B9" w:rsidRPr="001A30B9">
        <w:t xml:space="preserve"> and sexuality education</w:t>
      </w:r>
      <w:r w:rsidR="001A30B9">
        <w:t>,</w:t>
      </w:r>
      <w:r w:rsidR="001A30B9" w:rsidRPr="001A30B9">
        <w:t xml:space="preserve"> and the discourses surrounding </w:t>
      </w:r>
      <w:r w:rsidR="001A30B9">
        <w:t>them,</w:t>
      </w:r>
      <w:r w:rsidR="001A30B9" w:rsidRPr="001A30B9">
        <w:t xml:space="preserve"> produce specific subjects </w:t>
      </w:r>
      <w:r w:rsidR="003F5A28">
        <w:t>who</w:t>
      </w:r>
      <w:r w:rsidR="001A30B9" w:rsidRPr="001A30B9">
        <w:t xml:space="preserve">: valorise science as objective and factual; separate fact and experience and science and opinion; accept responsibility to piece together the truth; and perform scientific literacy as a key credential for responsible epistemic citizenship. Explicitly aware of the limits of official knowledges about sexualities, they must either content themselves with officially constituted sexual selves or seek out and enact marginal or unofficial alternatives using sources </w:t>
      </w:r>
      <w:r w:rsidR="001A30B9" w:rsidRPr="001A30B9">
        <w:lastRenderedPageBreak/>
        <w:t>generally denigrated as unreliable.</w:t>
      </w:r>
      <w:r w:rsidR="006C2A8B">
        <w:t xml:space="preserve"> </w:t>
      </w:r>
      <w:r w:rsidR="003D5643">
        <w:t>T</w:t>
      </w:r>
      <w:r w:rsidR="003D5643" w:rsidRPr="00D73205">
        <w:t>h</w:t>
      </w:r>
      <w:r w:rsidR="001A30B9">
        <w:t>ese</w:t>
      </w:r>
      <w:r w:rsidR="003D5643" w:rsidRPr="00D73205">
        <w:t xml:space="preserve"> </w:t>
      </w:r>
      <w:r w:rsidR="001A30B9">
        <w:t xml:space="preserve">processes of </w:t>
      </w:r>
      <w:r w:rsidR="003D5643" w:rsidRPr="00D73205">
        <w:t xml:space="preserve">research and synthesis </w:t>
      </w:r>
      <w:r w:rsidR="006C2A8B">
        <w:t>are based on and reproduce</w:t>
      </w:r>
      <w:r w:rsidR="003D5643" w:rsidRPr="00D73205">
        <w:t xml:space="preserve"> a particular episteme</w:t>
      </w:r>
      <w:r w:rsidR="00AE0F43">
        <w:t xml:space="preserve"> (which we do not argue is intentionally or consciously pursued)</w:t>
      </w:r>
      <w:r w:rsidR="003D5643" w:rsidRPr="00D73205">
        <w:t xml:space="preserve"> </w:t>
      </w:r>
      <w:r w:rsidR="003D5643">
        <w:t xml:space="preserve">– </w:t>
      </w:r>
      <w:r w:rsidR="003D5643" w:rsidRPr="00D73205">
        <w:t>that of scientific rationalism</w:t>
      </w:r>
      <w:r w:rsidR="003D5643">
        <w:t xml:space="preserve"> –</w:t>
      </w:r>
      <w:r w:rsidR="003D5643" w:rsidRPr="00D73205">
        <w:t xml:space="preserve"> and a particular kind of </w:t>
      </w:r>
      <w:r w:rsidR="00AE0F43">
        <w:t xml:space="preserve">related </w:t>
      </w:r>
      <w:r w:rsidR="003D5643" w:rsidRPr="00D73205">
        <w:t>knowledge citizenship – one in which young people enact themselves as careful, informed</w:t>
      </w:r>
      <w:r w:rsidR="003D5643">
        <w:t xml:space="preserve"> and</w:t>
      </w:r>
      <w:r w:rsidR="003D5643" w:rsidRPr="00D73205">
        <w:t xml:space="preserve"> responsible seekers of high-quality, trustworthy</w:t>
      </w:r>
      <w:r w:rsidR="003D5643">
        <w:t>,</w:t>
      </w:r>
      <w:r w:rsidR="003D5643" w:rsidRPr="00D73205">
        <w:t xml:space="preserve"> legitimate knowledge about sex and sexuality, even as that high-quality information remains elusive, and its promise of quality is undermined by failures of scope or detail.</w:t>
      </w:r>
      <w:r w:rsidR="001A30B9">
        <w:t xml:space="preserve"> </w:t>
      </w:r>
    </w:p>
    <w:p w14:paraId="79C894CD" w14:textId="77777777" w:rsidR="006C2A8B" w:rsidRPr="00BC28C4" w:rsidRDefault="006C2A8B" w:rsidP="006C2A8B">
      <w:pPr>
        <w:spacing w:after="0" w:line="480" w:lineRule="auto"/>
      </w:pPr>
    </w:p>
    <w:p w14:paraId="4BF4ED39" w14:textId="1BE8DCAF" w:rsidR="00D2293B" w:rsidRDefault="00BC28C4" w:rsidP="003861B4">
      <w:pPr>
        <w:spacing w:after="0" w:line="480" w:lineRule="auto"/>
      </w:pPr>
      <w:r w:rsidRPr="00BC28C4">
        <w:t xml:space="preserve">These dynamics are uniquely challenging for young people in that </w:t>
      </w:r>
      <w:r w:rsidR="006C2A8B">
        <w:t xml:space="preserve">they </w:t>
      </w:r>
      <w:r w:rsidRPr="00BC28C4">
        <w:t>appear to require the strict separation of knowledge into binary pairs (fact and opinion, science and experience) – the very binary dynamic that has historically erased the relationship between sexuality and citizenship, limiting capacities to challenge sex and sexuality-based discrimination</w:t>
      </w:r>
      <w:r w:rsidR="00224A56">
        <w:t xml:space="preserve"> (Grant and Nash 2018)</w:t>
      </w:r>
      <w:r w:rsidRPr="00BC28C4">
        <w:t xml:space="preserve">, and expand rights. </w:t>
      </w:r>
      <w:r w:rsidR="00AF08DF">
        <w:t>E</w:t>
      </w:r>
      <w:r w:rsidRPr="00BC28C4">
        <w:t xml:space="preserve">ven as young people take up the injunction to separate science and experience, fact and opinion, these efforts do not deliver the clear, representative and nuanced information they seek. </w:t>
      </w:r>
      <w:r>
        <w:t xml:space="preserve">In its current forms, </w:t>
      </w:r>
      <w:r w:rsidR="006C2A8B">
        <w:t xml:space="preserve">relationships and </w:t>
      </w:r>
      <w:r>
        <w:t>s</w:t>
      </w:r>
      <w:r w:rsidRPr="003D5643">
        <w:t>exual health information</w:t>
      </w:r>
      <w:r w:rsidR="006C2A8B">
        <w:t>,</w:t>
      </w:r>
      <w:r w:rsidRPr="003D5643">
        <w:t xml:space="preserve"> and the call for youth literacy </w:t>
      </w:r>
      <w:r w:rsidR="006C2A8B">
        <w:t xml:space="preserve">implied </w:t>
      </w:r>
      <w:r>
        <w:t>with</w:t>
      </w:r>
      <w:r w:rsidRPr="003D5643">
        <w:t>in it</w:t>
      </w:r>
      <w:r w:rsidR="006C2A8B">
        <w:t>,</w:t>
      </w:r>
      <w:r w:rsidRPr="003D5643">
        <w:t xml:space="preserve"> operates as a mechanism for generating a specific modern form of ‘epistemic citizenship’</w:t>
      </w:r>
      <w:r w:rsidR="006C2A8B">
        <w:t>, one</w:t>
      </w:r>
      <w:r w:rsidRPr="003D5643">
        <w:t xml:space="preserve"> by which new </w:t>
      </w:r>
      <w:r w:rsidR="006C2A8B">
        <w:t xml:space="preserve">youth </w:t>
      </w:r>
      <w:r w:rsidRPr="003D5643">
        <w:t xml:space="preserve">citizens are minted not only as sceptical, but also as </w:t>
      </w:r>
      <w:proofErr w:type="spellStart"/>
      <w:r w:rsidRPr="003D5643">
        <w:t>responsibilised</w:t>
      </w:r>
      <w:proofErr w:type="spellEnd"/>
      <w:r w:rsidRPr="003D5643">
        <w:t xml:space="preserve"> for seeking and finding the ‘truth’ even as that truth itself proves relentlessly partial.</w:t>
      </w:r>
      <w:r>
        <w:t xml:space="preserve"> </w:t>
      </w:r>
      <w:r w:rsidR="001A30B9">
        <w:t>F</w:t>
      </w:r>
      <w:r>
        <w:t xml:space="preserve">uture sexuality education </w:t>
      </w:r>
      <w:r w:rsidR="00EB61DB">
        <w:t>might</w:t>
      </w:r>
      <w:r w:rsidR="001A30B9">
        <w:t xml:space="preserve"> consider ways to overcome</w:t>
      </w:r>
      <w:r w:rsidR="00A358C2">
        <w:t xml:space="preserve"> the rigid </w:t>
      </w:r>
      <w:r w:rsidR="00D2293B" w:rsidRPr="00D73205">
        <w:t>separat</w:t>
      </w:r>
      <w:r w:rsidR="00A358C2">
        <w:t>ion of</w:t>
      </w:r>
      <w:r w:rsidR="00D2293B" w:rsidRPr="00D73205">
        <w:t xml:space="preserve"> fact and experience</w:t>
      </w:r>
      <w:r w:rsidR="008662DB">
        <w:t xml:space="preserve"> (Lam</w:t>
      </w:r>
      <w:r w:rsidR="00BB284C">
        <w:t>b</w:t>
      </w:r>
      <w:r w:rsidR="008662DB">
        <w:t>, 2013)</w:t>
      </w:r>
      <w:r w:rsidR="00D2293B" w:rsidRPr="00D73205">
        <w:t>,</w:t>
      </w:r>
      <w:r w:rsidR="00CC56C8" w:rsidRPr="00D73205">
        <w:t xml:space="preserve"> science and opinion,</w:t>
      </w:r>
      <w:r w:rsidR="00D2293B" w:rsidRPr="00D73205">
        <w:t xml:space="preserve"> </w:t>
      </w:r>
      <w:r w:rsidR="001A30B9">
        <w:t xml:space="preserve">and in doing so, </w:t>
      </w:r>
      <w:r w:rsidR="00A358C2">
        <w:t>produce</w:t>
      </w:r>
      <w:r w:rsidR="00D2293B" w:rsidRPr="00D73205">
        <w:t xml:space="preserve"> </w:t>
      </w:r>
      <w:r w:rsidR="003247E2">
        <w:t xml:space="preserve">even </w:t>
      </w:r>
      <w:r w:rsidR="00D2293B" w:rsidRPr="00D73205">
        <w:t>more literate, sophisticated epistem</w:t>
      </w:r>
      <w:r w:rsidR="00CC56C8" w:rsidRPr="00D73205">
        <w:t>ic</w:t>
      </w:r>
      <w:r w:rsidR="00D2293B" w:rsidRPr="00D73205">
        <w:t xml:space="preserve"> citizens</w:t>
      </w:r>
      <w:r w:rsidR="003247E2">
        <w:t xml:space="preserve"> who are then</w:t>
      </w:r>
      <w:r w:rsidR="00CC56C8" w:rsidRPr="00D73205">
        <w:t xml:space="preserve"> </w:t>
      </w:r>
      <w:r w:rsidR="006C2A8B">
        <w:t xml:space="preserve">better placed to challenge the public/private split </w:t>
      </w:r>
      <w:r w:rsidR="004964E1">
        <w:t xml:space="preserve">that </w:t>
      </w:r>
      <w:r w:rsidR="006C2A8B">
        <w:t>hinder</w:t>
      </w:r>
      <w:r w:rsidR="004964E1">
        <w:t>s</w:t>
      </w:r>
      <w:r w:rsidR="006C2A8B">
        <w:t xml:space="preserve"> rights claims for diversity and inclusion</w:t>
      </w:r>
      <w:r w:rsidR="00D2293B" w:rsidRPr="00D73205">
        <w:t>.</w:t>
      </w:r>
    </w:p>
    <w:p w14:paraId="1E16E00F" w14:textId="77777777" w:rsidR="00D2293B" w:rsidRPr="00D73205" w:rsidRDefault="00D2293B" w:rsidP="003861B4">
      <w:pPr>
        <w:spacing w:after="0" w:line="480" w:lineRule="auto"/>
      </w:pPr>
    </w:p>
    <w:p w14:paraId="0022D70D" w14:textId="77777777" w:rsidR="008C5D5D" w:rsidRDefault="008C5D5D">
      <w:pPr>
        <w:rPr>
          <w:b/>
          <w:bCs/>
        </w:rPr>
      </w:pPr>
      <w:r>
        <w:rPr>
          <w:b/>
          <w:bCs/>
        </w:rPr>
        <w:br w:type="page"/>
      </w:r>
    </w:p>
    <w:p w14:paraId="7FDCEA41" w14:textId="06798CFF" w:rsidR="00D2293B" w:rsidRDefault="00BB4AE9" w:rsidP="001A30B9">
      <w:pPr>
        <w:keepNext/>
        <w:spacing w:after="0" w:line="480" w:lineRule="auto"/>
        <w:rPr>
          <w:b/>
          <w:bCs/>
        </w:rPr>
      </w:pPr>
      <w:r w:rsidRPr="00BB4AE9">
        <w:rPr>
          <w:b/>
          <w:bCs/>
        </w:rPr>
        <w:lastRenderedPageBreak/>
        <w:t>References</w:t>
      </w:r>
    </w:p>
    <w:p w14:paraId="1B860D5E" w14:textId="77777777" w:rsidR="00383CFB" w:rsidRPr="009368B0" w:rsidRDefault="00383CFB" w:rsidP="004E7262">
      <w:pPr>
        <w:autoSpaceDE w:val="0"/>
        <w:autoSpaceDN w:val="0"/>
        <w:adjustRightInd w:val="0"/>
        <w:spacing w:after="0" w:line="360" w:lineRule="auto"/>
      </w:pPr>
      <w:proofErr w:type="spellStart"/>
      <w:r w:rsidRPr="009368B0">
        <w:t>Aggleton</w:t>
      </w:r>
      <w:proofErr w:type="spellEnd"/>
      <w:r w:rsidRPr="009368B0">
        <w:t xml:space="preserve">, P., </w:t>
      </w:r>
      <w:proofErr w:type="spellStart"/>
      <w:r w:rsidRPr="009368B0">
        <w:t>Prankumar</w:t>
      </w:r>
      <w:proofErr w:type="spellEnd"/>
      <w:r w:rsidRPr="009368B0">
        <w:t xml:space="preserve">, S. K., Cover, R., Leahy, D., Marshall, D. and Rasmussen, M.L. (2019). </w:t>
      </w:r>
      <w:r w:rsidRPr="009368B0">
        <w:rPr>
          <w:i/>
          <w:iCs/>
        </w:rPr>
        <w:t>Youth, sexuality and sexual citizenship.</w:t>
      </w:r>
      <w:r w:rsidRPr="009368B0">
        <w:t xml:space="preserve"> New York: Routledge.</w:t>
      </w:r>
    </w:p>
    <w:p w14:paraId="00BB8F5E" w14:textId="77777777" w:rsidR="00383CFB" w:rsidRPr="009368B0" w:rsidRDefault="00383CFB" w:rsidP="004E7262">
      <w:pPr>
        <w:autoSpaceDE w:val="0"/>
        <w:autoSpaceDN w:val="0"/>
        <w:adjustRightInd w:val="0"/>
        <w:spacing w:after="0" w:line="360" w:lineRule="auto"/>
      </w:pPr>
    </w:p>
    <w:p w14:paraId="1A94DAEB" w14:textId="764E3D68" w:rsidR="00592D1F" w:rsidRPr="00592D1F" w:rsidRDefault="00592D1F" w:rsidP="004E7262">
      <w:pPr>
        <w:autoSpaceDE w:val="0"/>
        <w:autoSpaceDN w:val="0"/>
        <w:adjustRightInd w:val="0"/>
        <w:spacing w:after="0" w:line="360" w:lineRule="auto"/>
      </w:pPr>
      <w:proofErr w:type="spellStart"/>
      <w:r w:rsidRPr="00592D1F">
        <w:t>Alldred</w:t>
      </w:r>
      <w:proofErr w:type="spellEnd"/>
      <w:r w:rsidRPr="00592D1F">
        <w:t>, P.</w:t>
      </w:r>
      <w:r w:rsidR="002C4E55">
        <w:t xml:space="preserve"> and</w:t>
      </w:r>
      <w:r w:rsidRPr="00592D1F">
        <w:t xml:space="preserve"> David, M. (2007). </w:t>
      </w:r>
      <w:r w:rsidRPr="00592D1F">
        <w:rPr>
          <w:i/>
          <w:iCs/>
        </w:rPr>
        <w:t>Get real about sex: The politics and practice of sex education</w:t>
      </w:r>
      <w:r w:rsidRPr="00592D1F">
        <w:t>. Maidenhead: Open University Press.</w:t>
      </w:r>
    </w:p>
    <w:p w14:paraId="6367A795" w14:textId="77777777" w:rsidR="00592D1F" w:rsidRDefault="00592D1F" w:rsidP="004E7262">
      <w:pPr>
        <w:autoSpaceDE w:val="0"/>
        <w:autoSpaceDN w:val="0"/>
        <w:adjustRightInd w:val="0"/>
        <w:spacing w:after="0" w:line="360" w:lineRule="auto"/>
      </w:pPr>
    </w:p>
    <w:p w14:paraId="3677AFD0" w14:textId="787609EC" w:rsidR="00383CFB" w:rsidRPr="009368B0" w:rsidRDefault="00383CFB" w:rsidP="004E7262">
      <w:pPr>
        <w:autoSpaceDE w:val="0"/>
        <w:autoSpaceDN w:val="0"/>
        <w:adjustRightInd w:val="0"/>
        <w:spacing w:after="0" w:line="360" w:lineRule="auto"/>
      </w:pPr>
      <w:r w:rsidRPr="009368B0">
        <w:t xml:space="preserve">Allen, L., Rasmussen, ML. and </w:t>
      </w:r>
      <w:proofErr w:type="spellStart"/>
      <w:r w:rsidRPr="009368B0">
        <w:t>Quinlivan</w:t>
      </w:r>
      <w:proofErr w:type="spellEnd"/>
      <w:r w:rsidRPr="009368B0">
        <w:t xml:space="preserve">, K. (2014). </w:t>
      </w:r>
      <w:r w:rsidRPr="009368B0">
        <w:rPr>
          <w:i/>
          <w:iCs/>
        </w:rPr>
        <w:t xml:space="preserve">The politics of pleasure in sexuality education: Pleasure bound. </w:t>
      </w:r>
      <w:r w:rsidRPr="009368B0">
        <w:t>New York: Routledge.</w:t>
      </w:r>
    </w:p>
    <w:p w14:paraId="28A08DEA" w14:textId="77777777" w:rsidR="00383CFB" w:rsidRPr="009368B0" w:rsidRDefault="00383CFB" w:rsidP="004E7262">
      <w:pPr>
        <w:spacing w:after="0" w:line="360" w:lineRule="auto"/>
      </w:pPr>
    </w:p>
    <w:p w14:paraId="089A0D30" w14:textId="262B46C9" w:rsidR="00224A56" w:rsidRDefault="00224A56" w:rsidP="004E7262">
      <w:pPr>
        <w:spacing w:after="0" w:line="360" w:lineRule="auto"/>
      </w:pPr>
      <w:r w:rsidRPr="00224A56">
        <w:t>Attwood, F., Hakim, J.</w:t>
      </w:r>
      <w:r w:rsidR="002C4E55">
        <w:t xml:space="preserve"> and</w:t>
      </w:r>
      <w:r w:rsidRPr="00224A56">
        <w:t xml:space="preserve"> Winch, A. (2017) Mediated intimacies: bodies, technologies and relationships. </w:t>
      </w:r>
      <w:r w:rsidRPr="00E62DE4">
        <w:rPr>
          <w:i/>
          <w:iCs/>
        </w:rPr>
        <w:t>Journal of Gender Studies, 26</w:t>
      </w:r>
      <w:r w:rsidRPr="00224A56">
        <w:t>(3), 249</w:t>
      </w:r>
      <w:r w:rsidR="003573AA">
        <w:t>–</w:t>
      </w:r>
      <w:r w:rsidRPr="00224A56">
        <w:t xml:space="preserve">253. </w:t>
      </w:r>
    </w:p>
    <w:p w14:paraId="65474716" w14:textId="7A7F0E6D" w:rsidR="004E7262" w:rsidRDefault="004E7262" w:rsidP="004E7262">
      <w:pPr>
        <w:spacing w:after="0" w:line="360" w:lineRule="auto"/>
      </w:pPr>
    </w:p>
    <w:p w14:paraId="6F4F764E" w14:textId="567A8D7D" w:rsidR="00A667B2" w:rsidRDefault="004E7262" w:rsidP="004E7262">
      <w:pPr>
        <w:spacing w:after="0" w:line="360" w:lineRule="auto"/>
        <w:rPr>
          <w:lang w:eastAsia="ja-JP"/>
        </w:rPr>
      </w:pPr>
      <w:r w:rsidRPr="004E7262">
        <w:rPr>
          <w:lang w:eastAsia="ja-JP"/>
        </w:rPr>
        <w:t>Braun, V. and Clarke, V. (2006). Using thematic analysis in psychology</w:t>
      </w:r>
      <w:r>
        <w:rPr>
          <w:lang w:eastAsia="ja-JP"/>
        </w:rPr>
        <w:t>.</w:t>
      </w:r>
      <w:r w:rsidRPr="004E7262">
        <w:rPr>
          <w:lang w:eastAsia="ja-JP"/>
        </w:rPr>
        <w:t> </w:t>
      </w:r>
      <w:r w:rsidRPr="004E7262">
        <w:rPr>
          <w:i/>
          <w:iCs/>
          <w:lang w:eastAsia="ja-JP"/>
        </w:rPr>
        <w:t>Qualitative Research in Psychology</w:t>
      </w:r>
      <w:r w:rsidRPr="004E7262">
        <w:rPr>
          <w:lang w:eastAsia="ja-JP"/>
        </w:rPr>
        <w:t>, </w:t>
      </w:r>
      <w:r w:rsidRPr="004E7262">
        <w:rPr>
          <w:i/>
          <w:iCs/>
          <w:lang w:eastAsia="ja-JP"/>
        </w:rPr>
        <w:t>3</w:t>
      </w:r>
      <w:r w:rsidRPr="004E7262">
        <w:rPr>
          <w:lang w:eastAsia="ja-JP"/>
        </w:rPr>
        <w:t>(2), 7</w:t>
      </w:r>
      <w:r>
        <w:rPr>
          <w:lang w:eastAsia="ja-JP"/>
        </w:rPr>
        <w:t>7–</w:t>
      </w:r>
      <w:r w:rsidRPr="004E7262">
        <w:rPr>
          <w:lang w:eastAsia="ja-JP"/>
        </w:rPr>
        <w:t>101.</w:t>
      </w:r>
    </w:p>
    <w:p w14:paraId="3760F05E" w14:textId="77777777" w:rsidR="004E7262" w:rsidRDefault="004E7262" w:rsidP="004E7262">
      <w:pPr>
        <w:spacing w:after="0" w:line="360" w:lineRule="auto"/>
        <w:rPr>
          <w:lang w:eastAsia="ja-JP"/>
        </w:rPr>
      </w:pPr>
    </w:p>
    <w:p w14:paraId="327116A9" w14:textId="3692D7B1" w:rsidR="00383CFB" w:rsidRDefault="00383CFB" w:rsidP="004E7262">
      <w:pPr>
        <w:spacing w:after="0" w:line="360" w:lineRule="auto"/>
      </w:pPr>
      <w:r w:rsidRPr="009368B0">
        <w:t xml:space="preserve">Byron, P. (2017). Friendship, sexual intimacy and young people’s negotiations of sexual health. </w:t>
      </w:r>
      <w:r w:rsidRPr="009368B0">
        <w:rPr>
          <w:i/>
          <w:iCs/>
        </w:rPr>
        <w:t>Culture, Health and Sexuality, 19</w:t>
      </w:r>
      <w:r w:rsidRPr="009368B0">
        <w:t xml:space="preserve">(4), 486–500. </w:t>
      </w:r>
    </w:p>
    <w:p w14:paraId="3A696EA1" w14:textId="79C5DB58" w:rsidR="00A667B2" w:rsidRDefault="00A667B2" w:rsidP="004E7262">
      <w:pPr>
        <w:spacing w:after="0" w:line="360" w:lineRule="auto"/>
      </w:pPr>
    </w:p>
    <w:p w14:paraId="27941139" w14:textId="1C004991" w:rsidR="00A667B2" w:rsidRPr="009368B0" w:rsidRDefault="00A667B2" w:rsidP="004E7262">
      <w:pPr>
        <w:spacing w:after="0" w:line="360" w:lineRule="auto"/>
      </w:pPr>
      <w:r>
        <w:t xml:space="preserve">Byron, P., Albury, K. and Evers, C. (2013). ‘It would be weird to have that on Facebook’: Young people’s use of social media and the risk of sharing sexual health information. </w:t>
      </w:r>
      <w:r w:rsidRPr="00A667B2">
        <w:rPr>
          <w:i/>
          <w:iCs/>
        </w:rPr>
        <w:t>Reproductive Health Matters</w:t>
      </w:r>
      <w:r>
        <w:t xml:space="preserve">, </w:t>
      </w:r>
      <w:r w:rsidRPr="00B021E7">
        <w:rPr>
          <w:i/>
          <w:iCs/>
        </w:rPr>
        <w:t>21</w:t>
      </w:r>
      <w:r>
        <w:t>(41), 35–44.</w:t>
      </w:r>
    </w:p>
    <w:p w14:paraId="377F2444" w14:textId="77777777" w:rsidR="00383CFB" w:rsidRPr="009368B0" w:rsidRDefault="00383CFB" w:rsidP="004E7262">
      <w:pPr>
        <w:spacing w:after="0" w:line="360" w:lineRule="auto"/>
      </w:pPr>
    </w:p>
    <w:p w14:paraId="239F1A80" w14:textId="77777777" w:rsidR="00383CFB" w:rsidRPr="009368B0" w:rsidRDefault="00383CFB" w:rsidP="004E7262">
      <w:pPr>
        <w:spacing w:after="0" w:line="360" w:lineRule="auto"/>
      </w:pPr>
      <w:r w:rsidRPr="009368B0">
        <w:t xml:space="preserve">Cassidy, C., Bishop, A., </w:t>
      </w:r>
      <w:proofErr w:type="spellStart"/>
      <w:r w:rsidRPr="009368B0">
        <w:t>Steenbeek</w:t>
      </w:r>
      <w:proofErr w:type="spellEnd"/>
      <w:r w:rsidRPr="009368B0">
        <w:t xml:space="preserve">, A., </w:t>
      </w:r>
      <w:proofErr w:type="spellStart"/>
      <w:r w:rsidRPr="009368B0">
        <w:t>Langille</w:t>
      </w:r>
      <w:proofErr w:type="spellEnd"/>
      <w:r w:rsidRPr="009368B0">
        <w:t>, D., Martin-</w:t>
      </w:r>
      <w:proofErr w:type="spellStart"/>
      <w:r w:rsidRPr="009368B0">
        <w:t>Misener</w:t>
      </w:r>
      <w:proofErr w:type="spellEnd"/>
      <w:r w:rsidRPr="009368B0">
        <w:t xml:space="preserve">, R. and Curran, J. (2014). Barriers and enablers to sexual health service use among university students: A qualitative descriptive study using the Theoretical Domains Framework and COM-B model. </w:t>
      </w:r>
      <w:r w:rsidRPr="009368B0">
        <w:rPr>
          <w:i/>
          <w:iCs/>
        </w:rPr>
        <w:t>BMC Health Services Research, 18</w:t>
      </w:r>
      <w:r w:rsidRPr="009368B0">
        <w:t>(1), 581. DOI: 10.1186/s12913-018-3379-0</w:t>
      </w:r>
    </w:p>
    <w:p w14:paraId="29C85327" w14:textId="77777777" w:rsidR="00383CFB" w:rsidRPr="009368B0" w:rsidRDefault="00383CFB" w:rsidP="004E7262">
      <w:pPr>
        <w:spacing w:after="0" w:line="360" w:lineRule="auto"/>
      </w:pPr>
    </w:p>
    <w:p w14:paraId="052AD0EB" w14:textId="77777777" w:rsidR="00383CFB" w:rsidRPr="009368B0" w:rsidRDefault="00383CFB" w:rsidP="004E7262">
      <w:pPr>
        <w:spacing w:after="0" w:line="360" w:lineRule="auto"/>
      </w:pPr>
      <w:r w:rsidRPr="009368B0">
        <w:t xml:space="preserve">Charest, M., </w:t>
      </w:r>
      <w:proofErr w:type="spellStart"/>
      <w:r w:rsidRPr="009368B0">
        <w:t>Kleinplatz</w:t>
      </w:r>
      <w:proofErr w:type="spellEnd"/>
      <w:r w:rsidRPr="009368B0">
        <w:t xml:space="preserve">, P. and Lund, J. (2016). Sexual health information disparities between heterosexual and LGBTQ+ young adults: Implications for sexual health. </w:t>
      </w:r>
      <w:r w:rsidRPr="009368B0">
        <w:rPr>
          <w:i/>
          <w:iCs/>
        </w:rPr>
        <w:t>The Canadian Journal of Human Sexuality, 25</w:t>
      </w:r>
      <w:r w:rsidRPr="009368B0">
        <w:t>(2), 74–85.</w:t>
      </w:r>
    </w:p>
    <w:p w14:paraId="569D815D" w14:textId="77777777" w:rsidR="00383CFB" w:rsidRPr="009368B0" w:rsidRDefault="00383CFB" w:rsidP="004E7262">
      <w:pPr>
        <w:spacing w:after="0" w:line="360" w:lineRule="auto"/>
      </w:pPr>
    </w:p>
    <w:p w14:paraId="7378BD40" w14:textId="77777777" w:rsidR="00383CFB" w:rsidRPr="009368B0" w:rsidRDefault="00383CFB" w:rsidP="004E7262">
      <w:pPr>
        <w:widowControl w:val="0"/>
        <w:spacing w:after="0" w:line="360" w:lineRule="auto"/>
      </w:pPr>
      <w:r w:rsidRPr="009368B0">
        <w:rPr>
          <w:shd w:val="clear" w:color="auto" w:fill="FFFFFF"/>
        </w:rPr>
        <w:t xml:space="preserve">Davis, A., Temple-Smith, M., </w:t>
      </w:r>
      <w:proofErr w:type="spellStart"/>
      <w:r w:rsidRPr="009368B0">
        <w:rPr>
          <w:shd w:val="clear" w:color="auto" w:fill="FFFFFF"/>
        </w:rPr>
        <w:t>Carrotte</w:t>
      </w:r>
      <w:proofErr w:type="spellEnd"/>
      <w:r w:rsidRPr="009368B0">
        <w:rPr>
          <w:shd w:val="clear" w:color="auto" w:fill="FFFFFF"/>
        </w:rPr>
        <w:t xml:space="preserve">, E., </w:t>
      </w:r>
      <w:proofErr w:type="spellStart"/>
      <w:r w:rsidRPr="009368B0">
        <w:rPr>
          <w:shd w:val="clear" w:color="auto" w:fill="FFFFFF"/>
        </w:rPr>
        <w:t>Hellard</w:t>
      </w:r>
      <w:proofErr w:type="spellEnd"/>
      <w:r w:rsidRPr="009368B0">
        <w:rPr>
          <w:shd w:val="clear" w:color="auto" w:fill="FFFFFF"/>
        </w:rPr>
        <w:t>, M. and Lim, M. (2020). A descriptive analysis of young women’s pornography use: A tale of exploration and harm. </w:t>
      </w:r>
      <w:r w:rsidRPr="009368B0">
        <w:rPr>
          <w:i/>
          <w:iCs/>
          <w:shd w:val="clear" w:color="auto" w:fill="FFFFFF"/>
        </w:rPr>
        <w:t>Sex Health</w:t>
      </w:r>
      <w:r w:rsidRPr="009368B0">
        <w:rPr>
          <w:shd w:val="clear" w:color="auto" w:fill="FFFFFF"/>
        </w:rPr>
        <w:t xml:space="preserve">, </w:t>
      </w:r>
      <w:r w:rsidRPr="009368B0">
        <w:rPr>
          <w:i/>
          <w:iCs/>
          <w:shd w:val="clear" w:color="auto" w:fill="FFFFFF"/>
        </w:rPr>
        <w:t>17</w:t>
      </w:r>
      <w:r w:rsidRPr="009368B0">
        <w:rPr>
          <w:shd w:val="clear" w:color="auto" w:fill="FFFFFF"/>
        </w:rPr>
        <w:t>(1), 69</w:t>
      </w:r>
      <w:r w:rsidRPr="009368B0">
        <w:t>–</w:t>
      </w:r>
      <w:r w:rsidRPr="009368B0">
        <w:rPr>
          <w:shd w:val="clear" w:color="auto" w:fill="FFFFFF"/>
        </w:rPr>
        <w:t>27.</w:t>
      </w:r>
    </w:p>
    <w:p w14:paraId="7A0132BD" w14:textId="77777777" w:rsidR="00383CFB" w:rsidRPr="009368B0" w:rsidRDefault="00383CFB" w:rsidP="004E7262">
      <w:pPr>
        <w:spacing w:after="0" w:line="360" w:lineRule="auto"/>
      </w:pPr>
    </w:p>
    <w:p w14:paraId="1B046B7B" w14:textId="64327B6C" w:rsidR="00383CFB" w:rsidRPr="009368B0" w:rsidRDefault="00383CFB" w:rsidP="004E7262">
      <w:pPr>
        <w:spacing w:after="0" w:line="360" w:lineRule="auto"/>
      </w:pPr>
      <w:proofErr w:type="spellStart"/>
      <w:r w:rsidRPr="009368B0">
        <w:lastRenderedPageBreak/>
        <w:t>Eysenbach</w:t>
      </w:r>
      <w:proofErr w:type="spellEnd"/>
      <w:r w:rsidRPr="009368B0">
        <w:t xml:space="preserve">, G. (2008). Credibility of health information and digital media: New perspectives and </w:t>
      </w:r>
      <w:r w:rsidR="008406AA">
        <w:t>i</w:t>
      </w:r>
      <w:r w:rsidRPr="009368B0">
        <w:t xml:space="preserve">mplications for youth. In M. J Metzger and A.J. </w:t>
      </w:r>
      <w:proofErr w:type="spellStart"/>
      <w:r w:rsidRPr="009368B0">
        <w:t>Flanagin</w:t>
      </w:r>
      <w:proofErr w:type="spellEnd"/>
      <w:r w:rsidRPr="009368B0">
        <w:t xml:space="preserve"> (Eds.), </w:t>
      </w:r>
      <w:r w:rsidRPr="009368B0">
        <w:rPr>
          <w:i/>
          <w:iCs/>
        </w:rPr>
        <w:t>Digital media, youth and credibility</w:t>
      </w:r>
      <w:r w:rsidRPr="009368B0">
        <w:t xml:space="preserve"> (pp.123–154). Cambridge: MIT Press.</w:t>
      </w:r>
    </w:p>
    <w:p w14:paraId="139C1A0A" w14:textId="77777777" w:rsidR="00383CFB" w:rsidRPr="009368B0" w:rsidRDefault="00383CFB" w:rsidP="004E7262">
      <w:pPr>
        <w:spacing w:after="0" w:line="360" w:lineRule="auto"/>
      </w:pPr>
    </w:p>
    <w:p w14:paraId="669FA8A1" w14:textId="76267058" w:rsidR="00383CFB" w:rsidRPr="009368B0" w:rsidRDefault="002C4E55" w:rsidP="004E7262">
      <w:pPr>
        <w:spacing w:after="0" w:line="360" w:lineRule="auto"/>
      </w:pPr>
      <w:r>
        <w:t>Authors omitted</w:t>
      </w:r>
      <w:r w:rsidR="00383CFB" w:rsidRPr="009368B0">
        <w:t>. (under review). The ‘be all and end all</w:t>
      </w:r>
      <w:proofErr w:type="gramStart"/>
      <w:r w:rsidR="00383CFB" w:rsidRPr="009368B0">
        <w:t>’?:</w:t>
      </w:r>
      <w:proofErr w:type="gramEnd"/>
      <w:r w:rsidR="00383CFB" w:rsidRPr="009368B0">
        <w:t xml:space="preserve"> Young people, online sexual health information, science and scepticism. </w:t>
      </w:r>
    </w:p>
    <w:p w14:paraId="16150EC5" w14:textId="77777777" w:rsidR="00383CFB" w:rsidRPr="009368B0" w:rsidRDefault="00383CFB" w:rsidP="004E7262">
      <w:pPr>
        <w:autoSpaceDE w:val="0"/>
        <w:autoSpaceDN w:val="0"/>
        <w:adjustRightInd w:val="0"/>
        <w:spacing w:after="0" w:line="360" w:lineRule="auto"/>
      </w:pPr>
    </w:p>
    <w:p w14:paraId="40E44CB8" w14:textId="77777777" w:rsidR="00383CFB" w:rsidRPr="009368B0" w:rsidRDefault="00383CFB" w:rsidP="004E7262">
      <w:pPr>
        <w:autoSpaceDE w:val="0"/>
        <w:autoSpaceDN w:val="0"/>
        <w:adjustRightInd w:val="0"/>
        <w:spacing w:after="0" w:line="360" w:lineRule="auto"/>
      </w:pPr>
      <w:r w:rsidRPr="009368B0">
        <w:t xml:space="preserve">Fisher, C., Waling, A., Kerr, L., Bellamy, R, Ezer, P., </w:t>
      </w:r>
      <w:proofErr w:type="spellStart"/>
      <w:r w:rsidRPr="009368B0">
        <w:t>Mikolajczak</w:t>
      </w:r>
      <w:proofErr w:type="spellEnd"/>
      <w:r w:rsidRPr="009368B0">
        <w:t xml:space="preserve">, G., . . . and Lucke, J. (2019). </w:t>
      </w:r>
      <w:r w:rsidRPr="009368B0">
        <w:rPr>
          <w:i/>
          <w:iCs/>
        </w:rPr>
        <w:t xml:space="preserve">6th National Survey of Australian Secondary Students and Sexual Health 2018. </w:t>
      </w:r>
      <w:r w:rsidRPr="009368B0">
        <w:t xml:space="preserve">Retrieved from National Survey of Australian Secondary Students and Sexual Health’s Teen Health website: </w:t>
      </w:r>
    </w:p>
    <w:p w14:paraId="11600EAE" w14:textId="77777777" w:rsidR="00383CFB" w:rsidRPr="009368B0" w:rsidRDefault="00383CFB" w:rsidP="004E7262">
      <w:pPr>
        <w:spacing w:after="0" w:line="360" w:lineRule="auto"/>
      </w:pPr>
      <w:r w:rsidRPr="009368B0">
        <w:t>http://teenhealth.org.au/resources/Reports/SSASH%202018%20National%20Report%20-%20V10%20-%20web.pdf</w:t>
      </w:r>
      <w:r w:rsidRPr="009368B0">
        <w:rPr>
          <w:b/>
          <w:bCs/>
        </w:rPr>
        <w:t xml:space="preserve">. </w:t>
      </w:r>
      <w:r w:rsidRPr="009368B0">
        <w:t xml:space="preserve">Accessed 5 </w:t>
      </w:r>
      <w:proofErr w:type="gramStart"/>
      <w:r w:rsidRPr="009368B0">
        <w:t>August,</w:t>
      </w:r>
      <w:proofErr w:type="gramEnd"/>
      <w:r w:rsidRPr="009368B0">
        <w:t xml:space="preserve"> 2020.</w:t>
      </w:r>
    </w:p>
    <w:p w14:paraId="2D1FE8E7" w14:textId="77777777" w:rsidR="00383CFB" w:rsidRPr="009368B0" w:rsidRDefault="00383CFB" w:rsidP="004E7262">
      <w:pPr>
        <w:spacing w:after="0" w:line="360" w:lineRule="auto"/>
      </w:pPr>
    </w:p>
    <w:p w14:paraId="3C36A888" w14:textId="17F3D081" w:rsidR="00383CFB" w:rsidRPr="009368B0" w:rsidRDefault="00383CFB" w:rsidP="004E7262">
      <w:pPr>
        <w:spacing w:after="0" w:line="360" w:lineRule="auto"/>
      </w:pPr>
      <w:r w:rsidRPr="009368B0">
        <w:t xml:space="preserve">Flanders, C., </w:t>
      </w:r>
      <w:proofErr w:type="spellStart"/>
      <w:r w:rsidRPr="009368B0">
        <w:t>Dinh</w:t>
      </w:r>
      <w:proofErr w:type="spellEnd"/>
      <w:r w:rsidRPr="009368B0">
        <w:t xml:space="preserve">, </w:t>
      </w:r>
      <w:r w:rsidR="004E7262">
        <w:t>R</w:t>
      </w:r>
      <w:r w:rsidRPr="009368B0">
        <w:t xml:space="preserve">., </w:t>
      </w:r>
      <w:proofErr w:type="spellStart"/>
      <w:r w:rsidRPr="009368B0">
        <w:t>Pragg</w:t>
      </w:r>
      <w:proofErr w:type="spellEnd"/>
      <w:r w:rsidRPr="009368B0">
        <w:t xml:space="preserve">, L., Dobinson, C. and Logie, C. (2020). Young sexual minority women’s evaluation processes of online and digital sexual health information. </w:t>
      </w:r>
      <w:r w:rsidRPr="009368B0">
        <w:rPr>
          <w:i/>
          <w:iCs/>
        </w:rPr>
        <w:t>Health Communication.</w:t>
      </w:r>
      <w:r w:rsidRPr="009368B0">
        <w:t xml:space="preserve"> Published online ahead of print. DOI: 10.1080/10410236.2020.1751381</w:t>
      </w:r>
    </w:p>
    <w:p w14:paraId="17EC2F3E" w14:textId="77777777" w:rsidR="00383CFB" w:rsidRPr="009368B0" w:rsidRDefault="00383CFB" w:rsidP="004E7262">
      <w:pPr>
        <w:spacing w:after="0" w:line="360" w:lineRule="auto"/>
      </w:pPr>
    </w:p>
    <w:p w14:paraId="017FECBE" w14:textId="5E3698AF" w:rsidR="00224A56" w:rsidRPr="00224A56" w:rsidRDefault="00224A56" w:rsidP="004E7262">
      <w:pPr>
        <w:spacing w:after="0" w:line="360" w:lineRule="auto"/>
      </w:pPr>
      <w:r w:rsidRPr="00224A56">
        <w:t xml:space="preserve">Flood, M. (2009), The harms of pornography exposure among children and young people. </w:t>
      </w:r>
      <w:r w:rsidRPr="00E62DE4">
        <w:rPr>
          <w:i/>
          <w:iCs/>
        </w:rPr>
        <w:t>Child Abuse Review</w:t>
      </w:r>
      <w:r>
        <w:t>,</w:t>
      </w:r>
      <w:r w:rsidRPr="00224A56">
        <w:t xml:space="preserve"> </w:t>
      </w:r>
      <w:r w:rsidRPr="008406AA">
        <w:t>18</w:t>
      </w:r>
      <w:r>
        <w:t xml:space="preserve">, </w:t>
      </w:r>
      <w:r w:rsidRPr="00224A56">
        <w:t>384</w:t>
      </w:r>
      <w:r w:rsidR="003573AA">
        <w:t>–</w:t>
      </w:r>
      <w:r w:rsidRPr="00224A56">
        <w:t xml:space="preserve">400. </w:t>
      </w:r>
    </w:p>
    <w:p w14:paraId="4CB61CE9" w14:textId="77777777" w:rsidR="00224A56" w:rsidRDefault="00224A56" w:rsidP="004E7262">
      <w:pPr>
        <w:spacing w:after="0" w:line="360" w:lineRule="auto"/>
      </w:pPr>
    </w:p>
    <w:p w14:paraId="23D1F9CE" w14:textId="6835DFB0" w:rsidR="00383CFB" w:rsidRPr="00BB4AE9" w:rsidRDefault="00383CFB" w:rsidP="004E7262">
      <w:pPr>
        <w:spacing w:after="0" w:line="360" w:lineRule="auto"/>
      </w:pPr>
      <w:r w:rsidRPr="00BB4AE9">
        <w:t xml:space="preserve">Foster, L. (2012). Re-inventing Hoodia: Patent </w:t>
      </w:r>
      <w:r w:rsidR="00B021E7">
        <w:t>l</w:t>
      </w:r>
      <w:r w:rsidRPr="00BB4AE9">
        <w:t xml:space="preserve">aw, </w:t>
      </w:r>
      <w:r w:rsidR="00B021E7">
        <w:t>e</w:t>
      </w:r>
      <w:r w:rsidRPr="00BB4AE9">
        <w:t xml:space="preserve">pistemic </w:t>
      </w:r>
      <w:r w:rsidR="00B021E7">
        <w:t>c</w:t>
      </w:r>
      <w:r w:rsidRPr="00BB4AE9">
        <w:t xml:space="preserve">itizenship, and the </w:t>
      </w:r>
      <w:r w:rsidR="00B021E7">
        <w:t>m</w:t>
      </w:r>
      <w:r w:rsidRPr="00BB4AE9">
        <w:t xml:space="preserve">aking of </w:t>
      </w:r>
      <w:r w:rsidR="00B021E7">
        <w:t>d</w:t>
      </w:r>
      <w:r w:rsidRPr="00BB4AE9">
        <w:t>ifference in South Africa. </w:t>
      </w:r>
      <w:r w:rsidRPr="00BB4AE9">
        <w:rPr>
          <w:i/>
          <w:iCs/>
        </w:rPr>
        <w:t>UCLA</w:t>
      </w:r>
      <w:r w:rsidRPr="00BB4AE9">
        <w:t xml:space="preserve">. ProQuest ID: Foster_ucla_0031D_10109. Merritt ID: ark:/13030/m5kd45pb. Retrieved from </w:t>
      </w:r>
      <w:hyperlink r:id="rId8" w:history="1">
        <w:r w:rsidRPr="00BB4AE9">
          <w:rPr>
            <w:rStyle w:val="Hyperlink"/>
          </w:rPr>
          <w:t>https://escholarship.org/uc/item/2z0012rf</w:t>
        </w:r>
      </w:hyperlink>
    </w:p>
    <w:p w14:paraId="6F8B6B87" w14:textId="77777777" w:rsidR="00383CFB" w:rsidRPr="009368B0" w:rsidRDefault="00383CFB" w:rsidP="004E7262">
      <w:pPr>
        <w:spacing w:after="0" w:line="360" w:lineRule="auto"/>
      </w:pPr>
    </w:p>
    <w:p w14:paraId="52A91DB1" w14:textId="32ADB934" w:rsidR="00383CFB" w:rsidRDefault="00383CFB" w:rsidP="004E7262">
      <w:pPr>
        <w:spacing w:after="0" w:line="360" w:lineRule="auto"/>
      </w:pPr>
      <w:r w:rsidRPr="009368B0">
        <w:t xml:space="preserve">Foucault, M. (1994 [1970]). </w:t>
      </w:r>
      <w:r w:rsidRPr="009368B0">
        <w:rPr>
          <w:i/>
          <w:iCs/>
        </w:rPr>
        <w:t xml:space="preserve">The order of things: An archaeology of the human sciences. </w:t>
      </w:r>
      <w:r w:rsidRPr="009368B0">
        <w:t>New York: Vintage Books.</w:t>
      </w:r>
    </w:p>
    <w:p w14:paraId="4DA6D4B5" w14:textId="77777777" w:rsidR="00592D1F" w:rsidRPr="009368B0" w:rsidRDefault="00592D1F" w:rsidP="004E7262">
      <w:pPr>
        <w:spacing w:after="0" w:line="360" w:lineRule="auto"/>
      </w:pPr>
    </w:p>
    <w:p w14:paraId="3CE4EEAF" w14:textId="07EDEFA6" w:rsidR="00383CFB" w:rsidRPr="00592D1F" w:rsidRDefault="00592D1F" w:rsidP="004E7262">
      <w:pPr>
        <w:spacing w:after="0" w:line="360" w:lineRule="auto"/>
      </w:pPr>
      <w:r w:rsidRPr="00592D1F">
        <w:t xml:space="preserve">Goldsmith, K., Dunkley, C.R., Dang, S.S., and </w:t>
      </w:r>
      <w:proofErr w:type="spellStart"/>
      <w:r w:rsidRPr="00592D1F">
        <w:t>Gorzalka</w:t>
      </w:r>
      <w:proofErr w:type="spellEnd"/>
      <w:r w:rsidRPr="00592D1F">
        <w:t xml:space="preserve">, B.B. (2017). Pornography consumption and its association with sexual concerns and expectations among young men and women. </w:t>
      </w:r>
      <w:r w:rsidRPr="00592D1F">
        <w:rPr>
          <w:i/>
          <w:iCs/>
        </w:rPr>
        <w:t>The Canadian Journal of Human Sexuality, 26</w:t>
      </w:r>
      <w:r w:rsidRPr="00592D1F">
        <w:t>(2), 151–162.</w:t>
      </w:r>
    </w:p>
    <w:p w14:paraId="3A679436" w14:textId="77777777" w:rsidR="00592D1F" w:rsidRPr="009368B0" w:rsidRDefault="00592D1F" w:rsidP="004E7262">
      <w:pPr>
        <w:spacing w:after="0" w:line="360" w:lineRule="auto"/>
      </w:pPr>
    </w:p>
    <w:p w14:paraId="35A5922E" w14:textId="6703EAE3" w:rsidR="00383CFB" w:rsidRPr="009368B0" w:rsidRDefault="00383CFB" w:rsidP="004E7262">
      <w:pPr>
        <w:spacing w:after="0" w:line="360" w:lineRule="auto"/>
      </w:pPr>
      <w:r w:rsidRPr="009368B0">
        <w:t xml:space="preserve">Grant, R. and Nash, M. (2019). Educating queer sexual citizens? A feminist exploration of bisexual and queer young women’s sex education in Tasmania, Australia. </w:t>
      </w:r>
      <w:r w:rsidRPr="009368B0">
        <w:rPr>
          <w:i/>
          <w:iCs/>
        </w:rPr>
        <w:t>Sex Education: Sexuality, Society and Learning, 19</w:t>
      </w:r>
      <w:r w:rsidRPr="009368B0">
        <w:t xml:space="preserve">(3), 313–328. </w:t>
      </w:r>
    </w:p>
    <w:p w14:paraId="2BE5CA0D" w14:textId="77777777" w:rsidR="00383CFB" w:rsidRPr="009368B0" w:rsidRDefault="00383CFB" w:rsidP="004E7262">
      <w:pPr>
        <w:spacing w:after="0" w:line="360" w:lineRule="auto"/>
      </w:pPr>
    </w:p>
    <w:p w14:paraId="2985184F" w14:textId="77777777" w:rsidR="00383CFB" w:rsidRPr="009368B0" w:rsidRDefault="00383CFB" w:rsidP="004E7262">
      <w:pPr>
        <w:autoSpaceDE w:val="0"/>
        <w:autoSpaceDN w:val="0"/>
        <w:adjustRightInd w:val="0"/>
        <w:spacing w:after="0" w:line="360" w:lineRule="auto"/>
      </w:pPr>
      <w:r w:rsidRPr="009368B0">
        <w:lastRenderedPageBreak/>
        <w:t xml:space="preserve">Lamb, S. (2013). Just the facts? The separation of sex education from moral education. </w:t>
      </w:r>
      <w:r w:rsidRPr="009368B0">
        <w:rPr>
          <w:i/>
          <w:iCs/>
        </w:rPr>
        <w:t>Educational Theory, 63</w:t>
      </w:r>
      <w:r w:rsidRPr="009368B0">
        <w:t>(5), 443–460.</w:t>
      </w:r>
    </w:p>
    <w:p w14:paraId="72026264" w14:textId="77777777" w:rsidR="00383CFB" w:rsidRPr="009368B0" w:rsidRDefault="00383CFB" w:rsidP="004E7262">
      <w:pPr>
        <w:spacing w:after="0" w:line="360" w:lineRule="auto"/>
      </w:pPr>
    </w:p>
    <w:p w14:paraId="60859268" w14:textId="1C5702A0" w:rsidR="00383CFB" w:rsidRDefault="00383CFB" w:rsidP="004E7262">
      <w:pPr>
        <w:spacing w:after="0" w:line="360" w:lineRule="auto"/>
      </w:pPr>
      <w:proofErr w:type="spellStart"/>
      <w:r w:rsidRPr="009368B0">
        <w:t>Jasanoff</w:t>
      </w:r>
      <w:proofErr w:type="spellEnd"/>
      <w:r w:rsidRPr="009368B0">
        <w:t xml:space="preserve">, S. (2005). </w:t>
      </w:r>
      <w:r w:rsidRPr="009368B0">
        <w:rPr>
          <w:i/>
          <w:iCs/>
        </w:rPr>
        <w:t xml:space="preserve">Designs on nature: Science and democracy in Europe and the United States. </w:t>
      </w:r>
      <w:r w:rsidRPr="009368B0">
        <w:t>Princeton: Princeton University Press.</w:t>
      </w:r>
    </w:p>
    <w:p w14:paraId="510C66C7" w14:textId="77777777" w:rsidR="002C4E55" w:rsidRPr="009368B0" w:rsidRDefault="002C4E55" w:rsidP="004E7262">
      <w:pPr>
        <w:spacing w:after="0" w:line="360" w:lineRule="auto"/>
      </w:pPr>
    </w:p>
    <w:p w14:paraId="6A28799C" w14:textId="5BBB7052" w:rsidR="00A52BFA" w:rsidRPr="00592D1F" w:rsidRDefault="00A52BFA" w:rsidP="004E7262">
      <w:pPr>
        <w:spacing w:after="0" w:line="360" w:lineRule="auto"/>
      </w:pPr>
      <w:r w:rsidRPr="00592D1F">
        <w:t xml:space="preserve">Jarrett, C., </w:t>
      </w:r>
      <w:proofErr w:type="spellStart"/>
      <w:r w:rsidRPr="00592D1F">
        <w:t>Dadich</w:t>
      </w:r>
      <w:proofErr w:type="spellEnd"/>
      <w:r w:rsidRPr="00592D1F">
        <w:t xml:space="preserve">, A., Robards, F. </w:t>
      </w:r>
      <w:r w:rsidR="00592D1F">
        <w:t xml:space="preserve">and </w:t>
      </w:r>
      <w:r w:rsidRPr="00592D1F">
        <w:t xml:space="preserve">Bennett, D. (2011). ‘Adolescence is difﬁcult, some kids are difﬁcult’: </w:t>
      </w:r>
      <w:r w:rsidR="00592D1F">
        <w:t>G</w:t>
      </w:r>
      <w:r w:rsidRPr="00592D1F">
        <w:t xml:space="preserve">eneral practitioner perceptions of working with young people. </w:t>
      </w:r>
      <w:r w:rsidRPr="00592D1F">
        <w:rPr>
          <w:i/>
          <w:iCs/>
        </w:rPr>
        <w:t>Australian Journal of Primary Health</w:t>
      </w:r>
      <w:r w:rsidRPr="00592D1F">
        <w:t>, 17, 54</w:t>
      </w:r>
      <w:r w:rsidR="003573AA">
        <w:t>–</w:t>
      </w:r>
      <w:r w:rsidRPr="00592D1F">
        <w:t xml:space="preserve">59. </w:t>
      </w:r>
    </w:p>
    <w:p w14:paraId="2DCE5188" w14:textId="77777777" w:rsidR="00A52BFA" w:rsidRDefault="00A52BFA" w:rsidP="004E7262">
      <w:pPr>
        <w:widowControl w:val="0"/>
        <w:spacing w:after="0" w:line="360" w:lineRule="auto"/>
        <w:ind w:left="720" w:hanging="720"/>
        <w:rPr>
          <w:rFonts w:asciiTheme="minorHAnsi" w:hAnsiTheme="minorHAnsi" w:cs="Segoe UI"/>
          <w:sz w:val="20"/>
          <w:szCs w:val="20"/>
        </w:rPr>
      </w:pPr>
    </w:p>
    <w:p w14:paraId="053165AC" w14:textId="694B05F7" w:rsidR="00383CFB" w:rsidRPr="009368B0" w:rsidRDefault="00383CFB" w:rsidP="004E7262">
      <w:pPr>
        <w:spacing w:after="0" w:line="360" w:lineRule="auto"/>
      </w:pPr>
      <w:r w:rsidRPr="009368B0">
        <w:t xml:space="preserve">Law, J. (2011) Collateral realities. In F. Domínguez Rubio and P. </w:t>
      </w:r>
      <w:proofErr w:type="spellStart"/>
      <w:r w:rsidRPr="009368B0">
        <w:t>Baert</w:t>
      </w:r>
      <w:proofErr w:type="spellEnd"/>
      <w:r w:rsidRPr="009368B0">
        <w:t xml:space="preserve"> (Eds.), </w:t>
      </w:r>
      <w:r w:rsidRPr="009368B0">
        <w:rPr>
          <w:i/>
          <w:iCs/>
        </w:rPr>
        <w:t>The politics of knowledge</w:t>
      </w:r>
      <w:r w:rsidRPr="009368B0">
        <w:t xml:space="preserve"> (pp. 157-178). London: Routledge.</w:t>
      </w:r>
    </w:p>
    <w:p w14:paraId="53163141" w14:textId="77777777" w:rsidR="00383CFB" w:rsidRPr="009368B0" w:rsidRDefault="00383CFB" w:rsidP="004E7262">
      <w:pPr>
        <w:spacing w:after="0" w:line="360" w:lineRule="auto"/>
      </w:pPr>
    </w:p>
    <w:p w14:paraId="156C662E" w14:textId="31EE09FE" w:rsidR="00383CFB" w:rsidRPr="009368B0" w:rsidRDefault="00383CFB" w:rsidP="004E7262">
      <w:pPr>
        <w:spacing w:after="0" w:line="360" w:lineRule="auto"/>
      </w:pPr>
      <w:r w:rsidRPr="009368B0">
        <w:t xml:space="preserve">Lim, M., Vella, A., Sacks-Davis and </w:t>
      </w:r>
      <w:proofErr w:type="spellStart"/>
      <w:r w:rsidRPr="009368B0">
        <w:t>Hellard</w:t>
      </w:r>
      <w:proofErr w:type="spellEnd"/>
      <w:r w:rsidRPr="009368B0">
        <w:t xml:space="preserve">, M. (2014). Young people’s comfort receiving sexual health information via social media and other sources. </w:t>
      </w:r>
      <w:r w:rsidRPr="009368B0">
        <w:rPr>
          <w:i/>
          <w:iCs/>
        </w:rPr>
        <w:t>International Journal of STD and AIDS, 25</w:t>
      </w:r>
      <w:r w:rsidRPr="009368B0">
        <w:t>(14), 1003–1008.</w:t>
      </w:r>
    </w:p>
    <w:p w14:paraId="7A98A4D6" w14:textId="77777777" w:rsidR="00383CFB" w:rsidRPr="009368B0" w:rsidRDefault="00383CFB" w:rsidP="004E7262">
      <w:pPr>
        <w:spacing w:after="0" w:line="360" w:lineRule="auto"/>
      </w:pPr>
    </w:p>
    <w:p w14:paraId="4CF89370" w14:textId="77777777" w:rsidR="00383CFB" w:rsidRPr="009368B0" w:rsidRDefault="00383CFB" w:rsidP="004E7262">
      <w:pPr>
        <w:spacing w:after="0" w:line="360" w:lineRule="auto"/>
      </w:pPr>
      <w:proofErr w:type="spellStart"/>
      <w:r w:rsidRPr="009368B0">
        <w:t>Litras</w:t>
      </w:r>
      <w:proofErr w:type="spellEnd"/>
      <w:r w:rsidRPr="009368B0">
        <w:t xml:space="preserve">, A., </w:t>
      </w:r>
      <w:proofErr w:type="spellStart"/>
      <w:r w:rsidRPr="009368B0">
        <w:t>Latreille</w:t>
      </w:r>
      <w:proofErr w:type="spellEnd"/>
      <w:r w:rsidRPr="009368B0">
        <w:t xml:space="preserve">, S. and Temple-Smith, M. (2015). Dr Google, porn and friend-of-a-friend: Where are young men really getting their sexual health information? </w:t>
      </w:r>
      <w:r w:rsidRPr="009368B0">
        <w:rPr>
          <w:i/>
          <w:iCs/>
        </w:rPr>
        <w:t>Sexual Health, 12</w:t>
      </w:r>
      <w:r w:rsidRPr="009368B0">
        <w:t>(6), 488–494.</w:t>
      </w:r>
    </w:p>
    <w:p w14:paraId="773D0687" w14:textId="77777777" w:rsidR="00383CFB" w:rsidRPr="009368B0" w:rsidRDefault="00383CFB" w:rsidP="004E7262">
      <w:pPr>
        <w:spacing w:after="0" w:line="360" w:lineRule="auto"/>
      </w:pPr>
    </w:p>
    <w:p w14:paraId="21641151" w14:textId="039DEB27" w:rsidR="00A52BFA" w:rsidRPr="00592D1F" w:rsidRDefault="00A52BFA" w:rsidP="004E7262">
      <w:pPr>
        <w:spacing w:after="0" w:line="360" w:lineRule="auto"/>
      </w:pPr>
      <w:proofErr w:type="spellStart"/>
      <w:r w:rsidRPr="00592D1F">
        <w:t>Macdowall</w:t>
      </w:r>
      <w:proofErr w:type="spellEnd"/>
      <w:r w:rsidRPr="00592D1F">
        <w:t xml:space="preserve">, W., Parker, R., </w:t>
      </w:r>
      <w:proofErr w:type="spellStart"/>
      <w:r w:rsidRPr="00592D1F">
        <w:t>Nanchahal</w:t>
      </w:r>
      <w:proofErr w:type="spellEnd"/>
      <w:r w:rsidRPr="00592D1F">
        <w:t xml:space="preserve">, K., Ford, C., </w:t>
      </w:r>
      <w:proofErr w:type="spellStart"/>
      <w:r w:rsidRPr="00592D1F">
        <w:t>Lowbury</w:t>
      </w:r>
      <w:proofErr w:type="spellEnd"/>
      <w:r w:rsidRPr="00592D1F">
        <w:t xml:space="preserve">, R., Robinson, A., . . . </w:t>
      </w:r>
      <w:proofErr w:type="spellStart"/>
      <w:r w:rsidRPr="00592D1F">
        <w:t>Wellings</w:t>
      </w:r>
      <w:proofErr w:type="spellEnd"/>
      <w:r w:rsidRPr="00592D1F">
        <w:t xml:space="preserve">, K. (2010). ‘Talking of </w:t>
      </w:r>
      <w:r w:rsidR="00592D1F">
        <w:t>s</w:t>
      </w:r>
      <w:r w:rsidRPr="00592D1F">
        <w:t xml:space="preserve">ex’: Developing and piloting a sexual health communication tool for use in primary care. </w:t>
      </w:r>
      <w:r w:rsidRPr="00592D1F">
        <w:rPr>
          <w:i/>
          <w:iCs/>
        </w:rPr>
        <w:t>Patient Education and Counselling</w:t>
      </w:r>
      <w:r w:rsidRPr="00592D1F">
        <w:t xml:space="preserve">, </w:t>
      </w:r>
      <w:r w:rsidRPr="00592D1F">
        <w:rPr>
          <w:i/>
          <w:iCs/>
        </w:rPr>
        <w:t>81</w:t>
      </w:r>
      <w:r w:rsidRPr="00592D1F">
        <w:t>(3), 332–337.</w:t>
      </w:r>
    </w:p>
    <w:p w14:paraId="64FEE355" w14:textId="77777777" w:rsidR="00A52BFA" w:rsidRDefault="00A52BFA" w:rsidP="004E7262">
      <w:pPr>
        <w:spacing w:after="0" w:line="360" w:lineRule="auto"/>
      </w:pPr>
    </w:p>
    <w:p w14:paraId="7B3056E2" w14:textId="794B9E25" w:rsidR="00383CFB" w:rsidRPr="009368B0" w:rsidRDefault="00383CFB" w:rsidP="004E7262">
      <w:pPr>
        <w:spacing w:after="0" w:line="360" w:lineRule="auto"/>
      </w:pPr>
      <w:r w:rsidRPr="009368B0">
        <w:t xml:space="preserve">Magee, J., Bigelow, L., </w:t>
      </w:r>
      <w:proofErr w:type="spellStart"/>
      <w:r w:rsidRPr="009368B0">
        <w:t>DeHaan</w:t>
      </w:r>
      <w:proofErr w:type="spellEnd"/>
      <w:r w:rsidRPr="009368B0">
        <w:t xml:space="preserve">, S. and </w:t>
      </w:r>
      <w:proofErr w:type="spellStart"/>
      <w:r w:rsidRPr="009368B0">
        <w:t>Mustanski</w:t>
      </w:r>
      <w:proofErr w:type="spellEnd"/>
      <w:r w:rsidRPr="009368B0">
        <w:t xml:space="preserve">, B. (2012). Sexual health information seeking online: A mixed-methods study among lesbian, gay, bisexual and transgender young people. </w:t>
      </w:r>
      <w:r w:rsidRPr="009368B0">
        <w:rPr>
          <w:i/>
          <w:iCs/>
        </w:rPr>
        <w:t xml:space="preserve">Health Education and </w:t>
      </w:r>
      <w:proofErr w:type="spellStart"/>
      <w:r w:rsidRPr="009368B0">
        <w:rPr>
          <w:i/>
          <w:iCs/>
        </w:rPr>
        <w:t>Behavior</w:t>
      </w:r>
      <w:proofErr w:type="spellEnd"/>
      <w:r w:rsidRPr="009368B0">
        <w:rPr>
          <w:i/>
          <w:iCs/>
        </w:rPr>
        <w:t>, 39</w:t>
      </w:r>
      <w:r w:rsidRPr="009368B0">
        <w:t>(3), 276–289.</w:t>
      </w:r>
    </w:p>
    <w:p w14:paraId="08822766" w14:textId="77777777" w:rsidR="00383CFB" w:rsidRPr="009368B0" w:rsidRDefault="00383CFB" w:rsidP="004E7262">
      <w:pPr>
        <w:spacing w:after="0" w:line="360" w:lineRule="auto"/>
      </w:pPr>
    </w:p>
    <w:p w14:paraId="3C46BA33" w14:textId="14021F61" w:rsidR="00592D1F" w:rsidRPr="00592D1F" w:rsidRDefault="00592D1F" w:rsidP="004E7262">
      <w:pPr>
        <w:spacing w:after="0" w:line="360" w:lineRule="auto"/>
      </w:pPr>
      <w:r w:rsidRPr="00592D1F">
        <w:t xml:space="preserve">McKee, A., Watson, A. F. </w:t>
      </w:r>
      <w:r>
        <w:t>and</w:t>
      </w:r>
      <w:r w:rsidRPr="00592D1F">
        <w:t xml:space="preserve"> Dore, J. (2014). ‘</w:t>
      </w:r>
      <w:proofErr w:type="gramStart"/>
      <w:r w:rsidRPr="00592D1F">
        <w:t>It‘</w:t>
      </w:r>
      <w:proofErr w:type="gramEnd"/>
      <w:r w:rsidRPr="00592D1F">
        <w:t xml:space="preserve">s all scientific to me’: </w:t>
      </w:r>
      <w:r>
        <w:t>F</w:t>
      </w:r>
      <w:r w:rsidRPr="00592D1F">
        <w:t xml:space="preserve">ocus group insights into why young people do not apply safe-sex knowledge. </w:t>
      </w:r>
      <w:r w:rsidRPr="00592D1F">
        <w:rPr>
          <w:i/>
          <w:iCs/>
        </w:rPr>
        <w:t>Sex Education</w:t>
      </w:r>
      <w:r w:rsidRPr="00592D1F">
        <w:t>, 14, 652</w:t>
      </w:r>
      <w:r>
        <w:t>–</w:t>
      </w:r>
      <w:r w:rsidRPr="00592D1F">
        <w:t xml:space="preserve">665. </w:t>
      </w:r>
    </w:p>
    <w:p w14:paraId="4283259C" w14:textId="77777777" w:rsidR="00592D1F" w:rsidRDefault="00592D1F" w:rsidP="004E7262">
      <w:pPr>
        <w:spacing w:after="0" w:line="360" w:lineRule="auto"/>
      </w:pPr>
    </w:p>
    <w:p w14:paraId="042E1AF2" w14:textId="7968BF63" w:rsidR="00383CFB" w:rsidRPr="009368B0" w:rsidRDefault="00383CFB" w:rsidP="004E7262">
      <w:pPr>
        <w:spacing w:after="0" w:line="360" w:lineRule="auto"/>
      </w:pPr>
      <w:r w:rsidRPr="009368B0">
        <w:t xml:space="preserve">Mitchell, A., Smith, A. Carman, M. </w:t>
      </w:r>
      <w:proofErr w:type="spellStart"/>
      <w:r w:rsidRPr="009368B0">
        <w:t>Schlichthorst</w:t>
      </w:r>
      <w:proofErr w:type="spellEnd"/>
      <w:r w:rsidRPr="009368B0">
        <w:t xml:space="preserve">, M. Walsh, J. and Pitts, M. (2011). </w:t>
      </w:r>
      <w:r w:rsidRPr="009368B0">
        <w:rPr>
          <w:i/>
          <w:iCs/>
        </w:rPr>
        <w:t>Sexuality Education in Australia in 2011.</w:t>
      </w:r>
      <w:r w:rsidRPr="009368B0">
        <w:t xml:space="preserve"> In Monograph Series No. 81. Melbourne: Australian Research Centre in Sex, Health &amp; Society, La Trobe University.</w:t>
      </w:r>
    </w:p>
    <w:p w14:paraId="77CC73CD" w14:textId="77777777" w:rsidR="00383CFB" w:rsidRPr="009368B0" w:rsidRDefault="00383CFB" w:rsidP="004E7262">
      <w:pPr>
        <w:spacing w:after="0" w:line="360" w:lineRule="auto"/>
      </w:pPr>
    </w:p>
    <w:p w14:paraId="79838105" w14:textId="77777777" w:rsidR="00383CFB" w:rsidRPr="009368B0" w:rsidRDefault="00383CFB" w:rsidP="004E7262">
      <w:pPr>
        <w:spacing w:after="0" w:line="360" w:lineRule="auto"/>
      </w:pPr>
      <w:proofErr w:type="spellStart"/>
      <w:r w:rsidRPr="009368B0">
        <w:lastRenderedPageBreak/>
        <w:t>Narushima</w:t>
      </w:r>
      <w:proofErr w:type="spellEnd"/>
      <w:r w:rsidRPr="009368B0">
        <w:t xml:space="preserve">, M., </w:t>
      </w:r>
      <w:proofErr w:type="spellStart"/>
      <w:r w:rsidRPr="009368B0">
        <w:t>Pui</w:t>
      </w:r>
      <w:proofErr w:type="spellEnd"/>
      <w:r w:rsidRPr="009368B0">
        <w:t xml:space="preserve">-Hing Wong, J., Tai-Wai Li, A., Bhagat, D., </w:t>
      </w:r>
      <w:proofErr w:type="spellStart"/>
      <w:r w:rsidRPr="009368B0">
        <w:t>Bisignano</w:t>
      </w:r>
      <w:proofErr w:type="spellEnd"/>
      <w:r w:rsidRPr="009368B0">
        <w:t>, A., Po-</w:t>
      </w:r>
      <w:proofErr w:type="spellStart"/>
      <w:r w:rsidRPr="009368B0">
        <w:t>Lun</w:t>
      </w:r>
      <w:proofErr w:type="spellEnd"/>
      <w:r w:rsidRPr="009368B0">
        <w:t xml:space="preserve"> Fung, K. and </w:t>
      </w:r>
      <w:proofErr w:type="spellStart"/>
      <w:r w:rsidRPr="009368B0">
        <w:t>Kwong</w:t>
      </w:r>
      <w:proofErr w:type="spellEnd"/>
      <w:r w:rsidRPr="009368B0">
        <w:t xml:space="preserve">-Lai Poon, M. (2020). Youth perspectives on sexual health education: Voices from the YEP study in Toronto. </w:t>
      </w:r>
      <w:r w:rsidRPr="009368B0">
        <w:rPr>
          <w:i/>
          <w:iCs/>
        </w:rPr>
        <w:t>The Canadian Journal of Human Sexuality, 29</w:t>
      </w:r>
      <w:r w:rsidRPr="009368B0">
        <w:t>(1), 32–44.</w:t>
      </w:r>
    </w:p>
    <w:p w14:paraId="44F99F44" w14:textId="77777777" w:rsidR="00383CFB" w:rsidRPr="009368B0" w:rsidRDefault="00383CFB" w:rsidP="004E7262">
      <w:pPr>
        <w:spacing w:after="0" w:line="360" w:lineRule="auto"/>
      </w:pPr>
    </w:p>
    <w:p w14:paraId="4463C492" w14:textId="070FC3D0" w:rsidR="00224A56" w:rsidRPr="00224A56" w:rsidRDefault="00224A56" w:rsidP="004E7262">
      <w:pPr>
        <w:pStyle w:val="CommentText"/>
        <w:spacing w:after="0" w:line="360" w:lineRule="auto"/>
        <w:rPr>
          <w:sz w:val="22"/>
          <w:szCs w:val="22"/>
          <w:lang w:val="en-AU"/>
        </w:rPr>
      </w:pPr>
      <w:r w:rsidRPr="00224A56">
        <w:rPr>
          <w:sz w:val="22"/>
          <w:szCs w:val="22"/>
          <w:lang w:val="en-AU"/>
        </w:rPr>
        <w:t xml:space="preserve">Nicol, S. </w:t>
      </w:r>
      <w:r>
        <w:rPr>
          <w:sz w:val="22"/>
          <w:szCs w:val="22"/>
          <w:lang w:val="en-AU"/>
        </w:rPr>
        <w:t xml:space="preserve">(2012). </w:t>
      </w:r>
      <w:r w:rsidRPr="00224A56">
        <w:rPr>
          <w:sz w:val="22"/>
          <w:szCs w:val="22"/>
          <w:lang w:val="en-AU"/>
        </w:rPr>
        <w:t>Cyber-bullying and trolling [online]. </w:t>
      </w:r>
      <w:r w:rsidRPr="00224A56">
        <w:rPr>
          <w:i/>
          <w:iCs/>
          <w:sz w:val="22"/>
          <w:szCs w:val="22"/>
          <w:lang w:val="en-AU"/>
        </w:rPr>
        <w:t>Youth Studies Australia, 31</w:t>
      </w:r>
      <w:r>
        <w:rPr>
          <w:sz w:val="22"/>
          <w:szCs w:val="22"/>
          <w:lang w:val="en-AU"/>
        </w:rPr>
        <w:t>(4),</w:t>
      </w:r>
      <w:r w:rsidRPr="00224A56">
        <w:rPr>
          <w:sz w:val="22"/>
          <w:szCs w:val="22"/>
          <w:lang w:val="en-AU"/>
        </w:rPr>
        <w:t xml:space="preserve"> 3</w:t>
      </w:r>
      <w:r w:rsidR="003573AA">
        <w:rPr>
          <w:sz w:val="22"/>
          <w:szCs w:val="22"/>
          <w:lang w:val="en-AU"/>
        </w:rPr>
        <w:t>–</w:t>
      </w:r>
      <w:r w:rsidRPr="00224A56">
        <w:rPr>
          <w:sz w:val="22"/>
          <w:szCs w:val="22"/>
          <w:lang w:val="en-AU"/>
        </w:rPr>
        <w:t>4.</w:t>
      </w:r>
    </w:p>
    <w:p w14:paraId="59B65EE8" w14:textId="77777777" w:rsidR="00224A56" w:rsidRDefault="00224A56" w:rsidP="004E7262">
      <w:pPr>
        <w:spacing w:after="0" w:line="360" w:lineRule="auto"/>
      </w:pPr>
    </w:p>
    <w:p w14:paraId="375FD6AF" w14:textId="6FBA50B0" w:rsidR="00383CFB" w:rsidRPr="009368B0" w:rsidRDefault="00383CFB" w:rsidP="004E7262">
      <w:pPr>
        <w:spacing w:after="0" w:line="360" w:lineRule="auto"/>
      </w:pPr>
      <w:proofErr w:type="spellStart"/>
      <w:r w:rsidRPr="009368B0">
        <w:t>Nikkelen</w:t>
      </w:r>
      <w:proofErr w:type="spellEnd"/>
      <w:r w:rsidRPr="009368B0">
        <w:t xml:space="preserve">, S., van </w:t>
      </w:r>
      <w:proofErr w:type="spellStart"/>
      <w:r w:rsidRPr="009368B0">
        <w:t>Oosten</w:t>
      </w:r>
      <w:proofErr w:type="spellEnd"/>
      <w:r w:rsidRPr="009368B0">
        <w:t xml:space="preserve">, J. and van den Borne, M. (2020). Sexuality education in the digital era: Intrinsic and extrinsic predictors of online sexual information seeking among young. </w:t>
      </w:r>
      <w:r w:rsidRPr="009368B0">
        <w:rPr>
          <w:i/>
          <w:iCs/>
        </w:rPr>
        <w:t>The Journal of Sex Research, 57</w:t>
      </w:r>
      <w:r w:rsidRPr="009368B0">
        <w:t>(2), 189–199.</w:t>
      </w:r>
    </w:p>
    <w:p w14:paraId="72BBCF63" w14:textId="77777777" w:rsidR="00383CFB" w:rsidRPr="009368B0" w:rsidRDefault="00383CFB" w:rsidP="004E7262">
      <w:pPr>
        <w:spacing w:after="0" w:line="360" w:lineRule="auto"/>
      </w:pPr>
    </w:p>
    <w:p w14:paraId="52019315" w14:textId="725D6265" w:rsidR="00A52BFA" w:rsidRPr="00A52BFA" w:rsidRDefault="00A52BFA" w:rsidP="004E7262">
      <w:pPr>
        <w:spacing w:after="0" w:line="360" w:lineRule="auto"/>
      </w:pPr>
      <w:r w:rsidRPr="00A52BFA">
        <w:rPr>
          <w:color w:val="212121"/>
          <w:shd w:val="clear" w:color="auto" w:fill="FFFFFF"/>
        </w:rPr>
        <w:t xml:space="preserve">Nobles, A. L., Leas, E. C., </w:t>
      </w:r>
      <w:proofErr w:type="spellStart"/>
      <w:r w:rsidRPr="00A52BFA">
        <w:rPr>
          <w:color w:val="212121"/>
          <w:shd w:val="clear" w:color="auto" w:fill="FFFFFF"/>
        </w:rPr>
        <w:t>Althouse</w:t>
      </w:r>
      <w:proofErr w:type="spellEnd"/>
      <w:r w:rsidRPr="00A52BFA">
        <w:rPr>
          <w:color w:val="212121"/>
          <w:shd w:val="clear" w:color="auto" w:fill="FFFFFF"/>
        </w:rPr>
        <w:t xml:space="preserve">, B. M., </w:t>
      </w:r>
      <w:proofErr w:type="spellStart"/>
      <w:r w:rsidRPr="00A52BFA">
        <w:rPr>
          <w:color w:val="212121"/>
          <w:shd w:val="clear" w:color="auto" w:fill="FFFFFF"/>
        </w:rPr>
        <w:t>Dredze</w:t>
      </w:r>
      <w:proofErr w:type="spellEnd"/>
      <w:r w:rsidRPr="00A52BFA">
        <w:rPr>
          <w:color w:val="212121"/>
          <w:shd w:val="clear" w:color="auto" w:fill="FFFFFF"/>
        </w:rPr>
        <w:t xml:space="preserve">, M., Longhurst, C. A., Smith, D. M. </w:t>
      </w:r>
      <w:r w:rsidR="00592D1F">
        <w:rPr>
          <w:color w:val="212121"/>
          <w:shd w:val="clear" w:color="auto" w:fill="FFFFFF"/>
        </w:rPr>
        <w:t>and</w:t>
      </w:r>
      <w:r w:rsidRPr="00A52BFA">
        <w:rPr>
          <w:color w:val="212121"/>
          <w:shd w:val="clear" w:color="auto" w:fill="FFFFFF"/>
        </w:rPr>
        <w:t xml:space="preserve"> Ayers, J. W. (2019). Requests for diagnoses of sexually transmitted diseases on a social media platform. </w:t>
      </w:r>
      <w:r w:rsidRPr="00A52BFA">
        <w:rPr>
          <w:i/>
          <w:iCs/>
          <w:color w:val="212121"/>
          <w:shd w:val="clear" w:color="auto" w:fill="FFFFFF"/>
        </w:rPr>
        <w:t>JAMA</w:t>
      </w:r>
      <w:r w:rsidRPr="00A52BFA">
        <w:rPr>
          <w:color w:val="212121"/>
          <w:shd w:val="clear" w:color="auto" w:fill="FFFFFF"/>
        </w:rPr>
        <w:t>, </w:t>
      </w:r>
      <w:r w:rsidRPr="00A52BFA">
        <w:rPr>
          <w:i/>
          <w:iCs/>
          <w:color w:val="212121"/>
          <w:shd w:val="clear" w:color="auto" w:fill="FFFFFF"/>
        </w:rPr>
        <w:t>322</w:t>
      </w:r>
      <w:r w:rsidRPr="00A52BFA">
        <w:rPr>
          <w:color w:val="212121"/>
          <w:shd w:val="clear" w:color="auto" w:fill="FFFFFF"/>
        </w:rPr>
        <w:t>(17), 1712–1713.</w:t>
      </w:r>
    </w:p>
    <w:p w14:paraId="0BA28337" w14:textId="77777777" w:rsidR="00A52BFA" w:rsidRDefault="00A52BFA" w:rsidP="004E7262">
      <w:pPr>
        <w:spacing w:after="0" w:line="360" w:lineRule="auto"/>
      </w:pPr>
    </w:p>
    <w:p w14:paraId="2A1004AC" w14:textId="21747468" w:rsidR="00383CFB" w:rsidRPr="009368B0" w:rsidRDefault="00383CFB" w:rsidP="004E7262">
      <w:pPr>
        <w:spacing w:after="0" w:line="360" w:lineRule="auto"/>
      </w:pPr>
      <w:proofErr w:type="spellStart"/>
      <w:r w:rsidRPr="009368B0">
        <w:t>Pateman</w:t>
      </w:r>
      <w:proofErr w:type="spellEnd"/>
      <w:r w:rsidRPr="009368B0">
        <w:t xml:space="preserve">, C. (1988). </w:t>
      </w:r>
      <w:r w:rsidRPr="009368B0">
        <w:rPr>
          <w:i/>
          <w:iCs/>
        </w:rPr>
        <w:t xml:space="preserve">The sexual contract. </w:t>
      </w:r>
      <w:r w:rsidRPr="009368B0">
        <w:t xml:space="preserve">Cambridge: Polity Press. </w:t>
      </w:r>
    </w:p>
    <w:p w14:paraId="43901021" w14:textId="77777777" w:rsidR="00383CFB" w:rsidRPr="009368B0" w:rsidRDefault="00383CFB" w:rsidP="004E7262">
      <w:pPr>
        <w:spacing w:after="0" w:line="360" w:lineRule="auto"/>
      </w:pPr>
    </w:p>
    <w:p w14:paraId="08C78D12" w14:textId="77777777" w:rsidR="00383CFB" w:rsidRPr="009368B0" w:rsidRDefault="00383CFB" w:rsidP="004E7262">
      <w:pPr>
        <w:spacing w:after="0" w:line="360" w:lineRule="auto"/>
      </w:pPr>
      <w:r w:rsidRPr="009368B0">
        <w:t xml:space="preserve">Patterson, S., Hilton, S., Flowers, P. and McDaid, L. (2019). What are the barriers and challenges faced by adolescents when searching for sexual health information on the internet? Implications for policy and practice from a qualitative study. </w:t>
      </w:r>
      <w:r w:rsidRPr="009368B0">
        <w:rPr>
          <w:i/>
          <w:iCs/>
        </w:rPr>
        <w:t>Sexually Transmitted Infections, 95</w:t>
      </w:r>
      <w:r w:rsidRPr="009368B0">
        <w:t>(6)</w:t>
      </w:r>
      <w:r w:rsidRPr="009368B0">
        <w:rPr>
          <w:i/>
          <w:iCs/>
        </w:rPr>
        <w:t xml:space="preserve">, </w:t>
      </w:r>
      <w:r w:rsidRPr="009368B0">
        <w:t>462–467.</w:t>
      </w:r>
    </w:p>
    <w:p w14:paraId="6A7B9F2A" w14:textId="77777777" w:rsidR="00383CFB" w:rsidRPr="009368B0" w:rsidRDefault="00383CFB" w:rsidP="004E7262">
      <w:pPr>
        <w:spacing w:after="0" w:line="360" w:lineRule="auto"/>
      </w:pPr>
    </w:p>
    <w:p w14:paraId="2395EDDE" w14:textId="77777777" w:rsidR="00383CFB" w:rsidRPr="009368B0" w:rsidRDefault="00383CFB" w:rsidP="004E7262">
      <w:pPr>
        <w:spacing w:after="0" w:line="360" w:lineRule="auto"/>
      </w:pPr>
      <w:r w:rsidRPr="009368B0">
        <w:t xml:space="preserve">Payne, M. (1997). </w:t>
      </w:r>
      <w:r w:rsidRPr="009368B0">
        <w:rPr>
          <w:i/>
          <w:iCs/>
        </w:rPr>
        <w:t>An introduction to Barthes, Foucault, and Althusser</w:t>
      </w:r>
      <w:r w:rsidRPr="009368B0">
        <w:t>. Malden, MA: Blackwell.</w:t>
      </w:r>
    </w:p>
    <w:p w14:paraId="49D32ECC" w14:textId="77777777" w:rsidR="00383CFB" w:rsidRPr="009368B0" w:rsidRDefault="00383CFB" w:rsidP="004E7262">
      <w:pPr>
        <w:spacing w:after="0" w:line="360" w:lineRule="auto"/>
      </w:pPr>
    </w:p>
    <w:p w14:paraId="45B71715" w14:textId="77777777" w:rsidR="00383CFB" w:rsidRPr="009368B0" w:rsidRDefault="00383CFB" w:rsidP="004E7262">
      <w:pPr>
        <w:spacing w:after="0" w:line="360" w:lineRule="auto"/>
        <w:rPr>
          <w:shd w:val="clear" w:color="auto" w:fill="FFFFFF"/>
        </w:rPr>
      </w:pPr>
      <w:r w:rsidRPr="009368B0">
        <w:t xml:space="preserve">Pound, P., Langford, R. and Campbell, R. (2016). What do young people think about their school-based sex and relationship education? A qualitative synthesis of young people’s views and experiences. </w:t>
      </w:r>
      <w:r w:rsidRPr="009368B0">
        <w:rPr>
          <w:i/>
          <w:iCs/>
        </w:rPr>
        <w:t>BMJ Open, 6</w:t>
      </w:r>
      <w:r w:rsidRPr="009368B0">
        <w:t xml:space="preserve">(9). DOI: </w:t>
      </w:r>
      <w:r w:rsidRPr="009368B0">
        <w:rPr>
          <w:shd w:val="clear" w:color="auto" w:fill="FFFFFF"/>
        </w:rPr>
        <w:t>10.1136/bmjopen-2016-011329</w:t>
      </w:r>
    </w:p>
    <w:p w14:paraId="1BFD6BB4" w14:textId="77777777" w:rsidR="00383CFB" w:rsidRPr="009368B0" w:rsidRDefault="00383CFB" w:rsidP="004E7262">
      <w:pPr>
        <w:spacing w:after="0" w:line="360" w:lineRule="auto"/>
        <w:rPr>
          <w:shd w:val="clear" w:color="auto" w:fill="FFFFFF"/>
        </w:rPr>
      </w:pPr>
    </w:p>
    <w:p w14:paraId="7FAF25DD" w14:textId="081AC742" w:rsidR="00A52BFA" w:rsidRPr="00592D1F" w:rsidRDefault="00A52BFA" w:rsidP="004E7262">
      <w:pPr>
        <w:spacing w:after="0" w:line="360" w:lineRule="auto"/>
      </w:pPr>
      <w:r w:rsidRPr="00592D1F">
        <w:t>Roberts, J.H., Crosland, A</w:t>
      </w:r>
      <w:r w:rsidR="0058051E">
        <w:t>.</w:t>
      </w:r>
      <w:r w:rsidRPr="00592D1F">
        <w:t xml:space="preserve"> </w:t>
      </w:r>
      <w:r w:rsidR="00592D1F">
        <w:t xml:space="preserve">and </w:t>
      </w:r>
      <w:r w:rsidRPr="00592D1F">
        <w:t xml:space="preserve">Fulton, J. (2013). ‘I think this is maybe our Achilles heel…’ </w:t>
      </w:r>
      <w:r w:rsidR="00592D1F">
        <w:t>E</w:t>
      </w:r>
      <w:r w:rsidRPr="00592D1F">
        <w:t xml:space="preserve">xploring GPs’ responses to young people presenting with emotional distress in general practice: a qualitative study. </w:t>
      </w:r>
      <w:r w:rsidRPr="00592D1F">
        <w:rPr>
          <w:i/>
          <w:iCs/>
        </w:rPr>
        <w:t>BMJ Open</w:t>
      </w:r>
      <w:r w:rsidRPr="00592D1F">
        <w:t>, 3, e002927. </w:t>
      </w:r>
    </w:p>
    <w:p w14:paraId="6FF0B07A" w14:textId="77777777" w:rsidR="00A52BFA" w:rsidRDefault="00A52BFA" w:rsidP="004E7262">
      <w:pPr>
        <w:spacing w:after="0" w:line="360" w:lineRule="auto"/>
      </w:pPr>
    </w:p>
    <w:p w14:paraId="6419A185" w14:textId="058C3C44" w:rsidR="00383CFB" w:rsidRPr="009368B0" w:rsidRDefault="00383CFB" w:rsidP="004E7262">
      <w:pPr>
        <w:spacing w:after="0" w:line="360" w:lineRule="auto"/>
      </w:pPr>
      <w:r w:rsidRPr="009368B0">
        <w:t xml:space="preserve">Shannon, B. (2016). Comprehensive for who? Neoliberal directives in Australian ‘comprehensive’ sexuality education and the erasure of GLBTIQ identity. </w:t>
      </w:r>
      <w:r w:rsidRPr="009368B0">
        <w:rPr>
          <w:i/>
          <w:iCs/>
        </w:rPr>
        <w:t>Sex Education, 16</w:t>
      </w:r>
      <w:r w:rsidRPr="009368B0">
        <w:t>(6), 573–585.</w:t>
      </w:r>
    </w:p>
    <w:p w14:paraId="46564FF2" w14:textId="77777777" w:rsidR="00383CFB" w:rsidRPr="009368B0" w:rsidRDefault="00383CFB" w:rsidP="004E7262">
      <w:pPr>
        <w:spacing w:after="0" w:line="360" w:lineRule="auto"/>
      </w:pPr>
    </w:p>
    <w:p w14:paraId="7845CE94" w14:textId="77777777" w:rsidR="00383CFB" w:rsidRPr="009368B0" w:rsidRDefault="00383CFB" w:rsidP="004E7262">
      <w:pPr>
        <w:spacing w:after="0" w:line="360" w:lineRule="auto"/>
      </w:pPr>
      <w:r w:rsidRPr="009368B0">
        <w:lastRenderedPageBreak/>
        <w:t xml:space="preserve">Simon, L. and </w:t>
      </w:r>
      <w:proofErr w:type="spellStart"/>
      <w:r w:rsidRPr="009368B0">
        <w:t>Daneback</w:t>
      </w:r>
      <w:proofErr w:type="spellEnd"/>
      <w:r w:rsidRPr="009368B0">
        <w:t xml:space="preserve">, K. (2013). Adolescents’ use of the internet for sex education: A thematic and critical review of the literature. </w:t>
      </w:r>
      <w:r w:rsidRPr="009368B0">
        <w:rPr>
          <w:i/>
          <w:iCs/>
        </w:rPr>
        <w:t>International Journal of Sexual Health, 25</w:t>
      </w:r>
      <w:r w:rsidRPr="009368B0">
        <w:t>(4), 305–319.</w:t>
      </w:r>
    </w:p>
    <w:p w14:paraId="2912F18A" w14:textId="77777777" w:rsidR="00383CFB" w:rsidRPr="009368B0" w:rsidRDefault="00383CFB" w:rsidP="004E7262">
      <w:pPr>
        <w:spacing w:after="0" w:line="360" w:lineRule="auto"/>
        <w:rPr>
          <w:shd w:val="clear" w:color="auto" w:fill="FFFFFF"/>
        </w:rPr>
      </w:pPr>
    </w:p>
    <w:p w14:paraId="56C8F2A7" w14:textId="77777777" w:rsidR="00383CFB" w:rsidRPr="009368B0" w:rsidRDefault="00383CFB" w:rsidP="004E7262">
      <w:pPr>
        <w:spacing w:after="0" w:line="360" w:lineRule="auto"/>
        <w:rPr>
          <w:bdr w:val="none" w:sz="0" w:space="0" w:color="auto" w:frame="1"/>
        </w:rPr>
      </w:pPr>
      <w:r w:rsidRPr="009368B0">
        <w:rPr>
          <w:bdr w:val="none" w:sz="0" w:space="0" w:color="auto" w:frame="1"/>
        </w:rPr>
        <w:t xml:space="preserve">Sundaram, V. and </w:t>
      </w:r>
      <w:proofErr w:type="spellStart"/>
      <w:r w:rsidRPr="009368B0">
        <w:rPr>
          <w:bdr w:val="none" w:sz="0" w:space="0" w:color="auto" w:frame="1"/>
        </w:rPr>
        <w:t>Sauntson</w:t>
      </w:r>
      <w:proofErr w:type="spellEnd"/>
      <w:r w:rsidRPr="009368B0">
        <w:rPr>
          <w:bdr w:val="none" w:sz="0" w:space="0" w:color="auto" w:frame="1"/>
        </w:rPr>
        <w:t xml:space="preserve">, H. (2016). </w:t>
      </w:r>
      <w:r w:rsidRPr="009368B0">
        <w:rPr>
          <w:i/>
          <w:iCs/>
          <w:bdr w:val="none" w:sz="0" w:space="0" w:color="auto" w:frame="1"/>
        </w:rPr>
        <w:t>Global perspectives and key debates in sex and relationships education</w:t>
      </w:r>
      <w:r w:rsidRPr="009368B0">
        <w:rPr>
          <w:bdr w:val="none" w:sz="0" w:space="0" w:color="auto" w:frame="1"/>
        </w:rPr>
        <w:t>. Basingstoke: Palgrave.</w:t>
      </w:r>
      <w:r w:rsidRPr="009368B0">
        <w:rPr>
          <w:bdr w:val="none" w:sz="0" w:space="0" w:color="auto" w:frame="1"/>
        </w:rPr>
        <w:br/>
      </w:r>
    </w:p>
    <w:p w14:paraId="26FF6775" w14:textId="586A2F3B" w:rsidR="00383CFB" w:rsidRPr="002C4E55" w:rsidRDefault="00383CFB" w:rsidP="004E7262">
      <w:pPr>
        <w:spacing w:after="0" w:line="360" w:lineRule="auto"/>
        <w:rPr>
          <w:bdr w:val="none" w:sz="0" w:space="0" w:color="auto" w:frame="1"/>
        </w:rPr>
      </w:pPr>
      <w:r w:rsidRPr="009368B0">
        <w:t xml:space="preserve">Vance, C. (1984). </w:t>
      </w:r>
      <w:r w:rsidRPr="009368B0">
        <w:rPr>
          <w:i/>
          <w:iCs/>
        </w:rPr>
        <w:t xml:space="preserve">Pleasure and danger: Exploring female sexuality. </w:t>
      </w:r>
      <w:r w:rsidRPr="009368B0">
        <w:t>London: Pandora.</w:t>
      </w:r>
    </w:p>
    <w:p w14:paraId="22185F68" w14:textId="77777777" w:rsidR="00A52BFA" w:rsidRPr="00A52BFA" w:rsidRDefault="00A52BFA" w:rsidP="004E7262">
      <w:pPr>
        <w:spacing w:after="0" w:line="360" w:lineRule="auto"/>
        <w:textAlignment w:val="baseline"/>
        <w:rPr>
          <w:rFonts w:eastAsia="Times New Roman"/>
          <w:color w:val="000000"/>
          <w:sz w:val="15"/>
          <w:szCs w:val="15"/>
          <w:lang w:eastAsia="en-AU"/>
        </w:rPr>
      </w:pPr>
    </w:p>
    <w:p w14:paraId="1C10CA3D" w14:textId="2C91DBA2" w:rsidR="00A52BFA" w:rsidRPr="00A52BFA" w:rsidRDefault="00A52BFA" w:rsidP="004E7262">
      <w:pPr>
        <w:spacing w:after="0" w:line="360" w:lineRule="auto"/>
        <w:textAlignment w:val="baseline"/>
      </w:pPr>
      <w:r w:rsidRPr="00A52BFA">
        <w:t xml:space="preserve">Waling, A., Fisher, C., Ezer, P., Bellamy, R., Kerr, L. </w:t>
      </w:r>
      <w:r>
        <w:t>and</w:t>
      </w:r>
      <w:r w:rsidRPr="00A52BFA">
        <w:t xml:space="preserve"> Lucke, J. (In </w:t>
      </w:r>
      <w:r w:rsidR="002C4E55">
        <w:t>p</w:t>
      </w:r>
      <w:r w:rsidRPr="00A52BFA">
        <w:t>ress). </w:t>
      </w:r>
      <w:r>
        <w:t>‘</w:t>
      </w:r>
      <w:r w:rsidRPr="00A52BFA">
        <w:t>Please teach students that sex is a healthy part of growing up.</w:t>
      </w:r>
      <w:r>
        <w:t>’</w:t>
      </w:r>
      <w:r w:rsidRPr="00A52BFA">
        <w:t xml:space="preserve">: Australian </w:t>
      </w:r>
      <w:r w:rsidR="00AC7858">
        <w:t>s</w:t>
      </w:r>
      <w:r w:rsidRPr="00A52BFA">
        <w:t xml:space="preserve">tudents’ </w:t>
      </w:r>
      <w:r w:rsidR="00AC7858">
        <w:t>d</w:t>
      </w:r>
      <w:r w:rsidRPr="00A52BFA">
        <w:t xml:space="preserve">esires for </w:t>
      </w:r>
      <w:r w:rsidR="00AC7858">
        <w:t>s</w:t>
      </w:r>
      <w:r w:rsidRPr="00A52BFA">
        <w:t xml:space="preserve">exuality and </w:t>
      </w:r>
      <w:r w:rsidR="00AC7858">
        <w:t>r</w:t>
      </w:r>
      <w:r w:rsidRPr="00A52BFA">
        <w:t xml:space="preserve">elationships </w:t>
      </w:r>
      <w:r w:rsidR="00AC7858">
        <w:t>e</w:t>
      </w:r>
      <w:r w:rsidRPr="00A52BFA">
        <w:t>ducation. </w:t>
      </w:r>
      <w:r w:rsidRPr="00A52BFA">
        <w:rPr>
          <w:i/>
          <w:iCs/>
        </w:rPr>
        <w:t>Sexuality Research and Social Policy</w:t>
      </w:r>
      <w:r w:rsidRPr="00A52BFA">
        <w:t>. Accepted October 12</w:t>
      </w:r>
      <w:r w:rsidR="00E23540">
        <w:t>,</w:t>
      </w:r>
      <w:r w:rsidRPr="00A52BFA">
        <w:t xml:space="preserve"> 2020. </w:t>
      </w:r>
    </w:p>
    <w:p w14:paraId="5F2842F0" w14:textId="77777777" w:rsidR="00A52BFA" w:rsidRPr="009368B0" w:rsidRDefault="00A52BFA" w:rsidP="004E7262">
      <w:pPr>
        <w:spacing w:after="0" w:line="360" w:lineRule="auto"/>
        <w:rPr>
          <w:shd w:val="clear" w:color="auto" w:fill="FFFFFF"/>
        </w:rPr>
      </w:pPr>
    </w:p>
    <w:p w14:paraId="2F30AFAC" w14:textId="75D34DA2" w:rsidR="00383CFB" w:rsidRDefault="00383CFB" w:rsidP="004E7262">
      <w:pPr>
        <w:spacing w:after="0" w:line="360" w:lineRule="auto"/>
      </w:pPr>
      <w:r w:rsidRPr="009368B0">
        <w:rPr>
          <w:bdr w:val="none" w:sz="0" w:space="0" w:color="auto" w:frame="1"/>
        </w:rPr>
        <w:t>Waling, A., </w:t>
      </w:r>
      <w:r w:rsidRPr="009368B0">
        <w:t xml:space="preserve">Bellamy, R., Ezer, P., Kerr, L., Lucke, J. and Fisher, C. (2020). ‘It’s </w:t>
      </w:r>
      <w:proofErr w:type="spellStart"/>
      <w:r w:rsidRPr="009368B0">
        <w:t>kinda</w:t>
      </w:r>
      <w:proofErr w:type="spellEnd"/>
      <w:r w:rsidRPr="009368B0">
        <w:t xml:space="preserve"> bad, honestly’: Australian students’ experiences of relationships and sexuality education. </w:t>
      </w:r>
      <w:r w:rsidRPr="009368B0">
        <w:rPr>
          <w:i/>
          <w:iCs/>
          <w:bdr w:val="none" w:sz="0" w:space="0" w:color="auto" w:frame="1"/>
        </w:rPr>
        <w:t>Health Education Research.</w:t>
      </w:r>
      <w:r w:rsidRPr="009368B0">
        <w:t xml:space="preserve"> DOI: 10.1093/her/cyaa032 </w:t>
      </w:r>
    </w:p>
    <w:p w14:paraId="1DC6B9D7" w14:textId="6BD42261" w:rsidR="004D1D86" w:rsidRDefault="004D1D86">
      <w:r>
        <w:br w:type="page"/>
      </w:r>
    </w:p>
    <w:p w14:paraId="2A351064" w14:textId="77777777" w:rsidR="004D1D86" w:rsidRPr="00072B21" w:rsidRDefault="004D1D86" w:rsidP="004D1D86">
      <w:pPr>
        <w:pStyle w:val="Heading2"/>
        <w:spacing w:before="0" w:line="240" w:lineRule="auto"/>
        <w:rPr>
          <w:rFonts w:ascii="Arial" w:hAnsi="Arial" w:cs="Arial"/>
          <w:color w:val="4472C4" w:themeColor="accent1"/>
          <w:sz w:val="22"/>
          <w:szCs w:val="22"/>
        </w:rPr>
      </w:pPr>
      <w:bookmarkStart w:id="5" w:name="_Toc44057141"/>
      <w:r w:rsidRPr="00072B21">
        <w:rPr>
          <w:rFonts w:ascii="Arial" w:hAnsi="Arial" w:cs="Arial"/>
          <w:color w:val="4472C4" w:themeColor="accent1"/>
          <w:sz w:val="22"/>
          <w:szCs w:val="22"/>
        </w:rPr>
        <w:lastRenderedPageBreak/>
        <w:t>APPENDIX: Demographic Characteristics of Participants</w:t>
      </w:r>
      <w:bookmarkEnd w:id="5"/>
    </w:p>
    <w:p w14:paraId="50C28B1E" w14:textId="77777777" w:rsidR="004D1D86" w:rsidRPr="00072B21" w:rsidRDefault="004D1D86" w:rsidP="004D1D86">
      <w:pPr>
        <w:spacing w:after="0" w:line="240" w:lineRule="auto"/>
      </w:pPr>
    </w:p>
    <w:tbl>
      <w:tblPr>
        <w:tblW w:w="5417" w:type="pct"/>
        <w:tblLook w:val="04A0" w:firstRow="1" w:lastRow="0" w:firstColumn="1" w:lastColumn="0" w:noHBand="0" w:noVBand="1"/>
      </w:tblPr>
      <w:tblGrid>
        <w:gridCol w:w="6364"/>
        <w:gridCol w:w="649"/>
        <w:gridCol w:w="1203"/>
        <w:gridCol w:w="1563"/>
      </w:tblGrid>
      <w:tr w:rsidR="004D1D86" w:rsidRPr="00072B21" w14:paraId="4E9FF93E" w14:textId="77777777" w:rsidTr="0079608A">
        <w:trPr>
          <w:trHeight w:val="320"/>
        </w:trPr>
        <w:tc>
          <w:tcPr>
            <w:tcW w:w="4201" w:type="pct"/>
            <w:gridSpan w:val="3"/>
            <w:tcBorders>
              <w:top w:val="single" w:sz="4" w:space="0" w:color="auto"/>
              <w:left w:val="nil"/>
              <w:bottom w:val="single" w:sz="4" w:space="0" w:color="auto"/>
              <w:right w:val="nil"/>
            </w:tcBorders>
            <w:shd w:val="clear" w:color="auto" w:fill="auto"/>
            <w:noWrap/>
            <w:vAlign w:val="bottom"/>
            <w:hideMark/>
          </w:tcPr>
          <w:p w14:paraId="525FDFFB" w14:textId="77777777" w:rsidR="004D1D86" w:rsidRPr="00072B21" w:rsidRDefault="004D1D86" w:rsidP="0079608A">
            <w:pPr>
              <w:spacing w:after="0"/>
              <w:rPr>
                <w:rFonts w:eastAsia="Times New Roman"/>
                <w:b/>
                <w:bCs/>
                <w:color w:val="000000"/>
                <w:lang w:eastAsia="en-GB"/>
              </w:rPr>
            </w:pPr>
            <w:r w:rsidRPr="00072B21">
              <w:rPr>
                <w:rFonts w:eastAsia="Times New Roman"/>
                <w:b/>
                <w:bCs/>
                <w:color w:val="000000"/>
                <w:lang w:eastAsia="en-GB"/>
              </w:rPr>
              <w:t>Table 1 Characteristics of participants (N = 37)</w:t>
            </w:r>
          </w:p>
        </w:tc>
        <w:tc>
          <w:tcPr>
            <w:tcW w:w="799" w:type="pct"/>
            <w:tcBorders>
              <w:top w:val="single" w:sz="4" w:space="0" w:color="auto"/>
              <w:left w:val="nil"/>
              <w:bottom w:val="single" w:sz="4" w:space="0" w:color="auto"/>
              <w:right w:val="nil"/>
            </w:tcBorders>
            <w:shd w:val="clear" w:color="auto" w:fill="auto"/>
            <w:noWrap/>
            <w:vAlign w:val="bottom"/>
            <w:hideMark/>
          </w:tcPr>
          <w:p w14:paraId="4320711B" w14:textId="77777777" w:rsidR="004D1D86" w:rsidRPr="00072B21" w:rsidRDefault="004D1D86" w:rsidP="0079608A">
            <w:pPr>
              <w:spacing w:after="0"/>
              <w:jc w:val="center"/>
              <w:rPr>
                <w:rFonts w:eastAsia="Times New Roman"/>
                <w:color w:val="000000"/>
                <w:lang w:eastAsia="en-GB"/>
              </w:rPr>
            </w:pPr>
            <w:r w:rsidRPr="00072B21">
              <w:rPr>
                <w:rFonts w:eastAsia="Times New Roman"/>
                <w:color w:val="000000"/>
                <w:lang w:eastAsia="en-GB"/>
              </w:rPr>
              <w:t> </w:t>
            </w:r>
          </w:p>
        </w:tc>
      </w:tr>
      <w:tr w:rsidR="004D1D86" w:rsidRPr="00072B21" w14:paraId="139C8074" w14:textId="77777777" w:rsidTr="0079608A">
        <w:trPr>
          <w:trHeight w:val="320"/>
        </w:trPr>
        <w:tc>
          <w:tcPr>
            <w:tcW w:w="3254" w:type="pct"/>
            <w:tcBorders>
              <w:top w:val="nil"/>
              <w:left w:val="nil"/>
              <w:bottom w:val="nil"/>
              <w:right w:val="nil"/>
            </w:tcBorders>
            <w:shd w:val="clear" w:color="auto" w:fill="auto"/>
            <w:noWrap/>
            <w:vAlign w:val="bottom"/>
            <w:hideMark/>
          </w:tcPr>
          <w:p w14:paraId="6A299098" w14:textId="77777777" w:rsidR="004D1D86" w:rsidRPr="00072B21" w:rsidRDefault="004D1D86" w:rsidP="0079608A">
            <w:pPr>
              <w:spacing w:after="0"/>
              <w:jc w:val="center"/>
              <w:rPr>
                <w:rFonts w:eastAsia="Times New Roman"/>
                <w:color w:val="000000"/>
                <w:lang w:eastAsia="en-GB"/>
              </w:rPr>
            </w:pPr>
          </w:p>
        </w:tc>
        <w:tc>
          <w:tcPr>
            <w:tcW w:w="332" w:type="pct"/>
            <w:tcBorders>
              <w:top w:val="nil"/>
              <w:left w:val="nil"/>
              <w:bottom w:val="nil"/>
              <w:right w:val="nil"/>
            </w:tcBorders>
            <w:shd w:val="clear" w:color="auto" w:fill="auto"/>
            <w:noWrap/>
            <w:vAlign w:val="bottom"/>
            <w:hideMark/>
          </w:tcPr>
          <w:p w14:paraId="579D0596"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hideMark/>
          </w:tcPr>
          <w:p w14:paraId="3DEC3AB0" w14:textId="77777777" w:rsidR="004D1D86" w:rsidRPr="00072B21" w:rsidRDefault="004D1D86" w:rsidP="0079608A">
            <w:pPr>
              <w:spacing w:after="0"/>
              <w:rPr>
                <w:rFonts w:eastAsia="Times New Roman"/>
                <w:lang w:eastAsia="en-GB"/>
              </w:rPr>
            </w:pPr>
          </w:p>
        </w:tc>
        <w:tc>
          <w:tcPr>
            <w:tcW w:w="799" w:type="pct"/>
            <w:tcBorders>
              <w:top w:val="nil"/>
              <w:left w:val="nil"/>
              <w:bottom w:val="nil"/>
              <w:right w:val="nil"/>
            </w:tcBorders>
            <w:shd w:val="clear" w:color="auto" w:fill="auto"/>
            <w:noWrap/>
            <w:vAlign w:val="bottom"/>
            <w:hideMark/>
          </w:tcPr>
          <w:p w14:paraId="2A943AB2" w14:textId="77777777" w:rsidR="004D1D86" w:rsidRPr="00072B21" w:rsidRDefault="004D1D86" w:rsidP="0079608A">
            <w:pPr>
              <w:spacing w:after="0"/>
              <w:rPr>
                <w:rFonts w:eastAsia="Times New Roman"/>
                <w:lang w:eastAsia="en-GB"/>
              </w:rPr>
            </w:pPr>
          </w:p>
        </w:tc>
      </w:tr>
      <w:tr w:rsidR="004D1D86" w:rsidRPr="00072B21" w14:paraId="25C7FB77" w14:textId="77777777" w:rsidTr="0079608A">
        <w:trPr>
          <w:trHeight w:val="320"/>
        </w:trPr>
        <w:tc>
          <w:tcPr>
            <w:tcW w:w="3254" w:type="pct"/>
            <w:tcBorders>
              <w:top w:val="nil"/>
              <w:left w:val="nil"/>
              <w:bottom w:val="single" w:sz="4" w:space="0" w:color="auto"/>
              <w:right w:val="nil"/>
            </w:tcBorders>
            <w:shd w:val="clear" w:color="auto" w:fill="auto"/>
            <w:noWrap/>
            <w:vAlign w:val="bottom"/>
            <w:hideMark/>
          </w:tcPr>
          <w:p w14:paraId="75F8A80C"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 </w:t>
            </w:r>
          </w:p>
        </w:tc>
        <w:tc>
          <w:tcPr>
            <w:tcW w:w="332" w:type="pct"/>
            <w:tcBorders>
              <w:top w:val="nil"/>
              <w:left w:val="nil"/>
              <w:bottom w:val="single" w:sz="4" w:space="0" w:color="auto"/>
              <w:right w:val="nil"/>
            </w:tcBorders>
            <w:shd w:val="clear" w:color="auto" w:fill="auto"/>
            <w:noWrap/>
            <w:vAlign w:val="bottom"/>
            <w:hideMark/>
          </w:tcPr>
          <w:p w14:paraId="5F53C041"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 </w:t>
            </w:r>
          </w:p>
        </w:tc>
        <w:tc>
          <w:tcPr>
            <w:tcW w:w="615" w:type="pct"/>
            <w:tcBorders>
              <w:top w:val="nil"/>
              <w:left w:val="nil"/>
              <w:bottom w:val="single" w:sz="4" w:space="0" w:color="auto"/>
              <w:right w:val="nil"/>
            </w:tcBorders>
            <w:shd w:val="clear" w:color="auto" w:fill="auto"/>
            <w:noWrap/>
            <w:vAlign w:val="bottom"/>
            <w:hideMark/>
          </w:tcPr>
          <w:p w14:paraId="2B036D09" w14:textId="77777777" w:rsidR="004D1D86" w:rsidRPr="00072B21" w:rsidRDefault="004D1D86" w:rsidP="0079608A">
            <w:pPr>
              <w:spacing w:after="0"/>
              <w:jc w:val="center"/>
              <w:rPr>
                <w:rFonts w:eastAsia="Times New Roman"/>
                <w:b/>
                <w:bCs/>
                <w:color w:val="000000"/>
                <w:lang w:eastAsia="en-GB"/>
              </w:rPr>
            </w:pPr>
            <w:r w:rsidRPr="00072B21">
              <w:rPr>
                <w:rFonts w:eastAsia="Times New Roman"/>
                <w:b/>
                <w:bCs/>
                <w:color w:val="000000"/>
                <w:lang w:eastAsia="en-GB"/>
              </w:rPr>
              <w:t>n</w:t>
            </w:r>
          </w:p>
        </w:tc>
        <w:tc>
          <w:tcPr>
            <w:tcW w:w="799" w:type="pct"/>
            <w:tcBorders>
              <w:top w:val="nil"/>
              <w:left w:val="nil"/>
              <w:bottom w:val="single" w:sz="4" w:space="0" w:color="auto"/>
              <w:right w:val="nil"/>
            </w:tcBorders>
            <w:shd w:val="clear" w:color="auto" w:fill="auto"/>
            <w:noWrap/>
            <w:vAlign w:val="bottom"/>
            <w:hideMark/>
          </w:tcPr>
          <w:p w14:paraId="3D7AA991" w14:textId="77777777" w:rsidR="004D1D86" w:rsidRPr="00072B21" w:rsidRDefault="004D1D86" w:rsidP="0079608A">
            <w:pPr>
              <w:spacing w:after="0"/>
              <w:jc w:val="center"/>
              <w:rPr>
                <w:rFonts w:eastAsia="Times New Roman"/>
                <w:b/>
                <w:bCs/>
                <w:color w:val="000000"/>
                <w:lang w:eastAsia="en-GB"/>
              </w:rPr>
            </w:pPr>
            <w:r w:rsidRPr="00072B21">
              <w:rPr>
                <w:rFonts w:eastAsia="Times New Roman"/>
                <w:b/>
                <w:bCs/>
                <w:color w:val="000000"/>
                <w:lang w:eastAsia="en-GB"/>
              </w:rPr>
              <w:t>%*</w:t>
            </w:r>
          </w:p>
        </w:tc>
      </w:tr>
      <w:tr w:rsidR="004D1D86" w:rsidRPr="00072B21" w14:paraId="28D5AFDA" w14:textId="77777777" w:rsidTr="0079608A">
        <w:trPr>
          <w:trHeight w:val="320"/>
        </w:trPr>
        <w:tc>
          <w:tcPr>
            <w:tcW w:w="3254" w:type="pct"/>
            <w:tcBorders>
              <w:top w:val="nil"/>
              <w:left w:val="nil"/>
              <w:bottom w:val="nil"/>
              <w:right w:val="nil"/>
            </w:tcBorders>
            <w:shd w:val="clear" w:color="auto" w:fill="auto"/>
            <w:noWrap/>
            <w:vAlign w:val="bottom"/>
          </w:tcPr>
          <w:p w14:paraId="0406CB44" w14:textId="77777777" w:rsidR="004D1D86" w:rsidRPr="00072B21" w:rsidRDefault="004D1D86" w:rsidP="0079608A">
            <w:pPr>
              <w:spacing w:after="0"/>
              <w:rPr>
                <w:rFonts w:eastAsia="Times New Roman"/>
                <w:b/>
                <w:bCs/>
                <w:color w:val="000000"/>
                <w:lang w:eastAsia="en-GB"/>
              </w:rPr>
            </w:pPr>
            <w:r w:rsidRPr="00072B21">
              <w:rPr>
                <w:rFonts w:eastAsia="Times New Roman"/>
                <w:b/>
                <w:bCs/>
                <w:color w:val="000000"/>
                <w:lang w:eastAsia="en-GB"/>
              </w:rPr>
              <w:t>Age</w:t>
            </w:r>
          </w:p>
        </w:tc>
        <w:tc>
          <w:tcPr>
            <w:tcW w:w="332" w:type="pct"/>
            <w:tcBorders>
              <w:top w:val="nil"/>
              <w:left w:val="nil"/>
              <w:bottom w:val="nil"/>
              <w:right w:val="nil"/>
            </w:tcBorders>
            <w:shd w:val="clear" w:color="auto" w:fill="auto"/>
            <w:noWrap/>
            <w:vAlign w:val="bottom"/>
          </w:tcPr>
          <w:p w14:paraId="13B0AAAD" w14:textId="77777777" w:rsidR="004D1D86" w:rsidRPr="00072B21" w:rsidRDefault="004D1D86" w:rsidP="0079608A">
            <w:pPr>
              <w:spacing w:after="0"/>
              <w:rPr>
                <w:rFonts w:eastAsia="Times New Roman"/>
                <w:b/>
                <w:bCs/>
                <w:color w:val="000000"/>
                <w:lang w:eastAsia="en-GB"/>
              </w:rPr>
            </w:pPr>
          </w:p>
        </w:tc>
        <w:tc>
          <w:tcPr>
            <w:tcW w:w="615" w:type="pct"/>
            <w:tcBorders>
              <w:top w:val="nil"/>
              <w:left w:val="nil"/>
              <w:bottom w:val="nil"/>
              <w:right w:val="nil"/>
            </w:tcBorders>
            <w:shd w:val="clear" w:color="auto" w:fill="auto"/>
            <w:noWrap/>
            <w:vAlign w:val="bottom"/>
          </w:tcPr>
          <w:p w14:paraId="7B906072" w14:textId="77777777" w:rsidR="004D1D86" w:rsidRPr="00072B21" w:rsidRDefault="004D1D86" w:rsidP="0079608A">
            <w:pPr>
              <w:spacing w:after="0"/>
              <w:rPr>
                <w:rFonts w:eastAsia="Times New Roman"/>
                <w:lang w:eastAsia="en-GB"/>
              </w:rPr>
            </w:pPr>
          </w:p>
        </w:tc>
        <w:tc>
          <w:tcPr>
            <w:tcW w:w="799" w:type="pct"/>
            <w:tcBorders>
              <w:top w:val="nil"/>
              <w:left w:val="nil"/>
              <w:bottom w:val="nil"/>
              <w:right w:val="nil"/>
            </w:tcBorders>
            <w:shd w:val="clear" w:color="auto" w:fill="auto"/>
            <w:noWrap/>
            <w:vAlign w:val="bottom"/>
          </w:tcPr>
          <w:p w14:paraId="6CD0FF0E" w14:textId="77777777" w:rsidR="004D1D86" w:rsidRPr="00072B21" w:rsidRDefault="004D1D86" w:rsidP="0079608A">
            <w:pPr>
              <w:spacing w:after="0"/>
              <w:rPr>
                <w:rFonts w:eastAsia="Times New Roman"/>
                <w:lang w:eastAsia="en-GB"/>
              </w:rPr>
            </w:pPr>
          </w:p>
        </w:tc>
      </w:tr>
      <w:tr w:rsidR="004D1D86" w:rsidRPr="00072B21" w14:paraId="7A1F1269" w14:textId="77777777" w:rsidTr="0079608A">
        <w:trPr>
          <w:trHeight w:val="320"/>
        </w:trPr>
        <w:tc>
          <w:tcPr>
            <w:tcW w:w="3254" w:type="pct"/>
            <w:tcBorders>
              <w:top w:val="nil"/>
              <w:left w:val="nil"/>
              <w:bottom w:val="nil"/>
              <w:right w:val="nil"/>
            </w:tcBorders>
            <w:shd w:val="clear" w:color="auto" w:fill="auto"/>
            <w:noWrap/>
            <w:vAlign w:val="bottom"/>
          </w:tcPr>
          <w:p w14:paraId="28C80A19" w14:textId="77777777" w:rsidR="004D1D86" w:rsidRPr="00072B21" w:rsidRDefault="004D1D86" w:rsidP="0079608A">
            <w:pPr>
              <w:spacing w:after="0"/>
              <w:rPr>
                <w:rFonts w:eastAsia="Times New Roman"/>
                <w:b/>
                <w:bCs/>
                <w:color w:val="000000"/>
                <w:lang w:eastAsia="en-GB"/>
              </w:rPr>
            </w:pPr>
            <w:r w:rsidRPr="00072B21">
              <w:rPr>
                <w:rFonts w:eastAsia="Times New Roman"/>
                <w:color w:val="000000"/>
                <w:lang w:eastAsia="en-GB"/>
              </w:rPr>
              <w:t>19</w:t>
            </w:r>
          </w:p>
        </w:tc>
        <w:tc>
          <w:tcPr>
            <w:tcW w:w="332" w:type="pct"/>
            <w:tcBorders>
              <w:top w:val="nil"/>
              <w:left w:val="nil"/>
              <w:bottom w:val="nil"/>
              <w:right w:val="nil"/>
            </w:tcBorders>
            <w:shd w:val="clear" w:color="auto" w:fill="auto"/>
            <w:noWrap/>
            <w:vAlign w:val="bottom"/>
          </w:tcPr>
          <w:p w14:paraId="1D383B00" w14:textId="77777777" w:rsidR="004D1D86" w:rsidRPr="00072B21" w:rsidRDefault="004D1D86" w:rsidP="0079608A">
            <w:pPr>
              <w:spacing w:after="0"/>
              <w:jc w:val="center"/>
              <w:rPr>
                <w:color w:val="000000"/>
              </w:rPr>
            </w:pPr>
          </w:p>
        </w:tc>
        <w:tc>
          <w:tcPr>
            <w:tcW w:w="615" w:type="pct"/>
            <w:tcBorders>
              <w:top w:val="nil"/>
              <w:left w:val="nil"/>
              <w:bottom w:val="nil"/>
              <w:right w:val="nil"/>
            </w:tcBorders>
            <w:shd w:val="clear" w:color="auto" w:fill="auto"/>
            <w:noWrap/>
            <w:vAlign w:val="bottom"/>
          </w:tcPr>
          <w:p w14:paraId="113C2148" w14:textId="77777777" w:rsidR="004D1D86" w:rsidRPr="00072B21" w:rsidRDefault="004D1D86" w:rsidP="0079608A">
            <w:pPr>
              <w:spacing w:after="0"/>
              <w:jc w:val="center"/>
              <w:rPr>
                <w:color w:val="000000"/>
              </w:rPr>
            </w:pPr>
            <w:r w:rsidRPr="00072B21">
              <w:rPr>
                <w:color w:val="000000"/>
              </w:rPr>
              <w:t>15</w:t>
            </w:r>
          </w:p>
        </w:tc>
        <w:tc>
          <w:tcPr>
            <w:tcW w:w="799" w:type="pct"/>
            <w:tcBorders>
              <w:top w:val="nil"/>
              <w:left w:val="nil"/>
              <w:bottom w:val="nil"/>
              <w:right w:val="nil"/>
            </w:tcBorders>
            <w:shd w:val="clear" w:color="auto" w:fill="auto"/>
            <w:noWrap/>
            <w:vAlign w:val="bottom"/>
          </w:tcPr>
          <w:p w14:paraId="4AD57610" w14:textId="77777777" w:rsidR="004D1D86" w:rsidRPr="00072B21" w:rsidRDefault="004D1D86" w:rsidP="0079608A">
            <w:pPr>
              <w:spacing w:after="0"/>
              <w:jc w:val="center"/>
              <w:rPr>
                <w:color w:val="000000"/>
              </w:rPr>
            </w:pPr>
            <w:r w:rsidRPr="00072B21">
              <w:rPr>
                <w:color w:val="000000"/>
              </w:rPr>
              <w:t>41%</w:t>
            </w:r>
          </w:p>
        </w:tc>
      </w:tr>
      <w:tr w:rsidR="004D1D86" w:rsidRPr="00072B21" w14:paraId="688D9862" w14:textId="77777777" w:rsidTr="0079608A">
        <w:trPr>
          <w:trHeight w:val="320"/>
        </w:trPr>
        <w:tc>
          <w:tcPr>
            <w:tcW w:w="3254" w:type="pct"/>
            <w:tcBorders>
              <w:top w:val="nil"/>
              <w:left w:val="nil"/>
              <w:bottom w:val="nil"/>
              <w:right w:val="nil"/>
            </w:tcBorders>
            <w:shd w:val="clear" w:color="auto" w:fill="auto"/>
            <w:noWrap/>
            <w:vAlign w:val="bottom"/>
          </w:tcPr>
          <w:p w14:paraId="151234BE" w14:textId="77777777" w:rsidR="004D1D86" w:rsidRPr="00072B21" w:rsidRDefault="004D1D86" w:rsidP="0079608A">
            <w:pPr>
              <w:spacing w:after="0"/>
              <w:rPr>
                <w:rFonts w:eastAsia="Times New Roman"/>
                <w:b/>
                <w:bCs/>
                <w:color w:val="000000"/>
                <w:lang w:eastAsia="en-GB"/>
              </w:rPr>
            </w:pPr>
            <w:r w:rsidRPr="00072B21">
              <w:rPr>
                <w:rFonts w:eastAsia="Times New Roman"/>
                <w:color w:val="000000"/>
                <w:lang w:eastAsia="en-GB"/>
              </w:rPr>
              <w:t>18</w:t>
            </w:r>
          </w:p>
        </w:tc>
        <w:tc>
          <w:tcPr>
            <w:tcW w:w="332" w:type="pct"/>
            <w:tcBorders>
              <w:top w:val="nil"/>
              <w:left w:val="nil"/>
              <w:bottom w:val="nil"/>
              <w:right w:val="nil"/>
            </w:tcBorders>
            <w:shd w:val="clear" w:color="auto" w:fill="auto"/>
            <w:noWrap/>
            <w:vAlign w:val="bottom"/>
          </w:tcPr>
          <w:p w14:paraId="767E1464" w14:textId="77777777" w:rsidR="004D1D86" w:rsidRPr="00072B21" w:rsidRDefault="004D1D86" w:rsidP="0079608A">
            <w:pPr>
              <w:spacing w:after="0"/>
              <w:jc w:val="center"/>
              <w:rPr>
                <w:color w:val="000000"/>
              </w:rPr>
            </w:pPr>
          </w:p>
        </w:tc>
        <w:tc>
          <w:tcPr>
            <w:tcW w:w="615" w:type="pct"/>
            <w:tcBorders>
              <w:top w:val="nil"/>
              <w:left w:val="nil"/>
              <w:bottom w:val="nil"/>
              <w:right w:val="nil"/>
            </w:tcBorders>
            <w:shd w:val="clear" w:color="auto" w:fill="auto"/>
            <w:noWrap/>
            <w:vAlign w:val="bottom"/>
          </w:tcPr>
          <w:p w14:paraId="5DE14972" w14:textId="77777777" w:rsidR="004D1D86" w:rsidRPr="00072B21" w:rsidRDefault="004D1D86" w:rsidP="0079608A">
            <w:pPr>
              <w:spacing w:after="0"/>
              <w:jc w:val="center"/>
              <w:rPr>
                <w:color w:val="000000"/>
              </w:rPr>
            </w:pPr>
            <w:r w:rsidRPr="00072B21">
              <w:rPr>
                <w:color w:val="000000"/>
              </w:rPr>
              <w:t>13</w:t>
            </w:r>
          </w:p>
        </w:tc>
        <w:tc>
          <w:tcPr>
            <w:tcW w:w="799" w:type="pct"/>
            <w:tcBorders>
              <w:top w:val="nil"/>
              <w:left w:val="nil"/>
              <w:bottom w:val="nil"/>
              <w:right w:val="nil"/>
            </w:tcBorders>
            <w:shd w:val="clear" w:color="auto" w:fill="auto"/>
            <w:noWrap/>
            <w:vAlign w:val="bottom"/>
          </w:tcPr>
          <w:p w14:paraId="26CB83D7" w14:textId="77777777" w:rsidR="004D1D86" w:rsidRPr="00072B21" w:rsidRDefault="004D1D86" w:rsidP="0079608A">
            <w:pPr>
              <w:spacing w:after="0"/>
              <w:jc w:val="center"/>
              <w:rPr>
                <w:color w:val="000000"/>
              </w:rPr>
            </w:pPr>
            <w:r w:rsidRPr="00072B21">
              <w:rPr>
                <w:color w:val="000000"/>
              </w:rPr>
              <w:t>35%</w:t>
            </w:r>
          </w:p>
        </w:tc>
      </w:tr>
      <w:tr w:rsidR="004D1D86" w:rsidRPr="00072B21" w14:paraId="76C752B8" w14:textId="77777777" w:rsidTr="0079608A">
        <w:trPr>
          <w:trHeight w:val="320"/>
        </w:trPr>
        <w:tc>
          <w:tcPr>
            <w:tcW w:w="3254" w:type="pct"/>
            <w:tcBorders>
              <w:top w:val="nil"/>
              <w:left w:val="nil"/>
              <w:bottom w:val="nil"/>
              <w:right w:val="nil"/>
            </w:tcBorders>
            <w:shd w:val="clear" w:color="auto" w:fill="auto"/>
            <w:noWrap/>
            <w:vAlign w:val="bottom"/>
          </w:tcPr>
          <w:p w14:paraId="1B1BDA2B" w14:textId="77777777" w:rsidR="004D1D86" w:rsidRPr="00072B21" w:rsidRDefault="004D1D86" w:rsidP="0079608A">
            <w:pPr>
              <w:spacing w:after="0"/>
              <w:rPr>
                <w:rFonts w:eastAsia="Times New Roman"/>
                <w:b/>
                <w:bCs/>
                <w:color w:val="000000"/>
                <w:lang w:eastAsia="en-GB"/>
              </w:rPr>
            </w:pPr>
            <w:r w:rsidRPr="00072B21">
              <w:rPr>
                <w:rFonts w:eastAsia="Times New Roman"/>
                <w:color w:val="000000"/>
                <w:lang w:eastAsia="en-GB"/>
              </w:rPr>
              <w:t>20</w:t>
            </w:r>
          </w:p>
        </w:tc>
        <w:tc>
          <w:tcPr>
            <w:tcW w:w="332" w:type="pct"/>
            <w:tcBorders>
              <w:top w:val="nil"/>
              <w:left w:val="nil"/>
              <w:bottom w:val="nil"/>
              <w:right w:val="nil"/>
            </w:tcBorders>
            <w:shd w:val="clear" w:color="auto" w:fill="auto"/>
            <w:noWrap/>
            <w:vAlign w:val="bottom"/>
          </w:tcPr>
          <w:p w14:paraId="168D730C" w14:textId="77777777" w:rsidR="004D1D86" w:rsidRPr="00072B21" w:rsidRDefault="004D1D86" w:rsidP="0079608A">
            <w:pPr>
              <w:spacing w:after="0"/>
              <w:jc w:val="center"/>
              <w:rPr>
                <w:color w:val="000000"/>
              </w:rPr>
            </w:pPr>
          </w:p>
        </w:tc>
        <w:tc>
          <w:tcPr>
            <w:tcW w:w="615" w:type="pct"/>
            <w:tcBorders>
              <w:top w:val="nil"/>
              <w:left w:val="nil"/>
              <w:bottom w:val="nil"/>
              <w:right w:val="nil"/>
            </w:tcBorders>
            <w:shd w:val="clear" w:color="auto" w:fill="auto"/>
            <w:noWrap/>
            <w:vAlign w:val="bottom"/>
          </w:tcPr>
          <w:p w14:paraId="4B835B84" w14:textId="77777777" w:rsidR="004D1D86" w:rsidRPr="00072B21" w:rsidRDefault="004D1D86" w:rsidP="0079608A">
            <w:pPr>
              <w:spacing w:after="0"/>
              <w:jc w:val="center"/>
              <w:rPr>
                <w:color w:val="000000"/>
              </w:rPr>
            </w:pPr>
            <w:r w:rsidRPr="00072B21">
              <w:rPr>
                <w:color w:val="000000"/>
              </w:rPr>
              <w:t>7</w:t>
            </w:r>
          </w:p>
        </w:tc>
        <w:tc>
          <w:tcPr>
            <w:tcW w:w="799" w:type="pct"/>
            <w:tcBorders>
              <w:top w:val="nil"/>
              <w:left w:val="nil"/>
              <w:bottom w:val="nil"/>
              <w:right w:val="nil"/>
            </w:tcBorders>
            <w:shd w:val="clear" w:color="auto" w:fill="auto"/>
            <w:noWrap/>
            <w:vAlign w:val="bottom"/>
          </w:tcPr>
          <w:p w14:paraId="095AADB9" w14:textId="77777777" w:rsidR="004D1D86" w:rsidRPr="00072B21" w:rsidRDefault="004D1D86" w:rsidP="0079608A">
            <w:pPr>
              <w:spacing w:after="0"/>
              <w:jc w:val="center"/>
              <w:rPr>
                <w:color w:val="000000"/>
              </w:rPr>
            </w:pPr>
            <w:r w:rsidRPr="00072B21">
              <w:rPr>
                <w:color w:val="000000"/>
              </w:rPr>
              <w:t>19%</w:t>
            </w:r>
          </w:p>
        </w:tc>
      </w:tr>
      <w:tr w:rsidR="004D1D86" w:rsidRPr="00072B21" w14:paraId="2C7775BD" w14:textId="77777777" w:rsidTr="0079608A">
        <w:trPr>
          <w:trHeight w:val="320"/>
        </w:trPr>
        <w:tc>
          <w:tcPr>
            <w:tcW w:w="3254" w:type="pct"/>
            <w:tcBorders>
              <w:top w:val="nil"/>
              <w:left w:val="nil"/>
              <w:bottom w:val="nil"/>
              <w:right w:val="nil"/>
            </w:tcBorders>
            <w:shd w:val="clear" w:color="auto" w:fill="auto"/>
            <w:noWrap/>
            <w:vAlign w:val="bottom"/>
          </w:tcPr>
          <w:p w14:paraId="57BD45BE" w14:textId="77777777" w:rsidR="004D1D86" w:rsidRPr="00072B21" w:rsidRDefault="004D1D86" w:rsidP="0079608A">
            <w:pPr>
              <w:spacing w:after="0"/>
              <w:rPr>
                <w:rFonts w:eastAsia="Times New Roman"/>
                <w:b/>
                <w:bCs/>
                <w:color w:val="000000"/>
                <w:lang w:eastAsia="en-GB"/>
              </w:rPr>
            </w:pPr>
            <w:r w:rsidRPr="00072B21">
              <w:rPr>
                <w:rFonts w:eastAsia="Times New Roman"/>
                <w:color w:val="000000"/>
                <w:lang w:eastAsia="en-GB"/>
              </w:rPr>
              <w:t>21</w:t>
            </w:r>
          </w:p>
        </w:tc>
        <w:tc>
          <w:tcPr>
            <w:tcW w:w="332" w:type="pct"/>
            <w:tcBorders>
              <w:top w:val="nil"/>
              <w:left w:val="nil"/>
              <w:bottom w:val="nil"/>
              <w:right w:val="nil"/>
            </w:tcBorders>
            <w:shd w:val="clear" w:color="auto" w:fill="auto"/>
            <w:noWrap/>
            <w:vAlign w:val="bottom"/>
          </w:tcPr>
          <w:p w14:paraId="13296F41" w14:textId="77777777" w:rsidR="004D1D86" w:rsidRPr="00072B21" w:rsidRDefault="004D1D86" w:rsidP="0079608A">
            <w:pPr>
              <w:spacing w:after="0"/>
              <w:jc w:val="center"/>
              <w:rPr>
                <w:color w:val="000000"/>
              </w:rPr>
            </w:pPr>
          </w:p>
        </w:tc>
        <w:tc>
          <w:tcPr>
            <w:tcW w:w="615" w:type="pct"/>
            <w:tcBorders>
              <w:top w:val="nil"/>
              <w:left w:val="nil"/>
              <w:bottom w:val="nil"/>
              <w:right w:val="nil"/>
            </w:tcBorders>
            <w:shd w:val="clear" w:color="auto" w:fill="auto"/>
            <w:noWrap/>
            <w:vAlign w:val="bottom"/>
          </w:tcPr>
          <w:p w14:paraId="379DD34D" w14:textId="77777777" w:rsidR="004D1D86" w:rsidRPr="00072B21" w:rsidRDefault="004D1D86" w:rsidP="0079608A">
            <w:pPr>
              <w:spacing w:after="0"/>
              <w:jc w:val="center"/>
              <w:rPr>
                <w:color w:val="000000"/>
              </w:rPr>
            </w:pPr>
            <w:r w:rsidRPr="00072B21">
              <w:rPr>
                <w:color w:val="000000"/>
              </w:rPr>
              <w:t>2</w:t>
            </w:r>
          </w:p>
        </w:tc>
        <w:tc>
          <w:tcPr>
            <w:tcW w:w="799" w:type="pct"/>
            <w:tcBorders>
              <w:top w:val="nil"/>
              <w:left w:val="nil"/>
              <w:bottom w:val="nil"/>
              <w:right w:val="nil"/>
            </w:tcBorders>
            <w:shd w:val="clear" w:color="auto" w:fill="auto"/>
            <w:noWrap/>
            <w:vAlign w:val="bottom"/>
          </w:tcPr>
          <w:p w14:paraId="3CBFFDC6" w14:textId="77777777" w:rsidR="004D1D86" w:rsidRPr="00072B21" w:rsidRDefault="004D1D86" w:rsidP="0079608A">
            <w:pPr>
              <w:spacing w:after="0"/>
              <w:jc w:val="center"/>
              <w:rPr>
                <w:color w:val="000000"/>
              </w:rPr>
            </w:pPr>
            <w:r w:rsidRPr="00072B21">
              <w:rPr>
                <w:color w:val="000000"/>
              </w:rPr>
              <w:t>5%</w:t>
            </w:r>
          </w:p>
        </w:tc>
      </w:tr>
      <w:tr w:rsidR="004D1D86" w:rsidRPr="00072B21" w14:paraId="35E22F56" w14:textId="77777777" w:rsidTr="0079608A">
        <w:trPr>
          <w:trHeight w:val="320"/>
        </w:trPr>
        <w:tc>
          <w:tcPr>
            <w:tcW w:w="3254" w:type="pct"/>
            <w:tcBorders>
              <w:top w:val="nil"/>
              <w:left w:val="nil"/>
              <w:bottom w:val="nil"/>
              <w:right w:val="nil"/>
            </w:tcBorders>
            <w:shd w:val="clear" w:color="auto" w:fill="auto"/>
            <w:noWrap/>
            <w:vAlign w:val="bottom"/>
          </w:tcPr>
          <w:p w14:paraId="7DECA135" w14:textId="77777777" w:rsidR="004D1D86" w:rsidRPr="00072B21" w:rsidRDefault="004D1D86" w:rsidP="0079608A">
            <w:pPr>
              <w:spacing w:after="0"/>
              <w:rPr>
                <w:rFonts w:eastAsia="Times New Roman"/>
                <w:b/>
                <w:bCs/>
                <w:color w:val="000000"/>
                <w:lang w:eastAsia="en-GB"/>
              </w:rPr>
            </w:pPr>
          </w:p>
        </w:tc>
        <w:tc>
          <w:tcPr>
            <w:tcW w:w="332" w:type="pct"/>
            <w:tcBorders>
              <w:top w:val="nil"/>
              <w:left w:val="nil"/>
              <w:bottom w:val="nil"/>
              <w:right w:val="nil"/>
            </w:tcBorders>
            <w:shd w:val="clear" w:color="auto" w:fill="auto"/>
            <w:noWrap/>
            <w:vAlign w:val="bottom"/>
          </w:tcPr>
          <w:p w14:paraId="79F16E61" w14:textId="77777777" w:rsidR="004D1D86" w:rsidRPr="00072B21" w:rsidRDefault="004D1D86" w:rsidP="0079608A">
            <w:pPr>
              <w:spacing w:after="0"/>
              <w:rPr>
                <w:rFonts w:eastAsia="Times New Roman"/>
                <w:b/>
                <w:bCs/>
                <w:color w:val="000000"/>
                <w:lang w:eastAsia="en-GB"/>
              </w:rPr>
            </w:pPr>
          </w:p>
        </w:tc>
        <w:tc>
          <w:tcPr>
            <w:tcW w:w="615" w:type="pct"/>
            <w:tcBorders>
              <w:top w:val="nil"/>
              <w:left w:val="nil"/>
              <w:bottom w:val="nil"/>
              <w:right w:val="nil"/>
            </w:tcBorders>
            <w:shd w:val="clear" w:color="auto" w:fill="auto"/>
            <w:noWrap/>
            <w:vAlign w:val="bottom"/>
          </w:tcPr>
          <w:p w14:paraId="3E247075" w14:textId="77777777" w:rsidR="004D1D86" w:rsidRPr="00072B21" w:rsidRDefault="004D1D86" w:rsidP="0079608A">
            <w:pPr>
              <w:spacing w:after="0"/>
              <w:rPr>
                <w:rFonts w:eastAsia="Times New Roman"/>
                <w:lang w:eastAsia="en-GB"/>
              </w:rPr>
            </w:pPr>
          </w:p>
        </w:tc>
        <w:tc>
          <w:tcPr>
            <w:tcW w:w="799" w:type="pct"/>
            <w:tcBorders>
              <w:top w:val="nil"/>
              <w:left w:val="nil"/>
              <w:bottom w:val="nil"/>
              <w:right w:val="nil"/>
            </w:tcBorders>
            <w:shd w:val="clear" w:color="auto" w:fill="auto"/>
            <w:noWrap/>
            <w:vAlign w:val="bottom"/>
          </w:tcPr>
          <w:p w14:paraId="16FAFDAA" w14:textId="77777777" w:rsidR="004D1D86" w:rsidRPr="00072B21" w:rsidRDefault="004D1D86" w:rsidP="0079608A">
            <w:pPr>
              <w:spacing w:after="0"/>
              <w:rPr>
                <w:rFonts w:eastAsia="Times New Roman"/>
                <w:lang w:eastAsia="en-GB"/>
              </w:rPr>
            </w:pPr>
          </w:p>
        </w:tc>
      </w:tr>
      <w:tr w:rsidR="004D1D86" w:rsidRPr="00072B21" w14:paraId="5E98285C" w14:textId="77777777" w:rsidTr="0079608A">
        <w:trPr>
          <w:trHeight w:val="320"/>
        </w:trPr>
        <w:tc>
          <w:tcPr>
            <w:tcW w:w="3254" w:type="pct"/>
            <w:tcBorders>
              <w:top w:val="nil"/>
              <w:left w:val="nil"/>
              <w:bottom w:val="nil"/>
              <w:right w:val="nil"/>
            </w:tcBorders>
            <w:shd w:val="clear" w:color="auto" w:fill="auto"/>
            <w:noWrap/>
            <w:vAlign w:val="bottom"/>
            <w:hideMark/>
          </w:tcPr>
          <w:p w14:paraId="413EC225" w14:textId="77777777" w:rsidR="004D1D86" w:rsidRPr="00072B21" w:rsidRDefault="004D1D86" w:rsidP="0079608A">
            <w:pPr>
              <w:spacing w:after="0"/>
              <w:rPr>
                <w:rFonts w:eastAsia="Times New Roman"/>
                <w:b/>
                <w:bCs/>
                <w:color w:val="000000"/>
                <w:lang w:eastAsia="en-GB"/>
              </w:rPr>
            </w:pPr>
            <w:r w:rsidRPr="00072B21">
              <w:rPr>
                <w:rFonts w:eastAsia="Times New Roman"/>
                <w:b/>
                <w:bCs/>
                <w:color w:val="000000"/>
                <w:lang w:eastAsia="en-GB"/>
              </w:rPr>
              <w:t>Assigned sex at birth</w:t>
            </w:r>
          </w:p>
        </w:tc>
        <w:tc>
          <w:tcPr>
            <w:tcW w:w="332" w:type="pct"/>
            <w:tcBorders>
              <w:top w:val="nil"/>
              <w:left w:val="nil"/>
              <w:bottom w:val="nil"/>
              <w:right w:val="nil"/>
            </w:tcBorders>
            <w:shd w:val="clear" w:color="auto" w:fill="auto"/>
            <w:noWrap/>
            <w:vAlign w:val="bottom"/>
            <w:hideMark/>
          </w:tcPr>
          <w:p w14:paraId="1FAADF5C" w14:textId="77777777" w:rsidR="004D1D86" w:rsidRPr="00072B21" w:rsidRDefault="004D1D86" w:rsidP="0079608A">
            <w:pPr>
              <w:spacing w:after="0"/>
              <w:rPr>
                <w:rFonts w:eastAsia="Times New Roman"/>
                <w:b/>
                <w:bCs/>
                <w:color w:val="000000"/>
                <w:lang w:eastAsia="en-GB"/>
              </w:rPr>
            </w:pPr>
          </w:p>
        </w:tc>
        <w:tc>
          <w:tcPr>
            <w:tcW w:w="615" w:type="pct"/>
            <w:tcBorders>
              <w:top w:val="nil"/>
              <w:left w:val="nil"/>
              <w:bottom w:val="nil"/>
              <w:right w:val="nil"/>
            </w:tcBorders>
            <w:shd w:val="clear" w:color="auto" w:fill="auto"/>
            <w:noWrap/>
            <w:vAlign w:val="bottom"/>
            <w:hideMark/>
          </w:tcPr>
          <w:p w14:paraId="79477EB2" w14:textId="77777777" w:rsidR="004D1D86" w:rsidRPr="00072B21" w:rsidRDefault="004D1D86" w:rsidP="0079608A">
            <w:pPr>
              <w:spacing w:after="0"/>
              <w:rPr>
                <w:rFonts w:eastAsia="Times New Roman"/>
                <w:lang w:eastAsia="en-GB"/>
              </w:rPr>
            </w:pPr>
          </w:p>
        </w:tc>
        <w:tc>
          <w:tcPr>
            <w:tcW w:w="799" w:type="pct"/>
            <w:tcBorders>
              <w:top w:val="nil"/>
              <w:left w:val="nil"/>
              <w:bottom w:val="nil"/>
              <w:right w:val="nil"/>
            </w:tcBorders>
            <w:shd w:val="clear" w:color="auto" w:fill="auto"/>
            <w:noWrap/>
            <w:vAlign w:val="bottom"/>
            <w:hideMark/>
          </w:tcPr>
          <w:p w14:paraId="46D46E4C" w14:textId="77777777" w:rsidR="004D1D86" w:rsidRPr="00072B21" w:rsidRDefault="004D1D86" w:rsidP="0079608A">
            <w:pPr>
              <w:spacing w:after="0"/>
              <w:rPr>
                <w:rFonts w:eastAsia="Times New Roman"/>
                <w:lang w:eastAsia="en-GB"/>
              </w:rPr>
            </w:pPr>
          </w:p>
        </w:tc>
      </w:tr>
      <w:tr w:rsidR="004D1D86" w:rsidRPr="00072B21" w14:paraId="06175C65" w14:textId="77777777" w:rsidTr="0079608A">
        <w:trPr>
          <w:trHeight w:val="320"/>
        </w:trPr>
        <w:tc>
          <w:tcPr>
            <w:tcW w:w="3254" w:type="pct"/>
            <w:tcBorders>
              <w:top w:val="nil"/>
              <w:left w:val="nil"/>
              <w:bottom w:val="nil"/>
              <w:right w:val="nil"/>
            </w:tcBorders>
            <w:shd w:val="clear" w:color="auto" w:fill="auto"/>
            <w:noWrap/>
            <w:vAlign w:val="bottom"/>
            <w:hideMark/>
          </w:tcPr>
          <w:p w14:paraId="0E512798"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Male</w:t>
            </w:r>
          </w:p>
        </w:tc>
        <w:tc>
          <w:tcPr>
            <w:tcW w:w="332" w:type="pct"/>
            <w:tcBorders>
              <w:top w:val="nil"/>
              <w:left w:val="nil"/>
              <w:bottom w:val="nil"/>
              <w:right w:val="nil"/>
            </w:tcBorders>
            <w:shd w:val="clear" w:color="auto" w:fill="auto"/>
            <w:noWrap/>
            <w:vAlign w:val="bottom"/>
            <w:hideMark/>
          </w:tcPr>
          <w:p w14:paraId="5A68A159"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B02B6D5" w14:textId="77777777" w:rsidR="004D1D86" w:rsidRPr="00072B21" w:rsidRDefault="004D1D86" w:rsidP="0079608A">
            <w:pPr>
              <w:spacing w:after="0"/>
              <w:jc w:val="center"/>
              <w:rPr>
                <w:rFonts w:eastAsia="Times New Roman"/>
                <w:color w:val="000000"/>
                <w:lang w:eastAsia="en-GB"/>
              </w:rPr>
            </w:pPr>
            <w:r w:rsidRPr="00072B21">
              <w:rPr>
                <w:color w:val="000000"/>
              </w:rPr>
              <w:t>19</w:t>
            </w:r>
          </w:p>
        </w:tc>
        <w:tc>
          <w:tcPr>
            <w:tcW w:w="799" w:type="pct"/>
            <w:tcBorders>
              <w:top w:val="nil"/>
              <w:left w:val="nil"/>
              <w:bottom w:val="nil"/>
              <w:right w:val="nil"/>
            </w:tcBorders>
            <w:shd w:val="clear" w:color="auto" w:fill="auto"/>
            <w:noWrap/>
            <w:vAlign w:val="bottom"/>
          </w:tcPr>
          <w:p w14:paraId="322D11F9" w14:textId="77777777" w:rsidR="004D1D86" w:rsidRPr="00072B21" w:rsidRDefault="004D1D86" w:rsidP="0079608A">
            <w:pPr>
              <w:spacing w:after="0"/>
              <w:jc w:val="center"/>
              <w:rPr>
                <w:rFonts w:eastAsia="Times New Roman"/>
                <w:color w:val="000000"/>
                <w:lang w:eastAsia="en-GB"/>
              </w:rPr>
            </w:pPr>
            <w:r w:rsidRPr="00072B21">
              <w:rPr>
                <w:color w:val="000000"/>
              </w:rPr>
              <w:t>51%</w:t>
            </w:r>
          </w:p>
        </w:tc>
      </w:tr>
      <w:tr w:rsidR="004D1D86" w:rsidRPr="00072B21" w14:paraId="01E55C02" w14:textId="77777777" w:rsidTr="0079608A">
        <w:trPr>
          <w:trHeight w:val="320"/>
        </w:trPr>
        <w:tc>
          <w:tcPr>
            <w:tcW w:w="3254" w:type="pct"/>
            <w:tcBorders>
              <w:top w:val="nil"/>
              <w:left w:val="nil"/>
              <w:bottom w:val="nil"/>
              <w:right w:val="nil"/>
            </w:tcBorders>
            <w:shd w:val="clear" w:color="auto" w:fill="auto"/>
            <w:noWrap/>
            <w:vAlign w:val="bottom"/>
            <w:hideMark/>
          </w:tcPr>
          <w:p w14:paraId="4940477D"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Female</w:t>
            </w:r>
          </w:p>
        </w:tc>
        <w:tc>
          <w:tcPr>
            <w:tcW w:w="332" w:type="pct"/>
            <w:tcBorders>
              <w:top w:val="nil"/>
              <w:left w:val="nil"/>
              <w:bottom w:val="nil"/>
              <w:right w:val="nil"/>
            </w:tcBorders>
            <w:shd w:val="clear" w:color="auto" w:fill="auto"/>
            <w:noWrap/>
            <w:vAlign w:val="bottom"/>
            <w:hideMark/>
          </w:tcPr>
          <w:p w14:paraId="4203541C"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14BE9DE0" w14:textId="77777777" w:rsidR="004D1D86" w:rsidRPr="00072B21" w:rsidRDefault="004D1D86" w:rsidP="0079608A">
            <w:pPr>
              <w:spacing w:after="0"/>
              <w:jc w:val="center"/>
              <w:rPr>
                <w:rFonts w:eastAsia="Times New Roman"/>
                <w:color w:val="000000"/>
                <w:lang w:eastAsia="en-GB"/>
              </w:rPr>
            </w:pPr>
            <w:r w:rsidRPr="00072B21">
              <w:rPr>
                <w:color w:val="000000"/>
              </w:rPr>
              <w:t>18</w:t>
            </w:r>
          </w:p>
        </w:tc>
        <w:tc>
          <w:tcPr>
            <w:tcW w:w="799" w:type="pct"/>
            <w:tcBorders>
              <w:top w:val="nil"/>
              <w:left w:val="nil"/>
              <w:bottom w:val="nil"/>
              <w:right w:val="nil"/>
            </w:tcBorders>
            <w:shd w:val="clear" w:color="auto" w:fill="auto"/>
            <w:noWrap/>
            <w:vAlign w:val="bottom"/>
          </w:tcPr>
          <w:p w14:paraId="6FBB5CD5" w14:textId="77777777" w:rsidR="004D1D86" w:rsidRPr="00072B21" w:rsidRDefault="004D1D86" w:rsidP="0079608A">
            <w:pPr>
              <w:spacing w:after="0"/>
              <w:jc w:val="center"/>
              <w:rPr>
                <w:rFonts w:eastAsia="Times New Roman"/>
                <w:color w:val="000000"/>
                <w:lang w:eastAsia="en-GB"/>
              </w:rPr>
            </w:pPr>
            <w:r w:rsidRPr="00072B21">
              <w:rPr>
                <w:color w:val="000000"/>
              </w:rPr>
              <w:t>49%</w:t>
            </w:r>
          </w:p>
        </w:tc>
      </w:tr>
      <w:tr w:rsidR="004D1D86" w:rsidRPr="00072B21" w14:paraId="62898C99" w14:textId="77777777" w:rsidTr="0079608A">
        <w:trPr>
          <w:trHeight w:val="320"/>
        </w:trPr>
        <w:tc>
          <w:tcPr>
            <w:tcW w:w="3254" w:type="pct"/>
            <w:tcBorders>
              <w:top w:val="nil"/>
              <w:left w:val="nil"/>
              <w:bottom w:val="nil"/>
              <w:right w:val="nil"/>
            </w:tcBorders>
            <w:shd w:val="clear" w:color="auto" w:fill="auto"/>
            <w:noWrap/>
            <w:vAlign w:val="bottom"/>
          </w:tcPr>
          <w:p w14:paraId="57075952"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4FFA7927"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706C042"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390A7DD1" w14:textId="77777777" w:rsidR="004D1D86" w:rsidRPr="00072B21" w:rsidRDefault="004D1D86" w:rsidP="0079608A">
            <w:pPr>
              <w:spacing w:after="0"/>
              <w:jc w:val="center"/>
              <w:rPr>
                <w:rFonts w:eastAsia="Times New Roman"/>
                <w:color w:val="000000"/>
                <w:lang w:eastAsia="en-GB"/>
              </w:rPr>
            </w:pPr>
          </w:p>
        </w:tc>
      </w:tr>
      <w:tr w:rsidR="004D1D86" w:rsidRPr="00072B21" w14:paraId="2DA821A8" w14:textId="77777777" w:rsidTr="0079608A">
        <w:trPr>
          <w:trHeight w:val="320"/>
        </w:trPr>
        <w:tc>
          <w:tcPr>
            <w:tcW w:w="3254" w:type="pct"/>
            <w:tcBorders>
              <w:top w:val="nil"/>
              <w:left w:val="nil"/>
              <w:bottom w:val="nil"/>
              <w:right w:val="nil"/>
            </w:tcBorders>
            <w:shd w:val="clear" w:color="auto" w:fill="auto"/>
            <w:noWrap/>
            <w:vAlign w:val="bottom"/>
          </w:tcPr>
          <w:p w14:paraId="51E3A2F9"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Completed education</w:t>
            </w:r>
          </w:p>
        </w:tc>
        <w:tc>
          <w:tcPr>
            <w:tcW w:w="332" w:type="pct"/>
            <w:tcBorders>
              <w:top w:val="nil"/>
              <w:left w:val="nil"/>
              <w:bottom w:val="nil"/>
              <w:right w:val="nil"/>
            </w:tcBorders>
            <w:shd w:val="clear" w:color="auto" w:fill="auto"/>
            <w:noWrap/>
            <w:vAlign w:val="bottom"/>
          </w:tcPr>
          <w:p w14:paraId="24EFF8AF"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5241D54"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7585EB7D" w14:textId="77777777" w:rsidR="004D1D86" w:rsidRPr="00072B21" w:rsidRDefault="004D1D86" w:rsidP="0079608A">
            <w:pPr>
              <w:spacing w:after="0"/>
              <w:jc w:val="center"/>
              <w:rPr>
                <w:rFonts w:eastAsia="Times New Roman"/>
                <w:color w:val="000000"/>
                <w:lang w:eastAsia="en-GB"/>
              </w:rPr>
            </w:pPr>
          </w:p>
        </w:tc>
      </w:tr>
      <w:tr w:rsidR="004D1D86" w:rsidRPr="00072B21" w14:paraId="256B4D14" w14:textId="77777777" w:rsidTr="0079608A">
        <w:trPr>
          <w:trHeight w:val="320"/>
        </w:trPr>
        <w:tc>
          <w:tcPr>
            <w:tcW w:w="3254" w:type="pct"/>
            <w:tcBorders>
              <w:top w:val="nil"/>
              <w:left w:val="nil"/>
              <w:bottom w:val="nil"/>
              <w:right w:val="nil"/>
            </w:tcBorders>
            <w:shd w:val="clear" w:color="auto" w:fill="auto"/>
            <w:noWrap/>
            <w:vAlign w:val="bottom"/>
          </w:tcPr>
          <w:p w14:paraId="261FFEA1"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Secondary school</w:t>
            </w:r>
          </w:p>
        </w:tc>
        <w:tc>
          <w:tcPr>
            <w:tcW w:w="332" w:type="pct"/>
            <w:tcBorders>
              <w:top w:val="nil"/>
              <w:left w:val="nil"/>
              <w:bottom w:val="nil"/>
              <w:right w:val="nil"/>
            </w:tcBorders>
            <w:shd w:val="clear" w:color="auto" w:fill="auto"/>
            <w:noWrap/>
            <w:vAlign w:val="bottom"/>
          </w:tcPr>
          <w:p w14:paraId="34781CBD"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EF3459D" w14:textId="77777777" w:rsidR="004D1D86" w:rsidRPr="00072B21" w:rsidRDefault="004D1D86" w:rsidP="0079608A">
            <w:pPr>
              <w:spacing w:after="0"/>
              <w:jc w:val="center"/>
              <w:rPr>
                <w:rFonts w:eastAsia="Times New Roman"/>
                <w:color w:val="000000"/>
                <w:lang w:eastAsia="en-GB"/>
              </w:rPr>
            </w:pPr>
            <w:r w:rsidRPr="00072B21">
              <w:rPr>
                <w:color w:val="000000"/>
              </w:rPr>
              <w:t>33</w:t>
            </w:r>
          </w:p>
        </w:tc>
        <w:tc>
          <w:tcPr>
            <w:tcW w:w="799" w:type="pct"/>
            <w:tcBorders>
              <w:top w:val="nil"/>
              <w:left w:val="nil"/>
              <w:bottom w:val="nil"/>
              <w:right w:val="nil"/>
            </w:tcBorders>
            <w:shd w:val="clear" w:color="auto" w:fill="auto"/>
            <w:noWrap/>
            <w:vAlign w:val="bottom"/>
          </w:tcPr>
          <w:p w14:paraId="55C298C3" w14:textId="77777777" w:rsidR="004D1D86" w:rsidRPr="00072B21" w:rsidRDefault="004D1D86" w:rsidP="0079608A">
            <w:pPr>
              <w:spacing w:after="0"/>
              <w:jc w:val="center"/>
              <w:rPr>
                <w:rFonts w:eastAsia="Times New Roman"/>
                <w:color w:val="000000"/>
                <w:lang w:eastAsia="en-GB"/>
              </w:rPr>
            </w:pPr>
            <w:r w:rsidRPr="00072B21">
              <w:rPr>
                <w:color w:val="000000"/>
              </w:rPr>
              <w:t>89%</w:t>
            </w:r>
          </w:p>
        </w:tc>
      </w:tr>
      <w:tr w:rsidR="004D1D86" w:rsidRPr="00072B21" w14:paraId="49943D19" w14:textId="77777777" w:rsidTr="0079608A">
        <w:trPr>
          <w:trHeight w:val="320"/>
        </w:trPr>
        <w:tc>
          <w:tcPr>
            <w:tcW w:w="3254" w:type="pct"/>
            <w:tcBorders>
              <w:top w:val="nil"/>
              <w:left w:val="nil"/>
              <w:bottom w:val="nil"/>
              <w:right w:val="nil"/>
            </w:tcBorders>
            <w:shd w:val="clear" w:color="auto" w:fill="auto"/>
            <w:noWrap/>
            <w:vAlign w:val="bottom"/>
          </w:tcPr>
          <w:p w14:paraId="2078C2BF"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Primary school</w:t>
            </w:r>
          </w:p>
        </w:tc>
        <w:tc>
          <w:tcPr>
            <w:tcW w:w="332" w:type="pct"/>
            <w:tcBorders>
              <w:top w:val="nil"/>
              <w:left w:val="nil"/>
              <w:bottom w:val="nil"/>
              <w:right w:val="nil"/>
            </w:tcBorders>
            <w:shd w:val="clear" w:color="auto" w:fill="auto"/>
            <w:noWrap/>
            <w:vAlign w:val="bottom"/>
          </w:tcPr>
          <w:p w14:paraId="53D3E1FE"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291A77E" w14:textId="77777777" w:rsidR="004D1D86" w:rsidRPr="00072B21" w:rsidRDefault="004D1D86" w:rsidP="0079608A">
            <w:pPr>
              <w:spacing w:after="0"/>
              <w:jc w:val="center"/>
              <w:rPr>
                <w:rFonts w:eastAsia="Times New Roman"/>
                <w:color w:val="000000"/>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28D33490" w14:textId="77777777" w:rsidR="004D1D86" w:rsidRPr="00072B21" w:rsidRDefault="004D1D86" w:rsidP="0079608A">
            <w:pPr>
              <w:spacing w:after="0"/>
              <w:jc w:val="center"/>
              <w:rPr>
                <w:rFonts w:eastAsia="Times New Roman"/>
                <w:color w:val="000000"/>
                <w:lang w:eastAsia="en-GB"/>
              </w:rPr>
            </w:pPr>
            <w:r w:rsidRPr="00072B21">
              <w:rPr>
                <w:color w:val="000000"/>
              </w:rPr>
              <w:t>5%</w:t>
            </w:r>
          </w:p>
        </w:tc>
      </w:tr>
      <w:tr w:rsidR="004D1D86" w:rsidRPr="00072B21" w14:paraId="20257CAF" w14:textId="77777777" w:rsidTr="0079608A">
        <w:trPr>
          <w:trHeight w:val="320"/>
        </w:trPr>
        <w:tc>
          <w:tcPr>
            <w:tcW w:w="3254" w:type="pct"/>
            <w:tcBorders>
              <w:top w:val="nil"/>
              <w:left w:val="nil"/>
              <w:bottom w:val="nil"/>
              <w:right w:val="nil"/>
            </w:tcBorders>
            <w:shd w:val="clear" w:color="auto" w:fill="auto"/>
            <w:noWrap/>
            <w:vAlign w:val="bottom"/>
          </w:tcPr>
          <w:p w14:paraId="56F8CF2F"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Bachelor’s degree</w:t>
            </w:r>
          </w:p>
        </w:tc>
        <w:tc>
          <w:tcPr>
            <w:tcW w:w="332" w:type="pct"/>
            <w:tcBorders>
              <w:top w:val="nil"/>
              <w:left w:val="nil"/>
              <w:bottom w:val="nil"/>
              <w:right w:val="nil"/>
            </w:tcBorders>
            <w:shd w:val="clear" w:color="auto" w:fill="auto"/>
            <w:noWrap/>
            <w:vAlign w:val="bottom"/>
          </w:tcPr>
          <w:p w14:paraId="22311585"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01341D1"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0DD0D91A"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75D5850E" w14:textId="77777777" w:rsidTr="0079608A">
        <w:trPr>
          <w:trHeight w:val="320"/>
        </w:trPr>
        <w:tc>
          <w:tcPr>
            <w:tcW w:w="3254" w:type="pct"/>
            <w:tcBorders>
              <w:top w:val="nil"/>
              <w:left w:val="nil"/>
              <w:bottom w:val="nil"/>
              <w:right w:val="nil"/>
            </w:tcBorders>
            <w:shd w:val="clear" w:color="auto" w:fill="auto"/>
            <w:noWrap/>
            <w:vAlign w:val="bottom"/>
          </w:tcPr>
          <w:p w14:paraId="592D0EEE"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TAFE</w:t>
            </w:r>
          </w:p>
        </w:tc>
        <w:tc>
          <w:tcPr>
            <w:tcW w:w="332" w:type="pct"/>
            <w:tcBorders>
              <w:top w:val="nil"/>
              <w:left w:val="nil"/>
              <w:bottom w:val="nil"/>
              <w:right w:val="nil"/>
            </w:tcBorders>
            <w:shd w:val="clear" w:color="auto" w:fill="auto"/>
            <w:noWrap/>
            <w:vAlign w:val="bottom"/>
          </w:tcPr>
          <w:p w14:paraId="30A293A2"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68067927"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5B62BC0F"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3C908340" w14:textId="77777777" w:rsidTr="0079608A">
        <w:trPr>
          <w:trHeight w:val="320"/>
        </w:trPr>
        <w:tc>
          <w:tcPr>
            <w:tcW w:w="3254" w:type="pct"/>
            <w:tcBorders>
              <w:top w:val="nil"/>
              <w:left w:val="nil"/>
              <w:bottom w:val="nil"/>
              <w:right w:val="nil"/>
            </w:tcBorders>
            <w:shd w:val="clear" w:color="auto" w:fill="auto"/>
            <w:noWrap/>
            <w:vAlign w:val="bottom"/>
          </w:tcPr>
          <w:p w14:paraId="1B5E62B9"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0EFE17C5"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44E29BC3"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447E4E59" w14:textId="77777777" w:rsidR="004D1D86" w:rsidRPr="00072B21" w:rsidRDefault="004D1D86" w:rsidP="0079608A">
            <w:pPr>
              <w:spacing w:after="0"/>
              <w:jc w:val="center"/>
              <w:rPr>
                <w:rFonts w:eastAsia="Times New Roman"/>
                <w:color w:val="000000"/>
                <w:lang w:eastAsia="en-GB"/>
              </w:rPr>
            </w:pPr>
          </w:p>
        </w:tc>
      </w:tr>
      <w:tr w:rsidR="004D1D86" w:rsidRPr="00072B21" w14:paraId="68044A63" w14:textId="77777777" w:rsidTr="0079608A">
        <w:trPr>
          <w:trHeight w:val="320"/>
        </w:trPr>
        <w:tc>
          <w:tcPr>
            <w:tcW w:w="3254" w:type="pct"/>
            <w:tcBorders>
              <w:top w:val="nil"/>
              <w:left w:val="nil"/>
              <w:bottom w:val="nil"/>
              <w:right w:val="nil"/>
            </w:tcBorders>
            <w:shd w:val="clear" w:color="auto" w:fill="auto"/>
            <w:noWrap/>
            <w:vAlign w:val="bottom"/>
          </w:tcPr>
          <w:p w14:paraId="0F07FCB4"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Country of birth</w:t>
            </w:r>
          </w:p>
        </w:tc>
        <w:tc>
          <w:tcPr>
            <w:tcW w:w="332" w:type="pct"/>
            <w:tcBorders>
              <w:top w:val="nil"/>
              <w:left w:val="nil"/>
              <w:bottom w:val="nil"/>
              <w:right w:val="nil"/>
            </w:tcBorders>
            <w:shd w:val="clear" w:color="auto" w:fill="auto"/>
            <w:noWrap/>
            <w:vAlign w:val="bottom"/>
          </w:tcPr>
          <w:p w14:paraId="40763FAF"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1376028E"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314CBD3B" w14:textId="77777777" w:rsidR="004D1D86" w:rsidRPr="00072B21" w:rsidRDefault="004D1D86" w:rsidP="0079608A">
            <w:pPr>
              <w:spacing w:after="0"/>
              <w:jc w:val="center"/>
              <w:rPr>
                <w:rFonts w:eastAsia="Times New Roman"/>
                <w:color w:val="000000"/>
                <w:lang w:eastAsia="en-GB"/>
              </w:rPr>
            </w:pPr>
          </w:p>
        </w:tc>
      </w:tr>
      <w:tr w:rsidR="004D1D86" w:rsidRPr="00072B21" w14:paraId="089387A6" w14:textId="77777777" w:rsidTr="0079608A">
        <w:trPr>
          <w:trHeight w:val="320"/>
        </w:trPr>
        <w:tc>
          <w:tcPr>
            <w:tcW w:w="3254" w:type="pct"/>
            <w:tcBorders>
              <w:top w:val="nil"/>
              <w:left w:val="nil"/>
              <w:bottom w:val="nil"/>
              <w:right w:val="nil"/>
            </w:tcBorders>
            <w:shd w:val="clear" w:color="auto" w:fill="auto"/>
            <w:noWrap/>
            <w:vAlign w:val="bottom"/>
          </w:tcPr>
          <w:p w14:paraId="07A69C86" w14:textId="77777777" w:rsidR="004D1D86" w:rsidRPr="00072B21" w:rsidRDefault="004D1D86" w:rsidP="0079608A">
            <w:pPr>
              <w:spacing w:after="0"/>
              <w:rPr>
                <w:rFonts w:eastAsia="Times New Roman"/>
                <w:color w:val="000000"/>
                <w:lang w:eastAsia="en-GB"/>
              </w:rPr>
            </w:pPr>
            <w:r w:rsidRPr="00072B21">
              <w:rPr>
                <w:color w:val="000000"/>
              </w:rPr>
              <w:t>Australia</w:t>
            </w:r>
          </w:p>
        </w:tc>
        <w:tc>
          <w:tcPr>
            <w:tcW w:w="332" w:type="pct"/>
            <w:tcBorders>
              <w:top w:val="nil"/>
              <w:left w:val="nil"/>
              <w:bottom w:val="nil"/>
              <w:right w:val="nil"/>
            </w:tcBorders>
            <w:shd w:val="clear" w:color="auto" w:fill="auto"/>
            <w:noWrap/>
            <w:vAlign w:val="bottom"/>
          </w:tcPr>
          <w:p w14:paraId="1DCF6B04"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94943FB" w14:textId="77777777" w:rsidR="004D1D86" w:rsidRPr="00072B21" w:rsidRDefault="004D1D86" w:rsidP="0079608A">
            <w:pPr>
              <w:spacing w:after="0"/>
              <w:jc w:val="center"/>
              <w:rPr>
                <w:rFonts w:eastAsia="Times New Roman"/>
                <w:color w:val="000000"/>
                <w:lang w:eastAsia="en-GB"/>
              </w:rPr>
            </w:pPr>
            <w:r w:rsidRPr="00072B21">
              <w:rPr>
                <w:color w:val="000000"/>
              </w:rPr>
              <w:t>25</w:t>
            </w:r>
          </w:p>
        </w:tc>
        <w:tc>
          <w:tcPr>
            <w:tcW w:w="799" w:type="pct"/>
            <w:tcBorders>
              <w:top w:val="nil"/>
              <w:left w:val="nil"/>
              <w:bottom w:val="nil"/>
              <w:right w:val="nil"/>
            </w:tcBorders>
            <w:shd w:val="clear" w:color="auto" w:fill="auto"/>
            <w:noWrap/>
            <w:vAlign w:val="bottom"/>
          </w:tcPr>
          <w:p w14:paraId="4AC1D19E" w14:textId="77777777" w:rsidR="004D1D86" w:rsidRPr="00072B21" w:rsidRDefault="004D1D86" w:rsidP="0079608A">
            <w:pPr>
              <w:spacing w:after="0"/>
              <w:jc w:val="center"/>
              <w:rPr>
                <w:rFonts w:eastAsia="Times New Roman"/>
                <w:color w:val="000000"/>
                <w:lang w:eastAsia="en-GB"/>
              </w:rPr>
            </w:pPr>
            <w:r w:rsidRPr="00072B21">
              <w:rPr>
                <w:color w:val="000000"/>
              </w:rPr>
              <w:t>68%</w:t>
            </w:r>
          </w:p>
        </w:tc>
      </w:tr>
      <w:tr w:rsidR="004D1D86" w:rsidRPr="00072B21" w14:paraId="55270E3F" w14:textId="77777777" w:rsidTr="0079608A">
        <w:trPr>
          <w:trHeight w:val="320"/>
        </w:trPr>
        <w:tc>
          <w:tcPr>
            <w:tcW w:w="3254" w:type="pct"/>
            <w:tcBorders>
              <w:top w:val="nil"/>
              <w:left w:val="nil"/>
              <w:bottom w:val="nil"/>
              <w:right w:val="nil"/>
            </w:tcBorders>
            <w:shd w:val="clear" w:color="auto" w:fill="auto"/>
            <w:noWrap/>
            <w:vAlign w:val="bottom"/>
          </w:tcPr>
          <w:p w14:paraId="1EC79857" w14:textId="77777777" w:rsidR="004D1D86" w:rsidRPr="00072B21" w:rsidRDefault="004D1D86" w:rsidP="0079608A">
            <w:pPr>
              <w:spacing w:after="0"/>
              <w:rPr>
                <w:color w:val="000000"/>
              </w:rPr>
            </w:pPr>
            <w:r w:rsidRPr="00072B21">
              <w:rPr>
                <w:color w:val="000000"/>
              </w:rPr>
              <w:t>India</w:t>
            </w:r>
          </w:p>
        </w:tc>
        <w:tc>
          <w:tcPr>
            <w:tcW w:w="332" w:type="pct"/>
            <w:tcBorders>
              <w:top w:val="nil"/>
              <w:left w:val="nil"/>
              <w:bottom w:val="nil"/>
              <w:right w:val="nil"/>
            </w:tcBorders>
            <w:shd w:val="clear" w:color="auto" w:fill="auto"/>
            <w:noWrap/>
            <w:vAlign w:val="bottom"/>
          </w:tcPr>
          <w:p w14:paraId="6A2BFB73"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45A4D4F" w14:textId="77777777" w:rsidR="004D1D86" w:rsidRPr="00072B21" w:rsidRDefault="004D1D86" w:rsidP="0079608A">
            <w:pPr>
              <w:spacing w:after="0"/>
              <w:jc w:val="center"/>
              <w:rPr>
                <w:color w:val="000000"/>
              </w:rPr>
            </w:pPr>
            <w:r w:rsidRPr="00072B21">
              <w:rPr>
                <w:color w:val="000000"/>
              </w:rPr>
              <w:t>2</w:t>
            </w:r>
          </w:p>
        </w:tc>
        <w:tc>
          <w:tcPr>
            <w:tcW w:w="799" w:type="pct"/>
            <w:tcBorders>
              <w:top w:val="nil"/>
              <w:left w:val="nil"/>
              <w:bottom w:val="nil"/>
              <w:right w:val="nil"/>
            </w:tcBorders>
            <w:shd w:val="clear" w:color="auto" w:fill="auto"/>
            <w:noWrap/>
            <w:vAlign w:val="bottom"/>
          </w:tcPr>
          <w:p w14:paraId="0754A412" w14:textId="77777777" w:rsidR="004D1D86" w:rsidRPr="00072B21" w:rsidRDefault="004D1D86" w:rsidP="0079608A">
            <w:pPr>
              <w:spacing w:after="0"/>
              <w:jc w:val="center"/>
              <w:rPr>
                <w:color w:val="000000"/>
              </w:rPr>
            </w:pPr>
            <w:r w:rsidRPr="00072B21">
              <w:rPr>
                <w:color w:val="000000"/>
              </w:rPr>
              <w:t>5%</w:t>
            </w:r>
          </w:p>
        </w:tc>
      </w:tr>
      <w:tr w:rsidR="004D1D86" w:rsidRPr="00072B21" w14:paraId="209EEB73" w14:textId="77777777" w:rsidTr="0079608A">
        <w:trPr>
          <w:trHeight w:val="320"/>
        </w:trPr>
        <w:tc>
          <w:tcPr>
            <w:tcW w:w="3254" w:type="pct"/>
            <w:tcBorders>
              <w:top w:val="nil"/>
              <w:left w:val="nil"/>
              <w:bottom w:val="nil"/>
              <w:right w:val="nil"/>
            </w:tcBorders>
            <w:shd w:val="clear" w:color="auto" w:fill="auto"/>
            <w:noWrap/>
            <w:vAlign w:val="bottom"/>
          </w:tcPr>
          <w:p w14:paraId="565A5A35" w14:textId="77777777" w:rsidR="004D1D86" w:rsidRPr="00072B21" w:rsidRDefault="004D1D86" w:rsidP="0079608A">
            <w:pPr>
              <w:spacing w:after="0"/>
              <w:rPr>
                <w:color w:val="000000"/>
              </w:rPr>
            </w:pPr>
            <w:r w:rsidRPr="00072B21">
              <w:rPr>
                <w:color w:val="000000"/>
              </w:rPr>
              <w:t>Malaysia</w:t>
            </w:r>
          </w:p>
        </w:tc>
        <w:tc>
          <w:tcPr>
            <w:tcW w:w="332" w:type="pct"/>
            <w:tcBorders>
              <w:top w:val="nil"/>
              <w:left w:val="nil"/>
              <w:bottom w:val="nil"/>
              <w:right w:val="nil"/>
            </w:tcBorders>
            <w:shd w:val="clear" w:color="auto" w:fill="auto"/>
            <w:noWrap/>
            <w:vAlign w:val="bottom"/>
          </w:tcPr>
          <w:p w14:paraId="63437C7E"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F0BD46D" w14:textId="77777777" w:rsidR="004D1D86" w:rsidRPr="00072B21" w:rsidRDefault="004D1D86" w:rsidP="0079608A">
            <w:pPr>
              <w:spacing w:after="0"/>
              <w:jc w:val="center"/>
              <w:rPr>
                <w:color w:val="000000"/>
              </w:rPr>
            </w:pPr>
            <w:r w:rsidRPr="00072B21">
              <w:rPr>
                <w:color w:val="000000"/>
              </w:rPr>
              <w:t>2</w:t>
            </w:r>
          </w:p>
        </w:tc>
        <w:tc>
          <w:tcPr>
            <w:tcW w:w="799" w:type="pct"/>
            <w:tcBorders>
              <w:top w:val="nil"/>
              <w:left w:val="nil"/>
              <w:bottom w:val="nil"/>
              <w:right w:val="nil"/>
            </w:tcBorders>
            <w:shd w:val="clear" w:color="auto" w:fill="auto"/>
            <w:noWrap/>
            <w:vAlign w:val="bottom"/>
          </w:tcPr>
          <w:p w14:paraId="73E12D97" w14:textId="77777777" w:rsidR="004D1D86" w:rsidRPr="00072B21" w:rsidRDefault="004D1D86" w:rsidP="0079608A">
            <w:pPr>
              <w:spacing w:after="0"/>
              <w:jc w:val="center"/>
              <w:rPr>
                <w:color w:val="000000"/>
              </w:rPr>
            </w:pPr>
            <w:r w:rsidRPr="00072B21">
              <w:rPr>
                <w:color w:val="000000"/>
              </w:rPr>
              <w:t>5%</w:t>
            </w:r>
          </w:p>
        </w:tc>
      </w:tr>
      <w:tr w:rsidR="004D1D86" w:rsidRPr="00072B21" w14:paraId="6F798222" w14:textId="77777777" w:rsidTr="0079608A">
        <w:trPr>
          <w:trHeight w:val="320"/>
        </w:trPr>
        <w:tc>
          <w:tcPr>
            <w:tcW w:w="3254" w:type="pct"/>
            <w:tcBorders>
              <w:top w:val="nil"/>
              <w:left w:val="nil"/>
              <w:bottom w:val="nil"/>
              <w:right w:val="nil"/>
            </w:tcBorders>
            <w:shd w:val="clear" w:color="auto" w:fill="auto"/>
            <w:noWrap/>
            <w:vAlign w:val="bottom"/>
          </w:tcPr>
          <w:p w14:paraId="0BBB5C58" w14:textId="77777777" w:rsidR="004D1D86" w:rsidRPr="00072B21" w:rsidRDefault="004D1D86" w:rsidP="0079608A">
            <w:pPr>
              <w:spacing w:after="0"/>
              <w:rPr>
                <w:color w:val="000000"/>
              </w:rPr>
            </w:pPr>
            <w:r w:rsidRPr="00072B21">
              <w:rPr>
                <w:color w:val="000000"/>
              </w:rPr>
              <w:t>South Africa</w:t>
            </w:r>
          </w:p>
        </w:tc>
        <w:tc>
          <w:tcPr>
            <w:tcW w:w="332" w:type="pct"/>
            <w:tcBorders>
              <w:top w:val="nil"/>
              <w:left w:val="nil"/>
              <w:bottom w:val="nil"/>
              <w:right w:val="nil"/>
            </w:tcBorders>
            <w:shd w:val="clear" w:color="auto" w:fill="auto"/>
            <w:noWrap/>
            <w:vAlign w:val="bottom"/>
          </w:tcPr>
          <w:p w14:paraId="2DD24CF9"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7DFBE5A" w14:textId="77777777" w:rsidR="004D1D86" w:rsidRPr="00072B21" w:rsidRDefault="004D1D86" w:rsidP="0079608A">
            <w:pPr>
              <w:spacing w:after="0"/>
              <w:jc w:val="center"/>
              <w:rPr>
                <w:color w:val="000000"/>
              </w:rPr>
            </w:pPr>
            <w:r w:rsidRPr="00072B21">
              <w:rPr>
                <w:color w:val="000000"/>
              </w:rPr>
              <w:t>2</w:t>
            </w:r>
          </w:p>
        </w:tc>
        <w:tc>
          <w:tcPr>
            <w:tcW w:w="799" w:type="pct"/>
            <w:tcBorders>
              <w:top w:val="nil"/>
              <w:left w:val="nil"/>
              <w:bottom w:val="nil"/>
              <w:right w:val="nil"/>
            </w:tcBorders>
            <w:shd w:val="clear" w:color="auto" w:fill="auto"/>
            <w:noWrap/>
            <w:vAlign w:val="bottom"/>
          </w:tcPr>
          <w:p w14:paraId="5D9670FD" w14:textId="77777777" w:rsidR="004D1D86" w:rsidRPr="00072B21" w:rsidRDefault="004D1D86" w:rsidP="0079608A">
            <w:pPr>
              <w:spacing w:after="0"/>
              <w:jc w:val="center"/>
              <w:rPr>
                <w:color w:val="000000"/>
              </w:rPr>
            </w:pPr>
            <w:r w:rsidRPr="00072B21">
              <w:rPr>
                <w:color w:val="000000"/>
              </w:rPr>
              <w:t>5%</w:t>
            </w:r>
          </w:p>
        </w:tc>
      </w:tr>
      <w:tr w:rsidR="004D1D86" w:rsidRPr="00072B21" w14:paraId="0197EC33" w14:textId="77777777" w:rsidTr="0079608A">
        <w:trPr>
          <w:trHeight w:val="320"/>
        </w:trPr>
        <w:tc>
          <w:tcPr>
            <w:tcW w:w="3254" w:type="pct"/>
            <w:tcBorders>
              <w:top w:val="nil"/>
              <w:left w:val="nil"/>
              <w:bottom w:val="nil"/>
              <w:right w:val="nil"/>
            </w:tcBorders>
            <w:shd w:val="clear" w:color="auto" w:fill="auto"/>
            <w:noWrap/>
            <w:vAlign w:val="bottom"/>
          </w:tcPr>
          <w:p w14:paraId="23824598" w14:textId="77777777" w:rsidR="004D1D86" w:rsidRPr="00072B21" w:rsidRDefault="004D1D86" w:rsidP="0079608A">
            <w:pPr>
              <w:spacing w:after="0"/>
              <w:rPr>
                <w:rFonts w:eastAsia="Times New Roman"/>
                <w:color w:val="000000"/>
                <w:lang w:eastAsia="en-GB"/>
              </w:rPr>
            </w:pPr>
            <w:r w:rsidRPr="00072B21">
              <w:rPr>
                <w:color w:val="000000"/>
              </w:rPr>
              <w:t>Bosnia and Herzegovina</w:t>
            </w:r>
          </w:p>
        </w:tc>
        <w:tc>
          <w:tcPr>
            <w:tcW w:w="332" w:type="pct"/>
            <w:tcBorders>
              <w:top w:val="nil"/>
              <w:left w:val="nil"/>
              <w:bottom w:val="nil"/>
              <w:right w:val="nil"/>
            </w:tcBorders>
            <w:shd w:val="clear" w:color="auto" w:fill="auto"/>
            <w:noWrap/>
            <w:vAlign w:val="bottom"/>
          </w:tcPr>
          <w:p w14:paraId="57B499C8"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467C6506"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2D3C6914"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57AA9A60" w14:textId="77777777" w:rsidTr="0079608A">
        <w:trPr>
          <w:trHeight w:val="320"/>
        </w:trPr>
        <w:tc>
          <w:tcPr>
            <w:tcW w:w="3254" w:type="pct"/>
            <w:tcBorders>
              <w:top w:val="nil"/>
              <w:left w:val="nil"/>
              <w:bottom w:val="nil"/>
              <w:right w:val="nil"/>
            </w:tcBorders>
            <w:shd w:val="clear" w:color="auto" w:fill="auto"/>
            <w:noWrap/>
            <w:vAlign w:val="bottom"/>
          </w:tcPr>
          <w:p w14:paraId="3C4D2264" w14:textId="77777777" w:rsidR="004D1D86" w:rsidRPr="00072B21" w:rsidRDefault="004D1D86" w:rsidP="0079608A">
            <w:pPr>
              <w:spacing w:after="0"/>
              <w:rPr>
                <w:rFonts w:eastAsia="Times New Roman"/>
                <w:color w:val="000000"/>
                <w:lang w:eastAsia="en-GB"/>
              </w:rPr>
            </w:pPr>
            <w:r w:rsidRPr="00072B21">
              <w:rPr>
                <w:color w:val="000000"/>
              </w:rPr>
              <w:t>Indonesia</w:t>
            </w:r>
          </w:p>
        </w:tc>
        <w:tc>
          <w:tcPr>
            <w:tcW w:w="332" w:type="pct"/>
            <w:tcBorders>
              <w:top w:val="nil"/>
              <w:left w:val="nil"/>
              <w:bottom w:val="nil"/>
              <w:right w:val="nil"/>
            </w:tcBorders>
            <w:shd w:val="clear" w:color="auto" w:fill="auto"/>
            <w:noWrap/>
            <w:vAlign w:val="bottom"/>
          </w:tcPr>
          <w:p w14:paraId="762D2334"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CAC7522"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3F165AEA"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30CDE5FD" w14:textId="77777777" w:rsidTr="0079608A">
        <w:trPr>
          <w:trHeight w:val="320"/>
        </w:trPr>
        <w:tc>
          <w:tcPr>
            <w:tcW w:w="3254" w:type="pct"/>
            <w:tcBorders>
              <w:top w:val="nil"/>
              <w:left w:val="nil"/>
              <w:bottom w:val="nil"/>
              <w:right w:val="nil"/>
            </w:tcBorders>
            <w:shd w:val="clear" w:color="auto" w:fill="auto"/>
            <w:noWrap/>
            <w:vAlign w:val="bottom"/>
          </w:tcPr>
          <w:p w14:paraId="46F126C6" w14:textId="77777777" w:rsidR="004D1D86" w:rsidRPr="00072B21" w:rsidRDefault="004D1D86" w:rsidP="0079608A">
            <w:pPr>
              <w:spacing w:after="0"/>
              <w:rPr>
                <w:rFonts w:eastAsia="Times New Roman"/>
                <w:color w:val="000000"/>
                <w:lang w:eastAsia="en-GB"/>
              </w:rPr>
            </w:pPr>
            <w:r w:rsidRPr="00072B21">
              <w:rPr>
                <w:color w:val="000000"/>
              </w:rPr>
              <w:t>Kyrgyzstan</w:t>
            </w:r>
          </w:p>
        </w:tc>
        <w:tc>
          <w:tcPr>
            <w:tcW w:w="332" w:type="pct"/>
            <w:tcBorders>
              <w:top w:val="nil"/>
              <w:left w:val="nil"/>
              <w:bottom w:val="nil"/>
              <w:right w:val="nil"/>
            </w:tcBorders>
            <w:shd w:val="clear" w:color="auto" w:fill="auto"/>
            <w:noWrap/>
            <w:vAlign w:val="bottom"/>
          </w:tcPr>
          <w:p w14:paraId="2C6941DD"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D107D25"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5C9DE7AE"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76B921A2" w14:textId="77777777" w:rsidTr="0079608A">
        <w:trPr>
          <w:trHeight w:val="320"/>
        </w:trPr>
        <w:tc>
          <w:tcPr>
            <w:tcW w:w="3254" w:type="pct"/>
            <w:tcBorders>
              <w:top w:val="nil"/>
              <w:left w:val="nil"/>
              <w:bottom w:val="nil"/>
              <w:right w:val="nil"/>
            </w:tcBorders>
            <w:shd w:val="clear" w:color="auto" w:fill="auto"/>
            <w:noWrap/>
            <w:vAlign w:val="bottom"/>
          </w:tcPr>
          <w:p w14:paraId="65FCE457" w14:textId="77777777" w:rsidR="004D1D86" w:rsidRPr="00072B21" w:rsidRDefault="004D1D86" w:rsidP="0079608A">
            <w:pPr>
              <w:spacing w:after="0"/>
              <w:rPr>
                <w:rFonts w:eastAsia="Times New Roman"/>
                <w:color w:val="000000"/>
                <w:lang w:eastAsia="en-GB"/>
              </w:rPr>
            </w:pPr>
            <w:r w:rsidRPr="00072B21">
              <w:rPr>
                <w:color w:val="000000"/>
              </w:rPr>
              <w:t>New Zealand</w:t>
            </w:r>
          </w:p>
        </w:tc>
        <w:tc>
          <w:tcPr>
            <w:tcW w:w="332" w:type="pct"/>
            <w:tcBorders>
              <w:top w:val="nil"/>
              <w:left w:val="nil"/>
              <w:bottom w:val="nil"/>
              <w:right w:val="nil"/>
            </w:tcBorders>
            <w:shd w:val="clear" w:color="auto" w:fill="auto"/>
            <w:noWrap/>
            <w:vAlign w:val="bottom"/>
          </w:tcPr>
          <w:p w14:paraId="31D0B7BF"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F25E192"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5B4B66F1"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56783A83" w14:textId="77777777" w:rsidTr="0079608A">
        <w:trPr>
          <w:trHeight w:val="320"/>
        </w:trPr>
        <w:tc>
          <w:tcPr>
            <w:tcW w:w="3254" w:type="pct"/>
            <w:tcBorders>
              <w:top w:val="nil"/>
              <w:left w:val="nil"/>
              <w:bottom w:val="nil"/>
              <w:right w:val="nil"/>
            </w:tcBorders>
            <w:shd w:val="clear" w:color="auto" w:fill="auto"/>
            <w:noWrap/>
            <w:vAlign w:val="bottom"/>
          </w:tcPr>
          <w:p w14:paraId="374C4E3F" w14:textId="77777777" w:rsidR="004D1D86" w:rsidRPr="00072B21" w:rsidRDefault="004D1D86" w:rsidP="0079608A">
            <w:pPr>
              <w:spacing w:after="0"/>
              <w:rPr>
                <w:rFonts w:eastAsia="Times New Roman"/>
                <w:color w:val="000000"/>
                <w:lang w:eastAsia="en-GB"/>
              </w:rPr>
            </w:pPr>
            <w:r w:rsidRPr="00072B21">
              <w:rPr>
                <w:color w:val="000000"/>
              </w:rPr>
              <w:t>Singapore</w:t>
            </w:r>
          </w:p>
        </w:tc>
        <w:tc>
          <w:tcPr>
            <w:tcW w:w="332" w:type="pct"/>
            <w:tcBorders>
              <w:top w:val="nil"/>
              <w:left w:val="nil"/>
              <w:bottom w:val="nil"/>
              <w:right w:val="nil"/>
            </w:tcBorders>
            <w:shd w:val="clear" w:color="auto" w:fill="auto"/>
            <w:noWrap/>
            <w:vAlign w:val="bottom"/>
          </w:tcPr>
          <w:p w14:paraId="05628D40"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0D172DE"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6E308557"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30FF65F7" w14:textId="77777777" w:rsidTr="0079608A">
        <w:trPr>
          <w:trHeight w:val="320"/>
        </w:trPr>
        <w:tc>
          <w:tcPr>
            <w:tcW w:w="3254" w:type="pct"/>
            <w:tcBorders>
              <w:top w:val="nil"/>
              <w:left w:val="nil"/>
              <w:bottom w:val="nil"/>
              <w:right w:val="nil"/>
            </w:tcBorders>
            <w:shd w:val="clear" w:color="auto" w:fill="auto"/>
            <w:noWrap/>
            <w:vAlign w:val="bottom"/>
          </w:tcPr>
          <w:p w14:paraId="5D69A09C" w14:textId="77777777" w:rsidR="004D1D86" w:rsidRPr="00072B21" w:rsidRDefault="004D1D86" w:rsidP="0079608A">
            <w:pPr>
              <w:spacing w:after="0"/>
              <w:rPr>
                <w:rFonts w:eastAsia="Times New Roman"/>
                <w:color w:val="000000"/>
                <w:lang w:eastAsia="en-GB"/>
              </w:rPr>
            </w:pPr>
            <w:r w:rsidRPr="00072B21">
              <w:rPr>
                <w:color w:val="000000"/>
              </w:rPr>
              <w:t>United Kingdom</w:t>
            </w:r>
          </w:p>
        </w:tc>
        <w:tc>
          <w:tcPr>
            <w:tcW w:w="332" w:type="pct"/>
            <w:tcBorders>
              <w:top w:val="nil"/>
              <w:left w:val="nil"/>
              <w:bottom w:val="nil"/>
              <w:right w:val="nil"/>
            </w:tcBorders>
            <w:shd w:val="clear" w:color="auto" w:fill="auto"/>
            <w:noWrap/>
            <w:vAlign w:val="bottom"/>
          </w:tcPr>
          <w:p w14:paraId="38436587"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C9AB241"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25B522A9"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76A82D2A" w14:textId="77777777" w:rsidTr="0079608A">
        <w:trPr>
          <w:trHeight w:val="320"/>
        </w:trPr>
        <w:tc>
          <w:tcPr>
            <w:tcW w:w="3254" w:type="pct"/>
            <w:tcBorders>
              <w:top w:val="nil"/>
              <w:left w:val="nil"/>
              <w:bottom w:val="nil"/>
              <w:right w:val="nil"/>
            </w:tcBorders>
            <w:shd w:val="clear" w:color="auto" w:fill="auto"/>
            <w:noWrap/>
            <w:vAlign w:val="bottom"/>
          </w:tcPr>
          <w:p w14:paraId="50F793E4"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44F15F87"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AEAA5BE"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16E552DA" w14:textId="77777777" w:rsidR="004D1D86" w:rsidRPr="00072B21" w:rsidRDefault="004D1D86" w:rsidP="0079608A">
            <w:pPr>
              <w:spacing w:after="0"/>
              <w:jc w:val="center"/>
              <w:rPr>
                <w:rFonts w:eastAsia="Times New Roman"/>
                <w:color w:val="000000"/>
                <w:lang w:eastAsia="en-GB"/>
              </w:rPr>
            </w:pPr>
          </w:p>
        </w:tc>
      </w:tr>
      <w:tr w:rsidR="004D1D86" w:rsidRPr="00072B21" w14:paraId="04603B09" w14:textId="77777777" w:rsidTr="0079608A">
        <w:trPr>
          <w:trHeight w:val="320"/>
        </w:trPr>
        <w:tc>
          <w:tcPr>
            <w:tcW w:w="3254" w:type="pct"/>
            <w:tcBorders>
              <w:top w:val="nil"/>
              <w:left w:val="nil"/>
              <w:bottom w:val="nil"/>
              <w:right w:val="nil"/>
            </w:tcBorders>
            <w:shd w:val="clear" w:color="auto" w:fill="auto"/>
            <w:noWrap/>
            <w:vAlign w:val="bottom"/>
          </w:tcPr>
          <w:p w14:paraId="2CD99866"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Employment/study status</w:t>
            </w:r>
          </w:p>
        </w:tc>
        <w:tc>
          <w:tcPr>
            <w:tcW w:w="332" w:type="pct"/>
            <w:tcBorders>
              <w:top w:val="nil"/>
              <w:left w:val="nil"/>
              <w:bottom w:val="nil"/>
              <w:right w:val="nil"/>
            </w:tcBorders>
            <w:shd w:val="clear" w:color="auto" w:fill="auto"/>
            <w:noWrap/>
            <w:vAlign w:val="bottom"/>
          </w:tcPr>
          <w:p w14:paraId="32B84983"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62E8F2DD"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1DBA050B" w14:textId="77777777" w:rsidR="004D1D86" w:rsidRPr="00072B21" w:rsidRDefault="004D1D86" w:rsidP="0079608A">
            <w:pPr>
              <w:spacing w:after="0"/>
              <w:jc w:val="center"/>
              <w:rPr>
                <w:rFonts w:eastAsia="Times New Roman"/>
                <w:color w:val="000000"/>
                <w:lang w:eastAsia="en-GB"/>
              </w:rPr>
            </w:pPr>
          </w:p>
        </w:tc>
      </w:tr>
      <w:tr w:rsidR="004D1D86" w:rsidRPr="00072B21" w14:paraId="7DA6B920" w14:textId="77777777" w:rsidTr="0079608A">
        <w:trPr>
          <w:trHeight w:val="320"/>
        </w:trPr>
        <w:tc>
          <w:tcPr>
            <w:tcW w:w="3254" w:type="pct"/>
            <w:tcBorders>
              <w:top w:val="nil"/>
              <w:left w:val="nil"/>
              <w:bottom w:val="nil"/>
              <w:right w:val="nil"/>
            </w:tcBorders>
            <w:shd w:val="clear" w:color="auto" w:fill="auto"/>
            <w:noWrap/>
            <w:vAlign w:val="bottom"/>
          </w:tcPr>
          <w:p w14:paraId="7AC5790B" w14:textId="77777777" w:rsidR="004D1D86" w:rsidRPr="00072B21" w:rsidRDefault="004D1D86" w:rsidP="0079608A">
            <w:pPr>
              <w:spacing w:after="0"/>
              <w:rPr>
                <w:rFonts w:eastAsia="Times New Roman"/>
                <w:color w:val="000000"/>
                <w:lang w:eastAsia="en-GB"/>
              </w:rPr>
            </w:pPr>
            <w:r w:rsidRPr="00072B21">
              <w:rPr>
                <w:color w:val="000000"/>
              </w:rPr>
              <w:t>University student</w:t>
            </w:r>
          </w:p>
        </w:tc>
        <w:tc>
          <w:tcPr>
            <w:tcW w:w="332" w:type="pct"/>
            <w:tcBorders>
              <w:top w:val="nil"/>
              <w:left w:val="nil"/>
              <w:bottom w:val="nil"/>
              <w:right w:val="nil"/>
            </w:tcBorders>
            <w:shd w:val="clear" w:color="auto" w:fill="auto"/>
            <w:noWrap/>
            <w:vAlign w:val="bottom"/>
          </w:tcPr>
          <w:p w14:paraId="04C1A4B8"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13D8D4ED" w14:textId="77777777" w:rsidR="004D1D86" w:rsidRPr="00072B21" w:rsidRDefault="004D1D86" w:rsidP="0079608A">
            <w:pPr>
              <w:spacing w:after="0"/>
              <w:jc w:val="center"/>
              <w:rPr>
                <w:rFonts w:eastAsia="Times New Roman"/>
                <w:color w:val="000000"/>
                <w:lang w:eastAsia="en-GB"/>
              </w:rPr>
            </w:pPr>
            <w:r w:rsidRPr="00072B21">
              <w:rPr>
                <w:rFonts w:eastAsia="Times New Roman"/>
                <w:color w:val="000000"/>
                <w:lang w:eastAsia="en-GB"/>
              </w:rPr>
              <w:t>30</w:t>
            </w:r>
          </w:p>
        </w:tc>
        <w:tc>
          <w:tcPr>
            <w:tcW w:w="799" w:type="pct"/>
            <w:tcBorders>
              <w:top w:val="nil"/>
              <w:left w:val="nil"/>
              <w:bottom w:val="nil"/>
              <w:right w:val="nil"/>
            </w:tcBorders>
            <w:shd w:val="clear" w:color="auto" w:fill="auto"/>
            <w:noWrap/>
            <w:vAlign w:val="bottom"/>
          </w:tcPr>
          <w:p w14:paraId="006D56C7" w14:textId="77777777" w:rsidR="004D1D86" w:rsidRPr="00072B21" w:rsidRDefault="004D1D86" w:rsidP="0079608A">
            <w:pPr>
              <w:spacing w:after="0"/>
              <w:jc w:val="center"/>
              <w:rPr>
                <w:rFonts w:eastAsia="Times New Roman"/>
                <w:color w:val="000000"/>
                <w:lang w:eastAsia="en-GB"/>
              </w:rPr>
            </w:pPr>
            <w:r w:rsidRPr="00072B21">
              <w:rPr>
                <w:color w:val="000000"/>
              </w:rPr>
              <w:t>81%</w:t>
            </w:r>
          </w:p>
        </w:tc>
      </w:tr>
      <w:tr w:rsidR="004D1D86" w:rsidRPr="00072B21" w14:paraId="12A4295C" w14:textId="77777777" w:rsidTr="0079608A">
        <w:trPr>
          <w:trHeight w:val="320"/>
        </w:trPr>
        <w:tc>
          <w:tcPr>
            <w:tcW w:w="3254" w:type="pct"/>
            <w:tcBorders>
              <w:top w:val="nil"/>
              <w:left w:val="nil"/>
              <w:bottom w:val="nil"/>
              <w:right w:val="nil"/>
            </w:tcBorders>
            <w:shd w:val="clear" w:color="auto" w:fill="auto"/>
            <w:noWrap/>
            <w:vAlign w:val="bottom"/>
          </w:tcPr>
          <w:p w14:paraId="0019009C" w14:textId="77777777" w:rsidR="004D1D86" w:rsidRPr="00072B21" w:rsidRDefault="004D1D86" w:rsidP="0079608A">
            <w:pPr>
              <w:spacing w:after="0"/>
              <w:rPr>
                <w:rFonts w:eastAsia="Times New Roman"/>
                <w:color w:val="000000"/>
                <w:lang w:eastAsia="en-GB"/>
              </w:rPr>
            </w:pPr>
            <w:r w:rsidRPr="00072B21">
              <w:rPr>
                <w:color w:val="000000"/>
              </w:rPr>
              <w:t>High school student</w:t>
            </w:r>
          </w:p>
        </w:tc>
        <w:tc>
          <w:tcPr>
            <w:tcW w:w="332" w:type="pct"/>
            <w:tcBorders>
              <w:top w:val="nil"/>
              <w:left w:val="nil"/>
              <w:bottom w:val="nil"/>
              <w:right w:val="nil"/>
            </w:tcBorders>
            <w:shd w:val="clear" w:color="auto" w:fill="auto"/>
            <w:noWrap/>
            <w:vAlign w:val="bottom"/>
          </w:tcPr>
          <w:p w14:paraId="5A39029D"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82625BD" w14:textId="77777777" w:rsidR="004D1D86" w:rsidRPr="00072B21" w:rsidRDefault="004D1D86" w:rsidP="0079608A">
            <w:pPr>
              <w:spacing w:after="0"/>
              <w:jc w:val="center"/>
              <w:rPr>
                <w:rFonts w:eastAsia="Times New Roman"/>
                <w:color w:val="000000"/>
                <w:lang w:eastAsia="en-GB"/>
              </w:rPr>
            </w:pPr>
            <w:r w:rsidRPr="00072B21">
              <w:rPr>
                <w:color w:val="000000"/>
              </w:rPr>
              <w:t>4</w:t>
            </w:r>
          </w:p>
        </w:tc>
        <w:tc>
          <w:tcPr>
            <w:tcW w:w="799" w:type="pct"/>
            <w:tcBorders>
              <w:top w:val="nil"/>
              <w:left w:val="nil"/>
              <w:bottom w:val="nil"/>
              <w:right w:val="nil"/>
            </w:tcBorders>
            <w:shd w:val="clear" w:color="auto" w:fill="auto"/>
            <w:noWrap/>
            <w:vAlign w:val="bottom"/>
          </w:tcPr>
          <w:p w14:paraId="4A82AFEE" w14:textId="77777777" w:rsidR="004D1D86" w:rsidRPr="00072B21" w:rsidRDefault="004D1D86" w:rsidP="0079608A">
            <w:pPr>
              <w:spacing w:after="0"/>
              <w:jc w:val="center"/>
              <w:rPr>
                <w:rFonts w:eastAsia="Times New Roman"/>
                <w:color w:val="000000"/>
                <w:lang w:eastAsia="en-GB"/>
              </w:rPr>
            </w:pPr>
            <w:r w:rsidRPr="00072B21">
              <w:rPr>
                <w:color w:val="000000"/>
              </w:rPr>
              <w:t>11%</w:t>
            </w:r>
          </w:p>
        </w:tc>
      </w:tr>
      <w:tr w:rsidR="004D1D86" w:rsidRPr="00072B21" w14:paraId="2BFD0FBE" w14:textId="77777777" w:rsidTr="0079608A">
        <w:trPr>
          <w:trHeight w:val="320"/>
        </w:trPr>
        <w:tc>
          <w:tcPr>
            <w:tcW w:w="3254" w:type="pct"/>
            <w:tcBorders>
              <w:top w:val="nil"/>
              <w:left w:val="nil"/>
              <w:bottom w:val="nil"/>
              <w:right w:val="nil"/>
            </w:tcBorders>
            <w:shd w:val="clear" w:color="auto" w:fill="auto"/>
            <w:noWrap/>
            <w:vAlign w:val="bottom"/>
          </w:tcPr>
          <w:p w14:paraId="3ED3777A" w14:textId="77777777" w:rsidR="004D1D86" w:rsidRPr="00072B21" w:rsidRDefault="004D1D86" w:rsidP="0079608A">
            <w:pPr>
              <w:spacing w:after="0"/>
              <w:rPr>
                <w:color w:val="000000"/>
              </w:rPr>
            </w:pPr>
            <w:r w:rsidRPr="00072B21">
              <w:rPr>
                <w:color w:val="000000"/>
              </w:rPr>
              <w:t>Unemployed</w:t>
            </w:r>
            <w:r w:rsidRPr="00072B21" w:rsidDel="0034774D">
              <w:rPr>
                <w:rFonts w:eastAsia="Times New Roman"/>
                <w:color w:val="000000"/>
                <w:lang w:eastAsia="en-GB"/>
              </w:rPr>
              <w:t xml:space="preserve"> </w:t>
            </w:r>
          </w:p>
        </w:tc>
        <w:tc>
          <w:tcPr>
            <w:tcW w:w="332" w:type="pct"/>
            <w:tcBorders>
              <w:top w:val="nil"/>
              <w:left w:val="nil"/>
              <w:bottom w:val="nil"/>
              <w:right w:val="nil"/>
            </w:tcBorders>
            <w:shd w:val="clear" w:color="auto" w:fill="auto"/>
            <w:noWrap/>
            <w:vAlign w:val="bottom"/>
          </w:tcPr>
          <w:p w14:paraId="519B60FB"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0E458F8" w14:textId="77777777" w:rsidR="004D1D86" w:rsidRPr="00072B21" w:rsidRDefault="004D1D86" w:rsidP="0079608A">
            <w:pPr>
              <w:spacing w:after="0"/>
              <w:jc w:val="center"/>
              <w:rPr>
                <w:color w:val="000000"/>
              </w:rPr>
            </w:pPr>
            <w:r w:rsidRPr="00072B21">
              <w:rPr>
                <w:color w:val="000000"/>
              </w:rPr>
              <w:t>2</w:t>
            </w:r>
          </w:p>
        </w:tc>
        <w:tc>
          <w:tcPr>
            <w:tcW w:w="799" w:type="pct"/>
            <w:tcBorders>
              <w:top w:val="nil"/>
              <w:left w:val="nil"/>
              <w:bottom w:val="nil"/>
              <w:right w:val="nil"/>
            </w:tcBorders>
            <w:shd w:val="clear" w:color="auto" w:fill="auto"/>
            <w:noWrap/>
            <w:vAlign w:val="bottom"/>
          </w:tcPr>
          <w:p w14:paraId="63360F7D" w14:textId="77777777" w:rsidR="004D1D86" w:rsidRPr="00072B21" w:rsidRDefault="004D1D86" w:rsidP="0079608A">
            <w:pPr>
              <w:spacing w:after="0"/>
              <w:jc w:val="center"/>
              <w:rPr>
                <w:color w:val="000000"/>
              </w:rPr>
            </w:pPr>
            <w:r w:rsidRPr="00072B21">
              <w:rPr>
                <w:color w:val="000000"/>
              </w:rPr>
              <w:t>5%</w:t>
            </w:r>
          </w:p>
        </w:tc>
      </w:tr>
      <w:tr w:rsidR="004D1D86" w:rsidRPr="00072B21" w14:paraId="0C1DBAFA" w14:textId="77777777" w:rsidTr="0079608A">
        <w:trPr>
          <w:trHeight w:val="320"/>
        </w:trPr>
        <w:tc>
          <w:tcPr>
            <w:tcW w:w="3254" w:type="pct"/>
            <w:tcBorders>
              <w:top w:val="nil"/>
              <w:left w:val="nil"/>
              <w:bottom w:val="nil"/>
              <w:right w:val="nil"/>
            </w:tcBorders>
            <w:shd w:val="clear" w:color="auto" w:fill="auto"/>
            <w:noWrap/>
            <w:vAlign w:val="bottom"/>
          </w:tcPr>
          <w:p w14:paraId="2651C3FE" w14:textId="77777777" w:rsidR="004D1D86" w:rsidRPr="00072B21" w:rsidRDefault="004D1D86" w:rsidP="0079608A">
            <w:pPr>
              <w:spacing w:after="0"/>
              <w:rPr>
                <w:rFonts w:eastAsia="Times New Roman"/>
                <w:color w:val="000000"/>
                <w:lang w:eastAsia="en-GB"/>
              </w:rPr>
            </w:pPr>
            <w:r w:rsidRPr="00072B21">
              <w:rPr>
                <w:color w:val="000000"/>
              </w:rPr>
              <w:t>Employed</w:t>
            </w:r>
          </w:p>
        </w:tc>
        <w:tc>
          <w:tcPr>
            <w:tcW w:w="332" w:type="pct"/>
            <w:tcBorders>
              <w:top w:val="nil"/>
              <w:left w:val="nil"/>
              <w:bottom w:val="nil"/>
              <w:right w:val="nil"/>
            </w:tcBorders>
            <w:shd w:val="clear" w:color="auto" w:fill="auto"/>
            <w:noWrap/>
            <w:vAlign w:val="bottom"/>
          </w:tcPr>
          <w:p w14:paraId="29D8A431"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71FB920"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170DEBDA"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42FBDE7F" w14:textId="77777777" w:rsidTr="0079608A">
        <w:trPr>
          <w:trHeight w:val="320"/>
        </w:trPr>
        <w:tc>
          <w:tcPr>
            <w:tcW w:w="3254" w:type="pct"/>
            <w:tcBorders>
              <w:top w:val="nil"/>
              <w:left w:val="nil"/>
              <w:bottom w:val="nil"/>
              <w:right w:val="nil"/>
            </w:tcBorders>
            <w:shd w:val="clear" w:color="auto" w:fill="auto"/>
            <w:noWrap/>
            <w:vAlign w:val="bottom"/>
          </w:tcPr>
          <w:p w14:paraId="6B9AC5CF"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2BA390DC"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CF908BC"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38D0F2B5" w14:textId="77777777" w:rsidR="004D1D86" w:rsidRPr="00072B21" w:rsidRDefault="004D1D86" w:rsidP="0079608A">
            <w:pPr>
              <w:spacing w:after="0"/>
              <w:jc w:val="center"/>
              <w:rPr>
                <w:rFonts w:eastAsia="Times New Roman"/>
                <w:color w:val="000000"/>
                <w:lang w:eastAsia="en-GB"/>
              </w:rPr>
            </w:pPr>
          </w:p>
        </w:tc>
      </w:tr>
      <w:tr w:rsidR="004D1D86" w:rsidRPr="00072B21" w14:paraId="69D78315" w14:textId="77777777" w:rsidTr="0079608A">
        <w:trPr>
          <w:trHeight w:val="320"/>
        </w:trPr>
        <w:tc>
          <w:tcPr>
            <w:tcW w:w="3254" w:type="pct"/>
            <w:tcBorders>
              <w:top w:val="nil"/>
              <w:left w:val="nil"/>
              <w:bottom w:val="nil"/>
              <w:right w:val="nil"/>
            </w:tcBorders>
            <w:shd w:val="clear" w:color="auto" w:fill="auto"/>
            <w:noWrap/>
            <w:vAlign w:val="bottom"/>
          </w:tcPr>
          <w:p w14:paraId="539398AF"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Ethnicity**</w:t>
            </w:r>
          </w:p>
        </w:tc>
        <w:tc>
          <w:tcPr>
            <w:tcW w:w="332" w:type="pct"/>
            <w:tcBorders>
              <w:top w:val="nil"/>
              <w:left w:val="nil"/>
              <w:bottom w:val="nil"/>
              <w:right w:val="nil"/>
            </w:tcBorders>
            <w:shd w:val="clear" w:color="auto" w:fill="auto"/>
            <w:noWrap/>
            <w:vAlign w:val="bottom"/>
          </w:tcPr>
          <w:p w14:paraId="605556A7"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44EA1FC8"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64D210B3" w14:textId="77777777" w:rsidR="004D1D86" w:rsidRPr="00072B21" w:rsidRDefault="004D1D86" w:rsidP="0079608A">
            <w:pPr>
              <w:spacing w:after="0"/>
              <w:jc w:val="center"/>
              <w:rPr>
                <w:rFonts w:eastAsia="Times New Roman"/>
                <w:color w:val="000000"/>
                <w:lang w:eastAsia="en-GB"/>
              </w:rPr>
            </w:pPr>
          </w:p>
        </w:tc>
      </w:tr>
      <w:tr w:rsidR="004D1D86" w:rsidRPr="00072B21" w14:paraId="4F9947C3" w14:textId="77777777" w:rsidTr="0079608A">
        <w:trPr>
          <w:trHeight w:val="320"/>
        </w:trPr>
        <w:tc>
          <w:tcPr>
            <w:tcW w:w="3254" w:type="pct"/>
            <w:tcBorders>
              <w:top w:val="nil"/>
              <w:left w:val="nil"/>
              <w:bottom w:val="nil"/>
              <w:right w:val="nil"/>
            </w:tcBorders>
            <w:shd w:val="clear" w:color="auto" w:fill="auto"/>
            <w:noWrap/>
            <w:vAlign w:val="bottom"/>
          </w:tcPr>
          <w:p w14:paraId="0BCCB797" w14:textId="77777777" w:rsidR="004D1D86" w:rsidRPr="00072B21" w:rsidRDefault="004D1D86" w:rsidP="0079608A">
            <w:pPr>
              <w:spacing w:after="0"/>
              <w:rPr>
                <w:rFonts w:eastAsia="Times New Roman"/>
                <w:color w:val="000000"/>
                <w:lang w:eastAsia="en-GB"/>
              </w:rPr>
            </w:pPr>
            <w:r w:rsidRPr="00072B21">
              <w:rPr>
                <w:color w:val="000000"/>
              </w:rPr>
              <w:t>Anglo-Celtic Australian</w:t>
            </w:r>
          </w:p>
        </w:tc>
        <w:tc>
          <w:tcPr>
            <w:tcW w:w="332" w:type="pct"/>
            <w:tcBorders>
              <w:top w:val="nil"/>
              <w:left w:val="nil"/>
              <w:bottom w:val="nil"/>
              <w:right w:val="nil"/>
            </w:tcBorders>
            <w:shd w:val="clear" w:color="auto" w:fill="auto"/>
            <w:noWrap/>
            <w:vAlign w:val="bottom"/>
          </w:tcPr>
          <w:p w14:paraId="47ABD21A"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5A81CC5" w14:textId="77777777" w:rsidR="004D1D86" w:rsidRPr="00072B21" w:rsidRDefault="004D1D86" w:rsidP="0079608A">
            <w:pPr>
              <w:spacing w:after="0"/>
              <w:jc w:val="center"/>
              <w:rPr>
                <w:rFonts w:eastAsia="Times New Roman"/>
                <w:color w:val="000000"/>
                <w:lang w:eastAsia="en-GB"/>
              </w:rPr>
            </w:pPr>
            <w:r w:rsidRPr="00072B21">
              <w:rPr>
                <w:color w:val="000000"/>
              </w:rPr>
              <w:t>19</w:t>
            </w:r>
          </w:p>
        </w:tc>
        <w:tc>
          <w:tcPr>
            <w:tcW w:w="799" w:type="pct"/>
            <w:tcBorders>
              <w:top w:val="nil"/>
              <w:left w:val="nil"/>
              <w:bottom w:val="nil"/>
              <w:right w:val="nil"/>
            </w:tcBorders>
            <w:shd w:val="clear" w:color="auto" w:fill="auto"/>
            <w:noWrap/>
            <w:vAlign w:val="bottom"/>
          </w:tcPr>
          <w:p w14:paraId="3D646591" w14:textId="77777777" w:rsidR="004D1D86" w:rsidRPr="00072B21" w:rsidRDefault="004D1D86" w:rsidP="0079608A">
            <w:pPr>
              <w:spacing w:after="0"/>
              <w:jc w:val="center"/>
              <w:rPr>
                <w:rFonts w:eastAsia="Times New Roman"/>
                <w:color w:val="000000"/>
                <w:lang w:eastAsia="en-GB"/>
              </w:rPr>
            </w:pPr>
            <w:r w:rsidRPr="00072B21">
              <w:rPr>
                <w:color w:val="000000"/>
              </w:rPr>
              <w:t>51%</w:t>
            </w:r>
          </w:p>
        </w:tc>
      </w:tr>
      <w:tr w:rsidR="004D1D86" w:rsidRPr="00072B21" w14:paraId="5D021767" w14:textId="77777777" w:rsidTr="0079608A">
        <w:trPr>
          <w:trHeight w:val="320"/>
        </w:trPr>
        <w:tc>
          <w:tcPr>
            <w:tcW w:w="3254" w:type="pct"/>
            <w:tcBorders>
              <w:top w:val="nil"/>
              <w:left w:val="nil"/>
              <w:bottom w:val="nil"/>
              <w:right w:val="nil"/>
            </w:tcBorders>
            <w:shd w:val="clear" w:color="auto" w:fill="auto"/>
            <w:noWrap/>
            <w:vAlign w:val="bottom"/>
          </w:tcPr>
          <w:p w14:paraId="4662E6BF" w14:textId="77777777" w:rsidR="004D1D86" w:rsidRPr="00072B21" w:rsidRDefault="004D1D86" w:rsidP="0079608A">
            <w:pPr>
              <w:spacing w:after="0"/>
              <w:rPr>
                <w:rFonts w:eastAsia="Times New Roman"/>
                <w:color w:val="000000"/>
                <w:lang w:eastAsia="en-GB"/>
              </w:rPr>
            </w:pPr>
            <w:r w:rsidRPr="00072B21">
              <w:rPr>
                <w:color w:val="000000"/>
              </w:rPr>
              <w:t>North-West European</w:t>
            </w:r>
          </w:p>
        </w:tc>
        <w:tc>
          <w:tcPr>
            <w:tcW w:w="332" w:type="pct"/>
            <w:tcBorders>
              <w:top w:val="nil"/>
              <w:left w:val="nil"/>
              <w:bottom w:val="nil"/>
              <w:right w:val="nil"/>
            </w:tcBorders>
            <w:shd w:val="clear" w:color="auto" w:fill="auto"/>
            <w:noWrap/>
            <w:vAlign w:val="bottom"/>
          </w:tcPr>
          <w:p w14:paraId="5B3AFE3C"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1381D44" w14:textId="77777777" w:rsidR="004D1D86" w:rsidRPr="00072B21" w:rsidRDefault="004D1D86" w:rsidP="0079608A">
            <w:pPr>
              <w:spacing w:after="0"/>
              <w:jc w:val="center"/>
              <w:rPr>
                <w:rFonts w:eastAsia="Times New Roman"/>
                <w:color w:val="000000"/>
                <w:lang w:eastAsia="en-GB"/>
              </w:rPr>
            </w:pPr>
            <w:r w:rsidRPr="00072B21">
              <w:rPr>
                <w:color w:val="000000"/>
              </w:rPr>
              <w:t>4</w:t>
            </w:r>
          </w:p>
        </w:tc>
        <w:tc>
          <w:tcPr>
            <w:tcW w:w="799" w:type="pct"/>
            <w:tcBorders>
              <w:top w:val="nil"/>
              <w:left w:val="nil"/>
              <w:bottom w:val="nil"/>
              <w:right w:val="nil"/>
            </w:tcBorders>
            <w:shd w:val="clear" w:color="auto" w:fill="auto"/>
            <w:noWrap/>
            <w:vAlign w:val="bottom"/>
          </w:tcPr>
          <w:p w14:paraId="60C76888" w14:textId="77777777" w:rsidR="004D1D86" w:rsidRPr="00072B21" w:rsidRDefault="004D1D86" w:rsidP="0079608A">
            <w:pPr>
              <w:spacing w:after="0"/>
              <w:jc w:val="center"/>
              <w:rPr>
                <w:rFonts w:eastAsia="Times New Roman"/>
                <w:color w:val="000000"/>
                <w:lang w:eastAsia="en-GB"/>
              </w:rPr>
            </w:pPr>
            <w:r w:rsidRPr="00072B21">
              <w:rPr>
                <w:color w:val="000000"/>
              </w:rPr>
              <w:t>11%</w:t>
            </w:r>
          </w:p>
        </w:tc>
      </w:tr>
      <w:tr w:rsidR="004D1D86" w:rsidRPr="00072B21" w14:paraId="30023F9E" w14:textId="77777777" w:rsidTr="0079608A">
        <w:trPr>
          <w:trHeight w:val="320"/>
        </w:trPr>
        <w:tc>
          <w:tcPr>
            <w:tcW w:w="3254" w:type="pct"/>
            <w:tcBorders>
              <w:top w:val="nil"/>
              <w:left w:val="nil"/>
              <w:bottom w:val="nil"/>
              <w:right w:val="nil"/>
            </w:tcBorders>
            <w:shd w:val="clear" w:color="auto" w:fill="auto"/>
            <w:noWrap/>
            <w:vAlign w:val="bottom"/>
          </w:tcPr>
          <w:p w14:paraId="3448A23C" w14:textId="77777777" w:rsidR="004D1D86" w:rsidRPr="00072B21" w:rsidRDefault="004D1D86" w:rsidP="0079608A">
            <w:pPr>
              <w:spacing w:after="0"/>
              <w:rPr>
                <w:rFonts w:eastAsia="Times New Roman"/>
                <w:color w:val="000000"/>
                <w:lang w:eastAsia="en-GB"/>
              </w:rPr>
            </w:pPr>
            <w:r w:rsidRPr="00072B21">
              <w:rPr>
                <w:color w:val="000000"/>
              </w:rPr>
              <w:t>Southern and Central Asian</w:t>
            </w:r>
          </w:p>
        </w:tc>
        <w:tc>
          <w:tcPr>
            <w:tcW w:w="332" w:type="pct"/>
            <w:tcBorders>
              <w:top w:val="nil"/>
              <w:left w:val="nil"/>
              <w:bottom w:val="nil"/>
              <w:right w:val="nil"/>
            </w:tcBorders>
            <w:shd w:val="clear" w:color="auto" w:fill="auto"/>
            <w:noWrap/>
            <w:vAlign w:val="bottom"/>
          </w:tcPr>
          <w:p w14:paraId="6184AD23"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9F313A6" w14:textId="77777777" w:rsidR="004D1D86" w:rsidRPr="00072B21" w:rsidRDefault="004D1D86" w:rsidP="0079608A">
            <w:pPr>
              <w:spacing w:after="0"/>
              <w:jc w:val="center"/>
              <w:rPr>
                <w:rFonts w:eastAsia="Times New Roman"/>
                <w:color w:val="000000"/>
                <w:lang w:eastAsia="en-GB"/>
              </w:rPr>
            </w:pPr>
            <w:r w:rsidRPr="00072B21">
              <w:rPr>
                <w:color w:val="000000"/>
              </w:rPr>
              <w:t>4</w:t>
            </w:r>
          </w:p>
        </w:tc>
        <w:tc>
          <w:tcPr>
            <w:tcW w:w="799" w:type="pct"/>
            <w:tcBorders>
              <w:top w:val="nil"/>
              <w:left w:val="nil"/>
              <w:bottom w:val="nil"/>
              <w:right w:val="nil"/>
            </w:tcBorders>
            <w:shd w:val="clear" w:color="auto" w:fill="auto"/>
            <w:noWrap/>
            <w:vAlign w:val="bottom"/>
          </w:tcPr>
          <w:p w14:paraId="3D458B6A" w14:textId="77777777" w:rsidR="004D1D86" w:rsidRPr="00072B21" w:rsidRDefault="004D1D86" w:rsidP="0079608A">
            <w:pPr>
              <w:spacing w:after="0"/>
              <w:jc w:val="center"/>
              <w:rPr>
                <w:rFonts w:eastAsia="Times New Roman"/>
                <w:color w:val="000000"/>
                <w:lang w:eastAsia="en-GB"/>
              </w:rPr>
            </w:pPr>
            <w:r w:rsidRPr="00072B21">
              <w:rPr>
                <w:color w:val="000000"/>
              </w:rPr>
              <w:t>11%</w:t>
            </w:r>
          </w:p>
        </w:tc>
      </w:tr>
      <w:tr w:rsidR="004D1D86" w:rsidRPr="00072B21" w14:paraId="01452812" w14:textId="77777777" w:rsidTr="0079608A">
        <w:trPr>
          <w:trHeight w:val="320"/>
        </w:trPr>
        <w:tc>
          <w:tcPr>
            <w:tcW w:w="3254" w:type="pct"/>
            <w:tcBorders>
              <w:top w:val="nil"/>
              <w:left w:val="nil"/>
              <w:bottom w:val="nil"/>
              <w:right w:val="nil"/>
            </w:tcBorders>
            <w:shd w:val="clear" w:color="auto" w:fill="auto"/>
            <w:noWrap/>
            <w:vAlign w:val="bottom"/>
          </w:tcPr>
          <w:p w14:paraId="614F6FA1" w14:textId="77777777" w:rsidR="004D1D86" w:rsidRPr="00072B21" w:rsidRDefault="004D1D86" w:rsidP="0079608A">
            <w:pPr>
              <w:spacing w:after="0"/>
              <w:rPr>
                <w:rFonts w:eastAsia="Times New Roman"/>
                <w:color w:val="000000"/>
                <w:lang w:eastAsia="en-GB"/>
              </w:rPr>
            </w:pPr>
            <w:r w:rsidRPr="00072B21">
              <w:rPr>
                <w:color w:val="000000"/>
              </w:rPr>
              <w:lastRenderedPageBreak/>
              <w:t>Southern and Eastern European</w:t>
            </w:r>
          </w:p>
        </w:tc>
        <w:tc>
          <w:tcPr>
            <w:tcW w:w="332" w:type="pct"/>
            <w:tcBorders>
              <w:top w:val="nil"/>
              <w:left w:val="nil"/>
              <w:bottom w:val="nil"/>
              <w:right w:val="nil"/>
            </w:tcBorders>
            <w:shd w:val="clear" w:color="auto" w:fill="auto"/>
            <w:noWrap/>
            <w:vAlign w:val="bottom"/>
          </w:tcPr>
          <w:p w14:paraId="3F7A6E85"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6EEC7E5" w14:textId="77777777" w:rsidR="004D1D86" w:rsidRPr="00072B21" w:rsidRDefault="004D1D86" w:rsidP="0079608A">
            <w:pPr>
              <w:spacing w:after="0"/>
              <w:jc w:val="center"/>
              <w:rPr>
                <w:rFonts w:eastAsia="Times New Roman"/>
                <w:color w:val="000000"/>
                <w:lang w:eastAsia="en-GB"/>
              </w:rPr>
            </w:pPr>
            <w:r w:rsidRPr="00072B21">
              <w:rPr>
                <w:color w:val="000000"/>
              </w:rPr>
              <w:t>3</w:t>
            </w:r>
          </w:p>
        </w:tc>
        <w:tc>
          <w:tcPr>
            <w:tcW w:w="799" w:type="pct"/>
            <w:tcBorders>
              <w:top w:val="nil"/>
              <w:left w:val="nil"/>
              <w:bottom w:val="nil"/>
              <w:right w:val="nil"/>
            </w:tcBorders>
            <w:shd w:val="clear" w:color="auto" w:fill="auto"/>
            <w:noWrap/>
            <w:vAlign w:val="bottom"/>
          </w:tcPr>
          <w:p w14:paraId="21778565" w14:textId="77777777" w:rsidR="004D1D86" w:rsidRPr="00072B21" w:rsidRDefault="004D1D86" w:rsidP="0079608A">
            <w:pPr>
              <w:spacing w:after="0"/>
              <w:jc w:val="center"/>
              <w:rPr>
                <w:rFonts w:eastAsia="Times New Roman"/>
                <w:color w:val="000000"/>
                <w:lang w:eastAsia="en-GB"/>
              </w:rPr>
            </w:pPr>
            <w:r w:rsidRPr="00072B21">
              <w:rPr>
                <w:color w:val="000000"/>
              </w:rPr>
              <w:t>8%</w:t>
            </w:r>
          </w:p>
        </w:tc>
      </w:tr>
      <w:tr w:rsidR="004D1D86" w:rsidRPr="00072B21" w14:paraId="2A3F37F7" w14:textId="77777777" w:rsidTr="0079608A">
        <w:trPr>
          <w:trHeight w:val="320"/>
        </w:trPr>
        <w:tc>
          <w:tcPr>
            <w:tcW w:w="3254" w:type="pct"/>
            <w:tcBorders>
              <w:top w:val="nil"/>
              <w:left w:val="nil"/>
              <w:bottom w:val="nil"/>
              <w:right w:val="nil"/>
            </w:tcBorders>
            <w:shd w:val="clear" w:color="auto" w:fill="auto"/>
            <w:noWrap/>
            <w:vAlign w:val="bottom"/>
          </w:tcPr>
          <w:p w14:paraId="551EECBD" w14:textId="77777777" w:rsidR="004D1D86" w:rsidRPr="00072B21" w:rsidRDefault="004D1D86" w:rsidP="0079608A">
            <w:pPr>
              <w:spacing w:after="0"/>
              <w:rPr>
                <w:rFonts w:eastAsia="Times New Roman"/>
                <w:color w:val="000000"/>
                <w:lang w:eastAsia="en-GB"/>
              </w:rPr>
            </w:pPr>
            <w:r w:rsidRPr="00072B21">
              <w:rPr>
                <w:color w:val="000000"/>
              </w:rPr>
              <w:t>Southern and East African</w:t>
            </w:r>
          </w:p>
        </w:tc>
        <w:tc>
          <w:tcPr>
            <w:tcW w:w="332" w:type="pct"/>
            <w:tcBorders>
              <w:top w:val="nil"/>
              <w:left w:val="nil"/>
              <w:bottom w:val="nil"/>
              <w:right w:val="nil"/>
            </w:tcBorders>
            <w:shd w:val="clear" w:color="auto" w:fill="auto"/>
            <w:noWrap/>
            <w:vAlign w:val="bottom"/>
          </w:tcPr>
          <w:p w14:paraId="1E6D0354"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7256556" w14:textId="77777777" w:rsidR="004D1D86" w:rsidRPr="00072B21" w:rsidRDefault="004D1D86" w:rsidP="0079608A">
            <w:pPr>
              <w:spacing w:after="0"/>
              <w:jc w:val="center"/>
              <w:rPr>
                <w:rFonts w:eastAsia="Times New Roman"/>
                <w:color w:val="000000"/>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50AD7A72" w14:textId="77777777" w:rsidR="004D1D86" w:rsidRPr="00072B21" w:rsidRDefault="004D1D86" w:rsidP="0079608A">
            <w:pPr>
              <w:spacing w:after="0"/>
              <w:jc w:val="center"/>
              <w:rPr>
                <w:rFonts w:eastAsia="Times New Roman"/>
                <w:color w:val="000000"/>
                <w:lang w:eastAsia="en-GB"/>
              </w:rPr>
            </w:pPr>
            <w:r w:rsidRPr="00072B21">
              <w:rPr>
                <w:color w:val="000000"/>
              </w:rPr>
              <w:t>5%</w:t>
            </w:r>
          </w:p>
        </w:tc>
      </w:tr>
      <w:tr w:rsidR="004D1D86" w:rsidRPr="00072B21" w14:paraId="377CB1C8" w14:textId="77777777" w:rsidTr="0079608A">
        <w:trPr>
          <w:trHeight w:val="320"/>
        </w:trPr>
        <w:tc>
          <w:tcPr>
            <w:tcW w:w="3254" w:type="pct"/>
            <w:tcBorders>
              <w:top w:val="nil"/>
              <w:left w:val="nil"/>
              <w:bottom w:val="nil"/>
              <w:right w:val="nil"/>
            </w:tcBorders>
            <w:shd w:val="clear" w:color="auto" w:fill="auto"/>
            <w:noWrap/>
            <w:vAlign w:val="bottom"/>
          </w:tcPr>
          <w:p w14:paraId="5652BC52" w14:textId="77777777" w:rsidR="004D1D86" w:rsidRPr="00072B21" w:rsidRDefault="004D1D86" w:rsidP="0079608A">
            <w:pPr>
              <w:spacing w:after="0"/>
              <w:rPr>
                <w:rFonts w:eastAsia="Times New Roman"/>
                <w:color w:val="000000"/>
                <w:lang w:eastAsia="en-GB"/>
              </w:rPr>
            </w:pPr>
            <w:r w:rsidRPr="00072B21">
              <w:rPr>
                <w:color w:val="000000"/>
              </w:rPr>
              <w:t>Australian Aboriginal</w:t>
            </w:r>
          </w:p>
        </w:tc>
        <w:tc>
          <w:tcPr>
            <w:tcW w:w="332" w:type="pct"/>
            <w:tcBorders>
              <w:top w:val="nil"/>
              <w:left w:val="nil"/>
              <w:bottom w:val="nil"/>
              <w:right w:val="nil"/>
            </w:tcBorders>
            <w:shd w:val="clear" w:color="auto" w:fill="auto"/>
            <w:noWrap/>
            <w:vAlign w:val="bottom"/>
          </w:tcPr>
          <w:p w14:paraId="3F0F7B78"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00070BA"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3BF16A02"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743EA4BB" w14:textId="77777777" w:rsidTr="0079608A">
        <w:trPr>
          <w:trHeight w:val="320"/>
        </w:trPr>
        <w:tc>
          <w:tcPr>
            <w:tcW w:w="3254" w:type="pct"/>
            <w:tcBorders>
              <w:top w:val="nil"/>
              <w:left w:val="nil"/>
              <w:bottom w:val="nil"/>
              <w:right w:val="nil"/>
            </w:tcBorders>
            <w:shd w:val="clear" w:color="auto" w:fill="auto"/>
            <w:noWrap/>
            <w:vAlign w:val="bottom"/>
          </w:tcPr>
          <w:p w14:paraId="45BD2471" w14:textId="77777777" w:rsidR="004D1D86" w:rsidRPr="00072B21" w:rsidRDefault="004D1D86" w:rsidP="0079608A">
            <w:pPr>
              <w:spacing w:after="0"/>
              <w:rPr>
                <w:rFonts w:eastAsia="Times New Roman"/>
                <w:color w:val="000000"/>
                <w:lang w:eastAsia="en-GB"/>
              </w:rPr>
            </w:pPr>
            <w:r w:rsidRPr="00072B21">
              <w:rPr>
                <w:color w:val="000000"/>
              </w:rPr>
              <w:t>Eastern European</w:t>
            </w:r>
          </w:p>
        </w:tc>
        <w:tc>
          <w:tcPr>
            <w:tcW w:w="332" w:type="pct"/>
            <w:tcBorders>
              <w:top w:val="nil"/>
              <w:left w:val="nil"/>
              <w:bottom w:val="nil"/>
              <w:right w:val="nil"/>
            </w:tcBorders>
            <w:shd w:val="clear" w:color="auto" w:fill="auto"/>
            <w:noWrap/>
            <w:vAlign w:val="bottom"/>
          </w:tcPr>
          <w:p w14:paraId="042BD447"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07B5760"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36D3BE77"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058F94CF" w14:textId="77777777" w:rsidTr="0079608A">
        <w:trPr>
          <w:trHeight w:val="320"/>
        </w:trPr>
        <w:tc>
          <w:tcPr>
            <w:tcW w:w="3254" w:type="pct"/>
            <w:tcBorders>
              <w:top w:val="nil"/>
              <w:left w:val="nil"/>
              <w:bottom w:val="nil"/>
              <w:right w:val="nil"/>
            </w:tcBorders>
            <w:shd w:val="clear" w:color="auto" w:fill="auto"/>
            <w:noWrap/>
            <w:vAlign w:val="bottom"/>
          </w:tcPr>
          <w:p w14:paraId="2242A168" w14:textId="77777777" w:rsidR="004D1D86" w:rsidRPr="00072B21" w:rsidRDefault="004D1D86" w:rsidP="0079608A">
            <w:pPr>
              <w:spacing w:after="0"/>
              <w:rPr>
                <w:rFonts w:eastAsia="Times New Roman"/>
                <w:color w:val="000000"/>
                <w:lang w:eastAsia="en-GB"/>
              </w:rPr>
            </w:pPr>
            <w:r w:rsidRPr="00072B21">
              <w:rPr>
                <w:color w:val="000000"/>
              </w:rPr>
              <w:t>Maori</w:t>
            </w:r>
          </w:p>
        </w:tc>
        <w:tc>
          <w:tcPr>
            <w:tcW w:w="332" w:type="pct"/>
            <w:tcBorders>
              <w:top w:val="nil"/>
              <w:left w:val="nil"/>
              <w:bottom w:val="nil"/>
              <w:right w:val="nil"/>
            </w:tcBorders>
            <w:shd w:val="clear" w:color="auto" w:fill="auto"/>
            <w:noWrap/>
            <w:vAlign w:val="bottom"/>
          </w:tcPr>
          <w:p w14:paraId="7136D5D7"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FB688BF"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78A8FA19"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6F29DCB5" w14:textId="77777777" w:rsidTr="0079608A">
        <w:trPr>
          <w:trHeight w:val="320"/>
        </w:trPr>
        <w:tc>
          <w:tcPr>
            <w:tcW w:w="3254" w:type="pct"/>
            <w:tcBorders>
              <w:top w:val="nil"/>
              <w:left w:val="nil"/>
              <w:bottom w:val="nil"/>
              <w:right w:val="nil"/>
            </w:tcBorders>
            <w:shd w:val="clear" w:color="auto" w:fill="auto"/>
            <w:noWrap/>
            <w:vAlign w:val="bottom"/>
          </w:tcPr>
          <w:p w14:paraId="704C8943" w14:textId="77777777" w:rsidR="004D1D86" w:rsidRPr="00072B21" w:rsidRDefault="004D1D86" w:rsidP="0079608A">
            <w:pPr>
              <w:spacing w:after="0"/>
              <w:rPr>
                <w:rFonts w:eastAsia="Times New Roman"/>
                <w:color w:val="000000"/>
                <w:lang w:eastAsia="en-GB"/>
              </w:rPr>
            </w:pPr>
            <w:r w:rsidRPr="00072B21">
              <w:rPr>
                <w:color w:val="000000"/>
              </w:rPr>
              <w:t>Maritime South-East Asian</w:t>
            </w:r>
          </w:p>
        </w:tc>
        <w:tc>
          <w:tcPr>
            <w:tcW w:w="332" w:type="pct"/>
            <w:tcBorders>
              <w:top w:val="nil"/>
              <w:left w:val="nil"/>
              <w:bottom w:val="nil"/>
              <w:right w:val="nil"/>
            </w:tcBorders>
            <w:shd w:val="clear" w:color="auto" w:fill="auto"/>
            <w:noWrap/>
            <w:vAlign w:val="bottom"/>
          </w:tcPr>
          <w:p w14:paraId="433AB4CB"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E36A77D"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51C434C9"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6E0A76DC" w14:textId="77777777" w:rsidTr="0079608A">
        <w:trPr>
          <w:trHeight w:val="320"/>
        </w:trPr>
        <w:tc>
          <w:tcPr>
            <w:tcW w:w="3254" w:type="pct"/>
            <w:tcBorders>
              <w:top w:val="nil"/>
              <w:left w:val="nil"/>
              <w:bottom w:val="nil"/>
              <w:right w:val="nil"/>
            </w:tcBorders>
            <w:shd w:val="clear" w:color="auto" w:fill="auto"/>
            <w:noWrap/>
            <w:vAlign w:val="bottom"/>
          </w:tcPr>
          <w:p w14:paraId="3404F5DA" w14:textId="77777777" w:rsidR="004D1D86" w:rsidRPr="00072B21" w:rsidRDefault="004D1D86" w:rsidP="0079608A">
            <w:pPr>
              <w:spacing w:after="0"/>
              <w:rPr>
                <w:rFonts w:eastAsia="Times New Roman"/>
                <w:color w:val="000000"/>
                <w:lang w:eastAsia="en-GB"/>
              </w:rPr>
            </w:pPr>
            <w:r w:rsidRPr="00072B21">
              <w:rPr>
                <w:color w:val="000000"/>
              </w:rPr>
              <w:t>North-East Asian</w:t>
            </w:r>
          </w:p>
        </w:tc>
        <w:tc>
          <w:tcPr>
            <w:tcW w:w="332" w:type="pct"/>
            <w:tcBorders>
              <w:top w:val="nil"/>
              <w:left w:val="nil"/>
              <w:bottom w:val="nil"/>
              <w:right w:val="nil"/>
            </w:tcBorders>
            <w:shd w:val="clear" w:color="auto" w:fill="auto"/>
            <w:noWrap/>
            <w:vAlign w:val="bottom"/>
          </w:tcPr>
          <w:p w14:paraId="3D588DD4"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945CB7F"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559C7391"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4CFF1301" w14:textId="77777777" w:rsidTr="0079608A">
        <w:trPr>
          <w:trHeight w:val="320"/>
        </w:trPr>
        <w:tc>
          <w:tcPr>
            <w:tcW w:w="3254" w:type="pct"/>
            <w:tcBorders>
              <w:top w:val="nil"/>
              <w:left w:val="nil"/>
              <w:bottom w:val="nil"/>
              <w:right w:val="nil"/>
            </w:tcBorders>
            <w:shd w:val="clear" w:color="auto" w:fill="auto"/>
            <w:noWrap/>
            <w:vAlign w:val="bottom"/>
          </w:tcPr>
          <w:p w14:paraId="227ED96C"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7767D5AE"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657D5F0F"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15B49D31" w14:textId="77777777" w:rsidR="004D1D86" w:rsidRPr="00072B21" w:rsidRDefault="004D1D86" w:rsidP="0079608A">
            <w:pPr>
              <w:spacing w:after="0"/>
              <w:jc w:val="center"/>
              <w:rPr>
                <w:rFonts w:eastAsia="Times New Roman"/>
                <w:color w:val="000000"/>
                <w:lang w:eastAsia="en-GB"/>
              </w:rPr>
            </w:pPr>
          </w:p>
        </w:tc>
      </w:tr>
      <w:tr w:rsidR="004D1D86" w:rsidRPr="00072B21" w14:paraId="78DD6D79" w14:textId="77777777" w:rsidTr="0079608A">
        <w:trPr>
          <w:trHeight w:val="320"/>
        </w:trPr>
        <w:tc>
          <w:tcPr>
            <w:tcW w:w="3254" w:type="pct"/>
            <w:tcBorders>
              <w:top w:val="nil"/>
              <w:left w:val="nil"/>
              <w:right w:val="nil"/>
            </w:tcBorders>
            <w:shd w:val="clear" w:color="auto" w:fill="auto"/>
            <w:noWrap/>
            <w:vAlign w:val="bottom"/>
          </w:tcPr>
          <w:p w14:paraId="7088DBA9" w14:textId="77777777" w:rsidR="004D1D86" w:rsidRPr="00072B21" w:rsidRDefault="004D1D86" w:rsidP="0079608A">
            <w:pPr>
              <w:spacing w:after="0"/>
              <w:rPr>
                <w:color w:val="000000"/>
              </w:rPr>
            </w:pPr>
            <w:r w:rsidRPr="00072B21">
              <w:rPr>
                <w:rFonts w:eastAsia="Times New Roman"/>
                <w:b/>
                <w:bCs/>
                <w:color w:val="000000"/>
                <w:lang w:eastAsia="en-GB"/>
              </w:rPr>
              <w:t>Housing status</w:t>
            </w:r>
          </w:p>
        </w:tc>
        <w:tc>
          <w:tcPr>
            <w:tcW w:w="332" w:type="pct"/>
            <w:tcBorders>
              <w:top w:val="nil"/>
              <w:left w:val="nil"/>
              <w:right w:val="nil"/>
            </w:tcBorders>
            <w:shd w:val="clear" w:color="auto" w:fill="auto"/>
            <w:noWrap/>
            <w:vAlign w:val="bottom"/>
          </w:tcPr>
          <w:p w14:paraId="4D5FDB7A" w14:textId="77777777" w:rsidR="004D1D86" w:rsidRPr="00072B21" w:rsidRDefault="004D1D86" w:rsidP="0079608A">
            <w:pPr>
              <w:spacing w:after="0"/>
              <w:rPr>
                <w:rFonts w:eastAsia="Times New Roman"/>
                <w:color w:val="000000"/>
                <w:lang w:eastAsia="en-GB"/>
              </w:rPr>
            </w:pPr>
          </w:p>
        </w:tc>
        <w:tc>
          <w:tcPr>
            <w:tcW w:w="615" w:type="pct"/>
            <w:tcBorders>
              <w:top w:val="nil"/>
              <w:left w:val="nil"/>
              <w:right w:val="nil"/>
            </w:tcBorders>
            <w:shd w:val="clear" w:color="auto" w:fill="auto"/>
            <w:noWrap/>
            <w:vAlign w:val="bottom"/>
          </w:tcPr>
          <w:p w14:paraId="7173C58A" w14:textId="77777777" w:rsidR="004D1D86" w:rsidRPr="00072B21" w:rsidRDefault="004D1D86" w:rsidP="0079608A">
            <w:pPr>
              <w:spacing w:after="0"/>
              <w:jc w:val="center"/>
              <w:rPr>
                <w:color w:val="000000"/>
              </w:rPr>
            </w:pPr>
          </w:p>
        </w:tc>
        <w:tc>
          <w:tcPr>
            <w:tcW w:w="799" w:type="pct"/>
            <w:tcBorders>
              <w:top w:val="nil"/>
              <w:left w:val="nil"/>
              <w:right w:val="nil"/>
            </w:tcBorders>
            <w:shd w:val="clear" w:color="auto" w:fill="auto"/>
            <w:noWrap/>
            <w:vAlign w:val="bottom"/>
          </w:tcPr>
          <w:p w14:paraId="016E2065" w14:textId="77777777" w:rsidR="004D1D86" w:rsidRPr="00072B21" w:rsidRDefault="004D1D86" w:rsidP="0079608A">
            <w:pPr>
              <w:spacing w:after="0"/>
              <w:jc w:val="center"/>
              <w:rPr>
                <w:color w:val="000000"/>
              </w:rPr>
            </w:pPr>
          </w:p>
        </w:tc>
      </w:tr>
      <w:tr w:rsidR="004D1D86" w:rsidRPr="00072B21" w14:paraId="4EF5DCE4" w14:textId="77777777" w:rsidTr="0079608A">
        <w:trPr>
          <w:trHeight w:val="320"/>
        </w:trPr>
        <w:tc>
          <w:tcPr>
            <w:tcW w:w="3254" w:type="pct"/>
            <w:tcBorders>
              <w:top w:val="nil"/>
              <w:left w:val="nil"/>
              <w:right w:val="nil"/>
            </w:tcBorders>
            <w:shd w:val="clear" w:color="auto" w:fill="auto"/>
            <w:noWrap/>
            <w:vAlign w:val="bottom"/>
          </w:tcPr>
          <w:p w14:paraId="61BDB04B" w14:textId="77777777" w:rsidR="004D1D86" w:rsidRPr="00072B21" w:rsidRDefault="004D1D86" w:rsidP="0079608A">
            <w:pPr>
              <w:spacing w:after="0"/>
              <w:rPr>
                <w:rFonts w:eastAsia="Times New Roman"/>
                <w:b/>
                <w:bCs/>
                <w:color w:val="000000"/>
                <w:lang w:eastAsia="en-GB"/>
              </w:rPr>
            </w:pPr>
            <w:r w:rsidRPr="00072B21">
              <w:rPr>
                <w:color w:val="000000"/>
              </w:rPr>
              <w:t>With parents</w:t>
            </w:r>
          </w:p>
        </w:tc>
        <w:tc>
          <w:tcPr>
            <w:tcW w:w="332" w:type="pct"/>
            <w:tcBorders>
              <w:top w:val="nil"/>
              <w:left w:val="nil"/>
              <w:right w:val="nil"/>
            </w:tcBorders>
            <w:shd w:val="clear" w:color="auto" w:fill="auto"/>
            <w:noWrap/>
            <w:vAlign w:val="bottom"/>
          </w:tcPr>
          <w:p w14:paraId="452123DC" w14:textId="77777777" w:rsidR="004D1D86" w:rsidRPr="00072B21" w:rsidRDefault="004D1D86" w:rsidP="0079608A">
            <w:pPr>
              <w:spacing w:after="0"/>
              <w:rPr>
                <w:rFonts w:eastAsia="Times New Roman"/>
                <w:color w:val="000000"/>
                <w:lang w:eastAsia="en-GB"/>
              </w:rPr>
            </w:pPr>
          </w:p>
        </w:tc>
        <w:tc>
          <w:tcPr>
            <w:tcW w:w="615" w:type="pct"/>
            <w:tcBorders>
              <w:top w:val="nil"/>
              <w:left w:val="nil"/>
              <w:right w:val="nil"/>
            </w:tcBorders>
            <w:shd w:val="clear" w:color="auto" w:fill="auto"/>
            <w:noWrap/>
            <w:vAlign w:val="bottom"/>
          </w:tcPr>
          <w:p w14:paraId="23697701" w14:textId="77777777" w:rsidR="004D1D86" w:rsidRPr="00072B21" w:rsidRDefault="004D1D86" w:rsidP="0079608A">
            <w:pPr>
              <w:spacing w:after="0"/>
              <w:jc w:val="center"/>
              <w:rPr>
                <w:color w:val="000000"/>
              </w:rPr>
            </w:pPr>
            <w:r w:rsidRPr="00072B21">
              <w:rPr>
                <w:color w:val="000000"/>
              </w:rPr>
              <w:t>30</w:t>
            </w:r>
          </w:p>
        </w:tc>
        <w:tc>
          <w:tcPr>
            <w:tcW w:w="799" w:type="pct"/>
            <w:tcBorders>
              <w:top w:val="nil"/>
              <w:left w:val="nil"/>
              <w:right w:val="nil"/>
            </w:tcBorders>
            <w:shd w:val="clear" w:color="auto" w:fill="auto"/>
            <w:noWrap/>
            <w:vAlign w:val="bottom"/>
          </w:tcPr>
          <w:p w14:paraId="2007312A" w14:textId="77777777" w:rsidR="004D1D86" w:rsidRPr="00072B21" w:rsidRDefault="004D1D86" w:rsidP="0079608A">
            <w:pPr>
              <w:spacing w:after="0"/>
              <w:jc w:val="center"/>
              <w:rPr>
                <w:color w:val="000000"/>
              </w:rPr>
            </w:pPr>
            <w:r w:rsidRPr="00072B21">
              <w:rPr>
                <w:color w:val="000000"/>
              </w:rPr>
              <w:t>81%</w:t>
            </w:r>
          </w:p>
        </w:tc>
      </w:tr>
      <w:tr w:rsidR="004D1D86" w:rsidRPr="00072B21" w14:paraId="71C97BA0" w14:textId="77777777" w:rsidTr="0079608A">
        <w:trPr>
          <w:trHeight w:val="320"/>
        </w:trPr>
        <w:tc>
          <w:tcPr>
            <w:tcW w:w="3254" w:type="pct"/>
            <w:tcBorders>
              <w:top w:val="nil"/>
              <w:left w:val="nil"/>
              <w:bottom w:val="nil"/>
              <w:right w:val="nil"/>
            </w:tcBorders>
            <w:shd w:val="clear" w:color="auto" w:fill="auto"/>
            <w:noWrap/>
            <w:vAlign w:val="bottom"/>
          </w:tcPr>
          <w:p w14:paraId="4927FF5A" w14:textId="77777777" w:rsidR="004D1D86" w:rsidRPr="00072B21" w:rsidRDefault="004D1D86" w:rsidP="0079608A">
            <w:pPr>
              <w:spacing w:after="0"/>
              <w:rPr>
                <w:rFonts w:eastAsia="Times New Roman"/>
                <w:b/>
                <w:bCs/>
                <w:color w:val="000000"/>
                <w:lang w:eastAsia="en-GB"/>
              </w:rPr>
            </w:pPr>
            <w:r w:rsidRPr="00072B21">
              <w:rPr>
                <w:color w:val="000000"/>
              </w:rPr>
              <w:t>Shared accommodation</w:t>
            </w:r>
          </w:p>
        </w:tc>
        <w:tc>
          <w:tcPr>
            <w:tcW w:w="332" w:type="pct"/>
            <w:tcBorders>
              <w:top w:val="nil"/>
              <w:left w:val="nil"/>
              <w:bottom w:val="nil"/>
              <w:right w:val="nil"/>
            </w:tcBorders>
            <w:shd w:val="clear" w:color="auto" w:fill="auto"/>
            <w:noWrap/>
            <w:vAlign w:val="bottom"/>
          </w:tcPr>
          <w:p w14:paraId="1E7C0873"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175CD4B5" w14:textId="77777777" w:rsidR="004D1D86" w:rsidRPr="00072B21" w:rsidRDefault="004D1D86" w:rsidP="0079608A">
            <w:pPr>
              <w:spacing w:after="0"/>
              <w:jc w:val="center"/>
              <w:rPr>
                <w:rFonts w:eastAsia="Times New Roman"/>
                <w:color w:val="000000"/>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5F58EEAE" w14:textId="77777777" w:rsidR="004D1D86" w:rsidRPr="00072B21" w:rsidRDefault="004D1D86" w:rsidP="0079608A">
            <w:pPr>
              <w:spacing w:after="0"/>
              <w:jc w:val="center"/>
              <w:rPr>
                <w:rFonts w:eastAsia="Times New Roman"/>
                <w:color w:val="000000"/>
                <w:lang w:eastAsia="en-GB"/>
              </w:rPr>
            </w:pPr>
            <w:r w:rsidRPr="00072B21">
              <w:rPr>
                <w:color w:val="000000"/>
              </w:rPr>
              <w:t>5%</w:t>
            </w:r>
          </w:p>
        </w:tc>
      </w:tr>
      <w:tr w:rsidR="004D1D86" w:rsidRPr="00072B21" w14:paraId="02FE8DC3" w14:textId="77777777" w:rsidTr="0079608A">
        <w:trPr>
          <w:trHeight w:val="320"/>
        </w:trPr>
        <w:tc>
          <w:tcPr>
            <w:tcW w:w="3254" w:type="pct"/>
            <w:tcBorders>
              <w:top w:val="nil"/>
              <w:left w:val="nil"/>
              <w:bottom w:val="nil"/>
              <w:right w:val="nil"/>
            </w:tcBorders>
            <w:shd w:val="clear" w:color="auto" w:fill="auto"/>
            <w:noWrap/>
            <w:vAlign w:val="bottom"/>
          </w:tcPr>
          <w:p w14:paraId="599890F9" w14:textId="77777777" w:rsidR="004D1D86" w:rsidRPr="00072B21" w:rsidRDefault="004D1D86" w:rsidP="0079608A">
            <w:pPr>
              <w:spacing w:after="0"/>
              <w:rPr>
                <w:rFonts w:eastAsia="Times New Roman"/>
                <w:color w:val="000000"/>
                <w:lang w:eastAsia="en-GB"/>
              </w:rPr>
            </w:pPr>
            <w:r w:rsidRPr="00072B21">
              <w:rPr>
                <w:color w:val="000000"/>
              </w:rPr>
              <w:t>University residence</w:t>
            </w:r>
          </w:p>
        </w:tc>
        <w:tc>
          <w:tcPr>
            <w:tcW w:w="332" w:type="pct"/>
            <w:tcBorders>
              <w:top w:val="nil"/>
              <w:left w:val="nil"/>
              <w:bottom w:val="nil"/>
              <w:right w:val="nil"/>
            </w:tcBorders>
            <w:shd w:val="clear" w:color="auto" w:fill="auto"/>
            <w:noWrap/>
            <w:vAlign w:val="bottom"/>
          </w:tcPr>
          <w:p w14:paraId="4CFE975E"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E01D51A" w14:textId="77777777" w:rsidR="004D1D86" w:rsidRPr="00072B21" w:rsidRDefault="004D1D86" w:rsidP="0079608A">
            <w:pPr>
              <w:spacing w:after="0"/>
              <w:jc w:val="center"/>
              <w:rPr>
                <w:rFonts w:eastAsia="Times New Roman"/>
                <w:color w:val="000000"/>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07592C20" w14:textId="77777777" w:rsidR="004D1D86" w:rsidRPr="00072B21" w:rsidRDefault="004D1D86" w:rsidP="0079608A">
            <w:pPr>
              <w:spacing w:after="0"/>
              <w:jc w:val="center"/>
              <w:rPr>
                <w:rFonts w:eastAsia="Times New Roman"/>
                <w:color w:val="000000"/>
                <w:lang w:eastAsia="en-GB"/>
              </w:rPr>
            </w:pPr>
            <w:r w:rsidRPr="00072B21">
              <w:rPr>
                <w:color w:val="000000"/>
              </w:rPr>
              <w:t>5%</w:t>
            </w:r>
          </w:p>
        </w:tc>
      </w:tr>
      <w:tr w:rsidR="004D1D86" w:rsidRPr="00072B21" w14:paraId="63357E1A" w14:textId="77777777" w:rsidTr="0079608A">
        <w:trPr>
          <w:trHeight w:val="320"/>
        </w:trPr>
        <w:tc>
          <w:tcPr>
            <w:tcW w:w="3254" w:type="pct"/>
            <w:tcBorders>
              <w:top w:val="nil"/>
              <w:left w:val="nil"/>
              <w:bottom w:val="nil"/>
              <w:right w:val="nil"/>
            </w:tcBorders>
            <w:shd w:val="clear" w:color="auto" w:fill="auto"/>
            <w:noWrap/>
            <w:vAlign w:val="bottom"/>
          </w:tcPr>
          <w:p w14:paraId="7A9125E9" w14:textId="77777777" w:rsidR="004D1D86" w:rsidRPr="00072B21" w:rsidRDefault="004D1D86" w:rsidP="0079608A">
            <w:pPr>
              <w:spacing w:after="0"/>
              <w:rPr>
                <w:rFonts w:eastAsia="Times New Roman"/>
                <w:color w:val="000000"/>
                <w:lang w:eastAsia="en-GB"/>
              </w:rPr>
            </w:pPr>
            <w:r w:rsidRPr="00072B21">
              <w:rPr>
                <w:color w:val="000000"/>
              </w:rPr>
              <w:t>With partner</w:t>
            </w:r>
          </w:p>
        </w:tc>
        <w:tc>
          <w:tcPr>
            <w:tcW w:w="332" w:type="pct"/>
            <w:tcBorders>
              <w:top w:val="nil"/>
              <w:left w:val="nil"/>
              <w:bottom w:val="nil"/>
              <w:right w:val="nil"/>
            </w:tcBorders>
            <w:shd w:val="clear" w:color="auto" w:fill="auto"/>
            <w:noWrap/>
            <w:vAlign w:val="bottom"/>
          </w:tcPr>
          <w:p w14:paraId="2D686511"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18FA0CAD" w14:textId="77777777" w:rsidR="004D1D86" w:rsidRPr="00072B21" w:rsidRDefault="004D1D86" w:rsidP="0079608A">
            <w:pPr>
              <w:spacing w:after="0"/>
              <w:jc w:val="center"/>
              <w:rPr>
                <w:rFonts w:eastAsia="Times New Roman"/>
                <w:color w:val="000000"/>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4BC517F9" w14:textId="77777777" w:rsidR="004D1D86" w:rsidRPr="00072B21" w:rsidRDefault="004D1D86" w:rsidP="0079608A">
            <w:pPr>
              <w:spacing w:after="0"/>
              <w:jc w:val="center"/>
              <w:rPr>
                <w:rFonts w:eastAsia="Times New Roman"/>
                <w:color w:val="000000"/>
                <w:lang w:eastAsia="en-GB"/>
              </w:rPr>
            </w:pPr>
            <w:r w:rsidRPr="00072B21">
              <w:rPr>
                <w:color w:val="000000"/>
              </w:rPr>
              <w:t>5%</w:t>
            </w:r>
          </w:p>
        </w:tc>
      </w:tr>
      <w:tr w:rsidR="004D1D86" w:rsidRPr="00072B21" w14:paraId="431B1559" w14:textId="77777777" w:rsidTr="0079608A">
        <w:trPr>
          <w:trHeight w:val="320"/>
        </w:trPr>
        <w:tc>
          <w:tcPr>
            <w:tcW w:w="3254" w:type="pct"/>
            <w:tcBorders>
              <w:top w:val="nil"/>
              <w:left w:val="nil"/>
              <w:bottom w:val="nil"/>
              <w:right w:val="nil"/>
            </w:tcBorders>
            <w:shd w:val="clear" w:color="auto" w:fill="auto"/>
            <w:noWrap/>
            <w:vAlign w:val="bottom"/>
          </w:tcPr>
          <w:p w14:paraId="163392B3" w14:textId="77777777" w:rsidR="004D1D86" w:rsidRPr="00072B21" w:rsidRDefault="004D1D86" w:rsidP="0079608A">
            <w:pPr>
              <w:spacing w:after="0"/>
              <w:rPr>
                <w:color w:val="000000"/>
              </w:rPr>
            </w:pPr>
            <w:r>
              <w:rPr>
                <w:color w:val="000000"/>
              </w:rPr>
              <w:t>Sole resident</w:t>
            </w:r>
          </w:p>
        </w:tc>
        <w:tc>
          <w:tcPr>
            <w:tcW w:w="332" w:type="pct"/>
            <w:tcBorders>
              <w:top w:val="nil"/>
              <w:left w:val="nil"/>
              <w:bottom w:val="nil"/>
              <w:right w:val="nil"/>
            </w:tcBorders>
            <w:shd w:val="clear" w:color="auto" w:fill="auto"/>
            <w:noWrap/>
            <w:vAlign w:val="bottom"/>
          </w:tcPr>
          <w:p w14:paraId="538F9C0B"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4762229E" w14:textId="77777777" w:rsidR="004D1D86" w:rsidRPr="00072B21" w:rsidRDefault="004D1D86" w:rsidP="0079608A">
            <w:pPr>
              <w:spacing w:after="0"/>
              <w:jc w:val="center"/>
              <w:rPr>
                <w:color w:val="000000"/>
              </w:rPr>
            </w:pPr>
            <w:r w:rsidRPr="00072B21">
              <w:rPr>
                <w:color w:val="000000"/>
              </w:rPr>
              <w:t>1</w:t>
            </w:r>
          </w:p>
        </w:tc>
        <w:tc>
          <w:tcPr>
            <w:tcW w:w="799" w:type="pct"/>
            <w:tcBorders>
              <w:top w:val="nil"/>
              <w:left w:val="nil"/>
              <w:bottom w:val="nil"/>
              <w:right w:val="nil"/>
            </w:tcBorders>
            <w:shd w:val="clear" w:color="auto" w:fill="auto"/>
            <w:noWrap/>
            <w:vAlign w:val="bottom"/>
          </w:tcPr>
          <w:p w14:paraId="1AD6F253" w14:textId="77777777" w:rsidR="004D1D86" w:rsidRPr="00072B21" w:rsidRDefault="004D1D86" w:rsidP="0079608A">
            <w:pPr>
              <w:spacing w:after="0"/>
              <w:jc w:val="center"/>
              <w:rPr>
                <w:color w:val="000000"/>
              </w:rPr>
            </w:pPr>
            <w:r w:rsidRPr="00072B21">
              <w:rPr>
                <w:color w:val="000000"/>
              </w:rPr>
              <w:t>3%</w:t>
            </w:r>
          </w:p>
        </w:tc>
      </w:tr>
      <w:tr w:rsidR="004D1D86" w:rsidRPr="00072B21" w14:paraId="22B5F688" w14:textId="77777777" w:rsidTr="0079608A">
        <w:trPr>
          <w:trHeight w:val="320"/>
        </w:trPr>
        <w:tc>
          <w:tcPr>
            <w:tcW w:w="3254" w:type="pct"/>
            <w:tcBorders>
              <w:top w:val="nil"/>
              <w:left w:val="nil"/>
              <w:bottom w:val="nil"/>
              <w:right w:val="nil"/>
            </w:tcBorders>
            <w:shd w:val="clear" w:color="auto" w:fill="auto"/>
            <w:noWrap/>
            <w:vAlign w:val="bottom"/>
          </w:tcPr>
          <w:p w14:paraId="010EBDD8"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2D95B806"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63C18CA1"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133CE8A6" w14:textId="77777777" w:rsidR="004D1D86" w:rsidRPr="00072B21" w:rsidRDefault="004D1D86" w:rsidP="0079608A">
            <w:pPr>
              <w:spacing w:after="0"/>
              <w:jc w:val="center"/>
              <w:rPr>
                <w:rFonts w:eastAsia="Times New Roman"/>
                <w:color w:val="000000"/>
                <w:lang w:eastAsia="en-GB"/>
              </w:rPr>
            </w:pPr>
          </w:p>
        </w:tc>
      </w:tr>
      <w:tr w:rsidR="004D1D86" w:rsidRPr="00072B21" w14:paraId="7D868BB5" w14:textId="77777777" w:rsidTr="0079608A">
        <w:trPr>
          <w:trHeight w:val="320"/>
        </w:trPr>
        <w:tc>
          <w:tcPr>
            <w:tcW w:w="3586" w:type="pct"/>
            <w:gridSpan w:val="2"/>
            <w:tcBorders>
              <w:top w:val="nil"/>
              <w:left w:val="nil"/>
              <w:bottom w:val="nil"/>
              <w:right w:val="nil"/>
            </w:tcBorders>
            <w:shd w:val="clear" w:color="auto" w:fill="auto"/>
            <w:noWrap/>
            <w:vAlign w:val="bottom"/>
          </w:tcPr>
          <w:p w14:paraId="39BF8B29" w14:textId="77777777" w:rsidR="004D1D86" w:rsidRPr="00072B21" w:rsidRDefault="004D1D86" w:rsidP="0079608A">
            <w:pPr>
              <w:spacing w:after="0"/>
              <w:rPr>
                <w:rFonts w:eastAsia="Times New Roman"/>
                <w:b/>
                <w:bCs/>
                <w:color w:val="000000"/>
                <w:lang w:eastAsia="en-GB"/>
              </w:rPr>
            </w:pPr>
            <w:r w:rsidRPr="00072B21">
              <w:rPr>
                <w:rFonts w:eastAsia="Times New Roman"/>
                <w:b/>
                <w:bCs/>
                <w:color w:val="000000"/>
                <w:lang w:eastAsia="en-GB"/>
              </w:rPr>
              <w:t>Relationship status</w:t>
            </w:r>
          </w:p>
        </w:tc>
        <w:tc>
          <w:tcPr>
            <w:tcW w:w="615" w:type="pct"/>
            <w:tcBorders>
              <w:top w:val="nil"/>
              <w:left w:val="nil"/>
              <w:bottom w:val="nil"/>
              <w:right w:val="nil"/>
            </w:tcBorders>
            <w:shd w:val="clear" w:color="auto" w:fill="auto"/>
            <w:noWrap/>
            <w:vAlign w:val="bottom"/>
          </w:tcPr>
          <w:p w14:paraId="044A6FE0" w14:textId="77777777" w:rsidR="004D1D86" w:rsidRPr="00072B21" w:rsidRDefault="004D1D86" w:rsidP="0079608A">
            <w:pPr>
              <w:spacing w:after="0"/>
              <w:rPr>
                <w:rFonts w:eastAsia="Times New Roman"/>
                <w:b/>
                <w:bCs/>
                <w:color w:val="000000"/>
                <w:lang w:eastAsia="en-GB"/>
              </w:rPr>
            </w:pPr>
          </w:p>
        </w:tc>
        <w:tc>
          <w:tcPr>
            <w:tcW w:w="799" w:type="pct"/>
            <w:tcBorders>
              <w:top w:val="nil"/>
              <w:left w:val="nil"/>
              <w:bottom w:val="nil"/>
              <w:right w:val="nil"/>
            </w:tcBorders>
            <w:shd w:val="clear" w:color="auto" w:fill="auto"/>
            <w:noWrap/>
            <w:vAlign w:val="bottom"/>
          </w:tcPr>
          <w:p w14:paraId="36B29EE5" w14:textId="77777777" w:rsidR="004D1D86" w:rsidRPr="00072B21" w:rsidRDefault="004D1D86" w:rsidP="0079608A">
            <w:pPr>
              <w:spacing w:after="0"/>
              <w:rPr>
                <w:rFonts w:eastAsia="Times New Roman"/>
                <w:lang w:eastAsia="en-GB"/>
              </w:rPr>
            </w:pPr>
          </w:p>
        </w:tc>
      </w:tr>
      <w:tr w:rsidR="004D1D86" w:rsidRPr="00072B21" w14:paraId="6FD1DB41" w14:textId="77777777" w:rsidTr="0079608A">
        <w:trPr>
          <w:trHeight w:val="320"/>
        </w:trPr>
        <w:tc>
          <w:tcPr>
            <w:tcW w:w="3254" w:type="pct"/>
            <w:tcBorders>
              <w:top w:val="nil"/>
              <w:left w:val="nil"/>
              <w:bottom w:val="nil"/>
              <w:right w:val="nil"/>
            </w:tcBorders>
            <w:shd w:val="clear" w:color="auto" w:fill="auto"/>
            <w:noWrap/>
            <w:vAlign w:val="bottom"/>
          </w:tcPr>
          <w:p w14:paraId="2DAA9AC3" w14:textId="77777777" w:rsidR="004D1D86" w:rsidRPr="00072B21" w:rsidRDefault="004D1D86" w:rsidP="0079608A">
            <w:pPr>
              <w:spacing w:after="0"/>
              <w:rPr>
                <w:rFonts w:eastAsia="Times New Roman"/>
                <w:color w:val="000000"/>
                <w:lang w:eastAsia="en-GB"/>
              </w:rPr>
            </w:pPr>
            <w:r w:rsidRPr="00072B21">
              <w:rPr>
                <w:color w:val="000000"/>
              </w:rPr>
              <w:t>Relationship</w:t>
            </w:r>
          </w:p>
        </w:tc>
        <w:tc>
          <w:tcPr>
            <w:tcW w:w="332" w:type="pct"/>
            <w:tcBorders>
              <w:top w:val="nil"/>
              <w:left w:val="nil"/>
              <w:bottom w:val="nil"/>
              <w:right w:val="nil"/>
            </w:tcBorders>
            <w:shd w:val="clear" w:color="auto" w:fill="auto"/>
            <w:noWrap/>
            <w:vAlign w:val="bottom"/>
          </w:tcPr>
          <w:p w14:paraId="04FFF5FF"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6A8CF23A" w14:textId="77777777" w:rsidR="004D1D86" w:rsidRPr="00072B21" w:rsidRDefault="004D1D86" w:rsidP="0079608A">
            <w:pPr>
              <w:spacing w:after="0"/>
              <w:jc w:val="center"/>
              <w:rPr>
                <w:rFonts w:eastAsia="Times New Roman"/>
                <w:color w:val="000000"/>
                <w:lang w:eastAsia="en-GB"/>
              </w:rPr>
            </w:pPr>
            <w:r w:rsidRPr="00072B21">
              <w:rPr>
                <w:color w:val="000000"/>
              </w:rPr>
              <w:t>20</w:t>
            </w:r>
          </w:p>
        </w:tc>
        <w:tc>
          <w:tcPr>
            <w:tcW w:w="799" w:type="pct"/>
            <w:tcBorders>
              <w:top w:val="nil"/>
              <w:left w:val="nil"/>
              <w:bottom w:val="nil"/>
              <w:right w:val="nil"/>
            </w:tcBorders>
            <w:shd w:val="clear" w:color="auto" w:fill="auto"/>
            <w:noWrap/>
            <w:vAlign w:val="bottom"/>
          </w:tcPr>
          <w:p w14:paraId="3C359CEC" w14:textId="77777777" w:rsidR="004D1D86" w:rsidRPr="00072B21" w:rsidRDefault="004D1D86" w:rsidP="0079608A">
            <w:pPr>
              <w:spacing w:after="0"/>
              <w:jc w:val="center"/>
              <w:rPr>
                <w:rFonts w:eastAsia="Times New Roman"/>
                <w:color w:val="000000"/>
                <w:lang w:eastAsia="en-GB"/>
              </w:rPr>
            </w:pPr>
            <w:r w:rsidRPr="00072B21">
              <w:rPr>
                <w:color w:val="000000"/>
              </w:rPr>
              <w:t>54%</w:t>
            </w:r>
          </w:p>
        </w:tc>
      </w:tr>
      <w:tr w:rsidR="004D1D86" w:rsidRPr="00072B21" w14:paraId="25B0A56D" w14:textId="77777777" w:rsidTr="0079608A">
        <w:trPr>
          <w:trHeight w:val="320"/>
        </w:trPr>
        <w:tc>
          <w:tcPr>
            <w:tcW w:w="3254" w:type="pct"/>
            <w:tcBorders>
              <w:top w:val="nil"/>
              <w:left w:val="nil"/>
              <w:bottom w:val="nil"/>
              <w:right w:val="nil"/>
            </w:tcBorders>
            <w:shd w:val="clear" w:color="auto" w:fill="auto"/>
            <w:noWrap/>
            <w:vAlign w:val="bottom"/>
          </w:tcPr>
          <w:p w14:paraId="60D53E6D" w14:textId="77777777" w:rsidR="004D1D86" w:rsidRPr="00072B21" w:rsidRDefault="004D1D86" w:rsidP="0079608A">
            <w:pPr>
              <w:spacing w:after="0"/>
              <w:rPr>
                <w:rFonts w:eastAsia="Times New Roman"/>
                <w:color w:val="000000"/>
                <w:lang w:eastAsia="en-GB"/>
              </w:rPr>
            </w:pPr>
            <w:r w:rsidRPr="00072B21">
              <w:rPr>
                <w:color w:val="000000"/>
              </w:rPr>
              <w:t>Single</w:t>
            </w:r>
          </w:p>
        </w:tc>
        <w:tc>
          <w:tcPr>
            <w:tcW w:w="332" w:type="pct"/>
            <w:tcBorders>
              <w:top w:val="nil"/>
              <w:left w:val="nil"/>
              <w:bottom w:val="nil"/>
              <w:right w:val="nil"/>
            </w:tcBorders>
            <w:shd w:val="clear" w:color="auto" w:fill="auto"/>
            <w:noWrap/>
            <w:vAlign w:val="bottom"/>
          </w:tcPr>
          <w:p w14:paraId="6FC8D880"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7269ED7" w14:textId="77777777" w:rsidR="004D1D86" w:rsidRPr="00072B21" w:rsidRDefault="004D1D86" w:rsidP="0079608A">
            <w:pPr>
              <w:spacing w:after="0"/>
              <w:jc w:val="center"/>
              <w:rPr>
                <w:rFonts w:eastAsia="Times New Roman"/>
                <w:color w:val="000000"/>
                <w:lang w:eastAsia="en-GB"/>
              </w:rPr>
            </w:pPr>
            <w:r w:rsidRPr="00072B21">
              <w:rPr>
                <w:color w:val="000000"/>
              </w:rPr>
              <w:t>15</w:t>
            </w:r>
          </w:p>
        </w:tc>
        <w:tc>
          <w:tcPr>
            <w:tcW w:w="799" w:type="pct"/>
            <w:tcBorders>
              <w:top w:val="nil"/>
              <w:left w:val="nil"/>
              <w:bottom w:val="nil"/>
              <w:right w:val="nil"/>
            </w:tcBorders>
            <w:shd w:val="clear" w:color="auto" w:fill="auto"/>
            <w:noWrap/>
            <w:vAlign w:val="bottom"/>
          </w:tcPr>
          <w:p w14:paraId="6FA846CA" w14:textId="77777777" w:rsidR="004D1D86" w:rsidRPr="00072B21" w:rsidRDefault="004D1D86" w:rsidP="0079608A">
            <w:pPr>
              <w:spacing w:after="0"/>
              <w:jc w:val="center"/>
              <w:rPr>
                <w:rFonts w:eastAsia="Times New Roman"/>
                <w:color w:val="000000"/>
                <w:lang w:eastAsia="en-GB"/>
              </w:rPr>
            </w:pPr>
            <w:r w:rsidRPr="00072B21">
              <w:rPr>
                <w:color w:val="000000"/>
              </w:rPr>
              <w:t>41%</w:t>
            </w:r>
          </w:p>
        </w:tc>
      </w:tr>
      <w:tr w:rsidR="004D1D86" w:rsidRPr="00072B21" w14:paraId="458AA84B" w14:textId="77777777" w:rsidTr="0079608A">
        <w:trPr>
          <w:trHeight w:val="320"/>
        </w:trPr>
        <w:tc>
          <w:tcPr>
            <w:tcW w:w="3254" w:type="pct"/>
            <w:tcBorders>
              <w:top w:val="nil"/>
              <w:left w:val="nil"/>
              <w:bottom w:val="nil"/>
              <w:right w:val="nil"/>
            </w:tcBorders>
            <w:shd w:val="clear" w:color="auto" w:fill="auto"/>
            <w:noWrap/>
            <w:vAlign w:val="bottom"/>
          </w:tcPr>
          <w:p w14:paraId="04C70BC3" w14:textId="4CD9AC30" w:rsidR="004D1D86" w:rsidRPr="00072B21" w:rsidRDefault="004D1D86" w:rsidP="0079608A">
            <w:pPr>
              <w:spacing w:after="0"/>
              <w:rPr>
                <w:color w:val="000000"/>
              </w:rPr>
            </w:pPr>
            <w:r w:rsidRPr="00072B21">
              <w:rPr>
                <w:color w:val="000000"/>
              </w:rPr>
              <w:t>Casual dating</w:t>
            </w:r>
          </w:p>
        </w:tc>
        <w:tc>
          <w:tcPr>
            <w:tcW w:w="332" w:type="pct"/>
            <w:tcBorders>
              <w:top w:val="nil"/>
              <w:left w:val="nil"/>
              <w:bottom w:val="nil"/>
              <w:right w:val="nil"/>
            </w:tcBorders>
            <w:shd w:val="clear" w:color="auto" w:fill="auto"/>
            <w:noWrap/>
            <w:vAlign w:val="bottom"/>
          </w:tcPr>
          <w:p w14:paraId="631ADE0D"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18C58AFE" w14:textId="77777777" w:rsidR="004D1D86" w:rsidRPr="00072B21" w:rsidRDefault="004D1D86" w:rsidP="0079608A">
            <w:pPr>
              <w:spacing w:after="0"/>
              <w:jc w:val="center"/>
              <w:rPr>
                <w:color w:val="000000"/>
              </w:rPr>
            </w:pPr>
            <w:r w:rsidRPr="00072B21">
              <w:rPr>
                <w:color w:val="000000"/>
              </w:rPr>
              <w:t>2</w:t>
            </w:r>
          </w:p>
        </w:tc>
        <w:tc>
          <w:tcPr>
            <w:tcW w:w="799" w:type="pct"/>
            <w:tcBorders>
              <w:top w:val="nil"/>
              <w:left w:val="nil"/>
              <w:bottom w:val="nil"/>
              <w:right w:val="nil"/>
            </w:tcBorders>
            <w:shd w:val="clear" w:color="auto" w:fill="auto"/>
            <w:noWrap/>
            <w:vAlign w:val="bottom"/>
          </w:tcPr>
          <w:p w14:paraId="6D71E5D2" w14:textId="77777777" w:rsidR="004D1D86" w:rsidRPr="00072B21" w:rsidRDefault="004D1D86" w:rsidP="0079608A">
            <w:pPr>
              <w:spacing w:after="0"/>
              <w:jc w:val="center"/>
              <w:rPr>
                <w:color w:val="000000"/>
              </w:rPr>
            </w:pPr>
            <w:r w:rsidRPr="00072B21">
              <w:rPr>
                <w:color w:val="000000"/>
              </w:rPr>
              <w:t>5%</w:t>
            </w:r>
          </w:p>
        </w:tc>
      </w:tr>
      <w:tr w:rsidR="004D1D86" w:rsidRPr="00072B21" w14:paraId="21A0E34D" w14:textId="77777777" w:rsidTr="0079608A">
        <w:trPr>
          <w:trHeight w:val="320"/>
        </w:trPr>
        <w:tc>
          <w:tcPr>
            <w:tcW w:w="3254" w:type="pct"/>
            <w:tcBorders>
              <w:top w:val="nil"/>
              <w:left w:val="nil"/>
              <w:bottom w:val="nil"/>
              <w:right w:val="nil"/>
            </w:tcBorders>
            <w:shd w:val="clear" w:color="auto" w:fill="auto"/>
            <w:noWrap/>
            <w:vAlign w:val="bottom"/>
          </w:tcPr>
          <w:p w14:paraId="73671A96"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5573E86C"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AA861DB"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08BEFA9C" w14:textId="77777777" w:rsidR="004D1D86" w:rsidRPr="00072B21" w:rsidRDefault="004D1D86" w:rsidP="0079608A">
            <w:pPr>
              <w:spacing w:after="0"/>
              <w:jc w:val="center"/>
              <w:rPr>
                <w:rFonts w:eastAsia="Times New Roman"/>
                <w:color w:val="000000"/>
                <w:lang w:eastAsia="en-GB"/>
              </w:rPr>
            </w:pPr>
          </w:p>
        </w:tc>
      </w:tr>
      <w:tr w:rsidR="004D1D86" w:rsidRPr="00072B21" w14:paraId="7CFAFFBC" w14:textId="77777777" w:rsidTr="0079608A">
        <w:trPr>
          <w:trHeight w:val="320"/>
        </w:trPr>
        <w:tc>
          <w:tcPr>
            <w:tcW w:w="3254" w:type="pct"/>
            <w:tcBorders>
              <w:top w:val="nil"/>
              <w:left w:val="nil"/>
              <w:bottom w:val="nil"/>
              <w:right w:val="nil"/>
            </w:tcBorders>
            <w:shd w:val="clear" w:color="auto" w:fill="auto"/>
            <w:noWrap/>
            <w:vAlign w:val="bottom"/>
          </w:tcPr>
          <w:p w14:paraId="343CD664" w14:textId="77777777" w:rsidR="004D1D86" w:rsidRPr="00072B21" w:rsidRDefault="004D1D86" w:rsidP="0079608A">
            <w:pPr>
              <w:spacing w:after="0"/>
              <w:rPr>
                <w:rFonts w:eastAsia="Times New Roman"/>
                <w:b/>
                <w:bCs/>
                <w:color w:val="000000"/>
                <w:lang w:eastAsia="en-GB"/>
              </w:rPr>
            </w:pPr>
            <w:r w:rsidRPr="00072B21">
              <w:rPr>
                <w:rFonts w:eastAsia="Times New Roman"/>
                <w:b/>
                <w:bCs/>
                <w:color w:val="000000"/>
                <w:lang w:eastAsia="en-GB"/>
              </w:rPr>
              <w:t>Relationship style</w:t>
            </w:r>
          </w:p>
        </w:tc>
        <w:tc>
          <w:tcPr>
            <w:tcW w:w="332" w:type="pct"/>
            <w:tcBorders>
              <w:top w:val="nil"/>
              <w:left w:val="nil"/>
              <w:bottom w:val="nil"/>
              <w:right w:val="nil"/>
            </w:tcBorders>
            <w:shd w:val="clear" w:color="auto" w:fill="auto"/>
            <w:noWrap/>
            <w:vAlign w:val="bottom"/>
          </w:tcPr>
          <w:p w14:paraId="1CF996DE"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E1D82A3"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3D2985B3" w14:textId="77777777" w:rsidR="004D1D86" w:rsidRPr="00072B21" w:rsidRDefault="004D1D86" w:rsidP="0079608A">
            <w:pPr>
              <w:spacing w:after="0"/>
              <w:jc w:val="center"/>
              <w:rPr>
                <w:rFonts w:eastAsia="Times New Roman"/>
                <w:color w:val="000000"/>
                <w:lang w:eastAsia="en-GB"/>
              </w:rPr>
            </w:pPr>
          </w:p>
        </w:tc>
      </w:tr>
      <w:tr w:rsidR="004D1D86" w:rsidRPr="00072B21" w14:paraId="6454DC64" w14:textId="77777777" w:rsidTr="0079608A">
        <w:trPr>
          <w:trHeight w:val="320"/>
        </w:trPr>
        <w:tc>
          <w:tcPr>
            <w:tcW w:w="3254" w:type="pct"/>
            <w:tcBorders>
              <w:top w:val="nil"/>
              <w:left w:val="nil"/>
              <w:bottom w:val="nil"/>
              <w:right w:val="nil"/>
            </w:tcBorders>
            <w:shd w:val="clear" w:color="auto" w:fill="auto"/>
            <w:noWrap/>
            <w:vAlign w:val="bottom"/>
          </w:tcPr>
          <w:p w14:paraId="4431DC16" w14:textId="77777777" w:rsidR="004D1D86" w:rsidRPr="00072B21" w:rsidRDefault="004D1D86" w:rsidP="0079608A">
            <w:pPr>
              <w:spacing w:after="0"/>
              <w:rPr>
                <w:rFonts w:eastAsia="Times New Roman"/>
                <w:color w:val="000000"/>
                <w:lang w:eastAsia="en-GB"/>
              </w:rPr>
            </w:pPr>
            <w:r w:rsidRPr="00072B21">
              <w:rPr>
                <w:color w:val="000000"/>
              </w:rPr>
              <w:t>Monogamous</w:t>
            </w:r>
          </w:p>
        </w:tc>
        <w:tc>
          <w:tcPr>
            <w:tcW w:w="332" w:type="pct"/>
            <w:tcBorders>
              <w:top w:val="nil"/>
              <w:left w:val="nil"/>
              <w:bottom w:val="nil"/>
              <w:right w:val="nil"/>
            </w:tcBorders>
            <w:shd w:val="clear" w:color="auto" w:fill="auto"/>
            <w:noWrap/>
            <w:vAlign w:val="bottom"/>
          </w:tcPr>
          <w:p w14:paraId="47D51D85"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5DA55E0" w14:textId="77777777" w:rsidR="004D1D86" w:rsidRPr="00072B21" w:rsidRDefault="004D1D86" w:rsidP="0079608A">
            <w:pPr>
              <w:spacing w:after="0"/>
              <w:jc w:val="center"/>
              <w:rPr>
                <w:rFonts w:eastAsia="Times New Roman"/>
                <w:lang w:eastAsia="en-GB"/>
              </w:rPr>
            </w:pPr>
            <w:r w:rsidRPr="00072B21">
              <w:rPr>
                <w:color w:val="000000"/>
              </w:rPr>
              <w:t>32</w:t>
            </w:r>
          </w:p>
        </w:tc>
        <w:tc>
          <w:tcPr>
            <w:tcW w:w="799" w:type="pct"/>
            <w:tcBorders>
              <w:top w:val="nil"/>
              <w:left w:val="nil"/>
              <w:bottom w:val="nil"/>
              <w:right w:val="nil"/>
            </w:tcBorders>
            <w:shd w:val="clear" w:color="auto" w:fill="auto"/>
            <w:noWrap/>
            <w:vAlign w:val="bottom"/>
          </w:tcPr>
          <w:p w14:paraId="341D550E" w14:textId="77777777" w:rsidR="004D1D86" w:rsidRPr="00072B21" w:rsidRDefault="004D1D86" w:rsidP="0079608A">
            <w:pPr>
              <w:spacing w:after="0"/>
              <w:jc w:val="center"/>
              <w:rPr>
                <w:rFonts w:eastAsia="Times New Roman"/>
                <w:lang w:eastAsia="en-GB"/>
              </w:rPr>
            </w:pPr>
            <w:r w:rsidRPr="00072B21">
              <w:rPr>
                <w:color w:val="000000"/>
              </w:rPr>
              <w:t>86%</w:t>
            </w:r>
          </w:p>
        </w:tc>
      </w:tr>
      <w:tr w:rsidR="004D1D86" w:rsidRPr="00072B21" w14:paraId="38BFBBD8" w14:textId="77777777" w:rsidTr="0079608A">
        <w:trPr>
          <w:trHeight w:val="320"/>
        </w:trPr>
        <w:tc>
          <w:tcPr>
            <w:tcW w:w="3254" w:type="pct"/>
            <w:tcBorders>
              <w:top w:val="nil"/>
              <w:left w:val="nil"/>
              <w:bottom w:val="nil"/>
              <w:right w:val="nil"/>
            </w:tcBorders>
            <w:shd w:val="clear" w:color="auto" w:fill="auto"/>
            <w:noWrap/>
            <w:vAlign w:val="bottom"/>
          </w:tcPr>
          <w:p w14:paraId="2697CE28" w14:textId="77777777" w:rsidR="004D1D86" w:rsidRPr="00072B21" w:rsidRDefault="004D1D86" w:rsidP="0079608A">
            <w:pPr>
              <w:spacing w:after="0"/>
              <w:rPr>
                <w:color w:val="000000"/>
              </w:rPr>
            </w:pPr>
            <w:r w:rsidRPr="00072B21">
              <w:rPr>
                <w:color w:val="000000"/>
              </w:rPr>
              <w:t>Either</w:t>
            </w:r>
          </w:p>
        </w:tc>
        <w:tc>
          <w:tcPr>
            <w:tcW w:w="332" w:type="pct"/>
            <w:tcBorders>
              <w:top w:val="nil"/>
              <w:left w:val="nil"/>
              <w:bottom w:val="nil"/>
              <w:right w:val="nil"/>
            </w:tcBorders>
            <w:shd w:val="clear" w:color="auto" w:fill="auto"/>
            <w:noWrap/>
            <w:vAlign w:val="bottom"/>
          </w:tcPr>
          <w:p w14:paraId="28CCA89A"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4E6CEE24" w14:textId="77777777" w:rsidR="004D1D86" w:rsidRPr="00072B21" w:rsidRDefault="004D1D86" w:rsidP="0079608A">
            <w:pPr>
              <w:spacing w:after="0"/>
              <w:jc w:val="center"/>
              <w:rPr>
                <w:color w:val="000000"/>
              </w:rPr>
            </w:pPr>
            <w:r w:rsidRPr="00072B21">
              <w:rPr>
                <w:color w:val="000000"/>
              </w:rPr>
              <w:t>4</w:t>
            </w:r>
          </w:p>
        </w:tc>
        <w:tc>
          <w:tcPr>
            <w:tcW w:w="799" w:type="pct"/>
            <w:tcBorders>
              <w:top w:val="nil"/>
              <w:left w:val="nil"/>
              <w:bottom w:val="nil"/>
              <w:right w:val="nil"/>
            </w:tcBorders>
            <w:shd w:val="clear" w:color="auto" w:fill="auto"/>
            <w:noWrap/>
            <w:vAlign w:val="bottom"/>
          </w:tcPr>
          <w:p w14:paraId="43F8BEE2" w14:textId="77777777" w:rsidR="004D1D86" w:rsidRPr="00072B21" w:rsidRDefault="004D1D86" w:rsidP="0079608A">
            <w:pPr>
              <w:spacing w:after="0"/>
              <w:jc w:val="center"/>
              <w:rPr>
                <w:color w:val="000000"/>
              </w:rPr>
            </w:pPr>
            <w:r w:rsidRPr="00072B21">
              <w:rPr>
                <w:color w:val="000000"/>
              </w:rPr>
              <w:t>11%</w:t>
            </w:r>
          </w:p>
        </w:tc>
      </w:tr>
      <w:tr w:rsidR="004D1D86" w:rsidRPr="00072B21" w14:paraId="15FA77BE" w14:textId="77777777" w:rsidTr="0079608A">
        <w:trPr>
          <w:trHeight w:val="320"/>
        </w:trPr>
        <w:tc>
          <w:tcPr>
            <w:tcW w:w="3254" w:type="pct"/>
            <w:tcBorders>
              <w:top w:val="nil"/>
              <w:left w:val="nil"/>
              <w:bottom w:val="nil"/>
              <w:right w:val="nil"/>
            </w:tcBorders>
            <w:shd w:val="clear" w:color="auto" w:fill="auto"/>
            <w:noWrap/>
            <w:vAlign w:val="bottom"/>
          </w:tcPr>
          <w:p w14:paraId="2E961BD8" w14:textId="77777777" w:rsidR="004D1D86" w:rsidRPr="00072B21" w:rsidRDefault="004D1D86" w:rsidP="0079608A">
            <w:pPr>
              <w:spacing w:after="0"/>
              <w:rPr>
                <w:color w:val="000000"/>
              </w:rPr>
            </w:pPr>
            <w:r w:rsidRPr="00072B21">
              <w:rPr>
                <w:color w:val="000000"/>
              </w:rPr>
              <w:t>Polyamorous</w:t>
            </w:r>
          </w:p>
        </w:tc>
        <w:tc>
          <w:tcPr>
            <w:tcW w:w="332" w:type="pct"/>
            <w:tcBorders>
              <w:top w:val="nil"/>
              <w:left w:val="nil"/>
              <w:bottom w:val="nil"/>
              <w:right w:val="nil"/>
            </w:tcBorders>
            <w:shd w:val="clear" w:color="auto" w:fill="auto"/>
            <w:noWrap/>
            <w:vAlign w:val="bottom"/>
          </w:tcPr>
          <w:p w14:paraId="4FB70728"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3B9A73A1" w14:textId="77777777" w:rsidR="004D1D86" w:rsidRPr="00072B21" w:rsidRDefault="004D1D86" w:rsidP="0079608A">
            <w:pPr>
              <w:spacing w:after="0"/>
              <w:jc w:val="center"/>
              <w:rPr>
                <w:color w:val="000000"/>
              </w:rPr>
            </w:pPr>
            <w:r w:rsidRPr="00072B21">
              <w:rPr>
                <w:color w:val="000000"/>
              </w:rPr>
              <w:t>1</w:t>
            </w:r>
          </w:p>
        </w:tc>
        <w:tc>
          <w:tcPr>
            <w:tcW w:w="799" w:type="pct"/>
            <w:tcBorders>
              <w:top w:val="nil"/>
              <w:left w:val="nil"/>
              <w:bottom w:val="nil"/>
              <w:right w:val="nil"/>
            </w:tcBorders>
            <w:shd w:val="clear" w:color="auto" w:fill="auto"/>
            <w:noWrap/>
            <w:vAlign w:val="bottom"/>
          </w:tcPr>
          <w:p w14:paraId="2F52C91F" w14:textId="77777777" w:rsidR="004D1D86" w:rsidRPr="00072B21" w:rsidRDefault="004D1D86" w:rsidP="0079608A">
            <w:pPr>
              <w:spacing w:after="0"/>
              <w:jc w:val="center"/>
              <w:rPr>
                <w:color w:val="000000"/>
              </w:rPr>
            </w:pPr>
            <w:r w:rsidRPr="00072B21">
              <w:rPr>
                <w:color w:val="000000"/>
              </w:rPr>
              <w:t>3%</w:t>
            </w:r>
          </w:p>
        </w:tc>
      </w:tr>
      <w:tr w:rsidR="004D1D86" w:rsidRPr="00072B21" w14:paraId="690E39A9" w14:textId="77777777" w:rsidTr="0079608A">
        <w:trPr>
          <w:trHeight w:val="320"/>
        </w:trPr>
        <w:tc>
          <w:tcPr>
            <w:tcW w:w="3254" w:type="pct"/>
            <w:tcBorders>
              <w:top w:val="nil"/>
              <w:left w:val="nil"/>
              <w:bottom w:val="nil"/>
              <w:right w:val="nil"/>
            </w:tcBorders>
            <w:shd w:val="clear" w:color="auto" w:fill="auto"/>
            <w:noWrap/>
            <w:vAlign w:val="bottom"/>
          </w:tcPr>
          <w:p w14:paraId="44D06075" w14:textId="77777777" w:rsidR="004D1D86" w:rsidRPr="00072B21" w:rsidRDefault="004D1D86" w:rsidP="0079608A">
            <w:pPr>
              <w:spacing w:after="0"/>
              <w:jc w:val="center"/>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09113755"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74846EA6" w14:textId="77777777" w:rsidR="004D1D86" w:rsidRPr="00072B21" w:rsidRDefault="004D1D86" w:rsidP="0079608A">
            <w:pPr>
              <w:spacing w:after="0"/>
              <w:jc w:val="center"/>
              <w:rPr>
                <w:rFonts w:eastAsia="Times New Roman"/>
                <w:lang w:eastAsia="en-GB"/>
              </w:rPr>
            </w:pPr>
          </w:p>
        </w:tc>
        <w:tc>
          <w:tcPr>
            <w:tcW w:w="799" w:type="pct"/>
            <w:tcBorders>
              <w:top w:val="nil"/>
              <w:left w:val="nil"/>
              <w:bottom w:val="nil"/>
              <w:right w:val="nil"/>
            </w:tcBorders>
            <w:shd w:val="clear" w:color="auto" w:fill="auto"/>
            <w:noWrap/>
            <w:vAlign w:val="bottom"/>
          </w:tcPr>
          <w:p w14:paraId="1795CE0B" w14:textId="77777777" w:rsidR="004D1D86" w:rsidRPr="00072B21" w:rsidRDefault="004D1D86" w:rsidP="0079608A">
            <w:pPr>
              <w:spacing w:after="0"/>
              <w:jc w:val="center"/>
              <w:rPr>
                <w:rFonts w:eastAsia="Times New Roman"/>
                <w:lang w:eastAsia="en-GB"/>
              </w:rPr>
            </w:pPr>
          </w:p>
        </w:tc>
      </w:tr>
      <w:tr w:rsidR="004D1D86" w:rsidRPr="00072B21" w14:paraId="7DEC4F4C" w14:textId="77777777" w:rsidTr="0079608A">
        <w:trPr>
          <w:trHeight w:val="320"/>
        </w:trPr>
        <w:tc>
          <w:tcPr>
            <w:tcW w:w="3254" w:type="pct"/>
            <w:tcBorders>
              <w:top w:val="nil"/>
              <w:left w:val="nil"/>
              <w:bottom w:val="nil"/>
              <w:right w:val="nil"/>
            </w:tcBorders>
            <w:shd w:val="clear" w:color="auto" w:fill="auto"/>
            <w:noWrap/>
            <w:vAlign w:val="bottom"/>
          </w:tcPr>
          <w:p w14:paraId="61C6F50A"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Religion</w:t>
            </w:r>
          </w:p>
        </w:tc>
        <w:tc>
          <w:tcPr>
            <w:tcW w:w="332" w:type="pct"/>
            <w:tcBorders>
              <w:top w:val="nil"/>
              <w:left w:val="nil"/>
              <w:bottom w:val="nil"/>
              <w:right w:val="nil"/>
            </w:tcBorders>
            <w:shd w:val="clear" w:color="auto" w:fill="auto"/>
            <w:noWrap/>
            <w:vAlign w:val="bottom"/>
          </w:tcPr>
          <w:p w14:paraId="28B36902"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05D04C8B" w14:textId="77777777" w:rsidR="004D1D86" w:rsidRPr="00072B21" w:rsidRDefault="004D1D86" w:rsidP="0079608A">
            <w:pPr>
              <w:spacing w:after="0"/>
              <w:jc w:val="center"/>
              <w:rPr>
                <w:rFonts w:eastAsia="Times New Roman"/>
                <w:lang w:eastAsia="en-GB"/>
              </w:rPr>
            </w:pPr>
          </w:p>
        </w:tc>
        <w:tc>
          <w:tcPr>
            <w:tcW w:w="799" w:type="pct"/>
            <w:tcBorders>
              <w:top w:val="nil"/>
              <w:left w:val="nil"/>
              <w:bottom w:val="nil"/>
              <w:right w:val="nil"/>
            </w:tcBorders>
            <w:shd w:val="clear" w:color="auto" w:fill="auto"/>
            <w:noWrap/>
            <w:vAlign w:val="bottom"/>
          </w:tcPr>
          <w:p w14:paraId="231529AB" w14:textId="77777777" w:rsidR="004D1D86" w:rsidRPr="00072B21" w:rsidRDefault="004D1D86" w:rsidP="0079608A">
            <w:pPr>
              <w:spacing w:after="0"/>
              <w:jc w:val="center"/>
              <w:rPr>
                <w:rFonts w:eastAsia="Times New Roman"/>
                <w:lang w:eastAsia="en-GB"/>
              </w:rPr>
            </w:pPr>
          </w:p>
        </w:tc>
      </w:tr>
      <w:tr w:rsidR="004D1D86" w:rsidRPr="00072B21" w14:paraId="5E36A165" w14:textId="77777777" w:rsidTr="0079608A">
        <w:trPr>
          <w:trHeight w:val="320"/>
        </w:trPr>
        <w:tc>
          <w:tcPr>
            <w:tcW w:w="3254" w:type="pct"/>
            <w:tcBorders>
              <w:top w:val="nil"/>
              <w:left w:val="nil"/>
              <w:bottom w:val="nil"/>
              <w:right w:val="nil"/>
            </w:tcBorders>
            <w:shd w:val="clear" w:color="auto" w:fill="auto"/>
            <w:noWrap/>
            <w:vAlign w:val="bottom"/>
          </w:tcPr>
          <w:p w14:paraId="6DAB1011" w14:textId="77777777" w:rsidR="004D1D86" w:rsidRPr="00072B21" w:rsidRDefault="004D1D86" w:rsidP="0079608A">
            <w:pPr>
              <w:spacing w:after="0"/>
              <w:rPr>
                <w:color w:val="000000"/>
              </w:rPr>
            </w:pPr>
            <w:r w:rsidRPr="00072B21">
              <w:rPr>
                <w:color w:val="000000"/>
              </w:rPr>
              <w:t>Not religious</w:t>
            </w:r>
          </w:p>
        </w:tc>
        <w:tc>
          <w:tcPr>
            <w:tcW w:w="332" w:type="pct"/>
            <w:tcBorders>
              <w:top w:val="nil"/>
              <w:left w:val="nil"/>
              <w:bottom w:val="nil"/>
              <w:right w:val="nil"/>
            </w:tcBorders>
            <w:shd w:val="clear" w:color="auto" w:fill="auto"/>
            <w:noWrap/>
            <w:vAlign w:val="bottom"/>
          </w:tcPr>
          <w:p w14:paraId="569446F3"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1172ABFA" w14:textId="77777777" w:rsidR="004D1D86" w:rsidRPr="00072B21" w:rsidRDefault="004D1D86" w:rsidP="0079608A">
            <w:pPr>
              <w:spacing w:after="0"/>
              <w:jc w:val="center"/>
              <w:rPr>
                <w:color w:val="000000"/>
              </w:rPr>
            </w:pPr>
            <w:r w:rsidRPr="00072B21">
              <w:rPr>
                <w:color w:val="000000"/>
              </w:rPr>
              <w:t>21</w:t>
            </w:r>
          </w:p>
        </w:tc>
        <w:tc>
          <w:tcPr>
            <w:tcW w:w="799" w:type="pct"/>
            <w:tcBorders>
              <w:top w:val="nil"/>
              <w:left w:val="nil"/>
              <w:bottom w:val="nil"/>
              <w:right w:val="nil"/>
            </w:tcBorders>
            <w:shd w:val="clear" w:color="auto" w:fill="auto"/>
            <w:noWrap/>
            <w:vAlign w:val="bottom"/>
          </w:tcPr>
          <w:p w14:paraId="773C452C" w14:textId="77777777" w:rsidR="004D1D86" w:rsidRPr="00072B21" w:rsidRDefault="004D1D86" w:rsidP="0079608A">
            <w:pPr>
              <w:spacing w:after="0"/>
              <w:jc w:val="center"/>
              <w:rPr>
                <w:color w:val="000000"/>
              </w:rPr>
            </w:pPr>
            <w:r w:rsidRPr="00072B21">
              <w:rPr>
                <w:color w:val="000000"/>
              </w:rPr>
              <w:t>57%</w:t>
            </w:r>
          </w:p>
        </w:tc>
      </w:tr>
      <w:tr w:rsidR="004D1D86" w:rsidRPr="00072B21" w14:paraId="62785352" w14:textId="77777777" w:rsidTr="0079608A">
        <w:trPr>
          <w:trHeight w:val="320"/>
        </w:trPr>
        <w:tc>
          <w:tcPr>
            <w:tcW w:w="3254" w:type="pct"/>
            <w:tcBorders>
              <w:top w:val="nil"/>
              <w:left w:val="nil"/>
              <w:bottom w:val="nil"/>
              <w:right w:val="nil"/>
            </w:tcBorders>
            <w:shd w:val="clear" w:color="auto" w:fill="auto"/>
            <w:noWrap/>
            <w:vAlign w:val="bottom"/>
          </w:tcPr>
          <w:p w14:paraId="70DA75A2" w14:textId="77777777" w:rsidR="004D1D86" w:rsidRPr="00072B21" w:rsidRDefault="004D1D86" w:rsidP="0079608A">
            <w:pPr>
              <w:spacing w:after="0"/>
              <w:rPr>
                <w:color w:val="000000"/>
              </w:rPr>
            </w:pPr>
            <w:r w:rsidRPr="00072B21">
              <w:rPr>
                <w:color w:val="000000"/>
              </w:rPr>
              <w:t>Christian</w:t>
            </w:r>
          </w:p>
        </w:tc>
        <w:tc>
          <w:tcPr>
            <w:tcW w:w="332" w:type="pct"/>
            <w:tcBorders>
              <w:top w:val="nil"/>
              <w:left w:val="nil"/>
              <w:bottom w:val="nil"/>
              <w:right w:val="nil"/>
            </w:tcBorders>
            <w:shd w:val="clear" w:color="auto" w:fill="auto"/>
            <w:noWrap/>
            <w:vAlign w:val="bottom"/>
          </w:tcPr>
          <w:p w14:paraId="07DFAECF"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2B41DE7E" w14:textId="77777777" w:rsidR="004D1D86" w:rsidRPr="00072B21" w:rsidRDefault="004D1D86" w:rsidP="0079608A">
            <w:pPr>
              <w:spacing w:after="0"/>
              <w:jc w:val="center"/>
              <w:rPr>
                <w:color w:val="000000"/>
              </w:rPr>
            </w:pPr>
            <w:r w:rsidRPr="00072B21">
              <w:rPr>
                <w:color w:val="000000"/>
              </w:rPr>
              <w:t>5</w:t>
            </w:r>
          </w:p>
        </w:tc>
        <w:tc>
          <w:tcPr>
            <w:tcW w:w="799" w:type="pct"/>
            <w:tcBorders>
              <w:top w:val="nil"/>
              <w:left w:val="nil"/>
              <w:bottom w:val="nil"/>
              <w:right w:val="nil"/>
            </w:tcBorders>
            <w:shd w:val="clear" w:color="auto" w:fill="auto"/>
            <w:noWrap/>
            <w:vAlign w:val="bottom"/>
          </w:tcPr>
          <w:p w14:paraId="19015075" w14:textId="77777777" w:rsidR="004D1D86" w:rsidRPr="00072B21" w:rsidRDefault="004D1D86" w:rsidP="0079608A">
            <w:pPr>
              <w:spacing w:after="0"/>
              <w:jc w:val="center"/>
              <w:rPr>
                <w:color w:val="000000"/>
              </w:rPr>
            </w:pPr>
            <w:r w:rsidRPr="00072B21">
              <w:rPr>
                <w:color w:val="000000"/>
              </w:rPr>
              <w:t>14%</w:t>
            </w:r>
          </w:p>
        </w:tc>
      </w:tr>
      <w:tr w:rsidR="004D1D86" w:rsidRPr="00072B21" w14:paraId="75463D34" w14:textId="77777777" w:rsidTr="0079608A">
        <w:trPr>
          <w:trHeight w:val="320"/>
        </w:trPr>
        <w:tc>
          <w:tcPr>
            <w:tcW w:w="3254" w:type="pct"/>
            <w:tcBorders>
              <w:top w:val="nil"/>
              <w:left w:val="nil"/>
              <w:bottom w:val="nil"/>
              <w:right w:val="nil"/>
            </w:tcBorders>
            <w:shd w:val="clear" w:color="auto" w:fill="auto"/>
            <w:noWrap/>
            <w:vAlign w:val="bottom"/>
          </w:tcPr>
          <w:p w14:paraId="3D21612F" w14:textId="77777777" w:rsidR="004D1D86" w:rsidRPr="00072B21" w:rsidRDefault="004D1D86" w:rsidP="0079608A">
            <w:pPr>
              <w:spacing w:after="0"/>
              <w:rPr>
                <w:color w:val="000000"/>
              </w:rPr>
            </w:pPr>
            <w:r w:rsidRPr="00072B21">
              <w:rPr>
                <w:color w:val="000000"/>
              </w:rPr>
              <w:t>Catholic</w:t>
            </w:r>
          </w:p>
        </w:tc>
        <w:tc>
          <w:tcPr>
            <w:tcW w:w="332" w:type="pct"/>
            <w:tcBorders>
              <w:top w:val="nil"/>
              <w:left w:val="nil"/>
              <w:bottom w:val="nil"/>
              <w:right w:val="nil"/>
            </w:tcBorders>
            <w:shd w:val="clear" w:color="auto" w:fill="auto"/>
            <w:noWrap/>
            <w:vAlign w:val="bottom"/>
          </w:tcPr>
          <w:p w14:paraId="449A0D3C"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64FA835F" w14:textId="77777777" w:rsidR="004D1D86" w:rsidRPr="00072B21" w:rsidRDefault="004D1D86" w:rsidP="0079608A">
            <w:pPr>
              <w:spacing w:after="0"/>
              <w:jc w:val="center"/>
              <w:rPr>
                <w:color w:val="000000"/>
              </w:rPr>
            </w:pPr>
            <w:r w:rsidRPr="00072B21">
              <w:rPr>
                <w:color w:val="000000"/>
              </w:rPr>
              <w:t>3</w:t>
            </w:r>
          </w:p>
        </w:tc>
        <w:tc>
          <w:tcPr>
            <w:tcW w:w="799" w:type="pct"/>
            <w:tcBorders>
              <w:top w:val="nil"/>
              <w:left w:val="nil"/>
              <w:bottom w:val="nil"/>
              <w:right w:val="nil"/>
            </w:tcBorders>
            <w:shd w:val="clear" w:color="auto" w:fill="auto"/>
            <w:noWrap/>
            <w:vAlign w:val="bottom"/>
          </w:tcPr>
          <w:p w14:paraId="798EC5C6" w14:textId="77777777" w:rsidR="004D1D86" w:rsidRPr="00072B21" w:rsidRDefault="004D1D86" w:rsidP="0079608A">
            <w:pPr>
              <w:spacing w:after="0"/>
              <w:jc w:val="center"/>
              <w:rPr>
                <w:color w:val="000000"/>
              </w:rPr>
            </w:pPr>
            <w:r w:rsidRPr="00072B21">
              <w:rPr>
                <w:color w:val="000000"/>
              </w:rPr>
              <w:t>8%</w:t>
            </w:r>
          </w:p>
        </w:tc>
      </w:tr>
      <w:tr w:rsidR="004D1D86" w:rsidRPr="00072B21" w14:paraId="7F1BD867" w14:textId="77777777" w:rsidTr="0079608A">
        <w:trPr>
          <w:trHeight w:val="320"/>
        </w:trPr>
        <w:tc>
          <w:tcPr>
            <w:tcW w:w="3254" w:type="pct"/>
            <w:tcBorders>
              <w:top w:val="nil"/>
              <w:left w:val="nil"/>
              <w:bottom w:val="nil"/>
              <w:right w:val="nil"/>
            </w:tcBorders>
            <w:shd w:val="clear" w:color="auto" w:fill="auto"/>
            <w:noWrap/>
            <w:vAlign w:val="bottom"/>
          </w:tcPr>
          <w:p w14:paraId="22A6F2E5" w14:textId="77777777" w:rsidR="004D1D86" w:rsidRPr="00072B21" w:rsidRDefault="004D1D86" w:rsidP="0079608A">
            <w:pPr>
              <w:spacing w:after="0"/>
              <w:rPr>
                <w:rFonts w:eastAsia="Times New Roman"/>
                <w:color w:val="000000"/>
                <w:lang w:eastAsia="en-GB"/>
              </w:rPr>
            </w:pPr>
            <w:r w:rsidRPr="00072B21">
              <w:rPr>
                <w:color w:val="000000"/>
              </w:rPr>
              <w:t>Agonistic</w:t>
            </w:r>
          </w:p>
        </w:tc>
        <w:tc>
          <w:tcPr>
            <w:tcW w:w="332" w:type="pct"/>
            <w:tcBorders>
              <w:top w:val="nil"/>
              <w:left w:val="nil"/>
              <w:bottom w:val="nil"/>
              <w:right w:val="nil"/>
            </w:tcBorders>
            <w:shd w:val="clear" w:color="auto" w:fill="auto"/>
            <w:noWrap/>
            <w:vAlign w:val="bottom"/>
          </w:tcPr>
          <w:p w14:paraId="79C11088"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7EA42D56" w14:textId="77777777" w:rsidR="004D1D86" w:rsidRPr="00072B21" w:rsidRDefault="004D1D86" w:rsidP="0079608A">
            <w:pPr>
              <w:spacing w:after="0"/>
              <w:jc w:val="center"/>
              <w:rPr>
                <w:rFonts w:eastAsia="Times New Roman"/>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7B6C26DD" w14:textId="77777777" w:rsidR="004D1D86" w:rsidRPr="00072B21" w:rsidRDefault="004D1D86" w:rsidP="0079608A">
            <w:pPr>
              <w:spacing w:after="0"/>
              <w:jc w:val="center"/>
              <w:rPr>
                <w:rFonts w:eastAsia="Times New Roman"/>
                <w:lang w:eastAsia="en-GB"/>
              </w:rPr>
            </w:pPr>
            <w:r w:rsidRPr="00072B21">
              <w:rPr>
                <w:color w:val="000000"/>
              </w:rPr>
              <w:t>5%</w:t>
            </w:r>
          </w:p>
        </w:tc>
      </w:tr>
      <w:tr w:rsidR="004D1D86" w:rsidRPr="00072B21" w14:paraId="44B6CD5F" w14:textId="77777777" w:rsidTr="0079608A">
        <w:trPr>
          <w:trHeight w:val="320"/>
        </w:trPr>
        <w:tc>
          <w:tcPr>
            <w:tcW w:w="3254" w:type="pct"/>
            <w:tcBorders>
              <w:top w:val="nil"/>
              <w:left w:val="nil"/>
              <w:bottom w:val="nil"/>
              <w:right w:val="nil"/>
            </w:tcBorders>
            <w:shd w:val="clear" w:color="auto" w:fill="auto"/>
            <w:noWrap/>
            <w:vAlign w:val="bottom"/>
          </w:tcPr>
          <w:p w14:paraId="6A49EBD0" w14:textId="77777777" w:rsidR="004D1D86" w:rsidRPr="00072B21" w:rsidRDefault="004D1D86" w:rsidP="0079608A">
            <w:pPr>
              <w:spacing w:after="0"/>
              <w:rPr>
                <w:color w:val="000000"/>
              </w:rPr>
            </w:pPr>
            <w:r w:rsidRPr="00072B21">
              <w:rPr>
                <w:color w:val="000000"/>
              </w:rPr>
              <w:t>Hindu</w:t>
            </w:r>
          </w:p>
        </w:tc>
        <w:tc>
          <w:tcPr>
            <w:tcW w:w="332" w:type="pct"/>
            <w:tcBorders>
              <w:top w:val="nil"/>
              <w:left w:val="nil"/>
              <w:bottom w:val="nil"/>
              <w:right w:val="nil"/>
            </w:tcBorders>
            <w:shd w:val="clear" w:color="auto" w:fill="auto"/>
            <w:noWrap/>
            <w:vAlign w:val="bottom"/>
          </w:tcPr>
          <w:p w14:paraId="30E88944"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63E6D576" w14:textId="77777777" w:rsidR="004D1D86" w:rsidRPr="00072B21" w:rsidRDefault="004D1D86" w:rsidP="0079608A">
            <w:pPr>
              <w:spacing w:after="0"/>
              <w:jc w:val="center"/>
              <w:rPr>
                <w:color w:val="000000"/>
              </w:rPr>
            </w:pPr>
            <w:r w:rsidRPr="00072B21">
              <w:rPr>
                <w:color w:val="000000"/>
              </w:rPr>
              <w:t>2</w:t>
            </w:r>
          </w:p>
        </w:tc>
        <w:tc>
          <w:tcPr>
            <w:tcW w:w="799" w:type="pct"/>
            <w:tcBorders>
              <w:top w:val="nil"/>
              <w:left w:val="nil"/>
              <w:bottom w:val="nil"/>
              <w:right w:val="nil"/>
            </w:tcBorders>
            <w:shd w:val="clear" w:color="auto" w:fill="auto"/>
            <w:noWrap/>
            <w:vAlign w:val="bottom"/>
          </w:tcPr>
          <w:p w14:paraId="2997EEF4" w14:textId="77777777" w:rsidR="004D1D86" w:rsidRPr="00072B21" w:rsidRDefault="004D1D86" w:rsidP="0079608A">
            <w:pPr>
              <w:spacing w:after="0"/>
              <w:jc w:val="center"/>
              <w:rPr>
                <w:color w:val="000000"/>
              </w:rPr>
            </w:pPr>
            <w:r w:rsidRPr="00072B21">
              <w:rPr>
                <w:color w:val="000000"/>
              </w:rPr>
              <w:t>5%</w:t>
            </w:r>
          </w:p>
        </w:tc>
      </w:tr>
      <w:tr w:rsidR="004D1D86" w:rsidRPr="00072B21" w14:paraId="784175BB" w14:textId="77777777" w:rsidTr="0079608A">
        <w:trPr>
          <w:trHeight w:val="320"/>
        </w:trPr>
        <w:tc>
          <w:tcPr>
            <w:tcW w:w="3254" w:type="pct"/>
            <w:tcBorders>
              <w:top w:val="nil"/>
              <w:left w:val="nil"/>
              <w:bottom w:val="nil"/>
              <w:right w:val="nil"/>
            </w:tcBorders>
            <w:shd w:val="clear" w:color="auto" w:fill="auto"/>
            <w:noWrap/>
            <w:vAlign w:val="bottom"/>
          </w:tcPr>
          <w:p w14:paraId="33F1A156" w14:textId="77777777" w:rsidR="004D1D86" w:rsidRPr="00072B21" w:rsidRDefault="004D1D86" w:rsidP="0079608A">
            <w:pPr>
              <w:spacing w:after="0"/>
              <w:rPr>
                <w:rFonts w:eastAsia="Times New Roman"/>
                <w:color w:val="000000"/>
                <w:lang w:eastAsia="en-GB"/>
              </w:rPr>
            </w:pPr>
            <w:r w:rsidRPr="00072B21">
              <w:rPr>
                <w:color w:val="000000"/>
              </w:rPr>
              <w:t>Atheist</w:t>
            </w:r>
          </w:p>
        </w:tc>
        <w:tc>
          <w:tcPr>
            <w:tcW w:w="332" w:type="pct"/>
            <w:tcBorders>
              <w:top w:val="nil"/>
              <w:left w:val="nil"/>
              <w:bottom w:val="nil"/>
              <w:right w:val="nil"/>
            </w:tcBorders>
            <w:shd w:val="clear" w:color="auto" w:fill="auto"/>
            <w:noWrap/>
            <w:vAlign w:val="bottom"/>
          </w:tcPr>
          <w:p w14:paraId="57C72254"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0D7CD24D" w14:textId="77777777" w:rsidR="004D1D86" w:rsidRPr="00072B21" w:rsidRDefault="004D1D86" w:rsidP="0079608A">
            <w:pPr>
              <w:spacing w:after="0"/>
              <w:jc w:val="center"/>
              <w:rPr>
                <w:rFonts w:eastAsia="Times New Roman"/>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089C8907" w14:textId="77777777" w:rsidR="004D1D86" w:rsidRPr="00072B21" w:rsidRDefault="004D1D86" w:rsidP="0079608A">
            <w:pPr>
              <w:spacing w:after="0"/>
              <w:jc w:val="center"/>
              <w:rPr>
                <w:rFonts w:eastAsia="Times New Roman"/>
                <w:lang w:eastAsia="en-GB"/>
              </w:rPr>
            </w:pPr>
            <w:r w:rsidRPr="00072B21">
              <w:rPr>
                <w:color w:val="000000"/>
              </w:rPr>
              <w:t>3%</w:t>
            </w:r>
          </w:p>
        </w:tc>
      </w:tr>
      <w:tr w:rsidR="004D1D86" w:rsidRPr="00072B21" w14:paraId="56A78E6C" w14:textId="77777777" w:rsidTr="0079608A">
        <w:trPr>
          <w:trHeight w:val="320"/>
        </w:trPr>
        <w:tc>
          <w:tcPr>
            <w:tcW w:w="3254" w:type="pct"/>
            <w:tcBorders>
              <w:top w:val="nil"/>
              <w:left w:val="nil"/>
              <w:bottom w:val="nil"/>
              <w:right w:val="nil"/>
            </w:tcBorders>
            <w:shd w:val="clear" w:color="auto" w:fill="auto"/>
            <w:noWrap/>
            <w:vAlign w:val="bottom"/>
          </w:tcPr>
          <w:p w14:paraId="024E7CE0" w14:textId="77777777" w:rsidR="004D1D86" w:rsidRPr="00072B21" w:rsidRDefault="004D1D86" w:rsidP="0079608A">
            <w:pPr>
              <w:spacing w:after="0"/>
              <w:rPr>
                <w:rFonts w:eastAsia="Times New Roman"/>
                <w:color w:val="000000"/>
                <w:lang w:eastAsia="en-GB"/>
              </w:rPr>
            </w:pPr>
            <w:r w:rsidRPr="00072B21">
              <w:rPr>
                <w:color w:val="000000"/>
              </w:rPr>
              <w:t>Buddhist</w:t>
            </w:r>
          </w:p>
        </w:tc>
        <w:tc>
          <w:tcPr>
            <w:tcW w:w="332" w:type="pct"/>
            <w:tcBorders>
              <w:top w:val="nil"/>
              <w:left w:val="nil"/>
              <w:bottom w:val="nil"/>
              <w:right w:val="nil"/>
            </w:tcBorders>
            <w:shd w:val="clear" w:color="auto" w:fill="auto"/>
            <w:noWrap/>
            <w:vAlign w:val="bottom"/>
          </w:tcPr>
          <w:p w14:paraId="18194D42"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1DB59314" w14:textId="77777777" w:rsidR="004D1D86" w:rsidRPr="00072B21" w:rsidRDefault="004D1D86" w:rsidP="0079608A">
            <w:pPr>
              <w:spacing w:after="0"/>
              <w:jc w:val="center"/>
              <w:rPr>
                <w:rFonts w:eastAsia="Times New Roman"/>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59D8364A" w14:textId="77777777" w:rsidR="004D1D86" w:rsidRPr="00072B21" w:rsidRDefault="004D1D86" w:rsidP="0079608A">
            <w:pPr>
              <w:spacing w:after="0"/>
              <w:jc w:val="center"/>
              <w:rPr>
                <w:rFonts w:eastAsia="Times New Roman"/>
                <w:lang w:eastAsia="en-GB"/>
              </w:rPr>
            </w:pPr>
            <w:r w:rsidRPr="00072B21">
              <w:rPr>
                <w:color w:val="000000"/>
              </w:rPr>
              <w:t>3%</w:t>
            </w:r>
          </w:p>
        </w:tc>
      </w:tr>
      <w:tr w:rsidR="004D1D86" w:rsidRPr="00072B21" w14:paraId="6AB93068" w14:textId="77777777" w:rsidTr="0079608A">
        <w:trPr>
          <w:trHeight w:val="320"/>
        </w:trPr>
        <w:tc>
          <w:tcPr>
            <w:tcW w:w="3254" w:type="pct"/>
            <w:tcBorders>
              <w:top w:val="nil"/>
              <w:left w:val="nil"/>
              <w:bottom w:val="nil"/>
              <w:right w:val="nil"/>
            </w:tcBorders>
            <w:shd w:val="clear" w:color="auto" w:fill="auto"/>
            <w:noWrap/>
            <w:vAlign w:val="bottom"/>
          </w:tcPr>
          <w:p w14:paraId="750FA165" w14:textId="77777777" w:rsidR="004D1D86" w:rsidRPr="00072B21" w:rsidRDefault="004D1D86" w:rsidP="0079608A">
            <w:pPr>
              <w:spacing w:after="0"/>
              <w:rPr>
                <w:rFonts w:eastAsia="Times New Roman"/>
                <w:color w:val="000000"/>
                <w:lang w:eastAsia="en-GB"/>
              </w:rPr>
            </w:pPr>
            <w:r w:rsidRPr="00072B21">
              <w:rPr>
                <w:color w:val="000000"/>
              </w:rPr>
              <w:t>Orthodox Christian</w:t>
            </w:r>
          </w:p>
        </w:tc>
        <w:tc>
          <w:tcPr>
            <w:tcW w:w="332" w:type="pct"/>
            <w:tcBorders>
              <w:top w:val="nil"/>
              <w:left w:val="nil"/>
              <w:bottom w:val="nil"/>
              <w:right w:val="nil"/>
            </w:tcBorders>
            <w:shd w:val="clear" w:color="auto" w:fill="auto"/>
            <w:noWrap/>
            <w:vAlign w:val="bottom"/>
          </w:tcPr>
          <w:p w14:paraId="73AF8990"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303D4C7B" w14:textId="77777777" w:rsidR="004D1D86" w:rsidRPr="00072B21" w:rsidRDefault="004D1D86" w:rsidP="0079608A">
            <w:pPr>
              <w:spacing w:after="0"/>
              <w:jc w:val="center"/>
              <w:rPr>
                <w:rFonts w:eastAsia="Times New Roman"/>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3AABC534" w14:textId="77777777" w:rsidR="004D1D86" w:rsidRPr="00072B21" w:rsidRDefault="004D1D86" w:rsidP="0079608A">
            <w:pPr>
              <w:spacing w:after="0"/>
              <w:jc w:val="center"/>
              <w:rPr>
                <w:rFonts w:eastAsia="Times New Roman"/>
                <w:lang w:eastAsia="en-GB"/>
              </w:rPr>
            </w:pPr>
            <w:r w:rsidRPr="00072B21">
              <w:rPr>
                <w:color w:val="000000"/>
              </w:rPr>
              <w:t>3%</w:t>
            </w:r>
          </w:p>
        </w:tc>
      </w:tr>
      <w:tr w:rsidR="004D1D86" w:rsidRPr="00072B21" w14:paraId="1A0578C5" w14:textId="77777777" w:rsidTr="0079608A">
        <w:trPr>
          <w:trHeight w:val="320"/>
        </w:trPr>
        <w:tc>
          <w:tcPr>
            <w:tcW w:w="3254" w:type="pct"/>
            <w:tcBorders>
              <w:top w:val="nil"/>
              <w:left w:val="nil"/>
              <w:bottom w:val="nil"/>
              <w:right w:val="nil"/>
            </w:tcBorders>
            <w:shd w:val="clear" w:color="auto" w:fill="auto"/>
            <w:noWrap/>
            <w:vAlign w:val="bottom"/>
          </w:tcPr>
          <w:p w14:paraId="5D8301C9" w14:textId="77777777" w:rsidR="004D1D86" w:rsidRPr="00072B21" w:rsidRDefault="004D1D86" w:rsidP="0079608A">
            <w:pPr>
              <w:spacing w:after="0"/>
              <w:rPr>
                <w:rFonts w:eastAsia="Times New Roman"/>
                <w:color w:val="000000"/>
                <w:lang w:eastAsia="en-GB"/>
              </w:rPr>
            </w:pPr>
            <w:r w:rsidRPr="00072B21">
              <w:rPr>
                <w:color w:val="000000"/>
              </w:rPr>
              <w:t>Pagan</w:t>
            </w:r>
          </w:p>
        </w:tc>
        <w:tc>
          <w:tcPr>
            <w:tcW w:w="332" w:type="pct"/>
            <w:tcBorders>
              <w:top w:val="nil"/>
              <w:left w:val="nil"/>
              <w:bottom w:val="nil"/>
              <w:right w:val="nil"/>
            </w:tcBorders>
            <w:shd w:val="clear" w:color="auto" w:fill="auto"/>
            <w:noWrap/>
            <w:vAlign w:val="bottom"/>
          </w:tcPr>
          <w:p w14:paraId="05E86D77"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40BC21DB" w14:textId="77777777" w:rsidR="004D1D86" w:rsidRPr="00072B21" w:rsidRDefault="004D1D86" w:rsidP="0079608A">
            <w:pPr>
              <w:spacing w:after="0"/>
              <w:jc w:val="center"/>
              <w:rPr>
                <w:rFonts w:eastAsia="Times New Roman"/>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0C6BAE2C" w14:textId="77777777" w:rsidR="004D1D86" w:rsidRPr="00072B21" w:rsidRDefault="004D1D86" w:rsidP="0079608A">
            <w:pPr>
              <w:spacing w:after="0"/>
              <w:jc w:val="center"/>
              <w:rPr>
                <w:rFonts w:eastAsia="Times New Roman"/>
                <w:lang w:eastAsia="en-GB"/>
              </w:rPr>
            </w:pPr>
            <w:r w:rsidRPr="00072B21">
              <w:rPr>
                <w:color w:val="000000"/>
              </w:rPr>
              <w:t>3%</w:t>
            </w:r>
          </w:p>
        </w:tc>
      </w:tr>
      <w:tr w:rsidR="004D1D86" w:rsidRPr="00072B21" w14:paraId="2565261A" w14:textId="77777777" w:rsidTr="0079608A">
        <w:trPr>
          <w:trHeight w:val="320"/>
        </w:trPr>
        <w:tc>
          <w:tcPr>
            <w:tcW w:w="3254" w:type="pct"/>
            <w:tcBorders>
              <w:top w:val="nil"/>
              <w:left w:val="nil"/>
              <w:bottom w:val="nil"/>
              <w:right w:val="nil"/>
            </w:tcBorders>
            <w:shd w:val="clear" w:color="auto" w:fill="auto"/>
            <w:noWrap/>
            <w:vAlign w:val="bottom"/>
          </w:tcPr>
          <w:p w14:paraId="5EF6EC8A" w14:textId="77777777" w:rsidR="004D1D86" w:rsidRPr="00072B21" w:rsidRDefault="004D1D86" w:rsidP="0079608A">
            <w:pPr>
              <w:spacing w:after="0"/>
              <w:jc w:val="center"/>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41DD5535"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631A9B62" w14:textId="77777777" w:rsidR="004D1D86" w:rsidRPr="00072B21" w:rsidRDefault="004D1D86" w:rsidP="0079608A">
            <w:pPr>
              <w:spacing w:after="0"/>
              <w:jc w:val="center"/>
              <w:rPr>
                <w:rFonts w:eastAsia="Times New Roman"/>
                <w:lang w:eastAsia="en-GB"/>
              </w:rPr>
            </w:pPr>
          </w:p>
        </w:tc>
        <w:tc>
          <w:tcPr>
            <w:tcW w:w="799" w:type="pct"/>
            <w:tcBorders>
              <w:top w:val="nil"/>
              <w:left w:val="nil"/>
              <w:bottom w:val="nil"/>
              <w:right w:val="nil"/>
            </w:tcBorders>
            <w:shd w:val="clear" w:color="auto" w:fill="auto"/>
            <w:noWrap/>
            <w:vAlign w:val="bottom"/>
          </w:tcPr>
          <w:p w14:paraId="0EC7E33C" w14:textId="77777777" w:rsidR="004D1D86" w:rsidRPr="00072B21" w:rsidRDefault="004D1D86" w:rsidP="0079608A">
            <w:pPr>
              <w:spacing w:after="0"/>
              <w:jc w:val="center"/>
              <w:rPr>
                <w:rFonts w:eastAsia="Times New Roman"/>
                <w:lang w:eastAsia="en-GB"/>
              </w:rPr>
            </w:pPr>
          </w:p>
        </w:tc>
      </w:tr>
      <w:tr w:rsidR="004D1D86" w:rsidRPr="00072B21" w14:paraId="37941186" w14:textId="77777777" w:rsidTr="0079608A">
        <w:trPr>
          <w:trHeight w:val="320"/>
        </w:trPr>
        <w:tc>
          <w:tcPr>
            <w:tcW w:w="3254" w:type="pct"/>
            <w:tcBorders>
              <w:top w:val="nil"/>
              <w:left w:val="nil"/>
              <w:bottom w:val="nil"/>
              <w:right w:val="nil"/>
            </w:tcBorders>
            <w:shd w:val="clear" w:color="auto" w:fill="auto"/>
            <w:noWrap/>
            <w:vAlign w:val="bottom"/>
          </w:tcPr>
          <w:p w14:paraId="34737ADA"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Residential location</w:t>
            </w:r>
          </w:p>
        </w:tc>
        <w:tc>
          <w:tcPr>
            <w:tcW w:w="332" w:type="pct"/>
            <w:tcBorders>
              <w:top w:val="nil"/>
              <w:left w:val="nil"/>
              <w:bottom w:val="nil"/>
              <w:right w:val="nil"/>
            </w:tcBorders>
            <w:shd w:val="clear" w:color="auto" w:fill="auto"/>
            <w:noWrap/>
            <w:vAlign w:val="bottom"/>
          </w:tcPr>
          <w:p w14:paraId="4D3CDB01"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32AA9F17" w14:textId="77777777" w:rsidR="004D1D86" w:rsidRPr="00072B21" w:rsidRDefault="004D1D86" w:rsidP="0079608A">
            <w:pPr>
              <w:spacing w:after="0"/>
              <w:jc w:val="center"/>
              <w:rPr>
                <w:rFonts w:eastAsia="Times New Roman"/>
                <w:lang w:eastAsia="en-GB"/>
              </w:rPr>
            </w:pPr>
          </w:p>
        </w:tc>
        <w:tc>
          <w:tcPr>
            <w:tcW w:w="799" w:type="pct"/>
            <w:tcBorders>
              <w:top w:val="nil"/>
              <w:left w:val="nil"/>
              <w:bottom w:val="nil"/>
              <w:right w:val="nil"/>
            </w:tcBorders>
            <w:shd w:val="clear" w:color="auto" w:fill="auto"/>
            <w:noWrap/>
            <w:vAlign w:val="bottom"/>
          </w:tcPr>
          <w:p w14:paraId="56A5F425" w14:textId="77777777" w:rsidR="004D1D86" w:rsidRPr="00072B21" w:rsidRDefault="004D1D86" w:rsidP="0079608A">
            <w:pPr>
              <w:spacing w:after="0"/>
              <w:jc w:val="center"/>
              <w:rPr>
                <w:rFonts w:eastAsia="Times New Roman"/>
                <w:lang w:eastAsia="en-GB"/>
              </w:rPr>
            </w:pPr>
          </w:p>
        </w:tc>
      </w:tr>
      <w:tr w:rsidR="004D1D86" w:rsidRPr="00072B21" w14:paraId="3B1FEC1D" w14:textId="77777777" w:rsidTr="0079608A">
        <w:trPr>
          <w:trHeight w:val="320"/>
        </w:trPr>
        <w:tc>
          <w:tcPr>
            <w:tcW w:w="3254" w:type="pct"/>
            <w:tcBorders>
              <w:top w:val="nil"/>
              <w:left w:val="nil"/>
              <w:bottom w:val="nil"/>
              <w:right w:val="nil"/>
            </w:tcBorders>
            <w:shd w:val="clear" w:color="auto" w:fill="auto"/>
            <w:noWrap/>
            <w:vAlign w:val="bottom"/>
          </w:tcPr>
          <w:p w14:paraId="4671129A"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Outer suburban</w:t>
            </w:r>
          </w:p>
        </w:tc>
        <w:tc>
          <w:tcPr>
            <w:tcW w:w="332" w:type="pct"/>
            <w:tcBorders>
              <w:top w:val="nil"/>
              <w:left w:val="nil"/>
              <w:bottom w:val="nil"/>
              <w:right w:val="nil"/>
            </w:tcBorders>
            <w:shd w:val="clear" w:color="auto" w:fill="auto"/>
            <w:noWrap/>
            <w:vAlign w:val="bottom"/>
          </w:tcPr>
          <w:p w14:paraId="7AE37E60"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04742051" w14:textId="77777777" w:rsidR="004D1D86" w:rsidRPr="00072B21" w:rsidRDefault="004D1D86" w:rsidP="0079608A">
            <w:pPr>
              <w:spacing w:after="0"/>
              <w:jc w:val="center"/>
              <w:rPr>
                <w:rFonts w:eastAsia="Times New Roman"/>
                <w:lang w:eastAsia="en-GB"/>
              </w:rPr>
            </w:pPr>
            <w:r w:rsidRPr="00072B21">
              <w:rPr>
                <w:color w:val="000000"/>
              </w:rPr>
              <w:t>18</w:t>
            </w:r>
          </w:p>
        </w:tc>
        <w:tc>
          <w:tcPr>
            <w:tcW w:w="799" w:type="pct"/>
            <w:tcBorders>
              <w:top w:val="nil"/>
              <w:left w:val="nil"/>
              <w:bottom w:val="nil"/>
              <w:right w:val="nil"/>
            </w:tcBorders>
            <w:shd w:val="clear" w:color="auto" w:fill="auto"/>
            <w:noWrap/>
            <w:vAlign w:val="bottom"/>
          </w:tcPr>
          <w:p w14:paraId="76086537" w14:textId="77777777" w:rsidR="004D1D86" w:rsidRPr="00072B21" w:rsidRDefault="004D1D86" w:rsidP="0079608A">
            <w:pPr>
              <w:spacing w:after="0"/>
              <w:jc w:val="center"/>
              <w:rPr>
                <w:rFonts w:eastAsia="Times New Roman"/>
                <w:lang w:eastAsia="en-GB"/>
              </w:rPr>
            </w:pPr>
            <w:r w:rsidRPr="00072B21">
              <w:rPr>
                <w:color w:val="000000"/>
              </w:rPr>
              <w:t>49%</w:t>
            </w:r>
          </w:p>
        </w:tc>
      </w:tr>
      <w:tr w:rsidR="004D1D86" w:rsidRPr="00072B21" w14:paraId="0365DF18" w14:textId="77777777" w:rsidTr="0079608A">
        <w:trPr>
          <w:trHeight w:val="320"/>
        </w:trPr>
        <w:tc>
          <w:tcPr>
            <w:tcW w:w="3254" w:type="pct"/>
            <w:tcBorders>
              <w:top w:val="nil"/>
              <w:left w:val="nil"/>
              <w:bottom w:val="nil"/>
              <w:right w:val="nil"/>
            </w:tcBorders>
            <w:shd w:val="clear" w:color="auto" w:fill="auto"/>
            <w:noWrap/>
            <w:vAlign w:val="bottom"/>
          </w:tcPr>
          <w:p w14:paraId="52B1D533"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Capital city/inner suburban</w:t>
            </w:r>
          </w:p>
        </w:tc>
        <w:tc>
          <w:tcPr>
            <w:tcW w:w="332" w:type="pct"/>
            <w:tcBorders>
              <w:top w:val="nil"/>
              <w:left w:val="nil"/>
              <w:bottom w:val="nil"/>
              <w:right w:val="nil"/>
            </w:tcBorders>
            <w:shd w:val="clear" w:color="auto" w:fill="auto"/>
            <w:noWrap/>
            <w:vAlign w:val="bottom"/>
          </w:tcPr>
          <w:p w14:paraId="0B4CD601"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1DBA9AFD" w14:textId="77777777" w:rsidR="004D1D86" w:rsidRPr="00072B21" w:rsidRDefault="004D1D86" w:rsidP="0079608A">
            <w:pPr>
              <w:spacing w:after="0"/>
              <w:jc w:val="center"/>
              <w:rPr>
                <w:color w:val="000000"/>
              </w:rPr>
            </w:pPr>
            <w:r w:rsidRPr="00072B21">
              <w:rPr>
                <w:color w:val="000000"/>
              </w:rPr>
              <w:t>9</w:t>
            </w:r>
          </w:p>
        </w:tc>
        <w:tc>
          <w:tcPr>
            <w:tcW w:w="799" w:type="pct"/>
            <w:tcBorders>
              <w:top w:val="nil"/>
              <w:left w:val="nil"/>
              <w:bottom w:val="nil"/>
              <w:right w:val="nil"/>
            </w:tcBorders>
            <w:shd w:val="clear" w:color="auto" w:fill="auto"/>
            <w:noWrap/>
            <w:vAlign w:val="bottom"/>
          </w:tcPr>
          <w:p w14:paraId="1AD89F59" w14:textId="77777777" w:rsidR="004D1D86" w:rsidRPr="00072B21" w:rsidRDefault="004D1D86" w:rsidP="0079608A">
            <w:pPr>
              <w:spacing w:after="0"/>
              <w:jc w:val="center"/>
              <w:rPr>
                <w:color w:val="000000"/>
              </w:rPr>
            </w:pPr>
            <w:r w:rsidRPr="00072B21">
              <w:rPr>
                <w:color w:val="000000"/>
              </w:rPr>
              <w:t>24%</w:t>
            </w:r>
          </w:p>
        </w:tc>
      </w:tr>
      <w:tr w:rsidR="004D1D86" w:rsidRPr="00072B21" w14:paraId="7872C3B3" w14:textId="77777777" w:rsidTr="0079608A">
        <w:trPr>
          <w:trHeight w:val="320"/>
        </w:trPr>
        <w:tc>
          <w:tcPr>
            <w:tcW w:w="3254" w:type="pct"/>
            <w:tcBorders>
              <w:top w:val="nil"/>
              <w:left w:val="nil"/>
              <w:bottom w:val="nil"/>
              <w:right w:val="nil"/>
            </w:tcBorders>
            <w:shd w:val="clear" w:color="auto" w:fill="auto"/>
            <w:noWrap/>
            <w:vAlign w:val="bottom"/>
          </w:tcPr>
          <w:p w14:paraId="762C5350"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Regional</w:t>
            </w:r>
          </w:p>
        </w:tc>
        <w:tc>
          <w:tcPr>
            <w:tcW w:w="332" w:type="pct"/>
            <w:tcBorders>
              <w:top w:val="nil"/>
              <w:left w:val="nil"/>
              <w:bottom w:val="nil"/>
              <w:right w:val="nil"/>
            </w:tcBorders>
            <w:shd w:val="clear" w:color="auto" w:fill="auto"/>
            <w:noWrap/>
            <w:vAlign w:val="bottom"/>
          </w:tcPr>
          <w:p w14:paraId="1D851BBA"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16856532" w14:textId="77777777" w:rsidR="004D1D86" w:rsidRPr="00072B21" w:rsidRDefault="004D1D86" w:rsidP="0079608A">
            <w:pPr>
              <w:spacing w:after="0"/>
              <w:jc w:val="center"/>
              <w:rPr>
                <w:rFonts w:eastAsia="Times New Roman"/>
                <w:lang w:eastAsia="en-GB"/>
              </w:rPr>
            </w:pPr>
            <w:r w:rsidRPr="00072B21">
              <w:rPr>
                <w:color w:val="000000"/>
              </w:rPr>
              <w:t>8</w:t>
            </w:r>
          </w:p>
        </w:tc>
        <w:tc>
          <w:tcPr>
            <w:tcW w:w="799" w:type="pct"/>
            <w:tcBorders>
              <w:top w:val="nil"/>
              <w:left w:val="nil"/>
              <w:bottom w:val="nil"/>
              <w:right w:val="nil"/>
            </w:tcBorders>
            <w:shd w:val="clear" w:color="auto" w:fill="auto"/>
            <w:noWrap/>
            <w:vAlign w:val="bottom"/>
          </w:tcPr>
          <w:p w14:paraId="1687F29A" w14:textId="77777777" w:rsidR="004D1D86" w:rsidRPr="00072B21" w:rsidRDefault="004D1D86" w:rsidP="0079608A">
            <w:pPr>
              <w:spacing w:after="0"/>
              <w:jc w:val="center"/>
              <w:rPr>
                <w:rFonts w:eastAsia="Times New Roman"/>
                <w:lang w:eastAsia="en-GB"/>
              </w:rPr>
            </w:pPr>
            <w:r w:rsidRPr="00072B21">
              <w:rPr>
                <w:color w:val="000000"/>
              </w:rPr>
              <w:t>22%</w:t>
            </w:r>
          </w:p>
        </w:tc>
      </w:tr>
      <w:tr w:rsidR="004D1D86" w:rsidRPr="00072B21" w14:paraId="254DEB91" w14:textId="77777777" w:rsidTr="0079608A">
        <w:trPr>
          <w:trHeight w:val="320"/>
        </w:trPr>
        <w:tc>
          <w:tcPr>
            <w:tcW w:w="3254" w:type="pct"/>
            <w:tcBorders>
              <w:top w:val="nil"/>
              <w:left w:val="nil"/>
              <w:bottom w:val="nil"/>
              <w:right w:val="nil"/>
            </w:tcBorders>
            <w:shd w:val="clear" w:color="auto" w:fill="auto"/>
            <w:noWrap/>
            <w:vAlign w:val="bottom"/>
          </w:tcPr>
          <w:p w14:paraId="65CAAE59"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Rural</w:t>
            </w:r>
          </w:p>
        </w:tc>
        <w:tc>
          <w:tcPr>
            <w:tcW w:w="332" w:type="pct"/>
            <w:tcBorders>
              <w:top w:val="nil"/>
              <w:left w:val="nil"/>
              <w:bottom w:val="nil"/>
              <w:right w:val="nil"/>
            </w:tcBorders>
            <w:shd w:val="clear" w:color="auto" w:fill="auto"/>
            <w:noWrap/>
            <w:vAlign w:val="bottom"/>
          </w:tcPr>
          <w:p w14:paraId="2B8F8425"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3BCD43ED" w14:textId="77777777" w:rsidR="004D1D86" w:rsidRPr="00072B21" w:rsidRDefault="004D1D86" w:rsidP="0079608A">
            <w:pPr>
              <w:spacing w:after="0"/>
              <w:jc w:val="center"/>
              <w:rPr>
                <w:rFonts w:eastAsia="Times New Roman"/>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4CB3B5AF" w14:textId="77777777" w:rsidR="004D1D86" w:rsidRPr="00072B21" w:rsidRDefault="004D1D86" w:rsidP="0079608A">
            <w:pPr>
              <w:spacing w:after="0"/>
              <w:jc w:val="center"/>
              <w:rPr>
                <w:rFonts w:eastAsia="Times New Roman"/>
                <w:lang w:eastAsia="en-GB"/>
              </w:rPr>
            </w:pPr>
            <w:r w:rsidRPr="00072B21">
              <w:rPr>
                <w:color w:val="000000"/>
              </w:rPr>
              <w:t>5%</w:t>
            </w:r>
          </w:p>
        </w:tc>
      </w:tr>
      <w:tr w:rsidR="004D1D86" w:rsidRPr="00072B21" w14:paraId="3BE2353A" w14:textId="77777777" w:rsidTr="0079608A">
        <w:trPr>
          <w:trHeight w:val="320"/>
        </w:trPr>
        <w:tc>
          <w:tcPr>
            <w:tcW w:w="3254" w:type="pct"/>
            <w:tcBorders>
              <w:top w:val="nil"/>
              <w:left w:val="nil"/>
              <w:bottom w:val="nil"/>
              <w:right w:val="nil"/>
            </w:tcBorders>
            <w:shd w:val="clear" w:color="auto" w:fill="auto"/>
            <w:noWrap/>
            <w:vAlign w:val="bottom"/>
          </w:tcPr>
          <w:p w14:paraId="3952F038" w14:textId="77777777" w:rsidR="004D1D86" w:rsidRPr="00072B21" w:rsidRDefault="004D1D86" w:rsidP="0079608A">
            <w:pPr>
              <w:spacing w:after="0"/>
              <w:jc w:val="center"/>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3DD66651"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65200053" w14:textId="77777777" w:rsidR="004D1D86" w:rsidRPr="00072B21" w:rsidRDefault="004D1D86" w:rsidP="0079608A">
            <w:pPr>
              <w:spacing w:after="0"/>
              <w:jc w:val="center"/>
              <w:rPr>
                <w:rFonts w:eastAsia="Times New Roman"/>
                <w:lang w:eastAsia="en-GB"/>
              </w:rPr>
            </w:pPr>
          </w:p>
        </w:tc>
        <w:tc>
          <w:tcPr>
            <w:tcW w:w="799" w:type="pct"/>
            <w:tcBorders>
              <w:top w:val="nil"/>
              <w:left w:val="nil"/>
              <w:bottom w:val="nil"/>
              <w:right w:val="nil"/>
            </w:tcBorders>
            <w:shd w:val="clear" w:color="auto" w:fill="auto"/>
            <w:noWrap/>
            <w:vAlign w:val="bottom"/>
          </w:tcPr>
          <w:p w14:paraId="17B95442" w14:textId="77777777" w:rsidR="004D1D86" w:rsidRPr="00072B21" w:rsidRDefault="004D1D86" w:rsidP="0079608A">
            <w:pPr>
              <w:spacing w:after="0"/>
              <w:jc w:val="center"/>
              <w:rPr>
                <w:rFonts w:eastAsia="Times New Roman"/>
                <w:lang w:eastAsia="en-GB"/>
              </w:rPr>
            </w:pPr>
          </w:p>
        </w:tc>
      </w:tr>
      <w:tr w:rsidR="004D1D86" w:rsidRPr="00072B21" w14:paraId="2E60E11A" w14:textId="77777777" w:rsidTr="0079608A">
        <w:trPr>
          <w:trHeight w:val="320"/>
        </w:trPr>
        <w:tc>
          <w:tcPr>
            <w:tcW w:w="3254" w:type="pct"/>
            <w:tcBorders>
              <w:top w:val="nil"/>
              <w:left w:val="nil"/>
              <w:bottom w:val="nil"/>
              <w:right w:val="nil"/>
            </w:tcBorders>
            <w:shd w:val="clear" w:color="auto" w:fill="auto"/>
            <w:noWrap/>
            <w:vAlign w:val="bottom"/>
          </w:tcPr>
          <w:p w14:paraId="7020D652"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Secondary school type ***</w:t>
            </w:r>
          </w:p>
        </w:tc>
        <w:tc>
          <w:tcPr>
            <w:tcW w:w="332" w:type="pct"/>
            <w:tcBorders>
              <w:top w:val="nil"/>
              <w:left w:val="nil"/>
              <w:bottom w:val="nil"/>
              <w:right w:val="nil"/>
            </w:tcBorders>
            <w:shd w:val="clear" w:color="auto" w:fill="auto"/>
            <w:noWrap/>
            <w:vAlign w:val="bottom"/>
          </w:tcPr>
          <w:p w14:paraId="36CB0957"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26322AB2" w14:textId="77777777" w:rsidR="004D1D86" w:rsidRPr="00072B21" w:rsidRDefault="004D1D86" w:rsidP="0079608A">
            <w:pPr>
              <w:spacing w:after="0"/>
              <w:jc w:val="center"/>
              <w:rPr>
                <w:rFonts w:eastAsia="Times New Roman"/>
                <w:lang w:eastAsia="en-GB"/>
              </w:rPr>
            </w:pPr>
          </w:p>
        </w:tc>
        <w:tc>
          <w:tcPr>
            <w:tcW w:w="799" w:type="pct"/>
            <w:tcBorders>
              <w:top w:val="nil"/>
              <w:left w:val="nil"/>
              <w:bottom w:val="nil"/>
              <w:right w:val="nil"/>
            </w:tcBorders>
            <w:shd w:val="clear" w:color="auto" w:fill="auto"/>
            <w:noWrap/>
            <w:vAlign w:val="bottom"/>
          </w:tcPr>
          <w:p w14:paraId="6D9CAB34" w14:textId="77777777" w:rsidR="004D1D86" w:rsidRPr="00072B21" w:rsidRDefault="004D1D86" w:rsidP="0079608A">
            <w:pPr>
              <w:spacing w:after="0"/>
              <w:jc w:val="center"/>
              <w:rPr>
                <w:rFonts w:eastAsia="Times New Roman"/>
                <w:lang w:eastAsia="en-GB"/>
              </w:rPr>
            </w:pPr>
          </w:p>
        </w:tc>
      </w:tr>
      <w:tr w:rsidR="004D1D86" w:rsidRPr="00072B21" w14:paraId="43FFC7D2" w14:textId="77777777" w:rsidTr="0079608A">
        <w:trPr>
          <w:trHeight w:val="320"/>
        </w:trPr>
        <w:tc>
          <w:tcPr>
            <w:tcW w:w="3254" w:type="pct"/>
            <w:tcBorders>
              <w:top w:val="nil"/>
              <w:left w:val="nil"/>
              <w:bottom w:val="nil"/>
              <w:right w:val="nil"/>
            </w:tcBorders>
            <w:shd w:val="clear" w:color="auto" w:fill="auto"/>
            <w:noWrap/>
            <w:vAlign w:val="bottom"/>
          </w:tcPr>
          <w:p w14:paraId="55A87BFC" w14:textId="77777777" w:rsidR="004D1D86" w:rsidRPr="00072B21" w:rsidRDefault="004D1D86" w:rsidP="0079608A">
            <w:pPr>
              <w:spacing w:after="0"/>
              <w:rPr>
                <w:rFonts w:eastAsia="Times New Roman"/>
                <w:color w:val="000000"/>
                <w:lang w:eastAsia="en-GB"/>
              </w:rPr>
            </w:pPr>
            <w:r w:rsidRPr="00072B21">
              <w:lastRenderedPageBreak/>
              <w:t>Government schools</w:t>
            </w:r>
          </w:p>
        </w:tc>
        <w:tc>
          <w:tcPr>
            <w:tcW w:w="332" w:type="pct"/>
            <w:tcBorders>
              <w:top w:val="nil"/>
              <w:left w:val="nil"/>
              <w:bottom w:val="nil"/>
              <w:right w:val="nil"/>
            </w:tcBorders>
            <w:shd w:val="clear" w:color="auto" w:fill="auto"/>
            <w:noWrap/>
            <w:vAlign w:val="bottom"/>
          </w:tcPr>
          <w:p w14:paraId="3BA94EB6"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693D5FA0" w14:textId="77777777" w:rsidR="004D1D86" w:rsidRPr="00072B21" w:rsidRDefault="004D1D86" w:rsidP="0079608A">
            <w:pPr>
              <w:spacing w:after="0"/>
              <w:jc w:val="center"/>
              <w:rPr>
                <w:rFonts w:eastAsia="Times New Roman"/>
                <w:lang w:eastAsia="en-GB"/>
              </w:rPr>
            </w:pPr>
            <w:r w:rsidRPr="00072B21">
              <w:rPr>
                <w:color w:val="000000"/>
              </w:rPr>
              <w:t>20</w:t>
            </w:r>
          </w:p>
        </w:tc>
        <w:tc>
          <w:tcPr>
            <w:tcW w:w="799" w:type="pct"/>
            <w:tcBorders>
              <w:top w:val="nil"/>
              <w:left w:val="nil"/>
              <w:bottom w:val="nil"/>
              <w:right w:val="nil"/>
            </w:tcBorders>
            <w:shd w:val="clear" w:color="auto" w:fill="auto"/>
            <w:noWrap/>
            <w:vAlign w:val="bottom"/>
          </w:tcPr>
          <w:p w14:paraId="728A7036" w14:textId="77777777" w:rsidR="004D1D86" w:rsidRPr="00072B21" w:rsidRDefault="004D1D86" w:rsidP="0079608A">
            <w:pPr>
              <w:spacing w:after="0"/>
              <w:jc w:val="center"/>
              <w:rPr>
                <w:rFonts w:eastAsia="Times New Roman"/>
                <w:lang w:eastAsia="en-GB"/>
              </w:rPr>
            </w:pPr>
            <w:r w:rsidRPr="00072B21">
              <w:rPr>
                <w:color w:val="000000"/>
              </w:rPr>
              <w:t>54%</w:t>
            </w:r>
          </w:p>
        </w:tc>
      </w:tr>
      <w:tr w:rsidR="004D1D86" w:rsidRPr="00072B21" w14:paraId="514301C9" w14:textId="77777777" w:rsidTr="0079608A">
        <w:trPr>
          <w:trHeight w:val="320"/>
        </w:trPr>
        <w:tc>
          <w:tcPr>
            <w:tcW w:w="3254" w:type="pct"/>
            <w:tcBorders>
              <w:top w:val="nil"/>
              <w:left w:val="nil"/>
              <w:bottom w:val="nil"/>
              <w:right w:val="nil"/>
            </w:tcBorders>
            <w:shd w:val="clear" w:color="auto" w:fill="auto"/>
            <w:noWrap/>
            <w:vAlign w:val="bottom"/>
          </w:tcPr>
          <w:p w14:paraId="46A19509" w14:textId="77777777" w:rsidR="004D1D86" w:rsidRPr="00072B21" w:rsidRDefault="004D1D86" w:rsidP="0079608A">
            <w:pPr>
              <w:spacing w:after="0"/>
            </w:pPr>
            <w:r w:rsidRPr="00072B21">
              <w:t>Other private schools</w:t>
            </w:r>
          </w:p>
        </w:tc>
        <w:tc>
          <w:tcPr>
            <w:tcW w:w="332" w:type="pct"/>
            <w:tcBorders>
              <w:top w:val="nil"/>
              <w:left w:val="nil"/>
              <w:bottom w:val="nil"/>
              <w:right w:val="nil"/>
            </w:tcBorders>
            <w:shd w:val="clear" w:color="auto" w:fill="auto"/>
            <w:noWrap/>
            <w:vAlign w:val="bottom"/>
          </w:tcPr>
          <w:p w14:paraId="3FDF5AA1"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6A49C97" w14:textId="77777777" w:rsidR="004D1D86" w:rsidRPr="00072B21" w:rsidRDefault="004D1D86" w:rsidP="0079608A">
            <w:pPr>
              <w:spacing w:after="0"/>
              <w:jc w:val="center"/>
              <w:rPr>
                <w:color w:val="000000"/>
              </w:rPr>
            </w:pPr>
            <w:r w:rsidRPr="00072B21">
              <w:rPr>
                <w:color w:val="000000"/>
              </w:rPr>
              <w:t>11</w:t>
            </w:r>
          </w:p>
        </w:tc>
        <w:tc>
          <w:tcPr>
            <w:tcW w:w="799" w:type="pct"/>
            <w:tcBorders>
              <w:top w:val="nil"/>
              <w:left w:val="nil"/>
              <w:bottom w:val="nil"/>
              <w:right w:val="nil"/>
            </w:tcBorders>
            <w:shd w:val="clear" w:color="auto" w:fill="auto"/>
            <w:noWrap/>
            <w:vAlign w:val="bottom"/>
          </w:tcPr>
          <w:p w14:paraId="24183F59" w14:textId="77777777" w:rsidR="004D1D86" w:rsidRPr="00072B21" w:rsidRDefault="004D1D86" w:rsidP="0079608A">
            <w:pPr>
              <w:spacing w:after="0"/>
              <w:jc w:val="center"/>
              <w:rPr>
                <w:color w:val="000000"/>
              </w:rPr>
            </w:pPr>
            <w:r w:rsidRPr="00072B21">
              <w:rPr>
                <w:color w:val="000000"/>
              </w:rPr>
              <w:t>30%</w:t>
            </w:r>
          </w:p>
        </w:tc>
      </w:tr>
      <w:tr w:rsidR="004D1D86" w:rsidRPr="00072B21" w14:paraId="71C46271" w14:textId="77777777" w:rsidTr="0079608A">
        <w:trPr>
          <w:trHeight w:val="320"/>
        </w:trPr>
        <w:tc>
          <w:tcPr>
            <w:tcW w:w="3254" w:type="pct"/>
            <w:tcBorders>
              <w:top w:val="nil"/>
              <w:left w:val="nil"/>
              <w:bottom w:val="nil"/>
              <w:right w:val="nil"/>
            </w:tcBorders>
            <w:shd w:val="clear" w:color="auto" w:fill="auto"/>
            <w:noWrap/>
            <w:vAlign w:val="bottom"/>
          </w:tcPr>
          <w:p w14:paraId="12A86EAA" w14:textId="77777777" w:rsidR="004D1D86" w:rsidRPr="00072B21" w:rsidRDefault="004D1D86" w:rsidP="0079608A">
            <w:pPr>
              <w:spacing w:after="0"/>
              <w:rPr>
                <w:rFonts w:eastAsia="Times New Roman"/>
                <w:color w:val="000000"/>
                <w:lang w:eastAsia="en-GB"/>
              </w:rPr>
            </w:pPr>
            <w:r w:rsidRPr="00072B21">
              <w:t>Religious-based schools</w:t>
            </w:r>
          </w:p>
        </w:tc>
        <w:tc>
          <w:tcPr>
            <w:tcW w:w="332" w:type="pct"/>
            <w:tcBorders>
              <w:top w:val="nil"/>
              <w:left w:val="nil"/>
              <w:bottom w:val="nil"/>
              <w:right w:val="nil"/>
            </w:tcBorders>
            <w:shd w:val="clear" w:color="auto" w:fill="auto"/>
            <w:noWrap/>
            <w:vAlign w:val="bottom"/>
          </w:tcPr>
          <w:p w14:paraId="62AA1FC9"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3924C6B" w14:textId="77777777" w:rsidR="004D1D86" w:rsidRPr="00072B21" w:rsidRDefault="004D1D86" w:rsidP="0079608A">
            <w:pPr>
              <w:spacing w:after="0"/>
              <w:jc w:val="center"/>
              <w:rPr>
                <w:rFonts w:eastAsia="Times New Roman"/>
                <w:color w:val="000000"/>
                <w:lang w:eastAsia="en-GB"/>
              </w:rPr>
            </w:pPr>
            <w:r w:rsidRPr="00072B21">
              <w:rPr>
                <w:color w:val="000000"/>
              </w:rPr>
              <w:t>6</w:t>
            </w:r>
          </w:p>
        </w:tc>
        <w:tc>
          <w:tcPr>
            <w:tcW w:w="799" w:type="pct"/>
            <w:tcBorders>
              <w:top w:val="nil"/>
              <w:left w:val="nil"/>
              <w:bottom w:val="nil"/>
              <w:right w:val="nil"/>
            </w:tcBorders>
            <w:shd w:val="clear" w:color="auto" w:fill="auto"/>
            <w:noWrap/>
            <w:vAlign w:val="bottom"/>
          </w:tcPr>
          <w:p w14:paraId="0E8A7C04" w14:textId="77777777" w:rsidR="004D1D86" w:rsidRPr="00072B21" w:rsidRDefault="004D1D86" w:rsidP="0079608A">
            <w:pPr>
              <w:spacing w:after="0"/>
              <w:jc w:val="center"/>
              <w:rPr>
                <w:rFonts w:eastAsia="Times New Roman"/>
                <w:color w:val="000000"/>
                <w:lang w:eastAsia="en-GB"/>
              </w:rPr>
            </w:pPr>
            <w:r w:rsidRPr="00072B21">
              <w:rPr>
                <w:color w:val="000000"/>
              </w:rPr>
              <w:t>16%</w:t>
            </w:r>
          </w:p>
        </w:tc>
      </w:tr>
      <w:tr w:rsidR="004D1D86" w:rsidRPr="00072B21" w14:paraId="2F3C92AA" w14:textId="77777777" w:rsidTr="0079608A">
        <w:trPr>
          <w:trHeight w:val="320"/>
        </w:trPr>
        <w:tc>
          <w:tcPr>
            <w:tcW w:w="3254" w:type="pct"/>
            <w:tcBorders>
              <w:top w:val="nil"/>
              <w:left w:val="nil"/>
              <w:bottom w:val="nil"/>
              <w:right w:val="nil"/>
            </w:tcBorders>
            <w:shd w:val="clear" w:color="auto" w:fill="auto"/>
            <w:noWrap/>
            <w:vAlign w:val="bottom"/>
          </w:tcPr>
          <w:p w14:paraId="160183B6"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53269DEE"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B8591E0"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1E39ECC2" w14:textId="77777777" w:rsidR="004D1D86" w:rsidRPr="00072B21" w:rsidRDefault="004D1D86" w:rsidP="0079608A">
            <w:pPr>
              <w:spacing w:after="0"/>
              <w:jc w:val="center"/>
              <w:rPr>
                <w:rFonts w:eastAsia="Times New Roman"/>
                <w:color w:val="000000"/>
                <w:lang w:eastAsia="en-GB"/>
              </w:rPr>
            </w:pPr>
          </w:p>
        </w:tc>
      </w:tr>
      <w:tr w:rsidR="004D1D86" w:rsidRPr="00072B21" w14:paraId="60BBBC2E" w14:textId="77777777" w:rsidTr="0079608A">
        <w:trPr>
          <w:trHeight w:val="320"/>
        </w:trPr>
        <w:tc>
          <w:tcPr>
            <w:tcW w:w="3254" w:type="pct"/>
            <w:tcBorders>
              <w:top w:val="nil"/>
              <w:left w:val="nil"/>
              <w:bottom w:val="nil"/>
              <w:right w:val="nil"/>
            </w:tcBorders>
            <w:shd w:val="clear" w:color="auto" w:fill="auto"/>
            <w:noWrap/>
            <w:vAlign w:val="bottom"/>
          </w:tcPr>
          <w:p w14:paraId="41D34279"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Self-identified gender identity****</w:t>
            </w:r>
          </w:p>
        </w:tc>
        <w:tc>
          <w:tcPr>
            <w:tcW w:w="332" w:type="pct"/>
            <w:tcBorders>
              <w:top w:val="nil"/>
              <w:left w:val="nil"/>
              <w:bottom w:val="nil"/>
              <w:right w:val="nil"/>
            </w:tcBorders>
            <w:shd w:val="clear" w:color="auto" w:fill="auto"/>
            <w:noWrap/>
            <w:vAlign w:val="bottom"/>
          </w:tcPr>
          <w:p w14:paraId="60A9F711"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3784294"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679F2E2F" w14:textId="77777777" w:rsidR="004D1D86" w:rsidRPr="00072B21" w:rsidRDefault="004D1D86" w:rsidP="0079608A">
            <w:pPr>
              <w:spacing w:after="0"/>
              <w:jc w:val="center"/>
              <w:rPr>
                <w:rFonts w:eastAsia="Times New Roman"/>
                <w:color w:val="000000"/>
                <w:lang w:eastAsia="en-GB"/>
              </w:rPr>
            </w:pPr>
          </w:p>
        </w:tc>
      </w:tr>
      <w:tr w:rsidR="004D1D86" w:rsidRPr="00072B21" w14:paraId="77364218" w14:textId="77777777" w:rsidTr="0079608A">
        <w:trPr>
          <w:trHeight w:val="320"/>
        </w:trPr>
        <w:tc>
          <w:tcPr>
            <w:tcW w:w="3254" w:type="pct"/>
            <w:tcBorders>
              <w:top w:val="nil"/>
              <w:left w:val="nil"/>
              <w:bottom w:val="nil"/>
              <w:right w:val="nil"/>
            </w:tcBorders>
            <w:shd w:val="clear" w:color="auto" w:fill="auto"/>
            <w:noWrap/>
            <w:vAlign w:val="bottom"/>
          </w:tcPr>
          <w:p w14:paraId="1D2F1B43" w14:textId="77777777" w:rsidR="004D1D86" w:rsidRPr="00072B21" w:rsidRDefault="004D1D86" w:rsidP="0079608A">
            <w:pPr>
              <w:spacing w:after="0"/>
              <w:rPr>
                <w:rFonts w:eastAsia="Times New Roman"/>
                <w:lang w:eastAsia="en-GB"/>
              </w:rPr>
            </w:pPr>
            <w:r w:rsidRPr="00072B21">
              <w:rPr>
                <w:color w:val="000000"/>
              </w:rPr>
              <w:t>Man</w:t>
            </w:r>
          </w:p>
        </w:tc>
        <w:tc>
          <w:tcPr>
            <w:tcW w:w="332" w:type="pct"/>
            <w:tcBorders>
              <w:top w:val="nil"/>
              <w:left w:val="nil"/>
              <w:bottom w:val="nil"/>
              <w:right w:val="nil"/>
            </w:tcBorders>
            <w:shd w:val="clear" w:color="auto" w:fill="auto"/>
            <w:noWrap/>
            <w:vAlign w:val="bottom"/>
          </w:tcPr>
          <w:p w14:paraId="3335980E"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2A172C33" w14:textId="77777777" w:rsidR="004D1D86" w:rsidRPr="00072B21" w:rsidRDefault="004D1D86" w:rsidP="0079608A">
            <w:pPr>
              <w:spacing w:after="0"/>
              <w:jc w:val="center"/>
              <w:rPr>
                <w:rFonts w:eastAsia="Times New Roman"/>
                <w:lang w:eastAsia="en-GB"/>
              </w:rPr>
            </w:pPr>
            <w:r w:rsidRPr="00072B21">
              <w:rPr>
                <w:color w:val="000000"/>
              </w:rPr>
              <w:t>17</w:t>
            </w:r>
          </w:p>
        </w:tc>
        <w:tc>
          <w:tcPr>
            <w:tcW w:w="799" w:type="pct"/>
            <w:tcBorders>
              <w:top w:val="nil"/>
              <w:left w:val="nil"/>
              <w:bottom w:val="nil"/>
              <w:right w:val="nil"/>
            </w:tcBorders>
            <w:shd w:val="clear" w:color="auto" w:fill="auto"/>
            <w:noWrap/>
            <w:vAlign w:val="bottom"/>
          </w:tcPr>
          <w:p w14:paraId="56077592" w14:textId="77777777" w:rsidR="004D1D86" w:rsidRPr="00072B21" w:rsidRDefault="004D1D86" w:rsidP="0079608A">
            <w:pPr>
              <w:spacing w:after="0"/>
              <w:jc w:val="center"/>
              <w:rPr>
                <w:rFonts w:eastAsia="Times New Roman"/>
                <w:lang w:eastAsia="en-GB"/>
              </w:rPr>
            </w:pPr>
            <w:r w:rsidRPr="00072B21">
              <w:rPr>
                <w:color w:val="000000"/>
              </w:rPr>
              <w:t>46%</w:t>
            </w:r>
          </w:p>
        </w:tc>
      </w:tr>
      <w:tr w:rsidR="004D1D86" w:rsidRPr="00072B21" w14:paraId="4D330BA2" w14:textId="77777777" w:rsidTr="0079608A">
        <w:trPr>
          <w:trHeight w:val="320"/>
        </w:trPr>
        <w:tc>
          <w:tcPr>
            <w:tcW w:w="3254" w:type="pct"/>
            <w:tcBorders>
              <w:top w:val="nil"/>
              <w:left w:val="nil"/>
              <w:bottom w:val="nil"/>
              <w:right w:val="nil"/>
            </w:tcBorders>
            <w:shd w:val="clear" w:color="auto" w:fill="auto"/>
            <w:noWrap/>
            <w:vAlign w:val="bottom"/>
          </w:tcPr>
          <w:p w14:paraId="77928DAC" w14:textId="77777777" w:rsidR="004D1D86" w:rsidRPr="00072B21" w:rsidRDefault="004D1D86" w:rsidP="0079608A">
            <w:pPr>
              <w:spacing w:after="0"/>
              <w:rPr>
                <w:rFonts w:eastAsia="Times New Roman"/>
                <w:lang w:eastAsia="en-GB"/>
              </w:rPr>
            </w:pPr>
            <w:r w:rsidRPr="00072B21">
              <w:rPr>
                <w:color w:val="000000"/>
              </w:rPr>
              <w:t>Woman</w:t>
            </w:r>
          </w:p>
        </w:tc>
        <w:tc>
          <w:tcPr>
            <w:tcW w:w="332" w:type="pct"/>
            <w:tcBorders>
              <w:top w:val="nil"/>
              <w:left w:val="nil"/>
              <w:bottom w:val="nil"/>
              <w:right w:val="nil"/>
            </w:tcBorders>
            <w:shd w:val="clear" w:color="auto" w:fill="auto"/>
            <w:noWrap/>
            <w:vAlign w:val="bottom"/>
          </w:tcPr>
          <w:p w14:paraId="4C520289" w14:textId="77777777" w:rsidR="004D1D86" w:rsidRPr="00072B21" w:rsidRDefault="004D1D86" w:rsidP="0079608A">
            <w:pPr>
              <w:spacing w:after="0"/>
              <w:rPr>
                <w:rFonts w:eastAsia="Times New Roman"/>
                <w:lang w:eastAsia="en-GB"/>
              </w:rPr>
            </w:pPr>
          </w:p>
        </w:tc>
        <w:tc>
          <w:tcPr>
            <w:tcW w:w="615" w:type="pct"/>
            <w:tcBorders>
              <w:top w:val="nil"/>
              <w:left w:val="nil"/>
              <w:bottom w:val="nil"/>
              <w:right w:val="nil"/>
            </w:tcBorders>
            <w:shd w:val="clear" w:color="auto" w:fill="auto"/>
            <w:noWrap/>
            <w:vAlign w:val="bottom"/>
          </w:tcPr>
          <w:p w14:paraId="01380FC6" w14:textId="77777777" w:rsidR="004D1D86" w:rsidRPr="00072B21" w:rsidRDefault="004D1D86" w:rsidP="0079608A">
            <w:pPr>
              <w:spacing w:after="0"/>
              <w:jc w:val="center"/>
              <w:rPr>
                <w:rFonts w:eastAsia="Times New Roman"/>
                <w:lang w:eastAsia="en-GB"/>
              </w:rPr>
            </w:pPr>
            <w:r w:rsidRPr="00072B21">
              <w:rPr>
                <w:color w:val="000000"/>
              </w:rPr>
              <w:t>15</w:t>
            </w:r>
          </w:p>
        </w:tc>
        <w:tc>
          <w:tcPr>
            <w:tcW w:w="799" w:type="pct"/>
            <w:tcBorders>
              <w:top w:val="nil"/>
              <w:left w:val="nil"/>
              <w:bottom w:val="nil"/>
              <w:right w:val="nil"/>
            </w:tcBorders>
            <w:shd w:val="clear" w:color="auto" w:fill="auto"/>
            <w:noWrap/>
            <w:vAlign w:val="bottom"/>
          </w:tcPr>
          <w:p w14:paraId="5EC1D5C7" w14:textId="77777777" w:rsidR="004D1D86" w:rsidRPr="00072B21" w:rsidRDefault="004D1D86" w:rsidP="0079608A">
            <w:pPr>
              <w:spacing w:after="0"/>
              <w:jc w:val="center"/>
              <w:rPr>
                <w:rFonts w:eastAsia="Times New Roman"/>
                <w:lang w:eastAsia="en-GB"/>
              </w:rPr>
            </w:pPr>
            <w:r w:rsidRPr="00072B21">
              <w:rPr>
                <w:color w:val="000000"/>
              </w:rPr>
              <w:t>41%</w:t>
            </w:r>
          </w:p>
        </w:tc>
      </w:tr>
      <w:tr w:rsidR="004D1D86" w:rsidRPr="00072B21" w14:paraId="308672AE" w14:textId="77777777" w:rsidTr="0079608A">
        <w:trPr>
          <w:trHeight w:val="320"/>
        </w:trPr>
        <w:tc>
          <w:tcPr>
            <w:tcW w:w="3254" w:type="pct"/>
            <w:tcBorders>
              <w:top w:val="nil"/>
              <w:left w:val="nil"/>
              <w:bottom w:val="nil"/>
              <w:right w:val="nil"/>
            </w:tcBorders>
            <w:shd w:val="clear" w:color="auto" w:fill="auto"/>
            <w:noWrap/>
            <w:vAlign w:val="bottom"/>
          </w:tcPr>
          <w:p w14:paraId="3A523113" w14:textId="77777777" w:rsidR="004D1D86" w:rsidRPr="00072B21" w:rsidRDefault="004D1D86" w:rsidP="0079608A">
            <w:pPr>
              <w:spacing w:after="0"/>
              <w:rPr>
                <w:rFonts w:eastAsia="Times New Roman"/>
                <w:b/>
                <w:bCs/>
                <w:color w:val="000000"/>
                <w:lang w:eastAsia="en-GB"/>
              </w:rPr>
            </w:pPr>
            <w:r w:rsidRPr="00072B21">
              <w:rPr>
                <w:color w:val="000000"/>
              </w:rPr>
              <w:t>Trans woman</w:t>
            </w:r>
          </w:p>
        </w:tc>
        <w:tc>
          <w:tcPr>
            <w:tcW w:w="332" w:type="pct"/>
            <w:tcBorders>
              <w:top w:val="nil"/>
              <w:left w:val="nil"/>
              <w:bottom w:val="nil"/>
              <w:right w:val="nil"/>
            </w:tcBorders>
            <w:shd w:val="clear" w:color="auto" w:fill="auto"/>
            <w:noWrap/>
            <w:vAlign w:val="bottom"/>
          </w:tcPr>
          <w:p w14:paraId="7E317CF7" w14:textId="77777777" w:rsidR="004D1D86" w:rsidRPr="00072B21" w:rsidRDefault="004D1D86" w:rsidP="0079608A">
            <w:pPr>
              <w:spacing w:after="0"/>
              <w:rPr>
                <w:rFonts w:eastAsia="Times New Roman"/>
                <w:b/>
                <w:bCs/>
                <w:color w:val="000000"/>
                <w:lang w:eastAsia="en-GB"/>
              </w:rPr>
            </w:pPr>
          </w:p>
        </w:tc>
        <w:tc>
          <w:tcPr>
            <w:tcW w:w="615" w:type="pct"/>
            <w:tcBorders>
              <w:top w:val="nil"/>
              <w:left w:val="nil"/>
              <w:bottom w:val="nil"/>
              <w:right w:val="nil"/>
            </w:tcBorders>
            <w:shd w:val="clear" w:color="auto" w:fill="auto"/>
            <w:noWrap/>
            <w:vAlign w:val="bottom"/>
          </w:tcPr>
          <w:p w14:paraId="4B94127B" w14:textId="77777777" w:rsidR="004D1D86" w:rsidRPr="00072B21" w:rsidRDefault="004D1D86" w:rsidP="0079608A">
            <w:pPr>
              <w:spacing w:after="0"/>
              <w:jc w:val="center"/>
              <w:rPr>
                <w:rFonts w:eastAsia="Times New Roman"/>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0A95D12D" w14:textId="77777777" w:rsidR="004D1D86" w:rsidRPr="00072B21" w:rsidRDefault="004D1D86" w:rsidP="0079608A">
            <w:pPr>
              <w:spacing w:after="0"/>
              <w:jc w:val="center"/>
              <w:rPr>
                <w:rFonts w:eastAsia="Times New Roman"/>
                <w:lang w:eastAsia="en-GB"/>
              </w:rPr>
            </w:pPr>
            <w:r w:rsidRPr="00072B21">
              <w:rPr>
                <w:color w:val="000000"/>
              </w:rPr>
              <w:t>5%</w:t>
            </w:r>
          </w:p>
        </w:tc>
      </w:tr>
      <w:tr w:rsidR="004D1D86" w:rsidRPr="00072B21" w14:paraId="6FA9F48C" w14:textId="77777777" w:rsidTr="0079608A">
        <w:trPr>
          <w:trHeight w:val="320"/>
        </w:trPr>
        <w:tc>
          <w:tcPr>
            <w:tcW w:w="3254" w:type="pct"/>
            <w:tcBorders>
              <w:top w:val="nil"/>
              <w:left w:val="nil"/>
              <w:bottom w:val="nil"/>
              <w:right w:val="nil"/>
            </w:tcBorders>
            <w:shd w:val="clear" w:color="auto" w:fill="auto"/>
            <w:noWrap/>
            <w:vAlign w:val="bottom"/>
          </w:tcPr>
          <w:p w14:paraId="30EA540E" w14:textId="77777777" w:rsidR="004D1D86" w:rsidRPr="00072B21" w:rsidRDefault="004D1D86" w:rsidP="0079608A">
            <w:pPr>
              <w:spacing w:after="0"/>
              <w:rPr>
                <w:rFonts w:eastAsia="Times New Roman"/>
                <w:color w:val="000000"/>
                <w:lang w:eastAsia="en-GB"/>
              </w:rPr>
            </w:pPr>
            <w:r w:rsidRPr="00072B21">
              <w:rPr>
                <w:color w:val="000000"/>
              </w:rPr>
              <w:t>Genderqueer</w:t>
            </w:r>
          </w:p>
        </w:tc>
        <w:tc>
          <w:tcPr>
            <w:tcW w:w="332" w:type="pct"/>
            <w:tcBorders>
              <w:top w:val="nil"/>
              <w:left w:val="nil"/>
              <w:bottom w:val="nil"/>
              <w:right w:val="nil"/>
            </w:tcBorders>
            <w:shd w:val="clear" w:color="auto" w:fill="auto"/>
            <w:noWrap/>
            <w:vAlign w:val="bottom"/>
          </w:tcPr>
          <w:p w14:paraId="28A76492"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8C9F375"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368D8EBF"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0CCA3B6B" w14:textId="77777777" w:rsidTr="0079608A">
        <w:trPr>
          <w:trHeight w:val="320"/>
        </w:trPr>
        <w:tc>
          <w:tcPr>
            <w:tcW w:w="3254" w:type="pct"/>
            <w:tcBorders>
              <w:top w:val="nil"/>
              <w:left w:val="nil"/>
              <w:bottom w:val="nil"/>
              <w:right w:val="nil"/>
            </w:tcBorders>
            <w:shd w:val="clear" w:color="auto" w:fill="auto"/>
            <w:noWrap/>
            <w:vAlign w:val="bottom"/>
          </w:tcPr>
          <w:p w14:paraId="6617A3C8" w14:textId="77777777" w:rsidR="004D1D86" w:rsidRPr="00072B21" w:rsidRDefault="004D1D86" w:rsidP="0079608A">
            <w:pPr>
              <w:spacing w:after="0"/>
              <w:rPr>
                <w:rFonts w:eastAsia="Times New Roman"/>
                <w:color w:val="000000"/>
                <w:lang w:eastAsia="en-GB"/>
              </w:rPr>
            </w:pPr>
            <w:proofErr w:type="gramStart"/>
            <w:r w:rsidRPr="00072B21">
              <w:rPr>
                <w:color w:val="000000"/>
              </w:rPr>
              <w:t>Non binary</w:t>
            </w:r>
            <w:proofErr w:type="gramEnd"/>
          </w:p>
        </w:tc>
        <w:tc>
          <w:tcPr>
            <w:tcW w:w="332" w:type="pct"/>
            <w:tcBorders>
              <w:top w:val="nil"/>
              <w:left w:val="nil"/>
              <w:bottom w:val="nil"/>
              <w:right w:val="nil"/>
            </w:tcBorders>
            <w:shd w:val="clear" w:color="auto" w:fill="auto"/>
            <w:noWrap/>
            <w:vAlign w:val="bottom"/>
          </w:tcPr>
          <w:p w14:paraId="33F3127D"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F190F4B"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4F6C6778"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43999D09" w14:textId="77777777" w:rsidTr="0079608A">
        <w:trPr>
          <w:trHeight w:val="320"/>
        </w:trPr>
        <w:tc>
          <w:tcPr>
            <w:tcW w:w="3254" w:type="pct"/>
            <w:tcBorders>
              <w:top w:val="nil"/>
              <w:left w:val="nil"/>
              <w:bottom w:val="nil"/>
              <w:right w:val="nil"/>
            </w:tcBorders>
            <w:shd w:val="clear" w:color="auto" w:fill="auto"/>
            <w:noWrap/>
            <w:vAlign w:val="bottom"/>
          </w:tcPr>
          <w:p w14:paraId="45561CA9" w14:textId="77777777" w:rsidR="004D1D86" w:rsidRPr="00072B21" w:rsidRDefault="004D1D86" w:rsidP="0079608A">
            <w:pPr>
              <w:spacing w:after="0"/>
              <w:rPr>
                <w:rFonts w:eastAsia="Times New Roman"/>
                <w:color w:val="000000"/>
                <w:lang w:eastAsia="en-GB"/>
              </w:rPr>
            </w:pPr>
            <w:r w:rsidRPr="00072B21">
              <w:rPr>
                <w:color w:val="000000"/>
              </w:rPr>
              <w:t>Trans man</w:t>
            </w:r>
          </w:p>
        </w:tc>
        <w:tc>
          <w:tcPr>
            <w:tcW w:w="332" w:type="pct"/>
            <w:tcBorders>
              <w:top w:val="nil"/>
              <w:left w:val="nil"/>
              <w:bottom w:val="nil"/>
              <w:right w:val="nil"/>
            </w:tcBorders>
            <w:shd w:val="clear" w:color="auto" w:fill="auto"/>
            <w:noWrap/>
            <w:vAlign w:val="bottom"/>
          </w:tcPr>
          <w:p w14:paraId="1396605B"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 </w:t>
            </w:r>
          </w:p>
        </w:tc>
        <w:tc>
          <w:tcPr>
            <w:tcW w:w="615" w:type="pct"/>
            <w:tcBorders>
              <w:top w:val="nil"/>
              <w:left w:val="nil"/>
              <w:bottom w:val="nil"/>
              <w:right w:val="nil"/>
            </w:tcBorders>
            <w:shd w:val="clear" w:color="auto" w:fill="auto"/>
            <w:noWrap/>
            <w:vAlign w:val="bottom"/>
          </w:tcPr>
          <w:p w14:paraId="0AFB3830"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62A73498"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5D7F33D7" w14:textId="77777777" w:rsidTr="0079608A">
        <w:trPr>
          <w:trHeight w:val="320"/>
        </w:trPr>
        <w:tc>
          <w:tcPr>
            <w:tcW w:w="3254" w:type="pct"/>
            <w:tcBorders>
              <w:top w:val="nil"/>
              <w:left w:val="nil"/>
              <w:bottom w:val="nil"/>
              <w:right w:val="nil"/>
            </w:tcBorders>
            <w:shd w:val="clear" w:color="auto" w:fill="auto"/>
            <w:noWrap/>
            <w:vAlign w:val="bottom"/>
          </w:tcPr>
          <w:p w14:paraId="772A38BC"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29CF75AA"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16E1CDDB"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6FA30EE4" w14:textId="77777777" w:rsidR="004D1D86" w:rsidRPr="00072B21" w:rsidRDefault="004D1D86" w:rsidP="0079608A">
            <w:pPr>
              <w:spacing w:after="0"/>
              <w:jc w:val="center"/>
              <w:rPr>
                <w:rFonts w:eastAsia="Times New Roman"/>
                <w:color w:val="000000"/>
                <w:lang w:eastAsia="en-GB"/>
              </w:rPr>
            </w:pPr>
          </w:p>
        </w:tc>
      </w:tr>
      <w:tr w:rsidR="004D1D86" w:rsidRPr="00072B21" w14:paraId="02209D3C" w14:textId="77777777" w:rsidTr="0079608A">
        <w:trPr>
          <w:trHeight w:val="320"/>
        </w:trPr>
        <w:tc>
          <w:tcPr>
            <w:tcW w:w="3586" w:type="pct"/>
            <w:gridSpan w:val="2"/>
            <w:tcBorders>
              <w:top w:val="nil"/>
              <w:left w:val="nil"/>
              <w:bottom w:val="nil"/>
              <w:right w:val="nil"/>
            </w:tcBorders>
            <w:shd w:val="clear" w:color="auto" w:fill="auto"/>
            <w:noWrap/>
            <w:vAlign w:val="bottom"/>
          </w:tcPr>
          <w:p w14:paraId="73F4B869" w14:textId="77777777" w:rsidR="004D1D86" w:rsidRPr="00072B21" w:rsidRDefault="004D1D86" w:rsidP="0079608A">
            <w:pPr>
              <w:spacing w:after="0"/>
              <w:rPr>
                <w:rFonts w:eastAsia="Times New Roman"/>
                <w:b/>
                <w:bCs/>
                <w:color w:val="000000"/>
                <w:lang w:eastAsia="en-GB"/>
              </w:rPr>
            </w:pPr>
            <w:r w:rsidRPr="00072B21">
              <w:rPr>
                <w:rFonts w:eastAsia="Times New Roman"/>
                <w:b/>
                <w:bCs/>
                <w:color w:val="000000"/>
                <w:lang w:eastAsia="en-GB"/>
              </w:rPr>
              <w:t>Self-identified sexual orientation****</w:t>
            </w:r>
          </w:p>
        </w:tc>
        <w:tc>
          <w:tcPr>
            <w:tcW w:w="615" w:type="pct"/>
            <w:tcBorders>
              <w:top w:val="nil"/>
              <w:left w:val="nil"/>
              <w:bottom w:val="nil"/>
              <w:right w:val="nil"/>
            </w:tcBorders>
            <w:shd w:val="clear" w:color="auto" w:fill="auto"/>
            <w:noWrap/>
            <w:vAlign w:val="bottom"/>
          </w:tcPr>
          <w:p w14:paraId="0E539746" w14:textId="77777777" w:rsidR="004D1D86" w:rsidRPr="00072B21" w:rsidRDefault="004D1D86" w:rsidP="0079608A">
            <w:pPr>
              <w:spacing w:after="0"/>
              <w:jc w:val="center"/>
              <w:rPr>
                <w:rFonts w:eastAsia="Times New Roman"/>
                <w:b/>
                <w:bCs/>
                <w:color w:val="000000"/>
                <w:lang w:eastAsia="en-GB"/>
              </w:rPr>
            </w:pPr>
          </w:p>
        </w:tc>
        <w:tc>
          <w:tcPr>
            <w:tcW w:w="799" w:type="pct"/>
            <w:tcBorders>
              <w:top w:val="nil"/>
              <w:left w:val="nil"/>
              <w:bottom w:val="nil"/>
              <w:right w:val="nil"/>
            </w:tcBorders>
            <w:shd w:val="clear" w:color="auto" w:fill="auto"/>
            <w:noWrap/>
            <w:vAlign w:val="bottom"/>
          </w:tcPr>
          <w:p w14:paraId="37DF071C" w14:textId="77777777" w:rsidR="004D1D86" w:rsidRPr="00072B21" w:rsidRDefault="004D1D86" w:rsidP="0079608A">
            <w:pPr>
              <w:spacing w:after="0"/>
              <w:jc w:val="center"/>
              <w:rPr>
                <w:rFonts w:eastAsia="Times New Roman"/>
                <w:lang w:eastAsia="en-GB"/>
              </w:rPr>
            </w:pPr>
          </w:p>
        </w:tc>
      </w:tr>
      <w:tr w:rsidR="004D1D86" w:rsidRPr="00072B21" w14:paraId="6310A473" w14:textId="77777777" w:rsidTr="0079608A">
        <w:trPr>
          <w:trHeight w:val="320"/>
        </w:trPr>
        <w:tc>
          <w:tcPr>
            <w:tcW w:w="3254" w:type="pct"/>
            <w:tcBorders>
              <w:top w:val="nil"/>
              <w:left w:val="nil"/>
              <w:bottom w:val="nil"/>
              <w:right w:val="nil"/>
            </w:tcBorders>
            <w:shd w:val="clear" w:color="auto" w:fill="auto"/>
            <w:noWrap/>
            <w:vAlign w:val="bottom"/>
            <w:hideMark/>
          </w:tcPr>
          <w:p w14:paraId="383CB507"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Heterosexual or straight</w:t>
            </w:r>
          </w:p>
        </w:tc>
        <w:tc>
          <w:tcPr>
            <w:tcW w:w="332" w:type="pct"/>
            <w:tcBorders>
              <w:top w:val="nil"/>
              <w:left w:val="nil"/>
              <w:bottom w:val="nil"/>
              <w:right w:val="nil"/>
            </w:tcBorders>
            <w:shd w:val="clear" w:color="auto" w:fill="auto"/>
            <w:noWrap/>
            <w:vAlign w:val="bottom"/>
            <w:hideMark/>
          </w:tcPr>
          <w:p w14:paraId="0BF9AA29"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4019E7F" w14:textId="77777777" w:rsidR="004D1D86" w:rsidRPr="00072B21" w:rsidRDefault="004D1D86" w:rsidP="0079608A">
            <w:pPr>
              <w:spacing w:after="0"/>
              <w:jc w:val="center"/>
              <w:rPr>
                <w:rFonts w:eastAsia="Times New Roman"/>
                <w:color w:val="000000"/>
                <w:lang w:eastAsia="en-GB"/>
              </w:rPr>
            </w:pPr>
            <w:r w:rsidRPr="00072B21">
              <w:rPr>
                <w:color w:val="000000"/>
              </w:rPr>
              <w:t>22</w:t>
            </w:r>
          </w:p>
        </w:tc>
        <w:tc>
          <w:tcPr>
            <w:tcW w:w="799" w:type="pct"/>
            <w:tcBorders>
              <w:top w:val="nil"/>
              <w:left w:val="nil"/>
              <w:bottom w:val="nil"/>
              <w:right w:val="nil"/>
            </w:tcBorders>
            <w:shd w:val="clear" w:color="auto" w:fill="auto"/>
            <w:noWrap/>
            <w:vAlign w:val="bottom"/>
          </w:tcPr>
          <w:p w14:paraId="4D2A1912" w14:textId="77777777" w:rsidR="004D1D86" w:rsidRPr="00072B21" w:rsidRDefault="004D1D86" w:rsidP="0079608A">
            <w:pPr>
              <w:spacing w:after="0"/>
              <w:jc w:val="center"/>
              <w:rPr>
                <w:rFonts w:eastAsia="Times New Roman"/>
                <w:color w:val="000000"/>
                <w:lang w:eastAsia="en-GB"/>
              </w:rPr>
            </w:pPr>
            <w:r w:rsidRPr="00072B21">
              <w:rPr>
                <w:color w:val="000000"/>
              </w:rPr>
              <w:t>59%</w:t>
            </w:r>
          </w:p>
        </w:tc>
      </w:tr>
      <w:tr w:rsidR="004D1D86" w:rsidRPr="00072B21" w14:paraId="33934EF8" w14:textId="77777777" w:rsidTr="0079608A">
        <w:trPr>
          <w:trHeight w:val="320"/>
        </w:trPr>
        <w:tc>
          <w:tcPr>
            <w:tcW w:w="3254" w:type="pct"/>
            <w:tcBorders>
              <w:top w:val="nil"/>
              <w:left w:val="nil"/>
              <w:bottom w:val="nil"/>
              <w:right w:val="nil"/>
            </w:tcBorders>
            <w:shd w:val="clear" w:color="auto" w:fill="auto"/>
            <w:noWrap/>
            <w:vAlign w:val="bottom"/>
            <w:hideMark/>
          </w:tcPr>
          <w:p w14:paraId="1081B29C"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Bisexual</w:t>
            </w:r>
          </w:p>
        </w:tc>
        <w:tc>
          <w:tcPr>
            <w:tcW w:w="332" w:type="pct"/>
            <w:tcBorders>
              <w:top w:val="nil"/>
              <w:left w:val="nil"/>
              <w:bottom w:val="nil"/>
              <w:right w:val="nil"/>
            </w:tcBorders>
            <w:shd w:val="clear" w:color="auto" w:fill="auto"/>
            <w:noWrap/>
            <w:vAlign w:val="bottom"/>
            <w:hideMark/>
          </w:tcPr>
          <w:p w14:paraId="5AADD48D"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9C002CF" w14:textId="77777777" w:rsidR="004D1D86" w:rsidRPr="00072B21" w:rsidRDefault="004D1D86" w:rsidP="0079608A">
            <w:pPr>
              <w:spacing w:after="0"/>
              <w:jc w:val="center"/>
              <w:rPr>
                <w:rFonts w:eastAsia="Times New Roman"/>
                <w:color w:val="000000"/>
                <w:lang w:eastAsia="en-GB"/>
              </w:rPr>
            </w:pPr>
            <w:r w:rsidRPr="00072B21">
              <w:rPr>
                <w:color w:val="000000"/>
              </w:rPr>
              <w:t>8</w:t>
            </w:r>
          </w:p>
        </w:tc>
        <w:tc>
          <w:tcPr>
            <w:tcW w:w="799" w:type="pct"/>
            <w:tcBorders>
              <w:top w:val="nil"/>
              <w:left w:val="nil"/>
              <w:bottom w:val="nil"/>
              <w:right w:val="nil"/>
            </w:tcBorders>
            <w:shd w:val="clear" w:color="auto" w:fill="auto"/>
            <w:noWrap/>
            <w:vAlign w:val="bottom"/>
          </w:tcPr>
          <w:p w14:paraId="36389405" w14:textId="77777777" w:rsidR="004D1D86" w:rsidRPr="00072B21" w:rsidRDefault="004D1D86" w:rsidP="0079608A">
            <w:pPr>
              <w:spacing w:after="0"/>
              <w:jc w:val="center"/>
              <w:rPr>
                <w:rFonts w:eastAsia="Times New Roman"/>
                <w:color w:val="000000"/>
                <w:lang w:eastAsia="en-GB"/>
              </w:rPr>
            </w:pPr>
            <w:r w:rsidRPr="00072B21">
              <w:rPr>
                <w:color w:val="000000"/>
              </w:rPr>
              <w:t>22%</w:t>
            </w:r>
          </w:p>
        </w:tc>
      </w:tr>
      <w:tr w:rsidR="004D1D86" w:rsidRPr="00072B21" w14:paraId="3775CFE0" w14:textId="77777777" w:rsidTr="0079608A">
        <w:trPr>
          <w:trHeight w:val="320"/>
        </w:trPr>
        <w:tc>
          <w:tcPr>
            <w:tcW w:w="3254" w:type="pct"/>
            <w:tcBorders>
              <w:top w:val="nil"/>
              <w:left w:val="nil"/>
              <w:bottom w:val="nil"/>
              <w:right w:val="nil"/>
            </w:tcBorders>
            <w:shd w:val="clear" w:color="auto" w:fill="auto"/>
            <w:noWrap/>
            <w:vAlign w:val="bottom"/>
            <w:hideMark/>
          </w:tcPr>
          <w:p w14:paraId="3549610D"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Gay or lesbian</w:t>
            </w:r>
          </w:p>
        </w:tc>
        <w:tc>
          <w:tcPr>
            <w:tcW w:w="332" w:type="pct"/>
            <w:tcBorders>
              <w:top w:val="nil"/>
              <w:left w:val="nil"/>
              <w:bottom w:val="nil"/>
              <w:right w:val="nil"/>
            </w:tcBorders>
            <w:shd w:val="clear" w:color="auto" w:fill="auto"/>
            <w:noWrap/>
            <w:vAlign w:val="bottom"/>
            <w:hideMark/>
          </w:tcPr>
          <w:p w14:paraId="5B1D0B35"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443E825" w14:textId="77777777" w:rsidR="004D1D86" w:rsidRPr="00072B21" w:rsidRDefault="004D1D86" w:rsidP="0079608A">
            <w:pPr>
              <w:spacing w:after="0"/>
              <w:jc w:val="center"/>
              <w:rPr>
                <w:rFonts w:eastAsia="Times New Roman"/>
                <w:color w:val="000000"/>
                <w:lang w:eastAsia="en-GB"/>
              </w:rPr>
            </w:pPr>
            <w:r w:rsidRPr="00072B21">
              <w:rPr>
                <w:color w:val="000000"/>
              </w:rPr>
              <w:t>5</w:t>
            </w:r>
          </w:p>
        </w:tc>
        <w:tc>
          <w:tcPr>
            <w:tcW w:w="799" w:type="pct"/>
            <w:tcBorders>
              <w:top w:val="nil"/>
              <w:left w:val="nil"/>
              <w:bottom w:val="nil"/>
              <w:right w:val="nil"/>
            </w:tcBorders>
            <w:shd w:val="clear" w:color="auto" w:fill="auto"/>
            <w:noWrap/>
            <w:vAlign w:val="bottom"/>
          </w:tcPr>
          <w:p w14:paraId="3C2D7888" w14:textId="77777777" w:rsidR="004D1D86" w:rsidRPr="00072B21" w:rsidRDefault="004D1D86" w:rsidP="0079608A">
            <w:pPr>
              <w:spacing w:after="0"/>
              <w:jc w:val="center"/>
              <w:rPr>
                <w:rFonts w:eastAsia="Times New Roman"/>
                <w:color w:val="000000"/>
                <w:lang w:eastAsia="en-GB"/>
              </w:rPr>
            </w:pPr>
            <w:r w:rsidRPr="00072B21">
              <w:rPr>
                <w:color w:val="000000"/>
              </w:rPr>
              <w:t>14%</w:t>
            </w:r>
          </w:p>
        </w:tc>
      </w:tr>
      <w:tr w:rsidR="004D1D86" w:rsidRPr="00072B21" w14:paraId="166B07B1" w14:textId="77777777" w:rsidTr="0079608A">
        <w:trPr>
          <w:trHeight w:val="320"/>
        </w:trPr>
        <w:tc>
          <w:tcPr>
            <w:tcW w:w="3254" w:type="pct"/>
            <w:tcBorders>
              <w:top w:val="nil"/>
              <w:left w:val="nil"/>
              <w:bottom w:val="nil"/>
              <w:right w:val="nil"/>
            </w:tcBorders>
            <w:shd w:val="clear" w:color="auto" w:fill="auto"/>
            <w:noWrap/>
            <w:vAlign w:val="bottom"/>
          </w:tcPr>
          <w:p w14:paraId="3DB48F61"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Pansexual</w:t>
            </w:r>
          </w:p>
        </w:tc>
        <w:tc>
          <w:tcPr>
            <w:tcW w:w="332" w:type="pct"/>
            <w:tcBorders>
              <w:top w:val="nil"/>
              <w:left w:val="nil"/>
              <w:bottom w:val="nil"/>
              <w:right w:val="nil"/>
            </w:tcBorders>
            <w:shd w:val="clear" w:color="auto" w:fill="auto"/>
            <w:noWrap/>
            <w:vAlign w:val="bottom"/>
          </w:tcPr>
          <w:p w14:paraId="52ED4F42"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5067AB4" w14:textId="77777777" w:rsidR="004D1D86" w:rsidRPr="00072B21" w:rsidRDefault="004D1D86" w:rsidP="0079608A">
            <w:pPr>
              <w:spacing w:after="0"/>
              <w:jc w:val="center"/>
              <w:rPr>
                <w:rFonts w:eastAsia="Times New Roman"/>
                <w:color w:val="000000"/>
                <w:lang w:eastAsia="en-GB"/>
              </w:rPr>
            </w:pPr>
            <w:r w:rsidRPr="00072B21">
              <w:rPr>
                <w:color w:val="000000"/>
              </w:rPr>
              <w:t>2</w:t>
            </w:r>
          </w:p>
        </w:tc>
        <w:tc>
          <w:tcPr>
            <w:tcW w:w="799" w:type="pct"/>
            <w:tcBorders>
              <w:top w:val="nil"/>
              <w:left w:val="nil"/>
              <w:bottom w:val="nil"/>
              <w:right w:val="nil"/>
            </w:tcBorders>
            <w:shd w:val="clear" w:color="auto" w:fill="auto"/>
            <w:noWrap/>
            <w:vAlign w:val="bottom"/>
          </w:tcPr>
          <w:p w14:paraId="149E4288" w14:textId="77777777" w:rsidR="004D1D86" w:rsidRPr="00072B21" w:rsidRDefault="004D1D86" w:rsidP="0079608A">
            <w:pPr>
              <w:spacing w:after="0"/>
              <w:jc w:val="center"/>
              <w:rPr>
                <w:rFonts w:eastAsia="Times New Roman"/>
                <w:color w:val="000000"/>
                <w:lang w:eastAsia="en-GB"/>
              </w:rPr>
            </w:pPr>
            <w:r w:rsidRPr="00072B21">
              <w:rPr>
                <w:color w:val="000000"/>
              </w:rPr>
              <w:t>5%</w:t>
            </w:r>
          </w:p>
        </w:tc>
      </w:tr>
      <w:tr w:rsidR="004D1D86" w:rsidRPr="00072B21" w14:paraId="16A99D37" w14:textId="77777777" w:rsidTr="0079608A">
        <w:trPr>
          <w:trHeight w:val="320"/>
        </w:trPr>
        <w:tc>
          <w:tcPr>
            <w:tcW w:w="3254" w:type="pct"/>
            <w:tcBorders>
              <w:top w:val="nil"/>
              <w:left w:val="nil"/>
              <w:bottom w:val="nil"/>
              <w:right w:val="nil"/>
            </w:tcBorders>
            <w:shd w:val="clear" w:color="auto" w:fill="auto"/>
            <w:noWrap/>
            <w:vAlign w:val="bottom"/>
          </w:tcPr>
          <w:p w14:paraId="2312D231" w14:textId="77777777" w:rsidR="004D1D86" w:rsidRPr="00072B21" w:rsidRDefault="004D1D86" w:rsidP="0079608A">
            <w:pPr>
              <w:spacing w:after="0"/>
              <w:rPr>
                <w:rFonts w:eastAsia="Times New Roman"/>
                <w:color w:val="000000"/>
                <w:lang w:eastAsia="en-GB"/>
              </w:rPr>
            </w:pPr>
          </w:p>
        </w:tc>
        <w:tc>
          <w:tcPr>
            <w:tcW w:w="332" w:type="pct"/>
            <w:tcBorders>
              <w:top w:val="nil"/>
              <w:left w:val="nil"/>
              <w:bottom w:val="nil"/>
              <w:right w:val="nil"/>
            </w:tcBorders>
            <w:shd w:val="clear" w:color="auto" w:fill="auto"/>
            <w:noWrap/>
            <w:vAlign w:val="bottom"/>
          </w:tcPr>
          <w:p w14:paraId="241660D1"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098D028D"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01A79FC9" w14:textId="77777777" w:rsidR="004D1D86" w:rsidRPr="00072B21" w:rsidRDefault="004D1D86" w:rsidP="0079608A">
            <w:pPr>
              <w:spacing w:after="0"/>
              <w:jc w:val="center"/>
              <w:rPr>
                <w:rFonts w:eastAsia="Times New Roman"/>
                <w:color w:val="000000"/>
                <w:lang w:eastAsia="en-GB"/>
              </w:rPr>
            </w:pPr>
          </w:p>
        </w:tc>
      </w:tr>
      <w:tr w:rsidR="004D1D86" w:rsidRPr="00072B21" w14:paraId="18DF1201" w14:textId="77777777" w:rsidTr="0079608A">
        <w:trPr>
          <w:trHeight w:val="320"/>
        </w:trPr>
        <w:tc>
          <w:tcPr>
            <w:tcW w:w="3254" w:type="pct"/>
            <w:tcBorders>
              <w:top w:val="nil"/>
              <w:left w:val="nil"/>
              <w:bottom w:val="nil"/>
              <w:right w:val="nil"/>
            </w:tcBorders>
            <w:shd w:val="clear" w:color="auto" w:fill="auto"/>
            <w:noWrap/>
            <w:vAlign w:val="bottom"/>
          </w:tcPr>
          <w:p w14:paraId="04010D7E" w14:textId="77777777" w:rsidR="004D1D86" w:rsidRPr="00072B21" w:rsidRDefault="004D1D86" w:rsidP="0079608A">
            <w:pPr>
              <w:spacing w:after="0"/>
              <w:rPr>
                <w:rFonts w:eastAsia="Times New Roman"/>
                <w:color w:val="000000"/>
                <w:lang w:eastAsia="en-GB"/>
              </w:rPr>
            </w:pPr>
            <w:r w:rsidRPr="00072B21">
              <w:rPr>
                <w:rFonts w:eastAsia="Times New Roman"/>
                <w:b/>
                <w:bCs/>
                <w:color w:val="000000"/>
                <w:lang w:eastAsia="en-GB"/>
              </w:rPr>
              <w:t>State/territory</w:t>
            </w:r>
          </w:p>
        </w:tc>
        <w:tc>
          <w:tcPr>
            <w:tcW w:w="332" w:type="pct"/>
            <w:tcBorders>
              <w:top w:val="nil"/>
              <w:left w:val="nil"/>
              <w:bottom w:val="nil"/>
              <w:right w:val="nil"/>
            </w:tcBorders>
            <w:shd w:val="clear" w:color="auto" w:fill="auto"/>
            <w:noWrap/>
            <w:vAlign w:val="bottom"/>
          </w:tcPr>
          <w:p w14:paraId="376F56D4"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4562E01D"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nil"/>
              <w:right w:val="nil"/>
            </w:tcBorders>
            <w:shd w:val="clear" w:color="auto" w:fill="auto"/>
            <w:noWrap/>
            <w:vAlign w:val="bottom"/>
          </w:tcPr>
          <w:p w14:paraId="7D3C99A4" w14:textId="77777777" w:rsidR="004D1D86" w:rsidRPr="00072B21" w:rsidRDefault="004D1D86" w:rsidP="0079608A">
            <w:pPr>
              <w:spacing w:after="0"/>
              <w:jc w:val="center"/>
              <w:rPr>
                <w:rFonts w:eastAsia="Times New Roman"/>
                <w:color w:val="000000"/>
                <w:lang w:eastAsia="en-GB"/>
              </w:rPr>
            </w:pPr>
          </w:p>
        </w:tc>
      </w:tr>
      <w:tr w:rsidR="004D1D86" w:rsidRPr="00072B21" w14:paraId="530BD9D7" w14:textId="77777777" w:rsidTr="0079608A">
        <w:trPr>
          <w:trHeight w:val="320"/>
        </w:trPr>
        <w:tc>
          <w:tcPr>
            <w:tcW w:w="3254" w:type="pct"/>
            <w:tcBorders>
              <w:top w:val="nil"/>
              <w:left w:val="nil"/>
              <w:bottom w:val="nil"/>
              <w:right w:val="nil"/>
            </w:tcBorders>
            <w:shd w:val="clear" w:color="auto" w:fill="auto"/>
            <w:noWrap/>
            <w:vAlign w:val="bottom"/>
          </w:tcPr>
          <w:p w14:paraId="40C279B8"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Victoria (VIC)</w:t>
            </w:r>
          </w:p>
        </w:tc>
        <w:tc>
          <w:tcPr>
            <w:tcW w:w="332" w:type="pct"/>
            <w:tcBorders>
              <w:top w:val="nil"/>
              <w:left w:val="nil"/>
              <w:bottom w:val="nil"/>
              <w:right w:val="nil"/>
            </w:tcBorders>
            <w:shd w:val="clear" w:color="auto" w:fill="auto"/>
            <w:noWrap/>
            <w:vAlign w:val="bottom"/>
          </w:tcPr>
          <w:p w14:paraId="7FC45B03"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AE473C2" w14:textId="77777777" w:rsidR="004D1D86" w:rsidRPr="00072B21" w:rsidRDefault="004D1D86" w:rsidP="0079608A">
            <w:pPr>
              <w:spacing w:after="0"/>
              <w:jc w:val="center"/>
              <w:rPr>
                <w:color w:val="000000"/>
              </w:rPr>
            </w:pPr>
            <w:r w:rsidRPr="00072B21">
              <w:rPr>
                <w:color w:val="000000"/>
              </w:rPr>
              <w:t>17</w:t>
            </w:r>
          </w:p>
        </w:tc>
        <w:tc>
          <w:tcPr>
            <w:tcW w:w="799" w:type="pct"/>
            <w:tcBorders>
              <w:top w:val="nil"/>
              <w:left w:val="nil"/>
              <w:bottom w:val="nil"/>
              <w:right w:val="nil"/>
            </w:tcBorders>
            <w:shd w:val="clear" w:color="auto" w:fill="auto"/>
            <w:noWrap/>
            <w:vAlign w:val="bottom"/>
          </w:tcPr>
          <w:p w14:paraId="1939A216" w14:textId="77777777" w:rsidR="004D1D86" w:rsidRPr="00072B21" w:rsidRDefault="004D1D86" w:rsidP="0079608A">
            <w:pPr>
              <w:spacing w:after="0"/>
              <w:jc w:val="center"/>
              <w:rPr>
                <w:color w:val="000000"/>
              </w:rPr>
            </w:pPr>
            <w:r w:rsidRPr="00072B21">
              <w:rPr>
                <w:color w:val="000000"/>
              </w:rPr>
              <w:t>46%</w:t>
            </w:r>
          </w:p>
        </w:tc>
      </w:tr>
      <w:tr w:rsidR="004D1D86" w:rsidRPr="00072B21" w14:paraId="2497B7A2" w14:textId="77777777" w:rsidTr="0079608A">
        <w:trPr>
          <w:trHeight w:val="320"/>
        </w:trPr>
        <w:tc>
          <w:tcPr>
            <w:tcW w:w="3254" w:type="pct"/>
            <w:tcBorders>
              <w:top w:val="nil"/>
              <w:left w:val="nil"/>
              <w:bottom w:val="nil"/>
              <w:right w:val="nil"/>
            </w:tcBorders>
            <w:shd w:val="clear" w:color="auto" w:fill="auto"/>
            <w:noWrap/>
            <w:vAlign w:val="bottom"/>
          </w:tcPr>
          <w:p w14:paraId="08B1019F"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New South Wales (NSW)</w:t>
            </w:r>
          </w:p>
        </w:tc>
        <w:tc>
          <w:tcPr>
            <w:tcW w:w="332" w:type="pct"/>
            <w:tcBorders>
              <w:top w:val="nil"/>
              <w:left w:val="nil"/>
              <w:bottom w:val="nil"/>
              <w:right w:val="nil"/>
            </w:tcBorders>
            <w:shd w:val="clear" w:color="auto" w:fill="auto"/>
            <w:noWrap/>
            <w:vAlign w:val="bottom"/>
          </w:tcPr>
          <w:p w14:paraId="0997F58D"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5B3CBF6" w14:textId="77777777" w:rsidR="004D1D86" w:rsidRPr="00072B21" w:rsidRDefault="004D1D86" w:rsidP="0079608A">
            <w:pPr>
              <w:spacing w:after="0"/>
              <w:jc w:val="center"/>
              <w:rPr>
                <w:rFonts w:eastAsia="Times New Roman"/>
                <w:color w:val="000000"/>
                <w:lang w:eastAsia="en-GB"/>
              </w:rPr>
            </w:pPr>
            <w:r w:rsidRPr="00072B21">
              <w:rPr>
                <w:color w:val="000000"/>
              </w:rPr>
              <w:t>10</w:t>
            </w:r>
          </w:p>
        </w:tc>
        <w:tc>
          <w:tcPr>
            <w:tcW w:w="799" w:type="pct"/>
            <w:tcBorders>
              <w:top w:val="nil"/>
              <w:left w:val="nil"/>
              <w:bottom w:val="nil"/>
              <w:right w:val="nil"/>
            </w:tcBorders>
            <w:shd w:val="clear" w:color="auto" w:fill="auto"/>
            <w:noWrap/>
            <w:vAlign w:val="bottom"/>
          </w:tcPr>
          <w:p w14:paraId="7DA45682" w14:textId="77777777" w:rsidR="004D1D86" w:rsidRPr="00072B21" w:rsidRDefault="004D1D86" w:rsidP="0079608A">
            <w:pPr>
              <w:spacing w:after="0"/>
              <w:jc w:val="center"/>
              <w:rPr>
                <w:rFonts w:eastAsia="Times New Roman"/>
                <w:color w:val="000000"/>
                <w:lang w:eastAsia="en-GB"/>
              </w:rPr>
            </w:pPr>
            <w:r w:rsidRPr="00072B21">
              <w:rPr>
                <w:color w:val="000000"/>
              </w:rPr>
              <w:t>27%</w:t>
            </w:r>
          </w:p>
        </w:tc>
      </w:tr>
      <w:tr w:rsidR="004D1D86" w:rsidRPr="00072B21" w14:paraId="3A5ACD3D" w14:textId="77777777" w:rsidTr="0079608A">
        <w:trPr>
          <w:trHeight w:val="320"/>
        </w:trPr>
        <w:tc>
          <w:tcPr>
            <w:tcW w:w="3254" w:type="pct"/>
            <w:tcBorders>
              <w:top w:val="nil"/>
              <w:left w:val="nil"/>
              <w:bottom w:val="nil"/>
              <w:right w:val="nil"/>
            </w:tcBorders>
            <w:shd w:val="clear" w:color="auto" w:fill="auto"/>
            <w:noWrap/>
            <w:vAlign w:val="bottom"/>
          </w:tcPr>
          <w:p w14:paraId="6B6C85CF"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Queensland (QLD)</w:t>
            </w:r>
          </w:p>
        </w:tc>
        <w:tc>
          <w:tcPr>
            <w:tcW w:w="332" w:type="pct"/>
            <w:tcBorders>
              <w:top w:val="nil"/>
              <w:left w:val="nil"/>
              <w:bottom w:val="nil"/>
              <w:right w:val="nil"/>
            </w:tcBorders>
            <w:shd w:val="clear" w:color="auto" w:fill="auto"/>
            <w:noWrap/>
            <w:vAlign w:val="bottom"/>
          </w:tcPr>
          <w:p w14:paraId="3D564CBC"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32CAAFED" w14:textId="77777777" w:rsidR="004D1D86" w:rsidRPr="00072B21" w:rsidRDefault="004D1D86" w:rsidP="0079608A">
            <w:pPr>
              <w:spacing w:after="0"/>
              <w:jc w:val="center"/>
              <w:rPr>
                <w:rFonts w:eastAsia="Times New Roman"/>
                <w:color w:val="000000"/>
                <w:lang w:eastAsia="en-GB"/>
              </w:rPr>
            </w:pPr>
            <w:r w:rsidRPr="00072B21">
              <w:rPr>
                <w:color w:val="000000"/>
              </w:rPr>
              <w:t>5</w:t>
            </w:r>
          </w:p>
        </w:tc>
        <w:tc>
          <w:tcPr>
            <w:tcW w:w="799" w:type="pct"/>
            <w:tcBorders>
              <w:top w:val="nil"/>
              <w:left w:val="nil"/>
              <w:bottom w:val="nil"/>
              <w:right w:val="nil"/>
            </w:tcBorders>
            <w:shd w:val="clear" w:color="auto" w:fill="auto"/>
            <w:noWrap/>
            <w:vAlign w:val="bottom"/>
          </w:tcPr>
          <w:p w14:paraId="24CBD298" w14:textId="77777777" w:rsidR="004D1D86" w:rsidRPr="00072B21" w:rsidRDefault="004D1D86" w:rsidP="0079608A">
            <w:pPr>
              <w:spacing w:after="0"/>
              <w:jc w:val="center"/>
              <w:rPr>
                <w:rFonts w:eastAsia="Times New Roman"/>
                <w:color w:val="000000"/>
                <w:lang w:eastAsia="en-GB"/>
              </w:rPr>
            </w:pPr>
            <w:r w:rsidRPr="00072B21">
              <w:rPr>
                <w:color w:val="000000"/>
              </w:rPr>
              <w:t>14%</w:t>
            </w:r>
          </w:p>
        </w:tc>
      </w:tr>
      <w:tr w:rsidR="004D1D86" w:rsidRPr="00072B21" w14:paraId="2C5C9C98" w14:textId="77777777" w:rsidTr="0079608A">
        <w:trPr>
          <w:trHeight w:val="320"/>
        </w:trPr>
        <w:tc>
          <w:tcPr>
            <w:tcW w:w="3254" w:type="pct"/>
            <w:tcBorders>
              <w:top w:val="nil"/>
              <w:left w:val="nil"/>
              <w:bottom w:val="nil"/>
              <w:right w:val="nil"/>
            </w:tcBorders>
            <w:shd w:val="clear" w:color="auto" w:fill="auto"/>
            <w:noWrap/>
            <w:vAlign w:val="bottom"/>
          </w:tcPr>
          <w:p w14:paraId="48806398"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South Australia (SA)</w:t>
            </w:r>
          </w:p>
        </w:tc>
        <w:tc>
          <w:tcPr>
            <w:tcW w:w="332" w:type="pct"/>
            <w:tcBorders>
              <w:top w:val="nil"/>
              <w:left w:val="nil"/>
              <w:bottom w:val="nil"/>
              <w:right w:val="nil"/>
            </w:tcBorders>
            <w:shd w:val="clear" w:color="auto" w:fill="auto"/>
            <w:noWrap/>
            <w:vAlign w:val="bottom"/>
          </w:tcPr>
          <w:p w14:paraId="00798E2C"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524FDA31" w14:textId="77777777" w:rsidR="004D1D86" w:rsidRPr="00072B21" w:rsidRDefault="004D1D86" w:rsidP="0079608A">
            <w:pPr>
              <w:spacing w:after="0"/>
              <w:jc w:val="center"/>
              <w:rPr>
                <w:rFonts w:eastAsia="Times New Roman"/>
                <w:color w:val="000000"/>
                <w:lang w:eastAsia="en-GB"/>
              </w:rPr>
            </w:pPr>
            <w:r w:rsidRPr="00072B21">
              <w:rPr>
                <w:color w:val="000000"/>
              </w:rPr>
              <w:t>3</w:t>
            </w:r>
          </w:p>
        </w:tc>
        <w:tc>
          <w:tcPr>
            <w:tcW w:w="799" w:type="pct"/>
            <w:tcBorders>
              <w:top w:val="nil"/>
              <w:left w:val="nil"/>
              <w:bottom w:val="nil"/>
              <w:right w:val="nil"/>
            </w:tcBorders>
            <w:shd w:val="clear" w:color="auto" w:fill="auto"/>
            <w:noWrap/>
            <w:vAlign w:val="bottom"/>
          </w:tcPr>
          <w:p w14:paraId="5C726A15" w14:textId="77777777" w:rsidR="004D1D86" w:rsidRPr="00072B21" w:rsidRDefault="004D1D86" w:rsidP="0079608A">
            <w:pPr>
              <w:spacing w:after="0"/>
              <w:jc w:val="center"/>
              <w:rPr>
                <w:rFonts w:eastAsia="Times New Roman"/>
                <w:color w:val="000000"/>
                <w:lang w:eastAsia="en-GB"/>
              </w:rPr>
            </w:pPr>
            <w:r w:rsidRPr="00072B21">
              <w:rPr>
                <w:color w:val="000000"/>
              </w:rPr>
              <w:t>8%</w:t>
            </w:r>
          </w:p>
        </w:tc>
      </w:tr>
      <w:tr w:rsidR="004D1D86" w:rsidRPr="00072B21" w14:paraId="2484F746" w14:textId="77777777" w:rsidTr="0079608A">
        <w:trPr>
          <w:trHeight w:val="320"/>
        </w:trPr>
        <w:tc>
          <w:tcPr>
            <w:tcW w:w="3254" w:type="pct"/>
            <w:tcBorders>
              <w:top w:val="nil"/>
              <w:left w:val="nil"/>
              <w:bottom w:val="nil"/>
              <w:right w:val="nil"/>
            </w:tcBorders>
            <w:shd w:val="clear" w:color="auto" w:fill="auto"/>
            <w:noWrap/>
            <w:vAlign w:val="bottom"/>
          </w:tcPr>
          <w:p w14:paraId="77F03B72"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Tasmania (TAS)</w:t>
            </w:r>
          </w:p>
        </w:tc>
        <w:tc>
          <w:tcPr>
            <w:tcW w:w="332" w:type="pct"/>
            <w:tcBorders>
              <w:top w:val="nil"/>
              <w:left w:val="nil"/>
              <w:bottom w:val="nil"/>
              <w:right w:val="nil"/>
            </w:tcBorders>
            <w:shd w:val="clear" w:color="auto" w:fill="auto"/>
            <w:noWrap/>
            <w:vAlign w:val="bottom"/>
          </w:tcPr>
          <w:p w14:paraId="56258883"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78F2EC6B"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1A64B51E"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4F315C04" w14:textId="77777777" w:rsidTr="0079608A">
        <w:trPr>
          <w:trHeight w:val="320"/>
        </w:trPr>
        <w:tc>
          <w:tcPr>
            <w:tcW w:w="3254" w:type="pct"/>
            <w:tcBorders>
              <w:top w:val="nil"/>
              <w:left w:val="nil"/>
              <w:bottom w:val="nil"/>
              <w:right w:val="nil"/>
            </w:tcBorders>
            <w:shd w:val="clear" w:color="auto" w:fill="auto"/>
            <w:noWrap/>
            <w:vAlign w:val="bottom"/>
          </w:tcPr>
          <w:p w14:paraId="1C0EF4D3" w14:textId="77777777" w:rsidR="004D1D86" w:rsidRPr="00072B21" w:rsidRDefault="004D1D86" w:rsidP="0079608A">
            <w:pPr>
              <w:spacing w:after="0"/>
              <w:rPr>
                <w:rFonts w:eastAsia="Times New Roman"/>
                <w:color w:val="000000"/>
                <w:lang w:eastAsia="en-GB"/>
              </w:rPr>
            </w:pPr>
            <w:r w:rsidRPr="00072B21">
              <w:rPr>
                <w:rFonts w:eastAsia="Times New Roman"/>
                <w:color w:val="000000"/>
                <w:lang w:eastAsia="en-GB"/>
              </w:rPr>
              <w:t>Western Australia (WA)</w:t>
            </w:r>
          </w:p>
        </w:tc>
        <w:tc>
          <w:tcPr>
            <w:tcW w:w="332" w:type="pct"/>
            <w:tcBorders>
              <w:top w:val="nil"/>
              <w:left w:val="nil"/>
              <w:bottom w:val="nil"/>
              <w:right w:val="nil"/>
            </w:tcBorders>
            <w:shd w:val="clear" w:color="auto" w:fill="auto"/>
            <w:noWrap/>
            <w:vAlign w:val="bottom"/>
          </w:tcPr>
          <w:p w14:paraId="04D30591"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nil"/>
              <w:right w:val="nil"/>
            </w:tcBorders>
            <w:shd w:val="clear" w:color="auto" w:fill="auto"/>
            <w:noWrap/>
            <w:vAlign w:val="bottom"/>
          </w:tcPr>
          <w:p w14:paraId="2E894705" w14:textId="77777777" w:rsidR="004D1D86" w:rsidRPr="00072B21" w:rsidRDefault="004D1D86" w:rsidP="0079608A">
            <w:pPr>
              <w:spacing w:after="0"/>
              <w:jc w:val="center"/>
              <w:rPr>
                <w:rFonts w:eastAsia="Times New Roman"/>
                <w:color w:val="000000"/>
                <w:lang w:eastAsia="en-GB"/>
              </w:rPr>
            </w:pPr>
            <w:r w:rsidRPr="00072B21">
              <w:rPr>
                <w:color w:val="000000"/>
              </w:rPr>
              <w:t>1</w:t>
            </w:r>
          </w:p>
        </w:tc>
        <w:tc>
          <w:tcPr>
            <w:tcW w:w="799" w:type="pct"/>
            <w:tcBorders>
              <w:top w:val="nil"/>
              <w:left w:val="nil"/>
              <w:bottom w:val="nil"/>
              <w:right w:val="nil"/>
            </w:tcBorders>
            <w:shd w:val="clear" w:color="auto" w:fill="auto"/>
            <w:noWrap/>
            <w:vAlign w:val="bottom"/>
          </w:tcPr>
          <w:p w14:paraId="63765F42" w14:textId="77777777" w:rsidR="004D1D86" w:rsidRPr="00072B21" w:rsidRDefault="004D1D86" w:rsidP="0079608A">
            <w:pPr>
              <w:spacing w:after="0"/>
              <w:jc w:val="center"/>
              <w:rPr>
                <w:rFonts w:eastAsia="Times New Roman"/>
                <w:color w:val="000000"/>
                <w:lang w:eastAsia="en-GB"/>
              </w:rPr>
            </w:pPr>
            <w:r w:rsidRPr="00072B21">
              <w:rPr>
                <w:color w:val="000000"/>
              </w:rPr>
              <w:t>3%</w:t>
            </w:r>
          </w:p>
        </w:tc>
      </w:tr>
      <w:tr w:rsidR="004D1D86" w:rsidRPr="00072B21" w14:paraId="219D5188" w14:textId="77777777" w:rsidTr="0079608A">
        <w:trPr>
          <w:trHeight w:val="320"/>
        </w:trPr>
        <w:tc>
          <w:tcPr>
            <w:tcW w:w="3254" w:type="pct"/>
            <w:tcBorders>
              <w:top w:val="nil"/>
              <w:left w:val="nil"/>
              <w:bottom w:val="single" w:sz="4" w:space="0" w:color="auto"/>
              <w:right w:val="nil"/>
            </w:tcBorders>
            <w:shd w:val="clear" w:color="auto" w:fill="auto"/>
            <w:noWrap/>
            <w:vAlign w:val="bottom"/>
          </w:tcPr>
          <w:p w14:paraId="33A3D4A7" w14:textId="77777777" w:rsidR="004D1D86" w:rsidRPr="00072B21" w:rsidRDefault="004D1D86" w:rsidP="0079608A">
            <w:pPr>
              <w:spacing w:after="0"/>
              <w:jc w:val="center"/>
              <w:rPr>
                <w:rFonts w:eastAsia="Times New Roman"/>
                <w:color w:val="000000"/>
                <w:lang w:eastAsia="en-GB"/>
              </w:rPr>
            </w:pPr>
          </w:p>
        </w:tc>
        <w:tc>
          <w:tcPr>
            <w:tcW w:w="332" w:type="pct"/>
            <w:tcBorders>
              <w:top w:val="nil"/>
              <w:left w:val="nil"/>
              <w:bottom w:val="single" w:sz="4" w:space="0" w:color="auto"/>
              <w:right w:val="nil"/>
            </w:tcBorders>
            <w:shd w:val="clear" w:color="auto" w:fill="auto"/>
            <w:noWrap/>
            <w:vAlign w:val="bottom"/>
          </w:tcPr>
          <w:p w14:paraId="2F21E449" w14:textId="77777777" w:rsidR="004D1D86" w:rsidRPr="00072B21" w:rsidRDefault="004D1D86" w:rsidP="0079608A">
            <w:pPr>
              <w:spacing w:after="0"/>
              <w:rPr>
                <w:rFonts w:eastAsia="Times New Roman"/>
                <w:color w:val="000000"/>
                <w:lang w:eastAsia="en-GB"/>
              </w:rPr>
            </w:pPr>
          </w:p>
        </w:tc>
        <w:tc>
          <w:tcPr>
            <w:tcW w:w="615" w:type="pct"/>
            <w:tcBorders>
              <w:top w:val="nil"/>
              <w:left w:val="nil"/>
              <w:bottom w:val="single" w:sz="4" w:space="0" w:color="auto"/>
              <w:right w:val="nil"/>
            </w:tcBorders>
            <w:shd w:val="clear" w:color="auto" w:fill="auto"/>
            <w:noWrap/>
            <w:vAlign w:val="bottom"/>
          </w:tcPr>
          <w:p w14:paraId="423F8149" w14:textId="77777777" w:rsidR="004D1D86" w:rsidRPr="00072B21" w:rsidRDefault="004D1D86" w:rsidP="0079608A">
            <w:pPr>
              <w:spacing w:after="0"/>
              <w:jc w:val="center"/>
              <w:rPr>
                <w:rFonts w:eastAsia="Times New Roman"/>
                <w:color w:val="000000"/>
                <w:lang w:eastAsia="en-GB"/>
              </w:rPr>
            </w:pPr>
          </w:p>
        </w:tc>
        <w:tc>
          <w:tcPr>
            <w:tcW w:w="799" w:type="pct"/>
            <w:tcBorders>
              <w:top w:val="nil"/>
              <w:left w:val="nil"/>
              <w:bottom w:val="single" w:sz="4" w:space="0" w:color="auto"/>
              <w:right w:val="nil"/>
            </w:tcBorders>
            <w:shd w:val="clear" w:color="auto" w:fill="auto"/>
            <w:noWrap/>
            <w:vAlign w:val="bottom"/>
          </w:tcPr>
          <w:p w14:paraId="194FB346" w14:textId="77777777" w:rsidR="004D1D86" w:rsidRPr="00072B21" w:rsidRDefault="004D1D86" w:rsidP="0079608A">
            <w:pPr>
              <w:spacing w:after="0"/>
              <w:jc w:val="center"/>
              <w:rPr>
                <w:rFonts w:eastAsia="Times New Roman"/>
                <w:color w:val="000000"/>
                <w:lang w:eastAsia="en-GB"/>
              </w:rPr>
            </w:pPr>
          </w:p>
        </w:tc>
      </w:tr>
    </w:tbl>
    <w:p w14:paraId="2B4DA4BA" w14:textId="77777777" w:rsidR="004D1D86" w:rsidRPr="00072B21" w:rsidRDefault="004D1D86" w:rsidP="004D1D86">
      <w:pPr>
        <w:widowControl w:val="0"/>
        <w:spacing w:line="240" w:lineRule="auto"/>
      </w:pPr>
    </w:p>
    <w:p w14:paraId="5CB530A3" w14:textId="77777777" w:rsidR="004D1D86" w:rsidRPr="00072B21" w:rsidRDefault="004D1D86" w:rsidP="004D1D86">
      <w:pPr>
        <w:widowControl w:val="0"/>
      </w:pPr>
      <w:r w:rsidRPr="00072B21">
        <w:t>*Percentages have been rounded up to the nearest whole percentage and may not add up to 100% as a result.</w:t>
      </w:r>
    </w:p>
    <w:p w14:paraId="2E17B87B" w14:textId="77777777" w:rsidR="004D1D86" w:rsidRPr="00072B21" w:rsidRDefault="004D1D86" w:rsidP="004D1D86">
      <w:pPr>
        <w:widowControl w:val="0"/>
      </w:pPr>
      <w:r w:rsidRPr="00072B21">
        <w:t>**Ethnicity is reported following the Australian Standard Classification of Cultural and Ethnic Groups, developed by the Australian Bureau of Statistics. Cultural and ethnic background was classified according to a combination of self-reported group identification with cultural or ethnic groups, participants’ birthplace and their parents’ birthplaces.</w:t>
      </w:r>
    </w:p>
    <w:p w14:paraId="5F0D034D" w14:textId="77777777" w:rsidR="004D1D86" w:rsidRPr="00072B21" w:rsidRDefault="004D1D86" w:rsidP="004D1D86">
      <w:pPr>
        <w:widowControl w:val="0"/>
      </w:pPr>
      <w:r w:rsidRPr="00072B21">
        <w:t>***School types are</w:t>
      </w:r>
      <w:r>
        <w:t xml:space="preserve"> reported</w:t>
      </w:r>
      <w:r w:rsidRPr="00072B21">
        <w:t xml:space="preserve"> based on participant description</w:t>
      </w:r>
      <w:r>
        <w:t>s.</w:t>
      </w:r>
    </w:p>
    <w:p w14:paraId="114478CB" w14:textId="77777777" w:rsidR="004D1D86" w:rsidRPr="00072B21" w:rsidRDefault="004D1D86" w:rsidP="004D1D86">
      <w:pPr>
        <w:widowControl w:val="0"/>
      </w:pPr>
      <w:r w:rsidRPr="00072B21">
        <w:t xml:space="preserve">****Gender and sexual orientation </w:t>
      </w:r>
      <w:r>
        <w:t>are</w:t>
      </w:r>
      <w:r w:rsidRPr="00072B21">
        <w:t xml:space="preserve"> reported based on participants’ self-selected terms. </w:t>
      </w:r>
    </w:p>
    <w:p w14:paraId="0ADAB2BB" w14:textId="77777777" w:rsidR="004D1D86" w:rsidRPr="00072B21" w:rsidRDefault="004D1D86" w:rsidP="004D1D86"/>
    <w:p w14:paraId="4437C2B2" w14:textId="77777777" w:rsidR="004D1D86" w:rsidRPr="009368B0" w:rsidRDefault="004D1D86" w:rsidP="004E7262">
      <w:pPr>
        <w:spacing w:after="0" w:line="360" w:lineRule="auto"/>
      </w:pPr>
    </w:p>
    <w:p w14:paraId="5B9FB40D" w14:textId="77777777" w:rsidR="00224A56" w:rsidRDefault="00224A56" w:rsidP="004E7262">
      <w:pPr>
        <w:pStyle w:val="CommentText"/>
        <w:spacing w:after="0" w:line="360" w:lineRule="auto"/>
        <w:rPr>
          <w:rStyle w:val="doilink"/>
          <w:color w:val="333333"/>
          <w:shd w:val="clear" w:color="auto" w:fill="FFFFFF"/>
        </w:rPr>
      </w:pPr>
    </w:p>
    <w:p w14:paraId="18CB3B6E" w14:textId="77777777" w:rsidR="00224A56" w:rsidRDefault="00224A56" w:rsidP="004E7262">
      <w:pPr>
        <w:pStyle w:val="CommentText"/>
        <w:spacing w:after="0" w:line="360" w:lineRule="auto"/>
        <w:rPr>
          <w:rStyle w:val="doilink"/>
          <w:color w:val="333333"/>
          <w:shd w:val="clear" w:color="auto" w:fill="FFFFFF"/>
        </w:rPr>
      </w:pPr>
    </w:p>
    <w:p w14:paraId="47B3A33B" w14:textId="77777777" w:rsidR="00224A56" w:rsidRDefault="00224A56" w:rsidP="004E7262">
      <w:pPr>
        <w:pStyle w:val="CommentText"/>
        <w:spacing w:after="0" w:line="360" w:lineRule="auto"/>
        <w:rPr>
          <w:rStyle w:val="doilink"/>
          <w:color w:val="333333"/>
          <w:shd w:val="clear" w:color="auto" w:fill="FFFFFF"/>
        </w:rPr>
      </w:pPr>
    </w:p>
    <w:p w14:paraId="5189F815" w14:textId="77777777" w:rsidR="00224A56" w:rsidRDefault="00224A56" w:rsidP="004E7262">
      <w:pPr>
        <w:pStyle w:val="CommentText"/>
        <w:spacing w:after="0" w:line="360" w:lineRule="auto"/>
        <w:rPr>
          <w:rStyle w:val="doilink"/>
          <w:color w:val="333333"/>
          <w:shd w:val="clear" w:color="auto" w:fill="FFFFFF"/>
        </w:rPr>
      </w:pPr>
    </w:p>
    <w:p w14:paraId="39DAE0C4" w14:textId="77777777" w:rsidR="00224A56" w:rsidRDefault="00224A56" w:rsidP="00224A56">
      <w:pPr>
        <w:pStyle w:val="CommentText"/>
      </w:pPr>
    </w:p>
    <w:p w14:paraId="734F6B33" w14:textId="77777777" w:rsidR="00BB4AE9" w:rsidRPr="00D73205" w:rsidRDefault="00BB4AE9" w:rsidP="003861B4">
      <w:pPr>
        <w:spacing w:after="0" w:line="480" w:lineRule="auto"/>
      </w:pPr>
    </w:p>
    <w:sectPr w:rsidR="00BB4AE9" w:rsidRPr="00D732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D690" w14:textId="77777777" w:rsidR="00774D1B" w:rsidRDefault="00774D1B" w:rsidP="001D4092">
      <w:pPr>
        <w:spacing w:after="0" w:line="240" w:lineRule="auto"/>
      </w:pPr>
      <w:r>
        <w:separator/>
      </w:r>
    </w:p>
  </w:endnote>
  <w:endnote w:type="continuationSeparator" w:id="0">
    <w:p w14:paraId="44E3381D" w14:textId="77777777" w:rsidR="00774D1B" w:rsidRDefault="00774D1B" w:rsidP="001D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06116"/>
      <w:docPartObj>
        <w:docPartGallery w:val="Page Numbers (Bottom of Page)"/>
        <w:docPartUnique/>
      </w:docPartObj>
    </w:sdtPr>
    <w:sdtEndPr>
      <w:rPr>
        <w:noProof/>
      </w:rPr>
    </w:sdtEndPr>
    <w:sdtContent>
      <w:p w14:paraId="2D8BDCAF" w14:textId="538EC917" w:rsidR="00250CB6" w:rsidRDefault="00250CB6" w:rsidP="006F66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05F1" w14:textId="77777777" w:rsidR="00774D1B" w:rsidRDefault="00774D1B" w:rsidP="001D4092">
      <w:pPr>
        <w:spacing w:after="0" w:line="240" w:lineRule="auto"/>
      </w:pPr>
      <w:r>
        <w:separator/>
      </w:r>
    </w:p>
  </w:footnote>
  <w:footnote w:type="continuationSeparator" w:id="0">
    <w:p w14:paraId="183FD55B" w14:textId="77777777" w:rsidR="00774D1B" w:rsidRDefault="00774D1B" w:rsidP="001D4092">
      <w:pPr>
        <w:spacing w:after="0" w:line="240" w:lineRule="auto"/>
      </w:pPr>
      <w:r>
        <w:continuationSeparator/>
      </w:r>
    </w:p>
  </w:footnote>
  <w:footnote w:id="1">
    <w:p w14:paraId="0F25CC8E" w14:textId="344440CB" w:rsidR="00250CB6" w:rsidRPr="001F393D" w:rsidRDefault="00250CB6" w:rsidP="001F393D">
      <w:pPr>
        <w:pStyle w:val="NormalWeb"/>
        <w:spacing w:line="360" w:lineRule="atLeast"/>
        <w:rPr>
          <w:rStyle w:val="Emphasis"/>
          <w:rFonts w:ascii="Arial" w:hAnsi="Arial" w:cs="Arial"/>
          <w:i w:val="0"/>
          <w:iCs w:val="0"/>
          <w:color w:val="3C4245"/>
        </w:rPr>
      </w:pPr>
      <w:r w:rsidRPr="001F393D">
        <w:rPr>
          <w:rStyle w:val="FootnoteReference"/>
        </w:rPr>
        <w:footnoteRef/>
      </w:r>
      <w:r w:rsidRPr="001F393D">
        <w:t xml:space="preserve"> </w:t>
      </w:r>
      <w:r w:rsidRPr="001F393D">
        <w:rPr>
          <w:rStyle w:val="Emphasis"/>
          <w:rFonts w:ascii="Arial" w:hAnsi="Arial" w:cs="Arial"/>
          <w:i w:val="0"/>
          <w:iCs w:val="0"/>
          <w:color w:val="3C4245"/>
        </w:rPr>
        <w:t xml:space="preserve">World Health Organisation (2006). </w:t>
      </w:r>
      <w:r w:rsidRPr="001F393D">
        <w:rPr>
          <w:rFonts w:ascii="Arial" w:hAnsi="Arial" w:cs="Arial"/>
          <w:i/>
          <w:iCs/>
          <w:color w:val="3C4245"/>
        </w:rPr>
        <w:t>Sexual and reproductive health and research including the Special Programme HRP.</w:t>
      </w:r>
      <w:r w:rsidRPr="001F393D">
        <w:rPr>
          <w:rFonts w:ascii="Arial" w:hAnsi="Arial" w:cs="Arial"/>
          <w:color w:val="3C4245"/>
        </w:rPr>
        <w:t xml:space="preserve"> WHO. </w:t>
      </w:r>
      <w:hyperlink r:id="rId1" w:history="1">
        <w:r w:rsidRPr="001F393D">
          <w:rPr>
            <w:rStyle w:val="Hyperlink"/>
            <w:rFonts w:ascii="Arial" w:hAnsi="Arial" w:cs="Arial"/>
          </w:rPr>
          <w:t>www.who.int/teams/sexual-and-reproductive-health-and-research/key-areas-of-work/sexual-health/defining-sexual-health</w:t>
        </w:r>
      </w:hyperlink>
      <w:r w:rsidRPr="001F393D">
        <w:rPr>
          <w:rStyle w:val="Emphasis"/>
          <w:rFonts w:ascii="Arial" w:hAnsi="Arial" w:cs="Arial"/>
          <w:color w:val="3C4245"/>
        </w:rPr>
        <w:t xml:space="preserve">. </w:t>
      </w:r>
      <w:r w:rsidRPr="001F393D">
        <w:rPr>
          <w:rStyle w:val="Emphasis"/>
          <w:rFonts w:ascii="Arial" w:hAnsi="Arial" w:cs="Arial"/>
          <w:i w:val="0"/>
          <w:iCs w:val="0"/>
          <w:color w:val="3C4245"/>
        </w:rPr>
        <w:t>Accessed 15/01/2021.</w:t>
      </w:r>
      <w:r w:rsidRPr="001F393D">
        <w:rPr>
          <w:rStyle w:val="Emphasis"/>
          <w:rFonts w:ascii="Arial" w:hAnsi="Arial" w:cs="Arial"/>
          <w:color w:val="3C4245"/>
        </w:rPr>
        <w:t xml:space="preserve"> </w:t>
      </w:r>
    </w:p>
    <w:p w14:paraId="696E762B" w14:textId="38251125" w:rsidR="00250CB6" w:rsidRDefault="00250CB6">
      <w:pPr>
        <w:pStyle w:val="FootnoteText"/>
      </w:pPr>
    </w:p>
  </w:footnote>
  <w:footnote w:id="2">
    <w:p w14:paraId="2D9B4607" w14:textId="4D7FD09A" w:rsidR="00250CB6" w:rsidRDefault="00250CB6">
      <w:pPr>
        <w:pStyle w:val="FootnoteText"/>
      </w:pPr>
      <w:r>
        <w:rPr>
          <w:rStyle w:val="FootnoteReference"/>
        </w:rPr>
        <w:footnoteRef/>
      </w:r>
      <w:r>
        <w:t xml:space="preserve"> We have reproduced participants’ original spelling, grammar and punctuation in all quotes drawn from instant messaging interviews.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B5E03"/>
    <w:multiLevelType w:val="hybridMultilevel"/>
    <w:tmpl w:val="D21E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702CD7"/>
    <w:multiLevelType w:val="hybridMultilevel"/>
    <w:tmpl w:val="E9A2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6B3430"/>
    <w:multiLevelType w:val="hybridMultilevel"/>
    <w:tmpl w:val="CCAC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17"/>
    <w:rsid w:val="00001DCD"/>
    <w:rsid w:val="0002706D"/>
    <w:rsid w:val="00062F0C"/>
    <w:rsid w:val="00065E1C"/>
    <w:rsid w:val="00081422"/>
    <w:rsid w:val="00081F0A"/>
    <w:rsid w:val="00087A39"/>
    <w:rsid w:val="00095363"/>
    <w:rsid w:val="000A0D17"/>
    <w:rsid w:val="000D1992"/>
    <w:rsid w:val="000F102C"/>
    <w:rsid w:val="0013095B"/>
    <w:rsid w:val="00155954"/>
    <w:rsid w:val="00162E96"/>
    <w:rsid w:val="0018182E"/>
    <w:rsid w:val="00194ACE"/>
    <w:rsid w:val="00196C05"/>
    <w:rsid w:val="001A30B9"/>
    <w:rsid w:val="001B3604"/>
    <w:rsid w:val="001D1045"/>
    <w:rsid w:val="001D4092"/>
    <w:rsid w:val="001E6BAF"/>
    <w:rsid w:val="001F0FA0"/>
    <w:rsid w:val="001F393D"/>
    <w:rsid w:val="002219E9"/>
    <w:rsid w:val="0022287E"/>
    <w:rsid w:val="00224A56"/>
    <w:rsid w:val="0023649D"/>
    <w:rsid w:val="00250B2D"/>
    <w:rsid w:val="00250CB6"/>
    <w:rsid w:val="00290DAC"/>
    <w:rsid w:val="002911D0"/>
    <w:rsid w:val="002925E8"/>
    <w:rsid w:val="002A059E"/>
    <w:rsid w:val="002A266F"/>
    <w:rsid w:val="002C4CD0"/>
    <w:rsid w:val="002C4E55"/>
    <w:rsid w:val="002D64C9"/>
    <w:rsid w:val="002F0FD4"/>
    <w:rsid w:val="003157EE"/>
    <w:rsid w:val="00317068"/>
    <w:rsid w:val="003233AB"/>
    <w:rsid w:val="003247E2"/>
    <w:rsid w:val="00331BBB"/>
    <w:rsid w:val="00334BA6"/>
    <w:rsid w:val="003573AA"/>
    <w:rsid w:val="00383CFB"/>
    <w:rsid w:val="003861B4"/>
    <w:rsid w:val="003A6600"/>
    <w:rsid w:val="003B491D"/>
    <w:rsid w:val="003D463C"/>
    <w:rsid w:val="003D5643"/>
    <w:rsid w:val="003D7F03"/>
    <w:rsid w:val="003E1DD9"/>
    <w:rsid w:val="003E3899"/>
    <w:rsid w:val="003F1224"/>
    <w:rsid w:val="003F56BF"/>
    <w:rsid w:val="003F5A28"/>
    <w:rsid w:val="00400C63"/>
    <w:rsid w:val="004052B1"/>
    <w:rsid w:val="00411C70"/>
    <w:rsid w:val="00417922"/>
    <w:rsid w:val="00425E53"/>
    <w:rsid w:val="00426195"/>
    <w:rsid w:val="00436F0D"/>
    <w:rsid w:val="004436AB"/>
    <w:rsid w:val="00445864"/>
    <w:rsid w:val="0045351C"/>
    <w:rsid w:val="00466AD5"/>
    <w:rsid w:val="0047685A"/>
    <w:rsid w:val="004817CC"/>
    <w:rsid w:val="00482BA2"/>
    <w:rsid w:val="00487819"/>
    <w:rsid w:val="004964E1"/>
    <w:rsid w:val="004B183C"/>
    <w:rsid w:val="004B3052"/>
    <w:rsid w:val="004C2408"/>
    <w:rsid w:val="004C451D"/>
    <w:rsid w:val="004D1D86"/>
    <w:rsid w:val="004D3036"/>
    <w:rsid w:val="004E46EB"/>
    <w:rsid w:val="004E4D5E"/>
    <w:rsid w:val="004E69CB"/>
    <w:rsid w:val="004E7262"/>
    <w:rsid w:val="004E7CE9"/>
    <w:rsid w:val="004F25DE"/>
    <w:rsid w:val="004F5482"/>
    <w:rsid w:val="004F6684"/>
    <w:rsid w:val="00503A48"/>
    <w:rsid w:val="0050590C"/>
    <w:rsid w:val="00510964"/>
    <w:rsid w:val="005172E4"/>
    <w:rsid w:val="0052681A"/>
    <w:rsid w:val="00531CD8"/>
    <w:rsid w:val="005402A3"/>
    <w:rsid w:val="005517BC"/>
    <w:rsid w:val="0057705C"/>
    <w:rsid w:val="0058051E"/>
    <w:rsid w:val="00592D1F"/>
    <w:rsid w:val="00594A75"/>
    <w:rsid w:val="005978B8"/>
    <w:rsid w:val="005C4326"/>
    <w:rsid w:val="005D3B7B"/>
    <w:rsid w:val="005D5556"/>
    <w:rsid w:val="005D5687"/>
    <w:rsid w:val="005E2610"/>
    <w:rsid w:val="005F1B2F"/>
    <w:rsid w:val="005F45A1"/>
    <w:rsid w:val="00602C8A"/>
    <w:rsid w:val="00625A00"/>
    <w:rsid w:val="00626FE4"/>
    <w:rsid w:val="006342FB"/>
    <w:rsid w:val="006413FB"/>
    <w:rsid w:val="00644977"/>
    <w:rsid w:val="0064694D"/>
    <w:rsid w:val="00652979"/>
    <w:rsid w:val="006629D7"/>
    <w:rsid w:val="00671C17"/>
    <w:rsid w:val="00673CB1"/>
    <w:rsid w:val="00676BFC"/>
    <w:rsid w:val="0068670B"/>
    <w:rsid w:val="00690395"/>
    <w:rsid w:val="0069201A"/>
    <w:rsid w:val="006945F8"/>
    <w:rsid w:val="006A063F"/>
    <w:rsid w:val="006A4566"/>
    <w:rsid w:val="006C2182"/>
    <w:rsid w:val="006C2A8B"/>
    <w:rsid w:val="006D0F1F"/>
    <w:rsid w:val="006F66D2"/>
    <w:rsid w:val="006F675C"/>
    <w:rsid w:val="006F6896"/>
    <w:rsid w:val="007245DB"/>
    <w:rsid w:val="007333A1"/>
    <w:rsid w:val="00737226"/>
    <w:rsid w:val="00743205"/>
    <w:rsid w:val="00761CF0"/>
    <w:rsid w:val="00762619"/>
    <w:rsid w:val="00765B53"/>
    <w:rsid w:val="00767458"/>
    <w:rsid w:val="00774D1B"/>
    <w:rsid w:val="00782633"/>
    <w:rsid w:val="0079608A"/>
    <w:rsid w:val="007A268C"/>
    <w:rsid w:val="007D4EE9"/>
    <w:rsid w:val="007E60D9"/>
    <w:rsid w:val="007E7690"/>
    <w:rsid w:val="007F0123"/>
    <w:rsid w:val="00821DD6"/>
    <w:rsid w:val="008406AA"/>
    <w:rsid w:val="008426A2"/>
    <w:rsid w:val="0086246B"/>
    <w:rsid w:val="008662DB"/>
    <w:rsid w:val="008771BC"/>
    <w:rsid w:val="008C1BDC"/>
    <w:rsid w:val="008C4330"/>
    <w:rsid w:val="008C5D5D"/>
    <w:rsid w:val="008C6A73"/>
    <w:rsid w:val="008E0A6E"/>
    <w:rsid w:val="008E5289"/>
    <w:rsid w:val="008E7AA4"/>
    <w:rsid w:val="00903363"/>
    <w:rsid w:val="009039FC"/>
    <w:rsid w:val="00905BF6"/>
    <w:rsid w:val="00913A52"/>
    <w:rsid w:val="009162D2"/>
    <w:rsid w:val="009403E9"/>
    <w:rsid w:val="009423C5"/>
    <w:rsid w:val="00946B01"/>
    <w:rsid w:val="00947A6B"/>
    <w:rsid w:val="00955707"/>
    <w:rsid w:val="00981ACA"/>
    <w:rsid w:val="00982B35"/>
    <w:rsid w:val="00990C77"/>
    <w:rsid w:val="009977BA"/>
    <w:rsid w:val="009A0D88"/>
    <w:rsid w:val="009A6F22"/>
    <w:rsid w:val="009B344B"/>
    <w:rsid w:val="009E12B3"/>
    <w:rsid w:val="009E723D"/>
    <w:rsid w:val="009F352A"/>
    <w:rsid w:val="009F58EB"/>
    <w:rsid w:val="00A003CA"/>
    <w:rsid w:val="00A02D5F"/>
    <w:rsid w:val="00A135B0"/>
    <w:rsid w:val="00A21E6C"/>
    <w:rsid w:val="00A24BE6"/>
    <w:rsid w:val="00A358C2"/>
    <w:rsid w:val="00A43520"/>
    <w:rsid w:val="00A43B9C"/>
    <w:rsid w:val="00A52BFA"/>
    <w:rsid w:val="00A575B2"/>
    <w:rsid w:val="00A667B2"/>
    <w:rsid w:val="00A844DA"/>
    <w:rsid w:val="00AB5830"/>
    <w:rsid w:val="00AC530E"/>
    <w:rsid w:val="00AC603B"/>
    <w:rsid w:val="00AC7858"/>
    <w:rsid w:val="00AD087C"/>
    <w:rsid w:val="00AD6971"/>
    <w:rsid w:val="00AE0F43"/>
    <w:rsid w:val="00AF08DF"/>
    <w:rsid w:val="00B021E7"/>
    <w:rsid w:val="00B03B76"/>
    <w:rsid w:val="00B405B0"/>
    <w:rsid w:val="00B43CD3"/>
    <w:rsid w:val="00B60D27"/>
    <w:rsid w:val="00B6231C"/>
    <w:rsid w:val="00B6538E"/>
    <w:rsid w:val="00B7121F"/>
    <w:rsid w:val="00B831CE"/>
    <w:rsid w:val="00BA114E"/>
    <w:rsid w:val="00BA6FEE"/>
    <w:rsid w:val="00BB284C"/>
    <w:rsid w:val="00BB4AE9"/>
    <w:rsid w:val="00BC00A2"/>
    <w:rsid w:val="00BC240E"/>
    <w:rsid w:val="00BC28C4"/>
    <w:rsid w:val="00BC4F3A"/>
    <w:rsid w:val="00BC5163"/>
    <w:rsid w:val="00BD35F3"/>
    <w:rsid w:val="00BD63D3"/>
    <w:rsid w:val="00BF67AE"/>
    <w:rsid w:val="00C16515"/>
    <w:rsid w:val="00C430B7"/>
    <w:rsid w:val="00C438C3"/>
    <w:rsid w:val="00C52FB8"/>
    <w:rsid w:val="00C54630"/>
    <w:rsid w:val="00C75F4C"/>
    <w:rsid w:val="00C83B89"/>
    <w:rsid w:val="00C86C0B"/>
    <w:rsid w:val="00C9584F"/>
    <w:rsid w:val="00CA7762"/>
    <w:rsid w:val="00CB59EA"/>
    <w:rsid w:val="00CC4518"/>
    <w:rsid w:val="00CC56C8"/>
    <w:rsid w:val="00CD2D88"/>
    <w:rsid w:val="00CF018F"/>
    <w:rsid w:val="00CF17AE"/>
    <w:rsid w:val="00CF3EB3"/>
    <w:rsid w:val="00D02C4F"/>
    <w:rsid w:val="00D16DD8"/>
    <w:rsid w:val="00D21521"/>
    <w:rsid w:val="00D2293B"/>
    <w:rsid w:val="00D364CB"/>
    <w:rsid w:val="00D63AE5"/>
    <w:rsid w:val="00D73205"/>
    <w:rsid w:val="00D73839"/>
    <w:rsid w:val="00D8432D"/>
    <w:rsid w:val="00D8796F"/>
    <w:rsid w:val="00D9185C"/>
    <w:rsid w:val="00D91AE8"/>
    <w:rsid w:val="00DC376C"/>
    <w:rsid w:val="00DE58D7"/>
    <w:rsid w:val="00DE6401"/>
    <w:rsid w:val="00E054A5"/>
    <w:rsid w:val="00E1126F"/>
    <w:rsid w:val="00E234ED"/>
    <w:rsid w:val="00E23540"/>
    <w:rsid w:val="00E377DC"/>
    <w:rsid w:val="00E37F3F"/>
    <w:rsid w:val="00E4372D"/>
    <w:rsid w:val="00E45088"/>
    <w:rsid w:val="00E549B3"/>
    <w:rsid w:val="00E60837"/>
    <w:rsid w:val="00E62DE4"/>
    <w:rsid w:val="00E74B3D"/>
    <w:rsid w:val="00E77091"/>
    <w:rsid w:val="00EA6AB3"/>
    <w:rsid w:val="00EB61DB"/>
    <w:rsid w:val="00EE2A23"/>
    <w:rsid w:val="00EE68A7"/>
    <w:rsid w:val="00F002F9"/>
    <w:rsid w:val="00F05465"/>
    <w:rsid w:val="00F137BF"/>
    <w:rsid w:val="00F1503F"/>
    <w:rsid w:val="00F56714"/>
    <w:rsid w:val="00F571E9"/>
    <w:rsid w:val="00F82FAB"/>
    <w:rsid w:val="00F86ECB"/>
    <w:rsid w:val="00F95AFD"/>
    <w:rsid w:val="00FA2BC3"/>
    <w:rsid w:val="00FC233A"/>
    <w:rsid w:val="00FD4C9A"/>
    <w:rsid w:val="00FD6175"/>
    <w:rsid w:val="00FE0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C6B7"/>
  <w15:chartTrackingRefBased/>
  <w15:docId w15:val="{A9A9A5CA-B99A-4D24-9D34-7F40C6A5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75"/>
  </w:style>
  <w:style w:type="paragraph" w:styleId="Heading1">
    <w:name w:val="heading 1"/>
    <w:basedOn w:val="Normal"/>
    <w:link w:val="Heading1Char"/>
    <w:qFormat/>
    <w:rsid w:val="00594A75"/>
    <w:pPr>
      <w:spacing w:after="200"/>
      <w:jc w:val="both"/>
      <w:outlineLvl w:val="0"/>
    </w:pPr>
    <w:rPr>
      <w:rFonts w:ascii="Calibri" w:eastAsia="Calibri" w:hAnsi="Calibri" w:cs="Times New Roman"/>
      <w:b/>
      <w:sz w:val="24"/>
      <w:szCs w:val="20"/>
      <w:lang w:eastAsia="en-AU"/>
    </w:rPr>
  </w:style>
  <w:style w:type="paragraph" w:styleId="Heading2">
    <w:name w:val="heading 2"/>
    <w:basedOn w:val="Normal"/>
    <w:next w:val="Normal"/>
    <w:link w:val="Heading2Char"/>
    <w:uiPriority w:val="9"/>
    <w:unhideWhenUsed/>
    <w:qFormat/>
    <w:rsid w:val="004D1D86"/>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426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CA"/>
    <w:rPr>
      <w:rFonts w:ascii="Segoe UI" w:hAnsi="Segoe UI" w:cs="Segoe UI"/>
      <w:sz w:val="18"/>
      <w:szCs w:val="18"/>
    </w:rPr>
  </w:style>
  <w:style w:type="paragraph" w:styleId="ListParagraph">
    <w:name w:val="List Paragraph"/>
    <w:basedOn w:val="Normal"/>
    <w:uiPriority w:val="34"/>
    <w:qFormat/>
    <w:rsid w:val="00D2293B"/>
    <w:pPr>
      <w:ind w:left="720"/>
      <w:contextualSpacing/>
    </w:pPr>
  </w:style>
  <w:style w:type="character" w:styleId="CommentReference">
    <w:name w:val="annotation reference"/>
    <w:basedOn w:val="DefaultParagraphFont"/>
    <w:uiPriority w:val="99"/>
    <w:semiHidden/>
    <w:unhideWhenUsed/>
    <w:rsid w:val="00436F0D"/>
    <w:rPr>
      <w:sz w:val="16"/>
      <w:szCs w:val="16"/>
    </w:rPr>
  </w:style>
  <w:style w:type="paragraph" w:styleId="CommentText">
    <w:name w:val="annotation text"/>
    <w:basedOn w:val="Normal"/>
    <w:link w:val="CommentTextChar"/>
    <w:uiPriority w:val="99"/>
    <w:unhideWhenUsed/>
    <w:rsid w:val="00436F0D"/>
    <w:pPr>
      <w:spacing w:line="240" w:lineRule="auto"/>
    </w:pPr>
    <w:rPr>
      <w:sz w:val="20"/>
      <w:szCs w:val="20"/>
      <w:lang w:val="en-GB"/>
    </w:rPr>
  </w:style>
  <w:style w:type="character" w:customStyle="1" w:styleId="CommentTextChar">
    <w:name w:val="Comment Text Char"/>
    <w:basedOn w:val="DefaultParagraphFont"/>
    <w:link w:val="CommentText"/>
    <w:uiPriority w:val="99"/>
    <w:rsid w:val="00436F0D"/>
    <w:rPr>
      <w:sz w:val="20"/>
      <w:szCs w:val="20"/>
      <w:lang w:val="en-GB"/>
    </w:rPr>
  </w:style>
  <w:style w:type="paragraph" w:styleId="CommentSubject">
    <w:name w:val="annotation subject"/>
    <w:basedOn w:val="CommentText"/>
    <w:next w:val="CommentText"/>
    <w:link w:val="CommentSubjectChar"/>
    <w:uiPriority w:val="99"/>
    <w:semiHidden/>
    <w:unhideWhenUsed/>
    <w:rsid w:val="00436F0D"/>
    <w:rPr>
      <w:b/>
      <w:bCs/>
      <w:lang w:val="en-AU"/>
    </w:rPr>
  </w:style>
  <w:style w:type="character" w:customStyle="1" w:styleId="CommentSubjectChar">
    <w:name w:val="Comment Subject Char"/>
    <w:basedOn w:val="CommentTextChar"/>
    <w:link w:val="CommentSubject"/>
    <w:uiPriority w:val="99"/>
    <w:semiHidden/>
    <w:rsid w:val="00436F0D"/>
    <w:rPr>
      <w:b/>
      <w:bCs/>
      <w:sz w:val="20"/>
      <w:szCs w:val="20"/>
      <w:lang w:val="en-GB"/>
    </w:rPr>
  </w:style>
  <w:style w:type="paragraph" w:customStyle="1" w:styleId="LTU-Body10pt">
    <w:name w:val="LTU - Body 10pt"/>
    <w:basedOn w:val="Normal"/>
    <w:qFormat/>
    <w:rsid w:val="00436F0D"/>
    <w:pPr>
      <w:autoSpaceDE w:val="0"/>
      <w:autoSpaceDN w:val="0"/>
      <w:adjustRightInd w:val="0"/>
      <w:spacing w:after="200" w:line="240" w:lineRule="auto"/>
      <w:jc w:val="both"/>
    </w:pPr>
    <w:rPr>
      <w:rFonts w:ascii="Calibri" w:eastAsia="Calibri" w:hAnsi="Calibri"/>
      <w:sz w:val="24"/>
      <w:szCs w:val="24"/>
      <w:lang w:eastAsia="ja-JP"/>
    </w:rPr>
  </w:style>
  <w:style w:type="character" w:customStyle="1" w:styleId="Heading1Char">
    <w:name w:val="Heading 1 Char"/>
    <w:basedOn w:val="DefaultParagraphFont"/>
    <w:link w:val="Heading1"/>
    <w:rsid w:val="00594A75"/>
    <w:rPr>
      <w:rFonts w:ascii="Calibri" w:eastAsia="Calibri" w:hAnsi="Calibri" w:cs="Times New Roman"/>
      <w:b/>
      <w:sz w:val="24"/>
      <w:szCs w:val="20"/>
      <w:lang w:eastAsia="en-AU"/>
    </w:rPr>
  </w:style>
  <w:style w:type="character" w:customStyle="1" w:styleId="Heading3Char">
    <w:name w:val="Heading 3 Char"/>
    <w:basedOn w:val="DefaultParagraphFont"/>
    <w:link w:val="Heading3"/>
    <w:uiPriority w:val="9"/>
    <w:semiHidden/>
    <w:rsid w:val="0042619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D4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092"/>
  </w:style>
  <w:style w:type="paragraph" w:styleId="Footer">
    <w:name w:val="footer"/>
    <w:basedOn w:val="Normal"/>
    <w:link w:val="FooterChar"/>
    <w:uiPriority w:val="99"/>
    <w:unhideWhenUsed/>
    <w:rsid w:val="001D4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092"/>
  </w:style>
  <w:style w:type="character" w:styleId="Hyperlink">
    <w:name w:val="Hyperlink"/>
    <w:basedOn w:val="DefaultParagraphFont"/>
    <w:uiPriority w:val="99"/>
    <w:unhideWhenUsed/>
    <w:rsid w:val="00D16DD8"/>
    <w:rPr>
      <w:color w:val="0563C1" w:themeColor="hyperlink"/>
      <w:u w:val="single"/>
    </w:rPr>
  </w:style>
  <w:style w:type="character" w:styleId="UnresolvedMention">
    <w:name w:val="Unresolved Mention"/>
    <w:basedOn w:val="DefaultParagraphFont"/>
    <w:uiPriority w:val="99"/>
    <w:semiHidden/>
    <w:unhideWhenUsed/>
    <w:rsid w:val="00D16DD8"/>
    <w:rPr>
      <w:color w:val="605E5C"/>
      <w:shd w:val="clear" w:color="auto" w:fill="E1DFDD"/>
    </w:rPr>
  </w:style>
  <w:style w:type="paragraph" w:styleId="Revision">
    <w:name w:val="Revision"/>
    <w:hidden/>
    <w:uiPriority w:val="99"/>
    <w:semiHidden/>
    <w:rsid w:val="006342FB"/>
    <w:pPr>
      <w:spacing w:after="0" w:line="240" w:lineRule="auto"/>
    </w:pPr>
  </w:style>
  <w:style w:type="paragraph" w:styleId="FootnoteText">
    <w:name w:val="footnote text"/>
    <w:basedOn w:val="Normal"/>
    <w:link w:val="FootnoteTextChar"/>
    <w:uiPriority w:val="99"/>
    <w:semiHidden/>
    <w:unhideWhenUsed/>
    <w:rsid w:val="00626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E4"/>
    <w:rPr>
      <w:sz w:val="20"/>
      <w:szCs w:val="20"/>
    </w:rPr>
  </w:style>
  <w:style w:type="character" w:styleId="FootnoteReference">
    <w:name w:val="footnote reference"/>
    <w:basedOn w:val="DefaultParagraphFont"/>
    <w:uiPriority w:val="99"/>
    <w:semiHidden/>
    <w:unhideWhenUsed/>
    <w:rsid w:val="00626FE4"/>
    <w:rPr>
      <w:vertAlign w:val="superscript"/>
    </w:rPr>
  </w:style>
  <w:style w:type="paragraph" w:customStyle="1" w:styleId="font8">
    <w:name w:val="font_8"/>
    <w:basedOn w:val="Normal"/>
    <w:rsid w:val="006629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333A1"/>
    <w:rPr>
      <w:i/>
      <w:iCs/>
    </w:rPr>
  </w:style>
  <w:style w:type="character" w:customStyle="1" w:styleId="personname">
    <w:name w:val="person_name"/>
    <w:basedOn w:val="DefaultParagraphFont"/>
    <w:rsid w:val="004F6684"/>
  </w:style>
  <w:style w:type="character" w:customStyle="1" w:styleId="ref-journal">
    <w:name w:val="ref-journal"/>
    <w:basedOn w:val="DefaultParagraphFont"/>
    <w:rsid w:val="004F6684"/>
  </w:style>
  <w:style w:type="character" w:customStyle="1" w:styleId="ref-vol">
    <w:name w:val="ref-vol"/>
    <w:basedOn w:val="DefaultParagraphFont"/>
    <w:rsid w:val="004F6684"/>
  </w:style>
  <w:style w:type="character" w:customStyle="1" w:styleId="authors">
    <w:name w:val="authors"/>
    <w:basedOn w:val="DefaultParagraphFont"/>
    <w:rsid w:val="00224A56"/>
  </w:style>
  <w:style w:type="character" w:customStyle="1" w:styleId="Date1">
    <w:name w:val="Date1"/>
    <w:basedOn w:val="DefaultParagraphFont"/>
    <w:rsid w:val="00224A56"/>
  </w:style>
  <w:style w:type="character" w:customStyle="1" w:styleId="arttitle">
    <w:name w:val="art_title"/>
    <w:basedOn w:val="DefaultParagraphFont"/>
    <w:rsid w:val="00224A56"/>
  </w:style>
  <w:style w:type="character" w:customStyle="1" w:styleId="serialtitle">
    <w:name w:val="serial_title"/>
    <w:basedOn w:val="DefaultParagraphFont"/>
    <w:rsid w:val="00224A56"/>
  </w:style>
  <w:style w:type="character" w:customStyle="1" w:styleId="volumeissue">
    <w:name w:val="volume_issue"/>
    <w:basedOn w:val="DefaultParagraphFont"/>
    <w:rsid w:val="00224A56"/>
  </w:style>
  <w:style w:type="character" w:customStyle="1" w:styleId="pagerange">
    <w:name w:val="page_range"/>
    <w:basedOn w:val="DefaultParagraphFont"/>
    <w:rsid w:val="00224A56"/>
  </w:style>
  <w:style w:type="character" w:customStyle="1" w:styleId="doilink">
    <w:name w:val="doi_link"/>
    <w:basedOn w:val="DefaultParagraphFont"/>
    <w:rsid w:val="00224A56"/>
  </w:style>
  <w:style w:type="character" w:customStyle="1" w:styleId="Heading2Char">
    <w:name w:val="Heading 2 Char"/>
    <w:basedOn w:val="DefaultParagraphFont"/>
    <w:link w:val="Heading2"/>
    <w:uiPriority w:val="9"/>
    <w:rsid w:val="004D1D86"/>
    <w:rPr>
      <w:rFonts w:asciiTheme="majorHAnsi" w:eastAsiaTheme="majorEastAsia" w:hAnsiTheme="majorHAnsi" w:cstheme="majorBidi"/>
      <w:color w:val="2F5496" w:themeColor="accent1" w:themeShade="BF"/>
      <w:sz w:val="26"/>
      <w:szCs w:val="26"/>
      <w:lang w:val="en-GB"/>
    </w:rPr>
  </w:style>
  <w:style w:type="paragraph" w:styleId="EndnoteText">
    <w:name w:val="endnote text"/>
    <w:basedOn w:val="Normal"/>
    <w:link w:val="EndnoteTextChar"/>
    <w:uiPriority w:val="99"/>
    <w:semiHidden/>
    <w:unhideWhenUsed/>
    <w:rsid w:val="001F39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393D"/>
    <w:rPr>
      <w:sz w:val="20"/>
      <w:szCs w:val="20"/>
    </w:rPr>
  </w:style>
  <w:style w:type="character" w:styleId="EndnoteReference">
    <w:name w:val="endnote reference"/>
    <w:basedOn w:val="DefaultParagraphFont"/>
    <w:uiPriority w:val="99"/>
    <w:semiHidden/>
    <w:unhideWhenUsed/>
    <w:rsid w:val="001F393D"/>
    <w:rPr>
      <w:vertAlign w:val="superscript"/>
    </w:rPr>
  </w:style>
  <w:style w:type="paragraph" w:styleId="NormalWeb">
    <w:name w:val="Normal (Web)"/>
    <w:basedOn w:val="Normal"/>
    <w:uiPriority w:val="99"/>
    <w:semiHidden/>
    <w:unhideWhenUsed/>
    <w:rsid w:val="001F393D"/>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2177">
      <w:bodyDiv w:val="1"/>
      <w:marLeft w:val="0"/>
      <w:marRight w:val="0"/>
      <w:marTop w:val="0"/>
      <w:marBottom w:val="0"/>
      <w:divBdr>
        <w:top w:val="none" w:sz="0" w:space="0" w:color="auto"/>
        <w:left w:val="none" w:sz="0" w:space="0" w:color="auto"/>
        <w:bottom w:val="none" w:sz="0" w:space="0" w:color="auto"/>
        <w:right w:val="none" w:sz="0" w:space="0" w:color="auto"/>
      </w:divBdr>
      <w:divsChild>
        <w:div w:id="1257858223">
          <w:marLeft w:val="0"/>
          <w:marRight w:val="0"/>
          <w:marTop w:val="0"/>
          <w:marBottom w:val="0"/>
          <w:divBdr>
            <w:top w:val="none" w:sz="0" w:space="0" w:color="auto"/>
            <w:left w:val="none" w:sz="0" w:space="0" w:color="auto"/>
            <w:bottom w:val="none" w:sz="0" w:space="0" w:color="auto"/>
            <w:right w:val="none" w:sz="0" w:space="0" w:color="auto"/>
          </w:divBdr>
        </w:div>
        <w:div w:id="947585848">
          <w:marLeft w:val="0"/>
          <w:marRight w:val="0"/>
          <w:marTop w:val="0"/>
          <w:marBottom w:val="0"/>
          <w:divBdr>
            <w:top w:val="none" w:sz="0" w:space="0" w:color="auto"/>
            <w:left w:val="none" w:sz="0" w:space="0" w:color="auto"/>
            <w:bottom w:val="none" w:sz="0" w:space="0" w:color="auto"/>
            <w:right w:val="none" w:sz="0" w:space="0" w:color="auto"/>
          </w:divBdr>
          <w:divsChild>
            <w:div w:id="1124544110">
              <w:marLeft w:val="0"/>
              <w:marRight w:val="0"/>
              <w:marTop w:val="0"/>
              <w:marBottom w:val="0"/>
              <w:divBdr>
                <w:top w:val="none" w:sz="0" w:space="0" w:color="auto"/>
                <w:left w:val="none" w:sz="0" w:space="0" w:color="auto"/>
                <w:bottom w:val="none" w:sz="0" w:space="0" w:color="auto"/>
                <w:right w:val="none" w:sz="0" w:space="0" w:color="auto"/>
              </w:divBdr>
              <w:divsChild>
                <w:div w:id="870997801">
                  <w:marLeft w:val="0"/>
                  <w:marRight w:val="0"/>
                  <w:marTop w:val="495"/>
                  <w:marBottom w:val="255"/>
                  <w:divBdr>
                    <w:top w:val="none" w:sz="0" w:space="0" w:color="auto"/>
                    <w:left w:val="none" w:sz="0" w:space="0" w:color="auto"/>
                    <w:bottom w:val="none" w:sz="0" w:space="0" w:color="auto"/>
                    <w:right w:val="none" w:sz="0" w:space="0" w:color="auto"/>
                  </w:divBdr>
                </w:div>
              </w:divsChild>
            </w:div>
          </w:divsChild>
        </w:div>
      </w:divsChild>
    </w:div>
    <w:div w:id="527375032">
      <w:bodyDiv w:val="1"/>
      <w:marLeft w:val="0"/>
      <w:marRight w:val="0"/>
      <w:marTop w:val="0"/>
      <w:marBottom w:val="0"/>
      <w:divBdr>
        <w:top w:val="none" w:sz="0" w:space="0" w:color="auto"/>
        <w:left w:val="none" w:sz="0" w:space="0" w:color="auto"/>
        <w:bottom w:val="none" w:sz="0" w:space="0" w:color="auto"/>
        <w:right w:val="none" w:sz="0" w:space="0" w:color="auto"/>
      </w:divBdr>
      <w:divsChild>
        <w:div w:id="573927886">
          <w:marLeft w:val="0"/>
          <w:marRight w:val="0"/>
          <w:marTop w:val="0"/>
          <w:marBottom w:val="0"/>
          <w:divBdr>
            <w:top w:val="none" w:sz="0" w:space="0" w:color="auto"/>
            <w:left w:val="none" w:sz="0" w:space="0" w:color="auto"/>
            <w:bottom w:val="none" w:sz="0" w:space="0" w:color="auto"/>
            <w:right w:val="none" w:sz="0" w:space="0" w:color="auto"/>
          </w:divBdr>
        </w:div>
        <w:div w:id="831140278">
          <w:marLeft w:val="0"/>
          <w:marRight w:val="0"/>
          <w:marTop w:val="0"/>
          <w:marBottom w:val="0"/>
          <w:divBdr>
            <w:top w:val="none" w:sz="0" w:space="0" w:color="auto"/>
            <w:left w:val="none" w:sz="0" w:space="0" w:color="auto"/>
            <w:bottom w:val="none" w:sz="0" w:space="0" w:color="auto"/>
            <w:right w:val="none" w:sz="0" w:space="0" w:color="auto"/>
          </w:divBdr>
          <w:divsChild>
            <w:div w:id="1043410968">
              <w:marLeft w:val="0"/>
              <w:marRight w:val="0"/>
              <w:marTop w:val="0"/>
              <w:marBottom w:val="0"/>
              <w:divBdr>
                <w:top w:val="none" w:sz="0" w:space="0" w:color="auto"/>
                <w:left w:val="none" w:sz="0" w:space="0" w:color="auto"/>
                <w:bottom w:val="none" w:sz="0" w:space="0" w:color="auto"/>
                <w:right w:val="none" w:sz="0" w:space="0" w:color="auto"/>
              </w:divBdr>
              <w:divsChild>
                <w:div w:id="416947924">
                  <w:marLeft w:val="0"/>
                  <w:marRight w:val="0"/>
                  <w:marTop w:val="495"/>
                  <w:marBottom w:val="255"/>
                  <w:divBdr>
                    <w:top w:val="none" w:sz="0" w:space="0" w:color="auto"/>
                    <w:left w:val="none" w:sz="0" w:space="0" w:color="auto"/>
                    <w:bottom w:val="none" w:sz="0" w:space="0" w:color="auto"/>
                    <w:right w:val="none" w:sz="0" w:space="0" w:color="auto"/>
                  </w:divBdr>
                </w:div>
              </w:divsChild>
            </w:div>
          </w:divsChild>
        </w:div>
      </w:divsChild>
    </w:div>
    <w:div w:id="617685069">
      <w:bodyDiv w:val="1"/>
      <w:marLeft w:val="0"/>
      <w:marRight w:val="0"/>
      <w:marTop w:val="0"/>
      <w:marBottom w:val="0"/>
      <w:divBdr>
        <w:top w:val="none" w:sz="0" w:space="0" w:color="auto"/>
        <w:left w:val="none" w:sz="0" w:space="0" w:color="auto"/>
        <w:bottom w:val="none" w:sz="0" w:space="0" w:color="auto"/>
        <w:right w:val="none" w:sz="0" w:space="0" w:color="auto"/>
      </w:divBdr>
    </w:div>
    <w:div w:id="773598779">
      <w:bodyDiv w:val="1"/>
      <w:marLeft w:val="0"/>
      <w:marRight w:val="0"/>
      <w:marTop w:val="0"/>
      <w:marBottom w:val="0"/>
      <w:divBdr>
        <w:top w:val="none" w:sz="0" w:space="0" w:color="auto"/>
        <w:left w:val="none" w:sz="0" w:space="0" w:color="auto"/>
        <w:bottom w:val="none" w:sz="0" w:space="0" w:color="auto"/>
        <w:right w:val="none" w:sz="0" w:space="0" w:color="auto"/>
      </w:divBdr>
    </w:div>
    <w:div w:id="1517382367">
      <w:bodyDiv w:val="1"/>
      <w:marLeft w:val="0"/>
      <w:marRight w:val="0"/>
      <w:marTop w:val="0"/>
      <w:marBottom w:val="0"/>
      <w:divBdr>
        <w:top w:val="none" w:sz="0" w:space="0" w:color="auto"/>
        <w:left w:val="none" w:sz="0" w:space="0" w:color="auto"/>
        <w:bottom w:val="none" w:sz="0" w:space="0" w:color="auto"/>
        <w:right w:val="none" w:sz="0" w:space="0" w:color="auto"/>
      </w:divBdr>
    </w:div>
    <w:div w:id="1707945809">
      <w:bodyDiv w:val="1"/>
      <w:marLeft w:val="0"/>
      <w:marRight w:val="0"/>
      <w:marTop w:val="0"/>
      <w:marBottom w:val="0"/>
      <w:divBdr>
        <w:top w:val="none" w:sz="0" w:space="0" w:color="auto"/>
        <w:left w:val="none" w:sz="0" w:space="0" w:color="auto"/>
        <w:bottom w:val="none" w:sz="0" w:space="0" w:color="auto"/>
        <w:right w:val="none" w:sz="0" w:space="0" w:color="auto"/>
      </w:divBdr>
    </w:div>
    <w:div w:id="19393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holarship.org/uc/item/2z0012r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teams/sexual-and-reproductive-health-and-research/key-areas-of-work/sexual-health/defining-sexu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72B3-3119-4D36-B33D-23D7ACCA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9130</Words>
  <Characters>52042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Fraser</dc:creator>
  <cp:keywords/>
  <dc:description/>
  <cp:lastModifiedBy>Adrian Farrugia</cp:lastModifiedBy>
  <cp:revision>11</cp:revision>
  <dcterms:created xsi:type="dcterms:W3CDTF">2021-01-17T23:53:00Z</dcterms:created>
  <dcterms:modified xsi:type="dcterms:W3CDTF">2021-05-24T23:33:00Z</dcterms:modified>
</cp:coreProperties>
</file>