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CD1E" w14:textId="77777777" w:rsidR="00C61EA5" w:rsidRPr="00E65865" w:rsidRDefault="00C61EA5" w:rsidP="00C61EA5">
      <w:pPr>
        <w:jc w:val="center"/>
        <w:rPr>
          <w:b/>
        </w:rPr>
      </w:pPr>
      <w:r w:rsidRPr="00E65865">
        <w:rPr>
          <w:b/>
        </w:rPr>
        <w:t>Title page</w:t>
      </w:r>
    </w:p>
    <w:p w14:paraId="67C8CE10" w14:textId="77777777" w:rsidR="00C61EA5" w:rsidRPr="00E65865" w:rsidRDefault="00C61EA5" w:rsidP="00C61EA5">
      <w:pPr>
        <w:jc w:val="center"/>
        <w:rPr>
          <w:b/>
        </w:rPr>
      </w:pPr>
    </w:p>
    <w:p w14:paraId="1D9637AC" w14:textId="77777777" w:rsidR="00C61EA5" w:rsidRPr="00E65865" w:rsidRDefault="00C61EA5" w:rsidP="00C61EA5">
      <w:pPr>
        <w:tabs>
          <w:tab w:val="left" w:pos="2438"/>
        </w:tabs>
        <w:spacing w:line="360" w:lineRule="auto"/>
        <w:outlineLvl w:val="1"/>
        <w:rPr>
          <w:rFonts w:eastAsia="Calibri"/>
          <w:b/>
        </w:rPr>
      </w:pPr>
      <w:r w:rsidRPr="00E65865">
        <w:rPr>
          <w:rFonts w:eastAsia="Calibri"/>
          <w:b/>
        </w:rPr>
        <w:t>Title: A ‘messenger of sex’? Making testosterone matter in motivations for anabolic-androgenic steroid injecting</w:t>
      </w:r>
    </w:p>
    <w:p w14:paraId="26E27EA1" w14:textId="77777777" w:rsidR="00C61EA5" w:rsidRPr="00E65865" w:rsidRDefault="00C61EA5" w:rsidP="00C61EA5"/>
    <w:p w14:paraId="5A20A25B" w14:textId="77777777" w:rsidR="00C61EA5" w:rsidRPr="00E65865" w:rsidRDefault="00C61EA5" w:rsidP="00C61EA5">
      <w:pPr>
        <w:rPr>
          <w:i/>
        </w:rPr>
      </w:pPr>
      <w:r w:rsidRPr="00E65865">
        <w:rPr>
          <w:i/>
        </w:rPr>
        <w:t>Authors</w:t>
      </w:r>
    </w:p>
    <w:p w14:paraId="31015BEB" w14:textId="123F1541" w:rsidR="00C61EA5" w:rsidRPr="00E65865" w:rsidRDefault="00C61EA5" w:rsidP="00C61EA5">
      <w:r w:rsidRPr="00E65865">
        <w:rPr>
          <w:b/>
        </w:rPr>
        <w:t>Corresponding author</w:t>
      </w:r>
      <w:r w:rsidRPr="00E65865">
        <w:t xml:space="preserve">: Dr Renae Fomiatti, Australian Research Centre in Sex, Health and Society, La Trobe University </w:t>
      </w:r>
    </w:p>
    <w:p w14:paraId="191F256C" w14:textId="48BCC353" w:rsidR="00C61EA5" w:rsidRPr="00E65865" w:rsidRDefault="00C61EA5" w:rsidP="00C61EA5">
      <w:hyperlink r:id="rId8" w:history="1">
        <w:r w:rsidRPr="00E65865">
          <w:rPr>
            <w:rStyle w:val="Hyperlink"/>
          </w:rPr>
          <w:t>R.fomiatti@latrobe.edu.au</w:t>
        </w:r>
      </w:hyperlink>
    </w:p>
    <w:p w14:paraId="33CF20FD" w14:textId="77777777" w:rsidR="00C61EA5" w:rsidRPr="00E65865" w:rsidRDefault="00C61EA5" w:rsidP="00C61EA5"/>
    <w:p w14:paraId="1C301E90" w14:textId="46722224" w:rsidR="00C61EA5" w:rsidRPr="00E65865" w:rsidRDefault="00C61EA5" w:rsidP="00C61EA5">
      <w:r w:rsidRPr="00E65865">
        <w:t>Dr J. R. Latham, Alfred Deakin Institute for Citizenship and Globalisation, Deakin University / School of Culture and Communication, University of Melbourne</w:t>
      </w:r>
    </w:p>
    <w:p w14:paraId="23949386" w14:textId="771F3354" w:rsidR="00C61EA5" w:rsidRPr="00E65865" w:rsidRDefault="00C61EA5" w:rsidP="00C61EA5">
      <w:hyperlink r:id="rId9" w:history="1">
        <w:r w:rsidRPr="00E65865">
          <w:rPr>
            <w:rStyle w:val="Hyperlink"/>
          </w:rPr>
          <w:t>textual.gore@gmail.com</w:t>
        </w:r>
      </w:hyperlink>
    </w:p>
    <w:p w14:paraId="28B809B5" w14:textId="77777777" w:rsidR="00C61EA5" w:rsidRPr="00E65865" w:rsidRDefault="00C61EA5" w:rsidP="00C61EA5"/>
    <w:p w14:paraId="7D114C21" w14:textId="03011B79" w:rsidR="00C61EA5" w:rsidRPr="00E65865" w:rsidRDefault="00C61EA5" w:rsidP="00C61EA5">
      <w:r w:rsidRPr="00E65865">
        <w:t>Professor Suzanne Fraser, Australian Research Centre in Sex, Health and Society, La Trobe University</w:t>
      </w:r>
    </w:p>
    <w:p w14:paraId="5C87B178" w14:textId="24E8F391" w:rsidR="00C61EA5" w:rsidRPr="00E65865" w:rsidRDefault="00C61EA5" w:rsidP="00C61EA5">
      <w:hyperlink r:id="rId10" w:history="1">
        <w:r w:rsidRPr="00E65865">
          <w:rPr>
            <w:rStyle w:val="Hyperlink"/>
          </w:rPr>
          <w:t>S.Fraser@latrobe.edu.au</w:t>
        </w:r>
      </w:hyperlink>
    </w:p>
    <w:p w14:paraId="5D554DD7" w14:textId="77777777" w:rsidR="00C61EA5" w:rsidRPr="00E65865" w:rsidRDefault="00C61EA5" w:rsidP="00C61EA5"/>
    <w:p w14:paraId="1BA29BAE" w14:textId="17D4D260" w:rsidR="00C61EA5" w:rsidRPr="00E65865" w:rsidRDefault="00C61EA5" w:rsidP="00C61EA5">
      <w:r w:rsidRPr="00E65865">
        <w:t xml:space="preserve">Professor David Moore, Australian Research Centre in Sex, Health and Society, La Trobe University / National Drug Research Institute, Curtin University, Melbourne, Australia. </w:t>
      </w:r>
    </w:p>
    <w:p w14:paraId="5A977867" w14:textId="70834CC5" w:rsidR="00C61EA5" w:rsidRPr="00E65865" w:rsidRDefault="00C61EA5" w:rsidP="00C61EA5">
      <w:hyperlink r:id="rId11" w:history="1">
        <w:r w:rsidRPr="00E65865">
          <w:rPr>
            <w:rStyle w:val="Hyperlink"/>
          </w:rPr>
          <w:t>D.Moore4@latrobe.edu.au</w:t>
        </w:r>
      </w:hyperlink>
    </w:p>
    <w:p w14:paraId="116361D6" w14:textId="77777777" w:rsidR="00C61EA5" w:rsidRPr="00E65865" w:rsidRDefault="00C61EA5" w:rsidP="00C61EA5"/>
    <w:p w14:paraId="483B2845" w14:textId="78250525" w:rsidR="00C61EA5" w:rsidRPr="00E65865" w:rsidRDefault="00C61EA5" w:rsidP="00C61EA5">
      <w:r w:rsidRPr="00E65865">
        <w:t xml:space="preserve">Associate Professor Kate Seear, Faculty of Law, Monash University / Springvale Monash Legal Service, Springvale, Australia / National Drug Research Institute, Curtin University, Melbourne, Australia. </w:t>
      </w:r>
    </w:p>
    <w:p w14:paraId="611ABE9D" w14:textId="3DC32619" w:rsidR="00C61EA5" w:rsidRPr="00E65865" w:rsidRDefault="00C61EA5" w:rsidP="00C61EA5">
      <w:hyperlink r:id="rId12" w:history="1">
        <w:r w:rsidRPr="00E65865">
          <w:rPr>
            <w:rStyle w:val="Hyperlink"/>
          </w:rPr>
          <w:t>kate.seear@monash.edu</w:t>
        </w:r>
      </w:hyperlink>
    </w:p>
    <w:p w14:paraId="3958F013" w14:textId="77777777" w:rsidR="00C61EA5" w:rsidRPr="00E65865" w:rsidRDefault="00C61EA5" w:rsidP="00C61EA5"/>
    <w:p w14:paraId="2084B28A" w14:textId="0D044C97" w:rsidR="00C61EA5" w:rsidRPr="00E65865" w:rsidRDefault="00C61EA5" w:rsidP="00C61EA5">
      <w:r w:rsidRPr="00E65865">
        <w:t>Dr Campbell Aitken, Burnet Institute, Melbourne, Australia / Department of Epidemiology and Preventative Medicine, Monash University</w:t>
      </w:r>
    </w:p>
    <w:p w14:paraId="78FAFABE" w14:textId="449D4FCD" w:rsidR="00C61EA5" w:rsidRPr="00E65865" w:rsidRDefault="00C61EA5" w:rsidP="00C61EA5">
      <w:hyperlink r:id="rId13" w:history="1">
        <w:r w:rsidRPr="00E65865">
          <w:rPr>
            <w:rStyle w:val="Hyperlink"/>
          </w:rPr>
          <w:t>campbell.aitken@burnet.edu.au</w:t>
        </w:r>
      </w:hyperlink>
    </w:p>
    <w:p w14:paraId="0466C65B" w14:textId="77777777" w:rsidR="00C61EA5" w:rsidRPr="00E65865" w:rsidRDefault="00C61EA5" w:rsidP="00C61EA5"/>
    <w:p w14:paraId="0A1B8938" w14:textId="77777777" w:rsidR="00C61EA5" w:rsidRPr="00E65865" w:rsidRDefault="00C61EA5">
      <w:pPr>
        <w:rPr>
          <w:rFonts w:asciiTheme="majorHAnsi" w:eastAsiaTheme="majorEastAsia" w:hAnsiTheme="majorHAnsi" w:cstheme="majorBidi"/>
          <w:color w:val="2E74B5" w:themeColor="accent1" w:themeShade="BF"/>
          <w:sz w:val="32"/>
          <w:szCs w:val="32"/>
        </w:rPr>
      </w:pPr>
      <w:r w:rsidRPr="00E65865">
        <w:br w:type="page"/>
      </w:r>
    </w:p>
    <w:p w14:paraId="0DFE59F6" w14:textId="1ABAC4C5" w:rsidR="00FE4AAF" w:rsidRPr="00E65865" w:rsidRDefault="00EB6902" w:rsidP="002A7C8C">
      <w:pPr>
        <w:pStyle w:val="Heading1"/>
      </w:pPr>
      <w:r w:rsidRPr="00E65865">
        <w:lastRenderedPageBreak/>
        <w:t>A ‘</w:t>
      </w:r>
      <w:r w:rsidR="0016701E" w:rsidRPr="00E65865">
        <w:t>m</w:t>
      </w:r>
      <w:r w:rsidRPr="00E65865">
        <w:t>essenger</w:t>
      </w:r>
      <w:r w:rsidR="007D6155" w:rsidRPr="00E65865">
        <w:t xml:space="preserve"> of sex</w:t>
      </w:r>
      <w:r w:rsidRPr="00E65865">
        <w:t>’</w:t>
      </w:r>
      <w:r w:rsidR="007D6155" w:rsidRPr="00E65865">
        <w:t xml:space="preserve">? </w:t>
      </w:r>
      <w:r w:rsidR="00706FDE" w:rsidRPr="00E65865">
        <w:t>Making testosterone matter in motivations for</w:t>
      </w:r>
      <w:r w:rsidR="00D65DCD" w:rsidRPr="00E65865">
        <w:t xml:space="preserve"> </w:t>
      </w:r>
      <w:r w:rsidR="001A3E5C" w:rsidRPr="00E65865">
        <w:t xml:space="preserve">anabolic-androgenic </w:t>
      </w:r>
      <w:r w:rsidR="00D65DCD" w:rsidRPr="00E65865">
        <w:t xml:space="preserve">steroid </w:t>
      </w:r>
      <w:r w:rsidR="00706FDE" w:rsidRPr="00E65865">
        <w:t>injecting</w:t>
      </w:r>
    </w:p>
    <w:p w14:paraId="32E661E7" w14:textId="77777777" w:rsidR="00FE4AAF" w:rsidRPr="00E65865" w:rsidRDefault="00FE4AAF" w:rsidP="002A7C8C">
      <w:pPr>
        <w:pStyle w:val="Normal0"/>
        <w:ind w:left="0"/>
        <w:rPr>
          <w:rFonts w:asciiTheme="majorHAnsi" w:hAnsiTheme="majorHAnsi" w:cstheme="majorBidi"/>
        </w:rPr>
      </w:pPr>
    </w:p>
    <w:p w14:paraId="73081C18" w14:textId="77777777" w:rsidR="00706FDE" w:rsidRPr="00E65865" w:rsidRDefault="00706FDE" w:rsidP="002A7C8C">
      <w:pPr>
        <w:pStyle w:val="Heading2"/>
      </w:pPr>
      <w:r w:rsidRPr="00E65865">
        <w:t>Abstract</w:t>
      </w:r>
    </w:p>
    <w:p w14:paraId="2BDD7386" w14:textId="77777777" w:rsidR="00A30BC1" w:rsidRPr="00E65865" w:rsidRDefault="00A30BC1" w:rsidP="00A30BC1">
      <w:pPr>
        <w:spacing w:line="360" w:lineRule="auto"/>
      </w:pPr>
      <w:r w:rsidRPr="00E65865">
        <w:t xml:space="preserve">Anabolic-androgenic steroids are synthetic derivatives of testosterone. They are thought to be the most commonly used performance and image-enhancing drugs (PIEDs) in Australia. However, the motivations for men’s use of steroids and other PIEDs are poorly understood. Established ways of understanding these motivations highlight men’s performance and/or image-related concerns, in the context of contemporary masculinities and gender norms. Researchers have paid little attention to how the social and political features of testosterone shape and transform steroid use. Instead, testosterone tends to be taken for granted as a ‘messenger of sex’ that acts on the body in predictable and routinised ways. This article takes a different approach. Drawing on feminist science studies and interviews conducted for an Australian research project, we investigate how the cultural and symbolic meanings assigned to testosterone shape the ontological politics of men’s steroid consumption. Approaching testosterone as an emergent social and biopolitical gathering rather than as a stable sex hormone allows us to better understand how men’s PIED consumption is mediated, particularly by pervasive ideas about sexual difference and the biology of gender. In concluding, we consider ways of better engaging men who consume steroids in health initiatives, in keeping with their concerns and perspectives. </w:t>
      </w:r>
    </w:p>
    <w:p w14:paraId="3BEF1FBD" w14:textId="73FCEA54" w:rsidR="007D6155" w:rsidRPr="00E65865" w:rsidRDefault="007D6155" w:rsidP="008D302F">
      <w:pPr>
        <w:spacing w:line="360" w:lineRule="auto"/>
      </w:pPr>
    </w:p>
    <w:p w14:paraId="48B6A023" w14:textId="590B8D31" w:rsidR="007A74EF" w:rsidRPr="00E65865" w:rsidRDefault="007A74EF" w:rsidP="008D302F">
      <w:pPr>
        <w:spacing w:line="360" w:lineRule="auto"/>
      </w:pPr>
      <w:r w:rsidRPr="00E65865">
        <w:t>Keywords</w:t>
      </w:r>
      <w:r w:rsidR="00833541" w:rsidRPr="00E65865">
        <w:t>: Steroids; testosterone; hormones; ontological politics</w:t>
      </w:r>
      <w:r w:rsidR="00C61EA5" w:rsidRPr="00E65865">
        <w:t>; feminist science studies</w:t>
      </w:r>
    </w:p>
    <w:p w14:paraId="5B854F85" w14:textId="77777777" w:rsidR="007D6155" w:rsidRPr="00E65865" w:rsidRDefault="007D6155" w:rsidP="008D302F">
      <w:pPr>
        <w:spacing w:line="360" w:lineRule="auto"/>
      </w:pPr>
    </w:p>
    <w:p w14:paraId="3BEBD37D" w14:textId="7C12DA86" w:rsidR="00CA0BAD" w:rsidRPr="00E65865" w:rsidRDefault="00CA0BAD" w:rsidP="008D302F">
      <w:pPr>
        <w:spacing w:line="360" w:lineRule="auto"/>
      </w:pPr>
    </w:p>
    <w:p w14:paraId="7A5638FB" w14:textId="6275C8C9" w:rsidR="00CA0BAD" w:rsidRPr="00E65865" w:rsidRDefault="00CA0BAD" w:rsidP="008D302F">
      <w:pPr>
        <w:spacing w:line="360" w:lineRule="auto"/>
      </w:pPr>
    </w:p>
    <w:p w14:paraId="406AA229" w14:textId="77777777" w:rsidR="00FE4AAF" w:rsidRPr="00E65865" w:rsidRDefault="00FE4AAF">
      <w:pPr>
        <w:rPr>
          <w:b/>
        </w:rPr>
      </w:pPr>
      <w:r w:rsidRPr="00E65865">
        <w:br w:type="page"/>
      </w:r>
    </w:p>
    <w:p w14:paraId="0EE5BE26" w14:textId="42BBF9CA" w:rsidR="00246A1E" w:rsidRPr="00E65865" w:rsidRDefault="00706FDE" w:rsidP="009E6CE6">
      <w:pPr>
        <w:pStyle w:val="Heading2"/>
        <w:spacing w:line="360" w:lineRule="auto"/>
      </w:pPr>
      <w:r w:rsidRPr="00E65865">
        <w:lastRenderedPageBreak/>
        <w:t xml:space="preserve">Introduction </w:t>
      </w:r>
    </w:p>
    <w:p w14:paraId="1D621179" w14:textId="16D49144" w:rsidR="001D4F56" w:rsidRPr="00E65865" w:rsidRDefault="0030038E" w:rsidP="008D302F">
      <w:pPr>
        <w:spacing w:line="360" w:lineRule="auto"/>
      </w:pPr>
      <w:r w:rsidRPr="00E65865">
        <w:t xml:space="preserve">Feminist scholarship has long </w:t>
      </w:r>
      <w:r w:rsidR="00A12764" w:rsidRPr="00E65865">
        <w:t>taken issue with hormone-based ideas of gender</w:t>
      </w:r>
      <w:r w:rsidRPr="00E65865">
        <w:t xml:space="preserve"> </w:t>
      </w:r>
      <w:r w:rsidR="00627AD2" w:rsidRPr="00E65865">
        <w:t xml:space="preserve">as </w:t>
      </w:r>
      <w:r w:rsidRPr="00E65865">
        <w:t>promoting simplistic biological accounts of agency, embodiment and sexual difference</w:t>
      </w:r>
      <w:r w:rsidR="007869B4" w:rsidRPr="00E65865">
        <w:t xml:space="preserve"> (e.g., </w:t>
      </w:r>
      <w:r w:rsidR="00970C5D" w:rsidRPr="00E65865">
        <w:t xml:space="preserve">Butler, 1993; </w:t>
      </w:r>
      <w:proofErr w:type="spellStart"/>
      <w:r w:rsidR="007869B4" w:rsidRPr="00E65865">
        <w:t>Oudshoorn</w:t>
      </w:r>
      <w:proofErr w:type="spellEnd"/>
      <w:r w:rsidR="007869B4" w:rsidRPr="00E65865">
        <w:t>, 2003)</w:t>
      </w:r>
      <w:r w:rsidRPr="00E65865">
        <w:t xml:space="preserve">. </w:t>
      </w:r>
      <w:r w:rsidR="00CA0084" w:rsidRPr="00E65865">
        <w:t>Many</w:t>
      </w:r>
      <w:r w:rsidR="007F48F6" w:rsidRPr="00E65865">
        <w:t xml:space="preserve"> research</w:t>
      </w:r>
      <w:r w:rsidR="00CA0084" w:rsidRPr="00E65865">
        <w:t>ers</w:t>
      </w:r>
      <w:r w:rsidR="007F48F6" w:rsidRPr="00E65865">
        <w:t xml:space="preserve"> ha</w:t>
      </w:r>
      <w:r w:rsidR="00CA0084" w:rsidRPr="00E65865">
        <w:t>ve</w:t>
      </w:r>
      <w:r w:rsidR="007869B4" w:rsidRPr="00E65865">
        <w:t xml:space="preserve"> also</w:t>
      </w:r>
      <w:r w:rsidR="007F48F6" w:rsidRPr="00E65865">
        <w:t xml:space="preserve"> </w:t>
      </w:r>
      <w:r w:rsidR="00B50704" w:rsidRPr="00E65865">
        <w:t>critiqued the science on which normative hormonal accounts of agency are premised</w:t>
      </w:r>
      <w:r w:rsidR="003C5E8D" w:rsidRPr="00E65865">
        <w:t xml:space="preserve"> (Fausto-Sterling, 2000; Roberts, 2007)</w:t>
      </w:r>
      <w:r w:rsidR="002916A4" w:rsidRPr="00E65865">
        <w:t>. This work has</w:t>
      </w:r>
      <w:r w:rsidR="00B50704" w:rsidRPr="00E65865">
        <w:t xml:space="preserve"> drawn attention to hormones</w:t>
      </w:r>
      <w:r w:rsidR="00627AD2" w:rsidRPr="00E65865">
        <w:t xml:space="preserve"> (such as steroids)</w:t>
      </w:r>
      <w:r w:rsidR="00B50704" w:rsidRPr="00E65865">
        <w:t xml:space="preserve"> as </w:t>
      </w:r>
      <w:r w:rsidR="00627AD2" w:rsidRPr="00E65865">
        <w:t xml:space="preserve">biologically, </w:t>
      </w:r>
      <w:r w:rsidR="00B50704" w:rsidRPr="00E65865">
        <w:t xml:space="preserve">socially and politically </w:t>
      </w:r>
      <w:r w:rsidR="002916A4" w:rsidRPr="00E65865">
        <w:t>co-</w:t>
      </w:r>
      <w:r w:rsidR="001856C3" w:rsidRPr="00E65865">
        <w:t>constituted</w:t>
      </w:r>
      <w:r w:rsidR="00627AD2" w:rsidRPr="00E65865">
        <w:t>, rather than simply biological</w:t>
      </w:r>
      <w:r w:rsidR="00B50704" w:rsidRPr="00E65865">
        <w:t xml:space="preserve">. </w:t>
      </w:r>
      <w:r w:rsidR="00627AD2" w:rsidRPr="00E65865">
        <w:t>Despite these critiques,</w:t>
      </w:r>
      <w:r w:rsidR="007F48F6" w:rsidRPr="00E65865">
        <w:t xml:space="preserve"> social research </w:t>
      </w:r>
      <w:r w:rsidR="007869B4" w:rsidRPr="00E65865">
        <w:t xml:space="preserve">into steroids </w:t>
      </w:r>
      <w:r w:rsidR="007F48F6" w:rsidRPr="00E65865">
        <w:t xml:space="preserve">has predominantly </w:t>
      </w:r>
      <w:r w:rsidR="00627AD2" w:rsidRPr="00E65865">
        <w:t>treated</w:t>
      </w:r>
      <w:r w:rsidR="007F48F6" w:rsidRPr="00E65865">
        <w:t xml:space="preserve"> testosterone </w:t>
      </w:r>
      <w:r w:rsidR="00871B76" w:rsidRPr="00E65865">
        <w:t xml:space="preserve">as a stable, biological substance that acts on the body in predictable </w:t>
      </w:r>
      <w:r w:rsidR="00C72124" w:rsidRPr="00E65865">
        <w:t xml:space="preserve">physiological </w:t>
      </w:r>
      <w:r w:rsidR="00871B76" w:rsidRPr="00E65865">
        <w:t>ways (e.g.</w:t>
      </w:r>
      <w:r w:rsidR="00833541" w:rsidRPr="00E65865">
        <w:t>,</w:t>
      </w:r>
      <w:r w:rsidR="00871B76" w:rsidRPr="00E65865">
        <w:t xml:space="preserve"> increasing muscle mass and size). </w:t>
      </w:r>
      <w:r w:rsidR="004A0387" w:rsidRPr="00E65865">
        <w:t xml:space="preserve">This </w:t>
      </w:r>
      <w:r w:rsidR="00C72124" w:rsidRPr="00E65865">
        <w:t xml:space="preserve">article </w:t>
      </w:r>
      <w:r w:rsidR="004A0387" w:rsidRPr="00E65865">
        <w:t>takes a different approach</w:t>
      </w:r>
      <w:r w:rsidR="00A4241E" w:rsidRPr="00E65865">
        <w:t>.</w:t>
      </w:r>
      <w:r w:rsidR="004A0387" w:rsidRPr="00E65865">
        <w:t xml:space="preserve"> </w:t>
      </w:r>
      <w:r w:rsidR="00A4241E" w:rsidRPr="00E65865">
        <w:t>Using</w:t>
      </w:r>
      <w:r w:rsidR="0049559D" w:rsidRPr="00E65865">
        <w:t xml:space="preserve"> feminist science studies </w:t>
      </w:r>
      <w:r w:rsidR="00C72124" w:rsidRPr="00E65865">
        <w:t xml:space="preserve">research </w:t>
      </w:r>
      <w:r w:rsidR="0049559D" w:rsidRPr="00E65865">
        <w:t>on hormones</w:t>
      </w:r>
      <w:r w:rsidR="00A4241E" w:rsidRPr="00E65865">
        <w:t xml:space="preserve"> and biomedicine</w:t>
      </w:r>
      <w:r w:rsidR="0049559D" w:rsidRPr="00E65865">
        <w:t xml:space="preserve">, we investigate </w:t>
      </w:r>
      <w:r w:rsidR="00C72124" w:rsidRPr="00E65865">
        <w:t xml:space="preserve">the ways </w:t>
      </w:r>
      <w:r w:rsidR="007A74EF" w:rsidRPr="00E65865">
        <w:t xml:space="preserve">in which </w:t>
      </w:r>
      <w:r w:rsidR="0049559D" w:rsidRPr="00E65865">
        <w:t>cultural and symbolic meanings ass</w:t>
      </w:r>
      <w:r w:rsidR="00C72124" w:rsidRPr="00E65865">
        <w:t xml:space="preserve">ociated with </w:t>
      </w:r>
      <w:r w:rsidR="0049559D" w:rsidRPr="00E65865">
        <w:t xml:space="preserve">testosterone shape </w:t>
      </w:r>
      <w:r w:rsidR="00C90E2C" w:rsidRPr="00E65865">
        <w:t>steroid</w:t>
      </w:r>
      <w:r w:rsidR="0049559D" w:rsidRPr="00E65865">
        <w:t xml:space="preserve"> consumption. </w:t>
      </w:r>
      <w:r w:rsidR="00DE2330" w:rsidRPr="00E65865">
        <w:t>This approach foregrounds the</w:t>
      </w:r>
      <w:r w:rsidR="001856C3" w:rsidRPr="00E65865">
        <w:t xml:space="preserve"> </w:t>
      </w:r>
      <w:r w:rsidR="00DE2330" w:rsidRPr="00E65865">
        <w:t>‘</w:t>
      </w:r>
      <w:r w:rsidR="001856C3" w:rsidRPr="00E65865">
        <w:t>ontological politics</w:t>
      </w:r>
      <w:r w:rsidR="00DE2330" w:rsidRPr="00E65865">
        <w:t>’</w:t>
      </w:r>
      <w:r w:rsidR="001856C3" w:rsidRPr="00E65865">
        <w:t xml:space="preserve"> </w:t>
      </w:r>
      <w:r w:rsidR="00833541" w:rsidRPr="00E65865">
        <w:t xml:space="preserve">(Mol, </w:t>
      </w:r>
      <w:r w:rsidR="00F7443E" w:rsidRPr="00E65865">
        <w:t>1999</w:t>
      </w:r>
      <w:r w:rsidR="00833541" w:rsidRPr="00E65865">
        <w:t xml:space="preserve">) </w:t>
      </w:r>
      <w:r w:rsidR="001856C3" w:rsidRPr="00E65865">
        <w:t xml:space="preserve">of </w:t>
      </w:r>
      <w:r w:rsidR="000767E3" w:rsidRPr="00E65865">
        <w:t>steroid injecting</w:t>
      </w:r>
      <w:r w:rsidR="00DE2330" w:rsidRPr="00E65865">
        <w:t>, that is,</w:t>
      </w:r>
      <w:r w:rsidR="001856C3" w:rsidRPr="00E65865">
        <w:t xml:space="preserve"> the </w:t>
      </w:r>
      <w:r w:rsidR="00DE2330" w:rsidRPr="00E65865">
        <w:t>contingent forms</w:t>
      </w:r>
      <w:r w:rsidR="001856C3" w:rsidRPr="00E65865">
        <w:t xml:space="preserve"> of embodiment and gendered realities</w:t>
      </w:r>
      <w:r w:rsidR="000767E3" w:rsidRPr="00E65865">
        <w:t xml:space="preserve"> testosterone </w:t>
      </w:r>
      <w:r w:rsidR="001856C3" w:rsidRPr="00E65865">
        <w:t xml:space="preserve">makes possible for men who inject steroids. </w:t>
      </w:r>
      <w:r w:rsidR="00A4241E" w:rsidRPr="00E65865">
        <w:t xml:space="preserve">To do so, we analyse interviews with 60 men who inject PIEDs conducted for an Australian research project </w:t>
      </w:r>
      <w:r w:rsidR="00A4241E" w:rsidRPr="00E65865">
        <w:rPr>
          <w:rFonts w:eastAsia="Calibri"/>
        </w:rPr>
        <w:t xml:space="preserve">designed to better understand </w:t>
      </w:r>
      <w:r w:rsidR="00CA0084" w:rsidRPr="00E65865">
        <w:rPr>
          <w:rFonts w:eastAsia="Calibri"/>
        </w:rPr>
        <w:t>this phenomenon</w:t>
      </w:r>
      <w:r w:rsidR="00A4241E" w:rsidRPr="00E65865">
        <w:rPr>
          <w:rFonts w:eastAsia="Calibri"/>
        </w:rPr>
        <w:t>.</w:t>
      </w:r>
      <w:r w:rsidR="00A4241E" w:rsidRPr="00E65865">
        <w:t xml:space="preserve"> </w:t>
      </w:r>
      <w:r w:rsidR="00CA0084" w:rsidRPr="00E65865">
        <w:t>W</w:t>
      </w:r>
      <w:r w:rsidR="00C72124" w:rsidRPr="00E65865">
        <w:t>e begin by ar</w:t>
      </w:r>
      <w:r w:rsidR="0049559D" w:rsidRPr="00E65865">
        <w:t>gu</w:t>
      </w:r>
      <w:r w:rsidR="00C72124" w:rsidRPr="00E65865">
        <w:t>ing</w:t>
      </w:r>
      <w:r w:rsidR="0049559D" w:rsidRPr="00E65865">
        <w:t xml:space="preserve"> that the presumed tie between testosterone and masculinity </w:t>
      </w:r>
      <w:r w:rsidR="00C72124" w:rsidRPr="00E65865">
        <w:t xml:space="preserve">contributes to </w:t>
      </w:r>
      <w:r w:rsidR="0018261E" w:rsidRPr="00E65865">
        <w:t>a</w:t>
      </w:r>
      <w:r w:rsidR="00C72124" w:rsidRPr="00E65865">
        <w:t xml:space="preserve"> sense of increased</w:t>
      </w:r>
      <w:r w:rsidR="0018261E" w:rsidRPr="00E65865">
        <w:t xml:space="preserve"> </w:t>
      </w:r>
      <w:r w:rsidR="00C72124" w:rsidRPr="00E65865">
        <w:t xml:space="preserve">physical </w:t>
      </w:r>
      <w:r w:rsidR="0018261E" w:rsidRPr="00E65865">
        <w:t>vibran</w:t>
      </w:r>
      <w:r w:rsidR="00C72124" w:rsidRPr="00E65865">
        <w:t xml:space="preserve">cy </w:t>
      </w:r>
      <w:r w:rsidR="0018261E" w:rsidRPr="00E65865">
        <w:t>for men who use steroids. Pleasurable e</w:t>
      </w:r>
      <w:r w:rsidR="00365119" w:rsidRPr="00E65865">
        <w:t xml:space="preserve">xperiences of strength, energy and </w:t>
      </w:r>
      <w:r w:rsidR="0018261E" w:rsidRPr="00E65865">
        <w:t>youthfulness (and a range of other</w:t>
      </w:r>
      <w:r w:rsidR="0049559D" w:rsidRPr="00E65865">
        <w:t xml:space="preserve"> </w:t>
      </w:r>
      <w:r w:rsidR="00365119" w:rsidRPr="00E65865">
        <w:t>testosterone ‘effects’)</w:t>
      </w:r>
      <w:r w:rsidR="0018261E" w:rsidRPr="00E65865">
        <w:t xml:space="preserve"> </w:t>
      </w:r>
      <w:r w:rsidR="001D1F16" w:rsidRPr="00E65865">
        <w:t>are closely tied to</w:t>
      </w:r>
      <w:r w:rsidR="00D15FEF" w:rsidRPr="00E65865">
        <w:t xml:space="preserve"> the</w:t>
      </w:r>
      <w:r w:rsidR="0018261E" w:rsidRPr="00E65865">
        <w:t xml:space="preserve"> </w:t>
      </w:r>
      <w:r w:rsidR="00365119" w:rsidRPr="00E65865">
        <w:t xml:space="preserve">cultural </w:t>
      </w:r>
      <w:r w:rsidR="00D15FEF" w:rsidRPr="00E65865">
        <w:t xml:space="preserve">status </w:t>
      </w:r>
      <w:r w:rsidR="00365119" w:rsidRPr="00E65865">
        <w:t xml:space="preserve">assigned </w:t>
      </w:r>
      <w:r w:rsidR="00D15FEF" w:rsidRPr="00E65865">
        <w:t>to testosterone as a ‘</w:t>
      </w:r>
      <w:r w:rsidR="00F6799A" w:rsidRPr="00E65865">
        <w:t xml:space="preserve">kind of </w:t>
      </w:r>
      <w:r w:rsidR="00D15FEF" w:rsidRPr="00E65865">
        <w:t xml:space="preserve">concentrated essence of masculinity’ (Keane, 2005, p. 191). </w:t>
      </w:r>
      <w:r w:rsidR="0052322C" w:rsidRPr="00E65865">
        <w:t>Following this</w:t>
      </w:r>
      <w:r w:rsidR="00365119" w:rsidRPr="00E65865">
        <w:t xml:space="preserve">, we </w:t>
      </w:r>
      <w:r w:rsidR="005B0742" w:rsidRPr="00E65865">
        <w:t>argue that steroid consumption is also framed via commonplace understandings</w:t>
      </w:r>
      <w:r w:rsidR="00386F48" w:rsidRPr="00E65865">
        <w:t xml:space="preserve"> of testosterone as a simple ‘messenger of sex’</w:t>
      </w:r>
      <w:r w:rsidR="005B0742" w:rsidRPr="00E65865">
        <w:t xml:space="preserve"> (Roberts</w:t>
      </w:r>
      <w:r w:rsidR="004A15F2" w:rsidRPr="00E65865">
        <w:t>, 2007, p. 22</w:t>
      </w:r>
      <w:r w:rsidR="005B0742" w:rsidRPr="00E65865">
        <w:t>). In this framing,</w:t>
      </w:r>
      <w:r w:rsidR="00386F48" w:rsidRPr="00E65865">
        <w:t xml:space="preserve"> </w:t>
      </w:r>
      <w:r w:rsidR="005B0742" w:rsidRPr="00E65865">
        <w:t>steroid consumption necessarily enhances masculinity</w:t>
      </w:r>
      <w:r w:rsidR="008C2572" w:rsidRPr="00E65865">
        <w:t xml:space="preserve">. </w:t>
      </w:r>
      <w:r w:rsidR="006639F6" w:rsidRPr="00E65865">
        <w:t>W</w:t>
      </w:r>
      <w:r w:rsidR="00386F48" w:rsidRPr="00E65865">
        <w:t xml:space="preserve">e </w:t>
      </w:r>
      <w:r w:rsidR="007F7BBB" w:rsidRPr="00E65865">
        <w:t xml:space="preserve">go on to </w:t>
      </w:r>
      <w:r w:rsidR="00386F48" w:rsidRPr="00E65865">
        <w:t xml:space="preserve">argue that </w:t>
      </w:r>
      <w:r w:rsidR="008C2572" w:rsidRPr="00E65865">
        <w:t xml:space="preserve">steroid injecting </w:t>
      </w:r>
      <w:r w:rsidR="005B0742" w:rsidRPr="00E65865">
        <w:t>in turn reinforces</w:t>
      </w:r>
      <w:r w:rsidR="00386F48" w:rsidRPr="00E65865">
        <w:t xml:space="preserve"> hormonal accounts of </w:t>
      </w:r>
      <w:r w:rsidR="008C2572" w:rsidRPr="00E65865">
        <w:t xml:space="preserve">sex and </w:t>
      </w:r>
      <w:r w:rsidR="00386F48" w:rsidRPr="00E65865">
        <w:t>gende</w:t>
      </w:r>
      <w:r w:rsidR="005E3A37" w:rsidRPr="00E65865">
        <w:t>r</w:t>
      </w:r>
      <w:r w:rsidR="005B0742" w:rsidRPr="00E65865">
        <w:t>,</w:t>
      </w:r>
      <w:r w:rsidR="008C2572" w:rsidRPr="00E65865">
        <w:t xml:space="preserve"> </w:t>
      </w:r>
      <w:r w:rsidR="001D70B7" w:rsidRPr="00E65865">
        <w:t>even as these biological</w:t>
      </w:r>
      <w:r w:rsidR="008C2572" w:rsidRPr="00E65865">
        <w:t xml:space="preserve"> </w:t>
      </w:r>
      <w:r w:rsidR="00C92A95" w:rsidRPr="00E65865">
        <w:t xml:space="preserve">accounts </w:t>
      </w:r>
      <w:r w:rsidR="005B0742" w:rsidRPr="00E65865">
        <w:t>directly reference uniquely modern masculine</w:t>
      </w:r>
      <w:r w:rsidR="008C2572" w:rsidRPr="00E65865">
        <w:t xml:space="preserve"> ideals </w:t>
      </w:r>
      <w:r w:rsidR="005B0742" w:rsidRPr="00E65865">
        <w:t>of</w:t>
      </w:r>
      <w:r w:rsidR="008C2572" w:rsidRPr="00E65865">
        <w:t xml:space="preserve"> confidence, authority and self-management.</w:t>
      </w:r>
      <w:r w:rsidR="005E3A37" w:rsidRPr="00E65865">
        <w:t xml:space="preserve"> </w:t>
      </w:r>
      <w:r w:rsidR="008C010B" w:rsidRPr="00E65865">
        <w:rPr>
          <w:rFonts w:eastAsia="Calibri"/>
        </w:rPr>
        <w:t xml:space="preserve">Lastly, we consider </w:t>
      </w:r>
      <w:r w:rsidR="005B0742" w:rsidRPr="00E65865">
        <w:rPr>
          <w:rFonts w:eastAsia="Calibri"/>
        </w:rPr>
        <w:t>aspects of steroid consumption not readily digested in the simple formula, man + testosterone = enhanced masculinity, that is, t</w:t>
      </w:r>
      <w:r w:rsidR="008C2572" w:rsidRPr="00E65865">
        <w:rPr>
          <w:rFonts w:eastAsia="Calibri"/>
        </w:rPr>
        <w:t>he production of ‘unpredictably destabilising effects on gender attributes’ (Sed</w:t>
      </w:r>
      <w:r w:rsidR="007F7BBB" w:rsidRPr="00E65865">
        <w:rPr>
          <w:rFonts w:eastAsia="Calibri"/>
        </w:rPr>
        <w:t>g</w:t>
      </w:r>
      <w:r w:rsidR="008C2572" w:rsidRPr="00E65865">
        <w:rPr>
          <w:rFonts w:eastAsia="Calibri"/>
        </w:rPr>
        <w:t xml:space="preserve">wick, 1994, p. 136). </w:t>
      </w:r>
      <w:r w:rsidR="005B0742" w:rsidRPr="00E65865">
        <w:rPr>
          <w:rFonts w:eastAsia="Calibri"/>
        </w:rPr>
        <w:t>Via effects such as gynecomastia (breast growth) and testic</w:t>
      </w:r>
      <w:r w:rsidR="000357C4" w:rsidRPr="00E65865">
        <w:rPr>
          <w:rFonts w:eastAsia="Calibri"/>
        </w:rPr>
        <w:t>ular</w:t>
      </w:r>
      <w:r w:rsidR="005B0742" w:rsidRPr="00E65865">
        <w:rPr>
          <w:rFonts w:eastAsia="Calibri"/>
        </w:rPr>
        <w:t xml:space="preserve"> shrinkage, s</w:t>
      </w:r>
      <w:r w:rsidR="00BF5C9A" w:rsidRPr="00E65865">
        <w:rPr>
          <w:rFonts w:eastAsia="Calibri"/>
        </w:rPr>
        <w:t>teroid injecting may</w:t>
      </w:r>
      <w:r w:rsidR="005B0742" w:rsidRPr="00E65865">
        <w:rPr>
          <w:rFonts w:eastAsia="Calibri"/>
        </w:rPr>
        <w:t xml:space="preserve"> </w:t>
      </w:r>
      <w:r w:rsidR="00BF5C9A" w:rsidRPr="00E65865">
        <w:rPr>
          <w:rFonts w:eastAsia="Calibri"/>
        </w:rPr>
        <w:t xml:space="preserve">be implicated in feminised forms of attention and labour centred on the management of sexuality, the ‘natural’ body and fertility. </w:t>
      </w:r>
      <w:r w:rsidR="00D22E7F" w:rsidRPr="00E65865">
        <w:rPr>
          <w:rFonts w:eastAsia="Calibri"/>
        </w:rPr>
        <w:t>Overall</w:t>
      </w:r>
      <w:r w:rsidR="00BF5C9A" w:rsidRPr="00E65865">
        <w:rPr>
          <w:rFonts w:eastAsia="Calibri"/>
        </w:rPr>
        <w:t xml:space="preserve">, we argue that </w:t>
      </w:r>
      <w:r w:rsidR="007A6016" w:rsidRPr="00E65865">
        <w:t>approaching testosterone</w:t>
      </w:r>
      <w:r w:rsidR="005B0742" w:rsidRPr="00E65865">
        <w:t xml:space="preserve"> in feminist science studies terms – </w:t>
      </w:r>
      <w:r w:rsidR="007A6016" w:rsidRPr="00E65865">
        <w:t xml:space="preserve">as an emergent social and biopolitical </w:t>
      </w:r>
      <w:r w:rsidR="005E3A37" w:rsidRPr="00E65865">
        <w:lastRenderedPageBreak/>
        <w:t>gathering</w:t>
      </w:r>
      <w:r w:rsidR="007A6016" w:rsidRPr="00E65865">
        <w:t xml:space="preserve"> rather than as a stable sex hormone </w:t>
      </w:r>
      <w:r w:rsidR="005B0742" w:rsidRPr="00E65865">
        <w:t xml:space="preserve">– </w:t>
      </w:r>
      <w:r w:rsidR="007A6016" w:rsidRPr="00E65865">
        <w:t>allows us to better understand the forces motivating and mediating men’s PIED consumption, in</w:t>
      </w:r>
      <w:r w:rsidR="005B0742" w:rsidRPr="00E65865">
        <w:t xml:space="preserve">cluding </w:t>
      </w:r>
      <w:r w:rsidR="007A6016" w:rsidRPr="00E65865">
        <w:t>pervasive ideas about sexual difference and gender</w:t>
      </w:r>
      <w:r w:rsidR="00BA474D" w:rsidRPr="00E65865">
        <w:t xml:space="preserve"> as biologically produced and aligned</w:t>
      </w:r>
      <w:r w:rsidR="007A6016" w:rsidRPr="00E65865">
        <w:t>.</w:t>
      </w:r>
      <w:r w:rsidR="004A15F2" w:rsidRPr="00E65865">
        <w:t xml:space="preserve"> </w:t>
      </w:r>
      <w:r w:rsidR="00D22E7F" w:rsidRPr="00E65865">
        <w:t>In concluding, we</w:t>
      </w:r>
      <w:r w:rsidR="004A15F2" w:rsidRPr="00E65865">
        <w:t xml:space="preserve"> consider ways of </w:t>
      </w:r>
      <w:r w:rsidR="000357C4" w:rsidRPr="00E65865">
        <w:t xml:space="preserve">better </w:t>
      </w:r>
      <w:r w:rsidR="004A15F2" w:rsidRPr="00E65865">
        <w:t>engaging men</w:t>
      </w:r>
      <w:r w:rsidR="00833541" w:rsidRPr="00E65865">
        <w:t xml:space="preserve"> </w:t>
      </w:r>
      <w:r w:rsidR="004A15F2" w:rsidRPr="00E65865">
        <w:t xml:space="preserve">who consume steroids </w:t>
      </w:r>
      <w:r w:rsidR="006639F6" w:rsidRPr="00E65865">
        <w:t xml:space="preserve">in health initiatives </w:t>
      </w:r>
      <w:r w:rsidR="004A15F2" w:rsidRPr="00E65865">
        <w:t xml:space="preserve">in line with their </w:t>
      </w:r>
      <w:r w:rsidR="007869B4" w:rsidRPr="00E65865">
        <w:t xml:space="preserve">experiences, </w:t>
      </w:r>
      <w:r w:rsidR="004A15F2" w:rsidRPr="00E65865">
        <w:t xml:space="preserve">concerns and perspectives. </w:t>
      </w:r>
    </w:p>
    <w:p w14:paraId="39D321FB" w14:textId="239D9D39" w:rsidR="001D4F56" w:rsidRPr="00E65865" w:rsidRDefault="001D4F56" w:rsidP="008D302F">
      <w:pPr>
        <w:spacing w:line="360" w:lineRule="auto"/>
      </w:pPr>
    </w:p>
    <w:p w14:paraId="1A403903" w14:textId="0AEC0893" w:rsidR="00B72B48" w:rsidRPr="00E65865" w:rsidRDefault="0097296D" w:rsidP="008D302F">
      <w:pPr>
        <w:pStyle w:val="Heading2"/>
        <w:spacing w:line="360" w:lineRule="auto"/>
      </w:pPr>
      <w:r w:rsidRPr="00E65865">
        <w:t>Background</w:t>
      </w:r>
    </w:p>
    <w:p w14:paraId="33E7F071" w14:textId="73D5AD0D" w:rsidR="006307FC" w:rsidRPr="00E65865" w:rsidRDefault="004A15F2" w:rsidP="006307FC">
      <w:pPr>
        <w:pStyle w:val="Normal0"/>
        <w:ind w:left="0"/>
        <w:contextualSpacing w:val="0"/>
        <w:rPr>
          <w:rFonts w:ascii="Times New Roman" w:hAnsi="Times New Roman"/>
        </w:rPr>
      </w:pPr>
      <w:r w:rsidRPr="00E65865">
        <w:rPr>
          <w:rFonts w:ascii="Times New Roman" w:eastAsia="Calibri" w:hAnsi="Times New Roman"/>
        </w:rPr>
        <w:t xml:space="preserve">Anabolic-androgenic steroids </w:t>
      </w:r>
      <w:r w:rsidR="00A36C29" w:rsidRPr="00E65865">
        <w:rPr>
          <w:rFonts w:ascii="Times New Roman" w:hAnsi="Times New Roman"/>
        </w:rPr>
        <w:t xml:space="preserve">are thought to be the most commonly used </w:t>
      </w:r>
      <w:r w:rsidR="000357C4" w:rsidRPr="00E65865">
        <w:rPr>
          <w:rFonts w:ascii="Times New Roman" w:hAnsi="Times New Roman"/>
        </w:rPr>
        <w:t xml:space="preserve">PIED </w:t>
      </w:r>
      <w:r w:rsidR="007A6016" w:rsidRPr="00E65865">
        <w:rPr>
          <w:rFonts w:ascii="Times New Roman" w:hAnsi="Times New Roman"/>
        </w:rPr>
        <w:t>in Australia</w:t>
      </w:r>
      <w:r w:rsidR="0008746D" w:rsidRPr="00E65865">
        <w:rPr>
          <w:rFonts w:ascii="Times New Roman" w:hAnsi="Times New Roman"/>
        </w:rPr>
        <w:t xml:space="preserve"> (</w:t>
      </w:r>
      <w:proofErr w:type="spellStart"/>
      <w:r w:rsidR="0008746D" w:rsidRPr="00E65865">
        <w:rPr>
          <w:rFonts w:ascii="Times New Roman" w:hAnsi="Times New Roman"/>
        </w:rPr>
        <w:t>Larance</w:t>
      </w:r>
      <w:proofErr w:type="spellEnd"/>
      <w:r w:rsidR="0008746D" w:rsidRPr="00E65865">
        <w:rPr>
          <w:rFonts w:ascii="Times New Roman" w:hAnsi="Times New Roman"/>
        </w:rPr>
        <w:t xml:space="preserve"> et al.</w:t>
      </w:r>
      <w:r w:rsidR="009F7047" w:rsidRPr="00E65865">
        <w:rPr>
          <w:rFonts w:ascii="Times New Roman" w:hAnsi="Times New Roman"/>
        </w:rPr>
        <w:t>,</w:t>
      </w:r>
      <w:r w:rsidR="0008746D" w:rsidRPr="00E65865">
        <w:rPr>
          <w:rFonts w:ascii="Times New Roman" w:hAnsi="Times New Roman"/>
        </w:rPr>
        <w:t xml:space="preserve"> 2008)</w:t>
      </w:r>
      <w:r w:rsidR="00A36C29" w:rsidRPr="00E65865">
        <w:rPr>
          <w:rFonts w:ascii="Times New Roman" w:hAnsi="Times New Roman"/>
        </w:rPr>
        <w:t>.</w:t>
      </w:r>
      <w:r w:rsidR="00443646" w:rsidRPr="00E65865">
        <w:rPr>
          <w:rFonts w:ascii="Times New Roman" w:hAnsi="Times New Roman"/>
        </w:rPr>
        <w:t xml:space="preserve"> Steroid hormones are </w:t>
      </w:r>
      <w:r w:rsidR="00D22E7F" w:rsidRPr="00E65865">
        <w:rPr>
          <w:rFonts w:ascii="Times New Roman" w:hAnsi="Times New Roman"/>
        </w:rPr>
        <w:t>understood not only as central to</w:t>
      </w:r>
      <w:r w:rsidR="00443646" w:rsidRPr="00E65865">
        <w:rPr>
          <w:rFonts w:ascii="Times New Roman" w:hAnsi="Times New Roman"/>
        </w:rPr>
        <w:t xml:space="preserve"> sexual development but </w:t>
      </w:r>
      <w:r w:rsidR="00D22E7F" w:rsidRPr="00E65865">
        <w:rPr>
          <w:rFonts w:ascii="Times New Roman" w:hAnsi="Times New Roman"/>
        </w:rPr>
        <w:t xml:space="preserve">as </w:t>
      </w:r>
      <w:r w:rsidR="00443646" w:rsidRPr="00E65865">
        <w:rPr>
          <w:rFonts w:ascii="Times New Roman" w:hAnsi="Times New Roman"/>
        </w:rPr>
        <w:t>‘</w:t>
      </w:r>
      <w:r w:rsidR="003B535E" w:rsidRPr="00E65865">
        <w:rPr>
          <w:rFonts w:ascii="Times New Roman" w:hAnsi="Times New Roman"/>
        </w:rPr>
        <w:t>powerful growth hormones affecting most, if not all, of the body’s organ systems’ (Fausto-Sterling, 2000, p. 193).</w:t>
      </w:r>
      <w:r w:rsidR="00443646" w:rsidRPr="00E65865">
        <w:rPr>
          <w:rFonts w:ascii="Times New Roman" w:hAnsi="Times New Roman"/>
        </w:rPr>
        <w:t xml:space="preserve"> </w:t>
      </w:r>
      <w:r w:rsidR="000357C4" w:rsidRPr="00E65865">
        <w:rPr>
          <w:rFonts w:ascii="Times New Roman" w:eastAsia="Calibri" w:hAnsi="Times New Roman"/>
        </w:rPr>
        <w:t>These</w:t>
      </w:r>
      <w:r w:rsidR="00443646" w:rsidRPr="00E65865">
        <w:rPr>
          <w:rFonts w:ascii="Times New Roman" w:eastAsia="Calibri" w:hAnsi="Times New Roman"/>
        </w:rPr>
        <w:t xml:space="preserve"> includ</w:t>
      </w:r>
      <w:r w:rsidR="000357C4" w:rsidRPr="00E65865">
        <w:rPr>
          <w:rFonts w:ascii="Times New Roman" w:eastAsia="Calibri" w:hAnsi="Times New Roman"/>
        </w:rPr>
        <w:t>e</w:t>
      </w:r>
      <w:r w:rsidR="00443646" w:rsidRPr="00E65865">
        <w:rPr>
          <w:rFonts w:ascii="Times New Roman" w:eastAsia="Calibri" w:hAnsi="Times New Roman"/>
        </w:rPr>
        <w:t xml:space="preserve"> reproductive organs, bone mass, heart function, liver metabolism and blood cell production. </w:t>
      </w:r>
      <w:r w:rsidR="000357C4" w:rsidRPr="00E65865">
        <w:rPr>
          <w:rFonts w:ascii="Times New Roman" w:eastAsia="Calibri" w:hAnsi="Times New Roman"/>
        </w:rPr>
        <w:t xml:space="preserve">In this account, steroids </w:t>
      </w:r>
      <w:r w:rsidR="006307FC" w:rsidRPr="00E65865">
        <w:rPr>
          <w:rFonts w:ascii="Times New Roman" w:eastAsia="Calibri" w:hAnsi="Times New Roman"/>
        </w:rPr>
        <w:t>possess anabolic properties</w:t>
      </w:r>
      <w:r w:rsidR="00D22E7F" w:rsidRPr="00E65865">
        <w:rPr>
          <w:rFonts w:ascii="Times New Roman" w:eastAsia="Calibri" w:hAnsi="Times New Roman"/>
        </w:rPr>
        <w:t xml:space="preserve">, </w:t>
      </w:r>
      <w:r w:rsidR="006307FC" w:rsidRPr="00E65865">
        <w:rPr>
          <w:rFonts w:ascii="Times New Roman" w:eastAsia="Calibri" w:hAnsi="Times New Roman"/>
        </w:rPr>
        <w:t>regulat</w:t>
      </w:r>
      <w:r w:rsidR="00D22E7F" w:rsidRPr="00E65865">
        <w:rPr>
          <w:rFonts w:ascii="Times New Roman" w:eastAsia="Calibri" w:hAnsi="Times New Roman"/>
        </w:rPr>
        <w:t>ing</w:t>
      </w:r>
      <w:r w:rsidR="006307FC" w:rsidRPr="00E65865">
        <w:rPr>
          <w:rFonts w:ascii="Times New Roman" w:eastAsia="Calibri" w:hAnsi="Times New Roman"/>
        </w:rPr>
        <w:t xml:space="preserve"> muscle protein metabolism (and subsequently muscle growth)</w:t>
      </w:r>
      <w:r w:rsidR="000357C4" w:rsidRPr="00E65865">
        <w:rPr>
          <w:rFonts w:ascii="Times New Roman" w:eastAsia="Calibri" w:hAnsi="Times New Roman"/>
        </w:rPr>
        <w:t>,</w:t>
      </w:r>
      <w:r w:rsidR="006307FC" w:rsidRPr="00E65865">
        <w:rPr>
          <w:rFonts w:ascii="Times New Roman" w:eastAsia="Calibri" w:hAnsi="Times New Roman"/>
        </w:rPr>
        <w:t xml:space="preserve"> and androgenic properties</w:t>
      </w:r>
      <w:r w:rsidR="00D22E7F" w:rsidRPr="00E65865">
        <w:rPr>
          <w:rFonts w:ascii="Times New Roman" w:eastAsia="Calibri" w:hAnsi="Times New Roman"/>
        </w:rPr>
        <w:t>,</w:t>
      </w:r>
      <w:r w:rsidR="006307FC" w:rsidRPr="00E65865">
        <w:rPr>
          <w:rFonts w:ascii="Times New Roman" w:eastAsia="Calibri" w:hAnsi="Times New Roman"/>
        </w:rPr>
        <w:t xml:space="preserve"> promot</w:t>
      </w:r>
      <w:r w:rsidR="00D22E7F" w:rsidRPr="00E65865">
        <w:rPr>
          <w:rFonts w:ascii="Times New Roman" w:eastAsia="Calibri" w:hAnsi="Times New Roman"/>
        </w:rPr>
        <w:t>ing</w:t>
      </w:r>
      <w:r w:rsidR="006307FC" w:rsidRPr="00E65865">
        <w:rPr>
          <w:rFonts w:ascii="Times New Roman" w:eastAsia="Calibri" w:hAnsi="Times New Roman"/>
        </w:rPr>
        <w:t xml:space="preserve"> and regulat</w:t>
      </w:r>
      <w:r w:rsidR="00D22E7F" w:rsidRPr="00E65865">
        <w:rPr>
          <w:rFonts w:ascii="Times New Roman" w:eastAsia="Calibri" w:hAnsi="Times New Roman"/>
        </w:rPr>
        <w:t>ing</w:t>
      </w:r>
      <w:r w:rsidR="006307FC" w:rsidRPr="00E65865">
        <w:rPr>
          <w:rFonts w:ascii="Times New Roman" w:eastAsia="Calibri" w:hAnsi="Times New Roman"/>
        </w:rPr>
        <w:t xml:space="preserve"> the development of sexual characteristics. </w:t>
      </w:r>
      <w:r w:rsidR="00D22E7F" w:rsidRPr="00E65865">
        <w:rPr>
          <w:rFonts w:ascii="Times New Roman" w:eastAsia="Calibri" w:hAnsi="Times New Roman"/>
        </w:rPr>
        <w:t xml:space="preserve">Research </w:t>
      </w:r>
      <w:r w:rsidR="000357C4" w:rsidRPr="00E65865">
        <w:rPr>
          <w:rFonts w:ascii="Times New Roman" w:eastAsia="Calibri" w:hAnsi="Times New Roman"/>
        </w:rPr>
        <w:t xml:space="preserve">suggests </w:t>
      </w:r>
      <w:r w:rsidR="00D22E7F" w:rsidRPr="00E65865">
        <w:rPr>
          <w:rFonts w:ascii="Times New Roman" w:eastAsia="Calibri" w:hAnsi="Times New Roman"/>
        </w:rPr>
        <w:t>that m</w:t>
      </w:r>
      <w:r w:rsidR="00443646" w:rsidRPr="00E65865">
        <w:rPr>
          <w:rFonts w:ascii="Times New Roman" w:eastAsia="Calibri" w:hAnsi="Times New Roman"/>
        </w:rPr>
        <w:t>en who consume steroids commonly do so to help</w:t>
      </w:r>
      <w:r w:rsidR="007323D4" w:rsidRPr="00E65865">
        <w:rPr>
          <w:rFonts w:ascii="Times New Roman" w:eastAsia="Calibri" w:hAnsi="Times New Roman"/>
        </w:rPr>
        <w:t xml:space="preserve"> grow and repair muscle tissue and </w:t>
      </w:r>
      <w:r w:rsidR="00443646" w:rsidRPr="00E65865">
        <w:rPr>
          <w:rFonts w:ascii="Times New Roman" w:eastAsia="Calibri" w:hAnsi="Times New Roman"/>
        </w:rPr>
        <w:t>to</w:t>
      </w:r>
      <w:r w:rsidR="007323D4" w:rsidRPr="00E65865">
        <w:rPr>
          <w:rFonts w:ascii="Times New Roman" w:eastAsia="Calibri" w:hAnsi="Times New Roman"/>
        </w:rPr>
        <w:t xml:space="preserve"> improv</w:t>
      </w:r>
      <w:r w:rsidR="00443646" w:rsidRPr="00E65865">
        <w:rPr>
          <w:rFonts w:ascii="Times New Roman" w:eastAsia="Calibri" w:hAnsi="Times New Roman"/>
        </w:rPr>
        <w:t xml:space="preserve">e </w:t>
      </w:r>
      <w:r w:rsidR="007F7BBB" w:rsidRPr="00E65865">
        <w:rPr>
          <w:rFonts w:ascii="Times New Roman" w:eastAsia="Calibri" w:hAnsi="Times New Roman"/>
        </w:rPr>
        <w:t xml:space="preserve">various </w:t>
      </w:r>
      <w:r w:rsidR="00D22E7F" w:rsidRPr="00E65865">
        <w:rPr>
          <w:rFonts w:ascii="Times New Roman" w:eastAsia="Calibri" w:hAnsi="Times New Roman"/>
        </w:rPr>
        <w:t xml:space="preserve">forms of </w:t>
      </w:r>
      <w:r w:rsidR="007323D4" w:rsidRPr="00E65865">
        <w:rPr>
          <w:rFonts w:ascii="Times New Roman" w:eastAsia="Calibri" w:hAnsi="Times New Roman"/>
        </w:rPr>
        <w:t>physical performance</w:t>
      </w:r>
      <w:r w:rsidR="009F7047" w:rsidRPr="00E65865">
        <w:rPr>
          <w:rFonts w:ascii="Times New Roman" w:eastAsia="Calibri" w:hAnsi="Times New Roman"/>
        </w:rPr>
        <w:t xml:space="preserve"> (</w:t>
      </w:r>
      <w:proofErr w:type="spellStart"/>
      <w:r w:rsidR="009F7047" w:rsidRPr="00E65865">
        <w:rPr>
          <w:rFonts w:ascii="Times New Roman" w:eastAsia="Calibri" w:hAnsi="Times New Roman"/>
        </w:rPr>
        <w:t>Kimergård</w:t>
      </w:r>
      <w:proofErr w:type="spellEnd"/>
      <w:r w:rsidR="009F7047" w:rsidRPr="00E65865">
        <w:rPr>
          <w:rFonts w:ascii="Times New Roman" w:eastAsia="Calibri" w:hAnsi="Times New Roman"/>
        </w:rPr>
        <w:t xml:space="preserve">, 2015; Santos &amp; </w:t>
      </w:r>
      <w:proofErr w:type="spellStart"/>
      <w:r w:rsidR="009F7047" w:rsidRPr="00E65865">
        <w:rPr>
          <w:rFonts w:ascii="Times New Roman" w:eastAsia="Calibri" w:hAnsi="Times New Roman"/>
        </w:rPr>
        <w:t>Coomber</w:t>
      </w:r>
      <w:proofErr w:type="spellEnd"/>
      <w:r w:rsidR="009F7047" w:rsidRPr="00E65865">
        <w:rPr>
          <w:rFonts w:ascii="Times New Roman" w:eastAsia="Calibri" w:hAnsi="Times New Roman"/>
        </w:rPr>
        <w:t>, 2017)</w:t>
      </w:r>
      <w:r w:rsidR="007323D4" w:rsidRPr="00E65865">
        <w:rPr>
          <w:rFonts w:ascii="Times New Roman" w:eastAsia="Calibri" w:hAnsi="Times New Roman"/>
        </w:rPr>
        <w:t xml:space="preserve">. </w:t>
      </w:r>
    </w:p>
    <w:p w14:paraId="4338D8F8" w14:textId="2A1F204D" w:rsidR="00086A86" w:rsidRPr="00E65865" w:rsidRDefault="00861912" w:rsidP="00CA0BAD">
      <w:pPr>
        <w:pStyle w:val="Normal0"/>
        <w:ind w:left="0"/>
        <w:contextualSpacing w:val="0"/>
        <w:rPr>
          <w:rFonts w:ascii="Times New Roman" w:eastAsia="Calibri" w:hAnsi="Times New Roman"/>
        </w:rPr>
      </w:pPr>
      <w:r w:rsidRPr="00E65865">
        <w:rPr>
          <w:rFonts w:ascii="Times New Roman" w:eastAsia="Calibri" w:hAnsi="Times New Roman"/>
        </w:rPr>
        <w:t>Australian research on steroid and other PIED use is</w:t>
      </w:r>
      <w:r w:rsidR="00A36C29" w:rsidRPr="00E65865">
        <w:rPr>
          <w:rFonts w:ascii="Times New Roman" w:eastAsia="Calibri" w:hAnsi="Times New Roman"/>
        </w:rPr>
        <w:t xml:space="preserve"> scarce</w:t>
      </w:r>
      <w:r w:rsidR="00B4279D" w:rsidRPr="00E65865">
        <w:rPr>
          <w:rFonts w:ascii="Times New Roman" w:eastAsia="Calibri" w:hAnsi="Times New Roman"/>
        </w:rPr>
        <w:t xml:space="preserve"> </w:t>
      </w:r>
      <w:r w:rsidR="00A36C29" w:rsidRPr="00E65865">
        <w:rPr>
          <w:rFonts w:ascii="Times New Roman" w:eastAsia="Calibri" w:hAnsi="Times New Roman"/>
        </w:rPr>
        <w:t>but PIED consumers are known to be accessing needle and syringe exchange programs in greater numbers than</w:t>
      </w:r>
      <w:r w:rsidRPr="00E65865">
        <w:rPr>
          <w:rFonts w:ascii="Times New Roman" w:eastAsia="Calibri" w:hAnsi="Times New Roman"/>
        </w:rPr>
        <w:t xml:space="preserve"> in</w:t>
      </w:r>
      <w:r w:rsidR="00A36C29" w:rsidRPr="00E65865">
        <w:rPr>
          <w:rFonts w:ascii="Times New Roman" w:eastAsia="Calibri" w:hAnsi="Times New Roman"/>
        </w:rPr>
        <w:t xml:space="preserve"> the past (Iversen et al., 2013; </w:t>
      </w:r>
      <w:proofErr w:type="spellStart"/>
      <w:r w:rsidR="00A36C29" w:rsidRPr="00E65865">
        <w:rPr>
          <w:rFonts w:ascii="Times New Roman" w:eastAsia="Calibri" w:hAnsi="Times New Roman"/>
        </w:rPr>
        <w:t>Memedovic</w:t>
      </w:r>
      <w:proofErr w:type="spellEnd"/>
      <w:r w:rsidR="00A36C29" w:rsidRPr="00E65865">
        <w:rPr>
          <w:rFonts w:ascii="Times New Roman" w:eastAsia="Calibri" w:hAnsi="Times New Roman"/>
        </w:rPr>
        <w:t xml:space="preserve"> et al., 2017). </w:t>
      </w:r>
      <w:proofErr w:type="gramStart"/>
      <w:r w:rsidR="00965656" w:rsidRPr="00E65865">
        <w:rPr>
          <w:rFonts w:ascii="Times New Roman" w:eastAsia="Calibri" w:hAnsi="Times New Roman"/>
        </w:rPr>
        <w:t>T</w:t>
      </w:r>
      <w:r w:rsidR="00426DC9" w:rsidRPr="00E65865">
        <w:rPr>
          <w:rFonts w:ascii="Times New Roman" w:eastAsia="Calibri" w:hAnsi="Times New Roman"/>
        </w:rPr>
        <w:t>he vast majority of</w:t>
      </w:r>
      <w:proofErr w:type="gramEnd"/>
      <w:r w:rsidR="00426DC9" w:rsidRPr="00E65865">
        <w:rPr>
          <w:rFonts w:ascii="Times New Roman" w:eastAsia="Calibri" w:hAnsi="Times New Roman"/>
        </w:rPr>
        <w:t xml:space="preserve"> people who use PIEDs are </w:t>
      </w:r>
      <w:r w:rsidR="007A6016" w:rsidRPr="00E65865">
        <w:rPr>
          <w:rFonts w:ascii="Times New Roman" w:eastAsia="Calibri" w:hAnsi="Times New Roman"/>
        </w:rPr>
        <w:t xml:space="preserve">thought to be </w:t>
      </w:r>
      <w:r w:rsidR="00426DC9" w:rsidRPr="00E65865">
        <w:rPr>
          <w:rFonts w:ascii="Times New Roman" w:eastAsia="Calibri" w:hAnsi="Times New Roman"/>
        </w:rPr>
        <w:t>men</w:t>
      </w:r>
      <w:r w:rsidRPr="00E65865">
        <w:rPr>
          <w:rFonts w:ascii="Times New Roman" w:eastAsia="Calibri" w:hAnsi="Times New Roman"/>
        </w:rPr>
        <w:t xml:space="preserve">, </w:t>
      </w:r>
      <w:r w:rsidR="006639F6" w:rsidRPr="00E65865">
        <w:rPr>
          <w:rFonts w:ascii="Times New Roman" w:eastAsia="Calibri" w:hAnsi="Times New Roman"/>
        </w:rPr>
        <w:t xml:space="preserve">mostly </w:t>
      </w:r>
      <w:r w:rsidR="00A36C29" w:rsidRPr="00E65865">
        <w:rPr>
          <w:rFonts w:ascii="Times New Roman" w:eastAsia="Calibri" w:hAnsi="Times New Roman"/>
        </w:rPr>
        <w:t>heterosexual men a</w:t>
      </w:r>
      <w:r w:rsidR="00426DC9" w:rsidRPr="00E65865">
        <w:rPr>
          <w:rFonts w:ascii="Times New Roman" w:eastAsia="Calibri" w:hAnsi="Times New Roman"/>
        </w:rPr>
        <w:t>ged less than 25</w:t>
      </w:r>
      <w:r w:rsidRPr="00E65865">
        <w:rPr>
          <w:rFonts w:ascii="Times New Roman" w:eastAsia="Calibri" w:hAnsi="Times New Roman"/>
        </w:rPr>
        <w:t xml:space="preserve"> </w:t>
      </w:r>
      <w:r w:rsidR="006639F6" w:rsidRPr="00E65865">
        <w:rPr>
          <w:rFonts w:ascii="Times New Roman" w:eastAsia="Calibri" w:hAnsi="Times New Roman"/>
        </w:rPr>
        <w:t>years</w:t>
      </w:r>
      <w:r w:rsidR="00426DC9" w:rsidRPr="00E65865">
        <w:rPr>
          <w:rFonts w:ascii="Times New Roman" w:eastAsia="Calibri" w:hAnsi="Times New Roman"/>
        </w:rPr>
        <w:t xml:space="preserve"> (Iversen et al., 2013). </w:t>
      </w:r>
      <w:r w:rsidRPr="00E65865">
        <w:rPr>
          <w:rFonts w:ascii="Times New Roman" w:eastAsia="Calibri" w:hAnsi="Times New Roman"/>
        </w:rPr>
        <w:t>H</w:t>
      </w:r>
      <w:r w:rsidR="00250E4C" w:rsidRPr="00E65865">
        <w:rPr>
          <w:rFonts w:ascii="Times New Roman" w:eastAsia="Calibri" w:hAnsi="Times New Roman"/>
        </w:rPr>
        <w:t xml:space="preserve">arms and risks associated with </w:t>
      </w:r>
      <w:r w:rsidR="00E1002F" w:rsidRPr="00E65865">
        <w:rPr>
          <w:rFonts w:ascii="Times New Roman" w:eastAsia="Calibri" w:hAnsi="Times New Roman"/>
        </w:rPr>
        <w:t xml:space="preserve">steroid </w:t>
      </w:r>
      <w:r w:rsidR="00250E4C" w:rsidRPr="00E65865">
        <w:rPr>
          <w:rFonts w:ascii="Times New Roman" w:eastAsia="Calibri" w:hAnsi="Times New Roman"/>
        </w:rPr>
        <w:t>consumption</w:t>
      </w:r>
      <w:r w:rsidR="00D22E7F" w:rsidRPr="00E65865">
        <w:rPr>
          <w:rFonts w:ascii="Times New Roman" w:eastAsia="Calibri" w:hAnsi="Times New Roman"/>
        </w:rPr>
        <w:t xml:space="preserve"> cited</w:t>
      </w:r>
      <w:r w:rsidRPr="00E65865">
        <w:rPr>
          <w:rFonts w:ascii="Times New Roman" w:eastAsia="Calibri" w:hAnsi="Times New Roman"/>
        </w:rPr>
        <w:t xml:space="preserve"> in the literature</w:t>
      </w:r>
      <w:r w:rsidR="00E1002F" w:rsidRPr="00E65865">
        <w:rPr>
          <w:rFonts w:ascii="Times New Roman" w:eastAsia="Calibri" w:hAnsi="Times New Roman"/>
        </w:rPr>
        <w:t xml:space="preserve"> </w:t>
      </w:r>
      <w:r w:rsidR="00086A86" w:rsidRPr="00E65865">
        <w:rPr>
          <w:rFonts w:ascii="Times New Roman" w:eastAsia="Calibri" w:hAnsi="Times New Roman"/>
        </w:rPr>
        <w:t>range</w:t>
      </w:r>
      <w:r w:rsidR="00E1002F" w:rsidRPr="00E65865">
        <w:rPr>
          <w:rFonts w:ascii="Times New Roman" w:eastAsia="Calibri" w:hAnsi="Times New Roman"/>
        </w:rPr>
        <w:t xml:space="preserve"> from </w:t>
      </w:r>
      <w:r w:rsidR="0035155C" w:rsidRPr="00E65865">
        <w:rPr>
          <w:rFonts w:ascii="Times New Roman" w:eastAsia="Calibri" w:hAnsi="Times New Roman"/>
        </w:rPr>
        <w:t xml:space="preserve">minor </w:t>
      </w:r>
      <w:r w:rsidR="00E1002F" w:rsidRPr="00E65865">
        <w:rPr>
          <w:rFonts w:ascii="Times New Roman" w:eastAsia="Calibri" w:hAnsi="Times New Roman"/>
        </w:rPr>
        <w:t xml:space="preserve">short-term effects such as acne and fluid retention to serious long-term harms </w:t>
      </w:r>
      <w:r w:rsidR="0035155C" w:rsidRPr="00E65865">
        <w:rPr>
          <w:rFonts w:ascii="Times New Roman" w:eastAsia="Calibri" w:hAnsi="Times New Roman"/>
        </w:rPr>
        <w:t>such as increased blood pressure, suppression of gonadotropins, liver damage</w:t>
      </w:r>
      <w:r w:rsidR="003C5E8D" w:rsidRPr="00E65865">
        <w:rPr>
          <w:rFonts w:ascii="Times New Roman" w:eastAsia="Calibri" w:hAnsi="Times New Roman"/>
        </w:rPr>
        <w:t xml:space="preserve">, </w:t>
      </w:r>
      <w:r w:rsidR="0035155C" w:rsidRPr="00E65865">
        <w:rPr>
          <w:rFonts w:ascii="Times New Roman" w:eastAsia="Calibri" w:hAnsi="Times New Roman"/>
        </w:rPr>
        <w:t>cardiovascular disease</w:t>
      </w:r>
      <w:r w:rsidR="00250E4C" w:rsidRPr="00E65865">
        <w:rPr>
          <w:rFonts w:ascii="Times New Roman" w:eastAsia="Calibri" w:hAnsi="Times New Roman"/>
        </w:rPr>
        <w:t xml:space="preserve"> </w:t>
      </w:r>
      <w:r w:rsidR="003C5E8D" w:rsidRPr="00E65865">
        <w:rPr>
          <w:rFonts w:ascii="Times New Roman" w:eastAsia="Calibri" w:hAnsi="Times New Roman"/>
        </w:rPr>
        <w:t xml:space="preserve">and increased risk of blood-borne virus transmission </w:t>
      </w:r>
      <w:r w:rsidR="00250E4C" w:rsidRPr="00E65865">
        <w:rPr>
          <w:rFonts w:ascii="Times New Roman" w:eastAsia="Calibri" w:hAnsi="Times New Roman"/>
        </w:rPr>
        <w:t>(</w:t>
      </w:r>
      <w:proofErr w:type="spellStart"/>
      <w:r w:rsidR="00250E4C" w:rsidRPr="00E65865">
        <w:rPr>
          <w:rFonts w:ascii="Times New Roman" w:eastAsia="Calibri" w:hAnsi="Times New Roman"/>
        </w:rPr>
        <w:t>Kimergård</w:t>
      </w:r>
      <w:proofErr w:type="spellEnd"/>
      <w:r w:rsidR="00250E4C" w:rsidRPr="00E65865">
        <w:rPr>
          <w:rFonts w:ascii="Times New Roman" w:eastAsia="Calibri" w:hAnsi="Times New Roman"/>
        </w:rPr>
        <w:t xml:space="preserve"> &amp; McVeigh, 2017)</w:t>
      </w:r>
      <w:r w:rsidR="0035155C" w:rsidRPr="00E65865">
        <w:rPr>
          <w:rFonts w:ascii="Times New Roman" w:eastAsia="Calibri" w:hAnsi="Times New Roman"/>
        </w:rPr>
        <w:t xml:space="preserve">. </w:t>
      </w:r>
      <w:r w:rsidR="00086A86" w:rsidRPr="00E65865">
        <w:rPr>
          <w:rFonts w:ascii="Times New Roman" w:eastAsia="Calibri" w:hAnsi="Times New Roman"/>
        </w:rPr>
        <w:t>Despite these</w:t>
      </w:r>
      <w:r w:rsidR="00F007B8" w:rsidRPr="00E65865">
        <w:rPr>
          <w:rFonts w:ascii="Times New Roman" w:eastAsia="Calibri" w:hAnsi="Times New Roman"/>
        </w:rPr>
        <w:t xml:space="preserve"> </w:t>
      </w:r>
      <w:r w:rsidR="00BD7683" w:rsidRPr="00E65865">
        <w:rPr>
          <w:rFonts w:ascii="Times New Roman" w:eastAsia="Calibri" w:hAnsi="Times New Roman"/>
        </w:rPr>
        <w:t>risks</w:t>
      </w:r>
      <w:r w:rsidR="00086A86" w:rsidRPr="00E65865">
        <w:rPr>
          <w:rFonts w:ascii="Times New Roman" w:eastAsia="Calibri" w:hAnsi="Times New Roman"/>
        </w:rPr>
        <w:t xml:space="preserve">, </w:t>
      </w:r>
      <w:r w:rsidR="006639F6" w:rsidRPr="00E65865">
        <w:rPr>
          <w:rFonts w:ascii="Times New Roman" w:eastAsia="Calibri" w:hAnsi="Times New Roman"/>
        </w:rPr>
        <w:t xml:space="preserve">Australian </w:t>
      </w:r>
      <w:r w:rsidR="000223CF" w:rsidRPr="00E65865">
        <w:rPr>
          <w:rFonts w:ascii="Times New Roman" w:eastAsia="Calibri" w:hAnsi="Times New Roman"/>
        </w:rPr>
        <w:t xml:space="preserve">men </w:t>
      </w:r>
      <w:r w:rsidRPr="00E65865">
        <w:rPr>
          <w:rFonts w:ascii="Times New Roman" w:eastAsia="Calibri" w:hAnsi="Times New Roman"/>
        </w:rPr>
        <w:t>are thought to be</w:t>
      </w:r>
      <w:r w:rsidR="000223CF" w:rsidRPr="00E65865">
        <w:rPr>
          <w:rFonts w:ascii="Times New Roman" w:eastAsia="Calibri" w:hAnsi="Times New Roman"/>
        </w:rPr>
        <w:t xml:space="preserve"> </w:t>
      </w:r>
      <w:r w:rsidRPr="00E65865">
        <w:rPr>
          <w:rFonts w:ascii="Times New Roman" w:eastAsia="Calibri" w:hAnsi="Times New Roman"/>
        </w:rPr>
        <w:t xml:space="preserve">consuming </w:t>
      </w:r>
      <w:r w:rsidR="000223CF" w:rsidRPr="00E65865">
        <w:rPr>
          <w:rFonts w:ascii="Times New Roman" w:eastAsia="Calibri" w:hAnsi="Times New Roman"/>
        </w:rPr>
        <w:t>steroids</w:t>
      </w:r>
      <w:r w:rsidR="0035155C" w:rsidRPr="00E65865">
        <w:rPr>
          <w:rFonts w:ascii="Times New Roman" w:eastAsia="Calibri" w:hAnsi="Times New Roman"/>
        </w:rPr>
        <w:t xml:space="preserve"> in growing numbers</w:t>
      </w:r>
      <w:r w:rsidRPr="00E65865">
        <w:rPr>
          <w:rFonts w:ascii="Times New Roman" w:eastAsia="Calibri" w:hAnsi="Times New Roman"/>
        </w:rPr>
        <w:t>, raising pressing questions about</w:t>
      </w:r>
      <w:r w:rsidR="000223CF" w:rsidRPr="00E65865">
        <w:rPr>
          <w:rFonts w:ascii="Times New Roman" w:eastAsia="Calibri" w:hAnsi="Times New Roman"/>
        </w:rPr>
        <w:t xml:space="preserve"> the reasons</w:t>
      </w:r>
      <w:r w:rsidR="00146A96" w:rsidRPr="00E65865">
        <w:rPr>
          <w:rFonts w:ascii="Times New Roman" w:eastAsia="Calibri" w:hAnsi="Times New Roman"/>
        </w:rPr>
        <w:t xml:space="preserve"> for </w:t>
      </w:r>
      <w:r w:rsidRPr="00E65865">
        <w:rPr>
          <w:rFonts w:ascii="Times New Roman" w:eastAsia="Calibri" w:hAnsi="Times New Roman"/>
        </w:rPr>
        <w:t>doing so</w:t>
      </w:r>
      <w:r w:rsidR="000223CF" w:rsidRPr="00E65865">
        <w:rPr>
          <w:rFonts w:ascii="Times New Roman" w:eastAsia="Calibri" w:hAnsi="Times New Roman"/>
        </w:rPr>
        <w:t>.</w:t>
      </w:r>
      <w:r w:rsidR="00062428" w:rsidRPr="00E65865">
        <w:rPr>
          <w:rFonts w:ascii="Times New Roman" w:eastAsia="Calibri" w:hAnsi="Times New Roman"/>
        </w:rPr>
        <w:t xml:space="preserve"> </w:t>
      </w:r>
    </w:p>
    <w:p w14:paraId="77314813" w14:textId="5A602B77" w:rsidR="00866DBE" w:rsidRDefault="00866DBE" w:rsidP="00CA0BAD">
      <w:pPr>
        <w:pStyle w:val="Normal0"/>
        <w:ind w:left="0"/>
        <w:contextualSpacing w:val="0"/>
        <w:rPr>
          <w:rFonts w:ascii="Times New Roman" w:eastAsia="Calibri" w:hAnsi="Times New Roman"/>
        </w:rPr>
      </w:pPr>
    </w:p>
    <w:p w14:paraId="36706A52" w14:textId="11AB8975" w:rsidR="00E65865" w:rsidRDefault="00E65865" w:rsidP="00CA0BAD">
      <w:pPr>
        <w:pStyle w:val="Normal0"/>
        <w:ind w:left="0"/>
        <w:contextualSpacing w:val="0"/>
        <w:rPr>
          <w:rFonts w:ascii="Times New Roman" w:eastAsia="Calibri" w:hAnsi="Times New Roman"/>
        </w:rPr>
      </w:pPr>
    </w:p>
    <w:p w14:paraId="7CC513C9" w14:textId="77777777" w:rsidR="00E65865" w:rsidRPr="00E65865" w:rsidRDefault="00E65865" w:rsidP="00CA0BAD">
      <w:pPr>
        <w:pStyle w:val="Normal0"/>
        <w:ind w:left="0"/>
        <w:contextualSpacing w:val="0"/>
        <w:rPr>
          <w:rFonts w:ascii="Times New Roman" w:eastAsia="Calibri" w:hAnsi="Times New Roman"/>
        </w:rPr>
      </w:pPr>
    </w:p>
    <w:p w14:paraId="5C60497E" w14:textId="70AB8277" w:rsidR="00B74D82" w:rsidRPr="00E65865" w:rsidRDefault="00706FDE" w:rsidP="00842637">
      <w:pPr>
        <w:pStyle w:val="Heading2"/>
        <w:spacing w:line="360" w:lineRule="auto"/>
      </w:pPr>
      <w:r w:rsidRPr="00E65865">
        <w:t>Literature Review</w:t>
      </w:r>
    </w:p>
    <w:p w14:paraId="2BC136C0" w14:textId="5AD61563" w:rsidR="00861912" w:rsidRPr="00E65865" w:rsidRDefault="00842637" w:rsidP="00477459">
      <w:pPr>
        <w:spacing w:line="360" w:lineRule="auto"/>
      </w:pPr>
      <w:r w:rsidRPr="00E65865">
        <w:lastRenderedPageBreak/>
        <w:t xml:space="preserve">Why </w:t>
      </w:r>
      <w:r w:rsidR="00E95866" w:rsidRPr="00E65865">
        <w:t xml:space="preserve">do men consume </w:t>
      </w:r>
      <w:r w:rsidRPr="00E65865">
        <w:t xml:space="preserve">steroids and other PIEDs, with what effects, and under what social and political conditions? </w:t>
      </w:r>
      <w:r w:rsidRPr="00E65865">
        <w:rPr>
          <w:rFonts w:eastAsia="Calibri"/>
        </w:rPr>
        <w:t>Acco</w:t>
      </w:r>
      <w:r w:rsidR="00861912" w:rsidRPr="00E65865">
        <w:rPr>
          <w:rFonts w:eastAsia="Calibri"/>
        </w:rPr>
        <w:t>rding to the literature, steroid consumption is typically motivated by the desire to improve strength and athletic performance, the need to meet occupational requirements and</w:t>
      </w:r>
      <w:r w:rsidR="00E95866" w:rsidRPr="00E65865">
        <w:rPr>
          <w:rFonts w:eastAsia="Calibri"/>
        </w:rPr>
        <w:t>/or</w:t>
      </w:r>
      <w:r w:rsidR="00861912" w:rsidRPr="00E65865">
        <w:rPr>
          <w:rFonts w:eastAsia="Calibri"/>
        </w:rPr>
        <w:t xml:space="preserve"> the desire to </w:t>
      </w:r>
      <w:r w:rsidR="00E95866" w:rsidRPr="00E65865">
        <w:rPr>
          <w:rFonts w:eastAsia="Calibri"/>
        </w:rPr>
        <w:t xml:space="preserve">improve body </w:t>
      </w:r>
      <w:r w:rsidR="00861912" w:rsidRPr="00E65865">
        <w:rPr>
          <w:rFonts w:eastAsia="Calibri"/>
        </w:rPr>
        <w:t>image (</w:t>
      </w:r>
      <w:proofErr w:type="spellStart"/>
      <w:r w:rsidR="00861912" w:rsidRPr="00E65865">
        <w:rPr>
          <w:rFonts w:eastAsia="Calibri"/>
        </w:rPr>
        <w:t>Kimergård</w:t>
      </w:r>
      <w:proofErr w:type="spellEnd"/>
      <w:r w:rsidR="00861912" w:rsidRPr="00E65865">
        <w:rPr>
          <w:rFonts w:eastAsia="Calibri"/>
        </w:rPr>
        <w:t xml:space="preserve">, 2015; Santos &amp; </w:t>
      </w:r>
      <w:proofErr w:type="spellStart"/>
      <w:r w:rsidR="00861912" w:rsidRPr="00E65865">
        <w:rPr>
          <w:rFonts w:eastAsia="Calibri"/>
        </w:rPr>
        <w:t>Coomber</w:t>
      </w:r>
      <w:proofErr w:type="spellEnd"/>
      <w:r w:rsidR="00861912" w:rsidRPr="00E65865">
        <w:rPr>
          <w:rFonts w:eastAsia="Calibri"/>
        </w:rPr>
        <w:t>, 2017). However, the literature also suggests a wide range of benefits that exceed initial motivations for use, including improved mood, confidence, energy and sexual experiences (</w:t>
      </w:r>
      <w:r w:rsidR="003E2CFD" w:rsidRPr="00E65865">
        <w:rPr>
          <w:rFonts w:eastAsia="Calibri"/>
        </w:rPr>
        <w:t>Latham et al. 2019</w:t>
      </w:r>
      <w:r w:rsidR="00861912" w:rsidRPr="00E65865">
        <w:rPr>
          <w:rFonts w:eastAsia="Calibri"/>
        </w:rPr>
        <w:t>;</w:t>
      </w:r>
      <w:r w:rsidR="00455192" w:rsidRPr="00E65865">
        <w:rPr>
          <w:rFonts w:eastAsia="Calibri"/>
        </w:rPr>
        <w:t xml:space="preserve"> Monaghan, 2001, 2002;</w:t>
      </w:r>
      <w:r w:rsidR="00861912" w:rsidRPr="00E65865">
        <w:rPr>
          <w:rFonts w:eastAsia="Calibri"/>
        </w:rPr>
        <w:t xml:space="preserve"> Rowe, Berger &amp; Copeland, 2016; Underwood, 2017). These aspects of steroid use have received relatively little </w:t>
      </w:r>
      <w:r w:rsidR="00E95866" w:rsidRPr="00E65865">
        <w:rPr>
          <w:rFonts w:eastAsia="Calibri"/>
        </w:rPr>
        <w:t xml:space="preserve">research </w:t>
      </w:r>
      <w:r w:rsidR="00861912" w:rsidRPr="00E65865">
        <w:rPr>
          <w:rFonts w:eastAsia="Calibri"/>
        </w:rPr>
        <w:t>attention</w:t>
      </w:r>
      <w:r w:rsidR="00E95866" w:rsidRPr="00E65865">
        <w:rPr>
          <w:rFonts w:eastAsia="Calibri"/>
        </w:rPr>
        <w:t>;</w:t>
      </w:r>
      <w:r w:rsidR="00861912" w:rsidRPr="00E65865">
        <w:rPr>
          <w:rFonts w:eastAsia="Calibri"/>
        </w:rPr>
        <w:t xml:space="preserve"> more </w:t>
      </w:r>
      <w:r w:rsidR="00E95866" w:rsidRPr="00E65865">
        <w:rPr>
          <w:rFonts w:eastAsia="Calibri"/>
        </w:rPr>
        <w:t xml:space="preserve">work </w:t>
      </w:r>
      <w:r w:rsidR="00861912" w:rsidRPr="00E65865">
        <w:rPr>
          <w:rFonts w:eastAsia="Calibri"/>
        </w:rPr>
        <w:t xml:space="preserve">is needed to illuminate the social and cultural forces </w:t>
      </w:r>
      <w:r w:rsidR="00BD7683" w:rsidRPr="00E65865">
        <w:rPr>
          <w:rFonts w:eastAsia="Calibri"/>
        </w:rPr>
        <w:t xml:space="preserve">shaping </w:t>
      </w:r>
      <w:r w:rsidR="00861912" w:rsidRPr="00E65865">
        <w:rPr>
          <w:rFonts w:eastAsia="Calibri"/>
        </w:rPr>
        <w:t>and mediating use (Seear, Fraser, Moore &amp; Murphy, 2015).</w:t>
      </w:r>
    </w:p>
    <w:p w14:paraId="1F962C72" w14:textId="7F9A0936" w:rsidR="00B21816" w:rsidRPr="00E65865" w:rsidRDefault="0008746D" w:rsidP="008D302F">
      <w:pPr>
        <w:spacing w:line="360" w:lineRule="auto"/>
      </w:pPr>
      <w:r w:rsidRPr="00E65865">
        <w:t>As Keane</w:t>
      </w:r>
      <w:r w:rsidR="008F69E7" w:rsidRPr="00E65865">
        <w:t xml:space="preserve"> </w:t>
      </w:r>
      <w:r w:rsidR="009F7047" w:rsidRPr="00E65865">
        <w:t xml:space="preserve">(2005) </w:t>
      </w:r>
      <w:r w:rsidR="008F69E7" w:rsidRPr="00E65865">
        <w:t>observed</w:t>
      </w:r>
      <w:r w:rsidR="0085276E" w:rsidRPr="00E65865">
        <w:t xml:space="preserve"> over a decade ago, </w:t>
      </w:r>
      <w:r w:rsidR="00BD7683" w:rsidRPr="00E65865">
        <w:t xml:space="preserve">medical and psychological </w:t>
      </w:r>
      <w:r w:rsidR="00BE24B6" w:rsidRPr="00E65865">
        <w:t xml:space="preserve">research </w:t>
      </w:r>
      <w:r w:rsidR="008F69E7" w:rsidRPr="00E65865">
        <w:t>on steroid</w:t>
      </w:r>
      <w:r w:rsidR="003059DF" w:rsidRPr="00E65865">
        <w:t xml:space="preserve"> use</w:t>
      </w:r>
      <w:r w:rsidR="004E666F" w:rsidRPr="00E65865">
        <w:t xml:space="preserve"> </w:t>
      </w:r>
      <w:r w:rsidR="00E40616" w:rsidRPr="00E65865">
        <w:t xml:space="preserve">tends to </w:t>
      </w:r>
      <w:r w:rsidR="00A5622F" w:rsidRPr="00E65865">
        <w:t>posit</w:t>
      </w:r>
      <w:r w:rsidR="00E40616" w:rsidRPr="00E65865">
        <w:t xml:space="preserve"> </w:t>
      </w:r>
      <w:r w:rsidR="00817941" w:rsidRPr="00E65865">
        <w:t xml:space="preserve">a </w:t>
      </w:r>
      <w:r w:rsidR="0085276E" w:rsidRPr="00E65865">
        <w:t xml:space="preserve">pathological </w:t>
      </w:r>
      <w:r w:rsidR="00817941" w:rsidRPr="00E65865">
        <w:t xml:space="preserve">relationship between </w:t>
      </w:r>
      <w:r w:rsidR="00BE24B6" w:rsidRPr="00E65865">
        <w:t>consumption and masculinity</w:t>
      </w:r>
      <w:r w:rsidR="00FD4969" w:rsidRPr="00E65865">
        <w:t>. On the one hand, steroid use is approached as analogous to other forms of illicit drug use, and the steroid using-subject is cast as dangerous, excessively masculine and anti-social. On the other, steroid use is linked to body</w:t>
      </w:r>
      <w:r w:rsidR="00E95866" w:rsidRPr="00E65865">
        <w:t xml:space="preserve"> </w:t>
      </w:r>
      <w:r w:rsidR="00FD4969" w:rsidRPr="00E65865">
        <w:t xml:space="preserve">image disorder and depicted </w:t>
      </w:r>
      <w:r w:rsidR="000F48F0" w:rsidRPr="00E65865">
        <w:t xml:space="preserve">as </w:t>
      </w:r>
      <w:r w:rsidR="0085276E" w:rsidRPr="00E65865">
        <w:t xml:space="preserve">a ‘vivid example of contemporary masculinity in crisis’ </w:t>
      </w:r>
      <w:r w:rsidRPr="00E65865">
        <w:t>(</w:t>
      </w:r>
      <w:r w:rsidR="009F7047" w:rsidRPr="00E65865">
        <w:t xml:space="preserve">Keane, </w:t>
      </w:r>
      <w:r w:rsidRPr="00E65865">
        <w:t xml:space="preserve">2005, </w:t>
      </w:r>
      <w:r w:rsidR="0085276E" w:rsidRPr="00E65865">
        <w:t>p. 203).</w:t>
      </w:r>
      <w:r w:rsidR="00146A96" w:rsidRPr="00E65865">
        <w:t xml:space="preserve"> </w:t>
      </w:r>
      <w:r w:rsidR="0085276E" w:rsidRPr="00E65865">
        <w:t xml:space="preserve">Drawing on Keane’s analysis, </w:t>
      </w:r>
      <w:r w:rsidR="00ED62E7" w:rsidRPr="00E65865">
        <w:t>Moore, Hart, Fraser and Seear (2019</w:t>
      </w:r>
      <w:r w:rsidR="00817941" w:rsidRPr="00E65865">
        <w:t>)</w:t>
      </w:r>
      <w:r w:rsidR="00B74D82" w:rsidRPr="00E65865">
        <w:t xml:space="preserve"> </w:t>
      </w:r>
      <w:r w:rsidR="008F69E7" w:rsidRPr="00E65865">
        <w:t xml:space="preserve">recently </w:t>
      </w:r>
      <w:r w:rsidR="007854B7" w:rsidRPr="00E65865">
        <w:t>review</w:t>
      </w:r>
      <w:r w:rsidR="00E95866" w:rsidRPr="00E65865">
        <w:t>ed</w:t>
      </w:r>
      <w:r w:rsidR="007854B7" w:rsidRPr="00E65865">
        <w:t xml:space="preserve"> </w:t>
      </w:r>
      <w:r w:rsidR="008F69E7" w:rsidRPr="00E65865">
        <w:t xml:space="preserve">the constitution of </w:t>
      </w:r>
      <w:r w:rsidR="00FE2FB6" w:rsidRPr="00E65865">
        <w:t xml:space="preserve">masculinity </w:t>
      </w:r>
      <w:r w:rsidR="00B74D82" w:rsidRPr="00E65865">
        <w:t>in research on PIEDs</w:t>
      </w:r>
      <w:r w:rsidR="006A5FA1" w:rsidRPr="00E65865">
        <w:t xml:space="preserve"> published since 2005</w:t>
      </w:r>
      <w:r w:rsidR="007854B7" w:rsidRPr="00E65865">
        <w:t xml:space="preserve">. </w:t>
      </w:r>
      <w:r w:rsidR="008F69E7" w:rsidRPr="00E65865">
        <w:t>T</w:t>
      </w:r>
      <w:r w:rsidR="00CA0BAD" w:rsidRPr="00E65865">
        <w:t>h</w:t>
      </w:r>
      <w:r w:rsidR="007854B7" w:rsidRPr="00E65865">
        <w:t xml:space="preserve">ey argue that </w:t>
      </w:r>
      <w:r w:rsidR="006A5FA1" w:rsidRPr="00E65865">
        <w:t xml:space="preserve">much of this research continues to </w:t>
      </w:r>
      <w:proofErr w:type="spellStart"/>
      <w:r w:rsidR="006A5FA1" w:rsidRPr="00E65865">
        <w:t>pathologise</w:t>
      </w:r>
      <w:proofErr w:type="spellEnd"/>
      <w:r w:rsidR="006A5FA1" w:rsidRPr="00E65865">
        <w:t xml:space="preserve"> </w:t>
      </w:r>
      <w:r w:rsidR="007854B7" w:rsidRPr="00E65865">
        <w:t>men who use</w:t>
      </w:r>
      <w:r w:rsidR="00FE2FB6" w:rsidRPr="00E65865">
        <w:t xml:space="preserve"> PIEDs as ‘insecure, </w:t>
      </w:r>
      <w:r w:rsidR="00A44BE4" w:rsidRPr="00E65865">
        <w:t>inadequate</w:t>
      </w:r>
      <w:r w:rsidR="00FE2FB6" w:rsidRPr="00E65865">
        <w:t xml:space="preserve"> and vulnerable, </w:t>
      </w:r>
      <w:r w:rsidR="00A44BE4" w:rsidRPr="00E65865">
        <w:t>and as ma</w:t>
      </w:r>
      <w:r w:rsidR="00217F1D" w:rsidRPr="00E65865">
        <w:t>rked by compulsion and crisis’ (</w:t>
      </w:r>
      <w:r w:rsidR="006A5FA1" w:rsidRPr="00E65865">
        <w:t xml:space="preserve">2019, </w:t>
      </w:r>
      <w:r w:rsidR="00217F1D" w:rsidRPr="00E65865">
        <w:t xml:space="preserve">p. </w:t>
      </w:r>
      <w:r w:rsidR="00ED62E7" w:rsidRPr="00E65865">
        <w:t>15</w:t>
      </w:r>
      <w:r w:rsidR="00217F1D" w:rsidRPr="00E65865">
        <w:t>).</w:t>
      </w:r>
      <w:r w:rsidR="00817941" w:rsidRPr="00E65865">
        <w:t xml:space="preserve"> </w:t>
      </w:r>
      <w:r w:rsidR="006A5FA1" w:rsidRPr="00E65865">
        <w:t xml:space="preserve">Such analyses </w:t>
      </w:r>
      <w:r w:rsidR="008F69E7" w:rsidRPr="00E65865">
        <w:t xml:space="preserve">diminish </w:t>
      </w:r>
      <w:r w:rsidR="004D4649" w:rsidRPr="00E65865">
        <w:t xml:space="preserve">the agency of men who consume PIEDs </w:t>
      </w:r>
      <w:r w:rsidR="006A5FA1" w:rsidRPr="00E65865">
        <w:t xml:space="preserve">and </w:t>
      </w:r>
      <w:r w:rsidR="00EB7F26" w:rsidRPr="00E65865">
        <w:t xml:space="preserve">obscure </w:t>
      </w:r>
      <w:r w:rsidR="00B21816" w:rsidRPr="00E65865">
        <w:t xml:space="preserve">the </w:t>
      </w:r>
      <w:r w:rsidR="00674E80" w:rsidRPr="00E65865">
        <w:t>unique meanings</w:t>
      </w:r>
      <w:r w:rsidR="00B21816" w:rsidRPr="00E65865">
        <w:t xml:space="preserve"> </w:t>
      </w:r>
      <w:r w:rsidR="00674E80" w:rsidRPr="00E65865">
        <w:t>arising from</w:t>
      </w:r>
      <w:r w:rsidR="007854B7" w:rsidRPr="00E65865">
        <w:t xml:space="preserve"> PIED consumption</w:t>
      </w:r>
      <w:r w:rsidR="00674E80" w:rsidRPr="00E65865">
        <w:t xml:space="preserve"> as a practice </w:t>
      </w:r>
      <w:r w:rsidR="009D4E35" w:rsidRPr="00E65865">
        <w:t xml:space="preserve">of the </w:t>
      </w:r>
      <w:r w:rsidR="00EB7F26" w:rsidRPr="00E65865">
        <w:t>self in</w:t>
      </w:r>
      <w:r w:rsidR="000F48F0" w:rsidRPr="00E65865">
        <w:t xml:space="preserve"> the context of</w:t>
      </w:r>
      <w:r w:rsidR="004D4649" w:rsidRPr="00E65865">
        <w:t xml:space="preserve"> contemporary</w:t>
      </w:r>
      <w:r w:rsidR="00B21816" w:rsidRPr="00E65865">
        <w:t xml:space="preserve"> social and moral imperatives</w:t>
      </w:r>
      <w:r w:rsidR="008F69E7" w:rsidRPr="00E65865">
        <w:t xml:space="preserve"> of self-improvement</w:t>
      </w:r>
      <w:r w:rsidR="00B21816" w:rsidRPr="00E65865">
        <w:t xml:space="preserve"> (</w:t>
      </w:r>
      <w:r w:rsidR="003E2CFD" w:rsidRPr="00E65865">
        <w:t xml:space="preserve">Fomiatti </w:t>
      </w:r>
      <w:r w:rsidR="004D4649" w:rsidRPr="00E65865">
        <w:t xml:space="preserve">et al. </w:t>
      </w:r>
      <w:r w:rsidR="00F007B8" w:rsidRPr="00E65865">
        <w:t>u</w:t>
      </w:r>
      <w:r w:rsidR="004D4649" w:rsidRPr="00E65865">
        <w:t xml:space="preserve">nder review; </w:t>
      </w:r>
      <w:r w:rsidR="003E2CFD" w:rsidRPr="00E65865">
        <w:t>Latham et al. 2019</w:t>
      </w:r>
      <w:r w:rsidR="0035155C" w:rsidRPr="00E65865">
        <w:t>; Underwood, 2017</w:t>
      </w:r>
      <w:r w:rsidR="00B21816" w:rsidRPr="00E65865">
        <w:t xml:space="preserve">). </w:t>
      </w:r>
    </w:p>
    <w:p w14:paraId="29261451" w14:textId="387B8196" w:rsidR="008D3D8C" w:rsidRPr="00E65865" w:rsidRDefault="009D4E35" w:rsidP="00340AB3">
      <w:pPr>
        <w:spacing w:line="360" w:lineRule="auto"/>
      </w:pPr>
      <w:r w:rsidRPr="00E65865">
        <w:t>As observed</w:t>
      </w:r>
      <w:r w:rsidR="007854B7" w:rsidRPr="00E65865">
        <w:t xml:space="preserve"> by</w:t>
      </w:r>
      <w:r w:rsidR="00290046" w:rsidRPr="00E65865">
        <w:t xml:space="preserve"> Keane </w:t>
      </w:r>
      <w:r w:rsidRPr="00E65865">
        <w:t xml:space="preserve">(2005) </w:t>
      </w:r>
      <w:r w:rsidR="00290046" w:rsidRPr="00E65865">
        <w:t>and</w:t>
      </w:r>
      <w:r w:rsidR="007854B7" w:rsidRPr="00E65865">
        <w:t xml:space="preserve"> Moore et al.</w:t>
      </w:r>
      <w:r w:rsidR="00EB7F26" w:rsidRPr="00E65865">
        <w:t xml:space="preserve"> (2019)</w:t>
      </w:r>
      <w:r w:rsidR="007854B7" w:rsidRPr="00E65865">
        <w:t xml:space="preserve">, </w:t>
      </w:r>
      <w:r w:rsidR="000935B1" w:rsidRPr="00E65865">
        <w:t xml:space="preserve">few exceptions to this </w:t>
      </w:r>
      <w:proofErr w:type="spellStart"/>
      <w:r w:rsidR="00290046" w:rsidRPr="00E65865">
        <w:t>pathologising</w:t>
      </w:r>
      <w:proofErr w:type="spellEnd"/>
      <w:r w:rsidR="00290046" w:rsidRPr="00E65865">
        <w:t xml:space="preserve"> </w:t>
      </w:r>
      <w:r w:rsidR="000935B1" w:rsidRPr="00E65865">
        <w:t>approach</w:t>
      </w:r>
      <w:r w:rsidR="008F69E7" w:rsidRPr="00E65865">
        <w:t xml:space="preserve"> exist</w:t>
      </w:r>
      <w:r w:rsidR="000935B1" w:rsidRPr="00E65865">
        <w:t>. Monaghan’s (2001, 2002) ethnographic research on bodybuilding and steroids cautions against the excessive emphasis on risk practices and ‘diseased’ bodies.</w:t>
      </w:r>
      <w:r w:rsidR="004E666F" w:rsidRPr="00E65865">
        <w:t xml:space="preserve"> He suggests that bodybuilding and drug-taking need not be explained in terms of antecedent inadequacies caused by a ‘masculinity-in-crisis’</w:t>
      </w:r>
      <w:r w:rsidR="00E40616" w:rsidRPr="00E65865">
        <w:t xml:space="preserve"> (</w:t>
      </w:r>
      <w:r w:rsidR="009F7047" w:rsidRPr="00E65865">
        <w:t xml:space="preserve">Monaghan, </w:t>
      </w:r>
      <w:r w:rsidR="00455192" w:rsidRPr="00E65865">
        <w:t>2001,</w:t>
      </w:r>
      <w:r w:rsidR="00F6799A" w:rsidRPr="00E65865">
        <w:t xml:space="preserve"> </w:t>
      </w:r>
      <w:r w:rsidR="00670B57" w:rsidRPr="00E65865">
        <w:t>p. 334</w:t>
      </w:r>
      <w:r w:rsidR="00E40616" w:rsidRPr="00E65865">
        <w:t>)</w:t>
      </w:r>
      <w:r w:rsidR="004E666F" w:rsidRPr="00E65865">
        <w:t>.</w:t>
      </w:r>
      <w:r w:rsidR="000935B1" w:rsidRPr="00E65865">
        <w:t xml:space="preserve"> Moving away from a </w:t>
      </w:r>
      <w:proofErr w:type="spellStart"/>
      <w:r w:rsidR="000935B1" w:rsidRPr="00E65865">
        <w:t>binarised</w:t>
      </w:r>
      <w:proofErr w:type="spellEnd"/>
      <w:r w:rsidR="000935B1" w:rsidRPr="00E65865">
        <w:t xml:space="preserve"> depiction of health </w:t>
      </w:r>
      <w:r w:rsidR="00E40616" w:rsidRPr="00E65865">
        <w:t xml:space="preserve">or </w:t>
      </w:r>
      <w:r w:rsidR="000935B1" w:rsidRPr="00E65865">
        <w:t>enhancement, Monaghan explores the</w:t>
      </w:r>
      <w:r w:rsidR="00F007B8" w:rsidRPr="00E65865">
        <w:t xml:space="preserve"> ‘vibrant physicality’</w:t>
      </w:r>
      <w:r w:rsidR="008F69E7" w:rsidRPr="00E65865">
        <w:t xml:space="preserve"> –</w:t>
      </w:r>
      <w:r w:rsidR="00F007B8" w:rsidRPr="00E65865">
        <w:t xml:space="preserve"> the</w:t>
      </w:r>
      <w:r w:rsidR="000935B1" w:rsidRPr="00E65865">
        <w:t xml:space="preserve"> sensual </w:t>
      </w:r>
      <w:r w:rsidR="00306A58" w:rsidRPr="00E65865">
        <w:t>embodied pleasures</w:t>
      </w:r>
      <w:r w:rsidR="008F69E7" w:rsidRPr="00E65865">
        <w:t xml:space="preserve"> –</w:t>
      </w:r>
      <w:r w:rsidR="00F007B8" w:rsidRPr="00E65865">
        <w:t xml:space="preserve"> </w:t>
      </w:r>
      <w:r w:rsidR="00F83F3D" w:rsidRPr="00E65865">
        <w:t>forged</w:t>
      </w:r>
      <w:r w:rsidR="000935B1" w:rsidRPr="00E65865">
        <w:t xml:space="preserve"> through bodybuilding </w:t>
      </w:r>
      <w:r w:rsidR="000935B1" w:rsidRPr="00E65865">
        <w:rPr>
          <w:i/>
        </w:rPr>
        <w:t xml:space="preserve">and </w:t>
      </w:r>
      <w:r w:rsidR="000935B1" w:rsidRPr="00E65865">
        <w:t>drug-taking</w:t>
      </w:r>
      <w:r w:rsidR="00F83F3D" w:rsidRPr="00E65865">
        <w:t xml:space="preserve"> (</w:t>
      </w:r>
      <w:r w:rsidR="00455192" w:rsidRPr="00E65865">
        <w:t xml:space="preserve">2001, </w:t>
      </w:r>
      <w:r w:rsidR="00F83F3D" w:rsidRPr="00E65865">
        <w:t>p.</w:t>
      </w:r>
      <w:r w:rsidR="00E95866" w:rsidRPr="00E65865">
        <w:t> </w:t>
      </w:r>
      <w:r w:rsidR="00F83F3D" w:rsidRPr="00E65865">
        <w:t>331)</w:t>
      </w:r>
      <w:r w:rsidR="004563D8" w:rsidRPr="00E65865">
        <w:t xml:space="preserve">. </w:t>
      </w:r>
      <w:proofErr w:type="spellStart"/>
      <w:r w:rsidR="00561CD4" w:rsidRPr="00E65865">
        <w:t>Andreasson</w:t>
      </w:r>
      <w:proofErr w:type="spellEnd"/>
      <w:r w:rsidR="00561CD4" w:rsidRPr="00E65865">
        <w:t xml:space="preserve"> (2015) also employs an ethnographic approach</w:t>
      </w:r>
      <w:r w:rsidR="00F6799A" w:rsidRPr="00E65865">
        <w:t xml:space="preserve"> to </w:t>
      </w:r>
      <w:r w:rsidR="00674E80" w:rsidRPr="00E65865">
        <w:t>gym culture</w:t>
      </w:r>
      <w:r w:rsidR="008F69E7" w:rsidRPr="00E65865">
        <w:t xml:space="preserve">, </w:t>
      </w:r>
      <w:r w:rsidR="00674E80" w:rsidRPr="00E65865">
        <w:t>argu</w:t>
      </w:r>
      <w:r w:rsidR="00F6799A" w:rsidRPr="00E65865">
        <w:t>ing</w:t>
      </w:r>
      <w:r w:rsidR="00561CD4" w:rsidRPr="00E65865">
        <w:t xml:space="preserve"> that while PIED consumption may part</w:t>
      </w:r>
      <w:r w:rsidR="00E95866" w:rsidRPr="00E65865">
        <w:t>ly</w:t>
      </w:r>
      <w:r w:rsidR="00561CD4" w:rsidRPr="00E65865">
        <w:t xml:space="preserve"> reproduce traditional gender norms, it</w:t>
      </w:r>
      <w:r w:rsidR="00670B57" w:rsidRPr="00E65865">
        <w:t xml:space="preserve"> is </w:t>
      </w:r>
      <w:r w:rsidR="00670B57" w:rsidRPr="00E65865">
        <w:lastRenderedPageBreak/>
        <w:t>also implicated in the creation of more reflexive masculinities</w:t>
      </w:r>
      <w:r w:rsidR="00AC3A91" w:rsidRPr="00E65865">
        <w:t xml:space="preserve"> in which bodily aesthetics and the appreciation of masculine beauty are </w:t>
      </w:r>
      <w:r w:rsidR="00F6799A" w:rsidRPr="00E65865">
        <w:t>central</w:t>
      </w:r>
      <w:r w:rsidR="00AC3A91" w:rsidRPr="00E65865">
        <w:t xml:space="preserve">. </w:t>
      </w:r>
      <w:r w:rsidR="008F69E7" w:rsidRPr="00E65865">
        <w:t>Taking a similarly attentive approach to issues of agency,</w:t>
      </w:r>
      <w:r w:rsidR="00475E16" w:rsidRPr="00E65865">
        <w:t xml:space="preserve"> Underwood (2017</w:t>
      </w:r>
      <w:r w:rsidR="00561CD4" w:rsidRPr="00E65865">
        <w:t>)</w:t>
      </w:r>
      <w:r w:rsidR="008F69E7" w:rsidRPr="00E65865">
        <w:t xml:space="preserve"> draws on her research on online communities of recreational bodybuilders to</w:t>
      </w:r>
      <w:r w:rsidR="00561CD4" w:rsidRPr="00E65865">
        <w:t xml:space="preserve"> </w:t>
      </w:r>
      <w:r w:rsidR="00F4316F" w:rsidRPr="00E65865">
        <w:t xml:space="preserve">observe that </w:t>
      </w:r>
      <w:r w:rsidR="00395634" w:rsidRPr="00E65865">
        <w:t>men use</w:t>
      </w:r>
      <w:r w:rsidR="00475E16" w:rsidRPr="00E65865">
        <w:t xml:space="preserve"> PIEDs </w:t>
      </w:r>
      <w:r w:rsidR="00F4316F" w:rsidRPr="00E65865">
        <w:t xml:space="preserve">to </w:t>
      </w:r>
      <w:r w:rsidR="00395634" w:rsidRPr="00E65865">
        <w:t xml:space="preserve">improve their appearance and in turn </w:t>
      </w:r>
      <w:r w:rsidR="00F6799A" w:rsidRPr="00E65865">
        <w:t xml:space="preserve">to </w:t>
      </w:r>
      <w:r w:rsidR="00475E16" w:rsidRPr="00E65865">
        <w:t xml:space="preserve">alter perceived </w:t>
      </w:r>
      <w:r w:rsidR="00AC3A91" w:rsidRPr="00E65865">
        <w:t>unequal power relations with women</w:t>
      </w:r>
      <w:r w:rsidR="00475E16" w:rsidRPr="00E65865">
        <w:t xml:space="preserve">. Underwood and Olsen (2018) </w:t>
      </w:r>
      <w:r w:rsidR="00395634" w:rsidRPr="00E65865">
        <w:t xml:space="preserve">further </w:t>
      </w:r>
      <w:r w:rsidR="00475E16" w:rsidRPr="00E65865">
        <w:t>argue that these online spaces allow for connection and emotionality between men</w:t>
      </w:r>
      <w:r w:rsidR="00EB7F26" w:rsidRPr="00E65865">
        <w:t>. These</w:t>
      </w:r>
      <w:r w:rsidR="00674E80" w:rsidRPr="00E65865">
        <w:t xml:space="preserve"> studies </w:t>
      </w:r>
      <w:r w:rsidR="008F7946" w:rsidRPr="00E65865">
        <w:t>suggest</w:t>
      </w:r>
      <w:r w:rsidRPr="00E65865">
        <w:t xml:space="preserve"> that</w:t>
      </w:r>
      <w:r w:rsidR="00D017DE" w:rsidRPr="00E65865">
        <w:t xml:space="preserve"> PIED </w:t>
      </w:r>
      <w:r w:rsidR="00395634" w:rsidRPr="00E65865">
        <w:t xml:space="preserve">use, including steroid consumption, </w:t>
      </w:r>
      <w:r w:rsidR="00F4316F" w:rsidRPr="00E65865">
        <w:t>generates and transforms contemporary masculinities via</w:t>
      </w:r>
      <w:r w:rsidR="00D017DE" w:rsidRPr="00E65865">
        <w:t xml:space="preserve"> relation</w:t>
      </w:r>
      <w:r w:rsidR="00F4316F" w:rsidRPr="00E65865">
        <w:t>s</w:t>
      </w:r>
      <w:r w:rsidR="00D017DE" w:rsidRPr="00E65865">
        <w:t xml:space="preserve"> with new technologies, spaces, bodies, movements and cultural conceptions</w:t>
      </w:r>
      <w:r w:rsidR="00F4316F" w:rsidRPr="00E65865">
        <w:t>.</w:t>
      </w:r>
      <w:r w:rsidR="00D017DE" w:rsidRPr="00E65865">
        <w:t xml:space="preserve"> </w:t>
      </w:r>
      <w:r w:rsidR="00340AB3" w:rsidRPr="00E65865">
        <w:t>Their findings also suggest</w:t>
      </w:r>
      <w:r w:rsidR="00F4316F" w:rsidRPr="00E65865">
        <w:t xml:space="preserve"> that</w:t>
      </w:r>
      <w:r w:rsidR="00340AB3" w:rsidRPr="00E65865">
        <w:t xml:space="preserve"> </w:t>
      </w:r>
      <w:r w:rsidR="00D017DE" w:rsidRPr="00E65865">
        <w:t xml:space="preserve">more </w:t>
      </w:r>
      <w:r w:rsidR="008D3D8C" w:rsidRPr="00E65865">
        <w:t xml:space="preserve">traditional </w:t>
      </w:r>
      <w:r w:rsidR="00340AB3" w:rsidRPr="00E65865">
        <w:t>(</w:t>
      </w:r>
      <w:r w:rsidR="008D3D8C" w:rsidRPr="00E65865">
        <w:t>and</w:t>
      </w:r>
      <w:r w:rsidR="00D017DE" w:rsidRPr="00E65865">
        <w:t xml:space="preserve"> </w:t>
      </w:r>
      <w:r w:rsidR="00340AB3" w:rsidRPr="00E65865">
        <w:t xml:space="preserve">potentially </w:t>
      </w:r>
      <w:r w:rsidR="00D017DE" w:rsidRPr="00E65865">
        <w:t>harmful</w:t>
      </w:r>
      <w:r w:rsidR="00340AB3" w:rsidRPr="00E65865">
        <w:t>)</w:t>
      </w:r>
      <w:r w:rsidR="00D017DE" w:rsidRPr="00E65865">
        <w:t xml:space="preserve"> </w:t>
      </w:r>
      <w:r w:rsidR="00F571E8" w:rsidRPr="00E65865">
        <w:t>expressions and practices</w:t>
      </w:r>
      <w:r w:rsidR="00F4316F" w:rsidRPr="00E65865">
        <w:t xml:space="preserve"> of masculinity</w:t>
      </w:r>
      <w:r w:rsidR="00395634" w:rsidRPr="00E65865">
        <w:t xml:space="preserve"> are </w:t>
      </w:r>
      <w:r w:rsidR="00E95866" w:rsidRPr="00E65865">
        <w:t>some</w:t>
      </w:r>
      <w:r w:rsidR="00395634" w:rsidRPr="00E65865">
        <w:t>times preserved</w:t>
      </w:r>
      <w:r w:rsidR="00F571E8" w:rsidRPr="00E65865">
        <w:t>.</w:t>
      </w:r>
      <w:r w:rsidR="008D3D8C" w:rsidRPr="00E65865">
        <w:t xml:space="preserve"> In this article, we explore th</w:t>
      </w:r>
      <w:r w:rsidR="00F6799A" w:rsidRPr="00E65865">
        <w:t>is</w:t>
      </w:r>
      <w:r w:rsidR="008D3D8C" w:rsidRPr="00E65865">
        <w:t xml:space="preserve"> ambivalence further through study</w:t>
      </w:r>
      <w:r w:rsidR="00E95866" w:rsidRPr="00E65865">
        <w:t>ing</w:t>
      </w:r>
      <w:r w:rsidR="008D3D8C" w:rsidRPr="00E65865">
        <w:t xml:space="preserve"> how the social and political </w:t>
      </w:r>
      <w:r w:rsidR="00395634" w:rsidRPr="00E65865">
        <w:t xml:space="preserve">dimensions </w:t>
      </w:r>
      <w:r w:rsidR="008D3D8C" w:rsidRPr="00E65865">
        <w:t>of testos</w:t>
      </w:r>
      <w:r w:rsidR="00340AB3" w:rsidRPr="00E65865">
        <w:t>terone inform steroid injecting and contemporary masculinities.</w:t>
      </w:r>
    </w:p>
    <w:p w14:paraId="6F39A1B0" w14:textId="2B201505" w:rsidR="0085276E" w:rsidRPr="00E65865" w:rsidRDefault="00CC52BE" w:rsidP="008D302F">
      <w:pPr>
        <w:spacing w:line="360" w:lineRule="auto"/>
      </w:pPr>
      <w:r w:rsidRPr="00E65865">
        <w:t xml:space="preserve">As </w:t>
      </w:r>
      <w:r w:rsidR="00A5622F" w:rsidRPr="00E65865">
        <w:t>noted</w:t>
      </w:r>
      <w:r w:rsidRPr="00E65865">
        <w:t xml:space="preserve"> earlier, s</w:t>
      </w:r>
      <w:r w:rsidR="00395634" w:rsidRPr="00E65865">
        <w:t>ociological research on steroid use has paid little attention to the social and political dimensions of testosterone, tending to treat it as a self-evidently biological substance with predictable effects on the body and psyche.</w:t>
      </w:r>
      <w:r w:rsidR="00062428" w:rsidRPr="00E65865">
        <w:t xml:space="preserve"> </w:t>
      </w:r>
      <w:r w:rsidR="00F6799A" w:rsidRPr="00E65865">
        <w:t xml:space="preserve">In </w:t>
      </w:r>
      <w:r w:rsidR="00450E3A" w:rsidRPr="00E65865">
        <w:t>critiquing such research</w:t>
      </w:r>
      <w:r w:rsidR="00F6799A" w:rsidRPr="00E65865">
        <w:t xml:space="preserve">, </w:t>
      </w:r>
      <w:r w:rsidR="00CA0BAD" w:rsidRPr="00E65865">
        <w:t xml:space="preserve">Keane </w:t>
      </w:r>
      <w:r w:rsidR="0039054C" w:rsidRPr="00E65865">
        <w:t xml:space="preserve">(2005) </w:t>
      </w:r>
      <w:r w:rsidR="00395634" w:rsidRPr="00E65865">
        <w:t>argu</w:t>
      </w:r>
      <w:r w:rsidR="00F6799A" w:rsidRPr="00E65865">
        <w:t>es</w:t>
      </w:r>
      <w:r w:rsidR="00395634" w:rsidRPr="00E65865">
        <w:t xml:space="preserve"> that</w:t>
      </w:r>
      <w:r w:rsidR="003059DF" w:rsidRPr="00E65865">
        <w:t>:</w:t>
      </w:r>
      <w:r w:rsidR="0085276E" w:rsidRPr="00E65865">
        <w:t xml:space="preserve"> </w:t>
      </w:r>
    </w:p>
    <w:p w14:paraId="6466CE4C" w14:textId="0D969FA6" w:rsidR="000935B1" w:rsidRPr="00E65865" w:rsidRDefault="000935B1" w:rsidP="008D302F">
      <w:pPr>
        <w:spacing w:line="360" w:lineRule="auto"/>
        <w:ind w:left="720"/>
      </w:pPr>
      <w:r w:rsidRPr="00E65865">
        <w:t>The status of testosterone as the ‘male sex hormone’, a kind of concentrated essence of masculinity, enhances the transformative power attributed to steroids. In contrast, ‘female’ sex hormones have been successfully domesticated, medicalized and commercialized and are not imbued with s</w:t>
      </w:r>
      <w:r w:rsidR="00B63B75" w:rsidRPr="00E65865">
        <w:t>uch dangerous capacities</w:t>
      </w:r>
      <w:r w:rsidR="00F6799A" w:rsidRPr="00E65865">
        <w:t>.</w:t>
      </w:r>
      <w:r w:rsidR="00B63B75" w:rsidRPr="00E65865">
        <w:t xml:space="preserve"> (p. 191)</w:t>
      </w:r>
    </w:p>
    <w:p w14:paraId="3332254D" w14:textId="09CB4146" w:rsidR="00021988" w:rsidRPr="00E65865" w:rsidRDefault="0090119D" w:rsidP="00021988">
      <w:pPr>
        <w:spacing w:line="360" w:lineRule="auto"/>
      </w:pPr>
      <w:r w:rsidRPr="00E65865">
        <w:t>For Keane,</w:t>
      </w:r>
      <w:r w:rsidR="0039054C" w:rsidRPr="00E65865">
        <w:t xml:space="preserve"> testosterone is </w:t>
      </w:r>
      <w:r w:rsidR="00CC52BE" w:rsidRPr="00E65865">
        <w:t>a potent symbolic marker of masculinity</w:t>
      </w:r>
      <w:r w:rsidR="00A5622F" w:rsidRPr="00E65865">
        <w:t xml:space="preserve">, and </w:t>
      </w:r>
      <w:r w:rsidRPr="00E65865">
        <w:t xml:space="preserve">as such, likely </w:t>
      </w:r>
      <w:r w:rsidR="00C50FEC" w:rsidRPr="00E65865">
        <w:t xml:space="preserve">to </w:t>
      </w:r>
      <w:r w:rsidRPr="00E65865">
        <w:t xml:space="preserve">shape men’s </w:t>
      </w:r>
      <w:r w:rsidR="0039054C" w:rsidRPr="00E65865">
        <w:t>experience</w:t>
      </w:r>
      <w:r w:rsidR="00FD5F5D" w:rsidRPr="00E65865">
        <w:t>s</w:t>
      </w:r>
      <w:r w:rsidR="0039054C" w:rsidRPr="00E65865">
        <w:t xml:space="preserve"> of steroid use. </w:t>
      </w:r>
      <w:r w:rsidR="00516454" w:rsidRPr="00E65865">
        <w:t xml:space="preserve">Over a decade after Keane’s insightful observation, </w:t>
      </w:r>
      <w:r w:rsidR="00340AB3" w:rsidRPr="00E65865">
        <w:t xml:space="preserve">no further research </w:t>
      </w:r>
      <w:r w:rsidR="00A5622F" w:rsidRPr="00E65865">
        <w:t xml:space="preserve">has been conducted </w:t>
      </w:r>
      <w:r w:rsidR="00516454" w:rsidRPr="00E65865">
        <w:t xml:space="preserve">into how steroid injecting is </w:t>
      </w:r>
      <w:r w:rsidR="00CC52BE" w:rsidRPr="00E65865">
        <w:t>informed by</w:t>
      </w:r>
      <w:r w:rsidR="00B45BE6" w:rsidRPr="00E65865">
        <w:t xml:space="preserve"> </w:t>
      </w:r>
      <w:r w:rsidR="00842637" w:rsidRPr="00E65865">
        <w:t xml:space="preserve">social and political understandings of </w:t>
      </w:r>
      <w:r w:rsidR="00340AB3" w:rsidRPr="00E65865">
        <w:t>testosterone</w:t>
      </w:r>
      <w:r w:rsidR="00516454" w:rsidRPr="00E65865">
        <w:t xml:space="preserve">. </w:t>
      </w:r>
      <w:r w:rsidR="00021988" w:rsidRPr="00E65865">
        <w:t>However</w:t>
      </w:r>
      <w:r w:rsidR="009A6310" w:rsidRPr="00E65865">
        <w:t>, feminist</w:t>
      </w:r>
      <w:r w:rsidR="00B4789F" w:rsidRPr="00E65865">
        <w:t xml:space="preserve"> </w:t>
      </w:r>
      <w:r w:rsidR="00842637" w:rsidRPr="00E65865">
        <w:t xml:space="preserve">scholars (e.g., </w:t>
      </w:r>
      <w:proofErr w:type="spellStart"/>
      <w:r w:rsidR="00842637" w:rsidRPr="00E65865">
        <w:t>Oudshoorn</w:t>
      </w:r>
      <w:proofErr w:type="spellEnd"/>
      <w:r w:rsidR="00842637" w:rsidRPr="00E65865">
        <w:t>, 2003; Fausto-Sterling, 2000; Roberts, 2007)</w:t>
      </w:r>
      <w:r w:rsidR="009A6310" w:rsidRPr="00E65865">
        <w:t xml:space="preserve"> </w:t>
      </w:r>
      <w:r w:rsidR="001F3908" w:rsidRPr="00E65865">
        <w:t>have</w:t>
      </w:r>
      <w:r w:rsidR="00842637" w:rsidRPr="00E65865">
        <w:t xml:space="preserve"> expand</w:t>
      </w:r>
      <w:r w:rsidR="001F3908" w:rsidRPr="00E65865">
        <w:t>ed</w:t>
      </w:r>
      <w:r w:rsidR="00842637" w:rsidRPr="00E65865">
        <w:t xml:space="preserve"> our understanding of these issues. </w:t>
      </w:r>
      <w:r w:rsidR="00ED26F1" w:rsidRPr="00E65865">
        <w:t>Scientific research on the body has</w:t>
      </w:r>
      <w:r w:rsidR="004447F3" w:rsidRPr="00E65865">
        <w:t xml:space="preserve"> long been </w:t>
      </w:r>
      <w:r w:rsidR="00842637" w:rsidRPr="00E65865">
        <w:t xml:space="preserve">criticised </w:t>
      </w:r>
      <w:r w:rsidR="004447F3" w:rsidRPr="00E65865">
        <w:t>for its unquestion</w:t>
      </w:r>
      <w:r w:rsidR="00ED26F1" w:rsidRPr="00E65865">
        <w:t>ing</w:t>
      </w:r>
      <w:r w:rsidR="004447F3" w:rsidRPr="00E65865">
        <w:t xml:space="preserve"> reproduction of social norms and </w:t>
      </w:r>
      <w:r w:rsidR="00D664FC" w:rsidRPr="00E65865">
        <w:t xml:space="preserve">the </w:t>
      </w:r>
      <w:r w:rsidR="004447F3" w:rsidRPr="00E65865">
        <w:t xml:space="preserve">gendered cultural </w:t>
      </w:r>
      <w:r w:rsidR="00D664FC" w:rsidRPr="00E65865">
        <w:t xml:space="preserve">imaginary of </w:t>
      </w:r>
      <w:r w:rsidR="004447F3" w:rsidRPr="00E65865">
        <w:t xml:space="preserve">‘biological’ accounts </w:t>
      </w:r>
      <w:r w:rsidR="00ED26F1" w:rsidRPr="00E65865">
        <w:t xml:space="preserve">of sexual difference </w:t>
      </w:r>
      <w:r w:rsidR="004447F3" w:rsidRPr="00E65865">
        <w:t>(</w:t>
      </w:r>
      <w:r w:rsidR="00A90EDA" w:rsidRPr="00E65865">
        <w:t xml:space="preserve">Butler, </w:t>
      </w:r>
      <w:r w:rsidR="007365FA" w:rsidRPr="00E65865">
        <w:t>199</w:t>
      </w:r>
      <w:r w:rsidR="006D520B" w:rsidRPr="00E65865">
        <w:t>3</w:t>
      </w:r>
      <w:r w:rsidR="001F3908" w:rsidRPr="00E65865">
        <w:t>;</w:t>
      </w:r>
      <w:r w:rsidR="00A90EDA" w:rsidRPr="00E65865">
        <w:t xml:space="preserve"> Grosz, </w:t>
      </w:r>
      <w:r w:rsidR="00340AB3" w:rsidRPr="00E65865">
        <w:t>1994</w:t>
      </w:r>
      <w:r w:rsidR="00A90EDA" w:rsidRPr="00E65865">
        <w:t xml:space="preserve">; </w:t>
      </w:r>
      <w:r w:rsidR="004447F3" w:rsidRPr="00E65865">
        <w:t>Martin, 1991).</w:t>
      </w:r>
      <w:r w:rsidR="00D664FC" w:rsidRPr="00E65865">
        <w:t xml:space="preserve"> </w:t>
      </w:r>
      <w:r w:rsidR="009A6310" w:rsidRPr="00E65865">
        <w:t>Nearly two decades ago,</w:t>
      </w:r>
      <w:r w:rsidR="00B45BE6" w:rsidRPr="00E65865">
        <w:t xml:space="preserve"> </w:t>
      </w:r>
      <w:r w:rsidR="009A6310" w:rsidRPr="00E65865">
        <w:t>Fausto-Sterling argued</w:t>
      </w:r>
      <w:r w:rsidR="00F46159" w:rsidRPr="00E65865">
        <w:t xml:space="preserve"> </w:t>
      </w:r>
      <w:r w:rsidR="007D5287" w:rsidRPr="00E65865">
        <w:t>th</w:t>
      </w:r>
      <w:r w:rsidR="00507E45" w:rsidRPr="00E65865">
        <w:t>at th</w:t>
      </w:r>
      <w:r w:rsidR="007D5287" w:rsidRPr="00E65865">
        <w:t>e very naming of</w:t>
      </w:r>
      <w:r w:rsidR="009A6310" w:rsidRPr="00E65865">
        <w:t xml:space="preserve"> </w:t>
      </w:r>
      <w:r w:rsidR="007D5287" w:rsidRPr="00E65865">
        <w:t xml:space="preserve">steroid hormones as ‘sex hormones’ </w:t>
      </w:r>
      <w:r w:rsidR="00D664FC" w:rsidRPr="00E65865">
        <w:t xml:space="preserve">means that </w:t>
      </w:r>
      <w:r w:rsidR="007D5287" w:rsidRPr="00E65865">
        <w:t>scientists effectively ‘integrated the signs of gender’ into the body</w:t>
      </w:r>
      <w:r w:rsidR="00B005AA" w:rsidRPr="00E65865">
        <w:t xml:space="preserve"> (</w:t>
      </w:r>
      <w:r w:rsidR="00F46159" w:rsidRPr="00E65865">
        <w:t>2000, p. 148).</w:t>
      </w:r>
      <w:r w:rsidR="0029009C" w:rsidRPr="00E65865">
        <w:t xml:space="preserve"> </w:t>
      </w:r>
      <w:r w:rsidR="0007217F" w:rsidRPr="00E65865">
        <w:t xml:space="preserve">Questions about how the social and the body are </w:t>
      </w:r>
      <w:r w:rsidR="00580DDF" w:rsidRPr="00E65865">
        <w:t xml:space="preserve">mutually </w:t>
      </w:r>
      <w:r w:rsidR="0007217F" w:rsidRPr="00E65865">
        <w:t>implicated persist in</w:t>
      </w:r>
      <w:r w:rsidR="00146A96" w:rsidRPr="00E65865">
        <w:t xml:space="preserve"> more</w:t>
      </w:r>
      <w:r w:rsidR="0007217F" w:rsidRPr="00E65865">
        <w:t xml:space="preserve"> contemporary explorations of testosterone. </w:t>
      </w:r>
      <w:r w:rsidR="00F7443E" w:rsidRPr="00E65865">
        <w:t>Philosopher</w:t>
      </w:r>
      <w:r w:rsidR="0029009C" w:rsidRPr="00E65865">
        <w:t xml:space="preserve"> </w:t>
      </w:r>
      <w:r w:rsidR="00930431" w:rsidRPr="00E65865">
        <w:t xml:space="preserve">Paul B. </w:t>
      </w:r>
      <w:r w:rsidR="00723B32" w:rsidRPr="00E65865">
        <w:t>Preciado</w:t>
      </w:r>
      <w:r w:rsidR="00507E45" w:rsidRPr="00E65865">
        <w:t xml:space="preserve"> </w:t>
      </w:r>
      <w:r w:rsidR="0029009C" w:rsidRPr="00E65865">
        <w:t>(2013)</w:t>
      </w:r>
      <w:r w:rsidR="009E14C0" w:rsidRPr="00E65865">
        <w:t xml:space="preserve"> combines</w:t>
      </w:r>
      <w:r w:rsidR="00723B32" w:rsidRPr="00E65865">
        <w:t xml:space="preserve"> a diaristic </w:t>
      </w:r>
      <w:r w:rsidR="00723B32" w:rsidRPr="00E65865">
        <w:lastRenderedPageBreak/>
        <w:t xml:space="preserve">account of using testosterone </w:t>
      </w:r>
      <w:r w:rsidR="00A5622F" w:rsidRPr="00E65865">
        <w:t>with a</w:t>
      </w:r>
      <w:r w:rsidR="0029009C" w:rsidRPr="00E65865">
        <w:t xml:space="preserve"> </w:t>
      </w:r>
      <w:r w:rsidR="00723B32" w:rsidRPr="00E65865">
        <w:t>c</w:t>
      </w:r>
      <w:r w:rsidR="0029009C" w:rsidRPr="00E65865">
        <w:t>laim</w:t>
      </w:r>
      <w:r w:rsidR="00723B32" w:rsidRPr="00E65865">
        <w:t xml:space="preserve"> that we have entered a ‘</w:t>
      </w:r>
      <w:proofErr w:type="spellStart"/>
      <w:r w:rsidR="00723B32" w:rsidRPr="00E65865">
        <w:t>pharmacopornographic</w:t>
      </w:r>
      <w:proofErr w:type="spellEnd"/>
      <w:r w:rsidR="00723B32" w:rsidRPr="00E65865">
        <w:t>’ era in which hormonal classification and control are prominent</w:t>
      </w:r>
      <w:r w:rsidR="0007217F" w:rsidRPr="00E65865">
        <w:t xml:space="preserve"> technologies of the self</w:t>
      </w:r>
      <w:r w:rsidR="00723B32" w:rsidRPr="00E65865">
        <w:t xml:space="preserve">. He </w:t>
      </w:r>
      <w:r w:rsidR="001F3908" w:rsidRPr="00E65865">
        <w:t>argues that</w:t>
      </w:r>
      <w:r w:rsidR="001B798A" w:rsidRPr="00E65865">
        <w:t xml:space="preserve"> ‘</w:t>
      </w:r>
      <w:r w:rsidR="001F3908" w:rsidRPr="00E65865">
        <w:t>[h]</w:t>
      </w:r>
      <w:proofErr w:type="spellStart"/>
      <w:r w:rsidR="00723B32" w:rsidRPr="00E65865">
        <w:t>ormones</w:t>
      </w:r>
      <w:proofErr w:type="spellEnd"/>
      <w:r w:rsidR="00723B32" w:rsidRPr="00E65865">
        <w:t xml:space="preserve"> are bio-</w:t>
      </w:r>
      <w:proofErr w:type="spellStart"/>
      <w:r w:rsidR="00723B32" w:rsidRPr="00E65865">
        <w:t>artifacts</w:t>
      </w:r>
      <w:proofErr w:type="spellEnd"/>
      <w:r w:rsidR="00723B32" w:rsidRPr="00E65865">
        <w:t xml:space="preserve"> made of carbon chains, language, images, capital</w:t>
      </w:r>
      <w:r w:rsidR="002B0917" w:rsidRPr="00E65865">
        <w:t>,</w:t>
      </w:r>
      <w:r w:rsidR="00723B32" w:rsidRPr="00E65865">
        <w:t xml:space="preserve"> and collective desires’</w:t>
      </w:r>
      <w:r w:rsidR="001B798A" w:rsidRPr="00E65865">
        <w:t xml:space="preserve"> </w:t>
      </w:r>
      <w:r w:rsidR="002225FF" w:rsidRPr="00E65865">
        <w:t>(</w:t>
      </w:r>
      <w:r w:rsidR="002B0917" w:rsidRPr="00E65865">
        <w:t xml:space="preserve">2013, </w:t>
      </w:r>
      <w:r w:rsidR="002225FF" w:rsidRPr="00E65865">
        <w:t>p. 167</w:t>
      </w:r>
      <w:r w:rsidR="001B798A" w:rsidRPr="00E65865">
        <w:t>)</w:t>
      </w:r>
      <w:r w:rsidR="00723B32" w:rsidRPr="00E65865">
        <w:t xml:space="preserve">. </w:t>
      </w:r>
      <w:r w:rsidR="00723B78" w:rsidRPr="00E65865">
        <w:t>Although Preciado critiques the biological link</w:t>
      </w:r>
      <w:r w:rsidR="00580DDF" w:rsidRPr="00E65865">
        <w:t xml:space="preserve"> typically drawn</w:t>
      </w:r>
      <w:r w:rsidR="00723B78" w:rsidRPr="00E65865">
        <w:t xml:space="preserve"> between testosterone and masculinity, </w:t>
      </w:r>
      <w:r w:rsidR="00580DDF" w:rsidRPr="00E65865">
        <w:t>his</w:t>
      </w:r>
      <w:r w:rsidR="00723B78" w:rsidRPr="00E65865">
        <w:t xml:space="preserve"> memoir</w:t>
      </w:r>
      <w:r w:rsidR="00580DDF" w:rsidRPr="00E65865">
        <w:t xml:space="preserve"> nevertheless</w:t>
      </w:r>
      <w:r w:rsidR="00723B78" w:rsidRPr="00E65865">
        <w:t xml:space="preserve"> overflows with masculine bravado</w:t>
      </w:r>
      <w:r w:rsidR="00021988" w:rsidRPr="00E65865">
        <w:t>,</w:t>
      </w:r>
      <w:r w:rsidR="00723B78" w:rsidRPr="00E65865">
        <w:t xml:space="preserve"> largely affirming the connection between the two</w:t>
      </w:r>
      <w:r w:rsidR="00580DDF" w:rsidRPr="00E65865">
        <w:t xml:space="preserve"> (</w:t>
      </w:r>
      <w:proofErr w:type="spellStart"/>
      <w:r w:rsidR="00580DDF" w:rsidRPr="00E65865">
        <w:t>Karkazis</w:t>
      </w:r>
      <w:proofErr w:type="spellEnd"/>
      <w:r w:rsidR="00580DDF" w:rsidRPr="00E65865">
        <w:t>, 2018)</w:t>
      </w:r>
      <w:r w:rsidR="00723B78" w:rsidRPr="00E65865">
        <w:t>.</w:t>
      </w:r>
      <w:r w:rsidR="0029009C" w:rsidRPr="00E65865">
        <w:t xml:space="preserve"> </w:t>
      </w:r>
      <w:r w:rsidR="00580DDF" w:rsidRPr="00E65865">
        <w:t xml:space="preserve">As </w:t>
      </w:r>
      <w:proofErr w:type="spellStart"/>
      <w:r w:rsidR="00580DDF" w:rsidRPr="00E65865">
        <w:t>Karkazis</w:t>
      </w:r>
      <w:proofErr w:type="spellEnd"/>
      <w:r w:rsidR="0029009C" w:rsidRPr="00E65865">
        <w:t xml:space="preserve"> argues</w:t>
      </w:r>
      <w:r w:rsidR="00580DDF" w:rsidRPr="00E65865">
        <w:t xml:space="preserve">, ‘facts’ about </w:t>
      </w:r>
      <w:r w:rsidR="0029009C" w:rsidRPr="00E65865">
        <w:t>testosterone</w:t>
      </w:r>
      <w:r w:rsidR="0007217F" w:rsidRPr="00E65865">
        <w:t xml:space="preserve"> have</w:t>
      </w:r>
      <w:r w:rsidR="0029009C" w:rsidRPr="00E65865">
        <w:t xml:space="preserve"> a long history of being used by men ‘to reinforce the conventional ideals of masculinity that, in turn, enable men to maintain their privileged position in the gender hierarchy’ (</w:t>
      </w:r>
      <w:r w:rsidR="00FF67B3" w:rsidRPr="00E65865">
        <w:t xml:space="preserve">2018, </w:t>
      </w:r>
      <w:r w:rsidR="0029009C" w:rsidRPr="00E65865">
        <w:t>p. 12).</w:t>
      </w:r>
      <w:r w:rsidR="00021988" w:rsidRPr="00E65865">
        <w:t xml:space="preserve"> Cordelia Fine (2018) makes a</w:t>
      </w:r>
      <w:r w:rsidR="0029009C" w:rsidRPr="00E65865">
        <w:t xml:space="preserve"> similar point in </w:t>
      </w:r>
      <w:r w:rsidR="00723B78" w:rsidRPr="00E65865">
        <w:t xml:space="preserve">her recent book, </w:t>
      </w:r>
      <w:r w:rsidR="0080384C" w:rsidRPr="00E65865">
        <w:rPr>
          <w:i/>
        </w:rPr>
        <w:t>Testosterone Rex</w:t>
      </w:r>
      <w:r w:rsidR="0007217F" w:rsidRPr="00E65865">
        <w:t>. Tracking the deployment of testosterone</w:t>
      </w:r>
      <w:r w:rsidR="0029009C" w:rsidRPr="00E65865">
        <w:t xml:space="preserve"> across multiple social and scientific domains of practice, including evolutionary biology, neuroscience and social psychology, </w:t>
      </w:r>
      <w:r w:rsidR="0007217F" w:rsidRPr="00E65865">
        <w:t xml:space="preserve">she </w:t>
      </w:r>
      <w:r w:rsidR="0029009C" w:rsidRPr="00E65865">
        <w:t xml:space="preserve">critiques the </w:t>
      </w:r>
      <w:r w:rsidR="00F007B8" w:rsidRPr="00E65865">
        <w:t xml:space="preserve">social-scientific </w:t>
      </w:r>
      <w:r w:rsidR="0029009C" w:rsidRPr="00E65865">
        <w:t xml:space="preserve">image of testosterone as ‘the potent, hormonal essence of competitive, risk-taking masculinity’ (2018, p. 23). </w:t>
      </w:r>
      <w:r w:rsidR="0008190D" w:rsidRPr="00E65865">
        <w:t xml:space="preserve">She </w:t>
      </w:r>
      <w:r w:rsidR="0029009C" w:rsidRPr="00E65865">
        <w:t>argues that</w:t>
      </w:r>
      <w:r w:rsidR="0008190D" w:rsidRPr="00E65865">
        <w:t xml:space="preserve"> the</w:t>
      </w:r>
      <w:r w:rsidR="0029009C" w:rsidRPr="00E65865">
        <w:t xml:space="preserve"> myth that testosterone is wholly responsible for sexual behaviour and gendered difference prohibits</w:t>
      </w:r>
      <w:r w:rsidR="00507E45" w:rsidRPr="00E65865">
        <w:t xml:space="preserve"> </w:t>
      </w:r>
      <w:r w:rsidR="00FF67B3" w:rsidRPr="00E65865">
        <w:t>equality of opportunity</w:t>
      </w:r>
      <w:r w:rsidR="0029009C" w:rsidRPr="00E65865">
        <w:t xml:space="preserve"> and political investment in addressing enduring gendered inequality. </w:t>
      </w:r>
    </w:p>
    <w:p w14:paraId="772EECF9" w14:textId="5FCFD094" w:rsidR="00340AB3" w:rsidRPr="00E65865" w:rsidRDefault="002225FF" w:rsidP="00021988">
      <w:pPr>
        <w:spacing w:line="360" w:lineRule="auto"/>
      </w:pPr>
      <w:r w:rsidRPr="00E65865">
        <w:t xml:space="preserve">While these ideas </w:t>
      </w:r>
      <w:r w:rsidR="00C976E3" w:rsidRPr="00E65865">
        <w:t xml:space="preserve">about the political ramifications of sex hormones </w:t>
      </w:r>
      <w:r w:rsidRPr="00E65865">
        <w:t>are not new,</w:t>
      </w:r>
      <w:r w:rsidR="00C976E3" w:rsidRPr="00E65865">
        <w:t xml:space="preserve"> this recent resurgence of testosterone scholarship speaks to the continuing cultural interest in the basis of sex and gendered distinctions.</w:t>
      </w:r>
      <w:r w:rsidR="00C976E3" w:rsidRPr="00E65865" w:rsidDel="00C976E3">
        <w:t xml:space="preserve"> </w:t>
      </w:r>
      <w:r w:rsidR="00C976E3" w:rsidRPr="00E65865">
        <w:t>I</w:t>
      </w:r>
      <w:r w:rsidR="006D6159" w:rsidRPr="00E65865">
        <w:t xml:space="preserve">t is on this broad </w:t>
      </w:r>
      <w:r w:rsidR="008B07A3" w:rsidRPr="00E65865">
        <w:t xml:space="preserve">– and explicitly feminist – </w:t>
      </w:r>
      <w:r w:rsidR="006D6159" w:rsidRPr="00E65865">
        <w:t xml:space="preserve">social science scholarship that the analysis conducted here is built. </w:t>
      </w:r>
      <w:r w:rsidR="0007217F" w:rsidRPr="00E65865">
        <w:t xml:space="preserve">What might </w:t>
      </w:r>
      <w:proofErr w:type="gramStart"/>
      <w:r w:rsidR="00580DDF" w:rsidRPr="00E65865">
        <w:t>critiques</w:t>
      </w:r>
      <w:proofErr w:type="gramEnd"/>
      <w:r w:rsidR="0007217F" w:rsidRPr="00E65865">
        <w:t xml:space="preserve"> of testosterone as the ‘male sex hormone’ in the context of steroid injecting tell us about contemporary </w:t>
      </w:r>
      <w:r w:rsidR="00580DDF" w:rsidRPr="00E65865">
        <w:t>ideals</w:t>
      </w:r>
      <w:r w:rsidR="0007217F" w:rsidRPr="00E65865">
        <w:t xml:space="preserve"> of masculinity? </w:t>
      </w:r>
      <w:r w:rsidR="002B0917" w:rsidRPr="00E65865">
        <w:t>H</w:t>
      </w:r>
      <w:r w:rsidR="00A3149A" w:rsidRPr="00E65865">
        <w:t>ow</w:t>
      </w:r>
      <w:r w:rsidR="008C111A" w:rsidRPr="00E65865">
        <w:t xml:space="preserve"> </w:t>
      </w:r>
      <w:r w:rsidR="002B0917" w:rsidRPr="00E65865">
        <w:t xml:space="preserve">might </w:t>
      </w:r>
      <w:r w:rsidR="008C111A" w:rsidRPr="00E65865">
        <w:t>men’s</w:t>
      </w:r>
      <w:r w:rsidR="00580DDF" w:rsidRPr="00E65865">
        <w:t xml:space="preserve"> steroid</w:t>
      </w:r>
      <w:r w:rsidR="008C111A" w:rsidRPr="00E65865">
        <w:t xml:space="preserve"> consumption </w:t>
      </w:r>
      <w:r w:rsidR="002B0917" w:rsidRPr="00E65865">
        <w:t>be</w:t>
      </w:r>
      <w:r w:rsidR="00A3149A" w:rsidRPr="00E65865">
        <w:t xml:space="preserve"> mediated by understandings of testosterone</w:t>
      </w:r>
      <w:r w:rsidR="00580DDF" w:rsidRPr="00E65865">
        <w:t xml:space="preserve">, and how </w:t>
      </w:r>
      <w:r w:rsidR="002B0917" w:rsidRPr="00E65865">
        <w:t xml:space="preserve">might </w:t>
      </w:r>
      <w:r w:rsidR="00580DDF" w:rsidRPr="00E65865">
        <w:t>men’s steroid consumption be addressed and supported from health and social perspective</w:t>
      </w:r>
      <w:r w:rsidR="00021988" w:rsidRPr="00E65865">
        <w:t>s</w:t>
      </w:r>
      <w:r w:rsidR="00580DDF" w:rsidRPr="00E65865">
        <w:t>?</w:t>
      </w:r>
    </w:p>
    <w:p w14:paraId="05EE9D6C" w14:textId="77777777" w:rsidR="00FC3165" w:rsidRPr="00E65865" w:rsidRDefault="00FC3165" w:rsidP="00210AEF">
      <w:pPr>
        <w:spacing w:line="360" w:lineRule="auto"/>
      </w:pPr>
    </w:p>
    <w:p w14:paraId="3A75BBED" w14:textId="2C7EF9DA" w:rsidR="00516454" w:rsidRPr="00E65865" w:rsidRDefault="00706FDE" w:rsidP="00043597">
      <w:pPr>
        <w:pStyle w:val="Heading2"/>
        <w:spacing w:line="360" w:lineRule="auto"/>
      </w:pPr>
      <w:r w:rsidRPr="00E65865">
        <w:t>Approach</w:t>
      </w:r>
    </w:p>
    <w:p w14:paraId="01118F38" w14:textId="5593DA91" w:rsidR="00A9087D" w:rsidRPr="00E65865" w:rsidRDefault="0072519A" w:rsidP="00477459">
      <w:pPr>
        <w:pStyle w:val="Normal0"/>
        <w:ind w:left="0"/>
        <w:contextualSpacing w:val="0"/>
      </w:pPr>
      <w:r w:rsidRPr="00E65865">
        <w:rPr>
          <w:rFonts w:ascii="Times New Roman" w:hAnsi="Times New Roman"/>
        </w:rPr>
        <w:t>In conducting our analysis</w:t>
      </w:r>
      <w:r w:rsidR="00286528" w:rsidRPr="00E65865">
        <w:rPr>
          <w:rFonts w:ascii="Times New Roman" w:hAnsi="Times New Roman"/>
        </w:rPr>
        <w:t>,</w:t>
      </w:r>
      <w:r w:rsidRPr="00E65865">
        <w:rPr>
          <w:rFonts w:ascii="Times New Roman" w:hAnsi="Times New Roman"/>
        </w:rPr>
        <w:t xml:space="preserve"> we </w:t>
      </w:r>
      <w:r w:rsidR="006171D9" w:rsidRPr="00E65865">
        <w:rPr>
          <w:rFonts w:ascii="Times New Roman" w:hAnsi="Times New Roman"/>
        </w:rPr>
        <w:t xml:space="preserve">draw on </w:t>
      </w:r>
      <w:r w:rsidR="002B0917" w:rsidRPr="00E65865">
        <w:rPr>
          <w:rFonts w:ascii="Times New Roman" w:hAnsi="Times New Roman"/>
        </w:rPr>
        <w:t xml:space="preserve">the work of </w:t>
      </w:r>
      <w:r w:rsidR="00DB72F0" w:rsidRPr="00E65865">
        <w:rPr>
          <w:rFonts w:ascii="Times New Roman" w:hAnsi="Times New Roman"/>
        </w:rPr>
        <w:t xml:space="preserve">feminist science and technology scholar </w:t>
      </w:r>
      <w:r w:rsidR="006171D9" w:rsidRPr="00E65865">
        <w:rPr>
          <w:rFonts w:ascii="Times New Roman" w:hAnsi="Times New Roman"/>
        </w:rPr>
        <w:t>Celia Robert</w:t>
      </w:r>
      <w:r w:rsidR="00580DDF" w:rsidRPr="00E65865">
        <w:rPr>
          <w:rFonts w:ascii="Times New Roman" w:hAnsi="Times New Roman"/>
        </w:rPr>
        <w:t>s</w:t>
      </w:r>
      <w:r w:rsidR="006171D9" w:rsidRPr="00E65865">
        <w:rPr>
          <w:rFonts w:ascii="Times New Roman" w:hAnsi="Times New Roman"/>
        </w:rPr>
        <w:t xml:space="preserve"> (2007) on</w:t>
      </w:r>
      <w:r w:rsidR="00DB72F0" w:rsidRPr="00E65865">
        <w:rPr>
          <w:rFonts w:ascii="Times New Roman" w:hAnsi="Times New Roman"/>
        </w:rPr>
        <w:t xml:space="preserve"> gender,</w:t>
      </w:r>
      <w:r w:rsidR="006171D9" w:rsidRPr="00E65865">
        <w:rPr>
          <w:rFonts w:ascii="Times New Roman" w:hAnsi="Times New Roman"/>
        </w:rPr>
        <w:t xml:space="preserve"> biomedicine and hormones. Like Fausto-Ster</w:t>
      </w:r>
      <w:r w:rsidR="00750CC4" w:rsidRPr="00E65865">
        <w:rPr>
          <w:rFonts w:ascii="Times New Roman" w:hAnsi="Times New Roman"/>
        </w:rPr>
        <w:t>l</w:t>
      </w:r>
      <w:r w:rsidR="006171D9" w:rsidRPr="00E65865">
        <w:rPr>
          <w:rFonts w:ascii="Times New Roman" w:hAnsi="Times New Roman"/>
        </w:rPr>
        <w:t>ing</w:t>
      </w:r>
      <w:r w:rsidR="00DB72F0" w:rsidRPr="00E65865">
        <w:rPr>
          <w:rFonts w:ascii="Times New Roman" w:hAnsi="Times New Roman"/>
        </w:rPr>
        <w:t xml:space="preserve">, Roberts is interested in </w:t>
      </w:r>
      <w:r w:rsidR="00580DDF" w:rsidRPr="00E65865">
        <w:rPr>
          <w:rFonts w:ascii="Times New Roman" w:hAnsi="Times New Roman"/>
        </w:rPr>
        <w:t>the social constitution of the</w:t>
      </w:r>
      <w:r w:rsidR="003D0A03" w:rsidRPr="00E65865">
        <w:rPr>
          <w:rFonts w:ascii="Times New Roman" w:hAnsi="Times New Roman"/>
        </w:rPr>
        <w:t xml:space="preserve"> materiality of the body</w:t>
      </w:r>
      <w:r w:rsidR="00335332" w:rsidRPr="00E65865">
        <w:rPr>
          <w:rFonts w:ascii="Times New Roman" w:hAnsi="Times New Roman"/>
        </w:rPr>
        <w:t>.</w:t>
      </w:r>
      <w:r w:rsidR="00DB72F0" w:rsidRPr="00E65865">
        <w:rPr>
          <w:rFonts w:ascii="Times New Roman" w:hAnsi="Times New Roman"/>
        </w:rPr>
        <w:t xml:space="preserve"> </w:t>
      </w:r>
      <w:r w:rsidR="00B06096" w:rsidRPr="00E65865">
        <w:rPr>
          <w:rFonts w:ascii="Times New Roman" w:hAnsi="Times New Roman"/>
        </w:rPr>
        <w:t xml:space="preserve">Specifically, she </w:t>
      </w:r>
      <w:r w:rsidR="000E5467" w:rsidRPr="00E65865">
        <w:rPr>
          <w:rFonts w:ascii="Times New Roman" w:hAnsi="Times New Roman"/>
        </w:rPr>
        <w:t xml:space="preserve">explores the ways </w:t>
      </w:r>
      <w:r w:rsidR="002B0917" w:rsidRPr="00E65865">
        <w:rPr>
          <w:rFonts w:ascii="Times New Roman" w:hAnsi="Times New Roman"/>
        </w:rPr>
        <w:t xml:space="preserve">in which </w:t>
      </w:r>
      <w:r w:rsidR="000E5467" w:rsidRPr="00E65865">
        <w:rPr>
          <w:rFonts w:ascii="Times New Roman" w:hAnsi="Times New Roman"/>
        </w:rPr>
        <w:t>the</w:t>
      </w:r>
      <w:r w:rsidR="00335332" w:rsidRPr="00E65865">
        <w:rPr>
          <w:rFonts w:ascii="Times New Roman" w:hAnsi="Times New Roman"/>
        </w:rPr>
        <w:t xml:space="preserve"> material and the social </w:t>
      </w:r>
      <w:r w:rsidR="00580DDF" w:rsidRPr="00E65865">
        <w:rPr>
          <w:rFonts w:ascii="Times New Roman" w:hAnsi="Times New Roman"/>
        </w:rPr>
        <w:t xml:space="preserve">are mutually </w:t>
      </w:r>
      <w:r w:rsidR="00750CC4" w:rsidRPr="00E65865">
        <w:rPr>
          <w:rFonts w:ascii="Times New Roman" w:hAnsi="Times New Roman"/>
        </w:rPr>
        <w:t>implicated</w:t>
      </w:r>
      <w:r w:rsidR="00335332" w:rsidRPr="00E65865">
        <w:rPr>
          <w:rFonts w:ascii="Times New Roman" w:hAnsi="Times New Roman"/>
        </w:rPr>
        <w:t xml:space="preserve"> in the production of </w:t>
      </w:r>
      <w:r w:rsidR="00B06096" w:rsidRPr="00E65865">
        <w:rPr>
          <w:rFonts w:ascii="Times New Roman" w:hAnsi="Times New Roman"/>
        </w:rPr>
        <w:t xml:space="preserve">sex, gender, </w:t>
      </w:r>
      <w:r w:rsidR="00335332" w:rsidRPr="00E65865">
        <w:rPr>
          <w:rFonts w:ascii="Times New Roman" w:hAnsi="Times New Roman"/>
        </w:rPr>
        <w:t xml:space="preserve">sexual difference and contemporary </w:t>
      </w:r>
      <w:r w:rsidR="000E5467" w:rsidRPr="00E65865">
        <w:rPr>
          <w:rFonts w:ascii="Times New Roman" w:hAnsi="Times New Roman"/>
        </w:rPr>
        <w:t xml:space="preserve">modes of embodiment. </w:t>
      </w:r>
      <w:r w:rsidR="00B52082" w:rsidRPr="00E65865">
        <w:rPr>
          <w:rFonts w:ascii="Times New Roman" w:hAnsi="Times New Roman"/>
        </w:rPr>
        <w:t xml:space="preserve">Drawing on </w:t>
      </w:r>
      <w:r w:rsidR="000E5467" w:rsidRPr="00E65865">
        <w:rPr>
          <w:rFonts w:ascii="Times New Roman" w:hAnsi="Times New Roman"/>
        </w:rPr>
        <w:t xml:space="preserve">the </w:t>
      </w:r>
      <w:r w:rsidR="000E5467" w:rsidRPr="00E65865">
        <w:rPr>
          <w:rFonts w:ascii="Times New Roman" w:hAnsi="Times New Roman"/>
        </w:rPr>
        <w:lastRenderedPageBreak/>
        <w:t>work of</w:t>
      </w:r>
      <w:r w:rsidR="00B52082" w:rsidRPr="00E65865">
        <w:rPr>
          <w:rFonts w:ascii="Times New Roman" w:hAnsi="Times New Roman"/>
        </w:rPr>
        <w:t xml:space="preserve"> </w:t>
      </w:r>
      <w:r w:rsidR="000E5467" w:rsidRPr="00E65865">
        <w:rPr>
          <w:rFonts w:ascii="Times New Roman" w:hAnsi="Times New Roman"/>
        </w:rPr>
        <w:t xml:space="preserve">feminist </w:t>
      </w:r>
      <w:r w:rsidR="00B52082" w:rsidRPr="00E65865">
        <w:rPr>
          <w:rFonts w:ascii="Times New Roman" w:hAnsi="Times New Roman"/>
        </w:rPr>
        <w:t>philosopher Donna</w:t>
      </w:r>
      <w:r w:rsidR="00B06096" w:rsidRPr="00E65865">
        <w:rPr>
          <w:rFonts w:ascii="Times New Roman" w:hAnsi="Times New Roman"/>
        </w:rPr>
        <w:t xml:space="preserve"> Ha</w:t>
      </w:r>
      <w:r w:rsidR="00B52082" w:rsidRPr="00E65865">
        <w:rPr>
          <w:rFonts w:ascii="Times New Roman" w:hAnsi="Times New Roman"/>
        </w:rPr>
        <w:t xml:space="preserve">raway, Roberts </w:t>
      </w:r>
      <w:r w:rsidR="00B06096" w:rsidRPr="00E65865">
        <w:rPr>
          <w:rFonts w:ascii="Times New Roman" w:hAnsi="Times New Roman"/>
        </w:rPr>
        <w:t>propose</w:t>
      </w:r>
      <w:r w:rsidR="00B52082" w:rsidRPr="00E65865">
        <w:rPr>
          <w:rFonts w:ascii="Times New Roman" w:hAnsi="Times New Roman"/>
        </w:rPr>
        <w:t>s</w:t>
      </w:r>
      <w:r w:rsidR="00B06096" w:rsidRPr="00E65865">
        <w:rPr>
          <w:rFonts w:ascii="Times New Roman" w:hAnsi="Times New Roman"/>
        </w:rPr>
        <w:t xml:space="preserve"> a ‘refigured view of hormones’</w:t>
      </w:r>
      <w:r w:rsidR="007B23B0" w:rsidRPr="00E65865">
        <w:rPr>
          <w:rFonts w:ascii="Times New Roman" w:hAnsi="Times New Roman"/>
        </w:rPr>
        <w:t xml:space="preserve"> in which hormones </w:t>
      </w:r>
      <w:r w:rsidR="000E5467" w:rsidRPr="00E65865">
        <w:rPr>
          <w:rFonts w:ascii="Times New Roman" w:hAnsi="Times New Roman"/>
        </w:rPr>
        <w:t>are neither the sole effects of</w:t>
      </w:r>
      <w:r w:rsidR="00B52082" w:rsidRPr="00E65865">
        <w:rPr>
          <w:rFonts w:ascii="Times New Roman" w:hAnsi="Times New Roman"/>
        </w:rPr>
        <w:t xml:space="preserve"> biology</w:t>
      </w:r>
      <w:r w:rsidR="000E5467" w:rsidRPr="00E65865">
        <w:rPr>
          <w:rFonts w:ascii="Times New Roman" w:hAnsi="Times New Roman"/>
        </w:rPr>
        <w:t xml:space="preserve"> or of</w:t>
      </w:r>
      <w:r w:rsidR="00B52082" w:rsidRPr="00E65865">
        <w:rPr>
          <w:rFonts w:ascii="Times New Roman" w:hAnsi="Times New Roman"/>
        </w:rPr>
        <w:t xml:space="preserve"> cultural </w:t>
      </w:r>
      <w:proofErr w:type="gramStart"/>
      <w:r w:rsidR="00B52082" w:rsidRPr="00E65865">
        <w:rPr>
          <w:rFonts w:ascii="Times New Roman" w:hAnsi="Times New Roman"/>
        </w:rPr>
        <w:t xml:space="preserve">discourse, </w:t>
      </w:r>
      <w:r w:rsidR="00B06096" w:rsidRPr="00E65865">
        <w:rPr>
          <w:rFonts w:ascii="Times New Roman" w:hAnsi="Times New Roman"/>
        </w:rPr>
        <w:t>but</w:t>
      </w:r>
      <w:proofErr w:type="gramEnd"/>
      <w:r w:rsidR="00B06096" w:rsidRPr="00E65865">
        <w:rPr>
          <w:rFonts w:ascii="Times New Roman" w:hAnsi="Times New Roman"/>
        </w:rPr>
        <w:t xml:space="preserve"> </w:t>
      </w:r>
      <w:r w:rsidR="009B219A" w:rsidRPr="00E65865">
        <w:rPr>
          <w:rFonts w:ascii="Times New Roman" w:hAnsi="Times New Roman"/>
        </w:rPr>
        <w:t xml:space="preserve">are </w:t>
      </w:r>
      <w:r w:rsidR="00B06096" w:rsidRPr="00E65865">
        <w:rPr>
          <w:rFonts w:ascii="Times New Roman" w:hAnsi="Times New Roman"/>
        </w:rPr>
        <w:t>bio-social</w:t>
      </w:r>
      <w:r w:rsidR="00B52082" w:rsidRPr="00E65865">
        <w:rPr>
          <w:rFonts w:ascii="Times New Roman" w:hAnsi="Times New Roman"/>
        </w:rPr>
        <w:t xml:space="preserve"> actors</w:t>
      </w:r>
      <w:r w:rsidR="009B219A" w:rsidRPr="00E65865">
        <w:rPr>
          <w:rFonts w:ascii="Times New Roman" w:hAnsi="Times New Roman"/>
        </w:rPr>
        <w:t xml:space="preserve"> </w:t>
      </w:r>
      <w:r w:rsidR="00B52082" w:rsidRPr="00E65865">
        <w:rPr>
          <w:rFonts w:ascii="Times New Roman" w:hAnsi="Times New Roman"/>
        </w:rPr>
        <w:t xml:space="preserve">that </w:t>
      </w:r>
      <w:r w:rsidR="00656152" w:rsidRPr="00E65865">
        <w:rPr>
          <w:rFonts w:ascii="Times New Roman" w:hAnsi="Times New Roman"/>
        </w:rPr>
        <w:t>‘</w:t>
      </w:r>
      <w:r w:rsidR="00B52082" w:rsidRPr="00E65865">
        <w:rPr>
          <w:rFonts w:ascii="Times New Roman" w:hAnsi="Times New Roman"/>
        </w:rPr>
        <w:t>disrupt these historically significant categories</w:t>
      </w:r>
      <w:r w:rsidR="00656152" w:rsidRPr="00E65865">
        <w:rPr>
          <w:rFonts w:ascii="Times New Roman" w:hAnsi="Times New Roman"/>
        </w:rPr>
        <w:t>’</w:t>
      </w:r>
      <w:r w:rsidR="00B52082" w:rsidRPr="00E65865">
        <w:rPr>
          <w:rFonts w:ascii="Times New Roman" w:hAnsi="Times New Roman"/>
        </w:rPr>
        <w:t xml:space="preserve"> (</w:t>
      </w:r>
      <w:r w:rsidR="008C111A" w:rsidRPr="00E65865">
        <w:rPr>
          <w:rFonts w:ascii="Times New Roman" w:hAnsi="Times New Roman"/>
        </w:rPr>
        <w:t xml:space="preserve">2007, </w:t>
      </w:r>
      <w:r w:rsidR="00B52082" w:rsidRPr="00E65865">
        <w:rPr>
          <w:rFonts w:ascii="Times New Roman" w:hAnsi="Times New Roman"/>
        </w:rPr>
        <w:t xml:space="preserve">p. 19). According to </w:t>
      </w:r>
      <w:r w:rsidR="00F7443E" w:rsidRPr="00E65865">
        <w:rPr>
          <w:rFonts w:ascii="Times New Roman" w:hAnsi="Times New Roman"/>
        </w:rPr>
        <w:t>this way of thinking</w:t>
      </w:r>
      <w:r w:rsidR="000D3BD1" w:rsidRPr="00E65865">
        <w:rPr>
          <w:rFonts w:ascii="Times New Roman" w:hAnsi="Times New Roman"/>
        </w:rPr>
        <w:t>, nature is</w:t>
      </w:r>
      <w:r w:rsidR="00191F5F" w:rsidRPr="00E65865">
        <w:rPr>
          <w:rFonts w:ascii="Times New Roman" w:hAnsi="Times New Roman"/>
        </w:rPr>
        <w:t xml:space="preserve"> not</w:t>
      </w:r>
      <w:r w:rsidR="000D3BD1" w:rsidRPr="00E65865">
        <w:rPr>
          <w:rFonts w:ascii="Times New Roman" w:hAnsi="Times New Roman"/>
        </w:rPr>
        <w:t xml:space="preserve"> </w:t>
      </w:r>
      <w:r w:rsidR="00191F5F" w:rsidRPr="00E65865">
        <w:rPr>
          <w:rFonts w:ascii="Times New Roman" w:hAnsi="Times New Roman"/>
        </w:rPr>
        <w:t>pre-given, ahistorical and foundational</w:t>
      </w:r>
      <w:r w:rsidR="00021988" w:rsidRPr="00E65865">
        <w:rPr>
          <w:rFonts w:ascii="Times New Roman" w:hAnsi="Times New Roman"/>
        </w:rPr>
        <w:t>,</w:t>
      </w:r>
      <w:r w:rsidR="00191F5F" w:rsidRPr="00E65865">
        <w:rPr>
          <w:rFonts w:ascii="Times New Roman" w:hAnsi="Times New Roman"/>
        </w:rPr>
        <w:t xml:space="preserve"> </w:t>
      </w:r>
      <w:r w:rsidR="00021988" w:rsidRPr="00E65865">
        <w:rPr>
          <w:rFonts w:ascii="Times New Roman" w:hAnsi="Times New Roman"/>
        </w:rPr>
        <w:t>but</w:t>
      </w:r>
      <w:r w:rsidR="000D3BD1" w:rsidRPr="00E65865">
        <w:rPr>
          <w:rFonts w:ascii="Times New Roman" w:hAnsi="Times New Roman"/>
        </w:rPr>
        <w:t xml:space="preserve"> </w:t>
      </w:r>
      <w:r w:rsidR="00314C20" w:rsidRPr="00E65865">
        <w:rPr>
          <w:rFonts w:ascii="Times New Roman" w:hAnsi="Times New Roman"/>
        </w:rPr>
        <w:t>made</w:t>
      </w:r>
      <w:r w:rsidR="000D3BD1" w:rsidRPr="00E65865">
        <w:rPr>
          <w:rFonts w:ascii="Times New Roman" w:hAnsi="Times New Roman"/>
        </w:rPr>
        <w:t xml:space="preserve"> in social interaction</w:t>
      </w:r>
      <w:r w:rsidR="00191F5F" w:rsidRPr="00E65865">
        <w:rPr>
          <w:rFonts w:ascii="Times New Roman" w:hAnsi="Times New Roman"/>
        </w:rPr>
        <w:t>s</w:t>
      </w:r>
      <w:r w:rsidR="000D3BD1" w:rsidRPr="00E65865">
        <w:rPr>
          <w:rFonts w:ascii="Times New Roman" w:hAnsi="Times New Roman"/>
        </w:rPr>
        <w:t xml:space="preserve"> between human and non-human actors; its status as </w:t>
      </w:r>
      <w:r w:rsidR="00191F5F" w:rsidRPr="00E65865">
        <w:rPr>
          <w:rFonts w:ascii="Times New Roman" w:hAnsi="Times New Roman"/>
        </w:rPr>
        <w:t xml:space="preserve">inevitable and ontologically anterior is </w:t>
      </w:r>
      <w:r w:rsidR="000D3BD1" w:rsidRPr="00E65865">
        <w:rPr>
          <w:rFonts w:ascii="Times New Roman" w:hAnsi="Times New Roman"/>
        </w:rPr>
        <w:t xml:space="preserve">a relational </w:t>
      </w:r>
      <w:r w:rsidR="00191F5F" w:rsidRPr="00E65865">
        <w:rPr>
          <w:rFonts w:ascii="Times New Roman" w:hAnsi="Times New Roman"/>
        </w:rPr>
        <w:t xml:space="preserve">discursive </w:t>
      </w:r>
      <w:r w:rsidR="000D3BD1" w:rsidRPr="00E65865">
        <w:rPr>
          <w:rFonts w:ascii="Times New Roman" w:hAnsi="Times New Roman"/>
        </w:rPr>
        <w:t xml:space="preserve">achievement </w:t>
      </w:r>
      <w:r w:rsidR="00191F5F" w:rsidRPr="00E65865">
        <w:rPr>
          <w:rFonts w:ascii="Times New Roman" w:hAnsi="Times New Roman"/>
        </w:rPr>
        <w:t>rather than the effect of some</w:t>
      </w:r>
      <w:r w:rsidR="000D3BD1" w:rsidRPr="00E65865">
        <w:rPr>
          <w:rFonts w:ascii="Times New Roman" w:hAnsi="Times New Roman"/>
        </w:rPr>
        <w:t xml:space="preserve"> prior </w:t>
      </w:r>
      <w:r w:rsidR="006A2303" w:rsidRPr="00E65865">
        <w:rPr>
          <w:rFonts w:ascii="Times New Roman" w:hAnsi="Times New Roman"/>
        </w:rPr>
        <w:t xml:space="preserve">or permanent </w:t>
      </w:r>
      <w:r w:rsidR="000D3BD1" w:rsidRPr="00E65865">
        <w:rPr>
          <w:rFonts w:ascii="Times New Roman" w:hAnsi="Times New Roman"/>
        </w:rPr>
        <w:t xml:space="preserve">state. </w:t>
      </w:r>
      <w:r w:rsidR="00E02C51" w:rsidRPr="00E65865">
        <w:rPr>
          <w:rFonts w:ascii="Times New Roman" w:hAnsi="Times New Roman"/>
        </w:rPr>
        <w:t>T</w:t>
      </w:r>
      <w:r w:rsidR="000D3BD1" w:rsidRPr="00E65865">
        <w:rPr>
          <w:rFonts w:ascii="Times New Roman" w:hAnsi="Times New Roman"/>
        </w:rPr>
        <w:t>his view</w:t>
      </w:r>
      <w:r w:rsidR="008C111A" w:rsidRPr="00E65865">
        <w:rPr>
          <w:rFonts w:ascii="Times New Roman" w:hAnsi="Times New Roman"/>
        </w:rPr>
        <w:t xml:space="preserve"> of nature </w:t>
      </w:r>
      <w:r w:rsidR="00314C20" w:rsidRPr="00E65865">
        <w:rPr>
          <w:rFonts w:ascii="Times New Roman" w:hAnsi="Times New Roman"/>
        </w:rPr>
        <w:t>underpins Haraway’s</w:t>
      </w:r>
      <w:r w:rsidR="000D3BD1" w:rsidRPr="00E65865">
        <w:rPr>
          <w:rFonts w:ascii="Times New Roman" w:hAnsi="Times New Roman"/>
        </w:rPr>
        <w:t xml:space="preserve"> formulation of bodies as ‘material-semiotic actors’ constituted </w:t>
      </w:r>
      <w:r w:rsidR="00C750B2" w:rsidRPr="00E65865">
        <w:rPr>
          <w:rFonts w:ascii="Times New Roman" w:hAnsi="Times New Roman"/>
        </w:rPr>
        <w:t xml:space="preserve">in and through </w:t>
      </w:r>
      <w:r w:rsidR="000D3BD1" w:rsidRPr="00E65865">
        <w:rPr>
          <w:rFonts w:ascii="Times New Roman" w:hAnsi="Times New Roman"/>
        </w:rPr>
        <w:t>various networks of</w:t>
      </w:r>
      <w:r w:rsidR="00C750B2" w:rsidRPr="00E65865">
        <w:rPr>
          <w:rFonts w:ascii="Times New Roman" w:hAnsi="Times New Roman"/>
        </w:rPr>
        <w:t xml:space="preserve"> practice,</w:t>
      </w:r>
      <w:r w:rsidR="000D3BD1" w:rsidRPr="00E65865">
        <w:rPr>
          <w:rFonts w:ascii="Times New Roman" w:hAnsi="Times New Roman"/>
        </w:rPr>
        <w:t xml:space="preserve"> knowledge and power. </w:t>
      </w:r>
      <w:r w:rsidR="00191F5F" w:rsidRPr="00E65865">
        <w:rPr>
          <w:rFonts w:ascii="Times New Roman" w:hAnsi="Times New Roman"/>
        </w:rPr>
        <w:t>Roberts uses t</w:t>
      </w:r>
      <w:r w:rsidR="00314C20" w:rsidRPr="00E65865">
        <w:rPr>
          <w:rFonts w:ascii="Times New Roman" w:hAnsi="Times New Roman"/>
        </w:rPr>
        <w:t>his</w:t>
      </w:r>
      <w:r w:rsidR="000D3BD1" w:rsidRPr="00E65865">
        <w:rPr>
          <w:rFonts w:ascii="Times New Roman" w:hAnsi="Times New Roman"/>
        </w:rPr>
        <w:t xml:space="preserve"> conceptualisation of</w:t>
      </w:r>
      <w:r w:rsidR="00191F5F" w:rsidRPr="00E65865">
        <w:rPr>
          <w:rFonts w:ascii="Times New Roman" w:hAnsi="Times New Roman"/>
        </w:rPr>
        <w:t xml:space="preserve"> nature and</w:t>
      </w:r>
      <w:r w:rsidR="000D3BD1" w:rsidRPr="00E65865">
        <w:rPr>
          <w:rFonts w:ascii="Times New Roman" w:hAnsi="Times New Roman"/>
        </w:rPr>
        <w:t xml:space="preserve"> the body </w:t>
      </w:r>
      <w:r w:rsidR="00191F5F" w:rsidRPr="00E65865">
        <w:rPr>
          <w:rFonts w:ascii="Times New Roman" w:hAnsi="Times New Roman"/>
        </w:rPr>
        <w:t>to understand</w:t>
      </w:r>
      <w:r w:rsidR="000D3BD1" w:rsidRPr="00E65865">
        <w:rPr>
          <w:rFonts w:ascii="Times New Roman" w:hAnsi="Times New Roman"/>
        </w:rPr>
        <w:t xml:space="preserve"> hormones as</w:t>
      </w:r>
      <w:r w:rsidR="00C750B2" w:rsidRPr="00E65865">
        <w:rPr>
          <w:rFonts w:ascii="Times New Roman" w:hAnsi="Times New Roman"/>
        </w:rPr>
        <w:t xml:space="preserve"> emergent</w:t>
      </w:r>
      <w:r w:rsidR="000D3BD1" w:rsidRPr="00E65865">
        <w:rPr>
          <w:rFonts w:ascii="Times New Roman" w:hAnsi="Times New Roman"/>
        </w:rPr>
        <w:t xml:space="preserve"> actors whose activities can and should be ‘analysed without alignment with biological determinism’ (</w:t>
      </w:r>
      <w:r w:rsidR="00F528F4" w:rsidRPr="00E65865">
        <w:rPr>
          <w:rFonts w:ascii="Times New Roman" w:hAnsi="Times New Roman"/>
        </w:rPr>
        <w:t xml:space="preserve">2007, </w:t>
      </w:r>
      <w:r w:rsidR="000D3BD1" w:rsidRPr="00E65865">
        <w:rPr>
          <w:rFonts w:ascii="Times New Roman" w:hAnsi="Times New Roman"/>
        </w:rPr>
        <w:t>p. 19).</w:t>
      </w:r>
      <w:r w:rsidR="00314C20" w:rsidRPr="00E65865">
        <w:rPr>
          <w:rFonts w:ascii="Times New Roman" w:hAnsi="Times New Roman"/>
        </w:rPr>
        <w:t xml:space="preserve"> While hormones </w:t>
      </w:r>
      <w:r w:rsidR="00B12C1F" w:rsidRPr="00E65865">
        <w:rPr>
          <w:rFonts w:ascii="Times New Roman" w:hAnsi="Times New Roman"/>
        </w:rPr>
        <w:t>act</w:t>
      </w:r>
      <w:r w:rsidR="00DD36A0" w:rsidRPr="00E65865">
        <w:rPr>
          <w:rFonts w:ascii="Times New Roman" w:hAnsi="Times New Roman"/>
        </w:rPr>
        <w:t xml:space="preserve"> </w:t>
      </w:r>
      <w:r w:rsidR="00314C20" w:rsidRPr="00E65865">
        <w:rPr>
          <w:rFonts w:ascii="Times New Roman" w:hAnsi="Times New Roman"/>
        </w:rPr>
        <w:t xml:space="preserve">within the body, they also </w:t>
      </w:r>
      <w:r w:rsidR="00314C20" w:rsidRPr="00E65865">
        <w:rPr>
          <w:rFonts w:ascii="Times New Roman" w:hAnsi="Times New Roman"/>
          <w:i/>
        </w:rPr>
        <w:t xml:space="preserve">exceed </w:t>
      </w:r>
      <w:r w:rsidR="00314C20" w:rsidRPr="00E65865">
        <w:rPr>
          <w:rFonts w:ascii="Times New Roman" w:hAnsi="Times New Roman"/>
        </w:rPr>
        <w:t>the body to ‘message’ (evoke, reproduce, perform and enact) culturally legible social meanings and</w:t>
      </w:r>
      <w:r w:rsidR="00DD36A0" w:rsidRPr="00E65865">
        <w:rPr>
          <w:rFonts w:ascii="Times New Roman" w:hAnsi="Times New Roman"/>
        </w:rPr>
        <w:t>, indeed,</w:t>
      </w:r>
      <w:r w:rsidR="00314C20" w:rsidRPr="00E65865">
        <w:rPr>
          <w:rFonts w:ascii="Times New Roman" w:hAnsi="Times New Roman"/>
        </w:rPr>
        <w:t xml:space="preserve"> forms</w:t>
      </w:r>
      <w:r w:rsidR="00B12C1F" w:rsidRPr="00E65865">
        <w:rPr>
          <w:rFonts w:ascii="Times New Roman" w:hAnsi="Times New Roman"/>
        </w:rPr>
        <w:t xml:space="preserve"> </w:t>
      </w:r>
      <w:r w:rsidR="00314C20" w:rsidRPr="00E65865">
        <w:rPr>
          <w:rFonts w:ascii="Times New Roman" w:hAnsi="Times New Roman"/>
        </w:rPr>
        <w:t xml:space="preserve">of sexed embodiment. </w:t>
      </w:r>
      <w:r w:rsidR="00062428" w:rsidRPr="00E65865">
        <w:rPr>
          <w:rFonts w:ascii="Times New Roman" w:hAnsi="Times New Roman"/>
        </w:rPr>
        <w:t>In this sense, hormones are not simply ‘messengers of sex’ messaging an ‘inherent or pre-existing sex within bodies</w:t>
      </w:r>
      <w:proofErr w:type="gramStart"/>
      <w:r w:rsidR="00062428" w:rsidRPr="00E65865">
        <w:rPr>
          <w:rFonts w:ascii="Times New Roman" w:hAnsi="Times New Roman"/>
        </w:rPr>
        <w:t>’, but</w:t>
      </w:r>
      <w:proofErr w:type="gramEnd"/>
      <w:r w:rsidR="00062428" w:rsidRPr="00E65865">
        <w:rPr>
          <w:rFonts w:ascii="Times New Roman" w:hAnsi="Times New Roman"/>
        </w:rPr>
        <w:t xml:space="preserve"> </w:t>
      </w:r>
      <w:r w:rsidR="00F528F4" w:rsidRPr="00E65865">
        <w:rPr>
          <w:rFonts w:ascii="Times New Roman" w:hAnsi="Times New Roman"/>
        </w:rPr>
        <w:t xml:space="preserve">are </w:t>
      </w:r>
      <w:r w:rsidR="00062428" w:rsidRPr="00E65865">
        <w:rPr>
          <w:rFonts w:ascii="Times New Roman" w:hAnsi="Times New Roman"/>
        </w:rPr>
        <w:t>instead ‘active agents in bio-social systems that constitute material-discursive entities’ known as the sexes (</w:t>
      </w:r>
      <w:r w:rsidR="00F528F4" w:rsidRPr="00E65865">
        <w:rPr>
          <w:rFonts w:ascii="Times New Roman" w:hAnsi="Times New Roman"/>
        </w:rPr>
        <w:t xml:space="preserve">2007, </w:t>
      </w:r>
      <w:r w:rsidR="00062428" w:rsidRPr="00E65865">
        <w:rPr>
          <w:rFonts w:ascii="Times New Roman" w:hAnsi="Times New Roman"/>
        </w:rPr>
        <w:t xml:space="preserve">p. 22). </w:t>
      </w:r>
      <w:r w:rsidR="00314C20" w:rsidRPr="00E65865">
        <w:rPr>
          <w:rFonts w:ascii="Times New Roman" w:hAnsi="Times New Roman"/>
        </w:rPr>
        <w:t xml:space="preserve">This messaging activity occurs within </w:t>
      </w:r>
      <w:r w:rsidR="00306A58" w:rsidRPr="00E65865">
        <w:rPr>
          <w:rFonts w:ascii="Times New Roman" w:hAnsi="Times New Roman"/>
        </w:rPr>
        <w:t>specific times</w:t>
      </w:r>
      <w:r w:rsidR="00F7443E" w:rsidRPr="00E65865">
        <w:rPr>
          <w:rFonts w:ascii="Times New Roman" w:hAnsi="Times New Roman"/>
        </w:rPr>
        <w:t>, places</w:t>
      </w:r>
      <w:r w:rsidR="00306A58" w:rsidRPr="00E65865">
        <w:rPr>
          <w:rFonts w:ascii="Times New Roman" w:hAnsi="Times New Roman"/>
        </w:rPr>
        <w:t xml:space="preserve"> and </w:t>
      </w:r>
      <w:r w:rsidR="00314C20" w:rsidRPr="00E65865">
        <w:rPr>
          <w:rFonts w:ascii="Times New Roman" w:hAnsi="Times New Roman"/>
        </w:rPr>
        <w:t>culture</w:t>
      </w:r>
      <w:r w:rsidR="00306A58" w:rsidRPr="00E65865">
        <w:rPr>
          <w:rFonts w:ascii="Times New Roman" w:hAnsi="Times New Roman"/>
        </w:rPr>
        <w:t>s,</w:t>
      </w:r>
      <w:r w:rsidR="00314C20" w:rsidRPr="00E65865">
        <w:rPr>
          <w:rFonts w:ascii="Times New Roman" w:hAnsi="Times New Roman"/>
        </w:rPr>
        <w:t xml:space="preserve"> and is folded back upon and in the body to give rise to historically specific forms of </w:t>
      </w:r>
      <w:r w:rsidR="008C111A" w:rsidRPr="00E65865">
        <w:rPr>
          <w:rFonts w:ascii="Times New Roman" w:hAnsi="Times New Roman"/>
        </w:rPr>
        <w:t xml:space="preserve">sexed and </w:t>
      </w:r>
      <w:r w:rsidR="00314C20" w:rsidRPr="00E65865">
        <w:rPr>
          <w:rFonts w:ascii="Times New Roman" w:hAnsi="Times New Roman"/>
        </w:rPr>
        <w:t>gendered embodiment</w:t>
      </w:r>
      <w:r w:rsidR="009E14C0" w:rsidRPr="00E65865">
        <w:rPr>
          <w:rFonts w:ascii="Times New Roman" w:hAnsi="Times New Roman"/>
        </w:rPr>
        <w:t xml:space="preserve">. </w:t>
      </w:r>
      <w:r w:rsidR="00191F5F" w:rsidRPr="00E65865">
        <w:rPr>
          <w:rFonts w:ascii="Times New Roman" w:hAnsi="Times New Roman"/>
        </w:rPr>
        <w:t>According to Roberts,</w:t>
      </w:r>
      <w:r w:rsidR="0046284D" w:rsidRPr="00E65865">
        <w:rPr>
          <w:rFonts w:ascii="Times New Roman" w:hAnsi="Times New Roman"/>
        </w:rPr>
        <w:t xml:space="preserve"> hormones</w:t>
      </w:r>
      <w:r w:rsidR="00361F57" w:rsidRPr="00E65865">
        <w:rPr>
          <w:rFonts w:ascii="Times New Roman" w:hAnsi="Times New Roman"/>
        </w:rPr>
        <w:t xml:space="preserve"> should be understood</w:t>
      </w:r>
      <w:r w:rsidR="00A51BE7" w:rsidRPr="00E65865">
        <w:rPr>
          <w:rFonts w:ascii="Times New Roman" w:hAnsi="Times New Roman"/>
        </w:rPr>
        <w:t xml:space="preserve"> as</w:t>
      </w:r>
      <w:r w:rsidR="0046284D" w:rsidRPr="00E65865">
        <w:rPr>
          <w:rFonts w:ascii="Times New Roman" w:hAnsi="Times New Roman"/>
        </w:rPr>
        <w:t xml:space="preserve"> </w:t>
      </w:r>
      <w:r w:rsidR="00543E81" w:rsidRPr="00E65865">
        <w:rPr>
          <w:rFonts w:ascii="Times New Roman" w:hAnsi="Times New Roman"/>
        </w:rPr>
        <w:t>material</w:t>
      </w:r>
      <w:r w:rsidR="00021988" w:rsidRPr="00E65865">
        <w:rPr>
          <w:rFonts w:ascii="Times New Roman" w:hAnsi="Times New Roman"/>
        </w:rPr>
        <w:t>–</w:t>
      </w:r>
      <w:r w:rsidR="00543E81" w:rsidRPr="00E65865">
        <w:rPr>
          <w:rFonts w:ascii="Times New Roman" w:hAnsi="Times New Roman"/>
        </w:rPr>
        <w:t>discursive entities (made of</w:t>
      </w:r>
      <w:r w:rsidR="00964A72" w:rsidRPr="00E65865">
        <w:rPr>
          <w:rFonts w:ascii="Times New Roman" w:hAnsi="Times New Roman"/>
        </w:rPr>
        <w:t xml:space="preserve"> technoscience, biomedicine, chemicals, bodies, social practices, discourse and cultures</w:t>
      </w:r>
      <w:r w:rsidR="00543E81" w:rsidRPr="00E65865">
        <w:rPr>
          <w:rFonts w:ascii="Times New Roman" w:hAnsi="Times New Roman"/>
        </w:rPr>
        <w:t>)</w:t>
      </w:r>
      <w:r w:rsidR="00964A72" w:rsidRPr="00E65865">
        <w:rPr>
          <w:rFonts w:ascii="Times New Roman" w:hAnsi="Times New Roman"/>
        </w:rPr>
        <w:t xml:space="preserve"> </w:t>
      </w:r>
      <w:r w:rsidR="0046284D" w:rsidRPr="00E65865">
        <w:rPr>
          <w:rFonts w:ascii="Times New Roman" w:hAnsi="Times New Roman"/>
        </w:rPr>
        <w:t xml:space="preserve">rather than stable </w:t>
      </w:r>
      <w:r w:rsidR="00BC2EB1" w:rsidRPr="00E65865">
        <w:rPr>
          <w:rFonts w:ascii="Times New Roman" w:hAnsi="Times New Roman"/>
        </w:rPr>
        <w:t xml:space="preserve">biological </w:t>
      </w:r>
      <w:r w:rsidR="00656152" w:rsidRPr="00E65865">
        <w:rPr>
          <w:rFonts w:ascii="Times New Roman" w:hAnsi="Times New Roman"/>
        </w:rPr>
        <w:t>substance</w:t>
      </w:r>
      <w:r w:rsidR="00361F57" w:rsidRPr="00E65865">
        <w:rPr>
          <w:rFonts w:ascii="Times New Roman" w:hAnsi="Times New Roman"/>
        </w:rPr>
        <w:t xml:space="preserve">s. </w:t>
      </w:r>
    </w:p>
    <w:p w14:paraId="1F459312" w14:textId="499A1FF9" w:rsidR="00AC1943" w:rsidRPr="00E65865" w:rsidRDefault="00361F57" w:rsidP="00477459">
      <w:pPr>
        <w:pStyle w:val="Normal0"/>
        <w:ind w:left="0"/>
        <w:contextualSpacing w:val="0"/>
      </w:pPr>
      <w:r w:rsidRPr="00E65865">
        <w:rPr>
          <w:rFonts w:ascii="Times New Roman" w:hAnsi="Times New Roman"/>
        </w:rPr>
        <w:t xml:space="preserve">Writing more recently on the </w:t>
      </w:r>
      <w:r w:rsidR="00A9087D" w:rsidRPr="00E65865">
        <w:rPr>
          <w:rFonts w:ascii="Times New Roman" w:hAnsi="Times New Roman"/>
        </w:rPr>
        <w:t>material</w:t>
      </w:r>
      <w:r w:rsidR="00021988" w:rsidRPr="00E65865">
        <w:rPr>
          <w:rFonts w:ascii="Times New Roman" w:hAnsi="Times New Roman"/>
        </w:rPr>
        <w:t>–</w:t>
      </w:r>
      <w:r w:rsidR="00A9087D" w:rsidRPr="00E65865">
        <w:rPr>
          <w:rFonts w:ascii="Times New Roman" w:hAnsi="Times New Roman"/>
        </w:rPr>
        <w:t>discursive</w:t>
      </w:r>
      <w:r w:rsidRPr="00E65865">
        <w:rPr>
          <w:rFonts w:ascii="Times New Roman" w:hAnsi="Times New Roman"/>
        </w:rPr>
        <w:t xml:space="preserve"> constitution of </w:t>
      </w:r>
      <w:r w:rsidR="009E14C0" w:rsidRPr="00E65865">
        <w:rPr>
          <w:rFonts w:ascii="Times New Roman" w:hAnsi="Times New Roman"/>
        </w:rPr>
        <w:t xml:space="preserve">disease, specifically </w:t>
      </w:r>
      <w:r w:rsidRPr="00E65865">
        <w:rPr>
          <w:rFonts w:ascii="Times New Roman" w:hAnsi="Times New Roman"/>
        </w:rPr>
        <w:t>hepatitis C, Fraser (201</w:t>
      </w:r>
      <w:r w:rsidR="00E26C12" w:rsidRPr="00E65865">
        <w:rPr>
          <w:rFonts w:ascii="Times New Roman" w:hAnsi="Times New Roman"/>
        </w:rPr>
        <w:t>0</w:t>
      </w:r>
      <w:r w:rsidRPr="00E65865">
        <w:rPr>
          <w:rFonts w:ascii="Times New Roman" w:hAnsi="Times New Roman"/>
        </w:rPr>
        <w:t>) draws on</w:t>
      </w:r>
      <w:r w:rsidR="009E14C0" w:rsidRPr="00E65865">
        <w:rPr>
          <w:rFonts w:ascii="Times New Roman" w:hAnsi="Times New Roman"/>
        </w:rPr>
        <w:t xml:space="preserve"> the work of</w:t>
      </w:r>
      <w:r w:rsidRPr="00E65865">
        <w:rPr>
          <w:rFonts w:ascii="Times New Roman" w:hAnsi="Times New Roman"/>
        </w:rPr>
        <w:t xml:space="preserve"> Latour to </w:t>
      </w:r>
      <w:r w:rsidR="00A9087D" w:rsidRPr="00E65865">
        <w:rPr>
          <w:rFonts w:ascii="Times New Roman" w:hAnsi="Times New Roman"/>
        </w:rPr>
        <w:t xml:space="preserve">similarly </w:t>
      </w:r>
      <w:r w:rsidRPr="00E65865">
        <w:rPr>
          <w:rFonts w:ascii="Times New Roman" w:hAnsi="Times New Roman"/>
        </w:rPr>
        <w:t>argue that phenomena such as hepatitis C are ‘gathered’</w:t>
      </w:r>
      <w:r w:rsidR="009E14C0" w:rsidRPr="00E65865">
        <w:rPr>
          <w:rFonts w:ascii="Times New Roman" w:hAnsi="Times New Roman"/>
        </w:rPr>
        <w:t xml:space="preserve"> or constituted and enacted</w:t>
      </w:r>
      <w:r w:rsidRPr="00E65865">
        <w:rPr>
          <w:rFonts w:ascii="Times New Roman" w:hAnsi="Times New Roman"/>
        </w:rPr>
        <w:t xml:space="preserve"> in ‘culture and action’, usually in such a way as to appear </w:t>
      </w:r>
      <w:r w:rsidRPr="00E65865">
        <w:rPr>
          <w:rFonts w:ascii="Times New Roman" w:hAnsi="Times New Roman"/>
          <w:i/>
        </w:rPr>
        <w:t xml:space="preserve">prior </w:t>
      </w:r>
      <w:r w:rsidRPr="00E65865">
        <w:rPr>
          <w:rFonts w:ascii="Times New Roman" w:hAnsi="Times New Roman"/>
        </w:rPr>
        <w:t xml:space="preserve">to culture and action (p. 96). She argues that approaching </w:t>
      </w:r>
      <w:r w:rsidR="009E14C0" w:rsidRPr="00E65865">
        <w:rPr>
          <w:rFonts w:ascii="Times New Roman" w:hAnsi="Times New Roman"/>
        </w:rPr>
        <w:t xml:space="preserve">a </w:t>
      </w:r>
      <w:r w:rsidRPr="00E65865">
        <w:rPr>
          <w:rFonts w:ascii="Times New Roman" w:hAnsi="Times New Roman"/>
        </w:rPr>
        <w:t>phenomen</w:t>
      </w:r>
      <w:r w:rsidR="009E14C0" w:rsidRPr="00E65865">
        <w:rPr>
          <w:rFonts w:ascii="Times New Roman" w:hAnsi="Times New Roman"/>
        </w:rPr>
        <w:t>on</w:t>
      </w:r>
      <w:r w:rsidRPr="00E65865">
        <w:rPr>
          <w:rFonts w:ascii="Times New Roman" w:hAnsi="Times New Roman"/>
        </w:rPr>
        <w:t xml:space="preserve"> as gathered, or as a ‘gathering’, is useful </w:t>
      </w:r>
      <w:r w:rsidR="009E14C0" w:rsidRPr="00E65865">
        <w:rPr>
          <w:rFonts w:ascii="Times New Roman" w:hAnsi="Times New Roman"/>
        </w:rPr>
        <w:t>for challenging unexamined</w:t>
      </w:r>
      <w:r w:rsidR="00A9087D" w:rsidRPr="00E65865">
        <w:rPr>
          <w:rFonts w:ascii="Times New Roman" w:hAnsi="Times New Roman"/>
        </w:rPr>
        <w:t xml:space="preserve"> claims about the </w:t>
      </w:r>
      <w:r w:rsidRPr="00E65865">
        <w:rPr>
          <w:rFonts w:ascii="Times New Roman" w:hAnsi="Times New Roman"/>
        </w:rPr>
        <w:t xml:space="preserve">‘essential nature’ </w:t>
      </w:r>
      <w:r w:rsidR="00A9087D" w:rsidRPr="00E65865">
        <w:rPr>
          <w:rFonts w:ascii="Times New Roman" w:hAnsi="Times New Roman"/>
        </w:rPr>
        <w:t>of things</w:t>
      </w:r>
      <w:r w:rsidR="000F140C" w:rsidRPr="00E65865">
        <w:rPr>
          <w:rFonts w:ascii="Times New Roman" w:hAnsi="Times New Roman"/>
        </w:rPr>
        <w:t xml:space="preserve">. This approach </w:t>
      </w:r>
      <w:r w:rsidR="009E14C0" w:rsidRPr="00E65865">
        <w:rPr>
          <w:rFonts w:ascii="Times New Roman" w:hAnsi="Times New Roman"/>
        </w:rPr>
        <w:t>is consistent with</w:t>
      </w:r>
      <w:r w:rsidR="000F140C" w:rsidRPr="00E65865">
        <w:rPr>
          <w:rFonts w:ascii="Times New Roman" w:hAnsi="Times New Roman"/>
        </w:rPr>
        <w:t xml:space="preserve"> Roberts</w:t>
      </w:r>
      <w:r w:rsidR="009E14C0" w:rsidRPr="00E65865">
        <w:rPr>
          <w:rFonts w:ascii="Times New Roman" w:hAnsi="Times New Roman"/>
        </w:rPr>
        <w:t>’</w:t>
      </w:r>
      <w:r w:rsidR="000F140C" w:rsidRPr="00E65865">
        <w:rPr>
          <w:rFonts w:ascii="Times New Roman" w:hAnsi="Times New Roman"/>
        </w:rPr>
        <w:t xml:space="preserve"> </w:t>
      </w:r>
      <w:r w:rsidR="009E14C0" w:rsidRPr="00E65865">
        <w:rPr>
          <w:rFonts w:ascii="Times New Roman" w:hAnsi="Times New Roman"/>
        </w:rPr>
        <w:t xml:space="preserve">call </w:t>
      </w:r>
      <w:r w:rsidR="000F140C" w:rsidRPr="00E65865">
        <w:rPr>
          <w:rFonts w:ascii="Times New Roman" w:hAnsi="Times New Roman"/>
        </w:rPr>
        <w:t xml:space="preserve">to </w:t>
      </w:r>
      <w:r w:rsidR="009E14C0" w:rsidRPr="00E65865">
        <w:rPr>
          <w:rFonts w:ascii="Times New Roman" w:hAnsi="Times New Roman"/>
        </w:rPr>
        <w:t>view</w:t>
      </w:r>
      <w:r w:rsidR="000F140C" w:rsidRPr="00E65865">
        <w:rPr>
          <w:rFonts w:ascii="Times New Roman" w:hAnsi="Times New Roman"/>
        </w:rPr>
        <w:t xml:space="preserve"> hormones </w:t>
      </w:r>
      <w:r w:rsidR="0046284D" w:rsidRPr="00E65865">
        <w:rPr>
          <w:rFonts w:ascii="Times New Roman" w:hAnsi="Times New Roman"/>
        </w:rPr>
        <w:t xml:space="preserve">as ‘allies of </w:t>
      </w:r>
      <w:proofErr w:type="gramStart"/>
      <w:r w:rsidR="0046284D" w:rsidRPr="00E65865">
        <w:rPr>
          <w:rFonts w:ascii="Times New Roman" w:hAnsi="Times New Roman"/>
        </w:rPr>
        <w:t xml:space="preserve">particular </w:t>
      </w:r>
      <w:r w:rsidR="004B0859" w:rsidRPr="00E65865">
        <w:rPr>
          <w:rFonts w:ascii="Times New Roman" w:hAnsi="Times New Roman"/>
        </w:rPr>
        <w:t>world</w:t>
      </w:r>
      <w:proofErr w:type="gramEnd"/>
      <w:r w:rsidR="004B0859" w:rsidRPr="00E65865">
        <w:rPr>
          <w:rFonts w:ascii="Times New Roman" w:hAnsi="Times New Roman"/>
        </w:rPr>
        <w:t xml:space="preserve"> views’</w:t>
      </w:r>
      <w:r w:rsidR="0046284D" w:rsidRPr="00E65865">
        <w:rPr>
          <w:rFonts w:ascii="Times New Roman" w:hAnsi="Times New Roman"/>
        </w:rPr>
        <w:t xml:space="preserve"> rather than </w:t>
      </w:r>
      <w:r w:rsidR="00191F5F" w:rsidRPr="00E65865">
        <w:rPr>
          <w:rFonts w:ascii="Times New Roman" w:hAnsi="Times New Roman"/>
        </w:rPr>
        <w:t xml:space="preserve">as neutral, </w:t>
      </w:r>
      <w:r w:rsidR="0046284D" w:rsidRPr="00E65865">
        <w:rPr>
          <w:rFonts w:ascii="Times New Roman" w:hAnsi="Times New Roman"/>
        </w:rPr>
        <w:t xml:space="preserve">naturally occurring objects (2007, p. 17). </w:t>
      </w:r>
      <w:r w:rsidR="000F140C" w:rsidRPr="00E65865">
        <w:rPr>
          <w:rFonts w:ascii="Times New Roman" w:hAnsi="Times New Roman"/>
        </w:rPr>
        <w:t xml:space="preserve">In this article, we </w:t>
      </w:r>
      <w:r w:rsidR="009E14C0" w:rsidRPr="00E65865">
        <w:rPr>
          <w:rFonts w:ascii="Times New Roman" w:hAnsi="Times New Roman"/>
        </w:rPr>
        <w:t xml:space="preserve">treat testosterone as </w:t>
      </w:r>
      <w:r w:rsidR="000421C8" w:rsidRPr="00E65865">
        <w:rPr>
          <w:rFonts w:ascii="Times New Roman" w:hAnsi="Times New Roman"/>
        </w:rPr>
        <w:t xml:space="preserve">an ally of a familiar gendered worldview, </w:t>
      </w:r>
      <w:r w:rsidR="009E14C0" w:rsidRPr="00E65865">
        <w:rPr>
          <w:rFonts w:ascii="Times New Roman" w:hAnsi="Times New Roman"/>
        </w:rPr>
        <w:t>a gathering of purported</w:t>
      </w:r>
      <w:r w:rsidR="00F528F4" w:rsidRPr="00E65865">
        <w:rPr>
          <w:rFonts w:ascii="Times New Roman" w:hAnsi="Times New Roman"/>
        </w:rPr>
        <w:t>ly</w:t>
      </w:r>
      <w:r w:rsidR="009E14C0" w:rsidRPr="00E65865">
        <w:rPr>
          <w:rFonts w:ascii="Times New Roman" w:hAnsi="Times New Roman"/>
        </w:rPr>
        <w:t xml:space="preserve"> </w:t>
      </w:r>
      <w:r w:rsidR="000421C8" w:rsidRPr="00E65865">
        <w:rPr>
          <w:rFonts w:ascii="Times New Roman" w:hAnsi="Times New Roman"/>
        </w:rPr>
        <w:t xml:space="preserve">masculine </w:t>
      </w:r>
      <w:r w:rsidR="009E14C0" w:rsidRPr="00E65865">
        <w:rPr>
          <w:rFonts w:ascii="Times New Roman" w:hAnsi="Times New Roman"/>
        </w:rPr>
        <w:t xml:space="preserve">actions and properties – </w:t>
      </w:r>
      <w:r w:rsidR="000421C8" w:rsidRPr="00E65865">
        <w:rPr>
          <w:rFonts w:ascii="Times New Roman" w:hAnsi="Times New Roman"/>
        </w:rPr>
        <w:t xml:space="preserve">one that shapes </w:t>
      </w:r>
      <w:r w:rsidR="000F140C" w:rsidRPr="00E65865">
        <w:rPr>
          <w:rFonts w:ascii="Times New Roman" w:hAnsi="Times New Roman"/>
        </w:rPr>
        <w:t xml:space="preserve">steroid injecting in ways that </w:t>
      </w:r>
      <w:r w:rsidR="009E14C0" w:rsidRPr="00E65865">
        <w:rPr>
          <w:rFonts w:ascii="Times New Roman" w:hAnsi="Times New Roman"/>
        </w:rPr>
        <w:t xml:space="preserve">can both </w:t>
      </w:r>
      <w:r w:rsidR="000F140C" w:rsidRPr="00E65865">
        <w:rPr>
          <w:rFonts w:ascii="Times New Roman" w:hAnsi="Times New Roman"/>
        </w:rPr>
        <w:t xml:space="preserve">reinforce </w:t>
      </w:r>
      <w:r w:rsidR="009E14C0" w:rsidRPr="00E65865">
        <w:rPr>
          <w:rFonts w:ascii="Times New Roman" w:hAnsi="Times New Roman"/>
        </w:rPr>
        <w:t>and</w:t>
      </w:r>
      <w:r w:rsidR="000F140C" w:rsidRPr="00E65865">
        <w:rPr>
          <w:rFonts w:ascii="Times New Roman" w:hAnsi="Times New Roman"/>
        </w:rPr>
        <w:t xml:space="preserve"> undermine normative gendered realities and the conditions of possibility for gendered embodiment and agency. </w:t>
      </w:r>
      <w:r w:rsidR="00481815" w:rsidRPr="00E65865">
        <w:rPr>
          <w:rFonts w:ascii="Times New Roman" w:hAnsi="Times New Roman"/>
        </w:rPr>
        <w:t xml:space="preserve">This observation about the ‘world-making’ (Fraser, 2006) effects of </w:t>
      </w:r>
      <w:r w:rsidR="000421C8" w:rsidRPr="00E65865">
        <w:rPr>
          <w:rFonts w:ascii="Times New Roman" w:hAnsi="Times New Roman"/>
        </w:rPr>
        <w:t>testosterone</w:t>
      </w:r>
      <w:r w:rsidR="00481815" w:rsidRPr="00E65865">
        <w:rPr>
          <w:rFonts w:ascii="Times New Roman" w:hAnsi="Times New Roman"/>
        </w:rPr>
        <w:t xml:space="preserve"> gestures towards the political </w:t>
      </w:r>
      <w:r w:rsidR="00481815" w:rsidRPr="00E65865">
        <w:rPr>
          <w:rFonts w:ascii="Times New Roman" w:hAnsi="Times New Roman"/>
        </w:rPr>
        <w:lastRenderedPageBreak/>
        <w:t xml:space="preserve">stakes </w:t>
      </w:r>
      <w:r w:rsidR="00F528F4" w:rsidRPr="00E65865">
        <w:rPr>
          <w:rFonts w:ascii="Times New Roman" w:hAnsi="Times New Roman"/>
        </w:rPr>
        <w:t>at</w:t>
      </w:r>
      <w:r w:rsidR="000421C8" w:rsidRPr="00E65865">
        <w:rPr>
          <w:rFonts w:ascii="Times New Roman" w:hAnsi="Times New Roman"/>
        </w:rPr>
        <w:t xml:space="preserve"> play</w:t>
      </w:r>
      <w:r w:rsidR="00481815" w:rsidRPr="00E65865">
        <w:rPr>
          <w:rFonts w:ascii="Times New Roman" w:hAnsi="Times New Roman"/>
        </w:rPr>
        <w:t xml:space="preserve"> in controversies over hormones. </w:t>
      </w:r>
      <w:r w:rsidR="00A51BE7" w:rsidRPr="00E65865">
        <w:rPr>
          <w:rFonts w:ascii="Times New Roman" w:hAnsi="Times New Roman"/>
        </w:rPr>
        <w:t xml:space="preserve">In a </w:t>
      </w:r>
      <w:r w:rsidR="0046284D" w:rsidRPr="00E65865">
        <w:rPr>
          <w:rFonts w:ascii="Times New Roman" w:hAnsi="Times New Roman"/>
        </w:rPr>
        <w:t>move now familiar to critical drugs scholarship</w:t>
      </w:r>
      <w:r w:rsidR="00191F5F" w:rsidRPr="00E65865">
        <w:rPr>
          <w:rFonts w:ascii="Times New Roman" w:hAnsi="Times New Roman"/>
        </w:rPr>
        <w:t xml:space="preserve"> </w:t>
      </w:r>
      <w:r w:rsidR="00A2227F" w:rsidRPr="00E65865">
        <w:rPr>
          <w:rFonts w:ascii="Times New Roman" w:hAnsi="Times New Roman"/>
        </w:rPr>
        <w:t>(</w:t>
      </w:r>
      <w:r w:rsidR="00F528F4" w:rsidRPr="00E65865">
        <w:rPr>
          <w:rFonts w:ascii="Times New Roman" w:hAnsi="Times New Roman"/>
        </w:rPr>
        <w:t>e.g.</w:t>
      </w:r>
      <w:r w:rsidR="00833541" w:rsidRPr="00E65865">
        <w:rPr>
          <w:rFonts w:ascii="Times New Roman" w:hAnsi="Times New Roman"/>
        </w:rPr>
        <w:t>,</w:t>
      </w:r>
      <w:r w:rsidR="00F528F4" w:rsidRPr="00E65865">
        <w:rPr>
          <w:rFonts w:ascii="Times New Roman" w:hAnsi="Times New Roman"/>
        </w:rPr>
        <w:t xml:space="preserve"> </w:t>
      </w:r>
      <w:r w:rsidR="00A2227F" w:rsidRPr="00E65865">
        <w:rPr>
          <w:rFonts w:ascii="Times New Roman" w:hAnsi="Times New Roman"/>
        </w:rPr>
        <w:t>Dwyer &amp; Moore, 2013</w:t>
      </w:r>
      <w:r w:rsidR="00481815" w:rsidRPr="00E65865">
        <w:rPr>
          <w:rFonts w:ascii="Times New Roman" w:hAnsi="Times New Roman"/>
        </w:rPr>
        <w:t>; Farrugia, 2017; Fraser, 2010; Savic &amp; Fomiatti, 2016</w:t>
      </w:r>
      <w:r w:rsidR="00191F5F" w:rsidRPr="00E65865">
        <w:rPr>
          <w:rFonts w:ascii="Times New Roman" w:hAnsi="Times New Roman"/>
        </w:rPr>
        <w:t>)</w:t>
      </w:r>
      <w:r w:rsidR="00A51BE7" w:rsidRPr="00E65865">
        <w:rPr>
          <w:rFonts w:ascii="Times New Roman" w:hAnsi="Times New Roman"/>
        </w:rPr>
        <w:t>, the approach we describe in this section</w:t>
      </w:r>
      <w:r w:rsidR="0046284D" w:rsidRPr="00E65865">
        <w:rPr>
          <w:rFonts w:ascii="Times New Roman" w:hAnsi="Times New Roman"/>
        </w:rPr>
        <w:t xml:space="preserve"> moves us </w:t>
      </w:r>
      <w:r w:rsidR="000421C8" w:rsidRPr="00E65865">
        <w:rPr>
          <w:rFonts w:ascii="Times New Roman" w:hAnsi="Times New Roman"/>
        </w:rPr>
        <w:t>from the realm of positivist realism to th</w:t>
      </w:r>
      <w:r w:rsidR="00F528F4" w:rsidRPr="00E65865">
        <w:rPr>
          <w:rFonts w:ascii="Times New Roman" w:hAnsi="Times New Roman"/>
        </w:rPr>
        <w:t>at</w:t>
      </w:r>
      <w:r w:rsidR="0046284D" w:rsidRPr="00E65865">
        <w:rPr>
          <w:rFonts w:ascii="Times New Roman" w:hAnsi="Times New Roman"/>
        </w:rPr>
        <w:t xml:space="preserve"> of ontological politic</w:t>
      </w:r>
      <w:r w:rsidR="00306A58" w:rsidRPr="00E65865">
        <w:rPr>
          <w:rFonts w:ascii="Times New Roman" w:hAnsi="Times New Roman"/>
        </w:rPr>
        <w:t>s (Law, 2004; Mol, 1999; 2002)</w:t>
      </w:r>
      <w:r w:rsidR="000421C8" w:rsidRPr="00E65865">
        <w:rPr>
          <w:rFonts w:ascii="Times New Roman" w:hAnsi="Times New Roman"/>
        </w:rPr>
        <w:t>. Here,</w:t>
      </w:r>
      <w:r w:rsidR="00306A58" w:rsidRPr="00E65865">
        <w:rPr>
          <w:rFonts w:ascii="Times New Roman" w:hAnsi="Times New Roman"/>
        </w:rPr>
        <w:t xml:space="preserve"> the ‘real’ (</w:t>
      </w:r>
      <w:r w:rsidR="00F528F4" w:rsidRPr="00E65865">
        <w:rPr>
          <w:rFonts w:ascii="Times New Roman" w:hAnsi="Times New Roman"/>
        </w:rPr>
        <w:t>e.g.</w:t>
      </w:r>
      <w:r w:rsidR="00306A58" w:rsidRPr="00E65865">
        <w:rPr>
          <w:rFonts w:ascii="Times New Roman" w:hAnsi="Times New Roman"/>
        </w:rPr>
        <w:t>, the ‘natural’ body</w:t>
      </w:r>
      <w:r w:rsidR="00191F5F" w:rsidRPr="00E65865">
        <w:rPr>
          <w:rFonts w:ascii="Times New Roman" w:hAnsi="Times New Roman"/>
        </w:rPr>
        <w:t xml:space="preserve">, the </w:t>
      </w:r>
      <w:r w:rsidR="000421C8" w:rsidRPr="00E65865">
        <w:rPr>
          <w:rFonts w:ascii="Times New Roman" w:hAnsi="Times New Roman"/>
        </w:rPr>
        <w:t>‘</w:t>
      </w:r>
      <w:r w:rsidR="00191F5F" w:rsidRPr="00E65865">
        <w:rPr>
          <w:rFonts w:ascii="Times New Roman" w:hAnsi="Times New Roman"/>
        </w:rPr>
        <w:t>two</w:t>
      </w:r>
      <w:r w:rsidR="000421C8" w:rsidRPr="00E65865">
        <w:rPr>
          <w:rFonts w:ascii="Times New Roman" w:hAnsi="Times New Roman"/>
        </w:rPr>
        <w:t>’</w:t>
      </w:r>
      <w:r w:rsidR="00191F5F" w:rsidRPr="00E65865">
        <w:rPr>
          <w:rFonts w:ascii="Times New Roman" w:hAnsi="Times New Roman"/>
        </w:rPr>
        <w:t xml:space="preserve"> sexes</w:t>
      </w:r>
      <w:r w:rsidR="00306A58" w:rsidRPr="00E65865">
        <w:rPr>
          <w:rFonts w:ascii="Times New Roman" w:hAnsi="Times New Roman"/>
        </w:rPr>
        <w:t xml:space="preserve"> or hormonal </w:t>
      </w:r>
      <w:r w:rsidR="000E5F67" w:rsidRPr="00E65865">
        <w:rPr>
          <w:rFonts w:ascii="Times New Roman" w:hAnsi="Times New Roman"/>
        </w:rPr>
        <w:t>‘</w:t>
      </w:r>
      <w:r w:rsidR="00306A58" w:rsidRPr="00E65865">
        <w:rPr>
          <w:rFonts w:ascii="Times New Roman" w:hAnsi="Times New Roman"/>
        </w:rPr>
        <w:t>effects’)</w:t>
      </w:r>
      <w:r w:rsidR="000421C8" w:rsidRPr="00E65865">
        <w:rPr>
          <w:rFonts w:ascii="Times New Roman" w:hAnsi="Times New Roman"/>
        </w:rPr>
        <w:t xml:space="preserve"> is</w:t>
      </w:r>
      <w:r w:rsidR="00306A58" w:rsidRPr="00E65865">
        <w:rPr>
          <w:rFonts w:ascii="Times New Roman" w:hAnsi="Times New Roman"/>
        </w:rPr>
        <w:t xml:space="preserve"> made in and through practices such as steroid injecting rather than preceding them. </w:t>
      </w:r>
      <w:r w:rsidR="000421C8" w:rsidRPr="00E65865">
        <w:rPr>
          <w:rFonts w:ascii="Times New Roman" w:hAnsi="Times New Roman"/>
        </w:rPr>
        <w:t>In f</w:t>
      </w:r>
      <w:r w:rsidR="00191F5F" w:rsidRPr="00E65865">
        <w:rPr>
          <w:rFonts w:ascii="Times New Roman" w:hAnsi="Times New Roman"/>
        </w:rPr>
        <w:t>ollowing this approach, we ask</w:t>
      </w:r>
      <w:r w:rsidR="000E5F67" w:rsidRPr="00E65865">
        <w:rPr>
          <w:rFonts w:ascii="Times New Roman" w:hAnsi="Times New Roman"/>
        </w:rPr>
        <w:t xml:space="preserve"> w</w:t>
      </w:r>
      <w:r w:rsidR="000A1091" w:rsidRPr="00E65865">
        <w:rPr>
          <w:rFonts w:ascii="Times New Roman" w:hAnsi="Times New Roman"/>
        </w:rPr>
        <w:t xml:space="preserve">hat the </w:t>
      </w:r>
      <w:r w:rsidR="000421C8" w:rsidRPr="00E65865">
        <w:rPr>
          <w:rFonts w:ascii="Times New Roman" w:hAnsi="Times New Roman"/>
        </w:rPr>
        <w:t xml:space="preserve">gendered </w:t>
      </w:r>
      <w:r w:rsidR="000A1091" w:rsidRPr="00E65865">
        <w:rPr>
          <w:rFonts w:ascii="Times New Roman" w:hAnsi="Times New Roman"/>
        </w:rPr>
        <w:t>symbolic meaning</w:t>
      </w:r>
      <w:r w:rsidR="0046284D" w:rsidRPr="00E65865">
        <w:rPr>
          <w:rFonts w:ascii="Times New Roman" w:hAnsi="Times New Roman"/>
        </w:rPr>
        <w:t>s</w:t>
      </w:r>
      <w:r w:rsidR="000A1091" w:rsidRPr="00E65865">
        <w:rPr>
          <w:rFonts w:ascii="Times New Roman" w:hAnsi="Times New Roman"/>
        </w:rPr>
        <w:t xml:space="preserve"> </w:t>
      </w:r>
      <w:r w:rsidR="000421C8" w:rsidRPr="00E65865">
        <w:rPr>
          <w:rFonts w:ascii="Times New Roman" w:hAnsi="Times New Roman"/>
        </w:rPr>
        <w:t>that co-constitute</w:t>
      </w:r>
      <w:r w:rsidR="000A1091" w:rsidRPr="00E65865">
        <w:rPr>
          <w:rFonts w:ascii="Times New Roman" w:hAnsi="Times New Roman"/>
        </w:rPr>
        <w:t xml:space="preserve"> testosterone in men’s accounts of steroid injecting</w:t>
      </w:r>
      <w:r w:rsidR="00191F5F" w:rsidRPr="00E65865">
        <w:rPr>
          <w:rFonts w:ascii="Times New Roman" w:hAnsi="Times New Roman"/>
        </w:rPr>
        <w:t xml:space="preserve"> can</w:t>
      </w:r>
      <w:r w:rsidR="000A1091" w:rsidRPr="00E65865">
        <w:rPr>
          <w:rFonts w:ascii="Times New Roman" w:hAnsi="Times New Roman"/>
        </w:rPr>
        <w:t xml:space="preserve"> tell us about </w:t>
      </w:r>
      <w:r w:rsidR="00FB66A8" w:rsidRPr="00E65865">
        <w:rPr>
          <w:rFonts w:ascii="Times New Roman" w:hAnsi="Times New Roman"/>
        </w:rPr>
        <w:t>their</w:t>
      </w:r>
      <w:r w:rsidR="000A1091" w:rsidRPr="00E65865">
        <w:rPr>
          <w:rFonts w:ascii="Times New Roman" w:hAnsi="Times New Roman"/>
        </w:rPr>
        <w:t xml:space="preserve"> consumption</w:t>
      </w:r>
      <w:r w:rsidR="00191F5F" w:rsidRPr="00E65865">
        <w:rPr>
          <w:rFonts w:ascii="Times New Roman" w:hAnsi="Times New Roman"/>
        </w:rPr>
        <w:t>.</w:t>
      </w:r>
      <w:r w:rsidR="00A51BE7" w:rsidRPr="00E65865">
        <w:rPr>
          <w:rFonts w:ascii="Times New Roman" w:hAnsi="Times New Roman"/>
        </w:rPr>
        <w:t xml:space="preserve"> </w:t>
      </w:r>
      <w:r w:rsidR="00C349BA" w:rsidRPr="00E65865">
        <w:rPr>
          <w:rFonts w:ascii="Times New Roman" w:hAnsi="Times New Roman"/>
        </w:rPr>
        <w:t>What are the</w:t>
      </w:r>
      <w:r w:rsidR="00A51BE7" w:rsidRPr="00E65865">
        <w:rPr>
          <w:rFonts w:ascii="Times New Roman" w:hAnsi="Times New Roman"/>
        </w:rPr>
        <w:t xml:space="preserve"> gendered and social </w:t>
      </w:r>
      <w:r w:rsidR="00314C20" w:rsidRPr="00E65865">
        <w:rPr>
          <w:rFonts w:ascii="Times New Roman" w:hAnsi="Times New Roman"/>
        </w:rPr>
        <w:t xml:space="preserve">obligations and imperatives </w:t>
      </w:r>
      <w:r w:rsidR="00A51BE7" w:rsidRPr="00E65865">
        <w:rPr>
          <w:rFonts w:ascii="Times New Roman" w:hAnsi="Times New Roman"/>
        </w:rPr>
        <w:t>men</w:t>
      </w:r>
      <w:r w:rsidR="00E9533E" w:rsidRPr="00E65865">
        <w:rPr>
          <w:rFonts w:ascii="Times New Roman" w:hAnsi="Times New Roman"/>
        </w:rPr>
        <w:t xml:space="preserve"> experience</w:t>
      </w:r>
      <w:r w:rsidR="00A51BE7" w:rsidRPr="00E65865">
        <w:rPr>
          <w:rFonts w:ascii="Times New Roman" w:hAnsi="Times New Roman"/>
        </w:rPr>
        <w:t xml:space="preserve"> in contemporary </w:t>
      </w:r>
      <w:r w:rsidR="000E5F67" w:rsidRPr="00E65865">
        <w:rPr>
          <w:rFonts w:ascii="Times New Roman" w:hAnsi="Times New Roman"/>
        </w:rPr>
        <w:t>culture</w:t>
      </w:r>
      <w:r w:rsidR="00A51BE7" w:rsidRPr="00E65865">
        <w:rPr>
          <w:rFonts w:ascii="Times New Roman" w:hAnsi="Times New Roman"/>
        </w:rPr>
        <w:t xml:space="preserve">? </w:t>
      </w:r>
      <w:r w:rsidR="00C349BA" w:rsidRPr="00E65865">
        <w:rPr>
          <w:rFonts w:ascii="Times New Roman" w:hAnsi="Times New Roman"/>
        </w:rPr>
        <w:t xml:space="preserve">How does testosterone work performatively </w:t>
      </w:r>
      <w:r w:rsidR="003D4EEE" w:rsidRPr="00E65865">
        <w:rPr>
          <w:rFonts w:ascii="Times New Roman" w:hAnsi="Times New Roman"/>
        </w:rPr>
        <w:t>to make some gendered realities possible</w:t>
      </w:r>
      <w:r w:rsidR="00C349BA" w:rsidRPr="00E65865">
        <w:rPr>
          <w:rFonts w:ascii="Times New Roman" w:hAnsi="Times New Roman"/>
        </w:rPr>
        <w:t xml:space="preserve">? </w:t>
      </w:r>
    </w:p>
    <w:p w14:paraId="0F1E412C" w14:textId="77777777" w:rsidR="00AC1943" w:rsidRPr="00E65865" w:rsidRDefault="00AC1943" w:rsidP="00BC2EB1">
      <w:pPr>
        <w:spacing w:line="360" w:lineRule="auto"/>
      </w:pPr>
    </w:p>
    <w:p w14:paraId="17664734" w14:textId="04501461" w:rsidR="0097296D" w:rsidRPr="00E65865" w:rsidRDefault="0097296D" w:rsidP="008D302F">
      <w:pPr>
        <w:pStyle w:val="Heading2"/>
        <w:spacing w:line="360" w:lineRule="auto"/>
      </w:pPr>
      <w:r w:rsidRPr="00E65865">
        <w:t>Method</w:t>
      </w:r>
    </w:p>
    <w:p w14:paraId="56F0713C" w14:textId="38C97E01" w:rsidR="001A54D2" w:rsidRPr="00E65865" w:rsidRDefault="001A54D2" w:rsidP="008D302F">
      <w:pPr>
        <w:tabs>
          <w:tab w:val="left" w:pos="2438"/>
        </w:tabs>
        <w:spacing w:line="360" w:lineRule="auto"/>
        <w:rPr>
          <w:rFonts w:eastAsia="Calibri"/>
        </w:rPr>
      </w:pPr>
      <w:r w:rsidRPr="00E65865">
        <w:rPr>
          <w:rFonts w:eastAsia="Calibri"/>
        </w:rPr>
        <w:t>This article draws on in-depth, semi-structured interviews conducted for an Australian Research Council-funded project entitled ‘</w:t>
      </w:r>
      <w:r w:rsidRPr="00E65865">
        <w:rPr>
          <w:rFonts w:eastAsia="Calibri"/>
          <w:lang w:val="en-US"/>
        </w:rPr>
        <w:t xml:space="preserve">Understanding performance and image-enhancing drug injecting to improve health and </w:t>
      </w:r>
      <w:proofErr w:type="spellStart"/>
      <w:r w:rsidRPr="00E65865">
        <w:rPr>
          <w:rFonts w:eastAsia="Calibri"/>
          <w:lang w:val="en-US"/>
        </w:rPr>
        <w:t>minimise</w:t>
      </w:r>
      <w:proofErr w:type="spellEnd"/>
      <w:r w:rsidRPr="00E65865">
        <w:rPr>
          <w:rFonts w:eastAsia="Calibri"/>
          <w:lang w:val="en-US"/>
        </w:rPr>
        <w:t xml:space="preserve"> hepatitis C transmission’</w:t>
      </w:r>
      <w:r w:rsidR="001C7896" w:rsidRPr="00E65865">
        <w:rPr>
          <w:rFonts w:eastAsia="Calibri"/>
          <w:lang w:val="en-US"/>
        </w:rPr>
        <w:t xml:space="preserve"> </w:t>
      </w:r>
      <w:r w:rsidR="001C7896" w:rsidRPr="00E65865">
        <w:rPr>
          <w:lang w:val="en-US"/>
        </w:rPr>
        <w:t>(</w:t>
      </w:r>
      <w:r w:rsidR="00065A98" w:rsidRPr="00E65865">
        <w:rPr>
          <w:lang w:val="en-US"/>
        </w:rPr>
        <w:t>DP170100302</w:t>
      </w:r>
      <w:r w:rsidR="001C7896" w:rsidRPr="00E65865">
        <w:rPr>
          <w:lang w:val="en-US"/>
        </w:rPr>
        <w:t>)</w:t>
      </w:r>
      <w:r w:rsidRPr="00E65865">
        <w:rPr>
          <w:rFonts w:eastAsia="Calibri"/>
          <w:lang w:val="en-US"/>
        </w:rPr>
        <w:t>.</w:t>
      </w:r>
      <w:r w:rsidR="00FB66A8" w:rsidRPr="00E65865">
        <w:rPr>
          <w:rStyle w:val="FootnoteReference"/>
        </w:rPr>
        <w:footnoteReference w:id="1"/>
      </w:r>
      <w:r w:rsidRPr="00E65865">
        <w:rPr>
          <w:rFonts w:eastAsia="Calibri"/>
          <w:lang w:val="en-US"/>
        </w:rPr>
        <w:t xml:space="preserve"> </w:t>
      </w:r>
      <w:r w:rsidR="00FB66A8" w:rsidRPr="00E65865">
        <w:rPr>
          <w:rFonts w:eastAsia="Calibri"/>
          <w:lang w:val="en-US"/>
        </w:rPr>
        <w:t>I</w:t>
      </w:r>
      <w:r w:rsidRPr="00E65865">
        <w:rPr>
          <w:rFonts w:eastAsia="Calibri"/>
          <w:lang w:val="en-US"/>
        </w:rPr>
        <w:t xml:space="preserve">nterviews were conducted </w:t>
      </w:r>
      <w:r w:rsidR="00FB66A8" w:rsidRPr="00E65865">
        <w:rPr>
          <w:rFonts w:eastAsia="Calibri"/>
          <w:lang w:val="en-US"/>
        </w:rPr>
        <w:t xml:space="preserve">across Australia </w:t>
      </w:r>
      <w:r w:rsidRPr="00E65865">
        <w:rPr>
          <w:rFonts w:eastAsia="Calibri"/>
          <w:lang w:val="en-US"/>
        </w:rPr>
        <w:t xml:space="preserve">with 60 men </w:t>
      </w:r>
      <w:r w:rsidR="00FB66A8" w:rsidRPr="00E65865">
        <w:rPr>
          <w:rFonts w:eastAsia="Calibri"/>
          <w:lang w:val="en-US"/>
        </w:rPr>
        <w:t>with a history of injecting PIEDs, including steroids</w:t>
      </w:r>
      <w:r w:rsidRPr="00E65865">
        <w:rPr>
          <w:rFonts w:eastAsia="Calibri"/>
          <w:lang w:val="en-US"/>
        </w:rPr>
        <w:t xml:space="preserve">. Participants were recruited </w:t>
      </w:r>
      <w:r w:rsidR="007D0027" w:rsidRPr="00E65865">
        <w:rPr>
          <w:rFonts w:eastAsia="Calibri"/>
          <w:lang w:val="en-US"/>
        </w:rPr>
        <w:t>using</w:t>
      </w:r>
      <w:r w:rsidRPr="00E65865">
        <w:rPr>
          <w:rFonts w:eastAsia="Calibri"/>
        </w:rPr>
        <w:t xml:space="preserve"> flyers placed in needle and syringe programs, harm reduction services, primary health services, sexual health services, bars and clubs, supplement stores and sex</w:t>
      </w:r>
      <w:r w:rsidR="00FB66A8" w:rsidRPr="00E65865">
        <w:rPr>
          <w:rFonts w:eastAsia="Calibri"/>
        </w:rPr>
        <w:t>-</w:t>
      </w:r>
      <w:r w:rsidRPr="00E65865">
        <w:rPr>
          <w:rFonts w:eastAsia="Calibri"/>
        </w:rPr>
        <w:t>on</w:t>
      </w:r>
      <w:r w:rsidR="00FB66A8" w:rsidRPr="00E65865">
        <w:rPr>
          <w:rFonts w:eastAsia="Calibri"/>
        </w:rPr>
        <w:t>-</w:t>
      </w:r>
      <w:r w:rsidRPr="00E65865">
        <w:rPr>
          <w:rFonts w:eastAsia="Calibri"/>
        </w:rPr>
        <w:t xml:space="preserve">premises venues. The study was also advertised on social media platforms, including Facebook, Twitter, Gumtree, Craig’s List and Scruff, as well as on steroid and bodybuilding online forums and in </w:t>
      </w:r>
      <w:r w:rsidRPr="00E65865">
        <w:rPr>
          <w:rFonts w:eastAsia="Calibri"/>
          <w:i/>
        </w:rPr>
        <w:t>Men’s Health</w:t>
      </w:r>
      <w:r w:rsidRPr="00E65865">
        <w:rPr>
          <w:rFonts w:eastAsia="Calibri"/>
        </w:rPr>
        <w:t xml:space="preserve"> magazine. In Victoria, participants were recruited with the assistance of Australia’s only </w:t>
      </w:r>
      <w:r w:rsidR="004163C6" w:rsidRPr="00E65865">
        <w:rPr>
          <w:rFonts w:eastAsia="Calibri"/>
        </w:rPr>
        <w:t>Steroid Education Program</w:t>
      </w:r>
      <w:r w:rsidRPr="00E65865">
        <w:rPr>
          <w:rFonts w:eastAsia="Calibri"/>
        </w:rPr>
        <w:t xml:space="preserve"> for </w:t>
      </w:r>
      <w:r w:rsidR="006D505E" w:rsidRPr="00E65865">
        <w:rPr>
          <w:rFonts w:eastAsia="Calibri"/>
        </w:rPr>
        <w:t>people who use steroids</w:t>
      </w:r>
      <w:r w:rsidRPr="00E65865">
        <w:rPr>
          <w:rFonts w:eastAsia="Calibri"/>
        </w:rPr>
        <w:t xml:space="preserve"> (Aitken et al., 2002). Participants were over the age of 18 and had reported </w:t>
      </w:r>
      <w:r w:rsidR="00FB66A8" w:rsidRPr="00E65865">
        <w:rPr>
          <w:rFonts w:eastAsia="Calibri"/>
        </w:rPr>
        <w:t xml:space="preserve">injecting </w:t>
      </w:r>
      <w:r w:rsidRPr="00E65865">
        <w:rPr>
          <w:rFonts w:eastAsia="Calibri"/>
        </w:rPr>
        <w:t xml:space="preserve">a PIED in the last 12 months. Aside from one participant who solely used peptides, all other participants used </w:t>
      </w:r>
      <w:r w:rsidR="007D0027" w:rsidRPr="00E65865">
        <w:rPr>
          <w:rFonts w:eastAsia="Calibri"/>
        </w:rPr>
        <w:t>multiple</w:t>
      </w:r>
      <w:r w:rsidRPr="00E65865">
        <w:rPr>
          <w:rFonts w:eastAsia="Calibri"/>
        </w:rPr>
        <w:t xml:space="preserve"> PIEDs, and almost all used anabolic</w:t>
      </w:r>
      <w:r w:rsidR="00F528F4" w:rsidRPr="00E65865">
        <w:rPr>
          <w:rFonts w:eastAsia="Calibri"/>
        </w:rPr>
        <w:t>-</w:t>
      </w:r>
      <w:r w:rsidRPr="00E65865">
        <w:rPr>
          <w:rFonts w:eastAsia="Calibri"/>
        </w:rPr>
        <w:t>androgenic steroids</w:t>
      </w:r>
      <w:r w:rsidR="001C7896" w:rsidRPr="00E65865">
        <w:rPr>
          <w:rFonts w:eastAsia="Calibri"/>
        </w:rPr>
        <w:t>, includ</w:t>
      </w:r>
      <w:r w:rsidR="007D0027" w:rsidRPr="00E65865">
        <w:rPr>
          <w:rFonts w:eastAsia="Calibri"/>
        </w:rPr>
        <w:t>ing</w:t>
      </w:r>
      <w:r w:rsidR="001C7896" w:rsidRPr="00E65865">
        <w:rPr>
          <w:rFonts w:eastAsia="Calibri"/>
        </w:rPr>
        <w:t xml:space="preserve"> testosterone</w:t>
      </w:r>
      <w:r w:rsidRPr="00E65865">
        <w:rPr>
          <w:rFonts w:eastAsia="Calibri"/>
        </w:rPr>
        <w:t xml:space="preserve">. </w:t>
      </w:r>
    </w:p>
    <w:p w14:paraId="4450FD1A" w14:textId="26A43C16" w:rsidR="001A54D2" w:rsidRPr="00E65865" w:rsidRDefault="001A54D2" w:rsidP="00642F35">
      <w:pPr>
        <w:tabs>
          <w:tab w:val="left" w:pos="2438"/>
        </w:tabs>
        <w:spacing w:line="360" w:lineRule="auto"/>
        <w:rPr>
          <w:rFonts w:eastAsia="Calibri"/>
        </w:rPr>
      </w:pPr>
      <w:r w:rsidRPr="00E65865">
        <w:rPr>
          <w:rFonts w:eastAsia="Calibri"/>
        </w:rPr>
        <w:t xml:space="preserve">The 60 participants were recruited </w:t>
      </w:r>
      <w:r w:rsidRPr="00E65865">
        <w:rPr>
          <w:rFonts w:eastAsia="Calibri"/>
          <w:lang w:val="en-US"/>
        </w:rPr>
        <w:t xml:space="preserve">from urban and regional </w:t>
      </w:r>
      <w:r w:rsidRPr="00E65865">
        <w:rPr>
          <w:rFonts w:eastAsia="Calibri"/>
        </w:rPr>
        <w:t>Victoria (n = 20), Queensland (n</w:t>
      </w:r>
      <w:r w:rsidR="007D0027" w:rsidRPr="00E65865">
        <w:rPr>
          <w:rFonts w:eastAsia="Calibri"/>
        </w:rPr>
        <w:t> </w:t>
      </w:r>
      <w:r w:rsidRPr="00E65865">
        <w:rPr>
          <w:rFonts w:eastAsia="Calibri"/>
        </w:rPr>
        <w:t>=</w:t>
      </w:r>
      <w:r w:rsidR="007D0027" w:rsidRPr="00E65865">
        <w:rPr>
          <w:rFonts w:eastAsia="Calibri"/>
        </w:rPr>
        <w:t> </w:t>
      </w:r>
      <w:r w:rsidRPr="00E65865">
        <w:rPr>
          <w:rFonts w:eastAsia="Calibri"/>
        </w:rPr>
        <w:t xml:space="preserve">15), Western Australia (n = 13) and New South Wales (n = 12). Men were aged 19 to 72 </w:t>
      </w:r>
      <w:r w:rsidRPr="00E65865">
        <w:rPr>
          <w:rFonts w:eastAsia="Calibri"/>
        </w:rPr>
        <w:lastRenderedPageBreak/>
        <w:t xml:space="preserve">years, with 18 aged under 25 years and 42 aged over 25 years. </w:t>
      </w:r>
      <w:r w:rsidR="00642F35" w:rsidRPr="00E65865">
        <w:rPr>
          <w:rFonts w:eastAsia="Calibri"/>
        </w:rPr>
        <w:t xml:space="preserve">Participants were asked how they identified their sexual orientation (with prompts for gay, homosexual, straight, heterosexual, bisexual, queer and/or other). </w:t>
      </w:r>
      <w:r w:rsidRPr="00E65865">
        <w:rPr>
          <w:rFonts w:eastAsia="Calibri"/>
        </w:rPr>
        <w:t>Forty-seven men identified as heterosexual, eight as gay and one as bisexual.</w:t>
      </w:r>
      <w:r w:rsidR="00642F35" w:rsidRPr="00E65865">
        <w:rPr>
          <w:rFonts w:eastAsia="Calibri"/>
        </w:rPr>
        <w:t xml:space="preserve"> </w:t>
      </w:r>
      <w:r w:rsidR="00B4279D" w:rsidRPr="00E65865">
        <w:rPr>
          <w:rFonts w:eastAsia="Calibri"/>
        </w:rPr>
        <w:t xml:space="preserve">We did </w:t>
      </w:r>
      <w:r w:rsidR="00642F35" w:rsidRPr="00E65865">
        <w:rPr>
          <w:rFonts w:eastAsia="Calibri"/>
        </w:rPr>
        <w:t>not ask about sex assigned at birth. No participants disclosed that they were trans or had a trans history.</w:t>
      </w:r>
      <w:r w:rsidRPr="00E65865">
        <w:rPr>
          <w:rFonts w:eastAsia="Calibri"/>
        </w:rPr>
        <w:t xml:space="preserve"> Thirty-three participants reported that both they and their parents were born in Australia, 13 participants reported that they were born in Australia and one or both of their parents were born overseas, and 14 participants reported being born overseas. </w:t>
      </w:r>
    </w:p>
    <w:p w14:paraId="20A14AC4" w14:textId="7AD65D90" w:rsidR="001A54D2" w:rsidRPr="00E65865" w:rsidRDefault="001A54D2" w:rsidP="008D302F">
      <w:pPr>
        <w:tabs>
          <w:tab w:val="left" w:pos="2438"/>
        </w:tabs>
        <w:spacing w:line="360" w:lineRule="auto"/>
        <w:rPr>
          <w:rFonts w:eastAsia="Calibri"/>
        </w:rPr>
      </w:pPr>
      <w:r w:rsidRPr="00E65865">
        <w:rPr>
          <w:rFonts w:eastAsia="Calibri"/>
        </w:rPr>
        <w:t xml:space="preserve">The interviews </w:t>
      </w:r>
      <w:r w:rsidR="007D0027" w:rsidRPr="00E65865">
        <w:rPr>
          <w:rFonts w:eastAsia="Calibri"/>
        </w:rPr>
        <w:t>lasted betw</w:t>
      </w:r>
      <w:r w:rsidR="00D70453" w:rsidRPr="00E65865">
        <w:rPr>
          <w:rFonts w:eastAsia="Calibri"/>
        </w:rPr>
        <w:t>e</w:t>
      </w:r>
      <w:r w:rsidR="007D0027" w:rsidRPr="00E65865">
        <w:rPr>
          <w:rFonts w:eastAsia="Calibri"/>
        </w:rPr>
        <w:t>en</w:t>
      </w:r>
      <w:r w:rsidRPr="00E65865">
        <w:rPr>
          <w:rFonts w:eastAsia="Calibri"/>
        </w:rPr>
        <w:t xml:space="preserve"> 45 </w:t>
      </w:r>
      <w:r w:rsidR="007D0027" w:rsidRPr="00E65865">
        <w:rPr>
          <w:rFonts w:eastAsia="Calibri"/>
        </w:rPr>
        <w:t xml:space="preserve">and </w:t>
      </w:r>
      <w:r w:rsidRPr="00E65865">
        <w:rPr>
          <w:rFonts w:eastAsia="Calibri"/>
        </w:rPr>
        <w:t>90 minutes. The interview schedule was developed with reference to the literature, the project’s aims</w:t>
      </w:r>
      <w:r w:rsidR="00F528F4" w:rsidRPr="00E65865">
        <w:rPr>
          <w:rFonts w:eastAsia="Calibri"/>
        </w:rPr>
        <w:t xml:space="preserve"> and</w:t>
      </w:r>
      <w:r w:rsidRPr="00E65865">
        <w:rPr>
          <w:rFonts w:eastAsia="Calibri"/>
        </w:rPr>
        <w:t xml:space="preserve"> input from the project advisory board, and further developed during the project as the interviews highlighted new issues. </w:t>
      </w:r>
      <w:r w:rsidR="007D0027" w:rsidRPr="00E65865">
        <w:rPr>
          <w:rFonts w:eastAsia="Calibri"/>
        </w:rPr>
        <w:t>T</w:t>
      </w:r>
      <w:r w:rsidRPr="00E65865">
        <w:rPr>
          <w:rFonts w:eastAsia="Calibri"/>
        </w:rPr>
        <w:t>he interviews explored experiences of PIED use including initiation to injecting, injecting settings, fitness settings and routines, practices and patterns of injecting and consumption, experiences of PIED use and its effects, interactions with health service providers, and sources of information about safe injecting and hepatitis C. All</w:t>
      </w:r>
      <w:r w:rsidR="001C7896" w:rsidRPr="00E65865">
        <w:rPr>
          <w:rFonts w:eastAsia="Calibri"/>
        </w:rPr>
        <w:t xml:space="preserve"> participants</w:t>
      </w:r>
      <w:r w:rsidRPr="00E65865">
        <w:rPr>
          <w:rFonts w:eastAsia="Calibri"/>
        </w:rPr>
        <w:t xml:space="preserve"> were given</w:t>
      </w:r>
      <w:r w:rsidR="007D0027" w:rsidRPr="00E65865">
        <w:rPr>
          <w:rFonts w:eastAsia="Calibri"/>
        </w:rPr>
        <w:t xml:space="preserve"> (in person or via email)</w:t>
      </w:r>
      <w:r w:rsidRPr="00E65865">
        <w:rPr>
          <w:rFonts w:eastAsia="Calibri"/>
        </w:rPr>
        <w:t xml:space="preserve"> an information sheet describing the aims of the project, sign</w:t>
      </w:r>
      <w:r w:rsidR="001C7896" w:rsidRPr="00E65865">
        <w:rPr>
          <w:rFonts w:eastAsia="Calibri"/>
        </w:rPr>
        <w:t>ed</w:t>
      </w:r>
      <w:r w:rsidRPr="00E65865">
        <w:rPr>
          <w:rFonts w:eastAsia="Calibri"/>
        </w:rPr>
        <w:t xml:space="preserve"> a consent form, and were reimbursed AUD50 for their time and contribution to the research. Curtin University’s Human Research Ethics Committee approved the study (</w:t>
      </w:r>
      <w:r w:rsidRPr="00E65865">
        <w:rPr>
          <w:rFonts w:eastAsia="Calibri"/>
          <w:bCs/>
        </w:rPr>
        <w:t>HRE2017-0372</w:t>
      </w:r>
      <w:r w:rsidRPr="00E65865">
        <w:rPr>
          <w:rFonts w:eastAsia="Calibri"/>
        </w:rPr>
        <w:t xml:space="preserve">). </w:t>
      </w:r>
    </w:p>
    <w:p w14:paraId="5214047D" w14:textId="60B5914A" w:rsidR="001D4F56" w:rsidRPr="00E65865" w:rsidRDefault="001A54D2" w:rsidP="002F410B">
      <w:pPr>
        <w:tabs>
          <w:tab w:val="left" w:pos="2438"/>
        </w:tabs>
        <w:spacing w:line="360" w:lineRule="auto"/>
        <w:rPr>
          <w:rFonts w:eastAsia="Calibri"/>
        </w:rPr>
      </w:pPr>
      <w:r w:rsidRPr="00E65865">
        <w:rPr>
          <w:rFonts w:eastAsia="Calibri"/>
        </w:rPr>
        <w:t xml:space="preserve">All interviews were digitally recorded, transcribed and imported into NVivo 11 for data management and coding. A coding framework was generated using a combination of methods: </w:t>
      </w:r>
      <w:r w:rsidR="001C7896" w:rsidRPr="00E65865">
        <w:t>codes were identified in response</w:t>
      </w:r>
      <w:r w:rsidR="004B0859" w:rsidRPr="00E65865">
        <w:t xml:space="preserve"> to the </w:t>
      </w:r>
      <w:r w:rsidR="00000B1C" w:rsidRPr="00E65865">
        <w:t>project</w:t>
      </w:r>
      <w:r w:rsidR="007D0027" w:rsidRPr="00E65865">
        <w:t>’s</w:t>
      </w:r>
      <w:r w:rsidR="00000B1C" w:rsidRPr="00E65865">
        <w:t xml:space="preserve"> aims and </w:t>
      </w:r>
      <w:r w:rsidR="001C7896" w:rsidRPr="00E65865">
        <w:t xml:space="preserve">previous research on PIED consumption, </w:t>
      </w:r>
      <w:proofErr w:type="gramStart"/>
      <w:r w:rsidR="001C7896" w:rsidRPr="00E65865">
        <w:t>on the basis of</w:t>
      </w:r>
      <w:proofErr w:type="gramEnd"/>
      <w:r w:rsidR="001C7896" w:rsidRPr="00E65865" w:rsidDel="002C05E1">
        <w:t xml:space="preserve"> </w:t>
      </w:r>
      <w:r w:rsidR="001C7896" w:rsidRPr="00E65865">
        <w:t>emerging themes in the data</w:t>
      </w:r>
      <w:r w:rsidR="007D0027" w:rsidRPr="00E65865">
        <w:t>,</w:t>
      </w:r>
      <w:r w:rsidR="001C7896" w:rsidRPr="00E65865">
        <w:t xml:space="preserve"> and in consultation with the project’s advisory board. </w:t>
      </w:r>
      <w:r w:rsidR="004B0859" w:rsidRPr="00E65865">
        <w:rPr>
          <w:rFonts w:eastAsia="Calibri"/>
        </w:rPr>
        <w:t xml:space="preserve">The interview transcripts were coded </w:t>
      </w:r>
      <w:r w:rsidR="00000B1C" w:rsidRPr="00E65865">
        <w:rPr>
          <w:rFonts w:eastAsia="Calibri"/>
        </w:rPr>
        <w:t xml:space="preserve">by the first author and </w:t>
      </w:r>
      <w:r w:rsidR="000421C8" w:rsidRPr="00E65865">
        <w:rPr>
          <w:rFonts w:eastAsia="Calibri"/>
        </w:rPr>
        <w:t>another research team member (</w:t>
      </w:r>
      <w:r w:rsidR="00065A98" w:rsidRPr="00E65865">
        <w:rPr>
          <w:rFonts w:eastAsia="Calibri"/>
        </w:rPr>
        <w:t>Emily Lenton</w:t>
      </w:r>
      <w:r w:rsidR="000421C8" w:rsidRPr="00E65865">
        <w:rPr>
          <w:rFonts w:eastAsia="Calibri"/>
        </w:rPr>
        <w:t>)</w:t>
      </w:r>
      <w:r w:rsidR="00000B1C" w:rsidRPr="00E65865">
        <w:rPr>
          <w:rFonts w:eastAsia="Calibri"/>
        </w:rPr>
        <w:t xml:space="preserve"> </w:t>
      </w:r>
      <w:r w:rsidR="004B0859" w:rsidRPr="00E65865">
        <w:rPr>
          <w:rFonts w:eastAsia="Calibri"/>
        </w:rPr>
        <w:t>using</w:t>
      </w:r>
      <w:r w:rsidR="00000B1C" w:rsidRPr="00E65865">
        <w:rPr>
          <w:rFonts w:eastAsia="Calibri"/>
        </w:rPr>
        <w:t xml:space="preserve"> an iterative process, </w:t>
      </w:r>
      <w:r w:rsidR="004B0859" w:rsidRPr="00E65865">
        <w:rPr>
          <w:rFonts w:eastAsia="Calibri"/>
        </w:rPr>
        <w:t xml:space="preserve">in collaboration with the lead investigator (author </w:t>
      </w:r>
      <w:r w:rsidR="00000B1C" w:rsidRPr="00E65865">
        <w:rPr>
          <w:rFonts w:eastAsia="Calibri"/>
        </w:rPr>
        <w:t>three</w:t>
      </w:r>
      <w:r w:rsidR="004B0859" w:rsidRPr="00E65865">
        <w:rPr>
          <w:rFonts w:eastAsia="Calibri"/>
        </w:rPr>
        <w:t xml:space="preserve">) to maximise coding consistency and comprehensiveness. </w:t>
      </w:r>
    </w:p>
    <w:p w14:paraId="6CD90446" w14:textId="2F94EE65" w:rsidR="009B7672" w:rsidRDefault="009B7672" w:rsidP="002F410B">
      <w:pPr>
        <w:tabs>
          <w:tab w:val="left" w:pos="2438"/>
        </w:tabs>
        <w:spacing w:line="360" w:lineRule="auto"/>
        <w:rPr>
          <w:rFonts w:eastAsia="Calibri"/>
        </w:rPr>
      </w:pPr>
    </w:p>
    <w:p w14:paraId="7F8A7393" w14:textId="7D80DB44" w:rsidR="00E65865" w:rsidRDefault="00E65865" w:rsidP="002F410B">
      <w:pPr>
        <w:tabs>
          <w:tab w:val="left" w:pos="2438"/>
        </w:tabs>
        <w:spacing w:line="360" w:lineRule="auto"/>
        <w:rPr>
          <w:rFonts w:eastAsia="Calibri"/>
        </w:rPr>
      </w:pPr>
    </w:p>
    <w:p w14:paraId="5368AC20" w14:textId="71A01B2B" w:rsidR="00E65865" w:rsidRDefault="00E65865" w:rsidP="002F410B">
      <w:pPr>
        <w:tabs>
          <w:tab w:val="left" w:pos="2438"/>
        </w:tabs>
        <w:spacing w:line="360" w:lineRule="auto"/>
        <w:rPr>
          <w:rFonts w:eastAsia="Calibri"/>
        </w:rPr>
      </w:pPr>
    </w:p>
    <w:p w14:paraId="263F2EC5" w14:textId="77777777" w:rsidR="00E65865" w:rsidRPr="00E65865" w:rsidRDefault="00E65865" w:rsidP="002F410B">
      <w:pPr>
        <w:tabs>
          <w:tab w:val="left" w:pos="2438"/>
        </w:tabs>
        <w:spacing w:line="360" w:lineRule="auto"/>
        <w:rPr>
          <w:rFonts w:eastAsia="Calibri"/>
        </w:rPr>
      </w:pPr>
    </w:p>
    <w:p w14:paraId="2BB42CA3" w14:textId="26ADB2E2" w:rsidR="001D4F56" w:rsidRPr="00E65865" w:rsidRDefault="009B7672" w:rsidP="008D302F">
      <w:pPr>
        <w:spacing w:line="360" w:lineRule="auto"/>
        <w:rPr>
          <w:b/>
        </w:rPr>
      </w:pPr>
      <w:r w:rsidRPr="00E65865">
        <w:rPr>
          <w:b/>
        </w:rPr>
        <w:t>Analysis</w:t>
      </w:r>
    </w:p>
    <w:p w14:paraId="70B4514E" w14:textId="77777777" w:rsidR="00774286" w:rsidRPr="00E65865" w:rsidRDefault="00774286" w:rsidP="008D302F">
      <w:pPr>
        <w:spacing w:line="360" w:lineRule="auto"/>
        <w:rPr>
          <w:b/>
        </w:rPr>
      </w:pPr>
    </w:p>
    <w:p w14:paraId="271CE688" w14:textId="7AE6E965" w:rsidR="003632A8" w:rsidRPr="00E65865" w:rsidRDefault="00F1248D" w:rsidP="008D302F">
      <w:pPr>
        <w:pStyle w:val="Heading2"/>
        <w:spacing w:line="360" w:lineRule="auto"/>
        <w:rPr>
          <w:i/>
        </w:rPr>
      </w:pPr>
      <w:r w:rsidRPr="00E65865">
        <w:rPr>
          <w:i/>
        </w:rPr>
        <w:t>Vibrant physicality</w:t>
      </w:r>
    </w:p>
    <w:p w14:paraId="4D34C344" w14:textId="2BE83EEE" w:rsidR="0097296D" w:rsidRPr="00E65865" w:rsidRDefault="001B798A" w:rsidP="00AB7900">
      <w:pPr>
        <w:spacing w:line="360" w:lineRule="auto"/>
      </w:pPr>
      <w:r w:rsidRPr="00E65865">
        <w:lastRenderedPageBreak/>
        <w:t xml:space="preserve">In this section we </w:t>
      </w:r>
      <w:r w:rsidR="000421C8" w:rsidRPr="00E65865">
        <w:t xml:space="preserve">draw on our interview data to </w:t>
      </w:r>
      <w:r w:rsidR="00A84207" w:rsidRPr="00E65865">
        <w:t xml:space="preserve">explore how </w:t>
      </w:r>
      <w:r w:rsidRPr="00E65865">
        <w:t xml:space="preserve">men </w:t>
      </w:r>
      <w:r w:rsidR="00A84207" w:rsidRPr="00E65865">
        <w:t xml:space="preserve">describe the </w:t>
      </w:r>
      <w:r w:rsidRPr="00E65865">
        <w:t xml:space="preserve">experience </w:t>
      </w:r>
      <w:r w:rsidR="00A84207" w:rsidRPr="00E65865">
        <w:t xml:space="preserve">of </w:t>
      </w:r>
      <w:r w:rsidRPr="00E65865">
        <w:t>steroid use as pleasurable</w:t>
      </w:r>
      <w:r w:rsidR="0090119D" w:rsidRPr="00E65865">
        <w:t xml:space="preserve"> (building on Monaghan’s</w:t>
      </w:r>
      <w:r w:rsidR="00F23885" w:rsidRPr="00E65865">
        <w:t>,</w:t>
      </w:r>
      <w:r w:rsidR="0090119D" w:rsidRPr="00E65865">
        <w:t>2001</w:t>
      </w:r>
      <w:r w:rsidR="00F23885" w:rsidRPr="00E65865">
        <w:t>,</w:t>
      </w:r>
      <w:r w:rsidR="0090119D" w:rsidRPr="00E65865">
        <w:t xml:space="preserve"> discussion of vibrant physicality)</w:t>
      </w:r>
      <w:r w:rsidRPr="00E65865">
        <w:t xml:space="preserve">, in part </w:t>
      </w:r>
      <w:r w:rsidR="0090119D" w:rsidRPr="00E65865">
        <w:t>because of the</w:t>
      </w:r>
      <w:r w:rsidRPr="00E65865">
        <w:t xml:space="preserve"> </w:t>
      </w:r>
      <w:r w:rsidR="0090119D" w:rsidRPr="00E65865">
        <w:t>discursive</w:t>
      </w:r>
      <w:r w:rsidRPr="00E65865">
        <w:t xml:space="preserve"> meanings associated with testosterone. </w:t>
      </w:r>
      <w:r w:rsidR="00F571E8" w:rsidRPr="00E65865">
        <w:t>Many participants describe</w:t>
      </w:r>
      <w:r w:rsidR="001C7896" w:rsidRPr="00E65865">
        <w:t>d</w:t>
      </w:r>
      <w:r w:rsidR="0097296D" w:rsidRPr="00E65865">
        <w:t xml:space="preserve"> testosterone as </w:t>
      </w:r>
      <w:r w:rsidR="003B685F" w:rsidRPr="00E65865">
        <w:t xml:space="preserve">directly changing </w:t>
      </w:r>
      <w:r w:rsidR="001C7896" w:rsidRPr="00E65865">
        <w:t>their</w:t>
      </w:r>
      <w:r w:rsidR="00C117C6" w:rsidRPr="00E65865">
        <w:t xml:space="preserve"> </w:t>
      </w:r>
      <w:r w:rsidR="00FC4448" w:rsidRPr="00E65865">
        <w:t xml:space="preserve">physical </w:t>
      </w:r>
      <w:r w:rsidR="001C7896" w:rsidRPr="00E65865">
        <w:t>experience of their bod</w:t>
      </w:r>
      <w:r w:rsidR="000421C8" w:rsidRPr="00E65865">
        <w:t>ies</w:t>
      </w:r>
      <w:r w:rsidR="001C7896" w:rsidRPr="00E65865">
        <w:t xml:space="preserve">. </w:t>
      </w:r>
      <w:r w:rsidR="004654C1" w:rsidRPr="00E65865">
        <w:t xml:space="preserve">For some participants, </w:t>
      </w:r>
      <w:r w:rsidR="003B685F" w:rsidRPr="00E65865">
        <w:t xml:space="preserve">injecting steroids and thereby </w:t>
      </w:r>
      <w:r w:rsidR="004654C1" w:rsidRPr="00E65865">
        <w:t>increas</w:t>
      </w:r>
      <w:r w:rsidR="001C7896" w:rsidRPr="00E65865">
        <w:t>ing</w:t>
      </w:r>
      <w:r w:rsidR="004654C1" w:rsidRPr="00E65865">
        <w:t xml:space="preserve"> </w:t>
      </w:r>
      <w:r w:rsidR="008346FD" w:rsidRPr="00E65865">
        <w:t>the</w:t>
      </w:r>
      <w:r w:rsidR="003B685F" w:rsidRPr="00E65865">
        <w:t xml:space="preserve"> body’s</w:t>
      </w:r>
      <w:r w:rsidR="008346FD" w:rsidRPr="00E65865">
        <w:t xml:space="preserve"> level of </w:t>
      </w:r>
      <w:r w:rsidR="004654C1" w:rsidRPr="00E65865">
        <w:t xml:space="preserve">testosterone was understood to </w:t>
      </w:r>
      <w:r w:rsidR="003B685F" w:rsidRPr="00E65865">
        <w:t>directly increase</w:t>
      </w:r>
      <w:r w:rsidR="004A7A03" w:rsidRPr="00E65865">
        <w:t xml:space="preserve"> </w:t>
      </w:r>
      <w:r w:rsidR="00715C34" w:rsidRPr="00E65865">
        <w:t>muscle stren</w:t>
      </w:r>
      <w:r w:rsidR="004A7A03" w:rsidRPr="00E65865">
        <w:t>gth</w:t>
      </w:r>
      <w:r w:rsidR="003B685F" w:rsidRPr="00E65865">
        <w:t xml:space="preserve"> and</w:t>
      </w:r>
      <w:r w:rsidR="004A7A03" w:rsidRPr="00E65865">
        <w:t xml:space="preserve"> stamina and </w:t>
      </w:r>
      <w:r w:rsidR="003B685F" w:rsidRPr="00E65865">
        <w:t xml:space="preserve">reduce </w:t>
      </w:r>
      <w:r w:rsidR="004A7A03" w:rsidRPr="00E65865">
        <w:t xml:space="preserve">recovery times. For others, testosterone’s actions were more </w:t>
      </w:r>
      <w:r w:rsidR="00306A58" w:rsidRPr="00E65865">
        <w:t>abstract</w:t>
      </w:r>
      <w:r w:rsidR="004A7A03" w:rsidRPr="00E65865">
        <w:t xml:space="preserve">, </w:t>
      </w:r>
      <w:r w:rsidR="008346FD" w:rsidRPr="00E65865">
        <w:t xml:space="preserve">such as </w:t>
      </w:r>
      <w:r w:rsidR="00306A58" w:rsidRPr="00E65865">
        <w:t>improving</w:t>
      </w:r>
      <w:r w:rsidR="004A7A03" w:rsidRPr="00E65865">
        <w:t xml:space="preserve"> energy</w:t>
      </w:r>
      <w:r w:rsidR="00FC4448" w:rsidRPr="00E65865">
        <w:t>,</w:t>
      </w:r>
      <w:r w:rsidR="00306A58" w:rsidRPr="00E65865">
        <w:t xml:space="preserve"> </w:t>
      </w:r>
      <w:r w:rsidR="004A7A03" w:rsidRPr="00E65865">
        <w:t xml:space="preserve">mood, and </w:t>
      </w:r>
      <w:r w:rsidR="00AB7900" w:rsidRPr="00E65865">
        <w:t>overall</w:t>
      </w:r>
      <w:r w:rsidR="0097296D" w:rsidRPr="00E65865">
        <w:t xml:space="preserve"> vitality. </w:t>
      </w:r>
      <w:r w:rsidR="00A9284B" w:rsidRPr="00E65865">
        <w:t xml:space="preserve">For example, </w:t>
      </w:r>
      <w:proofErr w:type="spellStart"/>
      <w:r w:rsidR="00DC28D0" w:rsidRPr="00E65865">
        <w:t>Jasar</w:t>
      </w:r>
      <w:proofErr w:type="spellEnd"/>
      <w:r w:rsidR="00DC28D0" w:rsidRPr="00E65865">
        <w:t xml:space="preserve"> (NSW, 44) explained that he </w:t>
      </w:r>
      <w:r w:rsidR="00A220A8" w:rsidRPr="00E65865">
        <w:t>felt</w:t>
      </w:r>
      <w:r w:rsidR="00DC28D0" w:rsidRPr="00E65865">
        <w:t xml:space="preserve"> ‘full of life [and] energy’.</w:t>
      </w:r>
      <w:r w:rsidR="004A7A03" w:rsidRPr="00E65865">
        <w:t xml:space="preserve"> Similarly, Nathan (Qld, 26), </w:t>
      </w:r>
      <w:r w:rsidR="003B685F" w:rsidRPr="00E65865">
        <w:t xml:space="preserve">explained </w:t>
      </w:r>
      <w:r w:rsidR="004A7A03" w:rsidRPr="00E65865">
        <w:t>that with higher levels of testosterone</w:t>
      </w:r>
      <w:r w:rsidR="003B685F" w:rsidRPr="00E65865">
        <w:t xml:space="preserve"> he felt</w:t>
      </w:r>
      <w:r w:rsidR="004A7A03" w:rsidRPr="00E65865">
        <w:t xml:space="preserve"> ‘amazing</w:t>
      </w:r>
      <w:r w:rsidR="003B685F" w:rsidRPr="00E65865">
        <w:t>’,</w:t>
      </w:r>
      <w:r w:rsidR="004A7A03" w:rsidRPr="00E65865">
        <w:t xml:space="preserve"> </w:t>
      </w:r>
      <w:r w:rsidR="003B685F" w:rsidRPr="00E65865">
        <w:t>‘</w:t>
      </w:r>
      <w:r w:rsidR="004A7A03" w:rsidRPr="00E65865">
        <w:t>confident</w:t>
      </w:r>
      <w:r w:rsidR="003B685F" w:rsidRPr="00E65865">
        <w:t>’</w:t>
      </w:r>
      <w:r w:rsidR="00A84207" w:rsidRPr="00E65865">
        <w:t xml:space="preserve"> and</w:t>
      </w:r>
      <w:r w:rsidR="004A7A03" w:rsidRPr="00E65865">
        <w:t xml:space="preserve"> </w:t>
      </w:r>
      <w:r w:rsidR="003B685F" w:rsidRPr="00E65865">
        <w:t>able to ‘</w:t>
      </w:r>
      <w:r w:rsidR="004A7A03" w:rsidRPr="00E65865">
        <w:t>take on the world</w:t>
      </w:r>
      <w:r w:rsidR="003B685F" w:rsidRPr="00E65865">
        <w:t>’</w:t>
      </w:r>
      <w:r w:rsidR="00A84207" w:rsidRPr="00E65865">
        <w:t xml:space="preserve">, and </w:t>
      </w:r>
      <w:r w:rsidR="003B685F" w:rsidRPr="00E65865">
        <w:t>as though nothing could</w:t>
      </w:r>
      <w:r w:rsidR="004A7A03" w:rsidRPr="00E65865">
        <w:t xml:space="preserve"> </w:t>
      </w:r>
      <w:r w:rsidR="003B685F" w:rsidRPr="00E65865">
        <w:t>‘hurt’ him</w:t>
      </w:r>
      <w:r w:rsidR="004A7A03" w:rsidRPr="00E65865">
        <w:t xml:space="preserve">. </w:t>
      </w:r>
      <w:r w:rsidR="003B685F" w:rsidRPr="00E65865">
        <w:t>I</w:t>
      </w:r>
      <w:r w:rsidR="00DB4BFA" w:rsidRPr="00E65865">
        <w:t xml:space="preserve">n the following </w:t>
      </w:r>
      <w:r w:rsidR="003B685F" w:rsidRPr="00E65865">
        <w:t xml:space="preserve">interview </w:t>
      </w:r>
      <w:r w:rsidR="00DB4BFA" w:rsidRPr="00E65865">
        <w:t xml:space="preserve">extract, </w:t>
      </w:r>
      <w:r w:rsidR="0097296D" w:rsidRPr="00E65865">
        <w:t xml:space="preserve">Martin </w:t>
      </w:r>
      <w:r w:rsidR="00157C39" w:rsidRPr="00E65865">
        <w:t>(Vic, 2</w:t>
      </w:r>
      <w:r w:rsidR="005102E2" w:rsidRPr="00E65865">
        <w:t>9</w:t>
      </w:r>
      <w:r w:rsidR="00157C39" w:rsidRPr="00E65865">
        <w:t xml:space="preserve">) </w:t>
      </w:r>
      <w:r w:rsidR="003B685F" w:rsidRPr="00E65865">
        <w:t xml:space="preserve">likewise </w:t>
      </w:r>
      <w:r w:rsidR="00DB4BFA" w:rsidRPr="00E65865">
        <w:t>describes</w:t>
      </w:r>
      <w:r w:rsidR="00BD31BC" w:rsidRPr="00E65865">
        <w:t xml:space="preserve"> the ‘incredible effects</w:t>
      </w:r>
      <w:r w:rsidR="00282ABD" w:rsidRPr="00E65865">
        <w:t>’</w:t>
      </w:r>
      <w:r w:rsidR="00BD31BC" w:rsidRPr="00E65865">
        <w:t xml:space="preserve"> he experienced after </w:t>
      </w:r>
      <w:r w:rsidR="00FC4448" w:rsidRPr="00E65865">
        <w:t>taking</w:t>
      </w:r>
      <w:r w:rsidR="00C50FEC" w:rsidRPr="00E65865">
        <w:t xml:space="preserve"> </w:t>
      </w:r>
      <w:r w:rsidR="00BD31BC" w:rsidRPr="00E65865">
        <w:t>oral steroids following a power-lifting injury</w:t>
      </w:r>
      <w:r w:rsidR="0097296D" w:rsidRPr="00E65865">
        <w:t xml:space="preserve">: </w:t>
      </w:r>
    </w:p>
    <w:p w14:paraId="7C33F399" w14:textId="2A5FF26E" w:rsidR="001D0387" w:rsidRPr="00E65865" w:rsidRDefault="003B685F" w:rsidP="008D302F">
      <w:pPr>
        <w:pStyle w:val="ListParagraph"/>
        <w:spacing w:line="360" w:lineRule="auto"/>
      </w:pPr>
      <w:r w:rsidRPr="00E65865">
        <w:t>I</w:t>
      </w:r>
      <w:r w:rsidR="0008271A" w:rsidRPr="00E65865">
        <w:t>t’s a general anti-inflammatory, it increases red blood cells across the board […] I started with an oral cal</w:t>
      </w:r>
      <w:r w:rsidR="00BD31BC" w:rsidRPr="00E65865">
        <w:t>led Oxandrolone</w:t>
      </w:r>
      <w:r w:rsidR="005102E2" w:rsidRPr="00E65865">
        <w:t xml:space="preserve">, </w:t>
      </w:r>
      <w:r w:rsidR="00BD31BC" w:rsidRPr="00E65865">
        <w:t xml:space="preserve">commonly referred to as </w:t>
      </w:r>
      <w:proofErr w:type="spellStart"/>
      <w:r w:rsidR="00BD31BC" w:rsidRPr="00E65865">
        <w:t>Anavar</w:t>
      </w:r>
      <w:proofErr w:type="spellEnd"/>
      <w:r w:rsidR="0008271A" w:rsidRPr="00E65865">
        <w:t xml:space="preserve"> […]</w:t>
      </w:r>
      <w:r w:rsidRPr="00E65865">
        <w:t xml:space="preserve"> W</w:t>
      </w:r>
      <w:r w:rsidR="0008271A" w:rsidRPr="00E65865">
        <w:t xml:space="preserve">ithin </w:t>
      </w:r>
      <w:r w:rsidRPr="00E65865">
        <w:t xml:space="preserve">two to three </w:t>
      </w:r>
      <w:r w:rsidR="0008271A" w:rsidRPr="00E65865">
        <w:t xml:space="preserve">weeks </w:t>
      </w:r>
      <w:r w:rsidR="00BD31BC" w:rsidRPr="00E65865">
        <w:t>the pain completely subsided […</w:t>
      </w:r>
      <w:r w:rsidR="0008271A" w:rsidRPr="00E65865">
        <w:t>]</w:t>
      </w:r>
      <w:r w:rsidR="002F20C8" w:rsidRPr="00E65865">
        <w:t xml:space="preserve"> and within </w:t>
      </w:r>
      <w:r w:rsidR="00000B1C" w:rsidRPr="00E65865">
        <w:t>eight</w:t>
      </w:r>
      <w:r w:rsidR="002F20C8" w:rsidRPr="00E65865">
        <w:t xml:space="preserve"> weeks of </w:t>
      </w:r>
      <w:r w:rsidR="00FC4448" w:rsidRPr="00E65865">
        <w:t xml:space="preserve">eighty </w:t>
      </w:r>
      <w:r w:rsidR="002F20C8" w:rsidRPr="00E65865">
        <w:t>m</w:t>
      </w:r>
      <w:r w:rsidR="005102E2" w:rsidRPr="00E65865">
        <w:t>illigrams</w:t>
      </w:r>
      <w:r w:rsidR="002F20C8" w:rsidRPr="00E65865">
        <w:t xml:space="preserve"> per</w:t>
      </w:r>
      <w:r w:rsidR="00BD31BC" w:rsidRPr="00E65865">
        <w:t xml:space="preserve"> day of </w:t>
      </w:r>
      <w:proofErr w:type="spellStart"/>
      <w:r w:rsidR="00BD31BC" w:rsidRPr="00E65865">
        <w:t>Anavar</w:t>
      </w:r>
      <w:proofErr w:type="spellEnd"/>
      <w:r w:rsidR="00BD31BC" w:rsidRPr="00E65865">
        <w:t xml:space="preserve">, </w:t>
      </w:r>
      <w:r w:rsidR="00A84207" w:rsidRPr="00E65865">
        <w:t>[my shoulder]</w:t>
      </w:r>
      <w:r w:rsidR="0008271A" w:rsidRPr="00E65865">
        <w:t xml:space="preserve"> was back at almost </w:t>
      </w:r>
      <w:r w:rsidR="005102E2" w:rsidRPr="00E65865">
        <w:t>a hundred per</w:t>
      </w:r>
      <w:r w:rsidR="00FC4448" w:rsidRPr="00E65865">
        <w:t xml:space="preserve"> </w:t>
      </w:r>
      <w:r w:rsidR="005102E2" w:rsidRPr="00E65865">
        <w:t xml:space="preserve">cent. </w:t>
      </w:r>
      <w:r w:rsidR="0008271A" w:rsidRPr="00E65865">
        <w:t xml:space="preserve">I lost </w:t>
      </w:r>
      <w:r w:rsidR="00FC4448" w:rsidRPr="00E65865">
        <w:t xml:space="preserve">eighteen </w:t>
      </w:r>
      <w:r w:rsidR="0008271A" w:rsidRPr="00E65865">
        <w:t xml:space="preserve">kilos and my muscle mass increased, </w:t>
      </w:r>
      <w:r w:rsidR="004A3394" w:rsidRPr="00E65865">
        <w:t xml:space="preserve">my </w:t>
      </w:r>
      <w:r w:rsidR="0008271A" w:rsidRPr="00E65865">
        <w:t>energy levels were better, moods were better, confidence was through the roof</w:t>
      </w:r>
      <w:r w:rsidR="008346FD" w:rsidRPr="00E65865">
        <w:t>;</w:t>
      </w:r>
      <w:r w:rsidR="0008271A" w:rsidRPr="00E65865">
        <w:t xml:space="preserve"> it was incredible. </w:t>
      </w:r>
    </w:p>
    <w:p w14:paraId="63370AE2" w14:textId="73DE81C7" w:rsidR="004A7A03" w:rsidRPr="00E65865" w:rsidRDefault="004A7A03" w:rsidP="00E40B0C">
      <w:pPr>
        <w:pStyle w:val="Normal0"/>
        <w:ind w:left="0"/>
        <w:contextualSpacing w:val="0"/>
        <w:rPr>
          <w:rFonts w:ascii="Times New Roman" w:hAnsi="Times New Roman"/>
        </w:rPr>
      </w:pPr>
      <w:r w:rsidRPr="00E65865">
        <w:rPr>
          <w:rFonts w:ascii="Times New Roman" w:hAnsi="Times New Roman"/>
        </w:rPr>
        <w:t xml:space="preserve">Here, the ‘effects’ of testosterone on the body are described </w:t>
      </w:r>
      <w:r w:rsidR="00F16B26" w:rsidRPr="00E65865">
        <w:rPr>
          <w:rFonts w:ascii="Times New Roman" w:hAnsi="Times New Roman"/>
        </w:rPr>
        <w:t xml:space="preserve">as </w:t>
      </w:r>
      <w:r w:rsidR="003B685F" w:rsidRPr="00E65865">
        <w:rPr>
          <w:rFonts w:ascii="Times New Roman" w:hAnsi="Times New Roman"/>
        </w:rPr>
        <w:t xml:space="preserve">extremely </w:t>
      </w:r>
      <w:r w:rsidRPr="00E65865">
        <w:rPr>
          <w:rFonts w:ascii="Times New Roman" w:hAnsi="Times New Roman"/>
        </w:rPr>
        <w:t>powerful</w:t>
      </w:r>
      <w:r w:rsidR="002F0D09" w:rsidRPr="00E65865">
        <w:rPr>
          <w:rFonts w:ascii="Times New Roman" w:hAnsi="Times New Roman"/>
        </w:rPr>
        <w:t>, with</w:t>
      </w:r>
      <w:r w:rsidRPr="00E65865">
        <w:rPr>
          <w:rFonts w:ascii="Times New Roman" w:hAnsi="Times New Roman"/>
        </w:rPr>
        <w:t xml:space="preserve"> </w:t>
      </w:r>
      <w:r w:rsidR="00F84260" w:rsidRPr="00E65865">
        <w:rPr>
          <w:rFonts w:ascii="Times New Roman" w:hAnsi="Times New Roman"/>
        </w:rPr>
        <w:t xml:space="preserve">the </w:t>
      </w:r>
      <w:r w:rsidR="000421C8" w:rsidRPr="00E65865">
        <w:rPr>
          <w:rFonts w:ascii="Times New Roman" w:hAnsi="Times New Roman"/>
        </w:rPr>
        <w:t xml:space="preserve">hormone’s </w:t>
      </w:r>
      <w:r w:rsidR="00F84260" w:rsidRPr="00E65865">
        <w:rPr>
          <w:rFonts w:ascii="Times New Roman" w:hAnsi="Times New Roman"/>
        </w:rPr>
        <w:t>action messag</w:t>
      </w:r>
      <w:r w:rsidR="00F94B3E" w:rsidRPr="00E65865">
        <w:rPr>
          <w:rFonts w:ascii="Times New Roman" w:hAnsi="Times New Roman"/>
        </w:rPr>
        <w:t>ed</w:t>
      </w:r>
      <w:r w:rsidR="00F84260" w:rsidRPr="00E65865">
        <w:rPr>
          <w:rFonts w:ascii="Times New Roman" w:hAnsi="Times New Roman"/>
        </w:rPr>
        <w:t xml:space="preserve"> and reinforce</w:t>
      </w:r>
      <w:r w:rsidR="002F0D09" w:rsidRPr="00E65865">
        <w:rPr>
          <w:rFonts w:ascii="Times New Roman" w:hAnsi="Times New Roman"/>
        </w:rPr>
        <w:t>d</w:t>
      </w:r>
      <w:r w:rsidR="00F84260" w:rsidRPr="00E65865">
        <w:rPr>
          <w:rFonts w:ascii="Times New Roman" w:hAnsi="Times New Roman"/>
        </w:rPr>
        <w:t xml:space="preserve"> </w:t>
      </w:r>
      <w:r w:rsidR="002F0D09" w:rsidRPr="00E65865">
        <w:rPr>
          <w:rFonts w:ascii="Times New Roman" w:hAnsi="Times New Roman"/>
        </w:rPr>
        <w:t xml:space="preserve">via </w:t>
      </w:r>
      <w:r w:rsidR="00F84260" w:rsidRPr="00E65865">
        <w:rPr>
          <w:rFonts w:ascii="Times New Roman" w:hAnsi="Times New Roman"/>
        </w:rPr>
        <w:t xml:space="preserve">traditional gendered </w:t>
      </w:r>
      <w:r w:rsidR="002F0D09" w:rsidRPr="00E65865">
        <w:rPr>
          <w:rFonts w:ascii="Times New Roman" w:hAnsi="Times New Roman"/>
        </w:rPr>
        <w:t>attributes such as muscle mass and confidence</w:t>
      </w:r>
      <w:r w:rsidR="00F84260" w:rsidRPr="00E65865">
        <w:rPr>
          <w:rFonts w:ascii="Times New Roman" w:hAnsi="Times New Roman"/>
        </w:rPr>
        <w:t xml:space="preserve">. </w:t>
      </w:r>
      <w:r w:rsidR="002F0D09" w:rsidRPr="00E65865">
        <w:rPr>
          <w:rFonts w:ascii="Times New Roman" w:hAnsi="Times New Roman"/>
        </w:rPr>
        <w:t>Indeed, t</w:t>
      </w:r>
      <w:r w:rsidR="00F84260" w:rsidRPr="00E65865">
        <w:rPr>
          <w:rFonts w:ascii="Times New Roman" w:hAnsi="Times New Roman"/>
        </w:rPr>
        <w:t xml:space="preserve">estosterone itself seems to take on </w:t>
      </w:r>
      <w:r w:rsidR="00F16B26" w:rsidRPr="00E65865">
        <w:rPr>
          <w:rFonts w:ascii="Times New Roman" w:hAnsi="Times New Roman"/>
        </w:rPr>
        <w:t>‘</w:t>
      </w:r>
      <w:r w:rsidR="00F84260" w:rsidRPr="00E65865">
        <w:rPr>
          <w:rFonts w:ascii="Times New Roman" w:hAnsi="Times New Roman"/>
        </w:rPr>
        <w:t>masculine</w:t>
      </w:r>
      <w:r w:rsidR="00F16B26" w:rsidRPr="00E65865">
        <w:rPr>
          <w:rFonts w:ascii="Times New Roman" w:hAnsi="Times New Roman"/>
        </w:rPr>
        <w:t>’</w:t>
      </w:r>
      <w:r w:rsidR="00F84260" w:rsidRPr="00E65865">
        <w:rPr>
          <w:rFonts w:ascii="Times New Roman" w:hAnsi="Times New Roman"/>
        </w:rPr>
        <w:t xml:space="preserve"> characteristics such as strength and power</w:t>
      </w:r>
      <w:r w:rsidR="00F94B3E" w:rsidRPr="00E65865">
        <w:rPr>
          <w:rFonts w:ascii="Times New Roman" w:hAnsi="Times New Roman"/>
        </w:rPr>
        <w:t xml:space="preserve"> here</w:t>
      </w:r>
      <w:r w:rsidR="0008778D" w:rsidRPr="00E65865">
        <w:rPr>
          <w:rFonts w:ascii="Times New Roman" w:hAnsi="Times New Roman"/>
        </w:rPr>
        <w:t>, contribut</w:t>
      </w:r>
      <w:r w:rsidR="00F94B3E" w:rsidRPr="00E65865">
        <w:rPr>
          <w:rFonts w:ascii="Times New Roman" w:hAnsi="Times New Roman"/>
        </w:rPr>
        <w:t>ing</w:t>
      </w:r>
      <w:r w:rsidR="008242F8" w:rsidRPr="00E65865">
        <w:rPr>
          <w:rFonts w:ascii="Times New Roman" w:hAnsi="Times New Roman"/>
        </w:rPr>
        <w:t xml:space="preserve"> to the energetic and powerful embodiment our </w:t>
      </w:r>
      <w:r w:rsidR="00FC4448" w:rsidRPr="00E65865">
        <w:rPr>
          <w:rFonts w:ascii="Times New Roman" w:hAnsi="Times New Roman"/>
        </w:rPr>
        <w:t xml:space="preserve">participants </w:t>
      </w:r>
      <w:r w:rsidR="008242F8" w:rsidRPr="00E65865">
        <w:rPr>
          <w:rFonts w:ascii="Times New Roman" w:hAnsi="Times New Roman"/>
        </w:rPr>
        <w:t>described.</w:t>
      </w:r>
    </w:p>
    <w:p w14:paraId="444CA35F" w14:textId="3A25A455" w:rsidR="009B6494" w:rsidRPr="00E65865" w:rsidRDefault="00C750B2" w:rsidP="004654C1">
      <w:pPr>
        <w:pStyle w:val="Normal0"/>
        <w:ind w:left="0"/>
        <w:contextualSpacing w:val="0"/>
        <w:rPr>
          <w:rFonts w:ascii="Times New Roman" w:hAnsi="Times New Roman"/>
        </w:rPr>
      </w:pPr>
      <w:r w:rsidRPr="00E65865">
        <w:rPr>
          <w:rFonts w:ascii="Times New Roman" w:hAnsi="Times New Roman"/>
        </w:rPr>
        <w:t>In addition</w:t>
      </w:r>
      <w:r w:rsidR="002F0D09" w:rsidRPr="00E65865">
        <w:rPr>
          <w:rFonts w:ascii="Times New Roman" w:hAnsi="Times New Roman"/>
        </w:rPr>
        <w:t>,</w:t>
      </w:r>
      <w:r w:rsidR="00C32A13" w:rsidRPr="00E65865">
        <w:rPr>
          <w:rFonts w:ascii="Times New Roman" w:hAnsi="Times New Roman"/>
        </w:rPr>
        <w:t xml:space="preserve"> </w:t>
      </w:r>
      <w:r w:rsidRPr="00E65865">
        <w:rPr>
          <w:rFonts w:ascii="Times New Roman" w:hAnsi="Times New Roman"/>
        </w:rPr>
        <w:t>participants’ descriptions</w:t>
      </w:r>
      <w:r w:rsidR="00C32A13" w:rsidRPr="00E65865">
        <w:rPr>
          <w:rFonts w:ascii="Times New Roman" w:hAnsi="Times New Roman"/>
        </w:rPr>
        <w:t xml:space="preserve"> of v</w:t>
      </w:r>
      <w:r w:rsidR="004A7A03" w:rsidRPr="00E65865">
        <w:rPr>
          <w:rFonts w:ascii="Times New Roman" w:hAnsi="Times New Roman"/>
        </w:rPr>
        <w:t xml:space="preserve">ibrant physicality </w:t>
      </w:r>
      <w:r w:rsidR="00C32A13" w:rsidRPr="00E65865">
        <w:rPr>
          <w:rFonts w:ascii="Times New Roman" w:hAnsi="Times New Roman"/>
        </w:rPr>
        <w:t xml:space="preserve">were entangled with notions </w:t>
      </w:r>
      <w:r w:rsidR="004A7A03" w:rsidRPr="00E65865">
        <w:rPr>
          <w:rFonts w:ascii="Times New Roman" w:hAnsi="Times New Roman"/>
        </w:rPr>
        <w:t xml:space="preserve">of </w:t>
      </w:r>
      <w:r w:rsidR="00C32A13" w:rsidRPr="00E65865">
        <w:rPr>
          <w:rFonts w:ascii="Times New Roman" w:hAnsi="Times New Roman"/>
        </w:rPr>
        <w:t xml:space="preserve">testosterone-induced </w:t>
      </w:r>
      <w:r w:rsidR="004A7A03" w:rsidRPr="00E65865">
        <w:rPr>
          <w:rFonts w:ascii="Times New Roman" w:hAnsi="Times New Roman"/>
        </w:rPr>
        <w:t>youthfulness</w:t>
      </w:r>
      <w:r w:rsidR="002A3AB9" w:rsidRPr="00E65865">
        <w:rPr>
          <w:rFonts w:ascii="Times New Roman" w:hAnsi="Times New Roman"/>
        </w:rPr>
        <w:t xml:space="preserve"> and </w:t>
      </w:r>
      <w:r w:rsidR="00FB4C72" w:rsidRPr="00E65865">
        <w:rPr>
          <w:rFonts w:ascii="Times New Roman" w:hAnsi="Times New Roman"/>
        </w:rPr>
        <w:t>virility</w:t>
      </w:r>
      <w:r w:rsidR="004A7A03" w:rsidRPr="00E65865">
        <w:rPr>
          <w:rFonts w:ascii="Times New Roman" w:hAnsi="Times New Roman"/>
        </w:rPr>
        <w:t>.</w:t>
      </w:r>
      <w:r w:rsidR="002A3AB9" w:rsidRPr="00E65865">
        <w:rPr>
          <w:rFonts w:ascii="Times New Roman" w:hAnsi="Times New Roman"/>
        </w:rPr>
        <w:t xml:space="preserve"> </w:t>
      </w:r>
      <w:r w:rsidR="009B6494" w:rsidRPr="00E65865">
        <w:rPr>
          <w:rFonts w:ascii="Times New Roman" w:hAnsi="Times New Roman"/>
        </w:rPr>
        <w:t xml:space="preserve">Don (Vic, 28), </w:t>
      </w:r>
      <w:r w:rsidR="002A3AB9" w:rsidRPr="00E65865">
        <w:rPr>
          <w:rFonts w:ascii="Times New Roman" w:hAnsi="Times New Roman"/>
        </w:rPr>
        <w:t xml:space="preserve">for instance, </w:t>
      </w:r>
      <w:r w:rsidR="004654C1" w:rsidRPr="00E65865">
        <w:rPr>
          <w:rFonts w:ascii="Times New Roman" w:hAnsi="Times New Roman"/>
        </w:rPr>
        <w:t>h</w:t>
      </w:r>
      <w:r w:rsidR="009B6494" w:rsidRPr="00E65865">
        <w:rPr>
          <w:rFonts w:ascii="Times New Roman" w:hAnsi="Times New Roman"/>
        </w:rPr>
        <w:t>ad been injecting steroids for approximately four years</w:t>
      </w:r>
      <w:r w:rsidR="002F0D09" w:rsidRPr="00E65865">
        <w:rPr>
          <w:rFonts w:ascii="Times New Roman" w:hAnsi="Times New Roman"/>
        </w:rPr>
        <w:t>.</w:t>
      </w:r>
      <w:r w:rsidR="009B6494" w:rsidRPr="00E65865">
        <w:rPr>
          <w:rFonts w:ascii="Times New Roman" w:hAnsi="Times New Roman"/>
        </w:rPr>
        <w:t xml:space="preserve"> </w:t>
      </w:r>
      <w:r w:rsidR="002F0D09" w:rsidRPr="00E65865">
        <w:rPr>
          <w:rFonts w:ascii="Times New Roman" w:hAnsi="Times New Roman"/>
        </w:rPr>
        <w:t xml:space="preserve">He </w:t>
      </w:r>
      <w:r w:rsidR="009B6494" w:rsidRPr="00E65865">
        <w:rPr>
          <w:rFonts w:ascii="Times New Roman" w:hAnsi="Times New Roman"/>
        </w:rPr>
        <w:t xml:space="preserve">speculates about the </w:t>
      </w:r>
      <w:r w:rsidR="00C15F19" w:rsidRPr="00E65865">
        <w:rPr>
          <w:rFonts w:ascii="Times New Roman" w:hAnsi="Times New Roman"/>
        </w:rPr>
        <w:t xml:space="preserve">enhancement </w:t>
      </w:r>
      <w:r w:rsidR="009B6494" w:rsidRPr="00E65865">
        <w:rPr>
          <w:rFonts w:ascii="Times New Roman" w:hAnsi="Times New Roman"/>
        </w:rPr>
        <w:t>effects of testosterone</w:t>
      </w:r>
      <w:r w:rsidR="002F0D09" w:rsidRPr="00E65865">
        <w:rPr>
          <w:rFonts w:ascii="Times New Roman" w:hAnsi="Times New Roman"/>
        </w:rPr>
        <w:t>, saying</w:t>
      </w:r>
      <w:r w:rsidR="009B6494" w:rsidRPr="00E65865">
        <w:rPr>
          <w:rFonts w:ascii="Times New Roman" w:hAnsi="Times New Roman"/>
        </w:rPr>
        <w:t>:</w:t>
      </w:r>
    </w:p>
    <w:p w14:paraId="4B2458D0" w14:textId="61531D8A" w:rsidR="009B6494" w:rsidRPr="00E65865" w:rsidRDefault="009B6494" w:rsidP="009B6494">
      <w:pPr>
        <w:spacing w:line="360" w:lineRule="auto"/>
        <w:ind w:left="720"/>
      </w:pPr>
      <w:r w:rsidRPr="00E65865">
        <w:t xml:space="preserve">I feel like [steroid injecting produces] some sort of longevity, sort of enhancement, sort of aesthetic without having to work too much for it […] It increases your IGF [insulin-like growth factor] levels and sort of has connections to HGH [human growth </w:t>
      </w:r>
      <w:r w:rsidRPr="00E65865">
        <w:lastRenderedPageBreak/>
        <w:t>hormone] levels and all kinds of [things]. It just gives you more of a youthful sort of buffer I think and having high testosterone levels, it does change your brain.</w:t>
      </w:r>
    </w:p>
    <w:p w14:paraId="4FD09C20" w14:textId="0BC738A0" w:rsidR="0097296D" w:rsidRPr="00E65865" w:rsidRDefault="009B6494" w:rsidP="008D302F">
      <w:pPr>
        <w:spacing w:line="360" w:lineRule="auto"/>
      </w:pPr>
      <w:r w:rsidRPr="00E65865">
        <w:t xml:space="preserve">Don </w:t>
      </w:r>
      <w:r w:rsidR="002F0D09" w:rsidRPr="00E65865">
        <w:t xml:space="preserve">uses </w:t>
      </w:r>
      <w:r w:rsidR="00DB4BFA" w:rsidRPr="00E65865">
        <w:t xml:space="preserve">biomedical </w:t>
      </w:r>
      <w:r w:rsidR="002F0D09" w:rsidRPr="00E65865">
        <w:t xml:space="preserve">discourse </w:t>
      </w:r>
      <w:r w:rsidR="00DB4BFA" w:rsidRPr="00E65865">
        <w:t xml:space="preserve">to describe </w:t>
      </w:r>
      <w:r w:rsidRPr="00E65865">
        <w:t xml:space="preserve">the physiological effects of testosterone on </w:t>
      </w:r>
      <w:r w:rsidR="002F0D09" w:rsidRPr="00E65865">
        <w:t>the body (</w:t>
      </w:r>
      <w:r w:rsidR="00F94B3E" w:rsidRPr="00E65865">
        <w:t xml:space="preserve">such as on </w:t>
      </w:r>
      <w:r w:rsidRPr="00E65865">
        <w:t>insulin, human growth hormone and the brain</w:t>
      </w:r>
      <w:r w:rsidR="002F0D09" w:rsidRPr="00E65865">
        <w:t>)</w:t>
      </w:r>
      <w:r w:rsidRPr="00E65865">
        <w:t>.</w:t>
      </w:r>
      <w:r w:rsidR="00AB4373" w:rsidRPr="00E65865">
        <w:t xml:space="preserve"> </w:t>
      </w:r>
      <w:r w:rsidR="00EF413E" w:rsidRPr="00E65865">
        <w:t>A</w:t>
      </w:r>
      <w:r w:rsidR="00475CF3" w:rsidRPr="00E65865">
        <w:t xml:space="preserve">lthough </w:t>
      </w:r>
      <w:r w:rsidRPr="00E65865">
        <w:t xml:space="preserve">Michael </w:t>
      </w:r>
      <w:r w:rsidR="003D7AC9" w:rsidRPr="00E65865">
        <w:t>(Vic, 22</w:t>
      </w:r>
      <w:r w:rsidR="00E84E1F" w:rsidRPr="00E65865">
        <w:t>)</w:t>
      </w:r>
      <w:r w:rsidR="00475CF3" w:rsidRPr="00E65865">
        <w:t xml:space="preserve"> is only 22 years </w:t>
      </w:r>
      <w:r w:rsidR="00FC4448" w:rsidRPr="00E65865">
        <w:t>old</w:t>
      </w:r>
      <w:r w:rsidR="00E84E1F" w:rsidRPr="00E65865">
        <w:t xml:space="preserve">, </w:t>
      </w:r>
      <w:r w:rsidR="00475CF3" w:rsidRPr="00E65865">
        <w:t xml:space="preserve">he </w:t>
      </w:r>
      <w:r w:rsidR="0008778D" w:rsidRPr="00E65865">
        <w:t>likens</w:t>
      </w:r>
      <w:r w:rsidRPr="00E65865">
        <w:t xml:space="preserve"> </w:t>
      </w:r>
      <w:r w:rsidR="00475CF3" w:rsidRPr="00E65865">
        <w:t>the effects of testosterone</w:t>
      </w:r>
      <w:r w:rsidR="0008778D" w:rsidRPr="00E65865">
        <w:t xml:space="preserve"> to </w:t>
      </w:r>
      <w:r w:rsidR="00F94B3E" w:rsidRPr="00E65865">
        <w:t xml:space="preserve">that of youth, that is, </w:t>
      </w:r>
      <w:r w:rsidR="0008778D" w:rsidRPr="00E65865">
        <w:t>the experience of being a teenage boy with ‘a lot of testosterone’</w:t>
      </w:r>
      <w:r w:rsidR="0097296D" w:rsidRPr="00E65865">
        <w:t>:</w:t>
      </w:r>
    </w:p>
    <w:p w14:paraId="2135C800" w14:textId="502F6F42" w:rsidR="009B6494" w:rsidRPr="00E65865" w:rsidRDefault="0008271A" w:rsidP="00DB4BFA">
      <w:pPr>
        <w:pStyle w:val="ListParagraph"/>
        <w:spacing w:line="360" w:lineRule="auto"/>
      </w:pPr>
      <w:r w:rsidRPr="00E65865">
        <w:t xml:space="preserve">I guess it brings back … because obviously when you’re </w:t>
      </w:r>
      <w:r w:rsidR="00FC4448" w:rsidRPr="00E65865">
        <w:t xml:space="preserve">sixteen </w:t>
      </w:r>
      <w:r w:rsidRPr="00E65865">
        <w:t xml:space="preserve">years old, you’ve just got this unlimited drive for </w:t>
      </w:r>
      <w:r w:rsidR="004A3394" w:rsidRPr="00E65865">
        <w:t>[everything]</w:t>
      </w:r>
      <w:r w:rsidRPr="00E65865">
        <w:t xml:space="preserve">, because you’re obviously growing up and you’ve got a lot of </w:t>
      </w:r>
      <w:r w:rsidR="002F0D09" w:rsidRPr="00E65865">
        <w:t>t</w:t>
      </w:r>
      <w:r w:rsidRPr="00E65865">
        <w:t>estosterone. I guess there was some sort of mimicked feeling in that sense, like I’ve got the ener</w:t>
      </w:r>
      <w:r w:rsidR="003D7AC9" w:rsidRPr="00E65865">
        <w:t xml:space="preserve">gy of like a </w:t>
      </w:r>
      <w:r w:rsidR="00FC4448" w:rsidRPr="00E65865">
        <w:t>sixteen-</w:t>
      </w:r>
      <w:r w:rsidR="003D7AC9" w:rsidRPr="00E65865">
        <w:t>year</w:t>
      </w:r>
      <w:r w:rsidR="00FC4448" w:rsidRPr="00E65865">
        <w:t>-</w:t>
      </w:r>
      <w:r w:rsidR="003D7AC9" w:rsidRPr="00E65865">
        <w:t>old again</w:t>
      </w:r>
      <w:r w:rsidR="00F43DC4" w:rsidRPr="00E65865">
        <w:t>.</w:t>
      </w:r>
      <w:r w:rsidR="003D7AC9" w:rsidRPr="00E65865">
        <w:t xml:space="preserve"> </w:t>
      </w:r>
    </w:p>
    <w:p w14:paraId="4DE4827A" w14:textId="60F1EFA4" w:rsidR="00C32A13" w:rsidRPr="00E65865" w:rsidRDefault="0079468F" w:rsidP="00E40B0C">
      <w:pPr>
        <w:spacing w:line="360" w:lineRule="auto"/>
      </w:pPr>
      <w:r w:rsidRPr="00E65865">
        <w:rPr>
          <w:bCs/>
        </w:rPr>
        <w:t>Michael</w:t>
      </w:r>
      <w:r w:rsidR="00AA2890" w:rsidRPr="00E65865">
        <w:rPr>
          <w:bCs/>
        </w:rPr>
        <w:t xml:space="preserve"> suggests that</w:t>
      </w:r>
      <w:r w:rsidR="0008778D" w:rsidRPr="00E65865">
        <w:rPr>
          <w:bCs/>
        </w:rPr>
        <w:t xml:space="preserve"> </w:t>
      </w:r>
      <w:r w:rsidR="00FC4448" w:rsidRPr="00E65865">
        <w:rPr>
          <w:bCs/>
        </w:rPr>
        <w:t xml:space="preserve">a </w:t>
      </w:r>
      <w:r w:rsidR="00FC4448" w:rsidRPr="00E65865">
        <w:t>higher level of testosterone</w:t>
      </w:r>
      <w:r w:rsidR="00FC4448" w:rsidRPr="00E65865" w:rsidDel="00FC4448">
        <w:rPr>
          <w:bCs/>
        </w:rPr>
        <w:t xml:space="preserve"> </w:t>
      </w:r>
      <w:r w:rsidR="002A3AB9" w:rsidRPr="00E65865">
        <w:t>mimic</w:t>
      </w:r>
      <w:r w:rsidR="00FC4448" w:rsidRPr="00E65865">
        <w:t>s</w:t>
      </w:r>
      <w:r w:rsidR="002A3AB9" w:rsidRPr="00E65865">
        <w:t xml:space="preserve"> the feeling</w:t>
      </w:r>
      <w:r w:rsidR="0008778D" w:rsidRPr="00E65865">
        <w:t xml:space="preserve">s </w:t>
      </w:r>
      <w:r w:rsidR="002A3AB9" w:rsidRPr="00E65865">
        <w:t>of</w:t>
      </w:r>
      <w:r w:rsidR="0008778D" w:rsidRPr="00E65865">
        <w:t xml:space="preserve"> energy</w:t>
      </w:r>
      <w:r w:rsidR="00AA56F3" w:rsidRPr="00E65865">
        <w:t>,</w:t>
      </w:r>
      <w:r w:rsidR="0008778D" w:rsidRPr="00E65865">
        <w:t xml:space="preserve"> enthusiasm</w:t>
      </w:r>
      <w:r w:rsidR="00AA56F3" w:rsidRPr="00E65865">
        <w:t>, youthfulness and ‘unlimited drive’</w:t>
      </w:r>
      <w:r w:rsidR="0008778D" w:rsidRPr="00E65865">
        <w:t xml:space="preserve"> </w:t>
      </w:r>
      <w:r w:rsidR="00C01004" w:rsidRPr="00E65865">
        <w:t xml:space="preserve">he </w:t>
      </w:r>
      <w:r w:rsidR="00FC4448" w:rsidRPr="00E65865">
        <w:t>attributes to</w:t>
      </w:r>
      <w:r w:rsidR="00A14066" w:rsidRPr="00E65865">
        <w:t xml:space="preserve"> young</w:t>
      </w:r>
      <w:r w:rsidR="00F7443E" w:rsidRPr="00E65865">
        <w:t>er</w:t>
      </w:r>
      <w:r w:rsidR="00A14066" w:rsidRPr="00E65865">
        <w:t xml:space="preserve"> men</w:t>
      </w:r>
      <w:r w:rsidR="0008778D" w:rsidRPr="00E65865">
        <w:t>. In this sense, t</w:t>
      </w:r>
      <w:r w:rsidR="00AA2890" w:rsidRPr="00E65865">
        <w:t xml:space="preserve">his </w:t>
      </w:r>
      <w:r w:rsidR="0008778D" w:rsidRPr="00E65865">
        <w:t>account</w:t>
      </w:r>
      <w:r w:rsidR="002A3AB9" w:rsidRPr="00E65865">
        <w:t xml:space="preserve"> illustrates </w:t>
      </w:r>
      <w:r w:rsidR="009B6494" w:rsidRPr="00E65865">
        <w:t xml:space="preserve">the </w:t>
      </w:r>
      <w:r w:rsidR="00F94B3E" w:rsidRPr="00E65865">
        <w:t xml:space="preserve">messaging </w:t>
      </w:r>
      <w:r w:rsidR="009B6494" w:rsidRPr="00E65865">
        <w:t xml:space="preserve">work </w:t>
      </w:r>
      <w:r w:rsidR="002F0D09" w:rsidRPr="00E65865">
        <w:t>done</w:t>
      </w:r>
      <w:r w:rsidR="0008778D" w:rsidRPr="00E65865">
        <w:t xml:space="preserve"> by hormones</w:t>
      </w:r>
      <w:r w:rsidR="00A14066" w:rsidRPr="00E65865">
        <w:t xml:space="preserve"> and hormonal accounts of development </w:t>
      </w:r>
      <w:r w:rsidR="009B6494" w:rsidRPr="00E65865">
        <w:t>in the materialisation of steroid ‘effects’</w:t>
      </w:r>
      <w:r w:rsidR="00E752E0" w:rsidRPr="00E65865">
        <w:t xml:space="preserve"> (</w:t>
      </w:r>
      <w:r w:rsidR="004E5976" w:rsidRPr="00E65865">
        <w:t xml:space="preserve">see </w:t>
      </w:r>
      <w:r w:rsidR="00E752E0" w:rsidRPr="00E65865">
        <w:t>Seear, 2013)</w:t>
      </w:r>
      <w:r w:rsidR="002A3AB9" w:rsidRPr="00E65865">
        <w:t>.</w:t>
      </w:r>
      <w:r w:rsidR="00E84E1F" w:rsidRPr="00E65865">
        <w:t xml:space="preserve"> That is, </w:t>
      </w:r>
      <w:r w:rsidR="0008778D" w:rsidRPr="00E65865">
        <w:t>men’s</w:t>
      </w:r>
      <w:r w:rsidR="00E84E1F" w:rsidRPr="00E65865">
        <w:t xml:space="preserve"> experience of steroid injecting </w:t>
      </w:r>
      <w:r w:rsidR="0008778D" w:rsidRPr="00E65865">
        <w:t>(</w:t>
      </w:r>
      <w:r w:rsidR="00A14066" w:rsidRPr="00E65865">
        <w:t xml:space="preserve">making them feel younger and </w:t>
      </w:r>
      <w:r w:rsidR="00F94B3E" w:rsidRPr="00E65865">
        <w:t xml:space="preserve">more </w:t>
      </w:r>
      <w:r w:rsidR="00A14066" w:rsidRPr="00E65865">
        <w:t xml:space="preserve">energetic) </w:t>
      </w:r>
      <w:r w:rsidR="00E84E1F" w:rsidRPr="00E65865">
        <w:t>emerges</w:t>
      </w:r>
      <w:r w:rsidR="00C3717E" w:rsidRPr="00E65865">
        <w:t>,</w:t>
      </w:r>
      <w:r w:rsidR="00E84E1F" w:rsidRPr="00E65865">
        <w:t xml:space="preserve"> in part</w:t>
      </w:r>
      <w:r w:rsidR="00C3717E" w:rsidRPr="00E65865">
        <w:t>,</w:t>
      </w:r>
      <w:r w:rsidR="00E84E1F" w:rsidRPr="00E65865">
        <w:t xml:space="preserve"> through pre-</w:t>
      </w:r>
      <w:r w:rsidR="002F0D09" w:rsidRPr="00E65865">
        <w:t xml:space="preserve">existing </w:t>
      </w:r>
      <w:r w:rsidR="00A14066" w:rsidRPr="00E65865">
        <w:t xml:space="preserve">developmental </w:t>
      </w:r>
      <w:r w:rsidR="00E84E1F" w:rsidRPr="00E65865">
        <w:t>accounts of</w:t>
      </w:r>
      <w:r w:rsidR="0008778D" w:rsidRPr="00E65865">
        <w:t xml:space="preserve"> </w:t>
      </w:r>
      <w:r w:rsidR="00A14066" w:rsidRPr="00E65865">
        <w:t xml:space="preserve">testosterone’s effects on </w:t>
      </w:r>
      <w:r w:rsidR="00F7443E" w:rsidRPr="00E65865">
        <w:t>adolescent boys</w:t>
      </w:r>
      <w:r w:rsidR="00A14066" w:rsidRPr="00E65865">
        <w:t xml:space="preserve">. </w:t>
      </w:r>
      <w:r w:rsidR="002F0D09" w:rsidRPr="00E65865">
        <w:t>Overall, o</w:t>
      </w:r>
      <w:r w:rsidR="004C6C64" w:rsidRPr="00E65865">
        <w:t xml:space="preserve">ur analysis suggests </w:t>
      </w:r>
      <w:r w:rsidR="00F94B3E" w:rsidRPr="00E65865">
        <w:t>that</w:t>
      </w:r>
      <w:r w:rsidR="002F0D09" w:rsidRPr="00E65865">
        <w:t xml:space="preserve"> </w:t>
      </w:r>
      <w:r w:rsidR="00F94B3E" w:rsidRPr="00E65865">
        <w:t xml:space="preserve">quite traditional </w:t>
      </w:r>
      <w:r w:rsidR="002F0D09" w:rsidRPr="00E65865">
        <w:t>gendered discourses of</w:t>
      </w:r>
      <w:r w:rsidR="004C6C64" w:rsidRPr="00E65865">
        <w:t xml:space="preserve"> testosterone</w:t>
      </w:r>
      <w:r w:rsidR="00F94B3E" w:rsidRPr="00E65865">
        <w:t>’s</w:t>
      </w:r>
      <w:r w:rsidR="002F0D09" w:rsidRPr="00E65865">
        <w:t xml:space="preserve"> </w:t>
      </w:r>
      <w:r w:rsidR="00F94B3E" w:rsidRPr="00E65865">
        <w:t xml:space="preserve">effects </w:t>
      </w:r>
      <w:r w:rsidR="002F0D09" w:rsidRPr="00E65865">
        <w:t xml:space="preserve">persist in lay understandings of the hormone, </w:t>
      </w:r>
      <w:r w:rsidR="00F94B3E" w:rsidRPr="00E65865">
        <w:t xml:space="preserve">and that these </w:t>
      </w:r>
      <w:r w:rsidR="002F0D09" w:rsidRPr="00E65865">
        <w:t xml:space="preserve">directly </w:t>
      </w:r>
      <w:r w:rsidR="00F94B3E" w:rsidRPr="00E65865">
        <w:t xml:space="preserve">shape </w:t>
      </w:r>
      <w:r w:rsidR="002F0D09" w:rsidRPr="00E65865">
        <w:t>consumers’</w:t>
      </w:r>
      <w:r w:rsidR="004C6C64" w:rsidRPr="00E65865">
        <w:t xml:space="preserve"> sense of </w:t>
      </w:r>
      <w:r w:rsidR="00F94B3E" w:rsidRPr="00E65865">
        <w:t>increased physical vibrancy</w:t>
      </w:r>
      <w:r w:rsidR="004C6C64" w:rsidRPr="00E65865">
        <w:t xml:space="preserve"> when consuming steroids.</w:t>
      </w:r>
      <w:r w:rsidR="00C01004" w:rsidRPr="00E65865">
        <w:t xml:space="preserve"> </w:t>
      </w:r>
      <w:r w:rsidR="004C6C64" w:rsidRPr="00E65865">
        <w:t xml:space="preserve">As we go on to argue in more detail in the </w:t>
      </w:r>
      <w:r w:rsidR="00EA0B91" w:rsidRPr="00E65865">
        <w:t>next</w:t>
      </w:r>
      <w:r w:rsidR="004C6C64" w:rsidRPr="00E65865">
        <w:t xml:space="preserve"> section, o</w:t>
      </w:r>
      <w:r w:rsidR="00E40B0C" w:rsidRPr="00E65865">
        <w:t>ur</w:t>
      </w:r>
      <w:r w:rsidR="00285786" w:rsidRPr="00E65865">
        <w:t xml:space="preserve"> </w:t>
      </w:r>
      <w:r w:rsidR="00F94B3E" w:rsidRPr="00E65865">
        <w:t xml:space="preserve">point </w:t>
      </w:r>
      <w:r w:rsidR="00285786" w:rsidRPr="00E65865">
        <w:t xml:space="preserve">here </w:t>
      </w:r>
      <w:r w:rsidR="00C32A13" w:rsidRPr="00E65865">
        <w:t xml:space="preserve">is </w:t>
      </w:r>
      <w:r w:rsidR="00E40B0C" w:rsidRPr="00E65865">
        <w:t>not to deny that steroid</w:t>
      </w:r>
      <w:r w:rsidR="00EA0B91" w:rsidRPr="00E65865">
        <w:t>s</w:t>
      </w:r>
      <w:r w:rsidR="00E40B0C" w:rsidRPr="00E65865">
        <w:t xml:space="preserve"> affect anabolic activity</w:t>
      </w:r>
      <w:r w:rsidR="00C750B2" w:rsidRPr="00E65865">
        <w:t xml:space="preserve"> or sexual development</w:t>
      </w:r>
      <w:r w:rsidR="00EA0B91" w:rsidRPr="00E65865">
        <w:t>,</w:t>
      </w:r>
      <w:r w:rsidR="00E40B0C" w:rsidRPr="00E65865" w:rsidDel="00E40B0C">
        <w:t xml:space="preserve"> </w:t>
      </w:r>
      <w:r w:rsidR="00E84E1F" w:rsidRPr="00E65865">
        <w:t>but</w:t>
      </w:r>
      <w:r w:rsidR="00E40B0C" w:rsidRPr="00E65865">
        <w:t xml:space="preserve"> that</w:t>
      </w:r>
      <w:r w:rsidR="00E84E1F" w:rsidRPr="00E65865">
        <w:t xml:space="preserve"> </w:t>
      </w:r>
      <w:r w:rsidR="00E40B0C" w:rsidRPr="00E65865">
        <w:t xml:space="preserve">the </w:t>
      </w:r>
      <w:r w:rsidR="00EA0B91" w:rsidRPr="00E65865">
        <w:t>sense of</w:t>
      </w:r>
      <w:r w:rsidR="00E40B0C" w:rsidRPr="00E65865">
        <w:t xml:space="preserve"> a more vibrant physicality </w:t>
      </w:r>
      <w:r w:rsidR="00EA0B91" w:rsidRPr="00E65865">
        <w:t xml:space="preserve">described by our participants must </w:t>
      </w:r>
      <w:r w:rsidR="00C32A13" w:rsidRPr="00E65865">
        <w:t>be</w:t>
      </w:r>
      <w:r w:rsidR="00E40B0C" w:rsidRPr="00E65865">
        <w:t xml:space="preserve"> understood </w:t>
      </w:r>
      <w:r w:rsidR="00EA0B91" w:rsidRPr="00E65865">
        <w:t xml:space="preserve">not as a simple biological effect but </w:t>
      </w:r>
      <w:r w:rsidR="00F91085" w:rsidRPr="00E65865">
        <w:t>by</w:t>
      </w:r>
      <w:r w:rsidR="00EA0B91" w:rsidRPr="00E65865">
        <w:t xml:space="preserve"> taking into account</w:t>
      </w:r>
      <w:r w:rsidR="00E40B0C" w:rsidRPr="00E65865">
        <w:t xml:space="preserve"> </w:t>
      </w:r>
      <w:r w:rsidR="00F94B3E" w:rsidRPr="00E65865">
        <w:t xml:space="preserve">circulating discourses of their effects, as well as </w:t>
      </w:r>
      <w:r w:rsidR="00C32A13" w:rsidRPr="00E65865">
        <w:t xml:space="preserve">the pleasures </w:t>
      </w:r>
      <w:r w:rsidR="00EA0B91" w:rsidRPr="00E65865">
        <w:t xml:space="preserve">and rewards </w:t>
      </w:r>
      <w:r w:rsidR="00C32A13" w:rsidRPr="00E65865">
        <w:t>of enhancing normative masculinity</w:t>
      </w:r>
      <w:r w:rsidR="00FC3504" w:rsidRPr="00E65865">
        <w:t xml:space="preserve"> </w:t>
      </w:r>
      <w:r w:rsidR="00C32A13" w:rsidRPr="00E65865">
        <w:t>(</w:t>
      </w:r>
      <w:r w:rsidR="003E2CFD" w:rsidRPr="00E65865">
        <w:t>Latham et al. 2019</w:t>
      </w:r>
      <w:r w:rsidR="00C32A13" w:rsidRPr="00E65865">
        <w:t xml:space="preserve">). </w:t>
      </w:r>
      <w:r w:rsidR="00C01004" w:rsidRPr="00E65865">
        <w:t xml:space="preserve">Gendered norms and social practices gather testosterone and </w:t>
      </w:r>
      <w:r w:rsidR="00F7443E" w:rsidRPr="00E65865">
        <w:t xml:space="preserve">experiences of </w:t>
      </w:r>
      <w:r w:rsidR="00C01004" w:rsidRPr="00E65865">
        <w:t xml:space="preserve">vibrant physical effects as much as anabolic activity or biology. </w:t>
      </w:r>
      <w:r w:rsidR="00F94B3E" w:rsidRPr="00E65865">
        <w:t>It may be that t</w:t>
      </w:r>
      <w:r w:rsidR="00C01004" w:rsidRPr="00E65865">
        <w:t xml:space="preserve">his gathering of vibrant physicality </w:t>
      </w:r>
      <w:r w:rsidR="00F94B3E" w:rsidRPr="00E65865">
        <w:t xml:space="preserve">can </w:t>
      </w:r>
      <w:r w:rsidR="00C01004" w:rsidRPr="00E65865">
        <w:t xml:space="preserve">be </w:t>
      </w:r>
      <w:r w:rsidR="00F94B3E" w:rsidRPr="00E65865">
        <w:t xml:space="preserve">more directly </w:t>
      </w:r>
      <w:r w:rsidR="00C01004" w:rsidRPr="00E65865">
        <w:t xml:space="preserve">acknowledged </w:t>
      </w:r>
      <w:r w:rsidR="00EA22A6" w:rsidRPr="00E65865">
        <w:t xml:space="preserve">and addressed </w:t>
      </w:r>
      <w:r w:rsidR="00C01004" w:rsidRPr="00E65865">
        <w:t>in healthcare and health promotion in order to</w:t>
      </w:r>
      <w:r w:rsidR="00CF470E" w:rsidRPr="00E65865">
        <w:t xml:space="preserve"> avoid alienating men who consume steroids. </w:t>
      </w:r>
      <w:bookmarkStart w:id="0" w:name="_GoBack"/>
      <w:bookmarkEnd w:id="0"/>
    </w:p>
    <w:p w14:paraId="6978845C" w14:textId="671271E5" w:rsidR="001303B2" w:rsidRPr="00E65865" w:rsidRDefault="00620532" w:rsidP="00952362">
      <w:pPr>
        <w:pStyle w:val="Heading2"/>
        <w:rPr>
          <w:i/>
        </w:rPr>
      </w:pPr>
      <w:r w:rsidRPr="00E65865">
        <w:rPr>
          <w:i/>
        </w:rPr>
        <w:t xml:space="preserve">Chemical manhood </w:t>
      </w:r>
    </w:p>
    <w:p w14:paraId="0A18E97F" w14:textId="4C701873" w:rsidR="001303B2" w:rsidRPr="00E65865" w:rsidRDefault="004C6C64" w:rsidP="002F4F7E">
      <w:pPr>
        <w:spacing w:line="360" w:lineRule="auto"/>
      </w:pPr>
      <w:r w:rsidRPr="00E65865">
        <w:lastRenderedPageBreak/>
        <w:t>As might be expected, t</w:t>
      </w:r>
      <w:r w:rsidR="00CE5F61" w:rsidRPr="00E65865">
        <w:t>estosterone</w:t>
      </w:r>
      <w:r w:rsidR="003246D8" w:rsidRPr="00E65865">
        <w:t xml:space="preserve"> </w:t>
      </w:r>
      <w:r w:rsidR="00681768" w:rsidRPr="00E65865">
        <w:t xml:space="preserve">also operates in participants’ accounts of steroid injecting as the basis of sexually differentiated behaviour. </w:t>
      </w:r>
      <w:r w:rsidR="00EF4C3E" w:rsidRPr="00E65865">
        <w:t xml:space="preserve">Men in this study commonly perceived testosterone as enhancing their </w:t>
      </w:r>
      <w:r w:rsidR="00DC404D" w:rsidRPr="00E65865">
        <w:t>manliness</w:t>
      </w:r>
      <w:r w:rsidR="00EF4C3E" w:rsidRPr="00E65865">
        <w:t xml:space="preserve"> and </w:t>
      </w:r>
      <w:r w:rsidR="00592B83" w:rsidRPr="00E65865">
        <w:t>virility</w:t>
      </w:r>
      <w:r w:rsidR="00EF4C3E" w:rsidRPr="00E65865">
        <w:t>, often describ</w:t>
      </w:r>
      <w:r w:rsidR="00B812CB" w:rsidRPr="00E65865">
        <w:t>ing it</w:t>
      </w:r>
      <w:r w:rsidR="00EF4C3E" w:rsidRPr="00E65865">
        <w:t xml:space="preserve"> </w:t>
      </w:r>
      <w:r w:rsidR="00AE23A7" w:rsidRPr="00E65865">
        <w:t xml:space="preserve">as </w:t>
      </w:r>
      <w:r w:rsidR="001C43B3" w:rsidRPr="00E65865">
        <w:t>the ‘male’ hormone</w:t>
      </w:r>
      <w:r w:rsidR="00E6779E" w:rsidRPr="00E65865">
        <w:t xml:space="preserve">. </w:t>
      </w:r>
      <w:r w:rsidR="003246D8" w:rsidRPr="00E65865">
        <w:t xml:space="preserve">For example, </w:t>
      </w:r>
      <w:r w:rsidR="00C735B6" w:rsidRPr="00E65865">
        <w:t>Came</w:t>
      </w:r>
      <w:r w:rsidR="004F7F00" w:rsidRPr="00E65865">
        <w:t>ron (NSW, 36) describes</w:t>
      </w:r>
      <w:r w:rsidR="00C735B6" w:rsidRPr="00E65865">
        <w:t xml:space="preserve"> feeling not only ‘stronger and more confident’ on steroids, but ‘more of a man [… because] you have more testosterone in your body’</w:t>
      </w:r>
      <w:r w:rsidR="00CD1357" w:rsidRPr="00E65865">
        <w:t xml:space="preserve">. </w:t>
      </w:r>
      <w:r w:rsidR="00776E4E" w:rsidRPr="00E65865">
        <w:t xml:space="preserve">Similarly, </w:t>
      </w:r>
      <w:r w:rsidR="00C735B6" w:rsidRPr="00E65865">
        <w:t>Henry (Qld, 44) explains</w:t>
      </w:r>
      <w:r w:rsidR="00796106" w:rsidRPr="00E65865">
        <w:t xml:space="preserve"> that ‘a normal</w:t>
      </w:r>
      <w:r w:rsidR="00C735B6" w:rsidRPr="00E65865">
        <w:t xml:space="preserve"> testosterone</w:t>
      </w:r>
      <w:r w:rsidR="00796106" w:rsidRPr="00E65865">
        <w:t xml:space="preserve"> level’ is</w:t>
      </w:r>
      <w:r w:rsidR="00C735B6" w:rsidRPr="00E65865">
        <w:t xml:space="preserve"> </w:t>
      </w:r>
      <w:r w:rsidR="00796106" w:rsidRPr="00E65865">
        <w:t>‘implicit in being male</w:t>
      </w:r>
      <w:r w:rsidR="00952362" w:rsidRPr="00E65865">
        <w:t>’</w:t>
      </w:r>
      <w:r w:rsidR="004F7F00" w:rsidRPr="00E65865">
        <w:t xml:space="preserve"> and ‘[having] a male sex drive’</w:t>
      </w:r>
      <w:r w:rsidR="00952362" w:rsidRPr="00E65865">
        <w:t xml:space="preserve">. Gabe (Vic, 22) </w:t>
      </w:r>
      <w:r w:rsidR="00F813F1" w:rsidRPr="00E65865">
        <w:t xml:space="preserve">explicitly </w:t>
      </w:r>
      <w:r w:rsidR="00952362" w:rsidRPr="00E65865">
        <w:t xml:space="preserve">describes </w:t>
      </w:r>
      <w:r w:rsidR="00F813F1" w:rsidRPr="00E65865">
        <w:t>testosterone as ‘the male hormone’</w:t>
      </w:r>
      <w:r w:rsidR="00776E4E" w:rsidRPr="00E65865">
        <w:t>:</w:t>
      </w:r>
    </w:p>
    <w:p w14:paraId="5B9B347F" w14:textId="7DEA77F9" w:rsidR="0073639B" w:rsidRPr="00E65865" w:rsidRDefault="0073639B" w:rsidP="00F91085">
      <w:pPr>
        <w:spacing w:line="360" w:lineRule="auto"/>
        <w:ind w:left="720"/>
      </w:pPr>
      <w:r w:rsidRPr="00E65865">
        <w:t xml:space="preserve">Well the male hormone is </w:t>
      </w:r>
      <w:r w:rsidR="00F91085" w:rsidRPr="00E65865">
        <w:t>t</w:t>
      </w:r>
      <w:r w:rsidRPr="00E65865">
        <w:t>estosterone. You put more of that in your body</w:t>
      </w:r>
      <w:r w:rsidR="00F91085" w:rsidRPr="00E65865">
        <w:t xml:space="preserve"> – </w:t>
      </w:r>
      <w:r w:rsidRPr="00E65865">
        <w:t xml:space="preserve">and we already know what males are like with </w:t>
      </w:r>
      <w:r w:rsidR="00F91085" w:rsidRPr="00E65865">
        <w:t>t</w:t>
      </w:r>
      <w:r w:rsidRPr="00E65865">
        <w:t xml:space="preserve">estosterone. </w:t>
      </w:r>
      <w:proofErr w:type="gramStart"/>
      <w:r w:rsidRPr="00E65865">
        <w:t>So</w:t>
      </w:r>
      <w:proofErr w:type="gramEnd"/>
      <w:r w:rsidRPr="00E65865">
        <w:t xml:space="preserve"> you put more of that in your body and your sex drive is heightened to such an extreme, so it’s probably good not to be in a relationship.</w:t>
      </w:r>
      <w:r w:rsidR="00062428" w:rsidRPr="00E65865">
        <w:t xml:space="preserve"> </w:t>
      </w:r>
    </w:p>
    <w:p w14:paraId="1442FCB5" w14:textId="609EC5FC" w:rsidR="0073639B" w:rsidRPr="00E65865" w:rsidRDefault="0073639B" w:rsidP="0073639B">
      <w:pPr>
        <w:spacing w:line="360" w:lineRule="auto"/>
      </w:pPr>
      <w:r w:rsidRPr="00E65865">
        <w:t>Matthew (VIC, 26)</w:t>
      </w:r>
      <w:r w:rsidR="00D22747" w:rsidRPr="00E65865">
        <w:t xml:space="preserve"> </w:t>
      </w:r>
      <w:r w:rsidR="0053725D" w:rsidRPr="00E65865">
        <w:t>makes</w:t>
      </w:r>
      <w:r w:rsidR="00220C00" w:rsidRPr="00E65865">
        <w:t xml:space="preserve"> a similar connection</w:t>
      </w:r>
      <w:r w:rsidR="0053725D" w:rsidRPr="00E65865">
        <w:t xml:space="preserve"> between higher testosterone levels</w:t>
      </w:r>
      <w:r w:rsidR="00D22747" w:rsidRPr="00E65865">
        <w:t xml:space="preserve"> and </w:t>
      </w:r>
      <w:r w:rsidR="00F7443E" w:rsidRPr="00E65865">
        <w:t xml:space="preserve">the desire to </w:t>
      </w:r>
      <w:r w:rsidR="007013EB" w:rsidRPr="00E65865">
        <w:t>‘</w:t>
      </w:r>
      <w:r w:rsidR="00F7443E" w:rsidRPr="00E65865">
        <w:t>dominate</w:t>
      </w:r>
      <w:r w:rsidR="007013EB" w:rsidRPr="00E65865">
        <w:t>’</w:t>
      </w:r>
      <w:r w:rsidR="00F7443E" w:rsidRPr="00E65865">
        <w:t>:</w:t>
      </w:r>
    </w:p>
    <w:p w14:paraId="68E56572" w14:textId="3795B02C" w:rsidR="0073639B" w:rsidRPr="00E65865" w:rsidRDefault="0073639B" w:rsidP="0073639B">
      <w:pPr>
        <w:spacing w:line="360" w:lineRule="auto"/>
        <w:ind w:left="720"/>
      </w:pPr>
      <w:r w:rsidRPr="00E65865">
        <w:t>I don’t get that nervous, because testosterone gives you that sense of confidence. I mean that’s what testosterone does</w:t>
      </w:r>
      <w:r w:rsidR="004A3394" w:rsidRPr="00E65865">
        <w:t>.</w:t>
      </w:r>
      <w:r w:rsidRPr="00E65865">
        <w:t xml:space="preserve"> </w:t>
      </w:r>
      <w:r w:rsidR="004A3394" w:rsidRPr="00E65865">
        <w:t>I</w:t>
      </w:r>
      <w:r w:rsidRPr="00E65865">
        <w:t>t’s that flight or fight, you know</w:t>
      </w:r>
      <w:r w:rsidR="004A3394" w:rsidRPr="00E65865">
        <w:t>. Y</w:t>
      </w:r>
      <w:r w:rsidRPr="00E65865">
        <w:t>ou get that sort of alpha feel […] It amplifies your primitive nature, so you start to feel like you’ve got this person in front of you who you’re about to have a sexual encounter with, so in your head, you’re the alpha, you dominate, so you feel great.</w:t>
      </w:r>
    </w:p>
    <w:p w14:paraId="3E45839E" w14:textId="18681B27" w:rsidR="005B323A" w:rsidRPr="00E65865" w:rsidRDefault="00777230" w:rsidP="005B323A">
      <w:pPr>
        <w:spacing w:line="360" w:lineRule="auto"/>
      </w:pPr>
      <w:r w:rsidRPr="00E65865">
        <w:t xml:space="preserve">In these </w:t>
      </w:r>
      <w:r w:rsidR="00770CCF" w:rsidRPr="00E65865">
        <w:t>extracts</w:t>
      </w:r>
      <w:r w:rsidR="0073639B" w:rsidRPr="00E65865">
        <w:t>, testosterone is enacted as a simple ‘messenger of sex’</w:t>
      </w:r>
      <w:r w:rsidR="00770CCF" w:rsidRPr="00E65865">
        <w:t>,</w:t>
      </w:r>
      <w:r w:rsidR="0073639B" w:rsidRPr="00E65865">
        <w:t xml:space="preserve"> </w:t>
      </w:r>
      <w:r w:rsidR="00770CCF" w:rsidRPr="00E65865">
        <w:t xml:space="preserve">with </w:t>
      </w:r>
      <w:r w:rsidR="00DE284D" w:rsidRPr="00E65865">
        <w:t xml:space="preserve">sex and </w:t>
      </w:r>
      <w:r w:rsidR="007F1FA4" w:rsidRPr="00E65865">
        <w:t xml:space="preserve">gender </w:t>
      </w:r>
      <w:r w:rsidR="00F7443E" w:rsidRPr="00E65865">
        <w:t xml:space="preserve">as </w:t>
      </w:r>
      <w:r w:rsidR="007F1FA4" w:rsidRPr="00E65865">
        <w:t>biological</w:t>
      </w:r>
      <w:r w:rsidR="00770CCF" w:rsidRPr="00E65865">
        <w:t>ly constituted</w:t>
      </w:r>
      <w:r w:rsidR="003111D2" w:rsidRPr="00E65865">
        <w:t>.</w:t>
      </w:r>
      <w:r w:rsidR="00797FCA" w:rsidRPr="00E65865">
        <w:t xml:space="preserve"> </w:t>
      </w:r>
      <w:r w:rsidR="00770CCF" w:rsidRPr="00E65865">
        <w:t xml:space="preserve">Supplementing the body’s </w:t>
      </w:r>
      <w:r w:rsidR="00220C00" w:rsidRPr="00E65865">
        <w:t xml:space="preserve">testosterone </w:t>
      </w:r>
      <w:r w:rsidR="00797FCA" w:rsidRPr="00E65865">
        <w:t>i</w:t>
      </w:r>
      <w:r w:rsidR="003111D2" w:rsidRPr="00E65865">
        <w:t>s understoo</w:t>
      </w:r>
      <w:r w:rsidR="0073639B" w:rsidRPr="00E65865">
        <w:t>d to</w:t>
      </w:r>
      <w:r w:rsidR="0073639B" w:rsidRPr="00E65865">
        <w:rPr>
          <w:i/>
        </w:rPr>
        <w:t xml:space="preserve"> </w:t>
      </w:r>
      <w:r w:rsidR="00220C00" w:rsidRPr="00E65865">
        <w:t>heighten</w:t>
      </w:r>
      <w:r w:rsidR="003111D2" w:rsidRPr="00E65865">
        <w:t xml:space="preserve"> and</w:t>
      </w:r>
      <w:r w:rsidR="0073639B" w:rsidRPr="00E65865">
        <w:t xml:space="preserve"> amplify</w:t>
      </w:r>
      <w:r w:rsidR="003111D2" w:rsidRPr="00E65865">
        <w:t xml:space="preserve"> </w:t>
      </w:r>
      <w:r w:rsidR="00770CCF" w:rsidRPr="00E65865">
        <w:t xml:space="preserve">putatively natural </w:t>
      </w:r>
      <w:r w:rsidR="007F1FA4" w:rsidRPr="00E65865">
        <w:t>masculine</w:t>
      </w:r>
      <w:r w:rsidR="00286FCB" w:rsidRPr="00E65865">
        <w:t xml:space="preserve"> traits</w:t>
      </w:r>
      <w:r w:rsidR="00540403" w:rsidRPr="00E65865">
        <w:t xml:space="preserve"> </w:t>
      </w:r>
      <w:r w:rsidR="0073639B" w:rsidRPr="00E65865">
        <w:t xml:space="preserve">such as sexual assertiveness </w:t>
      </w:r>
      <w:r w:rsidR="00540403" w:rsidRPr="00E65865">
        <w:t xml:space="preserve">and </w:t>
      </w:r>
      <w:r w:rsidR="0073639B" w:rsidRPr="00E65865">
        <w:t>dominance</w:t>
      </w:r>
      <w:r w:rsidR="00797FCA" w:rsidRPr="00E65865">
        <w:t xml:space="preserve">. </w:t>
      </w:r>
      <w:r w:rsidR="00B16420" w:rsidRPr="00E65865">
        <w:t>Given the widespread biomedical and cultural conflation of testosterone with maleness and masculinity,</w:t>
      </w:r>
      <w:r w:rsidR="00797FCA" w:rsidRPr="00E65865">
        <w:t xml:space="preserve"> and the enduring </w:t>
      </w:r>
      <w:r w:rsidR="00220C00" w:rsidRPr="00E65865">
        <w:t xml:space="preserve">legacy </w:t>
      </w:r>
      <w:r w:rsidR="00797FCA" w:rsidRPr="00E65865">
        <w:t>of hormonal accounts of</w:t>
      </w:r>
      <w:r w:rsidR="00220C00" w:rsidRPr="00E65865">
        <w:t xml:space="preserve"> gender and</w:t>
      </w:r>
      <w:r w:rsidR="00797FCA" w:rsidRPr="00E65865">
        <w:t xml:space="preserve"> sexual difference,</w:t>
      </w:r>
      <w:r w:rsidR="00B16420" w:rsidRPr="00E65865">
        <w:t xml:space="preserve"> thes</w:t>
      </w:r>
      <w:r w:rsidR="00220C00" w:rsidRPr="00E65865">
        <w:t>e descriptions of testosterone-fuelled</w:t>
      </w:r>
      <w:r w:rsidR="00B16420" w:rsidRPr="00E65865">
        <w:t xml:space="preserve"> sexuality and ‘alpha’ masculinity are </w:t>
      </w:r>
      <w:r w:rsidR="00540403" w:rsidRPr="00E65865">
        <w:t>hardly</w:t>
      </w:r>
      <w:r w:rsidR="00220C00" w:rsidRPr="00E65865">
        <w:t xml:space="preserve"> unexpected (</w:t>
      </w:r>
      <w:r w:rsidR="00540403" w:rsidRPr="00E65865">
        <w:t xml:space="preserve">see </w:t>
      </w:r>
      <w:r w:rsidR="00220C00" w:rsidRPr="00E65865">
        <w:t>van Anders, 2013</w:t>
      </w:r>
      <w:r w:rsidR="00B16420" w:rsidRPr="00E65865">
        <w:t>).</w:t>
      </w:r>
      <w:r w:rsidR="00770CCF" w:rsidRPr="00E65865">
        <w:t xml:space="preserve"> They are familiar and have been discussed by other researchers.</w:t>
      </w:r>
      <w:r w:rsidR="00220C00" w:rsidRPr="00E65865">
        <w:t xml:space="preserve"> </w:t>
      </w:r>
      <w:r w:rsidR="00770CCF" w:rsidRPr="00E65865">
        <w:t>W</w:t>
      </w:r>
      <w:r w:rsidR="00AA1FF0" w:rsidRPr="00E65865">
        <w:t xml:space="preserve">e do </w:t>
      </w:r>
      <w:r w:rsidR="007F1FA4" w:rsidRPr="00E65865">
        <w:t>not</w:t>
      </w:r>
      <w:r w:rsidR="00770CCF" w:rsidRPr="00E65865">
        <w:t xml:space="preserve"> argue, however, </w:t>
      </w:r>
      <w:r w:rsidR="007F1FA4" w:rsidRPr="00E65865">
        <w:t>that the relationship</w:t>
      </w:r>
      <w:r w:rsidR="00AA1FF0" w:rsidRPr="00E65865">
        <w:t xml:space="preserve"> betwee</w:t>
      </w:r>
      <w:r w:rsidR="007F1FA4" w:rsidRPr="00E65865">
        <w:t>n steroid consumption and masculinity</w:t>
      </w:r>
      <w:r w:rsidR="00AA1FF0" w:rsidRPr="00E65865">
        <w:t xml:space="preserve"> is representative of ‘masculinity-in-crisis’ (</w:t>
      </w:r>
      <w:r w:rsidR="008259F8" w:rsidRPr="00E65865">
        <w:t xml:space="preserve">see </w:t>
      </w:r>
      <w:r w:rsidR="00EA22A6" w:rsidRPr="00E65865">
        <w:t xml:space="preserve">also Keane, 2005; </w:t>
      </w:r>
      <w:r w:rsidR="00AA1FF0" w:rsidRPr="00E65865">
        <w:t>Monaghan, 2001; Moore et al. 2019)</w:t>
      </w:r>
      <w:r w:rsidR="00770CCF" w:rsidRPr="00E65865">
        <w:t xml:space="preserve">. Instead, we observe </w:t>
      </w:r>
      <w:r w:rsidR="00AA1FF0" w:rsidRPr="00E65865">
        <w:t xml:space="preserve">that </w:t>
      </w:r>
      <w:r w:rsidR="00770CCF" w:rsidRPr="00E65865">
        <w:t xml:space="preserve">accounts of the effects of </w:t>
      </w:r>
      <w:r w:rsidR="00797FCA" w:rsidRPr="00E65865">
        <w:t>steroid injecting</w:t>
      </w:r>
      <w:r w:rsidR="00AA1FF0" w:rsidRPr="00E65865">
        <w:t xml:space="preserve"> </w:t>
      </w:r>
      <w:r w:rsidR="00770CCF" w:rsidRPr="00E65865">
        <w:t>can be utilised</w:t>
      </w:r>
      <w:r w:rsidR="00AA1FF0" w:rsidRPr="00E65865">
        <w:t xml:space="preserve"> to preserve traditional </w:t>
      </w:r>
      <w:r w:rsidR="00770CCF" w:rsidRPr="00E65865">
        <w:t>asymmetrical</w:t>
      </w:r>
      <w:r w:rsidR="00AA1FF0" w:rsidRPr="00E65865">
        <w:t xml:space="preserve"> ideals of </w:t>
      </w:r>
      <w:r w:rsidRPr="00E65865">
        <w:t>sexual difference</w:t>
      </w:r>
      <w:r w:rsidR="00797FCA" w:rsidRPr="00E65865">
        <w:t xml:space="preserve"> – particularly through the reproduction of hormonal accounts of the</w:t>
      </w:r>
      <w:r w:rsidRPr="00E65865">
        <w:t xml:space="preserve"> ‘biology’ of </w:t>
      </w:r>
      <w:r w:rsidR="00770CCF" w:rsidRPr="00E65865">
        <w:t>masculine dominance</w:t>
      </w:r>
      <w:r w:rsidR="005B323A" w:rsidRPr="00E65865">
        <w:t xml:space="preserve">. </w:t>
      </w:r>
    </w:p>
    <w:p w14:paraId="2AD0A353" w14:textId="48C42911" w:rsidR="00796106" w:rsidRPr="00E65865" w:rsidRDefault="00EF4C3E" w:rsidP="002F4F7E">
      <w:pPr>
        <w:spacing w:line="360" w:lineRule="auto"/>
      </w:pPr>
      <w:r w:rsidRPr="00E65865">
        <w:lastRenderedPageBreak/>
        <w:t>Importantly, w</w:t>
      </w:r>
      <w:r w:rsidR="000704A6" w:rsidRPr="00E65865">
        <w:t xml:space="preserve">hile </w:t>
      </w:r>
      <w:r w:rsidRPr="00E65865">
        <w:t xml:space="preserve">the expressions of enhanced masculinity </w:t>
      </w:r>
      <w:r w:rsidR="009308B1" w:rsidRPr="00E65865">
        <w:t xml:space="preserve">described above </w:t>
      </w:r>
      <w:r w:rsidRPr="00E65865">
        <w:t xml:space="preserve">were </w:t>
      </w:r>
      <w:r w:rsidR="009308B1" w:rsidRPr="00E65865">
        <w:t xml:space="preserve">treated </w:t>
      </w:r>
      <w:r w:rsidRPr="00E65865">
        <w:t>as biological and natural</w:t>
      </w:r>
      <w:r w:rsidR="00F5718A" w:rsidRPr="00E65865">
        <w:t xml:space="preserve"> by participants</w:t>
      </w:r>
      <w:r w:rsidRPr="00E65865">
        <w:t xml:space="preserve">, they reflect </w:t>
      </w:r>
      <w:r w:rsidR="00041E62" w:rsidRPr="00E65865">
        <w:t xml:space="preserve">and reproduce </w:t>
      </w:r>
      <w:r w:rsidRPr="00E65865">
        <w:t xml:space="preserve">distinctively contemporary gendered forms of bio-sociality (see Roberts, 2007) that are intertwined with </w:t>
      </w:r>
      <w:r w:rsidR="00041E62" w:rsidRPr="00E65865">
        <w:t xml:space="preserve">contradictory exhortations </w:t>
      </w:r>
      <w:r w:rsidR="00EA22A6" w:rsidRPr="00E65865">
        <w:t>for</w:t>
      </w:r>
      <w:r w:rsidR="00041E62" w:rsidRPr="00E65865">
        <w:t xml:space="preserve"> men to be </w:t>
      </w:r>
      <w:r w:rsidR="002F4F7E" w:rsidRPr="00E65865">
        <w:t>‘manly’</w:t>
      </w:r>
      <w:r w:rsidR="00041E62" w:rsidRPr="00E65865">
        <w:t xml:space="preserve"> and confident while eschewing outwardly aggressive or vain behaviour (Gill &amp; </w:t>
      </w:r>
      <w:proofErr w:type="spellStart"/>
      <w:r w:rsidR="00041E62" w:rsidRPr="00E65865">
        <w:t>Orgad</w:t>
      </w:r>
      <w:proofErr w:type="spellEnd"/>
      <w:r w:rsidR="00041E62" w:rsidRPr="00E65865">
        <w:t>, 2017</w:t>
      </w:r>
      <w:r w:rsidR="002F4F7E" w:rsidRPr="00E65865">
        <w:t>; Tanner, Maher &amp; Fraser,</w:t>
      </w:r>
      <w:r w:rsidR="009808A1" w:rsidRPr="00E65865">
        <w:t xml:space="preserve"> 2013</w:t>
      </w:r>
      <w:r w:rsidR="002F4F7E" w:rsidRPr="00E65865">
        <w:t>)</w:t>
      </w:r>
      <w:r w:rsidR="00041E62" w:rsidRPr="00E65865">
        <w:t>.</w:t>
      </w:r>
      <w:r w:rsidR="00461A86" w:rsidRPr="00E65865">
        <w:t xml:space="preserve"> </w:t>
      </w:r>
      <w:r w:rsidR="002F4F7E" w:rsidRPr="00E65865">
        <w:t xml:space="preserve">Many participants described </w:t>
      </w:r>
      <w:r w:rsidR="009308B1" w:rsidRPr="00E65865">
        <w:t xml:space="preserve">the effects of elevated </w:t>
      </w:r>
      <w:r w:rsidR="00041E62" w:rsidRPr="00E65865">
        <w:t xml:space="preserve">testosterone </w:t>
      </w:r>
      <w:r w:rsidR="009308B1" w:rsidRPr="00E65865">
        <w:t>as including</w:t>
      </w:r>
      <w:r w:rsidR="002F4F7E" w:rsidRPr="00E65865">
        <w:t xml:space="preserve"> </w:t>
      </w:r>
      <w:r w:rsidR="009308B1" w:rsidRPr="00E65865">
        <w:t xml:space="preserve">increased </w:t>
      </w:r>
      <w:r w:rsidR="002F4F7E" w:rsidRPr="00E65865">
        <w:t xml:space="preserve">assertiveness in social relationships, and especially at work. </w:t>
      </w:r>
      <w:r w:rsidR="00796106" w:rsidRPr="00E65865">
        <w:t>Don</w:t>
      </w:r>
      <w:r w:rsidR="00782E5D" w:rsidRPr="00E65865">
        <w:t xml:space="preserve"> (Vic, 28)</w:t>
      </w:r>
      <w:r w:rsidR="00796106" w:rsidRPr="00E65865">
        <w:t>, for example, explains</w:t>
      </w:r>
      <w:r w:rsidR="008B6C3B" w:rsidRPr="00E65865">
        <w:t xml:space="preserve"> that</w:t>
      </w:r>
      <w:r w:rsidR="00796106" w:rsidRPr="00E65865">
        <w:t xml:space="preserve"> steroids give him ‘more security’ </w:t>
      </w:r>
      <w:r w:rsidR="005E485C" w:rsidRPr="00E65865">
        <w:t>in his relationships</w:t>
      </w:r>
      <w:r w:rsidR="008B6C3B" w:rsidRPr="00E65865">
        <w:t xml:space="preserve"> with others</w:t>
      </w:r>
      <w:r w:rsidR="00782E5D" w:rsidRPr="00E65865">
        <w:t xml:space="preserve">: </w:t>
      </w:r>
    </w:p>
    <w:p w14:paraId="0F8D28AE" w14:textId="331CA01D" w:rsidR="006E1C63" w:rsidRPr="00E65865" w:rsidRDefault="006E1C63" w:rsidP="00782E5D">
      <w:pPr>
        <w:spacing w:line="360" w:lineRule="auto"/>
        <w:ind w:left="720"/>
      </w:pPr>
      <w:r w:rsidRPr="00E65865">
        <w:t>I’m not always like this but sometimes I feel more dominant and more a</w:t>
      </w:r>
      <w:r w:rsidR="00DE284D" w:rsidRPr="00E65865">
        <w:t>ssertive and more</w:t>
      </w:r>
      <w:r w:rsidR="009308B1" w:rsidRPr="00E65865">
        <w:t>,</w:t>
      </w:r>
      <w:r w:rsidR="00DE284D" w:rsidRPr="00E65865">
        <w:t xml:space="preserve"> you know</w:t>
      </w:r>
      <w:r w:rsidR="009308B1" w:rsidRPr="00E65865">
        <w:t>,</w:t>
      </w:r>
      <w:r w:rsidR="00DE284D" w:rsidRPr="00E65865">
        <w:t xml:space="preserve"> goal-</w:t>
      </w:r>
      <w:r w:rsidRPr="00E65865">
        <w:t>oriented</w:t>
      </w:r>
      <w:r w:rsidR="004A3394" w:rsidRPr="00E65865">
        <w:t>.</w:t>
      </w:r>
      <w:r w:rsidRPr="00E65865">
        <w:t xml:space="preserve"> </w:t>
      </w:r>
      <w:r w:rsidR="004A3394" w:rsidRPr="00E65865">
        <w:t>A</w:t>
      </w:r>
      <w:r w:rsidRPr="00E65865">
        <w:t>nd just not intimidated by the people, you know</w:t>
      </w:r>
      <w:r w:rsidR="004A3394" w:rsidRPr="00E65865">
        <w:t xml:space="preserve"> […]</w:t>
      </w:r>
      <w:r w:rsidRPr="00E65865">
        <w:t xml:space="preserve"> I feel like I don’t have to compete with other people because I [… already] have this level of testosterone there. </w:t>
      </w:r>
    </w:p>
    <w:p w14:paraId="40588F73" w14:textId="19C879A0" w:rsidR="00461A86" w:rsidRPr="00E65865" w:rsidRDefault="002F4F7E" w:rsidP="00461A86">
      <w:pPr>
        <w:spacing w:line="360" w:lineRule="auto"/>
      </w:pPr>
      <w:r w:rsidRPr="00E65865">
        <w:t>S</w:t>
      </w:r>
      <w:r w:rsidR="00595843" w:rsidRPr="00E65865">
        <w:t xml:space="preserve">everal participants </w:t>
      </w:r>
      <w:r w:rsidR="008B6C3B" w:rsidRPr="00E65865">
        <w:t>remarked</w:t>
      </w:r>
      <w:r w:rsidR="00595843" w:rsidRPr="00E65865">
        <w:t xml:space="preserve"> </w:t>
      </w:r>
      <w:r w:rsidR="00571E54" w:rsidRPr="00E65865">
        <w:t xml:space="preserve">that </w:t>
      </w:r>
      <w:r w:rsidR="00595843" w:rsidRPr="00E65865">
        <w:t xml:space="preserve">they feel more confident at work because of increased testosterone levels </w:t>
      </w:r>
      <w:r w:rsidR="00B812CB" w:rsidRPr="00E65865">
        <w:t xml:space="preserve">due to </w:t>
      </w:r>
      <w:r w:rsidR="00595843" w:rsidRPr="00E65865">
        <w:t>injecting steroids. For example, Martin (Vic, 26</w:t>
      </w:r>
      <w:r w:rsidR="00461A86" w:rsidRPr="00E65865">
        <w:t>)</w:t>
      </w:r>
      <w:r w:rsidR="00286FCB" w:rsidRPr="00E65865">
        <w:t xml:space="preserve"> explains</w:t>
      </w:r>
      <w:r w:rsidR="00595843" w:rsidRPr="00E65865">
        <w:t>:</w:t>
      </w:r>
    </w:p>
    <w:p w14:paraId="6A9EF89C" w14:textId="3AEEAD3E" w:rsidR="00461A86" w:rsidRPr="00E65865" w:rsidRDefault="00461A86" w:rsidP="00461A86">
      <w:pPr>
        <w:pStyle w:val="Normal0"/>
        <w:rPr>
          <w:rFonts w:ascii="Times New Roman" w:hAnsi="Times New Roman"/>
        </w:rPr>
      </w:pPr>
      <w:r w:rsidRPr="00E65865">
        <w:rPr>
          <w:rFonts w:ascii="Times New Roman" w:hAnsi="Times New Roman"/>
        </w:rPr>
        <w:t>What I found with your basic steroid, which is testosterone and some of the milder derivatives</w:t>
      </w:r>
      <w:r w:rsidR="002F4F7E" w:rsidRPr="00E65865">
        <w:rPr>
          <w:rFonts w:ascii="Times New Roman" w:hAnsi="Times New Roman"/>
        </w:rPr>
        <w:t xml:space="preserve"> [</w:t>
      </w:r>
      <w:r w:rsidR="00595843" w:rsidRPr="00E65865">
        <w:rPr>
          <w:rFonts w:ascii="Times New Roman" w:hAnsi="Times New Roman"/>
        </w:rPr>
        <w:t>…</w:t>
      </w:r>
      <w:r w:rsidR="009308B1" w:rsidRPr="00E65865">
        <w:rPr>
          <w:rFonts w:ascii="Times New Roman" w:hAnsi="Times New Roman"/>
        </w:rPr>
        <w:t>is that</w:t>
      </w:r>
      <w:r w:rsidR="00595843" w:rsidRPr="00E65865">
        <w:rPr>
          <w:rFonts w:ascii="Times New Roman" w:hAnsi="Times New Roman"/>
        </w:rPr>
        <w:t xml:space="preserve">] </w:t>
      </w:r>
      <w:r w:rsidR="009308B1" w:rsidRPr="00E65865">
        <w:rPr>
          <w:rFonts w:ascii="Times New Roman" w:hAnsi="Times New Roman"/>
        </w:rPr>
        <w:t>t</w:t>
      </w:r>
      <w:r w:rsidRPr="00E65865">
        <w:rPr>
          <w:rFonts w:ascii="Times New Roman" w:hAnsi="Times New Roman"/>
        </w:rPr>
        <w:t>hey make you feel much more confident</w:t>
      </w:r>
      <w:r w:rsidR="009308B1" w:rsidRPr="00E65865">
        <w:rPr>
          <w:rFonts w:ascii="Times New Roman" w:hAnsi="Times New Roman"/>
        </w:rPr>
        <w:t>,</w:t>
      </w:r>
      <w:r w:rsidRPr="00E65865">
        <w:rPr>
          <w:rFonts w:ascii="Times New Roman" w:hAnsi="Times New Roman"/>
        </w:rPr>
        <w:t xml:space="preserve"> and they just enhance what’s already there, okay? </w:t>
      </w:r>
      <w:proofErr w:type="gramStart"/>
      <w:r w:rsidRPr="00E65865">
        <w:rPr>
          <w:rFonts w:ascii="Times New Roman" w:hAnsi="Times New Roman"/>
        </w:rPr>
        <w:t>So</w:t>
      </w:r>
      <w:proofErr w:type="gramEnd"/>
      <w:r w:rsidRPr="00E65865">
        <w:rPr>
          <w:rFonts w:ascii="Times New Roman" w:hAnsi="Times New Roman"/>
        </w:rPr>
        <w:t xml:space="preserve"> I used to always be the guy at work being shat on by someone</w:t>
      </w:r>
      <w:r w:rsidR="00F94B3E" w:rsidRPr="00E65865">
        <w:rPr>
          <w:rFonts w:ascii="Times New Roman" w:hAnsi="Times New Roman"/>
        </w:rPr>
        <w:t xml:space="preserve"> […] </w:t>
      </w:r>
      <w:r w:rsidRPr="00E65865">
        <w:rPr>
          <w:rFonts w:ascii="Times New Roman" w:hAnsi="Times New Roman"/>
        </w:rPr>
        <w:t xml:space="preserve">and I’d be this close to saying </w:t>
      </w:r>
      <w:r w:rsidR="004A3394" w:rsidRPr="00E65865">
        <w:rPr>
          <w:rFonts w:ascii="Times New Roman" w:hAnsi="Times New Roman"/>
        </w:rPr>
        <w:t>[something]</w:t>
      </w:r>
      <w:r w:rsidRPr="00E65865">
        <w:rPr>
          <w:rFonts w:ascii="Times New Roman" w:hAnsi="Times New Roman"/>
        </w:rPr>
        <w:t>, but I’d never say it</w:t>
      </w:r>
      <w:r w:rsidR="009308B1" w:rsidRPr="00E65865">
        <w:rPr>
          <w:rFonts w:ascii="Times New Roman" w:hAnsi="Times New Roman"/>
        </w:rPr>
        <w:t>.</w:t>
      </w:r>
      <w:r w:rsidRPr="00E65865">
        <w:rPr>
          <w:rFonts w:ascii="Times New Roman" w:hAnsi="Times New Roman"/>
        </w:rPr>
        <w:t xml:space="preserve"> I’d be like, </w:t>
      </w:r>
      <w:r w:rsidR="00F94B3E" w:rsidRPr="00E65865">
        <w:rPr>
          <w:rFonts w:ascii="Times New Roman" w:hAnsi="Times New Roman"/>
        </w:rPr>
        <w:t>‘</w:t>
      </w:r>
      <w:r w:rsidRPr="00E65865">
        <w:rPr>
          <w:rFonts w:ascii="Times New Roman" w:hAnsi="Times New Roman"/>
        </w:rPr>
        <w:t>okay, just let it go</w:t>
      </w:r>
      <w:r w:rsidR="00F94B3E" w:rsidRPr="00E65865">
        <w:rPr>
          <w:rFonts w:ascii="Times New Roman" w:hAnsi="Times New Roman"/>
        </w:rPr>
        <w:t>’</w:t>
      </w:r>
      <w:r w:rsidRPr="00E65865">
        <w:rPr>
          <w:rFonts w:ascii="Times New Roman" w:hAnsi="Times New Roman"/>
        </w:rPr>
        <w:t>. I’d be</w:t>
      </w:r>
      <w:r w:rsidR="00B812CB" w:rsidRPr="00E65865">
        <w:rPr>
          <w:rFonts w:ascii="Times New Roman" w:hAnsi="Times New Roman"/>
        </w:rPr>
        <w:t xml:space="preserve"> …</w:t>
      </w:r>
      <w:r w:rsidRPr="00E65865">
        <w:rPr>
          <w:rFonts w:ascii="Times New Roman" w:hAnsi="Times New Roman"/>
        </w:rPr>
        <w:t xml:space="preserve"> walked on. When I started performance-enhancing drugs, people</w:t>
      </w:r>
      <w:r w:rsidR="002F4F7E" w:rsidRPr="00E65865">
        <w:rPr>
          <w:rFonts w:ascii="Times New Roman" w:hAnsi="Times New Roman"/>
        </w:rPr>
        <w:t xml:space="preserve"> [would]</w:t>
      </w:r>
      <w:r w:rsidRPr="00E65865">
        <w:rPr>
          <w:rFonts w:ascii="Times New Roman" w:hAnsi="Times New Roman"/>
        </w:rPr>
        <w:t xml:space="preserve"> try </w:t>
      </w:r>
      <w:r w:rsidR="002F4F7E" w:rsidRPr="00E65865">
        <w:rPr>
          <w:rFonts w:ascii="Times New Roman" w:hAnsi="Times New Roman"/>
        </w:rPr>
        <w:t>[to]</w:t>
      </w:r>
      <w:r w:rsidRPr="00E65865">
        <w:rPr>
          <w:rFonts w:ascii="Times New Roman" w:hAnsi="Times New Roman"/>
        </w:rPr>
        <w:t xml:space="preserve"> walk on me</w:t>
      </w:r>
      <w:r w:rsidR="009308B1" w:rsidRPr="00E65865">
        <w:rPr>
          <w:rFonts w:ascii="Times New Roman" w:hAnsi="Times New Roman"/>
        </w:rPr>
        <w:t>,</w:t>
      </w:r>
      <w:r w:rsidRPr="00E65865">
        <w:rPr>
          <w:rFonts w:ascii="Times New Roman" w:hAnsi="Times New Roman"/>
        </w:rPr>
        <w:t xml:space="preserve"> and that shit I was thinking would come out</w:t>
      </w:r>
      <w:r w:rsidR="00595843" w:rsidRPr="00E65865">
        <w:rPr>
          <w:rFonts w:ascii="Times New Roman" w:hAnsi="Times New Roman"/>
        </w:rPr>
        <w:t>.</w:t>
      </w:r>
    </w:p>
    <w:p w14:paraId="4BA73202" w14:textId="6C37560B" w:rsidR="0031472E" w:rsidRPr="00E65865" w:rsidRDefault="0031472E" w:rsidP="009308B1">
      <w:pPr>
        <w:spacing w:line="360" w:lineRule="auto"/>
      </w:pPr>
      <w:r w:rsidRPr="00E65865">
        <w:t>David (</w:t>
      </w:r>
      <w:r w:rsidR="00595843" w:rsidRPr="00E65865">
        <w:t>Vic, 27</w:t>
      </w:r>
      <w:r w:rsidR="00286FCB" w:rsidRPr="00E65865">
        <w:t>), who works</w:t>
      </w:r>
      <w:r w:rsidRPr="00E65865">
        <w:t xml:space="preserve"> </w:t>
      </w:r>
      <w:r w:rsidR="002B6D80" w:rsidRPr="00E65865">
        <w:t>in construction</w:t>
      </w:r>
      <w:r w:rsidR="00D05134" w:rsidRPr="00E65865">
        <w:t>, ma</w:t>
      </w:r>
      <w:r w:rsidR="005E485C" w:rsidRPr="00E65865">
        <w:t>kes</w:t>
      </w:r>
      <w:r w:rsidR="00D05134" w:rsidRPr="00E65865">
        <w:t xml:space="preserve"> similar comments in </w:t>
      </w:r>
      <w:r w:rsidR="005E485C" w:rsidRPr="00E65865">
        <w:t xml:space="preserve">relation to </w:t>
      </w:r>
      <w:r w:rsidR="00595843" w:rsidRPr="00E65865">
        <w:t>feeling more confident and assertive at work</w:t>
      </w:r>
      <w:r w:rsidRPr="00E65865">
        <w:t>:</w:t>
      </w:r>
    </w:p>
    <w:p w14:paraId="789E0C8B" w14:textId="4BB54819" w:rsidR="002F4F7E" w:rsidRPr="00E65865" w:rsidRDefault="0031472E" w:rsidP="00202BB9">
      <w:pPr>
        <w:spacing w:line="360" w:lineRule="auto"/>
        <w:ind w:left="720"/>
      </w:pPr>
      <w:r w:rsidRPr="00E65865">
        <w:t>An example [of more confidence] might be whe</w:t>
      </w:r>
      <w:r w:rsidR="004A3394" w:rsidRPr="00E65865">
        <w:t>n</w:t>
      </w:r>
      <w:r w:rsidRPr="00E65865">
        <w:t xml:space="preserve"> I’m at work and I g</w:t>
      </w:r>
      <w:r w:rsidR="00853511" w:rsidRPr="00E65865">
        <w:t>e</w:t>
      </w:r>
      <w:r w:rsidRPr="00E65865">
        <w:t>t told off for something that was done</w:t>
      </w:r>
      <w:r w:rsidR="009308B1" w:rsidRPr="00E65865">
        <w:t>,</w:t>
      </w:r>
      <w:r w:rsidRPr="00E65865">
        <w:t xml:space="preserve"> and maybe it wasn’t my fault or there was a reason why a thing was done that way. I felt more confident enough to </w:t>
      </w:r>
      <w:r w:rsidR="004A3394" w:rsidRPr="00E65865">
        <w:t>[say]</w:t>
      </w:r>
      <w:r w:rsidRPr="00E65865">
        <w:t xml:space="preserve">, </w:t>
      </w:r>
      <w:r w:rsidR="009308B1" w:rsidRPr="00E65865">
        <w:t>‘</w:t>
      </w:r>
      <w:r w:rsidRPr="00E65865">
        <w:t>Hey, no, no, no. This is this, rah, rah, rah</w:t>
      </w:r>
      <w:r w:rsidR="009308B1" w:rsidRPr="00E65865">
        <w:t>’ –</w:t>
      </w:r>
      <w:r w:rsidRPr="00E65865">
        <w:t xml:space="preserve"> explain and say my part</w:t>
      </w:r>
      <w:r w:rsidR="00D05134" w:rsidRPr="00E65865">
        <w:t>.</w:t>
      </w:r>
    </w:p>
    <w:p w14:paraId="05B09D7D" w14:textId="4732A643" w:rsidR="00BC31FD" w:rsidRPr="00E65865" w:rsidRDefault="00BC31FD" w:rsidP="00870214">
      <w:pPr>
        <w:spacing w:line="360" w:lineRule="auto"/>
      </w:pPr>
      <w:r w:rsidRPr="00E65865">
        <w:t>In short, participants understood</w:t>
      </w:r>
      <w:r w:rsidR="00870214" w:rsidRPr="00E65865">
        <w:t xml:space="preserve"> the confidence and assertiveness </w:t>
      </w:r>
      <w:r w:rsidRPr="00E65865">
        <w:t>they experienced</w:t>
      </w:r>
      <w:r w:rsidR="00870214" w:rsidRPr="00E65865">
        <w:t xml:space="preserve"> </w:t>
      </w:r>
      <w:r w:rsidR="009808A1" w:rsidRPr="00E65865">
        <w:t>a</w:t>
      </w:r>
      <w:r w:rsidRPr="00E65865">
        <w:t>s a direct result of elevated levels of</w:t>
      </w:r>
      <w:r w:rsidR="00870214" w:rsidRPr="00E65865">
        <w:t xml:space="preserve"> the ‘male hormone’,</w:t>
      </w:r>
      <w:r w:rsidRPr="00E65865">
        <w:t xml:space="preserve"> </w:t>
      </w:r>
      <w:r w:rsidR="00F94B3E" w:rsidRPr="00E65865">
        <w:t>testosterone</w:t>
      </w:r>
      <w:r w:rsidR="002F70F0" w:rsidRPr="00E65865">
        <w:t>, in the body</w:t>
      </w:r>
      <w:r w:rsidR="00F94B3E" w:rsidRPr="00E65865">
        <w:t>. W</w:t>
      </w:r>
      <w:r w:rsidRPr="00E65865">
        <w:t>e argue</w:t>
      </w:r>
      <w:r w:rsidR="00F94B3E" w:rsidRPr="00E65865">
        <w:t>, however,</w:t>
      </w:r>
      <w:r w:rsidRPr="00E65865">
        <w:t xml:space="preserve"> that</w:t>
      </w:r>
      <w:r w:rsidR="00870214" w:rsidRPr="00E65865">
        <w:t xml:space="preserve"> </w:t>
      </w:r>
      <w:r w:rsidRPr="00E65865">
        <w:t>contemporary discourses of</w:t>
      </w:r>
      <w:r w:rsidR="00870214" w:rsidRPr="00E65865">
        <w:t xml:space="preserve"> testosterone </w:t>
      </w:r>
      <w:r w:rsidR="009808A1" w:rsidRPr="00E65865">
        <w:t xml:space="preserve">reflect and </w:t>
      </w:r>
      <w:r w:rsidR="00870214" w:rsidRPr="00E65865">
        <w:t>message</w:t>
      </w:r>
      <w:r w:rsidR="009808A1" w:rsidRPr="00E65865">
        <w:t xml:space="preserve"> current expectations around</w:t>
      </w:r>
      <w:r w:rsidR="00870214" w:rsidRPr="00E65865">
        <w:t xml:space="preserve"> </w:t>
      </w:r>
      <w:r w:rsidR="009808A1" w:rsidRPr="00E65865">
        <w:t xml:space="preserve">ideal </w:t>
      </w:r>
      <w:r w:rsidR="00870214" w:rsidRPr="00E65865">
        <w:t>masculinity</w:t>
      </w:r>
      <w:r w:rsidR="002F70F0" w:rsidRPr="00E65865">
        <w:t>, and that this is indivisible from these biological effects</w:t>
      </w:r>
      <w:r w:rsidR="009808A1" w:rsidRPr="00E65865">
        <w:t xml:space="preserve">. This version of </w:t>
      </w:r>
      <w:r w:rsidR="009808A1" w:rsidRPr="00E65865">
        <w:lastRenderedPageBreak/>
        <w:t xml:space="preserve">testosterone as a gathering means that the </w:t>
      </w:r>
      <w:r w:rsidRPr="00E65865">
        <w:t xml:space="preserve">biological and social aspects of the hormone cannot be distinguished in </w:t>
      </w:r>
      <w:r w:rsidR="00870214" w:rsidRPr="00E65865">
        <w:t xml:space="preserve">producing more confident and authoritative embodiment. </w:t>
      </w:r>
    </w:p>
    <w:p w14:paraId="05023EFA" w14:textId="3F744E1E" w:rsidR="00553E1F" w:rsidRPr="00E65865" w:rsidRDefault="00553E1F" w:rsidP="00870214">
      <w:pPr>
        <w:spacing w:line="360" w:lineRule="auto"/>
      </w:pPr>
      <w:r w:rsidRPr="00E65865">
        <w:t>For most participants, th</w:t>
      </w:r>
      <w:r w:rsidR="00BC31FD" w:rsidRPr="00E65865">
        <w:t>e</w:t>
      </w:r>
      <w:r w:rsidRPr="00E65865">
        <w:t xml:space="preserve"> embodi</w:t>
      </w:r>
      <w:r w:rsidR="00BC31FD" w:rsidRPr="00E65865">
        <w:t>ed effects described here are</w:t>
      </w:r>
      <w:r w:rsidRPr="00E65865">
        <w:t xml:space="preserve"> experienced as pleasurable and positive </w:t>
      </w:r>
      <w:r w:rsidR="00BC31FD" w:rsidRPr="00E65865">
        <w:t>in that</w:t>
      </w:r>
      <w:r w:rsidRPr="00E65865">
        <w:t xml:space="preserve"> </w:t>
      </w:r>
      <w:r w:rsidR="00BC31FD" w:rsidRPr="00E65865">
        <w:t>they</w:t>
      </w:r>
      <w:r w:rsidRPr="00E65865">
        <w:t xml:space="preserve"> align with contemporary cultural injunctions around </w:t>
      </w:r>
      <w:r w:rsidR="00BC31FD" w:rsidRPr="00E65865">
        <w:t xml:space="preserve">gendered </w:t>
      </w:r>
      <w:r w:rsidRPr="00E65865">
        <w:t xml:space="preserve">self-improvement and confidence (Gill &amp; </w:t>
      </w:r>
      <w:proofErr w:type="spellStart"/>
      <w:r w:rsidRPr="00E65865">
        <w:t>Orgad</w:t>
      </w:r>
      <w:proofErr w:type="spellEnd"/>
      <w:r w:rsidRPr="00E65865">
        <w:t xml:space="preserve">, 2017; </w:t>
      </w:r>
      <w:r w:rsidR="003E2CFD" w:rsidRPr="00E65865">
        <w:t>Latham et al. 2019</w:t>
      </w:r>
      <w:r w:rsidR="00774286" w:rsidRPr="00E65865">
        <w:t>)</w:t>
      </w:r>
      <w:r w:rsidR="00DC404D" w:rsidRPr="00E65865">
        <w:t xml:space="preserve">. As participants suggest above, </w:t>
      </w:r>
      <w:r w:rsidR="00BC31FD" w:rsidRPr="00E65865">
        <w:t xml:space="preserve">they experience </w:t>
      </w:r>
      <w:r w:rsidRPr="00E65865">
        <w:t>enhanc</w:t>
      </w:r>
      <w:r w:rsidR="00BC31FD" w:rsidRPr="00E65865">
        <w:t>ed</w:t>
      </w:r>
      <w:r w:rsidR="00DC404D" w:rsidRPr="00E65865">
        <w:t xml:space="preserve"> normative masculinity </w:t>
      </w:r>
      <w:r w:rsidR="00BC31FD" w:rsidRPr="00E65865">
        <w:t>as</w:t>
      </w:r>
      <w:r w:rsidRPr="00E65865">
        <w:t xml:space="preserve"> improv</w:t>
      </w:r>
      <w:r w:rsidR="00BC31FD" w:rsidRPr="00E65865">
        <w:t>ing</w:t>
      </w:r>
      <w:r w:rsidRPr="00E65865">
        <w:t xml:space="preserve"> social and working relationships, presumably with other men. Our point here is not to suggest these experiences are false or inauthentic, but rathe</w:t>
      </w:r>
      <w:r w:rsidR="00DC404D" w:rsidRPr="00E65865">
        <w:t xml:space="preserve">r to show how </w:t>
      </w:r>
      <w:r w:rsidR="00BC31FD" w:rsidRPr="00E65865">
        <w:t>socially and culturally specific</w:t>
      </w:r>
      <w:r w:rsidR="00DC404D" w:rsidRPr="00E65865">
        <w:t xml:space="preserve"> norms and practices materialise</w:t>
      </w:r>
      <w:r w:rsidRPr="00E65865">
        <w:t xml:space="preserve"> the body and embodiment</w:t>
      </w:r>
      <w:r w:rsidR="00BC31FD" w:rsidRPr="00E65865">
        <w:t xml:space="preserve"> in particular ways</w:t>
      </w:r>
      <w:r w:rsidRPr="00E65865">
        <w:t xml:space="preserve">, and </w:t>
      </w:r>
      <w:r w:rsidR="00BC31FD" w:rsidRPr="00E65865">
        <w:t>that</w:t>
      </w:r>
      <w:r w:rsidRPr="00E65865">
        <w:t xml:space="preserve"> body</w:t>
      </w:r>
      <w:r w:rsidR="00BC31FD" w:rsidRPr="00E65865">
        <w:t xml:space="preserve"> </w:t>
      </w:r>
      <w:r w:rsidRPr="00E65865">
        <w:t xml:space="preserve">projects and drug-using practices such as steroid injecting </w:t>
      </w:r>
      <w:r w:rsidR="00BC31FD" w:rsidRPr="00E65865">
        <w:t xml:space="preserve">can </w:t>
      </w:r>
      <w:r w:rsidR="003E7B1D" w:rsidRPr="00E65865">
        <w:t>have unanticipated</w:t>
      </w:r>
      <w:r w:rsidR="00BC31FD" w:rsidRPr="00E65865">
        <w:t>, if fundamentally normative,</w:t>
      </w:r>
      <w:r w:rsidR="003E7B1D" w:rsidRPr="00E65865">
        <w:t xml:space="preserve"> effects</w:t>
      </w:r>
      <w:r w:rsidR="00DC404D" w:rsidRPr="00E65865">
        <w:t xml:space="preserve"> such as improved social status</w:t>
      </w:r>
      <w:r w:rsidR="00907737" w:rsidRPr="00E65865">
        <w:t xml:space="preserve"> </w:t>
      </w:r>
      <w:r w:rsidR="00BC31FD" w:rsidRPr="00E65865">
        <w:t xml:space="preserve">for </w:t>
      </w:r>
      <w:r w:rsidR="00907737" w:rsidRPr="00E65865">
        <w:t>men</w:t>
      </w:r>
      <w:r w:rsidR="00DC404D" w:rsidRPr="00E65865">
        <w:t>.</w:t>
      </w:r>
      <w:r w:rsidRPr="00E65865">
        <w:t xml:space="preserve"> </w:t>
      </w:r>
      <w:r w:rsidR="00BC31FD" w:rsidRPr="00E65865">
        <w:t>As our analysis makes clear,</w:t>
      </w:r>
      <w:r w:rsidR="003E7B1D" w:rsidRPr="00E65865">
        <w:t xml:space="preserve"> s</w:t>
      </w:r>
      <w:r w:rsidRPr="00E65865">
        <w:t xml:space="preserve">teroid injecting is </w:t>
      </w:r>
      <w:r w:rsidR="003E7B1D" w:rsidRPr="00E65865">
        <w:t>a</w:t>
      </w:r>
      <w:r w:rsidRPr="00E65865">
        <w:t xml:space="preserve"> practice </w:t>
      </w:r>
      <w:r w:rsidR="003E7B1D" w:rsidRPr="00E65865">
        <w:t>through which</w:t>
      </w:r>
      <w:r w:rsidRPr="00E65865">
        <w:t xml:space="preserve"> gender and sexual difference </w:t>
      </w:r>
      <w:r w:rsidR="00BC31FD" w:rsidRPr="00E65865">
        <w:t>are</w:t>
      </w:r>
      <w:r w:rsidRPr="00E65865">
        <w:t xml:space="preserve"> reproduced as biological and ‘natural’, even </w:t>
      </w:r>
      <w:r w:rsidR="00870214" w:rsidRPr="00E65865">
        <w:t>though the very</w:t>
      </w:r>
      <w:r w:rsidR="00BC31FD" w:rsidRPr="00E65865">
        <w:t xml:space="preserve"> means,</w:t>
      </w:r>
      <w:r w:rsidR="00870214" w:rsidRPr="00E65865">
        <w:t xml:space="preserve"> terms </w:t>
      </w:r>
      <w:r w:rsidR="00DC404D" w:rsidRPr="00E65865">
        <w:t xml:space="preserve">and terrain </w:t>
      </w:r>
      <w:r w:rsidR="00870214" w:rsidRPr="00E65865">
        <w:t xml:space="preserve">of this </w:t>
      </w:r>
      <w:r w:rsidR="00BC31FD" w:rsidRPr="00E65865">
        <w:t>reproduction</w:t>
      </w:r>
      <w:r w:rsidR="00870214" w:rsidRPr="00E65865">
        <w:t xml:space="preserve"> </w:t>
      </w:r>
      <w:r w:rsidRPr="00E65865">
        <w:t>are social</w:t>
      </w:r>
      <w:r w:rsidR="00DC404D" w:rsidRPr="00E65865">
        <w:t>ly</w:t>
      </w:r>
      <w:r w:rsidRPr="00E65865">
        <w:t xml:space="preserve"> and political</w:t>
      </w:r>
      <w:r w:rsidR="00DC404D" w:rsidRPr="00E65865">
        <w:t>ly produced</w:t>
      </w:r>
      <w:r w:rsidRPr="00E65865">
        <w:t>.</w:t>
      </w:r>
      <w:r w:rsidR="003E7B1D" w:rsidRPr="00E65865">
        <w:t xml:space="preserve"> </w:t>
      </w:r>
    </w:p>
    <w:p w14:paraId="68F59873" w14:textId="77777777" w:rsidR="006D505E" w:rsidRPr="00E65865" w:rsidRDefault="006D505E" w:rsidP="00870214">
      <w:pPr>
        <w:spacing w:line="360" w:lineRule="auto"/>
      </w:pPr>
    </w:p>
    <w:p w14:paraId="6BE6EECD" w14:textId="38C36AFD" w:rsidR="006E1C63" w:rsidRPr="00E65865" w:rsidRDefault="00A66E58" w:rsidP="000A3003">
      <w:pPr>
        <w:pStyle w:val="Heading2"/>
        <w:spacing w:line="360" w:lineRule="auto"/>
        <w:rPr>
          <w:i/>
        </w:rPr>
      </w:pPr>
      <w:r w:rsidRPr="00E65865">
        <w:rPr>
          <w:i/>
        </w:rPr>
        <w:t xml:space="preserve">Managing </w:t>
      </w:r>
      <w:r w:rsidR="005D1773" w:rsidRPr="00E65865">
        <w:rPr>
          <w:i/>
        </w:rPr>
        <w:t xml:space="preserve">and gendering </w:t>
      </w:r>
      <w:r w:rsidRPr="00E65865">
        <w:rPr>
          <w:i/>
        </w:rPr>
        <w:t>the hormonal body</w:t>
      </w:r>
    </w:p>
    <w:p w14:paraId="1B6DE68B" w14:textId="73B79B82" w:rsidR="002D7425" w:rsidRPr="00E65865" w:rsidRDefault="00D30148" w:rsidP="003D041D">
      <w:pPr>
        <w:spacing w:line="360" w:lineRule="auto"/>
      </w:pPr>
      <w:r w:rsidRPr="00E65865">
        <w:t xml:space="preserve">In this final section </w:t>
      </w:r>
      <w:r w:rsidR="00950253" w:rsidRPr="00E65865">
        <w:t>we explore how</w:t>
      </w:r>
      <w:r w:rsidR="00E95A0E" w:rsidRPr="00E65865">
        <w:t>, although aligned with normative gender production,</w:t>
      </w:r>
      <w:r w:rsidR="00950253" w:rsidRPr="00E65865">
        <w:t xml:space="preserve"> testosterone also troubles the taken-for-granted link between hormones and </w:t>
      </w:r>
      <w:r w:rsidR="007B5B42" w:rsidRPr="00E65865">
        <w:t>sex</w:t>
      </w:r>
      <w:r w:rsidR="00CB5970" w:rsidRPr="00E65865">
        <w:t>–</w:t>
      </w:r>
      <w:r w:rsidR="00950253" w:rsidRPr="00E65865">
        <w:t>gender</w:t>
      </w:r>
      <w:r w:rsidR="007B5B42" w:rsidRPr="00E65865">
        <w:t xml:space="preserve"> embodiment</w:t>
      </w:r>
      <w:r w:rsidR="00012AFA" w:rsidRPr="00E65865">
        <w:t xml:space="preserve">. It does this </w:t>
      </w:r>
      <w:r w:rsidR="00950253" w:rsidRPr="00E65865">
        <w:t xml:space="preserve">through </w:t>
      </w:r>
      <w:r w:rsidR="00E95A0E" w:rsidRPr="00E65865">
        <w:t>its</w:t>
      </w:r>
      <w:r w:rsidR="00950253" w:rsidRPr="00E65865">
        <w:t xml:space="preserve"> ‘unpredictably destabilising effects on gender attributes’ (Sed</w:t>
      </w:r>
      <w:r w:rsidR="00454A1B" w:rsidRPr="00E65865">
        <w:t>g</w:t>
      </w:r>
      <w:r w:rsidR="00950253" w:rsidRPr="00E65865">
        <w:t xml:space="preserve">wick, 1994, p. 136). </w:t>
      </w:r>
      <w:r w:rsidR="00E95A0E" w:rsidRPr="00E65865">
        <w:t>While some participants describe</w:t>
      </w:r>
      <w:r w:rsidR="007B5B42" w:rsidRPr="00E65865">
        <w:t xml:space="preserve"> </w:t>
      </w:r>
      <w:r w:rsidR="00A31AEC" w:rsidRPr="00E65865">
        <w:t>testosterone</w:t>
      </w:r>
      <w:r w:rsidR="00DC404D" w:rsidRPr="00E65865">
        <w:t xml:space="preserve"> </w:t>
      </w:r>
      <w:r w:rsidR="00BA04B1" w:rsidRPr="00E65865">
        <w:t>as</w:t>
      </w:r>
      <w:r w:rsidR="00A31AEC" w:rsidRPr="00E65865">
        <w:t xml:space="preserve"> enhancing and amplifying </w:t>
      </w:r>
      <w:r w:rsidR="00584F8E" w:rsidRPr="00E65865">
        <w:t>ways of being male</w:t>
      </w:r>
      <w:r w:rsidR="00E95A0E" w:rsidRPr="00E65865">
        <w:t xml:space="preserve">, </w:t>
      </w:r>
      <w:r w:rsidR="00120A99" w:rsidRPr="00E65865">
        <w:t>other accounts</w:t>
      </w:r>
      <w:r w:rsidR="009F70D3" w:rsidRPr="00E65865">
        <w:t xml:space="preserve"> </w:t>
      </w:r>
      <w:r w:rsidR="00E95A0E" w:rsidRPr="00E65865">
        <w:t xml:space="preserve">indicate </w:t>
      </w:r>
      <w:r w:rsidR="009F70D3" w:rsidRPr="00E65865">
        <w:t>that this relationship is not so straight</w:t>
      </w:r>
      <w:r w:rsidR="00E95A0E" w:rsidRPr="00E65865">
        <w:t>f</w:t>
      </w:r>
      <w:r w:rsidR="009F70D3" w:rsidRPr="00E65865">
        <w:t>orward</w:t>
      </w:r>
      <w:r w:rsidR="00120A99" w:rsidRPr="00E65865">
        <w:t>. S</w:t>
      </w:r>
      <w:r w:rsidR="007F1A5B" w:rsidRPr="00E65865">
        <w:t xml:space="preserve">ome </w:t>
      </w:r>
      <w:r w:rsidR="00BB32E3" w:rsidRPr="00E65865">
        <w:t>participants</w:t>
      </w:r>
      <w:r w:rsidR="00B62FDE" w:rsidRPr="00E65865">
        <w:t xml:space="preserve"> </w:t>
      </w:r>
      <w:r w:rsidR="00E95A0E" w:rsidRPr="00E65865">
        <w:t>describe</w:t>
      </w:r>
      <w:r w:rsidR="00D640AB" w:rsidRPr="00E65865">
        <w:t xml:space="preserve"> undesirable effects</w:t>
      </w:r>
      <w:r w:rsidR="00C848B1" w:rsidRPr="00E65865">
        <w:t xml:space="preserve"> on mood</w:t>
      </w:r>
      <w:r w:rsidR="007F1A5B" w:rsidRPr="00E65865">
        <w:t xml:space="preserve">, particularly in the form of </w:t>
      </w:r>
      <w:r w:rsidR="007B5B42" w:rsidRPr="00E65865">
        <w:t xml:space="preserve">heightened </w:t>
      </w:r>
      <w:r w:rsidR="002C74A2" w:rsidRPr="00E65865">
        <w:t>anger and aggression</w:t>
      </w:r>
      <w:r w:rsidR="00A45389" w:rsidRPr="00E65865">
        <w:t xml:space="preserve">. </w:t>
      </w:r>
      <w:r w:rsidR="00571E54" w:rsidRPr="00E65865">
        <w:t>For instance</w:t>
      </w:r>
      <w:r w:rsidR="002D7425" w:rsidRPr="00E65865">
        <w:t xml:space="preserve">, </w:t>
      </w:r>
      <w:r w:rsidR="00F21447" w:rsidRPr="00E65865">
        <w:t>Alex (Qld, 38)</w:t>
      </w:r>
      <w:r w:rsidR="007B5B42" w:rsidRPr="00E65865">
        <w:t xml:space="preserve"> </w:t>
      </w:r>
      <w:r w:rsidR="00F44AFA" w:rsidRPr="00E65865">
        <w:t>explained that</w:t>
      </w:r>
      <w:r w:rsidR="00A45389" w:rsidRPr="00E65865">
        <w:t xml:space="preserve"> </w:t>
      </w:r>
      <w:r w:rsidR="00F21447" w:rsidRPr="00E65865">
        <w:t xml:space="preserve">‘the main thing with steroids is </w:t>
      </w:r>
      <w:r w:rsidR="00F44AFA" w:rsidRPr="00E65865">
        <w:t xml:space="preserve">that </w:t>
      </w:r>
      <w:r w:rsidR="00F21447" w:rsidRPr="00E65865">
        <w:t>sometimes your aggression gets a little bit too much’</w:t>
      </w:r>
      <w:r w:rsidR="00C614BF" w:rsidRPr="00E65865">
        <w:t>,</w:t>
      </w:r>
      <w:r w:rsidR="00F21447" w:rsidRPr="00E65865">
        <w:t xml:space="preserve"> while Owen (NSW, 40) described getting ‘a little edgy’ and experiencing ‘a bit of anger’. </w:t>
      </w:r>
      <w:r w:rsidR="00E82480" w:rsidRPr="00E65865">
        <w:t xml:space="preserve">That </w:t>
      </w:r>
      <w:r w:rsidR="004C2143" w:rsidRPr="00E65865">
        <w:t>participants</w:t>
      </w:r>
      <w:r w:rsidR="00E82480" w:rsidRPr="00E65865">
        <w:t xml:space="preserve"> make links between testosterone and aggression is hardly surprising given the routine associations</w:t>
      </w:r>
      <w:r w:rsidR="002F70F0" w:rsidRPr="00E65865">
        <w:t xml:space="preserve"> drawn</w:t>
      </w:r>
      <w:r w:rsidR="00E82480" w:rsidRPr="00E65865">
        <w:t xml:space="preserve"> between testosterone, aggression</w:t>
      </w:r>
      <w:r w:rsidR="00C2790C" w:rsidRPr="00E65865">
        <w:t xml:space="preserve"> and</w:t>
      </w:r>
      <w:r w:rsidR="00E82480" w:rsidRPr="00E65865">
        <w:t xml:space="preserve"> </w:t>
      </w:r>
      <w:r w:rsidR="007B5B42" w:rsidRPr="00E65865">
        <w:t>violence</w:t>
      </w:r>
      <w:r w:rsidR="00E82480" w:rsidRPr="00E65865">
        <w:t xml:space="preserve"> </w:t>
      </w:r>
      <w:r w:rsidR="00C2790C" w:rsidRPr="00E65865">
        <w:t>(</w:t>
      </w:r>
      <w:r w:rsidR="00E82480" w:rsidRPr="00E65865">
        <w:t>‘</w:t>
      </w:r>
      <w:proofErr w:type="spellStart"/>
      <w:r w:rsidR="00E82480" w:rsidRPr="00E65865">
        <w:t>roid</w:t>
      </w:r>
      <w:proofErr w:type="spellEnd"/>
      <w:r w:rsidR="00E82480" w:rsidRPr="00E65865">
        <w:t xml:space="preserve"> rage’</w:t>
      </w:r>
      <w:r w:rsidR="00C2790C" w:rsidRPr="00E65865">
        <w:t>)</w:t>
      </w:r>
      <w:r w:rsidR="00E82480" w:rsidRPr="00E65865">
        <w:t xml:space="preserve"> in popular culture, media reporting and scientific research</w:t>
      </w:r>
      <w:r w:rsidR="00DC404D" w:rsidRPr="00E65865">
        <w:t xml:space="preserve"> (Keane, 2005)</w:t>
      </w:r>
      <w:r w:rsidR="00E82480" w:rsidRPr="00E65865">
        <w:t xml:space="preserve">. What </w:t>
      </w:r>
      <w:r w:rsidR="00095F2D" w:rsidRPr="00E65865">
        <w:t>we wish to highlight here is a different</w:t>
      </w:r>
      <w:r w:rsidR="007B5B42" w:rsidRPr="00E65865">
        <w:t xml:space="preserve"> and arguably more </w:t>
      </w:r>
      <w:r w:rsidR="002D7425" w:rsidRPr="00E65865">
        <w:t>important</w:t>
      </w:r>
      <w:r w:rsidR="00C76596" w:rsidRPr="00E65865">
        <w:t xml:space="preserve"> </w:t>
      </w:r>
      <w:r w:rsidR="009E2781" w:rsidRPr="00E65865">
        <w:t>point</w:t>
      </w:r>
      <w:r w:rsidR="002D7425" w:rsidRPr="00E65865">
        <w:t>. A</w:t>
      </w:r>
      <w:r w:rsidR="00C76596" w:rsidRPr="00E65865">
        <w:t xml:space="preserve">lthough participants in our study </w:t>
      </w:r>
      <w:r w:rsidR="002D7425" w:rsidRPr="00E65865">
        <w:t>observed</w:t>
      </w:r>
      <w:r w:rsidR="00C76596" w:rsidRPr="00E65865">
        <w:t xml:space="preserve"> these ‘effects’</w:t>
      </w:r>
      <w:r w:rsidR="00E95A0E" w:rsidRPr="00E65865">
        <w:t>,</w:t>
      </w:r>
      <w:r w:rsidR="00C76596" w:rsidRPr="00E65865">
        <w:t xml:space="preserve"> they were not </w:t>
      </w:r>
      <w:r w:rsidR="002C74A2" w:rsidRPr="00E65865">
        <w:t>framed</w:t>
      </w:r>
      <w:r w:rsidR="00C76596" w:rsidRPr="00E65865">
        <w:t xml:space="preserve"> </w:t>
      </w:r>
      <w:r w:rsidR="001E6FF4" w:rsidRPr="00E65865">
        <w:t xml:space="preserve">as inevitable and did not function to absolve responsibility for behaviour. </w:t>
      </w:r>
      <w:r w:rsidR="009E2781" w:rsidRPr="00E65865">
        <w:t>Instead</w:t>
      </w:r>
      <w:r w:rsidR="00095F2D" w:rsidRPr="00E65865">
        <w:t>, for many participants</w:t>
      </w:r>
      <w:r w:rsidR="00C76596" w:rsidRPr="00E65865">
        <w:t>,</w:t>
      </w:r>
      <w:r w:rsidR="000E42FA" w:rsidRPr="00E65865">
        <w:t xml:space="preserve"> </w:t>
      </w:r>
      <w:r w:rsidR="00C76596" w:rsidRPr="00E65865">
        <w:t>changes in mood</w:t>
      </w:r>
      <w:r w:rsidR="00257DCB" w:rsidRPr="00E65865">
        <w:t xml:space="preserve"> </w:t>
      </w:r>
      <w:r w:rsidR="00257DCB" w:rsidRPr="00E65865">
        <w:lastRenderedPageBreak/>
        <w:t>prompted reflection and what might be considered tacit criticism of the conventional</w:t>
      </w:r>
      <w:r w:rsidR="001E6FF4" w:rsidRPr="00E65865">
        <w:t xml:space="preserve"> </w:t>
      </w:r>
      <w:r w:rsidR="00257DCB" w:rsidRPr="00E65865">
        <w:t xml:space="preserve">masculine traits commonly associated with the powers of testosterone. </w:t>
      </w:r>
      <w:r w:rsidR="00E82480" w:rsidRPr="00E65865">
        <w:t>For example,</w:t>
      </w:r>
      <w:r w:rsidR="0033170F" w:rsidRPr="00E65865">
        <w:t xml:space="preserve"> </w:t>
      </w:r>
      <w:r w:rsidR="009E2781" w:rsidRPr="00E65865">
        <w:t xml:space="preserve">although </w:t>
      </w:r>
      <w:r w:rsidR="0033170F" w:rsidRPr="00E65865">
        <w:t>Tibor (</w:t>
      </w:r>
      <w:r w:rsidR="002C74A2" w:rsidRPr="00E65865">
        <w:t>NSW, 23</w:t>
      </w:r>
      <w:r w:rsidR="0033170F" w:rsidRPr="00E65865">
        <w:t>) described</w:t>
      </w:r>
      <w:r w:rsidR="002C74A2" w:rsidRPr="00E65865">
        <w:t xml:space="preserve"> intensified feelings of </w:t>
      </w:r>
      <w:r w:rsidR="009E2781" w:rsidRPr="00E65865">
        <w:t>rage and anger</w:t>
      </w:r>
      <w:r w:rsidR="00F2353A" w:rsidRPr="00E65865">
        <w:t>, he</w:t>
      </w:r>
      <w:r w:rsidR="002C74A2" w:rsidRPr="00E65865">
        <w:t xml:space="preserve"> </w:t>
      </w:r>
      <w:r w:rsidR="00257DCB" w:rsidRPr="00E65865">
        <w:t>also described being ‘</w:t>
      </w:r>
      <w:r w:rsidR="002C74A2" w:rsidRPr="00E65865">
        <w:t>aware’ of these changes in mood</w:t>
      </w:r>
      <w:r w:rsidR="00257DCB" w:rsidRPr="00E65865">
        <w:t>. He</w:t>
      </w:r>
      <w:r w:rsidR="00C01B0C" w:rsidRPr="00E65865">
        <w:t xml:space="preserve"> increasingly asked himself</w:t>
      </w:r>
      <w:r w:rsidR="002C74A2" w:rsidRPr="00E65865">
        <w:t xml:space="preserve"> </w:t>
      </w:r>
      <w:r w:rsidR="00C01B0C" w:rsidRPr="00E65865">
        <w:t>‘</w:t>
      </w:r>
      <w:r w:rsidR="0033170F" w:rsidRPr="00E65865">
        <w:t xml:space="preserve">is this something that I should really be angry </w:t>
      </w:r>
      <w:r w:rsidR="002C74A2" w:rsidRPr="00E65865">
        <w:t xml:space="preserve">[about] </w:t>
      </w:r>
      <w:r w:rsidR="0033170F" w:rsidRPr="00E65865">
        <w:t xml:space="preserve">or is </w:t>
      </w:r>
      <w:r w:rsidR="002C74A2" w:rsidRPr="00E65865">
        <w:t xml:space="preserve">it </w:t>
      </w:r>
      <w:r w:rsidR="0033170F" w:rsidRPr="00E65865">
        <w:t xml:space="preserve">something </w:t>
      </w:r>
      <w:r w:rsidR="00C01B0C" w:rsidRPr="00E65865">
        <w:t>because of</w:t>
      </w:r>
      <w:r w:rsidR="002C74A2" w:rsidRPr="00E65865">
        <w:t xml:space="preserve"> [steroids]</w:t>
      </w:r>
      <w:r w:rsidR="0033170F" w:rsidRPr="00E65865">
        <w:t>?</w:t>
      </w:r>
      <w:r w:rsidR="00E95A0E" w:rsidRPr="00E65865">
        <w:t>’</w:t>
      </w:r>
      <w:r w:rsidR="002C74A2" w:rsidRPr="00E65865">
        <w:t xml:space="preserve"> Other participants suc</w:t>
      </w:r>
      <w:r w:rsidR="002D7425" w:rsidRPr="00E65865">
        <w:t>h as Ryan (NSW, 43) expressed</w:t>
      </w:r>
      <w:r w:rsidR="00095F2D" w:rsidRPr="00E65865">
        <w:t xml:space="preserve"> </w:t>
      </w:r>
      <w:r w:rsidR="00BB32E3" w:rsidRPr="00E65865">
        <w:t>concern</w:t>
      </w:r>
      <w:r w:rsidR="00C76596" w:rsidRPr="00E65865">
        <w:t xml:space="preserve"> that</w:t>
      </w:r>
      <w:r w:rsidR="00EC2360" w:rsidRPr="00E65865">
        <w:t xml:space="preserve"> </w:t>
      </w:r>
      <w:r w:rsidR="0033170F" w:rsidRPr="00E65865">
        <w:t>injectable</w:t>
      </w:r>
      <w:r w:rsidR="00095F2D" w:rsidRPr="00E65865">
        <w:t xml:space="preserve"> steroids </w:t>
      </w:r>
      <w:r w:rsidR="0033170F" w:rsidRPr="00E65865">
        <w:t>‘</w:t>
      </w:r>
      <w:r w:rsidR="00095F2D" w:rsidRPr="00E65865">
        <w:t>were augmenting [his] levels of testosterone’ and making him ‘more aggressive [… and] edgy’</w:t>
      </w:r>
      <w:r w:rsidR="00C76596" w:rsidRPr="00E65865">
        <w:t xml:space="preserve">. </w:t>
      </w:r>
      <w:r w:rsidR="002D7425" w:rsidRPr="00E65865">
        <w:t>To manage these effects,</w:t>
      </w:r>
      <w:r w:rsidR="00C01B0C" w:rsidRPr="00E65865">
        <w:t xml:space="preserve"> he </w:t>
      </w:r>
      <w:r w:rsidR="0033170F" w:rsidRPr="00E65865">
        <w:t>stopped</w:t>
      </w:r>
      <w:r w:rsidR="0097296D" w:rsidRPr="00E65865">
        <w:t xml:space="preserve"> using injectabl</w:t>
      </w:r>
      <w:r w:rsidR="0033170F" w:rsidRPr="00E65865">
        <w:t>e testosterone</w:t>
      </w:r>
      <w:r w:rsidR="00BB32E3" w:rsidRPr="00E65865">
        <w:t xml:space="preserve"> and switch</w:t>
      </w:r>
      <w:r w:rsidR="0033170F" w:rsidRPr="00E65865">
        <w:t>ed</w:t>
      </w:r>
      <w:r w:rsidR="00BB32E3" w:rsidRPr="00E65865">
        <w:t xml:space="preserve"> to</w:t>
      </w:r>
      <w:r w:rsidR="0033170F" w:rsidRPr="00E65865">
        <w:t xml:space="preserve"> </w:t>
      </w:r>
      <w:r w:rsidR="002D7425" w:rsidRPr="00E65865">
        <w:t>a different combination of an</w:t>
      </w:r>
      <w:r w:rsidR="0097296D" w:rsidRPr="00E65865">
        <w:t xml:space="preserve"> oral testos</w:t>
      </w:r>
      <w:r w:rsidR="002C74A2" w:rsidRPr="00E65865">
        <w:t xml:space="preserve">terone and human growth hormone. </w:t>
      </w:r>
      <w:r w:rsidR="00207868" w:rsidRPr="00E65865">
        <w:t xml:space="preserve">For some </w:t>
      </w:r>
      <w:r w:rsidR="00B812CB" w:rsidRPr="00E65865">
        <w:t>participants</w:t>
      </w:r>
      <w:r w:rsidR="00F5718A" w:rsidRPr="00E65865">
        <w:t>,</w:t>
      </w:r>
      <w:r w:rsidR="00B812CB" w:rsidRPr="00E65865">
        <w:t xml:space="preserve"> </w:t>
      </w:r>
      <w:r w:rsidR="00207868" w:rsidRPr="00E65865">
        <w:t xml:space="preserve">the </w:t>
      </w:r>
      <w:r w:rsidR="00EB34D7" w:rsidRPr="00E65865">
        <w:t xml:space="preserve">self </w:t>
      </w:r>
      <w:r w:rsidR="00583E0B" w:rsidRPr="00E65865">
        <w:t>that emerged</w:t>
      </w:r>
      <w:r w:rsidR="00EB34D7" w:rsidRPr="00E65865">
        <w:t xml:space="preserve"> via steroid injecting was undesirable because it too closely resembled conventional masculinity</w:t>
      </w:r>
      <w:r w:rsidR="003D041D" w:rsidRPr="00E65865">
        <w:t xml:space="preserve"> and associated performances of</w:t>
      </w:r>
      <w:r w:rsidR="00EB34D7" w:rsidRPr="00E65865">
        <w:t xml:space="preserve"> anger, aggression and violence. </w:t>
      </w:r>
      <w:r w:rsidR="002F70F0" w:rsidRPr="00E65865">
        <w:t>Hence, w</w:t>
      </w:r>
      <w:r w:rsidR="000E42FA" w:rsidRPr="00E65865">
        <w:t xml:space="preserve">hile </w:t>
      </w:r>
      <w:r w:rsidR="00F01067" w:rsidRPr="00E65865">
        <w:t xml:space="preserve">testosterone </w:t>
      </w:r>
      <w:r w:rsidR="002D7425" w:rsidRPr="00E65865">
        <w:t xml:space="preserve">is </w:t>
      </w:r>
      <w:r w:rsidR="00882077" w:rsidRPr="00E65865">
        <w:t>sometimes</w:t>
      </w:r>
      <w:r w:rsidR="00A04EC7" w:rsidRPr="00E65865">
        <w:t xml:space="preserve"> </w:t>
      </w:r>
      <w:r w:rsidR="002D7425" w:rsidRPr="00E65865">
        <w:t>treated as</w:t>
      </w:r>
      <w:r w:rsidR="00F01067" w:rsidRPr="00E65865">
        <w:t xml:space="preserve"> a </w:t>
      </w:r>
      <w:r w:rsidR="0056410E" w:rsidRPr="00E65865">
        <w:t xml:space="preserve">simple </w:t>
      </w:r>
      <w:r w:rsidR="00F01067" w:rsidRPr="00E65865">
        <w:t>‘messenger of sex’</w:t>
      </w:r>
      <w:r w:rsidR="0056410E" w:rsidRPr="00E65865">
        <w:t xml:space="preserve">, </w:t>
      </w:r>
      <w:r w:rsidR="00EB34D7" w:rsidRPr="00E65865">
        <w:t xml:space="preserve">our analysis suggests that </w:t>
      </w:r>
      <w:r w:rsidR="0056410E" w:rsidRPr="00E65865">
        <w:t>in the context of steroid injecting,</w:t>
      </w:r>
      <w:r w:rsidR="00EB34D7" w:rsidRPr="00E65865">
        <w:t xml:space="preserve"> </w:t>
      </w:r>
      <w:r w:rsidR="00583E0B" w:rsidRPr="00E65865">
        <w:t>the way it gathers also</w:t>
      </w:r>
      <w:r w:rsidR="00EB34D7" w:rsidRPr="00E65865">
        <w:t xml:space="preserve"> provokes critiques and disavowals of traditional </w:t>
      </w:r>
      <w:r w:rsidR="0092625D" w:rsidRPr="00E65865">
        <w:t xml:space="preserve">forms of </w:t>
      </w:r>
      <w:r w:rsidR="00EB34D7" w:rsidRPr="00E65865">
        <w:t>masculinity.</w:t>
      </w:r>
      <w:r w:rsidR="00062428" w:rsidRPr="00E65865">
        <w:t xml:space="preserve"> </w:t>
      </w:r>
      <w:r w:rsidR="00EB34D7" w:rsidRPr="00E65865">
        <w:t xml:space="preserve"> </w:t>
      </w:r>
    </w:p>
    <w:p w14:paraId="2977D705" w14:textId="65D5C867" w:rsidR="00C665C5" w:rsidRPr="00E65865" w:rsidRDefault="00A04EC7" w:rsidP="0040347A">
      <w:pPr>
        <w:spacing w:line="360" w:lineRule="auto"/>
      </w:pPr>
      <w:r w:rsidRPr="00E65865">
        <w:t xml:space="preserve">This increased attention to the body and behaviour is also evident in men’s reports of concern with </w:t>
      </w:r>
      <w:r w:rsidR="00B10335" w:rsidRPr="00E65865">
        <w:t xml:space="preserve">libido and fertility. </w:t>
      </w:r>
      <w:r w:rsidR="0056410E" w:rsidRPr="00E65865">
        <w:t xml:space="preserve">Whereas </w:t>
      </w:r>
      <w:r w:rsidR="00E95A0E" w:rsidRPr="00E65865">
        <w:t>some</w:t>
      </w:r>
      <w:r w:rsidR="00320F92" w:rsidRPr="00E65865">
        <w:t xml:space="preserve"> participants </w:t>
      </w:r>
      <w:r w:rsidR="0040347A" w:rsidRPr="00E65865">
        <w:t>describe the virilisi</w:t>
      </w:r>
      <w:r w:rsidR="00320F92" w:rsidRPr="00E65865">
        <w:t xml:space="preserve">ng effects of testosterone, </w:t>
      </w:r>
      <w:r w:rsidR="0040347A" w:rsidRPr="00E65865">
        <w:t xml:space="preserve">others </w:t>
      </w:r>
      <w:r w:rsidR="00320F92" w:rsidRPr="00E65865">
        <w:t xml:space="preserve">held </w:t>
      </w:r>
      <w:r w:rsidR="0040347A" w:rsidRPr="00E65865">
        <w:t xml:space="preserve">‘excess’ testosterone responsible for more ambiguous or </w:t>
      </w:r>
      <w:r w:rsidR="00E95A0E" w:rsidRPr="00E65865">
        <w:t xml:space="preserve">paradoxical </w:t>
      </w:r>
      <w:r w:rsidR="0040347A" w:rsidRPr="00E65865">
        <w:t xml:space="preserve">effects on sexuality. </w:t>
      </w:r>
      <w:r w:rsidR="00B94411" w:rsidRPr="00E65865">
        <w:t xml:space="preserve">After experiencing erectile dysfunction, </w:t>
      </w:r>
      <w:r w:rsidR="00C665C5" w:rsidRPr="00E65865">
        <w:t>Grant (NSW, 25</w:t>
      </w:r>
      <w:r w:rsidR="00B94411" w:rsidRPr="00E65865">
        <w:t>)</w:t>
      </w:r>
      <w:r w:rsidR="00C665C5" w:rsidRPr="00E65865">
        <w:t xml:space="preserve"> decided to do a ‘power post</w:t>
      </w:r>
      <w:r w:rsidR="00E95A0E" w:rsidRPr="00E65865">
        <w:t>-</w:t>
      </w:r>
      <w:r w:rsidR="00C665C5" w:rsidRPr="00E65865">
        <w:t xml:space="preserve">cycle therapy’ to come off his regular </w:t>
      </w:r>
      <w:r w:rsidR="006F605E" w:rsidRPr="00E65865">
        <w:t>regime</w:t>
      </w:r>
      <w:r w:rsidR="00C665C5" w:rsidRPr="00E65865">
        <w:t xml:space="preserve"> of testosterone a</w:t>
      </w:r>
      <w:r w:rsidR="00B94411" w:rsidRPr="00E65865">
        <w:t xml:space="preserve">nd </w:t>
      </w:r>
      <w:r w:rsidR="00E95A0E" w:rsidRPr="00E65865">
        <w:t xml:space="preserve">the drug </w:t>
      </w:r>
      <w:r w:rsidR="00B94411" w:rsidRPr="00E65865">
        <w:t>Deca-</w:t>
      </w:r>
      <w:proofErr w:type="spellStart"/>
      <w:r w:rsidR="00B94411" w:rsidRPr="00E65865">
        <w:t>Durabolin</w:t>
      </w:r>
      <w:proofErr w:type="spellEnd"/>
      <w:r w:rsidR="00C665C5" w:rsidRPr="00E65865">
        <w:t>:</w:t>
      </w:r>
    </w:p>
    <w:p w14:paraId="75809269" w14:textId="36169D93" w:rsidR="00C665C5" w:rsidRPr="00E65865" w:rsidRDefault="00C665C5" w:rsidP="00C665C5">
      <w:pPr>
        <w:autoSpaceDE w:val="0"/>
        <w:autoSpaceDN w:val="0"/>
        <w:adjustRightInd w:val="0"/>
        <w:spacing w:after="200" w:line="360" w:lineRule="auto"/>
        <w:ind w:left="720"/>
      </w:pPr>
      <w:r w:rsidRPr="00E65865">
        <w:t xml:space="preserve">To be honest with you, it was </w:t>
      </w:r>
      <w:proofErr w:type="gramStart"/>
      <w:r w:rsidRPr="00E65865">
        <w:t>actually a</w:t>
      </w:r>
      <w:proofErr w:type="gramEnd"/>
      <w:r w:rsidRPr="00E65865">
        <w:t xml:space="preserve"> fairly easy transition</w:t>
      </w:r>
      <w:r w:rsidR="00E95A0E" w:rsidRPr="00E65865">
        <w:t>. L</w:t>
      </w:r>
      <w:r w:rsidRPr="00E65865">
        <w:t>ike</w:t>
      </w:r>
      <w:r w:rsidR="00E95A0E" w:rsidRPr="00E65865">
        <w:t>,</w:t>
      </w:r>
      <w:r w:rsidRPr="00E65865">
        <w:t xml:space="preserve"> can I just be blunt and honest with you? […] The ol</w:t>
      </w:r>
      <w:r w:rsidR="00320F92" w:rsidRPr="00E65865">
        <w:t>d fellow</w:t>
      </w:r>
      <w:r w:rsidR="00B812CB" w:rsidRPr="00E65865">
        <w:t xml:space="preserve"> [penis]</w:t>
      </w:r>
      <w:r w:rsidR="00320F92" w:rsidRPr="00E65865">
        <w:t xml:space="preserve"> didn’t work very well </w:t>
      </w:r>
      <w:r w:rsidRPr="00E65865">
        <w:t>[laughs]</w:t>
      </w:r>
      <w:r w:rsidR="00320F92" w:rsidRPr="00E65865">
        <w:t>.</w:t>
      </w:r>
      <w:r w:rsidRPr="00E65865">
        <w:t xml:space="preserve"> That’s the best way to put it. As you know, if your manhood doesn</w:t>
      </w:r>
      <w:r w:rsidR="00120A99" w:rsidRPr="00E65865">
        <w:t>’t work, the shit hits the fan.</w:t>
      </w:r>
    </w:p>
    <w:p w14:paraId="607DBDCE" w14:textId="4A8F5ACE" w:rsidR="00C665C5" w:rsidRPr="00E65865" w:rsidRDefault="008F4BB4" w:rsidP="00C665C5">
      <w:pPr>
        <w:autoSpaceDE w:val="0"/>
        <w:autoSpaceDN w:val="0"/>
        <w:adjustRightInd w:val="0"/>
        <w:spacing w:after="200" w:line="360" w:lineRule="auto"/>
      </w:pPr>
      <w:r w:rsidRPr="00E65865">
        <w:t>Fabian (NSW, 22)</w:t>
      </w:r>
      <w:r w:rsidR="00C665C5" w:rsidRPr="00E65865">
        <w:t xml:space="preserve"> </w:t>
      </w:r>
      <w:r w:rsidR="00B94411" w:rsidRPr="00E65865">
        <w:t xml:space="preserve">also </w:t>
      </w:r>
      <w:r w:rsidR="00C665C5" w:rsidRPr="00E65865">
        <w:t xml:space="preserve">experienced </w:t>
      </w:r>
      <w:r w:rsidR="006F605E" w:rsidRPr="00E65865">
        <w:t>troubling</w:t>
      </w:r>
      <w:r w:rsidR="00C665C5" w:rsidRPr="00E65865">
        <w:t xml:space="preserve"> effects </w:t>
      </w:r>
      <w:r w:rsidRPr="00E65865">
        <w:t>on his libido</w:t>
      </w:r>
      <w:r w:rsidR="00E95A0E" w:rsidRPr="00E65865">
        <w:t>,</w:t>
      </w:r>
      <w:r w:rsidRPr="00E65865">
        <w:t xml:space="preserve"> so</w:t>
      </w:r>
      <w:r w:rsidR="00C665C5" w:rsidRPr="00E65865">
        <w:t xml:space="preserve"> decided to </w:t>
      </w:r>
      <w:r w:rsidR="00EB6868" w:rsidRPr="00E65865">
        <w:t>us</w:t>
      </w:r>
      <w:r w:rsidR="005D1773" w:rsidRPr="00E65865">
        <w:t>e</w:t>
      </w:r>
      <w:r w:rsidR="00EB6868" w:rsidRPr="00E65865">
        <w:t xml:space="preserve"> smaller amounts</w:t>
      </w:r>
      <w:r w:rsidR="00B10335" w:rsidRPr="00E65865">
        <w:t>:</w:t>
      </w:r>
    </w:p>
    <w:p w14:paraId="52E764D2" w14:textId="5E1217BF" w:rsidR="00C665C5" w:rsidRPr="00E65865" w:rsidRDefault="00C665C5" w:rsidP="00C665C5">
      <w:pPr>
        <w:autoSpaceDE w:val="0"/>
        <w:autoSpaceDN w:val="0"/>
        <w:adjustRightInd w:val="0"/>
        <w:spacing w:after="200" w:line="360" w:lineRule="auto"/>
        <w:ind w:left="720"/>
      </w:pPr>
      <w:r w:rsidRPr="00E65865">
        <w:t xml:space="preserve">So, </w:t>
      </w:r>
      <w:proofErr w:type="gramStart"/>
      <w:r w:rsidRPr="00E65865">
        <w:t>at the moment</w:t>
      </w:r>
      <w:proofErr w:type="gramEnd"/>
      <w:r w:rsidRPr="00E65865">
        <w:t xml:space="preserve">, </w:t>
      </w:r>
      <w:r w:rsidR="00B94411" w:rsidRPr="00E65865">
        <w:t>[the side effects] are</w:t>
      </w:r>
      <w:r w:rsidRPr="00E65865">
        <w:t xml:space="preserve"> something I</w:t>
      </w:r>
      <w:r w:rsidR="00EB6868" w:rsidRPr="00E65865">
        <w:t>’m trying to minimise with low</w:t>
      </w:r>
      <w:r w:rsidR="00120A99" w:rsidRPr="00E65865">
        <w:t>[</w:t>
      </w:r>
      <w:proofErr w:type="spellStart"/>
      <w:r w:rsidR="00120A99" w:rsidRPr="00E65865">
        <w:t>er</w:t>
      </w:r>
      <w:proofErr w:type="spellEnd"/>
      <w:r w:rsidR="00120A99" w:rsidRPr="00E65865">
        <w:t>]</w:t>
      </w:r>
      <w:r w:rsidRPr="00E65865">
        <w:t xml:space="preserve"> amounts of what I’m using. </w:t>
      </w:r>
      <w:proofErr w:type="gramStart"/>
      <w:r w:rsidR="00D80365" w:rsidRPr="00E65865">
        <w:t>So</w:t>
      </w:r>
      <w:proofErr w:type="gramEnd"/>
      <w:r w:rsidR="00D80365" w:rsidRPr="00E65865">
        <w:t xml:space="preserve"> the last cycle I </w:t>
      </w:r>
      <w:r w:rsidRPr="00E65865">
        <w:t xml:space="preserve">probably had very harsh, adverse mental effects. </w:t>
      </w:r>
      <w:r w:rsidR="00583E0B" w:rsidRPr="00E65865">
        <w:t>[My]</w:t>
      </w:r>
      <w:r w:rsidRPr="00E65865">
        <w:t xml:space="preserve"> mind was just warped and </w:t>
      </w:r>
      <w:r w:rsidR="002F70F0" w:rsidRPr="00E65865">
        <w:t xml:space="preserve">[I] </w:t>
      </w:r>
      <w:r w:rsidRPr="00E65865">
        <w:t xml:space="preserve">couldn’t see that, but everyone else could [...]. Your sex drive obviously can be affected. </w:t>
      </w:r>
      <w:proofErr w:type="gramStart"/>
      <w:r w:rsidRPr="00E65865">
        <w:t>Obviously</w:t>
      </w:r>
      <w:proofErr w:type="gramEnd"/>
      <w:r w:rsidRPr="00E65865">
        <w:t xml:space="preserve"> your </w:t>
      </w:r>
      <w:r w:rsidRPr="00E65865">
        <w:lastRenderedPageBreak/>
        <w:t>testicles stop working as soon as you inject an exterior source of testosterone into your body. So that kind of sucks a lot.</w:t>
      </w:r>
    </w:p>
    <w:p w14:paraId="3F551483" w14:textId="4094640E" w:rsidR="006F605E" w:rsidRPr="00E65865" w:rsidRDefault="00EB6868" w:rsidP="006F605E">
      <w:pPr>
        <w:spacing w:line="360" w:lineRule="auto"/>
      </w:pPr>
      <w:r w:rsidRPr="00E65865">
        <w:t>For Fabian,</w:t>
      </w:r>
      <w:r w:rsidR="006F605E" w:rsidRPr="00E65865">
        <w:t xml:space="preserve"> </w:t>
      </w:r>
      <w:r w:rsidR="003D4FBE" w:rsidRPr="00E65865">
        <w:t>issues with</w:t>
      </w:r>
      <w:r w:rsidRPr="00E65865">
        <w:t xml:space="preserve"> his </w:t>
      </w:r>
      <w:r w:rsidR="006F605E" w:rsidRPr="00E65865">
        <w:t xml:space="preserve">sexual </w:t>
      </w:r>
      <w:r w:rsidRPr="00E65865">
        <w:t xml:space="preserve">drive and performance are </w:t>
      </w:r>
      <w:r w:rsidR="006F605E" w:rsidRPr="00E65865">
        <w:t>closely related to</w:t>
      </w:r>
      <w:r w:rsidR="00D80365" w:rsidRPr="00E65865">
        <w:t xml:space="preserve"> </w:t>
      </w:r>
      <w:r w:rsidR="006F605E" w:rsidRPr="00E65865">
        <w:t>concerns about ‘natural’ testosterone levels and normal</w:t>
      </w:r>
      <w:r w:rsidR="00120A99" w:rsidRPr="00E65865">
        <w:t xml:space="preserve"> biological</w:t>
      </w:r>
      <w:r w:rsidR="00D80365" w:rsidRPr="00E65865">
        <w:t xml:space="preserve"> functioning.</w:t>
      </w:r>
      <w:r w:rsidR="006F605E" w:rsidRPr="00E65865">
        <w:t xml:space="preserve"> </w:t>
      </w:r>
      <w:r w:rsidR="00B812CB" w:rsidRPr="00E65865">
        <w:t>O</w:t>
      </w:r>
      <w:r w:rsidR="006F605E" w:rsidRPr="00E65865">
        <w:t>ther participants</w:t>
      </w:r>
      <w:r w:rsidR="005D1773" w:rsidRPr="00E65865">
        <w:t xml:space="preserve"> also</w:t>
      </w:r>
      <w:r w:rsidR="006F605E" w:rsidRPr="00E65865">
        <w:t xml:space="preserve"> expressed concern about maintaining ‘natural’ testosterone levels</w:t>
      </w:r>
      <w:r w:rsidR="00D80365" w:rsidRPr="00E65865">
        <w:t xml:space="preserve"> and</w:t>
      </w:r>
      <w:r w:rsidR="00120A99" w:rsidRPr="00E65865">
        <w:t xml:space="preserve"> </w:t>
      </w:r>
      <w:r w:rsidR="00B10335" w:rsidRPr="00E65865">
        <w:t xml:space="preserve">thereby </w:t>
      </w:r>
      <w:r w:rsidR="00120A99" w:rsidRPr="00E65865">
        <w:t xml:space="preserve">ensuring their </w:t>
      </w:r>
      <w:r w:rsidR="006F605E" w:rsidRPr="00E65865">
        <w:t>reproductive health and ability to conceive children</w:t>
      </w:r>
      <w:r w:rsidR="00584F8E" w:rsidRPr="00E65865">
        <w:t xml:space="preserve"> in the future</w:t>
      </w:r>
      <w:r w:rsidR="006F605E" w:rsidRPr="00E65865">
        <w:t>. As Basil explains:</w:t>
      </w:r>
    </w:p>
    <w:p w14:paraId="3E00CBA5" w14:textId="4B9F8698" w:rsidR="006F605E" w:rsidRPr="00E65865" w:rsidRDefault="006F605E" w:rsidP="006F605E">
      <w:pPr>
        <w:pStyle w:val="ListParagraph"/>
        <w:spacing w:line="360" w:lineRule="auto"/>
      </w:pPr>
      <w:r w:rsidRPr="00E65865">
        <w:t>I’ll also get semen testing to make sure that nothing’s gone wrong down there because I don’t have kids yet, but I’d like to someday. (Basil, VIC, 25)</w:t>
      </w:r>
    </w:p>
    <w:p w14:paraId="6302AA62" w14:textId="1A0249B9" w:rsidR="00320F92" w:rsidRPr="00E65865" w:rsidRDefault="00C665C5" w:rsidP="002F21D6">
      <w:pPr>
        <w:spacing w:line="360" w:lineRule="auto"/>
      </w:pPr>
      <w:r w:rsidRPr="00E65865">
        <w:t xml:space="preserve">In these </w:t>
      </w:r>
      <w:proofErr w:type="gramStart"/>
      <w:r w:rsidRPr="00E65865">
        <w:t>accounts</w:t>
      </w:r>
      <w:proofErr w:type="gramEnd"/>
      <w:r w:rsidRPr="00E65865">
        <w:t xml:space="preserve"> testosterone is understood to ‘activate’ the body in different ways (Roberts, 2007). </w:t>
      </w:r>
      <w:r w:rsidR="008F4BB4" w:rsidRPr="00E65865">
        <w:t xml:space="preserve">Whereas </w:t>
      </w:r>
      <w:r w:rsidR="005D1773" w:rsidRPr="00E65865">
        <w:t>in the comments in previous sections</w:t>
      </w:r>
      <w:r w:rsidR="008F4BB4" w:rsidRPr="00E65865">
        <w:t xml:space="preserve"> testosterone was understood to amplify masculine qualities</w:t>
      </w:r>
      <w:r w:rsidR="005D1773" w:rsidRPr="00E65865">
        <w:t xml:space="preserve"> </w:t>
      </w:r>
      <w:r w:rsidR="008F4BB4" w:rsidRPr="00E65865">
        <w:t>such as sex drive</w:t>
      </w:r>
      <w:r w:rsidR="00120A99" w:rsidRPr="00E65865">
        <w:t xml:space="preserve"> and </w:t>
      </w:r>
      <w:r w:rsidR="005D1773" w:rsidRPr="00E65865">
        <w:t>confidence</w:t>
      </w:r>
      <w:r w:rsidR="008F4BB4" w:rsidRPr="00E65865">
        <w:t>, in these accounts</w:t>
      </w:r>
      <w:r w:rsidR="006900AD" w:rsidRPr="00E65865">
        <w:t>,</w:t>
      </w:r>
      <w:r w:rsidR="008F4BB4" w:rsidRPr="00E65865">
        <w:t xml:space="preserve"> testosterone </w:t>
      </w:r>
      <w:r w:rsidR="005D1773" w:rsidRPr="00E65865">
        <w:t xml:space="preserve">consumption </w:t>
      </w:r>
      <w:r w:rsidR="008F4BB4" w:rsidRPr="00E65865">
        <w:t>is described as threatening</w:t>
      </w:r>
      <w:r w:rsidR="0040347A" w:rsidRPr="00E65865">
        <w:t xml:space="preserve"> the</w:t>
      </w:r>
      <w:r w:rsidR="008F4BB4" w:rsidRPr="00E65865">
        <w:t xml:space="preserve"> </w:t>
      </w:r>
      <w:r w:rsidR="0040347A" w:rsidRPr="00E65865">
        <w:t>‘natural’ production of hormones</w:t>
      </w:r>
      <w:r w:rsidR="005D1773" w:rsidRPr="00E65865">
        <w:t>,</w:t>
      </w:r>
      <w:r w:rsidR="0040347A" w:rsidRPr="00E65865">
        <w:t xml:space="preserve"> sexual performance</w:t>
      </w:r>
      <w:r w:rsidR="008F4BB4" w:rsidRPr="00E65865">
        <w:t xml:space="preserve"> and</w:t>
      </w:r>
      <w:r w:rsidR="005D1773" w:rsidRPr="00E65865">
        <w:t>,</w:t>
      </w:r>
      <w:r w:rsidR="0040347A" w:rsidRPr="00E65865">
        <w:t xml:space="preserve"> </w:t>
      </w:r>
      <w:r w:rsidR="005D1773" w:rsidRPr="00E65865">
        <w:t xml:space="preserve">in turn, </w:t>
      </w:r>
      <w:r w:rsidR="008F4BB4" w:rsidRPr="00E65865">
        <w:t>‘manhood’</w:t>
      </w:r>
      <w:r w:rsidR="00B94411" w:rsidRPr="00E65865">
        <w:t xml:space="preserve">. </w:t>
      </w:r>
      <w:r w:rsidR="00D80365" w:rsidRPr="00E65865">
        <w:t>W</w:t>
      </w:r>
      <w:r w:rsidR="006F605E" w:rsidRPr="00E65865">
        <w:t xml:space="preserve">hile testosterone </w:t>
      </w:r>
      <w:r w:rsidR="00120A99" w:rsidRPr="00E65865">
        <w:t>sometimes</w:t>
      </w:r>
      <w:r w:rsidR="006F605E" w:rsidRPr="00E65865">
        <w:t xml:space="preserve"> messages traditional notions of </w:t>
      </w:r>
      <w:r w:rsidR="005D1773" w:rsidRPr="00E65865">
        <w:t>masculinity</w:t>
      </w:r>
      <w:r w:rsidR="006F605E" w:rsidRPr="00E65865">
        <w:t xml:space="preserve"> and sexual difference, it </w:t>
      </w:r>
      <w:r w:rsidR="005D1773" w:rsidRPr="00E65865">
        <w:t xml:space="preserve">may </w:t>
      </w:r>
      <w:r w:rsidR="006F605E" w:rsidRPr="00E65865">
        <w:t>also</w:t>
      </w:r>
      <w:r w:rsidR="005D1773" w:rsidRPr="00E65865">
        <w:t xml:space="preserve"> be</w:t>
      </w:r>
      <w:r w:rsidR="006F605E" w:rsidRPr="00E65865">
        <w:t xml:space="preserve"> implicated </w:t>
      </w:r>
      <w:r w:rsidR="00120A99" w:rsidRPr="00E65865">
        <w:t xml:space="preserve">here </w:t>
      </w:r>
      <w:r w:rsidR="006F605E" w:rsidRPr="00E65865">
        <w:t xml:space="preserve">in the production of feminised </w:t>
      </w:r>
      <w:r w:rsidR="00CB5970" w:rsidRPr="00E65865">
        <w:t>concerns about</w:t>
      </w:r>
      <w:r w:rsidR="006F605E" w:rsidRPr="00E65865">
        <w:t xml:space="preserve"> the management of </w:t>
      </w:r>
      <w:r w:rsidR="00F24C01" w:rsidRPr="00E65865">
        <w:t>the ‘natural’ body</w:t>
      </w:r>
      <w:r w:rsidR="006F605E" w:rsidRPr="00E65865">
        <w:t xml:space="preserve"> and fertility. </w:t>
      </w:r>
    </w:p>
    <w:p w14:paraId="780099A2" w14:textId="46FC085E" w:rsidR="000B55F1" w:rsidRPr="00E65865" w:rsidRDefault="00B10335" w:rsidP="000B55F1">
      <w:pPr>
        <w:autoSpaceDE w:val="0"/>
        <w:autoSpaceDN w:val="0"/>
        <w:adjustRightInd w:val="0"/>
        <w:spacing w:after="200" w:line="360" w:lineRule="auto"/>
      </w:pPr>
      <w:r w:rsidRPr="00E65865">
        <w:t>Importantly, a</w:t>
      </w:r>
      <w:r w:rsidR="006F605E" w:rsidRPr="00E65865">
        <w:t xml:space="preserve">lthough </w:t>
      </w:r>
      <w:r w:rsidR="007013EB" w:rsidRPr="00E65865">
        <w:t>‘</w:t>
      </w:r>
      <w:r w:rsidR="006F605E" w:rsidRPr="00E65865">
        <w:t>testosterone’s effects</w:t>
      </w:r>
      <w:r w:rsidR="007013EB" w:rsidRPr="00E65865">
        <w:t>’</w:t>
      </w:r>
      <w:r w:rsidR="006F605E" w:rsidRPr="00E65865">
        <w:t xml:space="preserve"> </w:t>
      </w:r>
      <w:r w:rsidR="006900AD" w:rsidRPr="00E65865">
        <w:t xml:space="preserve">come in many forms and </w:t>
      </w:r>
      <w:r w:rsidR="006F605E" w:rsidRPr="00E65865">
        <w:t xml:space="preserve">are unpredictable, </w:t>
      </w:r>
      <w:r w:rsidR="00D80365" w:rsidRPr="00E65865">
        <w:t>participants</w:t>
      </w:r>
      <w:r w:rsidR="00550F45" w:rsidRPr="00E65865">
        <w:t xml:space="preserve"> theorise</w:t>
      </w:r>
      <w:r w:rsidR="006F605E" w:rsidRPr="00E65865">
        <w:t xml:space="preserve"> </w:t>
      </w:r>
      <w:r w:rsidR="00550F45" w:rsidRPr="00E65865">
        <w:t xml:space="preserve">its actions </w:t>
      </w:r>
      <w:r w:rsidR="006F605E" w:rsidRPr="00E65865">
        <w:t xml:space="preserve">in such a way </w:t>
      </w:r>
      <w:r w:rsidR="005D1773" w:rsidRPr="00E65865">
        <w:t xml:space="preserve">as </w:t>
      </w:r>
      <w:r w:rsidR="00BF5C9A" w:rsidRPr="00E65865">
        <w:t>to</w:t>
      </w:r>
      <w:r w:rsidR="003D4FBE" w:rsidRPr="00E65865">
        <w:t xml:space="preserve"> exclude</w:t>
      </w:r>
      <w:r w:rsidR="006F605E" w:rsidRPr="00E65865">
        <w:t xml:space="preserve"> </w:t>
      </w:r>
      <w:r w:rsidR="005D1773" w:rsidRPr="00E65865">
        <w:t xml:space="preserve">its </w:t>
      </w:r>
      <w:r w:rsidR="006F605E" w:rsidRPr="00E65865">
        <w:t>destabilising effects on gender and sexual difference</w:t>
      </w:r>
      <w:r w:rsidR="003D4FBE" w:rsidRPr="00E65865">
        <w:t xml:space="preserve"> from </w:t>
      </w:r>
      <w:r w:rsidR="005D1773" w:rsidRPr="00E65865">
        <w:t xml:space="preserve">its </w:t>
      </w:r>
      <w:r w:rsidR="003D4FBE" w:rsidRPr="00E65865">
        <w:t>normal purview</w:t>
      </w:r>
      <w:r w:rsidR="006F605E" w:rsidRPr="00E65865">
        <w:t>.</w:t>
      </w:r>
      <w:r w:rsidR="005D1773" w:rsidRPr="00E65865">
        <w:t xml:space="preserve"> How is this achieved?</w:t>
      </w:r>
      <w:r w:rsidR="006F605E" w:rsidRPr="00E65865">
        <w:t xml:space="preserve"> </w:t>
      </w:r>
      <w:r w:rsidR="003D4FBE" w:rsidRPr="00E65865">
        <w:t xml:space="preserve">Endocrinological accounts of </w:t>
      </w:r>
      <w:r w:rsidR="002F21D6" w:rsidRPr="00E65865">
        <w:t>aromatisation</w:t>
      </w:r>
      <w:r w:rsidR="001B4E1D" w:rsidRPr="00E65865">
        <w:t>, the chemical process in which testosterone is converted to oestrogen</w:t>
      </w:r>
      <w:r w:rsidR="003D4FBE" w:rsidRPr="00E65865">
        <w:t>, is one way in which</w:t>
      </w:r>
      <w:r w:rsidR="005D1773" w:rsidRPr="00E65865">
        <w:t xml:space="preserve"> participants preserve</w:t>
      </w:r>
      <w:r w:rsidR="003D4FBE" w:rsidRPr="00E65865">
        <w:t xml:space="preserve"> testosterone’s ‘natural’ conjoining with maleness and masculinity</w:t>
      </w:r>
      <w:r w:rsidR="001B4E1D" w:rsidRPr="00E65865">
        <w:t>.</w:t>
      </w:r>
      <w:r w:rsidR="002F21D6" w:rsidRPr="00E65865">
        <w:t xml:space="preserve"> </w:t>
      </w:r>
      <w:r w:rsidR="001B4E1D" w:rsidRPr="00E65865">
        <w:t>As Roberts (2007) explains, w</w:t>
      </w:r>
      <w:r w:rsidR="002F21D6" w:rsidRPr="00E65865">
        <w:t>hen an over</w:t>
      </w:r>
      <w:r w:rsidR="005D1773" w:rsidRPr="00E65865">
        <w:t>-</w:t>
      </w:r>
      <w:r w:rsidR="002F21D6" w:rsidRPr="00E65865">
        <w:t xml:space="preserve">concentration of hormones </w:t>
      </w:r>
      <w:r w:rsidR="005D1773" w:rsidRPr="00E65865">
        <w:t xml:space="preserve">occurs </w:t>
      </w:r>
      <w:r w:rsidR="002F21D6" w:rsidRPr="00E65865">
        <w:t>in the blood</w:t>
      </w:r>
      <w:r w:rsidR="005D1773" w:rsidRPr="00E65865">
        <w:t>,</w:t>
      </w:r>
      <w:r w:rsidR="001B4E1D" w:rsidRPr="00E65865">
        <w:t xml:space="preserve"> their function may be altered;</w:t>
      </w:r>
      <w:r w:rsidR="002F21D6" w:rsidRPr="00E65865">
        <w:t xml:space="preserve"> </w:t>
      </w:r>
      <w:r w:rsidR="001B4E1D" w:rsidRPr="00E65865">
        <w:t>t</w:t>
      </w:r>
      <w:r w:rsidR="002F21D6" w:rsidRPr="00E65865">
        <w:t xml:space="preserve">he hormone may bind to receptor proteins of different cells and </w:t>
      </w:r>
      <w:r w:rsidR="005D1773" w:rsidRPr="00E65865">
        <w:t>th</w:t>
      </w:r>
      <w:r w:rsidR="00C614BF" w:rsidRPr="00E65865">
        <w:t>e</w:t>
      </w:r>
      <w:r w:rsidR="005D1773" w:rsidRPr="00E65865">
        <w:t xml:space="preserve">se </w:t>
      </w:r>
      <w:r w:rsidR="002F21D6" w:rsidRPr="00E65865">
        <w:t>cells may convert the extra hormones into products with other biological effects. For example, she writes</w:t>
      </w:r>
      <w:r w:rsidR="005D1773" w:rsidRPr="00E65865">
        <w:t>,</w:t>
      </w:r>
      <w:r w:rsidR="002F21D6" w:rsidRPr="00E65865">
        <w:t xml:space="preserve"> ‘androgens may be turned into oestrogens under certain circumstances of</w:t>
      </w:r>
      <w:r w:rsidR="000B55F1" w:rsidRPr="00E65865">
        <w:t xml:space="preserve"> excess concentrations’ (p. 60). </w:t>
      </w:r>
      <w:r w:rsidR="00550F45" w:rsidRPr="00E65865">
        <w:t>Participants commonly mobilised t</w:t>
      </w:r>
      <w:r w:rsidR="000B55F1" w:rsidRPr="00E65865">
        <w:t xml:space="preserve">his endocrinological account </w:t>
      </w:r>
      <w:r w:rsidR="005D1773" w:rsidRPr="00E65865">
        <w:t xml:space="preserve">to explain </w:t>
      </w:r>
      <w:r w:rsidR="000B55F1" w:rsidRPr="00E65865">
        <w:t xml:space="preserve">destabilising gender effects. </w:t>
      </w:r>
      <w:r w:rsidR="005D1773" w:rsidRPr="00E65865">
        <w:t xml:space="preserve">According to </w:t>
      </w:r>
      <w:r w:rsidR="000B55F1" w:rsidRPr="00E65865">
        <w:t>Phil (WA, 35), the aromatisation of testosterone to oestrogen had ‘made [him] feel a bit more down’, while Martin (23, Vic) was certain that the ‘</w:t>
      </w:r>
      <w:proofErr w:type="spellStart"/>
      <w:r w:rsidR="000B55F1" w:rsidRPr="00E65865">
        <w:t>roid</w:t>
      </w:r>
      <w:proofErr w:type="spellEnd"/>
      <w:r w:rsidR="000B55F1" w:rsidRPr="00E65865">
        <w:t xml:space="preserve"> rage’ and high emotions he experienced were </w:t>
      </w:r>
      <w:proofErr w:type="gramStart"/>
      <w:r w:rsidR="000B55F1" w:rsidRPr="00E65865">
        <w:t>actually caused</w:t>
      </w:r>
      <w:proofErr w:type="gramEnd"/>
      <w:r w:rsidR="000B55F1" w:rsidRPr="00E65865">
        <w:t xml:space="preserve"> by oestrogen</w:t>
      </w:r>
      <w:r w:rsidR="005D1773" w:rsidRPr="00E65865">
        <w:t>. As he put it, in starkly gendered terms,</w:t>
      </w:r>
      <w:r w:rsidR="000B55F1" w:rsidRPr="00E65865">
        <w:t xml:space="preserve"> they made him feel ‘like a woman’. Luke (24, WA) also makes the link between </w:t>
      </w:r>
      <w:r w:rsidR="000B55F1" w:rsidRPr="00E65865">
        <w:lastRenderedPageBreak/>
        <w:t>testosterone conversion, oestrogen and emotionality, explaining that by failing to do post</w:t>
      </w:r>
      <w:r w:rsidR="005D1773" w:rsidRPr="00E65865">
        <w:t>-</w:t>
      </w:r>
      <w:r w:rsidR="000B55F1" w:rsidRPr="00E65865">
        <w:t>cycle therapy, he ‘hit zero’:</w:t>
      </w:r>
    </w:p>
    <w:p w14:paraId="70784FD4" w14:textId="49973474" w:rsidR="002F21D6" w:rsidRPr="00E65865" w:rsidRDefault="000B55F1" w:rsidP="000B55F1">
      <w:pPr>
        <w:autoSpaceDE w:val="0"/>
        <w:autoSpaceDN w:val="0"/>
        <w:adjustRightInd w:val="0"/>
        <w:spacing w:after="200" w:line="360" w:lineRule="auto"/>
        <w:ind w:left="720"/>
      </w:pPr>
      <w:proofErr w:type="gramStart"/>
      <w:r w:rsidRPr="00E65865">
        <w:t>So</w:t>
      </w:r>
      <w:proofErr w:type="gramEnd"/>
      <w:r w:rsidRPr="00E65865">
        <w:t xml:space="preserve"> I had all this oestrogen. I was</w:t>
      </w:r>
      <w:r w:rsidR="005D1773" w:rsidRPr="00E65865">
        <w:t>,</w:t>
      </w:r>
      <w:r w:rsidRPr="00E65865">
        <w:t xml:space="preserve"> like</w:t>
      </w:r>
      <w:r w:rsidR="005D1773" w:rsidRPr="00E65865">
        <w:t>,</w:t>
      </w:r>
      <w:r w:rsidRPr="00E65865">
        <w:t xml:space="preserve"> emotional, I was sort of</w:t>
      </w:r>
      <w:r w:rsidR="005D1773" w:rsidRPr="00E65865">
        <w:t>,</w:t>
      </w:r>
      <w:r w:rsidRPr="00E65865">
        <w:t xml:space="preserve"> like</w:t>
      </w:r>
      <w:r w:rsidR="005D1773" w:rsidRPr="00E65865">
        <w:t>,</w:t>
      </w:r>
      <w:r w:rsidRPr="00E65865">
        <w:t xml:space="preserve"> a female. I was angry all the time. I wouldn’t eat, wouldn’t sleep.</w:t>
      </w:r>
    </w:p>
    <w:p w14:paraId="5D6DABD4" w14:textId="45404F8E" w:rsidR="00800D40" w:rsidRPr="00E65865" w:rsidRDefault="000B55F1" w:rsidP="00800D40">
      <w:pPr>
        <w:spacing w:line="360" w:lineRule="auto"/>
      </w:pPr>
      <w:r w:rsidRPr="00E65865">
        <w:t>Here, a</w:t>
      </w:r>
      <w:r w:rsidR="002F21D6" w:rsidRPr="00E65865">
        <w:t>romatisation</w:t>
      </w:r>
      <w:r w:rsidRPr="00E65865">
        <w:t xml:space="preserve">, and </w:t>
      </w:r>
      <w:r w:rsidR="00D80365" w:rsidRPr="00E65865">
        <w:t>more broadly</w:t>
      </w:r>
      <w:r w:rsidRPr="00E65865">
        <w:t xml:space="preserve"> </w:t>
      </w:r>
      <w:r w:rsidR="00D80365" w:rsidRPr="00E65865">
        <w:t xml:space="preserve">feminised </w:t>
      </w:r>
      <w:r w:rsidRPr="00E65865">
        <w:t xml:space="preserve">oestrogen, </w:t>
      </w:r>
      <w:r w:rsidR="005D1773" w:rsidRPr="00E65865">
        <w:t>are</w:t>
      </w:r>
      <w:r w:rsidRPr="00E65865">
        <w:t xml:space="preserve"> </w:t>
      </w:r>
      <w:r w:rsidR="002F21D6" w:rsidRPr="00E65865">
        <w:t xml:space="preserve">held responsible for unruly </w:t>
      </w:r>
      <w:r w:rsidR="007F1A5B" w:rsidRPr="00E65865">
        <w:t>gender(</w:t>
      </w:r>
      <w:proofErr w:type="spellStart"/>
      <w:r w:rsidR="007F1A5B" w:rsidRPr="00E65865">
        <w:t>ing</w:t>
      </w:r>
      <w:proofErr w:type="spellEnd"/>
      <w:r w:rsidR="007F1A5B" w:rsidRPr="00E65865">
        <w:t xml:space="preserve">) </w:t>
      </w:r>
      <w:r w:rsidR="002F21D6" w:rsidRPr="00E65865">
        <w:t>effects</w:t>
      </w:r>
      <w:r w:rsidR="007F1A5B" w:rsidRPr="00E65865">
        <w:t>, including gynecomastia, em</w:t>
      </w:r>
      <w:r w:rsidR="00120A99" w:rsidRPr="00E65865">
        <w:t>otionality and depression</w:t>
      </w:r>
      <w:r w:rsidR="007D56F6" w:rsidRPr="00E65865">
        <w:t>,</w:t>
      </w:r>
      <w:r w:rsidR="00120A99" w:rsidRPr="00E65865">
        <w:t xml:space="preserve"> that</w:t>
      </w:r>
      <w:r w:rsidR="007F1A5B" w:rsidRPr="00E65865">
        <w:t xml:space="preserve"> </w:t>
      </w:r>
      <w:r w:rsidRPr="00E65865">
        <w:t>do no</w:t>
      </w:r>
      <w:r w:rsidR="007F1A5B" w:rsidRPr="00E65865">
        <w:t xml:space="preserve">t neatly fit </w:t>
      </w:r>
      <w:r w:rsidR="00120A99" w:rsidRPr="00E65865">
        <w:t xml:space="preserve">with </w:t>
      </w:r>
      <w:r w:rsidR="00C614BF" w:rsidRPr="00E65865">
        <w:t xml:space="preserve">conceptions of </w:t>
      </w:r>
      <w:r w:rsidR="005D1773" w:rsidRPr="00E65865">
        <w:t>masculinity</w:t>
      </w:r>
      <w:r w:rsidR="00120A99" w:rsidRPr="00E65865">
        <w:t xml:space="preserve">. </w:t>
      </w:r>
      <w:r w:rsidR="005D1773" w:rsidRPr="00E65865">
        <w:t xml:space="preserve">In these </w:t>
      </w:r>
      <w:r w:rsidR="003D4FBE" w:rsidRPr="00E65865">
        <w:t>d</w:t>
      </w:r>
      <w:r w:rsidR="007F1A5B" w:rsidRPr="00E65865">
        <w:t>iscussions of aromatisation and oestrogen</w:t>
      </w:r>
      <w:r w:rsidR="005D1773" w:rsidRPr="00E65865">
        <w:t xml:space="preserve"> we can see how</w:t>
      </w:r>
      <w:r w:rsidR="007F1A5B" w:rsidRPr="00E65865">
        <w:t xml:space="preserve"> ‘natural’ gendered behaviour and masculinity are</w:t>
      </w:r>
      <w:r w:rsidR="005D1773" w:rsidRPr="00E65865">
        <w:t xml:space="preserve"> carefully and actively</w:t>
      </w:r>
      <w:r w:rsidR="007F1A5B" w:rsidRPr="00E65865">
        <w:t xml:space="preserve"> ‘coordinated’ and held in place (</w:t>
      </w:r>
      <w:r w:rsidR="00D80365" w:rsidRPr="00E65865">
        <w:t xml:space="preserve">Latham, 2016; </w:t>
      </w:r>
      <w:r w:rsidR="007F1A5B" w:rsidRPr="00E65865">
        <w:t>Mol, 2002</w:t>
      </w:r>
      <w:r w:rsidR="00550B8E" w:rsidRPr="00E65865">
        <w:t>; Savic &amp; Fomiatti, 2016</w:t>
      </w:r>
      <w:r w:rsidR="007F1A5B" w:rsidRPr="00E65865">
        <w:t xml:space="preserve">). When testosterone’s effects </w:t>
      </w:r>
      <w:r w:rsidR="000E3ECB" w:rsidRPr="00E65865">
        <w:t xml:space="preserve">are seen to exceed or contradict </w:t>
      </w:r>
      <w:r w:rsidR="007F1A5B" w:rsidRPr="00E65865">
        <w:t>anticipated or appropriate masculine behaviour, oestrogen</w:t>
      </w:r>
      <w:r w:rsidR="000E3ECB" w:rsidRPr="00E65865">
        <w:t xml:space="preserve"> </w:t>
      </w:r>
      <w:r w:rsidR="004E62FE" w:rsidRPr="00E65865">
        <w:t>(</w:t>
      </w:r>
      <w:r w:rsidR="000E3ECB" w:rsidRPr="00E65865">
        <w:t>and by extension femininity</w:t>
      </w:r>
      <w:r w:rsidR="004E62FE" w:rsidRPr="00E65865">
        <w:t>)</w:t>
      </w:r>
      <w:r w:rsidR="000E3ECB" w:rsidRPr="00E65865">
        <w:t xml:space="preserve"> </w:t>
      </w:r>
      <w:r w:rsidR="00C614BF" w:rsidRPr="00E65865">
        <w:t>is</w:t>
      </w:r>
      <w:r w:rsidR="007F1A5B" w:rsidRPr="00E65865">
        <w:t xml:space="preserve"> made culpable, helping to preserve established ‘facts’ about testosterone and maleness. Read together, participants’ accounts suggest that </w:t>
      </w:r>
      <w:r w:rsidR="002F21D6" w:rsidRPr="00E65865">
        <w:t xml:space="preserve">higher concentrations of testosterone </w:t>
      </w:r>
      <w:r w:rsidR="001960C9" w:rsidRPr="00E65865">
        <w:t xml:space="preserve">and steroid consumption </w:t>
      </w:r>
      <w:r w:rsidR="000E3ECB" w:rsidRPr="00E65865">
        <w:t xml:space="preserve">are not always </w:t>
      </w:r>
      <w:r w:rsidR="002F21D6" w:rsidRPr="00E65865">
        <w:t xml:space="preserve">readily </w:t>
      </w:r>
      <w:r w:rsidR="000E3ECB" w:rsidRPr="00E65865">
        <w:t xml:space="preserve">available as actors in amplifying </w:t>
      </w:r>
      <w:r w:rsidR="002F21D6" w:rsidRPr="00E65865">
        <w:t>normative masculine behaviours and experiences.</w:t>
      </w:r>
      <w:r w:rsidR="007F1A5B" w:rsidRPr="00E65865">
        <w:t xml:space="preserve"> Indeed, these accounts suggest that steroids can </w:t>
      </w:r>
      <w:r w:rsidR="000E3ECB" w:rsidRPr="00E65865">
        <w:t xml:space="preserve">act in inconvenient unruly material-discursive ways to </w:t>
      </w:r>
      <w:r w:rsidR="007F1A5B" w:rsidRPr="00E65865">
        <w:t>destabilis</w:t>
      </w:r>
      <w:r w:rsidR="000E3ECB" w:rsidRPr="00E65865">
        <w:t xml:space="preserve">e </w:t>
      </w:r>
      <w:r w:rsidR="007F1A5B" w:rsidRPr="00E65865">
        <w:t xml:space="preserve">sex-gender attributes, even </w:t>
      </w:r>
      <w:r w:rsidR="000E3ECB" w:rsidRPr="00E65865">
        <w:t>as</w:t>
      </w:r>
      <w:r w:rsidR="007F1A5B" w:rsidRPr="00E65865">
        <w:t xml:space="preserve"> they </w:t>
      </w:r>
      <w:r w:rsidR="000E3ECB" w:rsidRPr="00E65865">
        <w:t>are used to reinforce</w:t>
      </w:r>
      <w:r w:rsidR="007F1A5B" w:rsidRPr="00E65865">
        <w:t xml:space="preserve"> traditional masculine norms and ideas of sexual difference. </w:t>
      </w:r>
      <w:r w:rsidR="007D56F6" w:rsidRPr="00E65865">
        <w:t>O</w:t>
      </w:r>
      <w:r w:rsidR="007F1A5B" w:rsidRPr="00E65865">
        <w:t>ur analysis suggests t</w:t>
      </w:r>
      <w:r w:rsidR="00F904A1" w:rsidRPr="00E65865">
        <w:t xml:space="preserve">his is because testosterone is not a stable </w:t>
      </w:r>
      <w:r w:rsidR="008259F8" w:rsidRPr="00E65865">
        <w:t>‘</w:t>
      </w:r>
      <w:r w:rsidR="00F904A1" w:rsidRPr="00E65865">
        <w:t>sex hormone</w:t>
      </w:r>
      <w:r w:rsidR="008259F8" w:rsidRPr="00E65865">
        <w:t>’</w:t>
      </w:r>
      <w:r w:rsidR="00F904A1" w:rsidRPr="00E65865">
        <w:t xml:space="preserve"> but a gathering that undergoes</w:t>
      </w:r>
      <w:r w:rsidR="00D80365" w:rsidRPr="00E65865">
        <w:t xml:space="preserve"> and enacts</w:t>
      </w:r>
      <w:r w:rsidR="00F904A1" w:rsidRPr="00E65865">
        <w:t xml:space="preserve"> transformations</w:t>
      </w:r>
      <w:r w:rsidR="0040347A" w:rsidRPr="00E65865">
        <w:t xml:space="preserve">. </w:t>
      </w:r>
    </w:p>
    <w:p w14:paraId="28991742" w14:textId="77777777" w:rsidR="00800D40" w:rsidRPr="00E65865" w:rsidRDefault="00800D40" w:rsidP="00800D40">
      <w:pPr>
        <w:spacing w:line="360" w:lineRule="auto"/>
      </w:pPr>
    </w:p>
    <w:p w14:paraId="3800EF9A" w14:textId="57E6BABD" w:rsidR="00706FDE" w:rsidRPr="00E65865" w:rsidRDefault="00800D40" w:rsidP="008D302F">
      <w:pPr>
        <w:pStyle w:val="Heading2"/>
        <w:spacing w:line="360" w:lineRule="auto"/>
      </w:pPr>
      <w:r w:rsidRPr="00E65865">
        <w:t>C</w:t>
      </w:r>
      <w:r w:rsidR="00706FDE" w:rsidRPr="00E65865">
        <w:t>onclusion</w:t>
      </w:r>
    </w:p>
    <w:p w14:paraId="301E6863" w14:textId="49DD4681" w:rsidR="00466F89" w:rsidRPr="00E65865" w:rsidRDefault="0009332F" w:rsidP="006914D6">
      <w:pPr>
        <w:spacing w:line="360" w:lineRule="auto"/>
      </w:pPr>
      <w:r w:rsidRPr="00E65865">
        <w:t>T</w:t>
      </w:r>
      <w:r w:rsidR="007E7596" w:rsidRPr="00E65865">
        <w:t xml:space="preserve">estosterone </w:t>
      </w:r>
      <w:r w:rsidRPr="00E65865">
        <w:t xml:space="preserve">has received </w:t>
      </w:r>
      <w:r w:rsidR="00842D57" w:rsidRPr="00E65865">
        <w:t>little</w:t>
      </w:r>
      <w:r w:rsidRPr="00E65865">
        <w:t xml:space="preserve"> </w:t>
      </w:r>
      <w:r w:rsidR="007E7596" w:rsidRPr="00E65865">
        <w:t xml:space="preserve">attention in studies of </w:t>
      </w:r>
      <w:r w:rsidR="00C614BF" w:rsidRPr="00E65865">
        <w:t>PIED</w:t>
      </w:r>
      <w:r w:rsidR="007E7596" w:rsidRPr="00E65865">
        <w:t xml:space="preserve"> use, despite occupying a </w:t>
      </w:r>
      <w:r w:rsidRPr="00E65865">
        <w:t>central</w:t>
      </w:r>
      <w:r w:rsidR="007E7596" w:rsidRPr="00E65865">
        <w:t xml:space="preserve"> role in public discourse on steroid injecting and in men’s practices and experiences of consumption. </w:t>
      </w:r>
      <w:r w:rsidR="00E641F7" w:rsidRPr="00E65865">
        <w:t xml:space="preserve">So-called </w:t>
      </w:r>
      <w:r w:rsidR="007013EB" w:rsidRPr="00E65865">
        <w:t>‘</w:t>
      </w:r>
      <w:r w:rsidR="00E641F7" w:rsidRPr="00E65865">
        <w:t>s</w:t>
      </w:r>
      <w:r w:rsidR="007E7596" w:rsidRPr="00E65865">
        <w:t>ex hormones,</w:t>
      </w:r>
      <w:r w:rsidR="007013EB" w:rsidRPr="00E65865">
        <w:t>’</w:t>
      </w:r>
      <w:r w:rsidR="007E7596" w:rsidRPr="00E65865">
        <w:t xml:space="preserve"> including testosterone, have long been critiqued in other fields for the ways in which the</w:t>
      </w:r>
      <w:r w:rsidR="000E3ECB" w:rsidRPr="00E65865">
        <w:t>ir treatment in science, public policy and popular discourse</w:t>
      </w:r>
      <w:r w:rsidR="007E7596" w:rsidRPr="00E65865">
        <w:t xml:space="preserve"> </w:t>
      </w:r>
      <w:r w:rsidR="000E3ECB" w:rsidRPr="00E65865">
        <w:t xml:space="preserve">reproduces unexamined </w:t>
      </w:r>
      <w:r w:rsidR="00C614BF" w:rsidRPr="00E65865">
        <w:t xml:space="preserve">gender </w:t>
      </w:r>
      <w:r w:rsidR="000E3ECB" w:rsidRPr="00E65865">
        <w:t>norms and stereotypes</w:t>
      </w:r>
      <w:r w:rsidR="007E7596" w:rsidRPr="00E65865">
        <w:t xml:space="preserve">. </w:t>
      </w:r>
      <w:r w:rsidR="00B338AA" w:rsidRPr="00E65865">
        <w:t xml:space="preserve">Drawing on feminist scholarship that has </w:t>
      </w:r>
      <w:r w:rsidR="00CD6C1D" w:rsidRPr="00E65865">
        <w:t xml:space="preserve">critiqued </w:t>
      </w:r>
      <w:r w:rsidR="00CD4158" w:rsidRPr="00E65865">
        <w:t>biological</w:t>
      </w:r>
      <w:r w:rsidR="002F70F0" w:rsidRPr="00E65865">
        <w:t>ly</w:t>
      </w:r>
      <w:r w:rsidR="00CD4158" w:rsidRPr="00E65865">
        <w:t xml:space="preserve"> determinis</w:t>
      </w:r>
      <w:r w:rsidR="002F70F0" w:rsidRPr="00E65865">
        <w:t>t</w:t>
      </w:r>
      <w:r w:rsidR="00CD6C1D" w:rsidRPr="00E65865">
        <w:t xml:space="preserve"> notions of the body</w:t>
      </w:r>
      <w:r w:rsidR="00CD4158" w:rsidRPr="00E65865">
        <w:t>, we have approached testosterone as a material-</w:t>
      </w:r>
      <w:r w:rsidR="000E3ECB" w:rsidRPr="00E65865">
        <w:t>discursive</w:t>
      </w:r>
      <w:r w:rsidR="00CD4158" w:rsidRPr="00E65865">
        <w:t xml:space="preserve"> </w:t>
      </w:r>
      <w:r w:rsidR="00DD54F8" w:rsidRPr="00E65865">
        <w:t>entity</w:t>
      </w:r>
      <w:r w:rsidR="00CD4158" w:rsidRPr="00E65865">
        <w:t>, a</w:t>
      </w:r>
      <w:r w:rsidR="00055AF9" w:rsidRPr="00E65865">
        <w:t xml:space="preserve"> highly political</w:t>
      </w:r>
      <w:r w:rsidR="00CD4158" w:rsidRPr="00E65865">
        <w:t xml:space="preserve"> gathering of</w:t>
      </w:r>
      <w:r w:rsidR="00B81AAC" w:rsidRPr="00E65865">
        <w:t xml:space="preserve"> </w:t>
      </w:r>
      <w:r w:rsidR="008F1D05" w:rsidRPr="00E65865">
        <w:t>technoscience</w:t>
      </w:r>
      <w:r w:rsidR="00B81AAC" w:rsidRPr="00E65865">
        <w:t>, biomedicine, chemicals, bodies, social practices and culture</w:t>
      </w:r>
      <w:r w:rsidR="000E3ECB" w:rsidRPr="00E65865">
        <w:t>s</w:t>
      </w:r>
      <w:r w:rsidR="00B81AAC" w:rsidRPr="00E65865">
        <w:t xml:space="preserve">, rather </w:t>
      </w:r>
      <w:r w:rsidR="00CD4158" w:rsidRPr="00E65865">
        <w:t xml:space="preserve">than </w:t>
      </w:r>
      <w:r w:rsidR="000E3ECB" w:rsidRPr="00E65865">
        <w:t xml:space="preserve">as </w:t>
      </w:r>
      <w:r w:rsidR="00CD4158" w:rsidRPr="00E65865">
        <w:t xml:space="preserve">a stable </w:t>
      </w:r>
      <w:r w:rsidR="000E3ECB" w:rsidRPr="00E65865">
        <w:t xml:space="preserve">substance </w:t>
      </w:r>
      <w:r w:rsidR="00466F89" w:rsidRPr="00E65865">
        <w:t xml:space="preserve">with pre-determined effects. </w:t>
      </w:r>
      <w:r w:rsidR="007E7596" w:rsidRPr="00E65865">
        <w:t xml:space="preserve">This approach to testosterone has allowed us to </w:t>
      </w:r>
      <w:r w:rsidR="007E7596" w:rsidRPr="00E65865">
        <w:lastRenderedPageBreak/>
        <w:t xml:space="preserve">explore some of the cultural and social </w:t>
      </w:r>
      <w:r w:rsidR="00AE7D3F" w:rsidRPr="00E65865">
        <w:t>dynamics</w:t>
      </w:r>
      <w:r w:rsidR="007E7596" w:rsidRPr="00E65865">
        <w:t xml:space="preserve"> mediating and motivating steroid consumption.</w:t>
      </w:r>
    </w:p>
    <w:p w14:paraId="6C4E7E06" w14:textId="51392105" w:rsidR="009C6398" w:rsidRPr="00E65865" w:rsidRDefault="00F036EB" w:rsidP="00202BB9">
      <w:pPr>
        <w:spacing w:line="360" w:lineRule="auto"/>
      </w:pPr>
      <w:r w:rsidRPr="00E65865">
        <w:t xml:space="preserve">Our analysis of testosterone suggests that </w:t>
      </w:r>
      <w:r w:rsidR="00AE7D3F" w:rsidRPr="00E65865">
        <w:t>steroid injecting</w:t>
      </w:r>
      <w:r w:rsidRPr="00E65865">
        <w:t xml:space="preserve"> is mediated by and constitutive of </w:t>
      </w:r>
      <w:r w:rsidR="000E3ECB" w:rsidRPr="00E65865">
        <w:t>traditional notions of</w:t>
      </w:r>
      <w:r w:rsidRPr="00E65865">
        <w:t xml:space="preserve"> sexual difference and gender</w:t>
      </w:r>
      <w:r w:rsidR="00F763AA" w:rsidRPr="00E65865">
        <w:t xml:space="preserve"> as biologically determined</w:t>
      </w:r>
      <w:r w:rsidRPr="00E65865">
        <w:t>. As we observed earl</w:t>
      </w:r>
      <w:r w:rsidR="000E3ECB" w:rsidRPr="00E65865">
        <w:t>y in the article</w:t>
      </w:r>
      <w:r w:rsidRPr="00E65865">
        <w:t>, testosterone is conflated with masculinity to such a degree that the hormone itself seems masculine: it is figured as inherently active, energetic, powerful and potent. This articulation plays out in men’s experiences of steroid injecting, with a more vibrant physicality made possible</w:t>
      </w:r>
      <w:r w:rsidR="00AE452C" w:rsidRPr="00E65865">
        <w:t xml:space="preserve"> seemingly</w:t>
      </w:r>
      <w:r w:rsidRPr="00E65865">
        <w:t xml:space="preserve"> through </w:t>
      </w:r>
      <w:r w:rsidR="00AE452C" w:rsidRPr="00E65865">
        <w:t xml:space="preserve">the practice of </w:t>
      </w:r>
      <w:r w:rsidR="00AE452C" w:rsidRPr="00E65865">
        <w:rPr>
          <w:i/>
        </w:rPr>
        <w:t>consuming</w:t>
      </w:r>
      <w:r w:rsidRPr="00E65865">
        <w:t xml:space="preserve"> masculinity.</w:t>
      </w:r>
      <w:r w:rsidR="00AE452C" w:rsidRPr="00E65865">
        <w:t xml:space="preserve"> Building on this,</w:t>
      </w:r>
      <w:r w:rsidRPr="00E65865">
        <w:t xml:space="preserve"> </w:t>
      </w:r>
      <w:r w:rsidR="00AE452C" w:rsidRPr="00E65865">
        <w:t>w</w:t>
      </w:r>
      <w:r w:rsidRPr="00E65865">
        <w:t>e explore</w:t>
      </w:r>
      <w:r w:rsidR="00AE452C" w:rsidRPr="00E65865">
        <w:t>d</w:t>
      </w:r>
      <w:r w:rsidRPr="00E65865">
        <w:t xml:space="preserve"> how exogenous testosterone is </w:t>
      </w:r>
      <w:r w:rsidR="0009332F" w:rsidRPr="00E65865">
        <w:t>seen</w:t>
      </w:r>
      <w:r w:rsidRPr="00E65865">
        <w:t xml:space="preserve"> to enhance masculine traits understood to be natural, such as sexual assertiveness, dominance and confidence. </w:t>
      </w:r>
      <w:r w:rsidR="004C1BC2" w:rsidRPr="00E65865">
        <w:t xml:space="preserve">We argued that our </w:t>
      </w:r>
      <w:r w:rsidR="007D56F6" w:rsidRPr="00E65865">
        <w:t xml:space="preserve">participants </w:t>
      </w:r>
      <w:r w:rsidR="00733239" w:rsidRPr="00E65865">
        <w:t>typically</w:t>
      </w:r>
      <w:r w:rsidR="004C1BC2" w:rsidRPr="00E65865">
        <w:t xml:space="preserve"> describe these experiences of enhanced masculinity as positive insofar </w:t>
      </w:r>
      <w:r w:rsidR="000E3ECB" w:rsidRPr="00E65865">
        <w:t>as</w:t>
      </w:r>
      <w:r w:rsidR="004C1BC2" w:rsidRPr="00E65865">
        <w:t xml:space="preserve"> they</w:t>
      </w:r>
      <w:r w:rsidR="00733239" w:rsidRPr="00E65865">
        <w:t xml:space="preserve"> </w:t>
      </w:r>
      <w:r w:rsidR="000E3ECB" w:rsidRPr="00E65865">
        <w:t>are perceived to help</w:t>
      </w:r>
      <w:r w:rsidR="00733239" w:rsidRPr="00E65865">
        <w:t xml:space="preserve"> </w:t>
      </w:r>
      <w:r w:rsidR="000E3ECB" w:rsidRPr="00E65865">
        <w:t>them</w:t>
      </w:r>
      <w:r w:rsidR="004C1BC2" w:rsidRPr="00E65865">
        <w:t xml:space="preserve"> </w:t>
      </w:r>
      <w:r w:rsidR="00733239" w:rsidRPr="00E65865">
        <w:t>meet</w:t>
      </w:r>
      <w:r w:rsidR="004C1BC2" w:rsidRPr="00E65865">
        <w:t xml:space="preserve"> </w:t>
      </w:r>
      <w:r w:rsidR="000A7B67" w:rsidRPr="00E65865">
        <w:t xml:space="preserve">cultural demands to be confident </w:t>
      </w:r>
      <w:r w:rsidR="004C1BC2" w:rsidRPr="00E65865">
        <w:t>and authoritative, perhaps</w:t>
      </w:r>
      <w:r w:rsidR="000A7B67" w:rsidRPr="00E65865">
        <w:t xml:space="preserve"> particular</w:t>
      </w:r>
      <w:r w:rsidR="00466F89" w:rsidRPr="00E65865">
        <w:t>ly</w:t>
      </w:r>
      <w:r w:rsidR="004C1BC2" w:rsidRPr="00E65865">
        <w:t xml:space="preserve"> in their </w:t>
      </w:r>
      <w:r w:rsidR="000A7B67" w:rsidRPr="00E65865">
        <w:t xml:space="preserve">sexual </w:t>
      </w:r>
      <w:r w:rsidR="004C1BC2" w:rsidRPr="00E65865">
        <w:t>relationships</w:t>
      </w:r>
      <w:r w:rsidR="000A7B67" w:rsidRPr="00E65865">
        <w:t>, relationships</w:t>
      </w:r>
      <w:r w:rsidR="004C1BC2" w:rsidRPr="00E65865">
        <w:t xml:space="preserve"> with other men</w:t>
      </w:r>
      <w:r w:rsidR="007D56F6" w:rsidRPr="00E65865">
        <w:t>,</w:t>
      </w:r>
      <w:r w:rsidR="000A7B67" w:rsidRPr="00E65865">
        <w:t xml:space="preserve"> and at work</w:t>
      </w:r>
      <w:r w:rsidR="004C1BC2" w:rsidRPr="00E65865">
        <w:t xml:space="preserve">. </w:t>
      </w:r>
      <w:r w:rsidR="000A7B67" w:rsidRPr="00E65865">
        <w:t>Finally, we observed that</w:t>
      </w:r>
      <w:r w:rsidR="00466F89" w:rsidRPr="00E65865">
        <w:t xml:space="preserve"> although the material-</w:t>
      </w:r>
      <w:r w:rsidR="000E3ECB" w:rsidRPr="00E65865">
        <w:t>discursive</w:t>
      </w:r>
      <w:r w:rsidR="00466F89" w:rsidRPr="00E65865">
        <w:t xml:space="preserve"> messaging of testosterone</w:t>
      </w:r>
      <w:r w:rsidR="00C368A2" w:rsidRPr="00E65865">
        <w:t xml:space="preserve"> in practices of steroid injecting</w:t>
      </w:r>
      <w:r w:rsidR="00466F89" w:rsidRPr="00E65865">
        <w:t xml:space="preserve"> may strengthen traditional links </w:t>
      </w:r>
      <w:r w:rsidR="00DD54F8" w:rsidRPr="00E65865">
        <w:t>understood to determine</w:t>
      </w:r>
      <w:r w:rsidR="00466F89" w:rsidRPr="00E65865">
        <w:t xml:space="preserve"> sex and gender, it also has strangely destabilising effects, eliciting a range of</w:t>
      </w:r>
      <w:r w:rsidR="00733239" w:rsidRPr="00E65865">
        <w:t xml:space="preserve"> </w:t>
      </w:r>
      <w:r w:rsidR="004055CE" w:rsidRPr="00E65865">
        <w:t>threatening forms of masculinity</w:t>
      </w:r>
      <w:r w:rsidR="002F70F0" w:rsidRPr="00E65865">
        <w:t xml:space="preserve"> alongside</w:t>
      </w:r>
      <w:r w:rsidR="00466F89" w:rsidRPr="00E65865">
        <w:t xml:space="preserve"> </w:t>
      </w:r>
      <w:r w:rsidR="002F70F0" w:rsidRPr="00E65865">
        <w:t xml:space="preserve">potentially </w:t>
      </w:r>
      <w:r w:rsidR="00466F89" w:rsidRPr="00E65865">
        <w:t xml:space="preserve">emasculating experiences of </w:t>
      </w:r>
      <w:r w:rsidR="00DD54F8" w:rsidRPr="00E65865">
        <w:t xml:space="preserve">breast growth, </w:t>
      </w:r>
      <w:r w:rsidR="004055CE" w:rsidRPr="00E65865">
        <w:t>sexual dysfunction or diminished fertility</w:t>
      </w:r>
      <w:r w:rsidR="00466F89" w:rsidRPr="00E65865">
        <w:t>.</w:t>
      </w:r>
      <w:r w:rsidR="006857D0" w:rsidRPr="00E65865">
        <w:t xml:space="preserve"> In such cases, oestrogen and narratives of aromatisation </w:t>
      </w:r>
      <w:r w:rsidR="00CD6C1D" w:rsidRPr="00E65865">
        <w:t xml:space="preserve">often </w:t>
      </w:r>
      <w:r w:rsidR="006857D0" w:rsidRPr="00E65865">
        <w:t xml:space="preserve">function to </w:t>
      </w:r>
      <w:r w:rsidR="00CD6C1D" w:rsidRPr="00E65865">
        <w:t xml:space="preserve">‘coordinate’ these unruly </w:t>
      </w:r>
      <w:r w:rsidR="00D63A8D" w:rsidRPr="00E65865">
        <w:t xml:space="preserve">effects </w:t>
      </w:r>
      <w:r w:rsidR="00237F51" w:rsidRPr="00E65865">
        <w:t xml:space="preserve">(Mol, 2002) </w:t>
      </w:r>
      <w:r w:rsidR="00D63A8D" w:rsidRPr="00E65865">
        <w:t>and ref</w:t>
      </w:r>
      <w:r w:rsidR="002F70F0" w:rsidRPr="00E65865">
        <w:t>rame</w:t>
      </w:r>
      <w:r w:rsidR="00D63A8D" w:rsidRPr="00E65865">
        <w:t xml:space="preserve"> them along traditional binary gendered lines</w:t>
      </w:r>
      <w:r w:rsidR="006857D0" w:rsidRPr="00E65865">
        <w:t>.</w:t>
      </w:r>
      <w:r w:rsidR="00D63A8D" w:rsidRPr="00E65865">
        <w:t xml:space="preserve"> More broadly</w:t>
      </w:r>
      <w:r w:rsidR="002F70F0" w:rsidRPr="00E65865">
        <w:t>,</w:t>
      </w:r>
      <w:r w:rsidR="00D63A8D" w:rsidRPr="00E65865">
        <w:t xml:space="preserve"> our analysis suggests that w</w:t>
      </w:r>
      <w:r w:rsidR="00823497" w:rsidRPr="00E65865">
        <w:t>hile testosterone is sometimes treated as a simple ‘messenger of sex’, in the context of steroid injecting</w:t>
      </w:r>
      <w:r w:rsidR="00DD54F8" w:rsidRPr="00E65865">
        <w:t>,</w:t>
      </w:r>
      <w:r w:rsidR="00823497" w:rsidRPr="00E65865">
        <w:t xml:space="preserve"> it is also implicated in the cultivation of new </w:t>
      </w:r>
      <w:r w:rsidR="00D041BA" w:rsidRPr="00E65865">
        <w:t>critiques of masculinity</w:t>
      </w:r>
      <w:r w:rsidR="00D63A8D" w:rsidRPr="00E65865">
        <w:t xml:space="preserve"> </w:t>
      </w:r>
      <w:r w:rsidR="00D041BA" w:rsidRPr="00E65865">
        <w:t xml:space="preserve">and </w:t>
      </w:r>
      <w:r w:rsidR="00823497" w:rsidRPr="00E65865">
        <w:t xml:space="preserve">attention to reproductive health and the body. </w:t>
      </w:r>
    </w:p>
    <w:p w14:paraId="12B95F92" w14:textId="17B4A0A0" w:rsidR="00871D12" w:rsidRPr="00E65865" w:rsidRDefault="006857D0" w:rsidP="00477459">
      <w:pPr>
        <w:spacing w:line="360" w:lineRule="auto"/>
        <w:contextualSpacing/>
      </w:pPr>
      <w:r w:rsidRPr="00E65865">
        <w:t xml:space="preserve">As we have suggested elsewhere, </w:t>
      </w:r>
      <w:r w:rsidR="003C3ABA" w:rsidRPr="00E65865">
        <w:t xml:space="preserve">efforts to engage men who inject steroids in </w:t>
      </w:r>
      <w:r w:rsidR="0022128C" w:rsidRPr="00E65865">
        <w:t>harm reduction</w:t>
      </w:r>
      <w:r w:rsidR="003C3ABA" w:rsidRPr="00E65865">
        <w:t xml:space="preserve"> and healthcare</w:t>
      </w:r>
      <w:r w:rsidR="0076025F" w:rsidRPr="00E65865">
        <w:t xml:space="preserve"> </w:t>
      </w:r>
      <w:r w:rsidR="003C3ABA" w:rsidRPr="00E65865">
        <w:t>need to be approached sensitively</w:t>
      </w:r>
      <w:r w:rsidRPr="00E65865">
        <w:t xml:space="preserve"> </w:t>
      </w:r>
      <w:r w:rsidR="002F70F0" w:rsidRPr="00E65865">
        <w:t>and in ways that address the</w:t>
      </w:r>
      <w:r w:rsidR="007D56F6" w:rsidRPr="00E65865">
        <w:t>ir</w:t>
      </w:r>
      <w:r w:rsidR="002F70F0" w:rsidRPr="00E65865">
        <w:t xml:space="preserve"> concerns </w:t>
      </w:r>
      <w:r w:rsidRPr="00E65865">
        <w:t>(</w:t>
      </w:r>
      <w:r w:rsidR="003E2CFD" w:rsidRPr="00E65865">
        <w:t xml:space="preserve">Fomiatti </w:t>
      </w:r>
      <w:r w:rsidR="00CB5970" w:rsidRPr="00E65865">
        <w:t>et al</w:t>
      </w:r>
      <w:r w:rsidRPr="00E65865">
        <w:t>. under review).</w:t>
      </w:r>
      <w:r w:rsidR="0076025F" w:rsidRPr="00E65865">
        <w:t xml:space="preserve"> </w:t>
      </w:r>
      <w:r w:rsidR="00435EC4" w:rsidRPr="00E65865">
        <w:t>We therefore</w:t>
      </w:r>
      <w:r w:rsidR="0076025F" w:rsidRPr="00E65865">
        <w:t xml:space="preserve"> suggest </w:t>
      </w:r>
      <w:r w:rsidR="002F70F0" w:rsidRPr="00E65865">
        <w:t>a range of strategies based on these findings. First, engagement strategies and prevention messages may benefit from acknowledging the place of pleasure in</w:t>
      </w:r>
      <w:r w:rsidR="001F6ECF" w:rsidRPr="00E65865">
        <w:t xml:space="preserve"> </w:t>
      </w:r>
      <w:r w:rsidR="002F70F0" w:rsidRPr="00E65865">
        <w:t>steroid injecting</w:t>
      </w:r>
      <w:r w:rsidR="0060484C" w:rsidRPr="00E65865">
        <w:t xml:space="preserve">. </w:t>
      </w:r>
      <w:r w:rsidR="006634F8" w:rsidRPr="00E65865">
        <w:t xml:space="preserve">Didactic messages that </w:t>
      </w:r>
      <w:r w:rsidR="002F70F0" w:rsidRPr="00E65865">
        <w:t xml:space="preserve">focus on </w:t>
      </w:r>
      <w:r w:rsidR="006634F8" w:rsidRPr="00E65865">
        <w:t xml:space="preserve">risks, harms and disorder ignore the lived experiences of many consumers and may be perceived as patronising and irrelevant for many men who report deriving pleasure and </w:t>
      </w:r>
      <w:r w:rsidR="00DD54F8" w:rsidRPr="00E65865">
        <w:t xml:space="preserve">various </w:t>
      </w:r>
      <w:r w:rsidR="002F70F0" w:rsidRPr="00E65865">
        <w:t xml:space="preserve">social and other </w:t>
      </w:r>
      <w:r w:rsidR="006634F8" w:rsidRPr="00E65865">
        <w:t xml:space="preserve">benefits from steroid injecting (Winter et al. 2011). </w:t>
      </w:r>
      <w:r w:rsidR="002F70F0" w:rsidRPr="00E65865">
        <w:t>Second</w:t>
      </w:r>
      <w:r w:rsidR="006634F8" w:rsidRPr="00E65865">
        <w:t xml:space="preserve">, health engagement strategies </w:t>
      </w:r>
      <w:r w:rsidR="0076025F" w:rsidRPr="00E65865">
        <w:t xml:space="preserve">could acknowledge </w:t>
      </w:r>
      <w:r w:rsidR="001F5881" w:rsidRPr="00E65865">
        <w:t xml:space="preserve">that </w:t>
      </w:r>
      <w:r w:rsidR="000B5FAC" w:rsidRPr="00E65865">
        <w:t xml:space="preserve">men’s steroid injecting is necessarily informed </w:t>
      </w:r>
      <w:r w:rsidR="000B5FAC" w:rsidRPr="00E65865">
        <w:lastRenderedPageBreak/>
        <w:t xml:space="preserve">by hormone-related </w:t>
      </w:r>
      <w:r w:rsidR="00C93577" w:rsidRPr="00E65865">
        <w:t xml:space="preserve">normative </w:t>
      </w:r>
      <w:r w:rsidR="00264177" w:rsidRPr="00E65865">
        <w:t>m</w:t>
      </w:r>
      <w:r w:rsidR="00C93577" w:rsidRPr="00E65865">
        <w:t>asculine ideals</w:t>
      </w:r>
      <w:r w:rsidR="001F5881" w:rsidRPr="00E65865">
        <w:t xml:space="preserve"> </w:t>
      </w:r>
      <w:r w:rsidR="0076025F" w:rsidRPr="00E65865">
        <w:t>(</w:t>
      </w:r>
      <w:r w:rsidR="00237F51" w:rsidRPr="00E65865">
        <w:t>e.g.</w:t>
      </w:r>
      <w:r w:rsidR="0076025F" w:rsidRPr="00E65865">
        <w:t xml:space="preserve">, muscularity, </w:t>
      </w:r>
      <w:r w:rsidR="00C93577" w:rsidRPr="00E65865">
        <w:t>assertiveness</w:t>
      </w:r>
      <w:r w:rsidR="0076025F" w:rsidRPr="00E65865">
        <w:t xml:space="preserve"> and confidence)</w:t>
      </w:r>
      <w:r w:rsidR="00C178EF" w:rsidRPr="00E65865">
        <w:t xml:space="preserve">. While these messages are </w:t>
      </w:r>
      <w:r w:rsidR="006634F8" w:rsidRPr="00E65865">
        <w:t xml:space="preserve">likely not new </w:t>
      </w:r>
      <w:r w:rsidR="00C178EF" w:rsidRPr="00E65865">
        <w:t>to those who consume steroids, the explicit acknowledgement of the complex</w:t>
      </w:r>
      <w:r w:rsidR="000B5FAC" w:rsidRPr="00E65865">
        <w:t xml:space="preserve"> gendered</w:t>
      </w:r>
      <w:r w:rsidR="00C178EF" w:rsidRPr="00E65865">
        <w:t xml:space="preserve"> </w:t>
      </w:r>
      <w:r w:rsidR="00583E0B" w:rsidRPr="00E65865">
        <w:t xml:space="preserve">political </w:t>
      </w:r>
      <w:r w:rsidR="00D63A8D" w:rsidRPr="00E65865">
        <w:t>negotiations</w:t>
      </w:r>
      <w:r w:rsidR="00C178EF" w:rsidRPr="00E65865">
        <w:t xml:space="preserve"> </w:t>
      </w:r>
      <w:r w:rsidR="0060484C" w:rsidRPr="00E65865">
        <w:t>informing</w:t>
      </w:r>
      <w:r w:rsidR="00C178EF" w:rsidRPr="00E65865">
        <w:t xml:space="preserve"> </w:t>
      </w:r>
      <w:r w:rsidR="006634F8" w:rsidRPr="00E65865">
        <w:rPr>
          <w:i/>
        </w:rPr>
        <w:t xml:space="preserve">all </w:t>
      </w:r>
      <w:r w:rsidR="00C178EF" w:rsidRPr="00E65865">
        <w:t>health practices has the potential to</w:t>
      </w:r>
      <w:r w:rsidR="006634F8" w:rsidRPr="00E65865">
        <w:t xml:space="preserve"> positively</w:t>
      </w:r>
      <w:r w:rsidR="00C178EF" w:rsidRPr="00E65865">
        <w:t xml:space="preserve"> intervene in more individualising accounts of steroid use </w:t>
      </w:r>
      <w:r w:rsidR="00871D12" w:rsidRPr="00E65865">
        <w:t xml:space="preserve">that </w:t>
      </w:r>
      <w:r w:rsidR="00C178EF" w:rsidRPr="00E65865">
        <w:t>suggest these men</w:t>
      </w:r>
      <w:r w:rsidR="00871D12" w:rsidRPr="00E65865">
        <w:t xml:space="preserve"> have </w:t>
      </w:r>
      <w:r w:rsidR="007F334C" w:rsidRPr="00E65865">
        <w:t xml:space="preserve">disordered </w:t>
      </w:r>
      <w:r w:rsidR="006634F8" w:rsidRPr="00E65865">
        <w:t xml:space="preserve">or irrational </w:t>
      </w:r>
      <w:r w:rsidR="007F334C" w:rsidRPr="00E65865">
        <w:t>re</w:t>
      </w:r>
      <w:r w:rsidR="00871D12" w:rsidRPr="00E65865">
        <w:t>lationships</w:t>
      </w:r>
      <w:r w:rsidR="00C178EF" w:rsidRPr="00E65865">
        <w:t xml:space="preserve"> to their own bodies.</w:t>
      </w:r>
      <w:r w:rsidR="00871D12" w:rsidRPr="00E65865">
        <w:t xml:space="preserve"> Finally, given </w:t>
      </w:r>
      <w:r w:rsidR="007D56F6" w:rsidRPr="00E65865">
        <w:t>our</w:t>
      </w:r>
      <w:r w:rsidR="000B5FAC" w:rsidRPr="00E65865">
        <w:t xml:space="preserve"> discussion of the variability in testosterone’s effects and the role of</w:t>
      </w:r>
      <w:r w:rsidR="00871D12" w:rsidRPr="00E65865">
        <w:t xml:space="preserve"> </w:t>
      </w:r>
      <w:r w:rsidR="009C1E87" w:rsidRPr="00E65865">
        <w:t xml:space="preserve">higher concentrations of testosterone </w:t>
      </w:r>
      <w:r w:rsidR="000B5FAC" w:rsidRPr="00E65865">
        <w:t>in disrupting</w:t>
      </w:r>
      <w:r w:rsidR="009C1E87" w:rsidRPr="00E65865">
        <w:t xml:space="preserve"> normative masculine </w:t>
      </w:r>
      <w:r w:rsidR="000B5FAC" w:rsidRPr="00E65865">
        <w:t>attributes</w:t>
      </w:r>
      <w:r w:rsidR="009C1E87" w:rsidRPr="00E65865">
        <w:t xml:space="preserve"> an</w:t>
      </w:r>
      <w:r w:rsidR="00871D12" w:rsidRPr="00E65865">
        <w:t xml:space="preserve">d experiences, </w:t>
      </w:r>
      <w:r w:rsidR="000B5FAC" w:rsidRPr="00E65865">
        <w:t>health engagement strategies could</w:t>
      </w:r>
      <w:r w:rsidR="001F5881" w:rsidRPr="00E65865">
        <w:t xml:space="preserve"> clarif</w:t>
      </w:r>
      <w:r w:rsidR="000B5FAC" w:rsidRPr="00E65865">
        <w:t>y</w:t>
      </w:r>
      <w:r w:rsidR="00AC0EEF" w:rsidRPr="00E65865">
        <w:t xml:space="preserve"> and emphasise</w:t>
      </w:r>
      <w:r w:rsidR="001F5881" w:rsidRPr="00E65865">
        <w:t xml:space="preserve"> </w:t>
      </w:r>
      <w:r w:rsidR="000B5FAC" w:rsidRPr="00E65865">
        <w:t>this</w:t>
      </w:r>
      <w:r w:rsidR="001F5881" w:rsidRPr="00E65865">
        <w:t xml:space="preserve"> divers</w:t>
      </w:r>
      <w:r w:rsidR="000B5FAC" w:rsidRPr="00E65865">
        <w:t>ity in experience,</w:t>
      </w:r>
      <w:r w:rsidR="001F5881" w:rsidRPr="00E65865">
        <w:t xml:space="preserve"> </w:t>
      </w:r>
      <w:r w:rsidR="000B5FAC" w:rsidRPr="00E65865">
        <w:t xml:space="preserve">including </w:t>
      </w:r>
      <w:r w:rsidR="0060484C" w:rsidRPr="00E65865">
        <w:t>effects</w:t>
      </w:r>
      <w:r w:rsidR="00583E0B" w:rsidRPr="00E65865">
        <w:t xml:space="preserve"> beyond those usually </w:t>
      </w:r>
      <w:r w:rsidR="000B5FAC" w:rsidRPr="00E65865">
        <w:t>highlighted as</w:t>
      </w:r>
      <w:r w:rsidR="00583E0B" w:rsidRPr="00E65865">
        <w:t xml:space="preserve"> ‘risks’ or ‘harms’. </w:t>
      </w:r>
      <w:r w:rsidR="000B5FAC" w:rsidRPr="00E65865">
        <w:t>In sum, as our</w:t>
      </w:r>
      <w:r w:rsidR="001D4F56" w:rsidRPr="00E65865">
        <w:t xml:space="preserve"> analysis </w:t>
      </w:r>
      <w:r w:rsidR="000B5FAC" w:rsidRPr="00E65865">
        <w:t>shows,</w:t>
      </w:r>
      <w:r w:rsidR="001D4F56" w:rsidRPr="00E65865">
        <w:t xml:space="preserve"> </w:t>
      </w:r>
      <w:r w:rsidR="000B5FAC" w:rsidRPr="00E65865">
        <w:t>testosterone is a gathering of unstable and multiple messages and effects, all performed in and through normalising discourses of gender. A</w:t>
      </w:r>
      <w:r w:rsidR="001D4F56" w:rsidRPr="00E65865">
        <w:t xml:space="preserve">cknowledging the </w:t>
      </w:r>
      <w:r w:rsidR="000B5FAC" w:rsidRPr="00E65865">
        <w:t>gender</w:t>
      </w:r>
      <w:r w:rsidR="00237F51" w:rsidRPr="00E65865">
        <w:t>ing</w:t>
      </w:r>
      <w:r w:rsidR="000B5FAC" w:rsidRPr="00E65865">
        <w:t xml:space="preserve"> </w:t>
      </w:r>
      <w:r w:rsidR="001D4F56" w:rsidRPr="00E65865">
        <w:t>social dynamics</w:t>
      </w:r>
      <w:r w:rsidR="008D7838" w:rsidRPr="00E65865">
        <w:t xml:space="preserve"> </w:t>
      </w:r>
      <w:r w:rsidR="000B5FAC" w:rsidRPr="00E65865">
        <w:t xml:space="preserve">of </w:t>
      </w:r>
      <w:r w:rsidR="008D7838" w:rsidRPr="00E65865">
        <w:t xml:space="preserve">steroid injecting, </w:t>
      </w:r>
      <w:r w:rsidR="000B5FAC" w:rsidRPr="00E65865">
        <w:t>treating testosterone as a gathering and considering the ontological politics of its effects in the ways discussed here</w:t>
      </w:r>
      <w:r w:rsidR="007D56F6" w:rsidRPr="00E65865">
        <w:t>,</w:t>
      </w:r>
      <w:r w:rsidR="000B5FAC" w:rsidRPr="00E65865">
        <w:t xml:space="preserve"> can directly </w:t>
      </w:r>
      <w:r w:rsidR="00237F51" w:rsidRPr="00E65865">
        <w:t xml:space="preserve">inform </w:t>
      </w:r>
      <w:r w:rsidR="008D7838" w:rsidRPr="00E65865">
        <w:t xml:space="preserve">health promotion efforts aimed at men who consume steroids. </w:t>
      </w:r>
    </w:p>
    <w:p w14:paraId="555D4C6F" w14:textId="77777777" w:rsidR="00C93577" w:rsidRPr="00E65865" w:rsidRDefault="00C93577" w:rsidP="00477459">
      <w:pPr>
        <w:spacing w:line="360" w:lineRule="auto"/>
        <w:contextualSpacing/>
      </w:pPr>
    </w:p>
    <w:p w14:paraId="7D8F059E" w14:textId="1ECC520E" w:rsidR="009C1E87" w:rsidRPr="00E65865" w:rsidRDefault="009C1E87" w:rsidP="00477459">
      <w:pPr>
        <w:spacing w:line="360" w:lineRule="auto"/>
        <w:contextualSpacing/>
      </w:pPr>
      <w:r w:rsidRPr="00E65865">
        <w:t xml:space="preserve"> </w:t>
      </w:r>
    </w:p>
    <w:p w14:paraId="72D78019" w14:textId="77777777" w:rsidR="009C1E87" w:rsidRPr="00E65865" w:rsidRDefault="009C1E87" w:rsidP="009C1E87">
      <w:pPr>
        <w:rPr>
          <w:rFonts w:asciiTheme="minorHAnsi" w:hAnsiTheme="minorHAnsi" w:cstheme="minorBidi"/>
          <w:sz w:val="22"/>
          <w:szCs w:val="22"/>
        </w:rPr>
      </w:pPr>
    </w:p>
    <w:p w14:paraId="51852279" w14:textId="77777777" w:rsidR="009C1E87" w:rsidRPr="00E65865" w:rsidRDefault="009C1E87" w:rsidP="00202BB9">
      <w:pPr>
        <w:spacing w:line="360" w:lineRule="auto"/>
      </w:pPr>
    </w:p>
    <w:p w14:paraId="7D1F1DFE" w14:textId="77777777" w:rsidR="00286B6B" w:rsidRPr="00E65865" w:rsidRDefault="00286B6B">
      <w:pPr>
        <w:rPr>
          <w:b/>
        </w:rPr>
      </w:pPr>
      <w:r w:rsidRPr="00E65865">
        <w:br w:type="page"/>
      </w:r>
    </w:p>
    <w:p w14:paraId="06865075" w14:textId="0D93E0AE" w:rsidR="00FE4AAF" w:rsidRPr="00E65865" w:rsidRDefault="00FE4AAF" w:rsidP="00202BB9">
      <w:pPr>
        <w:pStyle w:val="Heading2"/>
      </w:pPr>
      <w:r w:rsidRPr="00E65865">
        <w:lastRenderedPageBreak/>
        <w:t>References</w:t>
      </w:r>
    </w:p>
    <w:p w14:paraId="4E175481" w14:textId="1163087A" w:rsidR="00A2227F" w:rsidRPr="00E65865" w:rsidRDefault="00A2227F" w:rsidP="00055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t xml:space="preserve">Aitken, C., </w:t>
      </w:r>
      <w:proofErr w:type="spellStart"/>
      <w:r w:rsidRPr="00E65865">
        <w:rPr>
          <w:rFonts w:eastAsia="Calibri"/>
        </w:rPr>
        <w:t>Delalande</w:t>
      </w:r>
      <w:proofErr w:type="spellEnd"/>
      <w:r w:rsidRPr="00E65865">
        <w:rPr>
          <w:rFonts w:eastAsia="Calibri"/>
        </w:rPr>
        <w:t>, C., &amp; Stanton, K. (2002). Pumping iron, risking infection? Exposure to hepatitis C, hepatitis B and HIV among anabolic–androgenic steroid injectors in Victoria, Australia. </w:t>
      </w:r>
      <w:r w:rsidRPr="00E65865">
        <w:rPr>
          <w:rFonts w:eastAsia="Calibri"/>
          <w:i/>
          <w:iCs/>
        </w:rPr>
        <w:t xml:space="preserve">Drug and </w:t>
      </w:r>
      <w:r w:rsidR="007D56F6" w:rsidRPr="00E65865">
        <w:rPr>
          <w:rFonts w:eastAsia="Calibri"/>
          <w:i/>
          <w:iCs/>
        </w:rPr>
        <w:t>A</w:t>
      </w:r>
      <w:r w:rsidRPr="00E65865">
        <w:rPr>
          <w:rFonts w:eastAsia="Calibri"/>
          <w:i/>
          <w:iCs/>
        </w:rPr>
        <w:t xml:space="preserve">lcohol </w:t>
      </w:r>
      <w:r w:rsidR="007D56F6" w:rsidRPr="00E65865">
        <w:rPr>
          <w:rFonts w:eastAsia="Calibri"/>
          <w:i/>
          <w:iCs/>
        </w:rPr>
        <w:t>D</w:t>
      </w:r>
      <w:r w:rsidRPr="00E65865">
        <w:rPr>
          <w:rFonts w:eastAsia="Calibri"/>
          <w:i/>
          <w:iCs/>
        </w:rPr>
        <w:t>ependence</w:t>
      </w:r>
      <w:r w:rsidRPr="00E65865">
        <w:rPr>
          <w:rFonts w:eastAsia="Calibri"/>
        </w:rPr>
        <w:t>, </w:t>
      </w:r>
      <w:r w:rsidRPr="00E65865">
        <w:rPr>
          <w:rFonts w:eastAsia="Calibri"/>
          <w:i/>
          <w:iCs/>
        </w:rPr>
        <w:t>65</w:t>
      </w:r>
      <w:r w:rsidRPr="00E65865">
        <w:rPr>
          <w:rFonts w:eastAsia="Calibri"/>
        </w:rPr>
        <w:t>(3), 303-308.</w:t>
      </w:r>
    </w:p>
    <w:p w14:paraId="17AC8EBF" w14:textId="7AD0CFBF" w:rsidR="00FE4AAF" w:rsidRPr="00E65865" w:rsidRDefault="00FE4AAF" w:rsidP="00055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proofErr w:type="spellStart"/>
      <w:r w:rsidRPr="00E65865">
        <w:rPr>
          <w:rFonts w:eastAsia="Calibri"/>
        </w:rPr>
        <w:t>Andreasson</w:t>
      </w:r>
      <w:proofErr w:type="spellEnd"/>
      <w:r w:rsidRPr="00E65865">
        <w:rPr>
          <w:rFonts w:eastAsia="Calibri"/>
        </w:rPr>
        <w:t>, J. (2015). Reconceptualising the gender of fitness doping: Performing and negotiating masculinity through drug-use practices. </w:t>
      </w:r>
      <w:r w:rsidRPr="00E65865">
        <w:rPr>
          <w:rFonts w:eastAsia="Calibri"/>
          <w:i/>
          <w:iCs/>
        </w:rPr>
        <w:t>Social Sciences</w:t>
      </w:r>
      <w:r w:rsidRPr="00E65865">
        <w:rPr>
          <w:rFonts w:eastAsia="Calibri"/>
        </w:rPr>
        <w:t>, </w:t>
      </w:r>
      <w:r w:rsidRPr="00E65865">
        <w:rPr>
          <w:rFonts w:eastAsia="Calibri"/>
          <w:i/>
          <w:iCs/>
        </w:rPr>
        <w:t>4</w:t>
      </w:r>
      <w:r w:rsidRPr="00E65865">
        <w:rPr>
          <w:rFonts w:eastAsia="Calibri"/>
        </w:rPr>
        <w:t>(3), 546-562.</w:t>
      </w:r>
    </w:p>
    <w:p w14:paraId="084C7C5C" w14:textId="529EDDA0" w:rsidR="00FE4AAF" w:rsidRPr="00E65865" w:rsidRDefault="00FE4AAF" w:rsidP="00552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t>Butler, J. (1993). </w:t>
      </w:r>
      <w:r w:rsidRPr="00E65865">
        <w:rPr>
          <w:rFonts w:eastAsia="Calibri"/>
          <w:i/>
          <w:iCs/>
        </w:rPr>
        <w:t>Bodies that matter: On the discursive limits of sex</w:t>
      </w:r>
      <w:r w:rsidRPr="00E65865">
        <w:rPr>
          <w:rFonts w:eastAsia="Calibri"/>
        </w:rPr>
        <w:t>.</w:t>
      </w:r>
      <w:r w:rsidR="009C3DE4" w:rsidRPr="00E65865">
        <w:rPr>
          <w:rFonts w:eastAsia="Calibri"/>
        </w:rPr>
        <w:t xml:space="preserve"> London and New York:</w:t>
      </w:r>
      <w:r w:rsidRPr="00E65865">
        <w:rPr>
          <w:rFonts w:eastAsia="Calibri"/>
        </w:rPr>
        <w:t xml:space="preserve"> Routledge</w:t>
      </w:r>
      <w:r w:rsidR="009C3DE4" w:rsidRPr="00E65865">
        <w:rPr>
          <w:rFonts w:eastAsia="Calibri"/>
        </w:rPr>
        <w:t>.</w:t>
      </w:r>
      <w:r w:rsidRPr="00E65865">
        <w:rPr>
          <w:rFonts w:eastAsia="Calibri"/>
        </w:rPr>
        <w:t xml:space="preserve"> </w:t>
      </w:r>
    </w:p>
    <w:p w14:paraId="78A366A6" w14:textId="08460397" w:rsidR="00A2227F" w:rsidRPr="00E65865" w:rsidRDefault="00A2227F" w:rsidP="00704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t>Dwyer, R., &amp; Moore, D. (2013). Enacting multiple methamphetamines: The ontological politics of public discourse and consumer accounts of a drug and its effects. </w:t>
      </w:r>
      <w:r w:rsidRPr="00E65865">
        <w:rPr>
          <w:rFonts w:eastAsia="Calibri"/>
          <w:i/>
          <w:iCs/>
        </w:rPr>
        <w:t>International Journal of Drug Policy</w:t>
      </w:r>
      <w:r w:rsidRPr="00E65865">
        <w:rPr>
          <w:rFonts w:eastAsia="Calibri"/>
        </w:rPr>
        <w:t>, </w:t>
      </w:r>
      <w:r w:rsidRPr="00E65865">
        <w:rPr>
          <w:rFonts w:eastAsia="Calibri"/>
          <w:i/>
          <w:iCs/>
        </w:rPr>
        <w:t>24</w:t>
      </w:r>
      <w:r w:rsidRPr="00E65865">
        <w:rPr>
          <w:rFonts w:eastAsia="Calibri"/>
        </w:rPr>
        <w:t>(3), 203-211.</w:t>
      </w:r>
    </w:p>
    <w:p w14:paraId="13FEEC05" w14:textId="5C5DB4BB" w:rsidR="00E26C12" w:rsidRPr="00E65865" w:rsidRDefault="00E26C12" w:rsidP="00202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 xml:space="preserve">Farrugia, A. (2017). Gender, reputation and regret: The ontological politics of Australian drug education. </w:t>
      </w:r>
      <w:r w:rsidRPr="00E65865">
        <w:rPr>
          <w:i/>
        </w:rPr>
        <w:t>Gender and education</w:t>
      </w:r>
      <w:r w:rsidRPr="00E65865">
        <w:t>,</w:t>
      </w:r>
      <w:r w:rsidRPr="00E65865">
        <w:rPr>
          <w:i/>
        </w:rPr>
        <w:t xml:space="preserve"> 29</w:t>
      </w:r>
      <w:r w:rsidRPr="00E65865">
        <w:t>(3), 281-298.</w:t>
      </w:r>
    </w:p>
    <w:p w14:paraId="3532BBBB" w14:textId="428AC8A9" w:rsidR="00FE4AAF" w:rsidRPr="00E65865" w:rsidRDefault="00FE4AAF" w:rsidP="00202BB9">
      <w:pPr>
        <w:spacing w:line="360" w:lineRule="auto"/>
        <w:ind w:left="567" w:hanging="567"/>
        <w:rPr>
          <w:rFonts w:eastAsia="Calibri"/>
        </w:rPr>
      </w:pPr>
      <w:r w:rsidRPr="00E65865">
        <w:rPr>
          <w:rFonts w:eastAsia="Calibri"/>
        </w:rPr>
        <w:t>Fausto-Sterling, A. (2000). </w:t>
      </w:r>
      <w:r w:rsidRPr="00E65865">
        <w:rPr>
          <w:rFonts w:eastAsia="Calibri"/>
          <w:i/>
          <w:iCs/>
        </w:rPr>
        <w:t>Sexing the body: Gender politics and the construction of sexuality</w:t>
      </w:r>
      <w:r w:rsidRPr="00E65865">
        <w:rPr>
          <w:rFonts w:eastAsia="Calibri"/>
        </w:rPr>
        <w:t xml:space="preserve">. </w:t>
      </w:r>
      <w:r w:rsidR="00993AEB" w:rsidRPr="00E65865">
        <w:rPr>
          <w:rFonts w:eastAsia="Calibri"/>
        </w:rPr>
        <w:t xml:space="preserve">New York, </w:t>
      </w:r>
      <w:r w:rsidR="009C3DE4" w:rsidRPr="00E65865">
        <w:rPr>
          <w:rFonts w:eastAsia="Calibri"/>
        </w:rPr>
        <w:t>NY: Basic Books.</w:t>
      </w:r>
    </w:p>
    <w:p w14:paraId="4F72A9EC" w14:textId="0EF0B418" w:rsidR="002D2029" w:rsidRPr="00E65865" w:rsidRDefault="00FE4AAF" w:rsidP="00202BB9">
      <w:pPr>
        <w:spacing w:line="360" w:lineRule="auto"/>
        <w:ind w:left="567" w:hanging="567"/>
      </w:pPr>
      <w:r w:rsidRPr="00E65865">
        <w:t>Fine, C. (2017). </w:t>
      </w:r>
      <w:r w:rsidRPr="00E65865">
        <w:rPr>
          <w:i/>
          <w:iCs/>
        </w:rPr>
        <w:t xml:space="preserve">Testosterone rex: </w:t>
      </w:r>
      <w:r w:rsidR="009C3DE4" w:rsidRPr="00E65865">
        <w:rPr>
          <w:i/>
          <w:iCs/>
        </w:rPr>
        <w:t xml:space="preserve">Unmaking the myths of our gendered minds. </w:t>
      </w:r>
      <w:r w:rsidR="009C3DE4" w:rsidRPr="00E65865">
        <w:rPr>
          <w:iCs/>
        </w:rPr>
        <w:t xml:space="preserve">London, UK: Omnibus Books. </w:t>
      </w:r>
    </w:p>
    <w:p w14:paraId="55D26C77" w14:textId="77777777" w:rsidR="003E2CFD" w:rsidRPr="00E65865" w:rsidRDefault="003E2CFD" w:rsidP="003E2CFD">
      <w:pPr>
        <w:spacing w:line="360" w:lineRule="auto"/>
        <w:ind w:left="567" w:hanging="567"/>
        <w:rPr>
          <w:rFonts w:eastAsia="Calibri"/>
        </w:rPr>
      </w:pPr>
      <w:r w:rsidRPr="00E65865">
        <w:rPr>
          <w:rFonts w:eastAsia="Calibri"/>
        </w:rPr>
        <w:t xml:space="preserve">Fomiatti, R., Lenton, E., Latham, J. R., Fraser, S., </w:t>
      </w:r>
      <w:r w:rsidRPr="00E65865">
        <w:t xml:space="preserve">Moore, D., Seear, K., &amp; Aitken, C. </w:t>
      </w:r>
      <w:r w:rsidRPr="00E65865">
        <w:rPr>
          <w:rFonts w:eastAsia="Calibri"/>
        </w:rPr>
        <w:t xml:space="preserve">Maintaining the healthy body: Blood management and hepatitis C prevention among men who inject performance and image-enhancing drugs. </w:t>
      </w:r>
      <w:r w:rsidRPr="00E65865">
        <w:rPr>
          <w:rFonts w:eastAsia="Calibri"/>
          <w:i/>
        </w:rPr>
        <w:t xml:space="preserve">International Journal of Drug Policy. </w:t>
      </w:r>
      <w:r w:rsidRPr="00E65865">
        <w:rPr>
          <w:rFonts w:eastAsia="Calibri"/>
        </w:rPr>
        <w:t>Under review.</w:t>
      </w:r>
    </w:p>
    <w:p w14:paraId="10F0CCD3" w14:textId="732B5BAD" w:rsidR="00E26C12" w:rsidRPr="00E65865" w:rsidRDefault="00E26C12" w:rsidP="00477459">
      <w:pPr>
        <w:spacing w:line="360" w:lineRule="auto"/>
        <w:ind w:left="567" w:hanging="567"/>
        <w:rPr>
          <w:rFonts w:eastAsia="Calibri"/>
        </w:rPr>
      </w:pPr>
      <w:r w:rsidRPr="00E65865">
        <w:rPr>
          <w:rFonts w:eastAsia="Calibri"/>
        </w:rPr>
        <w:t xml:space="preserve">Fraser, S. (2006). Poetic world-making: Queer as Folk, </w:t>
      </w:r>
      <w:proofErr w:type="spellStart"/>
      <w:r w:rsidRPr="00E65865">
        <w:rPr>
          <w:rFonts w:eastAsia="Calibri"/>
        </w:rPr>
        <w:t>counterpublic</w:t>
      </w:r>
      <w:proofErr w:type="spellEnd"/>
      <w:r w:rsidRPr="00E65865">
        <w:rPr>
          <w:rFonts w:eastAsia="Calibri"/>
        </w:rPr>
        <w:t xml:space="preserve"> speech and the ‘reader’. </w:t>
      </w:r>
      <w:r w:rsidRPr="00E65865">
        <w:rPr>
          <w:rFonts w:eastAsia="Calibri"/>
          <w:i/>
        </w:rPr>
        <w:t>Sexualities,</w:t>
      </w:r>
      <w:r w:rsidRPr="00E65865">
        <w:rPr>
          <w:rFonts w:eastAsia="Calibri"/>
        </w:rPr>
        <w:t xml:space="preserve"> 9(2), 152-170.</w:t>
      </w:r>
    </w:p>
    <w:p w14:paraId="59125193" w14:textId="044E447C" w:rsidR="002D2029" w:rsidRPr="00E65865" w:rsidRDefault="002D2029" w:rsidP="00202BB9">
      <w:pPr>
        <w:spacing w:line="360" w:lineRule="auto"/>
        <w:ind w:left="567" w:hanging="567"/>
      </w:pPr>
      <w:r w:rsidRPr="00E65865">
        <w:t>Fraser, S. (2010). More than one and less than many: Materialising hepatitis C and injecting drug use in self-help literature and beyond. </w:t>
      </w:r>
      <w:r w:rsidRPr="00E65865">
        <w:rPr>
          <w:i/>
          <w:iCs/>
        </w:rPr>
        <w:t>Health Sociology Review</w:t>
      </w:r>
      <w:r w:rsidRPr="00E65865">
        <w:t>, </w:t>
      </w:r>
      <w:r w:rsidRPr="00E65865">
        <w:rPr>
          <w:i/>
          <w:iCs/>
        </w:rPr>
        <w:t>19</w:t>
      </w:r>
      <w:r w:rsidRPr="00E65865">
        <w:t>(2), 230-244.</w:t>
      </w:r>
    </w:p>
    <w:p w14:paraId="6146B8E5" w14:textId="77777777" w:rsidR="00FE4AAF" w:rsidRPr="00E65865" w:rsidRDefault="00FE4AAF" w:rsidP="00055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 xml:space="preserve">Gill, R., &amp; </w:t>
      </w:r>
      <w:proofErr w:type="spellStart"/>
      <w:r w:rsidRPr="00E65865">
        <w:t>Orgad</w:t>
      </w:r>
      <w:proofErr w:type="spellEnd"/>
      <w:r w:rsidRPr="00E65865">
        <w:t>, S. (2017). Confidence culture and the remaking of feminism. </w:t>
      </w:r>
      <w:r w:rsidRPr="00E65865">
        <w:rPr>
          <w:i/>
          <w:iCs/>
        </w:rPr>
        <w:t>New Formations</w:t>
      </w:r>
      <w:r w:rsidRPr="00E65865">
        <w:t>, </w:t>
      </w:r>
      <w:r w:rsidRPr="00E65865">
        <w:rPr>
          <w:i/>
          <w:iCs/>
        </w:rPr>
        <w:t>91</w:t>
      </w:r>
      <w:r w:rsidRPr="00E65865">
        <w:t>(91), 16-34.</w:t>
      </w:r>
    </w:p>
    <w:p w14:paraId="7130081F" w14:textId="7A4F96C7" w:rsidR="00FE4AAF" w:rsidRPr="00E65865" w:rsidRDefault="00FE4AAF" w:rsidP="00D06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Grosz, E. A. (1994). </w:t>
      </w:r>
      <w:r w:rsidRPr="00E65865">
        <w:rPr>
          <w:i/>
          <w:iCs/>
        </w:rPr>
        <w:t>Volatile bodies: Toward a corporeal feminism</w:t>
      </w:r>
      <w:r w:rsidRPr="00E65865">
        <w:t xml:space="preserve">. </w:t>
      </w:r>
      <w:r w:rsidR="009C3DE4" w:rsidRPr="00E65865">
        <w:t>St Leonard: Allen and Unwin</w:t>
      </w:r>
      <w:r w:rsidRPr="00E65865">
        <w:t>.</w:t>
      </w:r>
    </w:p>
    <w:p w14:paraId="5649830B" w14:textId="77777777" w:rsidR="00C67A6A" w:rsidRPr="00E65865" w:rsidRDefault="00FE4AAF" w:rsidP="00202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lastRenderedPageBreak/>
        <w:t xml:space="preserve">Iversen, J., </w:t>
      </w:r>
      <w:proofErr w:type="spellStart"/>
      <w:r w:rsidRPr="00E65865">
        <w:rPr>
          <w:rFonts w:eastAsia="Calibri"/>
        </w:rPr>
        <w:t>Topp</w:t>
      </w:r>
      <w:proofErr w:type="spellEnd"/>
      <w:r w:rsidRPr="00E65865">
        <w:rPr>
          <w:rFonts w:eastAsia="Calibri"/>
        </w:rPr>
        <w:t>, L., Wand, H.</w:t>
      </w:r>
      <w:r w:rsidR="001147E6" w:rsidRPr="00E65865">
        <w:rPr>
          <w:rFonts w:eastAsia="Calibri"/>
        </w:rPr>
        <w:t>,</w:t>
      </w:r>
      <w:r w:rsidRPr="00E65865">
        <w:rPr>
          <w:rFonts w:eastAsia="Calibri"/>
        </w:rPr>
        <w:t xml:space="preserve"> &amp; Maher, L. (2013). Are people who inject performance and image-enhancing drugs an increasing population of needle and syringe program attendees? </w:t>
      </w:r>
      <w:r w:rsidRPr="00E65865">
        <w:rPr>
          <w:rFonts w:eastAsia="Calibri"/>
          <w:i/>
          <w:iCs/>
        </w:rPr>
        <w:t>Drug and Alcohol Review, 32</w:t>
      </w:r>
      <w:r w:rsidRPr="00E65865">
        <w:rPr>
          <w:rFonts w:eastAsia="Calibri"/>
        </w:rPr>
        <w:t xml:space="preserve">(2), 205-207. </w:t>
      </w:r>
    </w:p>
    <w:p w14:paraId="1E05091B" w14:textId="77777777" w:rsidR="00FE4AAF" w:rsidRPr="00E65865" w:rsidRDefault="00FE4AAF" w:rsidP="00202BB9">
      <w:pPr>
        <w:spacing w:line="360" w:lineRule="auto"/>
        <w:ind w:left="567" w:hanging="567"/>
      </w:pPr>
      <w:proofErr w:type="spellStart"/>
      <w:r w:rsidRPr="00E65865">
        <w:t>Karkazis</w:t>
      </w:r>
      <w:proofErr w:type="spellEnd"/>
      <w:r w:rsidRPr="00E65865">
        <w:t xml:space="preserve">, K. (2018). The masculine mystique of T. </w:t>
      </w:r>
      <w:r w:rsidRPr="00E65865">
        <w:rPr>
          <w:i/>
        </w:rPr>
        <w:t xml:space="preserve">The New York Review of Books. </w:t>
      </w:r>
      <w:r w:rsidRPr="00E65865">
        <w:t>28/06/18.</w:t>
      </w:r>
    </w:p>
    <w:p w14:paraId="423B0974" w14:textId="77777777" w:rsidR="00FE4AAF" w:rsidRPr="00E65865" w:rsidRDefault="00FE4AAF" w:rsidP="00704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t>Keane, H. (2005). Diagnosing the male steroid user: Drug use, body image and disordered masculinity. </w:t>
      </w:r>
      <w:r w:rsidRPr="00E65865">
        <w:rPr>
          <w:rFonts w:eastAsia="Calibri"/>
          <w:i/>
          <w:iCs/>
        </w:rPr>
        <w:t>Health</w:t>
      </w:r>
      <w:r w:rsidRPr="00E65865">
        <w:rPr>
          <w:rFonts w:eastAsia="Calibri"/>
        </w:rPr>
        <w:t>, </w:t>
      </w:r>
      <w:r w:rsidRPr="00E65865">
        <w:rPr>
          <w:rFonts w:eastAsia="Calibri"/>
          <w:i/>
          <w:iCs/>
        </w:rPr>
        <w:t>9</w:t>
      </w:r>
      <w:r w:rsidRPr="00E65865">
        <w:rPr>
          <w:rFonts w:eastAsia="Calibri"/>
        </w:rPr>
        <w:t>(2), 189-208.</w:t>
      </w:r>
    </w:p>
    <w:p w14:paraId="6DE68D44" w14:textId="77777777" w:rsidR="00FE4AAF" w:rsidRPr="00E65865" w:rsidRDefault="00FE4AAF" w:rsidP="00055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bookmarkStart w:id="1" w:name="_Hlk17886646"/>
      <w:proofErr w:type="spellStart"/>
      <w:r w:rsidRPr="00E65865">
        <w:rPr>
          <w:rFonts w:eastAsia="Calibri"/>
        </w:rPr>
        <w:t>Kimergård</w:t>
      </w:r>
      <w:proofErr w:type="spellEnd"/>
      <w:r w:rsidRPr="00E65865">
        <w:rPr>
          <w:rFonts w:eastAsia="Calibri"/>
        </w:rPr>
        <w:t xml:space="preserve">, A. (2015). </w:t>
      </w:r>
      <w:bookmarkEnd w:id="1"/>
      <w:r w:rsidRPr="00E65865">
        <w:rPr>
          <w:rFonts w:eastAsia="Calibri"/>
        </w:rPr>
        <w:t xml:space="preserve">A qualitative study of anabolic steroid use amongst gym users in the United Kingdom: motives, beliefs and experiences. </w:t>
      </w:r>
      <w:r w:rsidRPr="00E65865">
        <w:rPr>
          <w:rFonts w:eastAsia="Calibri"/>
          <w:i/>
          <w:iCs/>
        </w:rPr>
        <w:t>Journal of Substance Use, 20</w:t>
      </w:r>
      <w:r w:rsidRPr="00E65865">
        <w:rPr>
          <w:rFonts w:eastAsia="Calibri"/>
        </w:rPr>
        <w:t xml:space="preserve">(4), 288-294. </w:t>
      </w:r>
    </w:p>
    <w:p w14:paraId="40C659A5" w14:textId="53D57423" w:rsidR="00FE4AAF" w:rsidRPr="00E65865" w:rsidRDefault="00FE4AAF" w:rsidP="00D06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proofErr w:type="spellStart"/>
      <w:r w:rsidRPr="00E65865">
        <w:rPr>
          <w:rFonts w:eastAsia="Calibri"/>
        </w:rPr>
        <w:t>Kimergård</w:t>
      </w:r>
      <w:proofErr w:type="spellEnd"/>
      <w:r w:rsidRPr="00E65865">
        <w:rPr>
          <w:rFonts w:eastAsia="Calibri"/>
        </w:rPr>
        <w:t>, A.</w:t>
      </w:r>
      <w:r w:rsidR="001147E6" w:rsidRPr="00E65865">
        <w:rPr>
          <w:rFonts w:eastAsia="Calibri"/>
        </w:rPr>
        <w:t>,</w:t>
      </w:r>
      <w:r w:rsidRPr="00E65865">
        <w:rPr>
          <w:rFonts w:eastAsia="Calibri"/>
        </w:rPr>
        <w:t xml:space="preserve"> &amp; McVeigh, J. (2014). Environments, risk and health harms: A qualitative investigation into the illicit use of anabolic steroids among people using harm reduction services in the UK. </w:t>
      </w:r>
      <w:r w:rsidR="007D56F6" w:rsidRPr="00E65865">
        <w:rPr>
          <w:rFonts w:eastAsia="Calibri"/>
          <w:i/>
          <w:iCs/>
        </w:rPr>
        <w:t>BMJ</w:t>
      </w:r>
      <w:r w:rsidRPr="00E65865">
        <w:rPr>
          <w:rFonts w:eastAsia="Calibri"/>
          <w:i/>
          <w:iCs/>
        </w:rPr>
        <w:t xml:space="preserve"> </w:t>
      </w:r>
      <w:r w:rsidR="007D56F6" w:rsidRPr="00E65865">
        <w:rPr>
          <w:rFonts w:eastAsia="Calibri"/>
          <w:i/>
          <w:iCs/>
        </w:rPr>
        <w:t>O</w:t>
      </w:r>
      <w:r w:rsidRPr="00E65865">
        <w:rPr>
          <w:rFonts w:eastAsia="Calibri"/>
          <w:i/>
          <w:iCs/>
        </w:rPr>
        <w:t>pen</w:t>
      </w:r>
      <w:r w:rsidRPr="00E65865">
        <w:rPr>
          <w:rFonts w:eastAsia="Calibri"/>
        </w:rPr>
        <w:t>, </w:t>
      </w:r>
      <w:r w:rsidRPr="00E65865">
        <w:rPr>
          <w:rFonts w:eastAsia="Calibri"/>
          <w:i/>
          <w:iCs/>
        </w:rPr>
        <w:t>4</w:t>
      </w:r>
      <w:r w:rsidRPr="00E65865">
        <w:rPr>
          <w:rFonts w:eastAsia="Calibri"/>
        </w:rPr>
        <w:t xml:space="preserve">(6), e005275. </w:t>
      </w:r>
    </w:p>
    <w:p w14:paraId="27B67E39" w14:textId="242E3D84" w:rsidR="00D75359" w:rsidRPr="00E65865" w:rsidRDefault="00FE4AAF" w:rsidP="00552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proofErr w:type="spellStart"/>
      <w:r w:rsidRPr="00E65865">
        <w:rPr>
          <w:rFonts w:eastAsia="Calibri"/>
        </w:rPr>
        <w:t>Larance</w:t>
      </w:r>
      <w:proofErr w:type="spellEnd"/>
      <w:r w:rsidRPr="00E65865">
        <w:rPr>
          <w:rFonts w:eastAsia="Calibri"/>
        </w:rPr>
        <w:t>, B., Degenhardt, L., Copeland, J.</w:t>
      </w:r>
      <w:r w:rsidR="001147E6" w:rsidRPr="00E65865">
        <w:rPr>
          <w:rFonts w:eastAsia="Calibri"/>
        </w:rPr>
        <w:t>,</w:t>
      </w:r>
      <w:r w:rsidRPr="00E65865">
        <w:rPr>
          <w:rFonts w:eastAsia="Calibri"/>
        </w:rPr>
        <w:t xml:space="preserve"> &amp; Dillan, P. (2008). Injecting risk behaviour and related harm among men who use performance-and image-enhancing drugs. </w:t>
      </w:r>
      <w:r w:rsidRPr="00E65865">
        <w:rPr>
          <w:rFonts w:eastAsia="Calibri"/>
          <w:i/>
          <w:iCs/>
        </w:rPr>
        <w:t>Drug and Alcohol Review</w:t>
      </w:r>
      <w:r w:rsidRPr="00E65865">
        <w:rPr>
          <w:rFonts w:eastAsia="Calibri"/>
        </w:rPr>
        <w:t>, </w:t>
      </w:r>
      <w:r w:rsidRPr="00E65865">
        <w:rPr>
          <w:rFonts w:eastAsia="Calibri"/>
          <w:i/>
          <w:iCs/>
        </w:rPr>
        <w:t>27</w:t>
      </w:r>
      <w:r w:rsidRPr="00E65865">
        <w:rPr>
          <w:rFonts w:eastAsia="Calibri"/>
        </w:rPr>
        <w:t xml:space="preserve">(6), 679-686. </w:t>
      </w:r>
    </w:p>
    <w:p w14:paraId="1BB780AB" w14:textId="7DF0C9ED" w:rsidR="003E2CFD" w:rsidRPr="00E65865" w:rsidRDefault="003E2CFD" w:rsidP="00E65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E65865">
        <w:t xml:space="preserve">Latham, J. R., Fraser, S., Fomiatti, R., Moore, D., Seear, K., &amp; Aitken, C. (2019). Men’s Performance and Image-Enhancing Drug Use as Self-Transformation: Working Out in Makeover Culture. </w:t>
      </w:r>
      <w:r w:rsidRPr="00E65865">
        <w:rPr>
          <w:i/>
          <w:iCs/>
        </w:rPr>
        <w:t>Australian Feminist Studies</w:t>
      </w:r>
      <w:r w:rsidRPr="00E65865">
        <w:t xml:space="preserve">, </w:t>
      </w:r>
      <w:r w:rsidRPr="00E65865">
        <w:rPr>
          <w:i/>
          <w:iCs/>
        </w:rPr>
        <w:t>34</w:t>
      </w:r>
      <w:r w:rsidRPr="00E65865">
        <w:t>(100), 149-164.</w:t>
      </w:r>
    </w:p>
    <w:p w14:paraId="3B230459" w14:textId="023D7958" w:rsidR="00B37625" w:rsidRPr="00E65865" w:rsidRDefault="00993AEB" w:rsidP="00E65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 xml:space="preserve">Latham, J. R. (2016). Trans men's sexual narrative-practices: Introducing STS to trans and sexuality studies. </w:t>
      </w:r>
      <w:r w:rsidRPr="00E65865">
        <w:rPr>
          <w:i/>
        </w:rPr>
        <w:t>Sexualities</w:t>
      </w:r>
      <w:r w:rsidRPr="00E65865">
        <w:t xml:space="preserve">, </w:t>
      </w:r>
      <w:r w:rsidRPr="00E65865">
        <w:rPr>
          <w:i/>
        </w:rPr>
        <w:t>19</w:t>
      </w:r>
      <w:r w:rsidRPr="00E65865">
        <w:t>(3), 347-368.</w:t>
      </w:r>
    </w:p>
    <w:p w14:paraId="1D1558D4" w14:textId="1938252A" w:rsidR="00FE4AAF" w:rsidRPr="00E65865" w:rsidRDefault="00FE4AAF" w:rsidP="00055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Law, J. (2004). </w:t>
      </w:r>
      <w:r w:rsidRPr="00E65865">
        <w:rPr>
          <w:i/>
          <w:iCs/>
        </w:rPr>
        <w:t>After method: Mess in social science research</w:t>
      </w:r>
      <w:r w:rsidRPr="00E65865">
        <w:t>.</w:t>
      </w:r>
      <w:r w:rsidR="00B37625" w:rsidRPr="00E65865">
        <w:t xml:space="preserve"> New York:</w:t>
      </w:r>
      <w:r w:rsidRPr="00E65865">
        <w:t xml:space="preserve"> Routledge.</w:t>
      </w:r>
    </w:p>
    <w:p w14:paraId="125DF0EA" w14:textId="09CF2735" w:rsidR="00993AEB" w:rsidRPr="00E65865" w:rsidRDefault="00993AEB" w:rsidP="00993A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proofErr w:type="spellStart"/>
      <w:r w:rsidRPr="00E65865">
        <w:rPr>
          <w:rFonts w:eastAsia="Calibri"/>
        </w:rPr>
        <w:t>Lenskyj</w:t>
      </w:r>
      <w:proofErr w:type="spellEnd"/>
      <w:r w:rsidRPr="00E65865">
        <w:rPr>
          <w:rFonts w:eastAsia="Calibri"/>
        </w:rPr>
        <w:t xml:space="preserve">, H. J. (2018). </w:t>
      </w:r>
      <w:r w:rsidRPr="00E65865">
        <w:rPr>
          <w:rFonts w:eastAsia="Calibri"/>
          <w:i/>
        </w:rPr>
        <w:t>Gender, Athletes’ Rights, and the Court of Arbitration for Sport.</w:t>
      </w:r>
      <w:r w:rsidRPr="00E65865">
        <w:rPr>
          <w:rFonts w:eastAsia="Calibri"/>
        </w:rPr>
        <w:t xml:space="preserve"> </w:t>
      </w:r>
      <w:r w:rsidR="00FB0B6F" w:rsidRPr="00E65865">
        <w:rPr>
          <w:rFonts w:eastAsia="Calibri"/>
        </w:rPr>
        <w:t xml:space="preserve">Bingley, UK: </w:t>
      </w:r>
      <w:r w:rsidRPr="00E65865">
        <w:rPr>
          <w:rFonts w:eastAsia="Calibri"/>
        </w:rPr>
        <w:t>Emerald Publishing Limited.</w:t>
      </w:r>
    </w:p>
    <w:p w14:paraId="56FD8432" w14:textId="77777777" w:rsidR="00FE4AAF" w:rsidRPr="00E65865" w:rsidRDefault="00FE4AAF" w:rsidP="00D06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Martin, E. (1991). The egg and the sperm: How science has constructed a romance based on stereotypical male-female roles. </w:t>
      </w:r>
      <w:r w:rsidRPr="00E65865">
        <w:rPr>
          <w:i/>
          <w:iCs/>
        </w:rPr>
        <w:t>Signs: Journal of Women in Culture and Society</w:t>
      </w:r>
      <w:r w:rsidRPr="00E65865">
        <w:t>, </w:t>
      </w:r>
      <w:r w:rsidRPr="00E65865">
        <w:rPr>
          <w:i/>
          <w:iCs/>
        </w:rPr>
        <w:t>16</w:t>
      </w:r>
      <w:r w:rsidRPr="00E65865">
        <w:t>(3), 485-501.</w:t>
      </w:r>
    </w:p>
    <w:p w14:paraId="56C5616E" w14:textId="32814484" w:rsidR="00FE4AAF" w:rsidRPr="00E65865" w:rsidRDefault="00FE4AAF" w:rsidP="00552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proofErr w:type="spellStart"/>
      <w:r w:rsidRPr="00E65865">
        <w:rPr>
          <w:rFonts w:eastAsia="Calibri"/>
        </w:rPr>
        <w:t>Memedovic</w:t>
      </w:r>
      <w:proofErr w:type="spellEnd"/>
      <w:r w:rsidRPr="00E65865">
        <w:rPr>
          <w:rFonts w:eastAsia="Calibri"/>
        </w:rPr>
        <w:t>, S., Iversen, J., Geddes, L.</w:t>
      </w:r>
      <w:r w:rsidR="001147E6" w:rsidRPr="00E65865">
        <w:rPr>
          <w:rFonts w:eastAsia="Calibri"/>
        </w:rPr>
        <w:t>,</w:t>
      </w:r>
      <w:r w:rsidRPr="00E65865">
        <w:rPr>
          <w:rFonts w:eastAsia="Calibri"/>
        </w:rPr>
        <w:t xml:space="preserve"> &amp; Maher, L. (2017). </w:t>
      </w:r>
      <w:r w:rsidRPr="00E65865">
        <w:rPr>
          <w:rFonts w:eastAsia="Calibri"/>
          <w:i/>
        </w:rPr>
        <w:t xml:space="preserve">Australian needle syringe program survey national data report 2011-2015: Prevalence of HIV, HCV and </w:t>
      </w:r>
      <w:r w:rsidRPr="00E65865">
        <w:rPr>
          <w:rFonts w:eastAsia="Calibri"/>
          <w:i/>
        </w:rPr>
        <w:lastRenderedPageBreak/>
        <w:t>injecting and sexual behaviour among NSP attendees</w:t>
      </w:r>
      <w:r w:rsidRPr="00E65865">
        <w:rPr>
          <w:rFonts w:eastAsia="Calibri"/>
        </w:rPr>
        <w:t>. </w:t>
      </w:r>
      <w:r w:rsidRPr="00E65865">
        <w:rPr>
          <w:rFonts w:eastAsia="Calibri"/>
          <w:iCs/>
        </w:rPr>
        <w:t>Kirby Institute, UNSW</w:t>
      </w:r>
      <w:r w:rsidR="00FB0B6F" w:rsidRPr="00E65865">
        <w:rPr>
          <w:rFonts w:eastAsia="Calibri"/>
          <w:iCs/>
        </w:rPr>
        <w:t>,</w:t>
      </w:r>
      <w:r w:rsidRPr="00E65865">
        <w:rPr>
          <w:rFonts w:eastAsia="Calibri"/>
          <w:iCs/>
        </w:rPr>
        <w:t xml:space="preserve"> Australia: Sydney</w:t>
      </w:r>
      <w:r w:rsidRPr="00E65865">
        <w:rPr>
          <w:rFonts w:eastAsia="Calibri"/>
        </w:rPr>
        <w:t>.</w:t>
      </w:r>
    </w:p>
    <w:p w14:paraId="0C434364" w14:textId="77777777" w:rsidR="00FE4AAF" w:rsidRPr="00E65865" w:rsidRDefault="00FE4AAF" w:rsidP="002A6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Mol, A. (1999). Ontological politics. A word and some questions. </w:t>
      </w:r>
      <w:r w:rsidRPr="00E65865">
        <w:rPr>
          <w:i/>
          <w:iCs/>
        </w:rPr>
        <w:t>The Sociological Review</w:t>
      </w:r>
      <w:r w:rsidRPr="00E65865">
        <w:t>, </w:t>
      </w:r>
      <w:r w:rsidRPr="00E65865">
        <w:rPr>
          <w:i/>
          <w:iCs/>
        </w:rPr>
        <w:t>47</w:t>
      </w:r>
      <w:r w:rsidRPr="00E65865">
        <w:t>, 74-89.</w:t>
      </w:r>
    </w:p>
    <w:p w14:paraId="0B7D19B0" w14:textId="7E08F3C6" w:rsidR="00FE4AAF" w:rsidRPr="00E65865" w:rsidRDefault="00FE4AAF" w:rsidP="00D14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Mol, A. (2002). </w:t>
      </w:r>
      <w:r w:rsidRPr="00E65865">
        <w:rPr>
          <w:i/>
          <w:iCs/>
        </w:rPr>
        <w:t>The body multiple</w:t>
      </w:r>
      <w:r w:rsidRPr="00E65865">
        <w:t xml:space="preserve">. </w:t>
      </w:r>
      <w:r w:rsidR="00FB0B6F" w:rsidRPr="00E65865">
        <w:t xml:space="preserve">Durham: </w:t>
      </w:r>
      <w:r w:rsidRPr="00E65865">
        <w:t>Duke University Press.</w:t>
      </w:r>
    </w:p>
    <w:p w14:paraId="594F3DEB" w14:textId="77777777" w:rsidR="00FE4AAF" w:rsidRPr="00E65865" w:rsidRDefault="00FE4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t>Monaghan, L. (2001). Looking good, feeling good: The embodied pleasures of vibrant physicality. </w:t>
      </w:r>
      <w:r w:rsidRPr="00E65865">
        <w:rPr>
          <w:rFonts w:eastAsia="Calibri"/>
          <w:i/>
          <w:iCs/>
        </w:rPr>
        <w:t>Sociology of Health &amp; Illness</w:t>
      </w:r>
      <w:r w:rsidRPr="00E65865">
        <w:rPr>
          <w:rFonts w:eastAsia="Calibri"/>
        </w:rPr>
        <w:t>, </w:t>
      </w:r>
      <w:r w:rsidRPr="00E65865">
        <w:rPr>
          <w:rFonts w:eastAsia="Calibri"/>
          <w:iCs/>
        </w:rPr>
        <w:t>23</w:t>
      </w:r>
      <w:r w:rsidRPr="00E65865">
        <w:rPr>
          <w:rFonts w:eastAsia="Calibri"/>
        </w:rPr>
        <w:t>(3), 330-356.</w:t>
      </w:r>
    </w:p>
    <w:p w14:paraId="2F22F293" w14:textId="47518E79" w:rsidR="00C25D37" w:rsidRPr="00E65865" w:rsidRDefault="00FE4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t>Monaghan, L. (2002). </w:t>
      </w:r>
      <w:r w:rsidRPr="00E65865">
        <w:rPr>
          <w:rFonts w:eastAsia="Calibri"/>
          <w:i/>
          <w:iCs/>
        </w:rPr>
        <w:t>Bodybuilding, drugs and risk</w:t>
      </w:r>
      <w:r w:rsidRPr="00E65865">
        <w:rPr>
          <w:rFonts w:eastAsia="Calibri"/>
        </w:rPr>
        <w:t>. London</w:t>
      </w:r>
      <w:r w:rsidR="00FB0B6F" w:rsidRPr="00E65865">
        <w:rPr>
          <w:rFonts w:eastAsia="Calibri"/>
        </w:rPr>
        <w:t xml:space="preserve">: Routledge. </w:t>
      </w:r>
    </w:p>
    <w:p w14:paraId="251AC5BA" w14:textId="1ED39A0A" w:rsidR="00FB0B6F" w:rsidRPr="00E65865" w:rsidRDefault="00FE4AAF" w:rsidP="006D5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Moore, D., Hart, A., Fraser, S., &amp; Seear, K. (2019). Masculinities, practices and meanings: A critical analysis of recent literature on the use of performance-and image-enhancing drugs among men. </w:t>
      </w:r>
      <w:r w:rsidRPr="00E65865">
        <w:rPr>
          <w:i/>
          <w:iCs/>
        </w:rPr>
        <w:t>Health</w:t>
      </w:r>
      <w:r w:rsidRPr="00E65865">
        <w:t>, 1363459319838595.</w:t>
      </w:r>
    </w:p>
    <w:p w14:paraId="03C86625" w14:textId="0353F4D7" w:rsidR="00FE4AAF" w:rsidRPr="00E65865" w:rsidRDefault="00FE4AAF" w:rsidP="00202BB9">
      <w:pPr>
        <w:spacing w:line="360" w:lineRule="auto"/>
        <w:ind w:left="567" w:hanging="567"/>
      </w:pPr>
      <w:proofErr w:type="spellStart"/>
      <w:r w:rsidRPr="00E65865">
        <w:t>Oudshoorn</w:t>
      </w:r>
      <w:proofErr w:type="spellEnd"/>
      <w:r w:rsidRPr="00E65865">
        <w:t>, N.</w:t>
      </w:r>
      <w:r w:rsidR="00FB0B6F" w:rsidRPr="00E65865">
        <w:t xml:space="preserve"> (2003).</w:t>
      </w:r>
      <w:r w:rsidRPr="00E65865">
        <w:t> </w:t>
      </w:r>
      <w:r w:rsidRPr="00E65865">
        <w:rPr>
          <w:i/>
          <w:iCs/>
        </w:rPr>
        <w:t>Beyond the natural body: An archaeology of sex hormones</w:t>
      </w:r>
      <w:r w:rsidRPr="00E65865">
        <w:t>.</w:t>
      </w:r>
      <w:r w:rsidR="00FB0B6F" w:rsidRPr="00E65865">
        <w:t xml:space="preserve"> New York, NY:</w:t>
      </w:r>
      <w:r w:rsidRPr="00E65865">
        <w:t xml:space="preserve"> Routledge</w:t>
      </w:r>
      <w:r w:rsidR="00FB0B6F" w:rsidRPr="00E65865">
        <w:t>.</w:t>
      </w:r>
    </w:p>
    <w:p w14:paraId="28B986EE" w14:textId="46E47E93" w:rsidR="00FE4AAF" w:rsidRPr="00E65865" w:rsidRDefault="00FE4AAF" w:rsidP="00202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Preciado, P. B. (2013). </w:t>
      </w:r>
      <w:proofErr w:type="spellStart"/>
      <w:r w:rsidRPr="00E65865">
        <w:rPr>
          <w:i/>
          <w:iCs/>
        </w:rPr>
        <w:t>Testo</w:t>
      </w:r>
      <w:proofErr w:type="spellEnd"/>
      <w:r w:rsidRPr="00E65865">
        <w:rPr>
          <w:i/>
          <w:iCs/>
        </w:rPr>
        <w:t xml:space="preserve"> junkie: Sex, drugs, and biopolitics in the</w:t>
      </w:r>
      <w:r w:rsidR="00FB0B6F" w:rsidRPr="00E65865">
        <w:rPr>
          <w:i/>
          <w:iCs/>
        </w:rPr>
        <w:t xml:space="preserve"> </w:t>
      </w:r>
      <w:proofErr w:type="spellStart"/>
      <w:r w:rsidRPr="00E65865">
        <w:rPr>
          <w:i/>
          <w:iCs/>
        </w:rPr>
        <w:t>pharmacopornographic</w:t>
      </w:r>
      <w:proofErr w:type="spellEnd"/>
      <w:r w:rsidRPr="00E65865">
        <w:rPr>
          <w:i/>
          <w:iCs/>
        </w:rPr>
        <w:t xml:space="preserve"> era</w:t>
      </w:r>
      <w:r w:rsidRPr="00E65865">
        <w:t xml:space="preserve">. </w:t>
      </w:r>
      <w:r w:rsidR="00FB0B6F" w:rsidRPr="00E65865">
        <w:t xml:space="preserve">New York, NY: </w:t>
      </w:r>
      <w:r w:rsidRPr="00E65865">
        <w:t>The Feminist Press at C</w:t>
      </w:r>
      <w:r w:rsidR="00FB0B6F" w:rsidRPr="00E65865">
        <w:t xml:space="preserve">ity </w:t>
      </w:r>
      <w:r w:rsidRPr="00E65865">
        <w:t>U</w:t>
      </w:r>
      <w:r w:rsidR="00FB0B6F" w:rsidRPr="00E65865">
        <w:t xml:space="preserve">niversity of </w:t>
      </w:r>
      <w:r w:rsidRPr="00E65865">
        <w:t>N</w:t>
      </w:r>
      <w:r w:rsidR="00FB0B6F" w:rsidRPr="00E65865">
        <w:t xml:space="preserve">ew </w:t>
      </w:r>
      <w:r w:rsidRPr="00E65865">
        <w:t>Y</w:t>
      </w:r>
      <w:r w:rsidR="00FB0B6F" w:rsidRPr="00E65865">
        <w:t>ork</w:t>
      </w:r>
      <w:r w:rsidRPr="00E65865">
        <w:t>.</w:t>
      </w:r>
    </w:p>
    <w:p w14:paraId="35036FE8" w14:textId="3246ACF3" w:rsidR="00EB6902" w:rsidRPr="00E65865" w:rsidRDefault="00FE4AAF" w:rsidP="00202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Roberts, C. (2007). </w:t>
      </w:r>
      <w:r w:rsidRPr="00E65865">
        <w:rPr>
          <w:i/>
          <w:iCs/>
        </w:rPr>
        <w:t>Messengers of sex: Hormones, biomedicine and feminism</w:t>
      </w:r>
      <w:r w:rsidRPr="00E65865">
        <w:t xml:space="preserve">. </w:t>
      </w:r>
      <w:r w:rsidR="00FB0B6F" w:rsidRPr="00E65865">
        <w:t xml:space="preserve">Cambridge and New York: </w:t>
      </w:r>
      <w:r w:rsidRPr="00E65865">
        <w:t>Cambridge University Press.</w:t>
      </w:r>
    </w:p>
    <w:p w14:paraId="15EC3F11" w14:textId="3F2A9157" w:rsidR="00FE4AAF" w:rsidRPr="00E65865" w:rsidRDefault="00FE4AAF" w:rsidP="00202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t>Rowe, R., Berger, I., Yaseen, B.</w:t>
      </w:r>
      <w:r w:rsidR="001147E6" w:rsidRPr="00E65865">
        <w:rPr>
          <w:rFonts w:eastAsia="Calibri"/>
        </w:rPr>
        <w:t>,</w:t>
      </w:r>
      <w:r w:rsidRPr="00E65865">
        <w:rPr>
          <w:rFonts w:eastAsia="Calibri"/>
        </w:rPr>
        <w:t xml:space="preserve"> &amp; Copeland, J. (2017). Risk and blood‐borne virus testing among men who inject image and performance enhancing drugs, Sydney, Australia. </w:t>
      </w:r>
      <w:r w:rsidRPr="00E65865">
        <w:rPr>
          <w:rFonts w:eastAsia="Calibri"/>
          <w:i/>
          <w:iCs/>
        </w:rPr>
        <w:t>Drug and Alcohol Review</w:t>
      </w:r>
      <w:r w:rsidRPr="00E65865">
        <w:rPr>
          <w:rFonts w:eastAsia="Calibri"/>
        </w:rPr>
        <w:t>, </w:t>
      </w:r>
      <w:r w:rsidRPr="00E65865">
        <w:rPr>
          <w:rFonts w:eastAsia="Calibri"/>
          <w:i/>
          <w:iCs/>
        </w:rPr>
        <w:t>36</w:t>
      </w:r>
      <w:r w:rsidRPr="00E65865">
        <w:rPr>
          <w:rFonts w:eastAsia="Calibri"/>
        </w:rPr>
        <w:t>(5), 658-666.</w:t>
      </w:r>
    </w:p>
    <w:p w14:paraId="233C3D07" w14:textId="230ECF3F" w:rsidR="00FE4AAF" w:rsidRPr="00E65865" w:rsidRDefault="00FE4AAF" w:rsidP="00704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t>Santos, GH.</w:t>
      </w:r>
      <w:r w:rsidR="001147E6" w:rsidRPr="00E65865">
        <w:rPr>
          <w:rFonts w:eastAsia="Calibri"/>
        </w:rPr>
        <w:t>,</w:t>
      </w:r>
      <w:r w:rsidRPr="00E65865">
        <w:rPr>
          <w:rFonts w:eastAsia="Calibri"/>
        </w:rPr>
        <w:t xml:space="preserve"> &amp; </w:t>
      </w:r>
      <w:proofErr w:type="spellStart"/>
      <w:r w:rsidRPr="00E65865">
        <w:rPr>
          <w:rFonts w:eastAsia="Calibri"/>
        </w:rPr>
        <w:t>Coomber</w:t>
      </w:r>
      <w:proofErr w:type="spellEnd"/>
      <w:r w:rsidRPr="00E65865">
        <w:rPr>
          <w:rFonts w:eastAsia="Calibri"/>
        </w:rPr>
        <w:t>, R. (2017). The risk environment of anabolic–androgenic steroid users in the UK: Examining motivations, practices and accounts of use. </w:t>
      </w:r>
      <w:r w:rsidRPr="00E65865">
        <w:rPr>
          <w:rFonts w:eastAsia="Calibri"/>
          <w:i/>
          <w:iCs/>
        </w:rPr>
        <w:t>International Journal of Drug Policy</w:t>
      </w:r>
      <w:r w:rsidRPr="00E65865">
        <w:rPr>
          <w:rFonts w:eastAsia="Calibri"/>
        </w:rPr>
        <w:t>, </w:t>
      </w:r>
      <w:r w:rsidRPr="00E65865">
        <w:rPr>
          <w:rFonts w:eastAsia="Calibri"/>
          <w:iCs/>
        </w:rPr>
        <w:t>40</w:t>
      </w:r>
      <w:r w:rsidRPr="00E65865">
        <w:rPr>
          <w:rFonts w:eastAsia="Calibri"/>
        </w:rPr>
        <w:t>, 35-43.</w:t>
      </w:r>
    </w:p>
    <w:p w14:paraId="331EBA17" w14:textId="7E057BAE" w:rsidR="00D75359" w:rsidRPr="00E65865" w:rsidRDefault="00D75359" w:rsidP="00704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t xml:space="preserve">Savic, M., &amp; Fomiatti, R. (2016). Producing </w:t>
      </w:r>
      <w:r w:rsidR="00781F9F" w:rsidRPr="00E65865">
        <w:t>‘</w:t>
      </w:r>
      <w:r w:rsidRPr="00E65865">
        <w:t>progress</w:t>
      </w:r>
      <w:r w:rsidR="00781F9F" w:rsidRPr="00E65865">
        <w:t>’</w:t>
      </w:r>
      <w:r w:rsidRPr="00E65865">
        <w:t xml:space="preserve"> through the implementation of outcome monitoring in alcohol and </w:t>
      </w:r>
      <w:proofErr w:type="gramStart"/>
      <w:r w:rsidRPr="00E65865">
        <w:t>other</w:t>
      </w:r>
      <w:proofErr w:type="gramEnd"/>
      <w:r w:rsidRPr="00E65865">
        <w:t xml:space="preserve"> drug treatment. </w:t>
      </w:r>
      <w:r w:rsidRPr="00E65865">
        <w:rPr>
          <w:i/>
          <w:iCs/>
        </w:rPr>
        <w:t>Contemporary Drug Problems</w:t>
      </w:r>
      <w:r w:rsidRPr="00E65865">
        <w:t>, </w:t>
      </w:r>
      <w:r w:rsidRPr="00E65865">
        <w:rPr>
          <w:i/>
          <w:iCs/>
        </w:rPr>
        <w:t>43</w:t>
      </w:r>
      <w:r w:rsidRPr="00E65865">
        <w:t>(2), 169-187.</w:t>
      </w:r>
    </w:p>
    <w:p w14:paraId="58FE04D1" w14:textId="77777777" w:rsidR="00FE4AAF" w:rsidRPr="00E65865" w:rsidRDefault="00FE4AAF" w:rsidP="00055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lastRenderedPageBreak/>
        <w:t xml:space="preserve">Sedgwick, E. (1993). Epidemics of the will. In E. Sedgwick, </w:t>
      </w:r>
      <w:r w:rsidRPr="00E65865">
        <w:rPr>
          <w:rFonts w:eastAsia="Calibri"/>
          <w:i/>
        </w:rPr>
        <w:t>Tendencies</w:t>
      </w:r>
      <w:r w:rsidRPr="00E65865">
        <w:rPr>
          <w:rFonts w:eastAsia="Calibri"/>
        </w:rPr>
        <w:t xml:space="preserve"> (pp. 130–142). Durham: Duke University Press.</w:t>
      </w:r>
    </w:p>
    <w:p w14:paraId="240BA683" w14:textId="111B09DD" w:rsidR="00FE4AAF" w:rsidRPr="00E65865" w:rsidRDefault="00FE4AAF" w:rsidP="00D06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t xml:space="preserve">Seear, K. </w:t>
      </w:r>
      <w:r w:rsidR="001147E6" w:rsidRPr="00E65865">
        <w:t>(</w:t>
      </w:r>
      <w:r w:rsidRPr="00E65865">
        <w:t>2013</w:t>
      </w:r>
      <w:r w:rsidR="001147E6" w:rsidRPr="00E65865">
        <w:t>)</w:t>
      </w:r>
      <w:r w:rsidRPr="00E65865">
        <w:t xml:space="preserve">. What do we really know about Doping ‘Effects’? An </w:t>
      </w:r>
      <w:r w:rsidR="00781F9F" w:rsidRPr="00E65865">
        <w:t>a</w:t>
      </w:r>
      <w:r w:rsidRPr="00E65865">
        <w:t xml:space="preserve">rgument for </w:t>
      </w:r>
      <w:r w:rsidR="00781F9F" w:rsidRPr="00E65865">
        <w:t>d</w:t>
      </w:r>
      <w:r w:rsidRPr="00E65865">
        <w:t xml:space="preserve">oping </w:t>
      </w:r>
      <w:r w:rsidR="00781F9F" w:rsidRPr="00E65865">
        <w:t>e</w:t>
      </w:r>
      <w:r w:rsidRPr="00E65865">
        <w:t xml:space="preserve">ffects as </w:t>
      </w:r>
      <w:r w:rsidR="00781F9F" w:rsidRPr="00E65865">
        <w:t>c</w:t>
      </w:r>
      <w:r w:rsidRPr="00E65865">
        <w:t>o-constituted ‘</w:t>
      </w:r>
      <w:r w:rsidR="00781F9F" w:rsidRPr="00E65865">
        <w:t>p</w:t>
      </w:r>
      <w:r w:rsidRPr="00E65865">
        <w:t xml:space="preserve">henomena’. </w:t>
      </w:r>
      <w:r w:rsidRPr="00E65865">
        <w:rPr>
          <w:i/>
        </w:rPr>
        <w:t>Performance Enhancement &amp; Health</w:t>
      </w:r>
      <w:r w:rsidR="006B6C32" w:rsidRPr="00E65865">
        <w:rPr>
          <w:i/>
        </w:rPr>
        <w:t>, 2</w:t>
      </w:r>
      <w:r w:rsidR="006B6C32" w:rsidRPr="00E65865">
        <w:t>(4),</w:t>
      </w:r>
      <w:r w:rsidRPr="00E65865">
        <w:t xml:space="preserve"> 201-209.</w:t>
      </w:r>
    </w:p>
    <w:p w14:paraId="6DFFA83C" w14:textId="3AE94BD4" w:rsidR="00FE4AAF" w:rsidRPr="00E65865" w:rsidRDefault="00FE4AAF" w:rsidP="00552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t>Seear, K., Fraser, S., Moore, D.</w:t>
      </w:r>
      <w:r w:rsidR="001147E6" w:rsidRPr="00E65865">
        <w:rPr>
          <w:rFonts w:eastAsia="Calibri"/>
        </w:rPr>
        <w:t>,</w:t>
      </w:r>
      <w:r w:rsidRPr="00E65865">
        <w:rPr>
          <w:rFonts w:eastAsia="Calibri"/>
        </w:rPr>
        <w:t xml:space="preserve"> &amp; Murphy, D. (2015). Understanding and responding to anabolic steroid injecting and hepatitis C risk in Australia: A research agenda. </w:t>
      </w:r>
      <w:r w:rsidRPr="00E65865">
        <w:rPr>
          <w:rFonts w:eastAsia="Calibri"/>
          <w:i/>
          <w:iCs/>
        </w:rPr>
        <w:t>Drugs: Education, Prevention and Policy</w:t>
      </w:r>
      <w:r w:rsidRPr="00E65865">
        <w:rPr>
          <w:rFonts w:eastAsia="Calibri"/>
        </w:rPr>
        <w:t>, </w:t>
      </w:r>
      <w:r w:rsidRPr="00E65865">
        <w:rPr>
          <w:rFonts w:eastAsia="Calibri"/>
          <w:i/>
          <w:iCs/>
        </w:rPr>
        <w:t>22</w:t>
      </w:r>
      <w:r w:rsidRPr="00E65865">
        <w:rPr>
          <w:rFonts w:eastAsia="Calibri"/>
        </w:rPr>
        <w:t>(5), 449-455.</w:t>
      </w:r>
    </w:p>
    <w:p w14:paraId="03E5EBEE" w14:textId="6041EFA5" w:rsidR="00FE4AAF" w:rsidRPr="00E65865" w:rsidRDefault="00FE4AAF" w:rsidP="002A6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t>Tanner, C</w:t>
      </w:r>
      <w:r w:rsidR="001147E6" w:rsidRPr="00E65865">
        <w:t>.</w:t>
      </w:r>
      <w:r w:rsidRPr="00E65865">
        <w:t>, Maher,</w:t>
      </w:r>
      <w:r w:rsidR="001147E6" w:rsidRPr="00E65865">
        <w:t xml:space="preserve"> JM.,</w:t>
      </w:r>
      <w:r w:rsidRPr="00E65865">
        <w:t xml:space="preserve"> </w:t>
      </w:r>
      <w:r w:rsidR="001147E6" w:rsidRPr="00E65865">
        <w:t>&amp;</w:t>
      </w:r>
      <w:r w:rsidRPr="00E65865">
        <w:t xml:space="preserve"> Fraser</w:t>
      </w:r>
      <w:r w:rsidR="001147E6" w:rsidRPr="00E65865">
        <w:t>, S.</w:t>
      </w:r>
      <w:r w:rsidRPr="00E65865">
        <w:t xml:space="preserve"> </w:t>
      </w:r>
      <w:r w:rsidR="001147E6" w:rsidRPr="00E65865">
        <w:t>(</w:t>
      </w:r>
      <w:r w:rsidRPr="00E65865">
        <w:t>2013</w:t>
      </w:r>
      <w:r w:rsidR="001147E6" w:rsidRPr="00E65865">
        <w:t>)</w:t>
      </w:r>
      <w:r w:rsidRPr="00E65865">
        <w:t xml:space="preserve">. </w:t>
      </w:r>
      <w:r w:rsidRPr="00E65865">
        <w:rPr>
          <w:i/>
        </w:rPr>
        <w:t>Vanity: 21</w:t>
      </w:r>
      <w:r w:rsidRPr="00E65865">
        <w:rPr>
          <w:i/>
          <w:vertAlign w:val="superscript"/>
        </w:rPr>
        <w:t>st</w:t>
      </w:r>
      <w:r w:rsidRPr="00E65865">
        <w:rPr>
          <w:i/>
        </w:rPr>
        <w:t xml:space="preserve"> Century Selves</w:t>
      </w:r>
      <w:r w:rsidR="001147E6" w:rsidRPr="00E65865">
        <w:t xml:space="preserve">. </w:t>
      </w:r>
      <w:r w:rsidRPr="00E65865">
        <w:t xml:space="preserve">Basingstoke: Palgrave Macmillan. </w:t>
      </w:r>
    </w:p>
    <w:p w14:paraId="2698ACC1" w14:textId="5C936940" w:rsidR="00FE4AAF" w:rsidRPr="00E65865" w:rsidRDefault="00FE4AAF" w:rsidP="00D14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rPr>
          <w:rFonts w:eastAsia="Calibri"/>
        </w:rPr>
        <w:t xml:space="preserve">Underwood, M. (2017). Exploring the social lives of image and performance enhancing drugs: An online ethnography of the </w:t>
      </w:r>
      <w:proofErr w:type="spellStart"/>
      <w:r w:rsidRPr="00E65865">
        <w:rPr>
          <w:rFonts w:eastAsia="Calibri"/>
        </w:rPr>
        <w:t>Zyzz</w:t>
      </w:r>
      <w:proofErr w:type="spellEnd"/>
      <w:r w:rsidRPr="00E65865">
        <w:rPr>
          <w:rFonts w:eastAsia="Calibri"/>
        </w:rPr>
        <w:t xml:space="preserve"> fandom of recreational</w:t>
      </w:r>
      <w:r w:rsidR="00C25D37" w:rsidRPr="00E65865">
        <w:rPr>
          <w:rFonts w:eastAsia="Calibri"/>
        </w:rPr>
        <w:t xml:space="preserve"> </w:t>
      </w:r>
      <w:r w:rsidRPr="00E65865">
        <w:rPr>
          <w:rFonts w:eastAsia="Calibri"/>
        </w:rPr>
        <w:t>bodybuilders. </w:t>
      </w:r>
      <w:r w:rsidRPr="00E65865">
        <w:rPr>
          <w:rFonts w:eastAsia="Calibri"/>
          <w:i/>
          <w:iCs/>
        </w:rPr>
        <w:t>International Journal of Drug Policy</w:t>
      </w:r>
      <w:r w:rsidRPr="00E65865">
        <w:rPr>
          <w:rFonts w:eastAsia="Calibri"/>
        </w:rPr>
        <w:t>, </w:t>
      </w:r>
      <w:r w:rsidRPr="00E65865">
        <w:rPr>
          <w:rFonts w:eastAsia="Calibri"/>
          <w:i/>
          <w:iCs/>
        </w:rPr>
        <w:t>39</w:t>
      </w:r>
      <w:r w:rsidRPr="00E65865">
        <w:rPr>
          <w:rFonts w:eastAsia="Calibri"/>
        </w:rPr>
        <w:t>, 78-85.</w:t>
      </w:r>
    </w:p>
    <w:p w14:paraId="4A2830CB" w14:textId="1E39B410" w:rsidR="00FE4AAF" w:rsidRPr="00E65865" w:rsidRDefault="00FE4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rPr>
      </w:pPr>
      <w:r w:rsidRPr="00E65865">
        <w:t xml:space="preserve">Underwood, M., &amp; Olson, R. (2018). ‘Manly tears exploded from my eyes, lets feel together </w:t>
      </w:r>
      <w:proofErr w:type="spellStart"/>
      <w:r w:rsidRPr="00E65865">
        <w:t>brahs</w:t>
      </w:r>
      <w:proofErr w:type="spellEnd"/>
      <w:r w:rsidRPr="00E65865">
        <w:t>’: Emotion and masculinity within an online body building community. </w:t>
      </w:r>
      <w:r w:rsidRPr="00E65865">
        <w:rPr>
          <w:i/>
          <w:iCs/>
        </w:rPr>
        <w:t>Journal of Sociology</w:t>
      </w:r>
      <w:r w:rsidRPr="00E65865">
        <w:t>,</w:t>
      </w:r>
      <w:r w:rsidR="001147E6" w:rsidRPr="00E65865">
        <w:t xml:space="preserve"> </w:t>
      </w:r>
      <w:r w:rsidR="001147E6" w:rsidRPr="00E65865">
        <w:rPr>
          <w:i/>
        </w:rPr>
        <w:t>55</w:t>
      </w:r>
      <w:r w:rsidR="001147E6" w:rsidRPr="00E65865">
        <w:t xml:space="preserve">(1), 90-107. </w:t>
      </w:r>
      <w:r w:rsidR="001147E6" w:rsidRPr="00E65865" w:rsidDel="001147E6">
        <w:t xml:space="preserve"> </w:t>
      </w:r>
    </w:p>
    <w:p w14:paraId="1C30C07E" w14:textId="26BD8E4D" w:rsidR="00FE4AAF" w:rsidRPr="00E65865" w:rsidRDefault="00FE4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pPr>
      <w:r w:rsidRPr="00E65865">
        <w:t xml:space="preserve">Van Anders, S. M. (2013). Beyond masculinity: testosterone, gender/sex, and human social </w:t>
      </w:r>
      <w:proofErr w:type="spellStart"/>
      <w:r w:rsidRPr="00E65865">
        <w:t>behavior</w:t>
      </w:r>
      <w:proofErr w:type="spellEnd"/>
      <w:r w:rsidRPr="00E65865">
        <w:t xml:space="preserve"> in a comparative context. </w:t>
      </w:r>
      <w:r w:rsidRPr="00E65865">
        <w:rPr>
          <w:i/>
          <w:iCs/>
        </w:rPr>
        <w:t xml:space="preserve">Frontiers in </w:t>
      </w:r>
      <w:r w:rsidR="00D70453" w:rsidRPr="00E65865">
        <w:rPr>
          <w:i/>
          <w:iCs/>
        </w:rPr>
        <w:t>N</w:t>
      </w:r>
      <w:r w:rsidRPr="00E65865">
        <w:rPr>
          <w:i/>
          <w:iCs/>
        </w:rPr>
        <w:t>euroendocrinology</w:t>
      </w:r>
      <w:r w:rsidRPr="00E65865">
        <w:t>, </w:t>
      </w:r>
      <w:r w:rsidRPr="00E65865">
        <w:rPr>
          <w:i/>
          <w:iCs/>
        </w:rPr>
        <w:t>34</w:t>
      </w:r>
      <w:r w:rsidRPr="00E65865">
        <w:t>(3), 198-210.</w:t>
      </w:r>
    </w:p>
    <w:p w14:paraId="054EBBF3" w14:textId="5108D432" w:rsidR="00D75359" w:rsidRPr="00477459" w:rsidRDefault="00D75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hanging="567"/>
        <w:rPr>
          <w:rFonts w:eastAsia="Calibri"/>
          <w:b/>
        </w:rPr>
      </w:pPr>
      <w:r w:rsidRPr="00E65865">
        <w:t>Winter, R., Fraser, S., Booker, N.</w:t>
      </w:r>
      <w:r w:rsidR="001147E6" w:rsidRPr="00E65865">
        <w:t>,</w:t>
      </w:r>
      <w:r w:rsidRPr="00E65865">
        <w:t xml:space="preserve"> &amp; Treloar, C. (2011). Technical review of hepatitis C health promotion resources (Monograph 5/2011). Sydney: National Centre in HIV Social Research, The University of New South Wales.</w:t>
      </w:r>
    </w:p>
    <w:p w14:paraId="085AC268" w14:textId="77777777" w:rsidR="00FE4AAF" w:rsidRPr="00FE4AAF" w:rsidRDefault="00FE4AAF" w:rsidP="00FE4AAF">
      <w:pPr>
        <w:ind w:left="567" w:hanging="567"/>
        <w:rPr>
          <w:rFonts w:eastAsia="Calibri"/>
        </w:rPr>
      </w:pPr>
    </w:p>
    <w:p w14:paraId="1CE0D29F" w14:textId="77777777" w:rsidR="00FE4AAF" w:rsidRPr="00FE4AAF" w:rsidRDefault="00FE4AAF" w:rsidP="00FE4AAF">
      <w:pPr>
        <w:ind w:left="567" w:hanging="567"/>
      </w:pPr>
    </w:p>
    <w:p w14:paraId="5A0E68DB" w14:textId="77777777" w:rsidR="00FE4AAF" w:rsidRPr="00FE4AAF" w:rsidRDefault="00FE4AAF" w:rsidP="00202BB9"/>
    <w:p w14:paraId="56D4404B" w14:textId="77777777" w:rsidR="00950253" w:rsidRDefault="00950253" w:rsidP="00950253">
      <w:pPr>
        <w:spacing w:line="360" w:lineRule="auto"/>
      </w:pPr>
    </w:p>
    <w:p w14:paraId="5DFBA862" w14:textId="77777777" w:rsidR="0097296D" w:rsidRPr="004654C1" w:rsidRDefault="0097296D">
      <w:pPr>
        <w:spacing w:line="360" w:lineRule="auto"/>
      </w:pPr>
    </w:p>
    <w:sectPr w:rsidR="0097296D" w:rsidRPr="004654C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FA49C" w14:textId="77777777" w:rsidR="00575914" w:rsidRDefault="00575914" w:rsidP="00706FDE">
      <w:r>
        <w:separator/>
      </w:r>
    </w:p>
    <w:p w14:paraId="6B8AB699" w14:textId="77777777" w:rsidR="00575914" w:rsidRDefault="00575914"/>
  </w:endnote>
  <w:endnote w:type="continuationSeparator" w:id="0">
    <w:p w14:paraId="6B7E0464" w14:textId="77777777" w:rsidR="00575914" w:rsidRDefault="00575914" w:rsidP="00706FDE">
      <w:r>
        <w:continuationSeparator/>
      </w:r>
    </w:p>
    <w:p w14:paraId="5C7B5E9F" w14:textId="77777777" w:rsidR="00575914" w:rsidRDefault="00575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71800"/>
      <w:docPartObj>
        <w:docPartGallery w:val="Page Numbers (Bottom of Page)"/>
        <w:docPartUnique/>
      </w:docPartObj>
    </w:sdtPr>
    <w:sdtEndPr>
      <w:rPr>
        <w:noProof/>
      </w:rPr>
    </w:sdtEndPr>
    <w:sdtContent>
      <w:p w14:paraId="18D28986" w14:textId="175BACCA" w:rsidR="00F94B3E" w:rsidRDefault="00F94B3E" w:rsidP="00706FDE">
        <w:pPr>
          <w:pStyle w:val="Footer"/>
        </w:pPr>
        <w:r>
          <w:fldChar w:fldCharType="begin"/>
        </w:r>
        <w:r>
          <w:instrText xml:space="preserve"> PAGE   \* MERGEFORMAT </w:instrText>
        </w:r>
        <w:r>
          <w:fldChar w:fldCharType="separate"/>
        </w:r>
        <w:r w:rsidR="000D5F6D">
          <w:rPr>
            <w:noProof/>
          </w:rPr>
          <w:t>24</w:t>
        </w:r>
        <w:r>
          <w:rPr>
            <w:noProof/>
          </w:rPr>
          <w:fldChar w:fldCharType="end"/>
        </w:r>
      </w:p>
    </w:sdtContent>
  </w:sdt>
  <w:p w14:paraId="5FF287E9" w14:textId="77777777" w:rsidR="00F94B3E" w:rsidRDefault="00F94B3E" w:rsidP="00706FDE">
    <w:pPr>
      <w:pStyle w:val="Footer"/>
    </w:pPr>
  </w:p>
  <w:p w14:paraId="38B0EB68" w14:textId="77777777" w:rsidR="00F94B3E" w:rsidRDefault="00F94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65A6" w14:textId="77777777" w:rsidR="00575914" w:rsidRDefault="00575914" w:rsidP="00706FDE">
      <w:r>
        <w:separator/>
      </w:r>
    </w:p>
    <w:p w14:paraId="3C1F4AA0" w14:textId="77777777" w:rsidR="00575914" w:rsidRDefault="00575914"/>
  </w:footnote>
  <w:footnote w:type="continuationSeparator" w:id="0">
    <w:p w14:paraId="72D57960" w14:textId="77777777" w:rsidR="00575914" w:rsidRDefault="00575914" w:rsidP="00706FDE">
      <w:r>
        <w:continuationSeparator/>
      </w:r>
    </w:p>
    <w:p w14:paraId="029E4354" w14:textId="77777777" w:rsidR="00575914" w:rsidRDefault="00575914"/>
  </w:footnote>
  <w:footnote w:id="1">
    <w:p w14:paraId="0FDD7717" w14:textId="04AD1116" w:rsidR="00F94B3E" w:rsidRDefault="00F94B3E" w:rsidP="00FB66A8">
      <w:pPr>
        <w:pStyle w:val="FootnoteText"/>
      </w:pPr>
      <w:r>
        <w:rPr>
          <w:rStyle w:val="FootnoteReference"/>
        </w:rPr>
        <w:footnoteRef/>
      </w:r>
      <w:r>
        <w:t xml:space="preserve"> </w:t>
      </w:r>
      <w:r>
        <w:rPr>
          <w:rStyle w:val="FootnoteReference"/>
        </w:rPr>
        <w:footnoteRef/>
      </w:r>
      <w:r w:rsidRPr="005B0D30">
        <w:t>This discussion of method is adapted from two earlier publications from the same research project (</w:t>
      </w:r>
      <w:r w:rsidR="00065A98">
        <w:t>Fomiatti et al. under review; Latham et al. 2019</w:t>
      </w:r>
      <w:r w:rsidRPr="005B0D3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028"/>
    <w:multiLevelType w:val="hybridMultilevel"/>
    <w:tmpl w:val="D540A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6D2EB3"/>
    <w:multiLevelType w:val="hybridMultilevel"/>
    <w:tmpl w:val="A4CA7E1C"/>
    <w:lvl w:ilvl="0" w:tplc="67A462FC">
      <w:start w:val="1"/>
      <w:numFmt w:val="bullet"/>
      <w:lvlText w:val=""/>
      <w:lvlJc w:val="left"/>
      <w:pPr>
        <w:tabs>
          <w:tab w:val="num" w:pos="720"/>
        </w:tabs>
        <w:ind w:left="720" w:hanging="360"/>
      </w:pPr>
      <w:rPr>
        <w:rFonts w:ascii="Wingdings" w:hAnsi="Wingdings" w:hint="default"/>
      </w:rPr>
    </w:lvl>
    <w:lvl w:ilvl="1" w:tplc="E7126466" w:tentative="1">
      <w:start w:val="1"/>
      <w:numFmt w:val="bullet"/>
      <w:lvlText w:val=""/>
      <w:lvlJc w:val="left"/>
      <w:pPr>
        <w:tabs>
          <w:tab w:val="num" w:pos="1440"/>
        </w:tabs>
        <w:ind w:left="1440" w:hanging="360"/>
      </w:pPr>
      <w:rPr>
        <w:rFonts w:ascii="Wingdings" w:hAnsi="Wingdings" w:hint="default"/>
      </w:rPr>
    </w:lvl>
    <w:lvl w:ilvl="2" w:tplc="F404FC36" w:tentative="1">
      <w:start w:val="1"/>
      <w:numFmt w:val="bullet"/>
      <w:lvlText w:val=""/>
      <w:lvlJc w:val="left"/>
      <w:pPr>
        <w:tabs>
          <w:tab w:val="num" w:pos="2160"/>
        </w:tabs>
        <w:ind w:left="2160" w:hanging="360"/>
      </w:pPr>
      <w:rPr>
        <w:rFonts w:ascii="Wingdings" w:hAnsi="Wingdings" w:hint="default"/>
      </w:rPr>
    </w:lvl>
    <w:lvl w:ilvl="3" w:tplc="269ED010" w:tentative="1">
      <w:start w:val="1"/>
      <w:numFmt w:val="bullet"/>
      <w:lvlText w:val=""/>
      <w:lvlJc w:val="left"/>
      <w:pPr>
        <w:tabs>
          <w:tab w:val="num" w:pos="2880"/>
        </w:tabs>
        <w:ind w:left="2880" w:hanging="360"/>
      </w:pPr>
      <w:rPr>
        <w:rFonts w:ascii="Wingdings" w:hAnsi="Wingdings" w:hint="default"/>
      </w:rPr>
    </w:lvl>
    <w:lvl w:ilvl="4" w:tplc="9B6E4E96" w:tentative="1">
      <w:start w:val="1"/>
      <w:numFmt w:val="bullet"/>
      <w:lvlText w:val=""/>
      <w:lvlJc w:val="left"/>
      <w:pPr>
        <w:tabs>
          <w:tab w:val="num" w:pos="3600"/>
        </w:tabs>
        <w:ind w:left="3600" w:hanging="360"/>
      </w:pPr>
      <w:rPr>
        <w:rFonts w:ascii="Wingdings" w:hAnsi="Wingdings" w:hint="default"/>
      </w:rPr>
    </w:lvl>
    <w:lvl w:ilvl="5" w:tplc="377056CE" w:tentative="1">
      <w:start w:val="1"/>
      <w:numFmt w:val="bullet"/>
      <w:lvlText w:val=""/>
      <w:lvlJc w:val="left"/>
      <w:pPr>
        <w:tabs>
          <w:tab w:val="num" w:pos="4320"/>
        </w:tabs>
        <w:ind w:left="4320" w:hanging="360"/>
      </w:pPr>
      <w:rPr>
        <w:rFonts w:ascii="Wingdings" w:hAnsi="Wingdings" w:hint="default"/>
      </w:rPr>
    </w:lvl>
    <w:lvl w:ilvl="6" w:tplc="9D8EBEFE" w:tentative="1">
      <w:start w:val="1"/>
      <w:numFmt w:val="bullet"/>
      <w:lvlText w:val=""/>
      <w:lvlJc w:val="left"/>
      <w:pPr>
        <w:tabs>
          <w:tab w:val="num" w:pos="5040"/>
        </w:tabs>
        <w:ind w:left="5040" w:hanging="360"/>
      </w:pPr>
      <w:rPr>
        <w:rFonts w:ascii="Wingdings" w:hAnsi="Wingdings" w:hint="default"/>
      </w:rPr>
    </w:lvl>
    <w:lvl w:ilvl="7" w:tplc="BEAC52A2" w:tentative="1">
      <w:start w:val="1"/>
      <w:numFmt w:val="bullet"/>
      <w:lvlText w:val=""/>
      <w:lvlJc w:val="left"/>
      <w:pPr>
        <w:tabs>
          <w:tab w:val="num" w:pos="5760"/>
        </w:tabs>
        <w:ind w:left="5760" w:hanging="360"/>
      </w:pPr>
      <w:rPr>
        <w:rFonts w:ascii="Wingdings" w:hAnsi="Wingdings" w:hint="default"/>
      </w:rPr>
    </w:lvl>
    <w:lvl w:ilvl="8" w:tplc="63C6F8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32DEC"/>
    <w:multiLevelType w:val="hybridMultilevel"/>
    <w:tmpl w:val="F5F67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1D1242"/>
    <w:multiLevelType w:val="hybridMultilevel"/>
    <w:tmpl w:val="046CDE5A"/>
    <w:lvl w:ilvl="0" w:tplc="9D9848B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CE5534"/>
    <w:multiLevelType w:val="hybridMultilevel"/>
    <w:tmpl w:val="0B668E54"/>
    <w:lvl w:ilvl="0" w:tplc="B1E29C3A">
      <w:start w:val="1"/>
      <w:numFmt w:val="bullet"/>
      <w:lvlText w:val=""/>
      <w:lvlJc w:val="left"/>
      <w:pPr>
        <w:tabs>
          <w:tab w:val="num" w:pos="720"/>
        </w:tabs>
        <w:ind w:left="720" w:hanging="360"/>
      </w:pPr>
      <w:rPr>
        <w:rFonts w:ascii="Wingdings" w:hAnsi="Wingdings" w:hint="default"/>
      </w:rPr>
    </w:lvl>
    <w:lvl w:ilvl="1" w:tplc="C9C2998A" w:tentative="1">
      <w:start w:val="1"/>
      <w:numFmt w:val="bullet"/>
      <w:lvlText w:val=""/>
      <w:lvlJc w:val="left"/>
      <w:pPr>
        <w:tabs>
          <w:tab w:val="num" w:pos="1440"/>
        </w:tabs>
        <w:ind w:left="1440" w:hanging="360"/>
      </w:pPr>
      <w:rPr>
        <w:rFonts w:ascii="Wingdings" w:hAnsi="Wingdings" w:hint="default"/>
      </w:rPr>
    </w:lvl>
    <w:lvl w:ilvl="2" w:tplc="EC48295E" w:tentative="1">
      <w:start w:val="1"/>
      <w:numFmt w:val="bullet"/>
      <w:lvlText w:val=""/>
      <w:lvlJc w:val="left"/>
      <w:pPr>
        <w:tabs>
          <w:tab w:val="num" w:pos="2160"/>
        </w:tabs>
        <w:ind w:left="2160" w:hanging="360"/>
      </w:pPr>
      <w:rPr>
        <w:rFonts w:ascii="Wingdings" w:hAnsi="Wingdings" w:hint="default"/>
      </w:rPr>
    </w:lvl>
    <w:lvl w:ilvl="3" w:tplc="7FFC4A04" w:tentative="1">
      <w:start w:val="1"/>
      <w:numFmt w:val="bullet"/>
      <w:lvlText w:val=""/>
      <w:lvlJc w:val="left"/>
      <w:pPr>
        <w:tabs>
          <w:tab w:val="num" w:pos="2880"/>
        </w:tabs>
        <w:ind w:left="2880" w:hanging="360"/>
      </w:pPr>
      <w:rPr>
        <w:rFonts w:ascii="Wingdings" w:hAnsi="Wingdings" w:hint="default"/>
      </w:rPr>
    </w:lvl>
    <w:lvl w:ilvl="4" w:tplc="D8CA403A" w:tentative="1">
      <w:start w:val="1"/>
      <w:numFmt w:val="bullet"/>
      <w:lvlText w:val=""/>
      <w:lvlJc w:val="left"/>
      <w:pPr>
        <w:tabs>
          <w:tab w:val="num" w:pos="3600"/>
        </w:tabs>
        <w:ind w:left="3600" w:hanging="360"/>
      </w:pPr>
      <w:rPr>
        <w:rFonts w:ascii="Wingdings" w:hAnsi="Wingdings" w:hint="default"/>
      </w:rPr>
    </w:lvl>
    <w:lvl w:ilvl="5" w:tplc="824E6C0E" w:tentative="1">
      <w:start w:val="1"/>
      <w:numFmt w:val="bullet"/>
      <w:lvlText w:val=""/>
      <w:lvlJc w:val="left"/>
      <w:pPr>
        <w:tabs>
          <w:tab w:val="num" w:pos="4320"/>
        </w:tabs>
        <w:ind w:left="4320" w:hanging="360"/>
      </w:pPr>
      <w:rPr>
        <w:rFonts w:ascii="Wingdings" w:hAnsi="Wingdings" w:hint="default"/>
      </w:rPr>
    </w:lvl>
    <w:lvl w:ilvl="6" w:tplc="E56E46B8" w:tentative="1">
      <w:start w:val="1"/>
      <w:numFmt w:val="bullet"/>
      <w:lvlText w:val=""/>
      <w:lvlJc w:val="left"/>
      <w:pPr>
        <w:tabs>
          <w:tab w:val="num" w:pos="5040"/>
        </w:tabs>
        <w:ind w:left="5040" w:hanging="360"/>
      </w:pPr>
      <w:rPr>
        <w:rFonts w:ascii="Wingdings" w:hAnsi="Wingdings" w:hint="default"/>
      </w:rPr>
    </w:lvl>
    <w:lvl w:ilvl="7" w:tplc="8F181E8A" w:tentative="1">
      <w:start w:val="1"/>
      <w:numFmt w:val="bullet"/>
      <w:lvlText w:val=""/>
      <w:lvlJc w:val="left"/>
      <w:pPr>
        <w:tabs>
          <w:tab w:val="num" w:pos="5760"/>
        </w:tabs>
        <w:ind w:left="5760" w:hanging="360"/>
      </w:pPr>
      <w:rPr>
        <w:rFonts w:ascii="Wingdings" w:hAnsi="Wingdings" w:hint="default"/>
      </w:rPr>
    </w:lvl>
    <w:lvl w:ilvl="8" w:tplc="F9F019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637C8"/>
    <w:multiLevelType w:val="hybridMultilevel"/>
    <w:tmpl w:val="2C123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071C1C"/>
    <w:multiLevelType w:val="hybridMultilevel"/>
    <w:tmpl w:val="2DB87504"/>
    <w:lvl w:ilvl="0" w:tplc="0C090001">
      <w:start w:val="1"/>
      <w:numFmt w:val="bullet"/>
      <w:lvlText w:val=""/>
      <w:lvlJc w:val="left"/>
      <w:pPr>
        <w:ind w:left="928"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46ED9"/>
    <w:multiLevelType w:val="hybridMultilevel"/>
    <w:tmpl w:val="8700AC7A"/>
    <w:lvl w:ilvl="0" w:tplc="5C2ED9F8">
      <w:start w:val="1"/>
      <w:numFmt w:val="bullet"/>
      <w:lvlText w:val=""/>
      <w:lvlJc w:val="left"/>
      <w:pPr>
        <w:tabs>
          <w:tab w:val="num" w:pos="720"/>
        </w:tabs>
        <w:ind w:left="720" w:hanging="360"/>
      </w:pPr>
      <w:rPr>
        <w:rFonts w:ascii="Wingdings" w:hAnsi="Wingdings" w:hint="default"/>
      </w:rPr>
    </w:lvl>
    <w:lvl w:ilvl="1" w:tplc="BA8072DE" w:tentative="1">
      <w:start w:val="1"/>
      <w:numFmt w:val="bullet"/>
      <w:lvlText w:val=""/>
      <w:lvlJc w:val="left"/>
      <w:pPr>
        <w:tabs>
          <w:tab w:val="num" w:pos="1440"/>
        </w:tabs>
        <w:ind w:left="1440" w:hanging="360"/>
      </w:pPr>
      <w:rPr>
        <w:rFonts w:ascii="Wingdings" w:hAnsi="Wingdings" w:hint="default"/>
      </w:rPr>
    </w:lvl>
    <w:lvl w:ilvl="2" w:tplc="475281A8" w:tentative="1">
      <w:start w:val="1"/>
      <w:numFmt w:val="bullet"/>
      <w:lvlText w:val=""/>
      <w:lvlJc w:val="left"/>
      <w:pPr>
        <w:tabs>
          <w:tab w:val="num" w:pos="2160"/>
        </w:tabs>
        <w:ind w:left="2160" w:hanging="360"/>
      </w:pPr>
      <w:rPr>
        <w:rFonts w:ascii="Wingdings" w:hAnsi="Wingdings" w:hint="default"/>
      </w:rPr>
    </w:lvl>
    <w:lvl w:ilvl="3" w:tplc="96468D6C" w:tentative="1">
      <w:start w:val="1"/>
      <w:numFmt w:val="bullet"/>
      <w:lvlText w:val=""/>
      <w:lvlJc w:val="left"/>
      <w:pPr>
        <w:tabs>
          <w:tab w:val="num" w:pos="2880"/>
        </w:tabs>
        <w:ind w:left="2880" w:hanging="360"/>
      </w:pPr>
      <w:rPr>
        <w:rFonts w:ascii="Wingdings" w:hAnsi="Wingdings" w:hint="default"/>
      </w:rPr>
    </w:lvl>
    <w:lvl w:ilvl="4" w:tplc="F2703A6A" w:tentative="1">
      <w:start w:val="1"/>
      <w:numFmt w:val="bullet"/>
      <w:lvlText w:val=""/>
      <w:lvlJc w:val="left"/>
      <w:pPr>
        <w:tabs>
          <w:tab w:val="num" w:pos="3600"/>
        </w:tabs>
        <w:ind w:left="3600" w:hanging="360"/>
      </w:pPr>
      <w:rPr>
        <w:rFonts w:ascii="Wingdings" w:hAnsi="Wingdings" w:hint="default"/>
      </w:rPr>
    </w:lvl>
    <w:lvl w:ilvl="5" w:tplc="55BA2BEC" w:tentative="1">
      <w:start w:val="1"/>
      <w:numFmt w:val="bullet"/>
      <w:lvlText w:val=""/>
      <w:lvlJc w:val="left"/>
      <w:pPr>
        <w:tabs>
          <w:tab w:val="num" w:pos="4320"/>
        </w:tabs>
        <w:ind w:left="4320" w:hanging="360"/>
      </w:pPr>
      <w:rPr>
        <w:rFonts w:ascii="Wingdings" w:hAnsi="Wingdings" w:hint="default"/>
      </w:rPr>
    </w:lvl>
    <w:lvl w:ilvl="6" w:tplc="51466708" w:tentative="1">
      <w:start w:val="1"/>
      <w:numFmt w:val="bullet"/>
      <w:lvlText w:val=""/>
      <w:lvlJc w:val="left"/>
      <w:pPr>
        <w:tabs>
          <w:tab w:val="num" w:pos="5040"/>
        </w:tabs>
        <w:ind w:left="5040" w:hanging="360"/>
      </w:pPr>
      <w:rPr>
        <w:rFonts w:ascii="Wingdings" w:hAnsi="Wingdings" w:hint="default"/>
      </w:rPr>
    </w:lvl>
    <w:lvl w:ilvl="7" w:tplc="247E55BA" w:tentative="1">
      <w:start w:val="1"/>
      <w:numFmt w:val="bullet"/>
      <w:lvlText w:val=""/>
      <w:lvlJc w:val="left"/>
      <w:pPr>
        <w:tabs>
          <w:tab w:val="num" w:pos="5760"/>
        </w:tabs>
        <w:ind w:left="5760" w:hanging="360"/>
      </w:pPr>
      <w:rPr>
        <w:rFonts w:ascii="Wingdings" w:hAnsi="Wingdings" w:hint="default"/>
      </w:rPr>
    </w:lvl>
    <w:lvl w:ilvl="8" w:tplc="2DB875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73DB1"/>
    <w:multiLevelType w:val="hybridMultilevel"/>
    <w:tmpl w:val="CCD6ACC8"/>
    <w:lvl w:ilvl="0" w:tplc="E9B69876">
      <w:start w:val="1"/>
      <w:numFmt w:val="bullet"/>
      <w:lvlText w:val=""/>
      <w:lvlJc w:val="left"/>
      <w:pPr>
        <w:tabs>
          <w:tab w:val="num" w:pos="720"/>
        </w:tabs>
        <w:ind w:left="720" w:hanging="360"/>
      </w:pPr>
      <w:rPr>
        <w:rFonts w:ascii="Wingdings" w:hAnsi="Wingdings" w:hint="default"/>
      </w:rPr>
    </w:lvl>
    <w:lvl w:ilvl="1" w:tplc="555E51EA" w:tentative="1">
      <w:start w:val="1"/>
      <w:numFmt w:val="bullet"/>
      <w:lvlText w:val=""/>
      <w:lvlJc w:val="left"/>
      <w:pPr>
        <w:tabs>
          <w:tab w:val="num" w:pos="1440"/>
        </w:tabs>
        <w:ind w:left="1440" w:hanging="360"/>
      </w:pPr>
      <w:rPr>
        <w:rFonts w:ascii="Wingdings" w:hAnsi="Wingdings" w:hint="default"/>
      </w:rPr>
    </w:lvl>
    <w:lvl w:ilvl="2" w:tplc="CD42E5A0" w:tentative="1">
      <w:start w:val="1"/>
      <w:numFmt w:val="bullet"/>
      <w:lvlText w:val=""/>
      <w:lvlJc w:val="left"/>
      <w:pPr>
        <w:tabs>
          <w:tab w:val="num" w:pos="2160"/>
        </w:tabs>
        <w:ind w:left="2160" w:hanging="360"/>
      </w:pPr>
      <w:rPr>
        <w:rFonts w:ascii="Wingdings" w:hAnsi="Wingdings" w:hint="default"/>
      </w:rPr>
    </w:lvl>
    <w:lvl w:ilvl="3" w:tplc="B002B3F6" w:tentative="1">
      <w:start w:val="1"/>
      <w:numFmt w:val="bullet"/>
      <w:lvlText w:val=""/>
      <w:lvlJc w:val="left"/>
      <w:pPr>
        <w:tabs>
          <w:tab w:val="num" w:pos="2880"/>
        </w:tabs>
        <w:ind w:left="2880" w:hanging="360"/>
      </w:pPr>
      <w:rPr>
        <w:rFonts w:ascii="Wingdings" w:hAnsi="Wingdings" w:hint="default"/>
      </w:rPr>
    </w:lvl>
    <w:lvl w:ilvl="4" w:tplc="77603F5E" w:tentative="1">
      <w:start w:val="1"/>
      <w:numFmt w:val="bullet"/>
      <w:lvlText w:val=""/>
      <w:lvlJc w:val="left"/>
      <w:pPr>
        <w:tabs>
          <w:tab w:val="num" w:pos="3600"/>
        </w:tabs>
        <w:ind w:left="3600" w:hanging="360"/>
      </w:pPr>
      <w:rPr>
        <w:rFonts w:ascii="Wingdings" w:hAnsi="Wingdings" w:hint="default"/>
      </w:rPr>
    </w:lvl>
    <w:lvl w:ilvl="5" w:tplc="6B86749A" w:tentative="1">
      <w:start w:val="1"/>
      <w:numFmt w:val="bullet"/>
      <w:lvlText w:val=""/>
      <w:lvlJc w:val="left"/>
      <w:pPr>
        <w:tabs>
          <w:tab w:val="num" w:pos="4320"/>
        </w:tabs>
        <w:ind w:left="4320" w:hanging="360"/>
      </w:pPr>
      <w:rPr>
        <w:rFonts w:ascii="Wingdings" w:hAnsi="Wingdings" w:hint="default"/>
      </w:rPr>
    </w:lvl>
    <w:lvl w:ilvl="6" w:tplc="A7A4E4AE" w:tentative="1">
      <w:start w:val="1"/>
      <w:numFmt w:val="bullet"/>
      <w:lvlText w:val=""/>
      <w:lvlJc w:val="left"/>
      <w:pPr>
        <w:tabs>
          <w:tab w:val="num" w:pos="5040"/>
        </w:tabs>
        <w:ind w:left="5040" w:hanging="360"/>
      </w:pPr>
      <w:rPr>
        <w:rFonts w:ascii="Wingdings" w:hAnsi="Wingdings" w:hint="default"/>
      </w:rPr>
    </w:lvl>
    <w:lvl w:ilvl="7" w:tplc="9E40AD96" w:tentative="1">
      <w:start w:val="1"/>
      <w:numFmt w:val="bullet"/>
      <w:lvlText w:val=""/>
      <w:lvlJc w:val="left"/>
      <w:pPr>
        <w:tabs>
          <w:tab w:val="num" w:pos="5760"/>
        </w:tabs>
        <w:ind w:left="5760" w:hanging="360"/>
      </w:pPr>
      <w:rPr>
        <w:rFonts w:ascii="Wingdings" w:hAnsi="Wingdings" w:hint="default"/>
      </w:rPr>
    </w:lvl>
    <w:lvl w:ilvl="8" w:tplc="F5DCB5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52C3A"/>
    <w:multiLevelType w:val="hybridMultilevel"/>
    <w:tmpl w:val="99FCF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A92371"/>
    <w:multiLevelType w:val="hybridMultilevel"/>
    <w:tmpl w:val="A3CC76E8"/>
    <w:lvl w:ilvl="0" w:tplc="FFEA49F2">
      <w:start w:val="1"/>
      <w:numFmt w:val="bullet"/>
      <w:lvlText w:val=""/>
      <w:lvlJc w:val="left"/>
      <w:pPr>
        <w:tabs>
          <w:tab w:val="num" w:pos="720"/>
        </w:tabs>
        <w:ind w:left="720" w:hanging="360"/>
      </w:pPr>
      <w:rPr>
        <w:rFonts w:ascii="Wingdings" w:hAnsi="Wingdings" w:hint="default"/>
      </w:rPr>
    </w:lvl>
    <w:lvl w:ilvl="1" w:tplc="4F3AFBEA">
      <w:start w:val="1"/>
      <w:numFmt w:val="bullet"/>
      <w:lvlText w:val=""/>
      <w:lvlJc w:val="left"/>
      <w:pPr>
        <w:tabs>
          <w:tab w:val="num" w:pos="1440"/>
        </w:tabs>
        <w:ind w:left="1440" w:hanging="360"/>
      </w:pPr>
      <w:rPr>
        <w:rFonts w:ascii="Wingdings" w:hAnsi="Wingdings" w:hint="default"/>
      </w:rPr>
    </w:lvl>
    <w:lvl w:ilvl="2" w:tplc="DF36D2D4" w:tentative="1">
      <w:start w:val="1"/>
      <w:numFmt w:val="bullet"/>
      <w:lvlText w:val=""/>
      <w:lvlJc w:val="left"/>
      <w:pPr>
        <w:tabs>
          <w:tab w:val="num" w:pos="2160"/>
        </w:tabs>
        <w:ind w:left="2160" w:hanging="360"/>
      </w:pPr>
      <w:rPr>
        <w:rFonts w:ascii="Wingdings" w:hAnsi="Wingdings" w:hint="default"/>
      </w:rPr>
    </w:lvl>
    <w:lvl w:ilvl="3" w:tplc="AE4E911C" w:tentative="1">
      <w:start w:val="1"/>
      <w:numFmt w:val="bullet"/>
      <w:lvlText w:val=""/>
      <w:lvlJc w:val="left"/>
      <w:pPr>
        <w:tabs>
          <w:tab w:val="num" w:pos="2880"/>
        </w:tabs>
        <w:ind w:left="2880" w:hanging="360"/>
      </w:pPr>
      <w:rPr>
        <w:rFonts w:ascii="Wingdings" w:hAnsi="Wingdings" w:hint="default"/>
      </w:rPr>
    </w:lvl>
    <w:lvl w:ilvl="4" w:tplc="4A004158" w:tentative="1">
      <w:start w:val="1"/>
      <w:numFmt w:val="bullet"/>
      <w:lvlText w:val=""/>
      <w:lvlJc w:val="left"/>
      <w:pPr>
        <w:tabs>
          <w:tab w:val="num" w:pos="3600"/>
        </w:tabs>
        <w:ind w:left="3600" w:hanging="360"/>
      </w:pPr>
      <w:rPr>
        <w:rFonts w:ascii="Wingdings" w:hAnsi="Wingdings" w:hint="default"/>
      </w:rPr>
    </w:lvl>
    <w:lvl w:ilvl="5" w:tplc="5E90357C" w:tentative="1">
      <w:start w:val="1"/>
      <w:numFmt w:val="bullet"/>
      <w:lvlText w:val=""/>
      <w:lvlJc w:val="left"/>
      <w:pPr>
        <w:tabs>
          <w:tab w:val="num" w:pos="4320"/>
        </w:tabs>
        <w:ind w:left="4320" w:hanging="360"/>
      </w:pPr>
      <w:rPr>
        <w:rFonts w:ascii="Wingdings" w:hAnsi="Wingdings" w:hint="default"/>
      </w:rPr>
    </w:lvl>
    <w:lvl w:ilvl="6" w:tplc="535448EC" w:tentative="1">
      <w:start w:val="1"/>
      <w:numFmt w:val="bullet"/>
      <w:lvlText w:val=""/>
      <w:lvlJc w:val="left"/>
      <w:pPr>
        <w:tabs>
          <w:tab w:val="num" w:pos="5040"/>
        </w:tabs>
        <w:ind w:left="5040" w:hanging="360"/>
      </w:pPr>
      <w:rPr>
        <w:rFonts w:ascii="Wingdings" w:hAnsi="Wingdings" w:hint="default"/>
      </w:rPr>
    </w:lvl>
    <w:lvl w:ilvl="7" w:tplc="00ECAA24" w:tentative="1">
      <w:start w:val="1"/>
      <w:numFmt w:val="bullet"/>
      <w:lvlText w:val=""/>
      <w:lvlJc w:val="left"/>
      <w:pPr>
        <w:tabs>
          <w:tab w:val="num" w:pos="5760"/>
        </w:tabs>
        <w:ind w:left="5760" w:hanging="360"/>
      </w:pPr>
      <w:rPr>
        <w:rFonts w:ascii="Wingdings" w:hAnsi="Wingdings" w:hint="default"/>
      </w:rPr>
    </w:lvl>
    <w:lvl w:ilvl="8" w:tplc="DA9058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A612B"/>
    <w:multiLevelType w:val="hybridMultilevel"/>
    <w:tmpl w:val="0D0CD846"/>
    <w:lvl w:ilvl="0" w:tplc="8E141258">
      <w:start w:val="1"/>
      <w:numFmt w:val="bullet"/>
      <w:lvlText w:val=""/>
      <w:lvlJc w:val="left"/>
      <w:pPr>
        <w:tabs>
          <w:tab w:val="num" w:pos="720"/>
        </w:tabs>
        <w:ind w:left="720" w:hanging="360"/>
      </w:pPr>
      <w:rPr>
        <w:rFonts w:ascii="Wingdings" w:hAnsi="Wingdings" w:hint="default"/>
      </w:rPr>
    </w:lvl>
    <w:lvl w:ilvl="1" w:tplc="37F067DC" w:tentative="1">
      <w:start w:val="1"/>
      <w:numFmt w:val="bullet"/>
      <w:lvlText w:val=""/>
      <w:lvlJc w:val="left"/>
      <w:pPr>
        <w:tabs>
          <w:tab w:val="num" w:pos="1440"/>
        </w:tabs>
        <w:ind w:left="1440" w:hanging="360"/>
      </w:pPr>
      <w:rPr>
        <w:rFonts w:ascii="Wingdings" w:hAnsi="Wingdings" w:hint="default"/>
      </w:rPr>
    </w:lvl>
    <w:lvl w:ilvl="2" w:tplc="DC4A8000" w:tentative="1">
      <w:start w:val="1"/>
      <w:numFmt w:val="bullet"/>
      <w:lvlText w:val=""/>
      <w:lvlJc w:val="left"/>
      <w:pPr>
        <w:tabs>
          <w:tab w:val="num" w:pos="2160"/>
        </w:tabs>
        <w:ind w:left="2160" w:hanging="360"/>
      </w:pPr>
      <w:rPr>
        <w:rFonts w:ascii="Wingdings" w:hAnsi="Wingdings" w:hint="default"/>
      </w:rPr>
    </w:lvl>
    <w:lvl w:ilvl="3" w:tplc="083C3FCE" w:tentative="1">
      <w:start w:val="1"/>
      <w:numFmt w:val="bullet"/>
      <w:lvlText w:val=""/>
      <w:lvlJc w:val="left"/>
      <w:pPr>
        <w:tabs>
          <w:tab w:val="num" w:pos="2880"/>
        </w:tabs>
        <w:ind w:left="2880" w:hanging="360"/>
      </w:pPr>
      <w:rPr>
        <w:rFonts w:ascii="Wingdings" w:hAnsi="Wingdings" w:hint="default"/>
      </w:rPr>
    </w:lvl>
    <w:lvl w:ilvl="4" w:tplc="3E3CDEDE" w:tentative="1">
      <w:start w:val="1"/>
      <w:numFmt w:val="bullet"/>
      <w:lvlText w:val=""/>
      <w:lvlJc w:val="left"/>
      <w:pPr>
        <w:tabs>
          <w:tab w:val="num" w:pos="3600"/>
        </w:tabs>
        <w:ind w:left="3600" w:hanging="360"/>
      </w:pPr>
      <w:rPr>
        <w:rFonts w:ascii="Wingdings" w:hAnsi="Wingdings" w:hint="default"/>
      </w:rPr>
    </w:lvl>
    <w:lvl w:ilvl="5" w:tplc="95C2D87E" w:tentative="1">
      <w:start w:val="1"/>
      <w:numFmt w:val="bullet"/>
      <w:lvlText w:val=""/>
      <w:lvlJc w:val="left"/>
      <w:pPr>
        <w:tabs>
          <w:tab w:val="num" w:pos="4320"/>
        </w:tabs>
        <w:ind w:left="4320" w:hanging="360"/>
      </w:pPr>
      <w:rPr>
        <w:rFonts w:ascii="Wingdings" w:hAnsi="Wingdings" w:hint="default"/>
      </w:rPr>
    </w:lvl>
    <w:lvl w:ilvl="6" w:tplc="D3DA0534" w:tentative="1">
      <w:start w:val="1"/>
      <w:numFmt w:val="bullet"/>
      <w:lvlText w:val=""/>
      <w:lvlJc w:val="left"/>
      <w:pPr>
        <w:tabs>
          <w:tab w:val="num" w:pos="5040"/>
        </w:tabs>
        <w:ind w:left="5040" w:hanging="360"/>
      </w:pPr>
      <w:rPr>
        <w:rFonts w:ascii="Wingdings" w:hAnsi="Wingdings" w:hint="default"/>
      </w:rPr>
    </w:lvl>
    <w:lvl w:ilvl="7" w:tplc="D550F9CE" w:tentative="1">
      <w:start w:val="1"/>
      <w:numFmt w:val="bullet"/>
      <w:lvlText w:val=""/>
      <w:lvlJc w:val="left"/>
      <w:pPr>
        <w:tabs>
          <w:tab w:val="num" w:pos="5760"/>
        </w:tabs>
        <w:ind w:left="5760" w:hanging="360"/>
      </w:pPr>
      <w:rPr>
        <w:rFonts w:ascii="Wingdings" w:hAnsi="Wingdings" w:hint="default"/>
      </w:rPr>
    </w:lvl>
    <w:lvl w:ilvl="8" w:tplc="F5963E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E1487"/>
    <w:multiLevelType w:val="hybridMultilevel"/>
    <w:tmpl w:val="740A47B4"/>
    <w:lvl w:ilvl="0" w:tplc="1D582636">
      <w:start w:val="1"/>
      <w:numFmt w:val="bullet"/>
      <w:lvlText w:val="•"/>
      <w:lvlJc w:val="left"/>
      <w:pPr>
        <w:tabs>
          <w:tab w:val="num" w:pos="720"/>
        </w:tabs>
        <w:ind w:left="720" w:hanging="360"/>
      </w:pPr>
      <w:rPr>
        <w:rFonts w:ascii="Arial" w:hAnsi="Arial" w:hint="default"/>
      </w:rPr>
    </w:lvl>
    <w:lvl w:ilvl="1" w:tplc="3536C586" w:tentative="1">
      <w:start w:val="1"/>
      <w:numFmt w:val="bullet"/>
      <w:lvlText w:val="•"/>
      <w:lvlJc w:val="left"/>
      <w:pPr>
        <w:tabs>
          <w:tab w:val="num" w:pos="1440"/>
        </w:tabs>
        <w:ind w:left="1440" w:hanging="360"/>
      </w:pPr>
      <w:rPr>
        <w:rFonts w:ascii="Arial" w:hAnsi="Arial" w:hint="default"/>
      </w:rPr>
    </w:lvl>
    <w:lvl w:ilvl="2" w:tplc="1BA03E18" w:tentative="1">
      <w:start w:val="1"/>
      <w:numFmt w:val="bullet"/>
      <w:lvlText w:val="•"/>
      <w:lvlJc w:val="left"/>
      <w:pPr>
        <w:tabs>
          <w:tab w:val="num" w:pos="2160"/>
        </w:tabs>
        <w:ind w:left="2160" w:hanging="360"/>
      </w:pPr>
      <w:rPr>
        <w:rFonts w:ascii="Arial" w:hAnsi="Arial" w:hint="default"/>
      </w:rPr>
    </w:lvl>
    <w:lvl w:ilvl="3" w:tplc="7A6618BE" w:tentative="1">
      <w:start w:val="1"/>
      <w:numFmt w:val="bullet"/>
      <w:lvlText w:val="•"/>
      <w:lvlJc w:val="left"/>
      <w:pPr>
        <w:tabs>
          <w:tab w:val="num" w:pos="2880"/>
        </w:tabs>
        <w:ind w:left="2880" w:hanging="360"/>
      </w:pPr>
      <w:rPr>
        <w:rFonts w:ascii="Arial" w:hAnsi="Arial" w:hint="default"/>
      </w:rPr>
    </w:lvl>
    <w:lvl w:ilvl="4" w:tplc="A790B804" w:tentative="1">
      <w:start w:val="1"/>
      <w:numFmt w:val="bullet"/>
      <w:lvlText w:val="•"/>
      <w:lvlJc w:val="left"/>
      <w:pPr>
        <w:tabs>
          <w:tab w:val="num" w:pos="3600"/>
        </w:tabs>
        <w:ind w:left="3600" w:hanging="360"/>
      </w:pPr>
      <w:rPr>
        <w:rFonts w:ascii="Arial" w:hAnsi="Arial" w:hint="default"/>
      </w:rPr>
    </w:lvl>
    <w:lvl w:ilvl="5" w:tplc="DF92664A" w:tentative="1">
      <w:start w:val="1"/>
      <w:numFmt w:val="bullet"/>
      <w:lvlText w:val="•"/>
      <w:lvlJc w:val="left"/>
      <w:pPr>
        <w:tabs>
          <w:tab w:val="num" w:pos="4320"/>
        </w:tabs>
        <w:ind w:left="4320" w:hanging="360"/>
      </w:pPr>
      <w:rPr>
        <w:rFonts w:ascii="Arial" w:hAnsi="Arial" w:hint="default"/>
      </w:rPr>
    </w:lvl>
    <w:lvl w:ilvl="6" w:tplc="9F227578" w:tentative="1">
      <w:start w:val="1"/>
      <w:numFmt w:val="bullet"/>
      <w:lvlText w:val="•"/>
      <w:lvlJc w:val="left"/>
      <w:pPr>
        <w:tabs>
          <w:tab w:val="num" w:pos="5040"/>
        </w:tabs>
        <w:ind w:left="5040" w:hanging="360"/>
      </w:pPr>
      <w:rPr>
        <w:rFonts w:ascii="Arial" w:hAnsi="Arial" w:hint="default"/>
      </w:rPr>
    </w:lvl>
    <w:lvl w:ilvl="7" w:tplc="D97E46DC" w:tentative="1">
      <w:start w:val="1"/>
      <w:numFmt w:val="bullet"/>
      <w:lvlText w:val="•"/>
      <w:lvlJc w:val="left"/>
      <w:pPr>
        <w:tabs>
          <w:tab w:val="num" w:pos="5760"/>
        </w:tabs>
        <w:ind w:left="5760" w:hanging="360"/>
      </w:pPr>
      <w:rPr>
        <w:rFonts w:ascii="Arial" w:hAnsi="Arial" w:hint="default"/>
      </w:rPr>
    </w:lvl>
    <w:lvl w:ilvl="8" w:tplc="EC40E3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EF1C72"/>
    <w:multiLevelType w:val="hybridMultilevel"/>
    <w:tmpl w:val="11647F94"/>
    <w:lvl w:ilvl="0" w:tplc="D8EC5C18">
      <w:start w:val="1"/>
      <w:numFmt w:val="bullet"/>
      <w:lvlText w:val=""/>
      <w:lvlJc w:val="left"/>
      <w:pPr>
        <w:tabs>
          <w:tab w:val="num" w:pos="720"/>
        </w:tabs>
        <w:ind w:left="720" w:hanging="360"/>
      </w:pPr>
      <w:rPr>
        <w:rFonts w:ascii="Wingdings" w:hAnsi="Wingdings" w:hint="default"/>
      </w:rPr>
    </w:lvl>
    <w:lvl w:ilvl="1" w:tplc="8BA4A086" w:tentative="1">
      <w:start w:val="1"/>
      <w:numFmt w:val="bullet"/>
      <w:lvlText w:val=""/>
      <w:lvlJc w:val="left"/>
      <w:pPr>
        <w:tabs>
          <w:tab w:val="num" w:pos="1440"/>
        </w:tabs>
        <w:ind w:left="1440" w:hanging="360"/>
      </w:pPr>
      <w:rPr>
        <w:rFonts w:ascii="Wingdings" w:hAnsi="Wingdings" w:hint="default"/>
      </w:rPr>
    </w:lvl>
    <w:lvl w:ilvl="2" w:tplc="C8002E9C" w:tentative="1">
      <w:start w:val="1"/>
      <w:numFmt w:val="bullet"/>
      <w:lvlText w:val=""/>
      <w:lvlJc w:val="left"/>
      <w:pPr>
        <w:tabs>
          <w:tab w:val="num" w:pos="2160"/>
        </w:tabs>
        <w:ind w:left="2160" w:hanging="360"/>
      </w:pPr>
      <w:rPr>
        <w:rFonts w:ascii="Wingdings" w:hAnsi="Wingdings" w:hint="default"/>
      </w:rPr>
    </w:lvl>
    <w:lvl w:ilvl="3" w:tplc="979E0544" w:tentative="1">
      <w:start w:val="1"/>
      <w:numFmt w:val="bullet"/>
      <w:lvlText w:val=""/>
      <w:lvlJc w:val="left"/>
      <w:pPr>
        <w:tabs>
          <w:tab w:val="num" w:pos="2880"/>
        </w:tabs>
        <w:ind w:left="2880" w:hanging="360"/>
      </w:pPr>
      <w:rPr>
        <w:rFonts w:ascii="Wingdings" w:hAnsi="Wingdings" w:hint="default"/>
      </w:rPr>
    </w:lvl>
    <w:lvl w:ilvl="4" w:tplc="5D12F19C" w:tentative="1">
      <w:start w:val="1"/>
      <w:numFmt w:val="bullet"/>
      <w:lvlText w:val=""/>
      <w:lvlJc w:val="left"/>
      <w:pPr>
        <w:tabs>
          <w:tab w:val="num" w:pos="3600"/>
        </w:tabs>
        <w:ind w:left="3600" w:hanging="360"/>
      </w:pPr>
      <w:rPr>
        <w:rFonts w:ascii="Wingdings" w:hAnsi="Wingdings" w:hint="default"/>
      </w:rPr>
    </w:lvl>
    <w:lvl w:ilvl="5" w:tplc="912EFAF8" w:tentative="1">
      <w:start w:val="1"/>
      <w:numFmt w:val="bullet"/>
      <w:lvlText w:val=""/>
      <w:lvlJc w:val="left"/>
      <w:pPr>
        <w:tabs>
          <w:tab w:val="num" w:pos="4320"/>
        </w:tabs>
        <w:ind w:left="4320" w:hanging="360"/>
      </w:pPr>
      <w:rPr>
        <w:rFonts w:ascii="Wingdings" w:hAnsi="Wingdings" w:hint="default"/>
      </w:rPr>
    </w:lvl>
    <w:lvl w:ilvl="6" w:tplc="92067DB8" w:tentative="1">
      <w:start w:val="1"/>
      <w:numFmt w:val="bullet"/>
      <w:lvlText w:val=""/>
      <w:lvlJc w:val="left"/>
      <w:pPr>
        <w:tabs>
          <w:tab w:val="num" w:pos="5040"/>
        </w:tabs>
        <w:ind w:left="5040" w:hanging="360"/>
      </w:pPr>
      <w:rPr>
        <w:rFonts w:ascii="Wingdings" w:hAnsi="Wingdings" w:hint="default"/>
      </w:rPr>
    </w:lvl>
    <w:lvl w:ilvl="7" w:tplc="68A294F6" w:tentative="1">
      <w:start w:val="1"/>
      <w:numFmt w:val="bullet"/>
      <w:lvlText w:val=""/>
      <w:lvlJc w:val="left"/>
      <w:pPr>
        <w:tabs>
          <w:tab w:val="num" w:pos="5760"/>
        </w:tabs>
        <w:ind w:left="5760" w:hanging="360"/>
      </w:pPr>
      <w:rPr>
        <w:rFonts w:ascii="Wingdings" w:hAnsi="Wingdings" w:hint="default"/>
      </w:rPr>
    </w:lvl>
    <w:lvl w:ilvl="8" w:tplc="484C07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56A98"/>
    <w:multiLevelType w:val="hybridMultilevel"/>
    <w:tmpl w:val="A7E48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89434A"/>
    <w:multiLevelType w:val="hybridMultilevel"/>
    <w:tmpl w:val="62C47426"/>
    <w:lvl w:ilvl="0" w:tplc="75F84B26">
      <w:start w:val="1"/>
      <w:numFmt w:val="bullet"/>
      <w:lvlText w:val=""/>
      <w:lvlJc w:val="left"/>
      <w:pPr>
        <w:tabs>
          <w:tab w:val="num" w:pos="720"/>
        </w:tabs>
        <w:ind w:left="720" w:hanging="360"/>
      </w:pPr>
      <w:rPr>
        <w:rFonts w:ascii="Wingdings" w:hAnsi="Wingdings" w:hint="default"/>
      </w:rPr>
    </w:lvl>
    <w:lvl w:ilvl="1" w:tplc="696A6748" w:tentative="1">
      <w:start w:val="1"/>
      <w:numFmt w:val="bullet"/>
      <w:lvlText w:val=""/>
      <w:lvlJc w:val="left"/>
      <w:pPr>
        <w:tabs>
          <w:tab w:val="num" w:pos="1440"/>
        </w:tabs>
        <w:ind w:left="1440" w:hanging="360"/>
      </w:pPr>
      <w:rPr>
        <w:rFonts w:ascii="Wingdings" w:hAnsi="Wingdings" w:hint="default"/>
      </w:rPr>
    </w:lvl>
    <w:lvl w:ilvl="2" w:tplc="A6E2AA1E" w:tentative="1">
      <w:start w:val="1"/>
      <w:numFmt w:val="bullet"/>
      <w:lvlText w:val=""/>
      <w:lvlJc w:val="left"/>
      <w:pPr>
        <w:tabs>
          <w:tab w:val="num" w:pos="2160"/>
        </w:tabs>
        <w:ind w:left="2160" w:hanging="360"/>
      </w:pPr>
      <w:rPr>
        <w:rFonts w:ascii="Wingdings" w:hAnsi="Wingdings" w:hint="default"/>
      </w:rPr>
    </w:lvl>
    <w:lvl w:ilvl="3" w:tplc="E624854C" w:tentative="1">
      <w:start w:val="1"/>
      <w:numFmt w:val="bullet"/>
      <w:lvlText w:val=""/>
      <w:lvlJc w:val="left"/>
      <w:pPr>
        <w:tabs>
          <w:tab w:val="num" w:pos="2880"/>
        </w:tabs>
        <w:ind w:left="2880" w:hanging="360"/>
      </w:pPr>
      <w:rPr>
        <w:rFonts w:ascii="Wingdings" w:hAnsi="Wingdings" w:hint="default"/>
      </w:rPr>
    </w:lvl>
    <w:lvl w:ilvl="4" w:tplc="13782132" w:tentative="1">
      <w:start w:val="1"/>
      <w:numFmt w:val="bullet"/>
      <w:lvlText w:val=""/>
      <w:lvlJc w:val="left"/>
      <w:pPr>
        <w:tabs>
          <w:tab w:val="num" w:pos="3600"/>
        </w:tabs>
        <w:ind w:left="3600" w:hanging="360"/>
      </w:pPr>
      <w:rPr>
        <w:rFonts w:ascii="Wingdings" w:hAnsi="Wingdings" w:hint="default"/>
      </w:rPr>
    </w:lvl>
    <w:lvl w:ilvl="5" w:tplc="D04202E4" w:tentative="1">
      <w:start w:val="1"/>
      <w:numFmt w:val="bullet"/>
      <w:lvlText w:val=""/>
      <w:lvlJc w:val="left"/>
      <w:pPr>
        <w:tabs>
          <w:tab w:val="num" w:pos="4320"/>
        </w:tabs>
        <w:ind w:left="4320" w:hanging="360"/>
      </w:pPr>
      <w:rPr>
        <w:rFonts w:ascii="Wingdings" w:hAnsi="Wingdings" w:hint="default"/>
      </w:rPr>
    </w:lvl>
    <w:lvl w:ilvl="6" w:tplc="5B7C20CA" w:tentative="1">
      <w:start w:val="1"/>
      <w:numFmt w:val="bullet"/>
      <w:lvlText w:val=""/>
      <w:lvlJc w:val="left"/>
      <w:pPr>
        <w:tabs>
          <w:tab w:val="num" w:pos="5040"/>
        </w:tabs>
        <w:ind w:left="5040" w:hanging="360"/>
      </w:pPr>
      <w:rPr>
        <w:rFonts w:ascii="Wingdings" w:hAnsi="Wingdings" w:hint="default"/>
      </w:rPr>
    </w:lvl>
    <w:lvl w:ilvl="7" w:tplc="71BE009C" w:tentative="1">
      <w:start w:val="1"/>
      <w:numFmt w:val="bullet"/>
      <w:lvlText w:val=""/>
      <w:lvlJc w:val="left"/>
      <w:pPr>
        <w:tabs>
          <w:tab w:val="num" w:pos="5760"/>
        </w:tabs>
        <w:ind w:left="5760" w:hanging="360"/>
      </w:pPr>
      <w:rPr>
        <w:rFonts w:ascii="Wingdings" w:hAnsi="Wingdings" w:hint="default"/>
      </w:rPr>
    </w:lvl>
    <w:lvl w:ilvl="8" w:tplc="B706F72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15"/>
  </w:num>
  <w:num w:numId="5">
    <w:abstractNumId w:val="7"/>
  </w:num>
  <w:num w:numId="6">
    <w:abstractNumId w:val="4"/>
  </w:num>
  <w:num w:numId="7">
    <w:abstractNumId w:val="13"/>
  </w:num>
  <w:num w:numId="8">
    <w:abstractNumId w:val="1"/>
  </w:num>
  <w:num w:numId="9">
    <w:abstractNumId w:val="14"/>
  </w:num>
  <w:num w:numId="10">
    <w:abstractNumId w:val="5"/>
  </w:num>
  <w:num w:numId="11">
    <w:abstractNumId w:val="0"/>
  </w:num>
  <w:num w:numId="12">
    <w:abstractNumId w:val="3"/>
  </w:num>
  <w:num w:numId="13">
    <w:abstractNumId w:val="6"/>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A7"/>
    <w:rsid w:val="00000B1C"/>
    <w:rsid w:val="00006E69"/>
    <w:rsid w:val="00012AFA"/>
    <w:rsid w:val="0002142B"/>
    <w:rsid w:val="00021988"/>
    <w:rsid w:val="00022298"/>
    <w:rsid w:val="000223CF"/>
    <w:rsid w:val="0002554A"/>
    <w:rsid w:val="00034FD3"/>
    <w:rsid w:val="000357C4"/>
    <w:rsid w:val="00041E62"/>
    <w:rsid w:val="000421C8"/>
    <w:rsid w:val="00043597"/>
    <w:rsid w:val="00046D32"/>
    <w:rsid w:val="00055AF9"/>
    <w:rsid w:val="00060263"/>
    <w:rsid w:val="00062428"/>
    <w:rsid w:val="00065A98"/>
    <w:rsid w:val="000704A6"/>
    <w:rsid w:val="00070C1E"/>
    <w:rsid w:val="0007217F"/>
    <w:rsid w:val="00073F8A"/>
    <w:rsid w:val="00075942"/>
    <w:rsid w:val="000767E3"/>
    <w:rsid w:val="00077A99"/>
    <w:rsid w:val="00081239"/>
    <w:rsid w:val="0008190D"/>
    <w:rsid w:val="0008271A"/>
    <w:rsid w:val="000827CC"/>
    <w:rsid w:val="000839B2"/>
    <w:rsid w:val="0008663D"/>
    <w:rsid w:val="00086A86"/>
    <w:rsid w:val="0008746D"/>
    <w:rsid w:val="0008778D"/>
    <w:rsid w:val="00091266"/>
    <w:rsid w:val="0009332F"/>
    <w:rsid w:val="000935B1"/>
    <w:rsid w:val="0009396A"/>
    <w:rsid w:val="00095F2D"/>
    <w:rsid w:val="00097143"/>
    <w:rsid w:val="000A0F35"/>
    <w:rsid w:val="000A1091"/>
    <w:rsid w:val="000A1907"/>
    <w:rsid w:val="000A3003"/>
    <w:rsid w:val="000A6020"/>
    <w:rsid w:val="000A7B67"/>
    <w:rsid w:val="000B55F1"/>
    <w:rsid w:val="000B5FAC"/>
    <w:rsid w:val="000B614B"/>
    <w:rsid w:val="000C1E31"/>
    <w:rsid w:val="000C252F"/>
    <w:rsid w:val="000C326F"/>
    <w:rsid w:val="000C4E65"/>
    <w:rsid w:val="000D3BD1"/>
    <w:rsid w:val="000D5F6D"/>
    <w:rsid w:val="000D63C1"/>
    <w:rsid w:val="000E1F9C"/>
    <w:rsid w:val="000E3D1F"/>
    <w:rsid w:val="000E3ECB"/>
    <w:rsid w:val="000E42FA"/>
    <w:rsid w:val="000E5467"/>
    <w:rsid w:val="000E5932"/>
    <w:rsid w:val="000E5F67"/>
    <w:rsid w:val="000F125C"/>
    <w:rsid w:val="000F140C"/>
    <w:rsid w:val="000F22AE"/>
    <w:rsid w:val="000F48F0"/>
    <w:rsid w:val="000F57B8"/>
    <w:rsid w:val="000F7477"/>
    <w:rsid w:val="0010243B"/>
    <w:rsid w:val="00110304"/>
    <w:rsid w:val="001118F7"/>
    <w:rsid w:val="001147E6"/>
    <w:rsid w:val="00120A99"/>
    <w:rsid w:val="001219F8"/>
    <w:rsid w:val="00124D3F"/>
    <w:rsid w:val="001303B2"/>
    <w:rsid w:val="00131B01"/>
    <w:rsid w:val="0013629D"/>
    <w:rsid w:val="0013655B"/>
    <w:rsid w:val="00136C57"/>
    <w:rsid w:val="001429F9"/>
    <w:rsid w:val="00146A96"/>
    <w:rsid w:val="00157C39"/>
    <w:rsid w:val="00157C56"/>
    <w:rsid w:val="00161EE6"/>
    <w:rsid w:val="00162B22"/>
    <w:rsid w:val="001661CF"/>
    <w:rsid w:val="0016701E"/>
    <w:rsid w:val="001713F6"/>
    <w:rsid w:val="001737AA"/>
    <w:rsid w:val="00174ED7"/>
    <w:rsid w:val="00175B85"/>
    <w:rsid w:val="0018261E"/>
    <w:rsid w:val="0018525D"/>
    <w:rsid w:val="001856C3"/>
    <w:rsid w:val="001915A1"/>
    <w:rsid w:val="00191EBF"/>
    <w:rsid w:val="00191F5F"/>
    <w:rsid w:val="001929A0"/>
    <w:rsid w:val="001945B7"/>
    <w:rsid w:val="0019486A"/>
    <w:rsid w:val="001960C9"/>
    <w:rsid w:val="00197AEF"/>
    <w:rsid w:val="001A3E5C"/>
    <w:rsid w:val="001A48B9"/>
    <w:rsid w:val="001A54D2"/>
    <w:rsid w:val="001A5BE9"/>
    <w:rsid w:val="001A7546"/>
    <w:rsid w:val="001B0BB3"/>
    <w:rsid w:val="001B4E1D"/>
    <w:rsid w:val="001B5B69"/>
    <w:rsid w:val="001B798A"/>
    <w:rsid w:val="001B7B96"/>
    <w:rsid w:val="001C43B3"/>
    <w:rsid w:val="001C5CCA"/>
    <w:rsid w:val="001C7896"/>
    <w:rsid w:val="001D0387"/>
    <w:rsid w:val="001D1F16"/>
    <w:rsid w:val="001D2010"/>
    <w:rsid w:val="001D2E6E"/>
    <w:rsid w:val="001D4A54"/>
    <w:rsid w:val="001D4B80"/>
    <w:rsid w:val="001D4F56"/>
    <w:rsid w:val="001D6B61"/>
    <w:rsid w:val="001D70B7"/>
    <w:rsid w:val="001E007C"/>
    <w:rsid w:val="001E2FAB"/>
    <w:rsid w:val="001E6FF4"/>
    <w:rsid w:val="001F3908"/>
    <w:rsid w:val="001F5881"/>
    <w:rsid w:val="001F5C1D"/>
    <w:rsid w:val="001F5DAB"/>
    <w:rsid w:val="001F6ECF"/>
    <w:rsid w:val="0020088F"/>
    <w:rsid w:val="00202BB9"/>
    <w:rsid w:val="00207868"/>
    <w:rsid w:val="00210AEF"/>
    <w:rsid w:val="00217F1D"/>
    <w:rsid w:val="00220C00"/>
    <w:rsid w:val="00220C30"/>
    <w:rsid w:val="0022128C"/>
    <w:rsid w:val="002218CC"/>
    <w:rsid w:val="002225FF"/>
    <w:rsid w:val="00230351"/>
    <w:rsid w:val="00231326"/>
    <w:rsid w:val="00233A69"/>
    <w:rsid w:val="00237F51"/>
    <w:rsid w:val="0024271D"/>
    <w:rsid w:val="00243984"/>
    <w:rsid w:val="00246A1E"/>
    <w:rsid w:val="00250E4C"/>
    <w:rsid w:val="0025375E"/>
    <w:rsid w:val="00254045"/>
    <w:rsid w:val="00254CFF"/>
    <w:rsid w:val="00255C26"/>
    <w:rsid w:val="00257DCB"/>
    <w:rsid w:val="0026072D"/>
    <w:rsid w:val="00263F0A"/>
    <w:rsid w:val="00264177"/>
    <w:rsid w:val="00265592"/>
    <w:rsid w:val="00277419"/>
    <w:rsid w:val="00277D10"/>
    <w:rsid w:val="00280690"/>
    <w:rsid w:val="00282ABD"/>
    <w:rsid w:val="00284F61"/>
    <w:rsid w:val="00285786"/>
    <w:rsid w:val="00286528"/>
    <w:rsid w:val="00286B6B"/>
    <w:rsid w:val="00286FCB"/>
    <w:rsid w:val="00290046"/>
    <w:rsid w:val="0029009C"/>
    <w:rsid w:val="002916A4"/>
    <w:rsid w:val="00295162"/>
    <w:rsid w:val="002A3AB9"/>
    <w:rsid w:val="002A4175"/>
    <w:rsid w:val="002A6A75"/>
    <w:rsid w:val="002A794A"/>
    <w:rsid w:val="002A7C8C"/>
    <w:rsid w:val="002A7CBB"/>
    <w:rsid w:val="002B0917"/>
    <w:rsid w:val="002B0EA6"/>
    <w:rsid w:val="002B6D80"/>
    <w:rsid w:val="002C74A2"/>
    <w:rsid w:val="002C751D"/>
    <w:rsid w:val="002D2029"/>
    <w:rsid w:val="002D7127"/>
    <w:rsid w:val="002D7425"/>
    <w:rsid w:val="002E0D18"/>
    <w:rsid w:val="002E1C13"/>
    <w:rsid w:val="002E203A"/>
    <w:rsid w:val="002E2808"/>
    <w:rsid w:val="002F0D09"/>
    <w:rsid w:val="002F20C8"/>
    <w:rsid w:val="002F21D6"/>
    <w:rsid w:val="002F3ED7"/>
    <w:rsid w:val="002F410B"/>
    <w:rsid w:val="002F41F4"/>
    <w:rsid w:val="002F4F7E"/>
    <w:rsid w:val="002F618D"/>
    <w:rsid w:val="002F70F0"/>
    <w:rsid w:val="0030038E"/>
    <w:rsid w:val="00302F4A"/>
    <w:rsid w:val="003059DF"/>
    <w:rsid w:val="00306A58"/>
    <w:rsid w:val="00306C70"/>
    <w:rsid w:val="00310106"/>
    <w:rsid w:val="003111D2"/>
    <w:rsid w:val="0031472E"/>
    <w:rsid w:val="00314C20"/>
    <w:rsid w:val="00316DEA"/>
    <w:rsid w:val="00317492"/>
    <w:rsid w:val="00320F92"/>
    <w:rsid w:val="003246D8"/>
    <w:rsid w:val="0033170F"/>
    <w:rsid w:val="00334322"/>
    <w:rsid w:val="00335332"/>
    <w:rsid w:val="00335424"/>
    <w:rsid w:val="00340392"/>
    <w:rsid w:val="00340AB3"/>
    <w:rsid w:val="00343CC9"/>
    <w:rsid w:val="003470D2"/>
    <w:rsid w:val="0035155C"/>
    <w:rsid w:val="003524E8"/>
    <w:rsid w:val="003543BB"/>
    <w:rsid w:val="003617D0"/>
    <w:rsid w:val="00361F57"/>
    <w:rsid w:val="003632A8"/>
    <w:rsid w:val="00365119"/>
    <w:rsid w:val="003679EF"/>
    <w:rsid w:val="00371DD4"/>
    <w:rsid w:val="00373346"/>
    <w:rsid w:val="00375058"/>
    <w:rsid w:val="0038045B"/>
    <w:rsid w:val="0038330A"/>
    <w:rsid w:val="003857AF"/>
    <w:rsid w:val="00386F48"/>
    <w:rsid w:val="00387008"/>
    <w:rsid w:val="0039054C"/>
    <w:rsid w:val="00392C98"/>
    <w:rsid w:val="00393F49"/>
    <w:rsid w:val="00394620"/>
    <w:rsid w:val="00395634"/>
    <w:rsid w:val="003A183B"/>
    <w:rsid w:val="003A1EAA"/>
    <w:rsid w:val="003A3EC4"/>
    <w:rsid w:val="003B535E"/>
    <w:rsid w:val="003B6002"/>
    <w:rsid w:val="003B685F"/>
    <w:rsid w:val="003C3ABA"/>
    <w:rsid w:val="003C54C6"/>
    <w:rsid w:val="003C5E8D"/>
    <w:rsid w:val="003C7BCA"/>
    <w:rsid w:val="003D041D"/>
    <w:rsid w:val="003D0A03"/>
    <w:rsid w:val="003D2D25"/>
    <w:rsid w:val="003D4EEE"/>
    <w:rsid w:val="003D4FBE"/>
    <w:rsid w:val="003D7AC9"/>
    <w:rsid w:val="003E2CFD"/>
    <w:rsid w:val="003E44B2"/>
    <w:rsid w:val="003E51EF"/>
    <w:rsid w:val="003E5D2F"/>
    <w:rsid w:val="003E63FF"/>
    <w:rsid w:val="003E6DF7"/>
    <w:rsid w:val="003E7ABA"/>
    <w:rsid w:val="003E7B1D"/>
    <w:rsid w:val="003F0524"/>
    <w:rsid w:val="003F0732"/>
    <w:rsid w:val="003F4528"/>
    <w:rsid w:val="003F4E81"/>
    <w:rsid w:val="003F6F72"/>
    <w:rsid w:val="003F7DD9"/>
    <w:rsid w:val="004030C3"/>
    <w:rsid w:val="0040347A"/>
    <w:rsid w:val="004055CE"/>
    <w:rsid w:val="0040653C"/>
    <w:rsid w:val="004120CF"/>
    <w:rsid w:val="00412789"/>
    <w:rsid w:val="004163C6"/>
    <w:rsid w:val="0042308C"/>
    <w:rsid w:val="00424D96"/>
    <w:rsid w:val="00424F30"/>
    <w:rsid w:val="00426DC9"/>
    <w:rsid w:val="00431951"/>
    <w:rsid w:val="00434342"/>
    <w:rsid w:val="00435333"/>
    <w:rsid w:val="004356B4"/>
    <w:rsid w:val="00435EC4"/>
    <w:rsid w:val="004405B8"/>
    <w:rsid w:val="00443002"/>
    <w:rsid w:val="00443646"/>
    <w:rsid w:val="004447F3"/>
    <w:rsid w:val="0045080A"/>
    <w:rsid w:val="00450E3A"/>
    <w:rsid w:val="00452045"/>
    <w:rsid w:val="00454A1B"/>
    <w:rsid w:val="00454FBE"/>
    <w:rsid w:val="00455192"/>
    <w:rsid w:val="004563D8"/>
    <w:rsid w:val="00456FFA"/>
    <w:rsid w:val="00461A86"/>
    <w:rsid w:val="0046284D"/>
    <w:rsid w:val="004654C1"/>
    <w:rsid w:val="00466F89"/>
    <w:rsid w:val="00471751"/>
    <w:rsid w:val="00472845"/>
    <w:rsid w:val="004755E2"/>
    <w:rsid w:val="00475CF3"/>
    <w:rsid w:val="00475E16"/>
    <w:rsid w:val="00477459"/>
    <w:rsid w:val="00481815"/>
    <w:rsid w:val="00491AA5"/>
    <w:rsid w:val="004928C0"/>
    <w:rsid w:val="00493F70"/>
    <w:rsid w:val="0049559D"/>
    <w:rsid w:val="004A0387"/>
    <w:rsid w:val="004A15F2"/>
    <w:rsid w:val="004A1D57"/>
    <w:rsid w:val="004A2D96"/>
    <w:rsid w:val="004A3394"/>
    <w:rsid w:val="004A3668"/>
    <w:rsid w:val="004A7A03"/>
    <w:rsid w:val="004B01ED"/>
    <w:rsid w:val="004B0859"/>
    <w:rsid w:val="004B6EF2"/>
    <w:rsid w:val="004B7E49"/>
    <w:rsid w:val="004C1BC2"/>
    <w:rsid w:val="004C2143"/>
    <w:rsid w:val="004C6C64"/>
    <w:rsid w:val="004D4649"/>
    <w:rsid w:val="004D7BF1"/>
    <w:rsid w:val="004E5976"/>
    <w:rsid w:val="004E62FE"/>
    <w:rsid w:val="004E666F"/>
    <w:rsid w:val="004F38D4"/>
    <w:rsid w:val="004F528E"/>
    <w:rsid w:val="004F5CC3"/>
    <w:rsid w:val="004F7F00"/>
    <w:rsid w:val="00500E03"/>
    <w:rsid w:val="00503E52"/>
    <w:rsid w:val="00504057"/>
    <w:rsid w:val="00507E45"/>
    <w:rsid w:val="005102E2"/>
    <w:rsid w:val="00516454"/>
    <w:rsid w:val="00516C5A"/>
    <w:rsid w:val="0052322C"/>
    <w:rsid w:val="00524BE4"/>
    <w:rsid w:val="00527FB1"/>
    <w:rsid w:val="0053290B"/>
    <w:rsid w:val="0053725D"/>
    <w:rsid w:val="005400D7"/>
    <w:rsid w:val="00540403"/>
    <w:rsid w:val="00542797"/>
    <w:rsid w:val="005429AE"/>
    <w:rsid w:val="00543E81"/>
    <w:rsid w:val="00544A93"/>
    <w:rsid w:val="005457D4"/>
    <w:rsid w:val="00547843"/>
    <w:rsid w:val="00550B8E"/>
    <w:rsid w:val="00550F45"/>
    <w:rsid w:val="005524D1"/>
    <w:rsid w:val="00552743"/>
    <w:rsid w:val="005529CE"/>
    <w:rsid w:val="00552E97"/>
    <w:rsid w:val="00553C3F"/>
    <w:rsid w:val="00553E1F"/>
    <w:rsid w:val="00557832"/>
    <w:rsid w:val="00561CD4"/>
    <w:rsid w:val="005634A9"/>
    <w:rsid w:val="0056410E"/>
    <w:rsid w:val="00564E7D"/>
    <w:rsid w:val="00566CFE"/>
    <w:rsid w:val="005716A4"/>
    <w:rsid w:val="00571E54"/>
    <w:rsid w:val="00575914"/>
    <w:rsid w:val="0057730C"/>
    <w:rsid w:val="00580DDF"/>
    <w:rsid w:val="00581529"/>
    <w:rsid w:val="00581926"/>
    <w:rsid w:val="00583E0B"/>
    <w:rsid w:val="00584F8E"/>
    <w:rsid w:val="00585320"/>
    <w:rsid w:val="00591A62"/>
    <w:rsid w:val="00592B83"/>
    <w:rsid w:val="00592F31"/>
    <w:rsid w:val="005931DD"/>
    <w:rsid w:val="00595843"/>
    <w:rsid w:val="005975EA"/>
    <w:rsid w:val="005A0D83"/>
    <w:rsid w:val="005A368D"/>
    <w:rsid w:val="005A79EE"/>
    <w:rsid w:val="005B0742"/>
    <w:rsid w:val="005B0879"/>
    <w:rsid w:val="005B1E9A"/>
    <w:rsid w:val="005B2EC3"/>
    <w:rsid w:val="005B323A"/>
    <w:rsid w:val="005B3E24"/>
    <w:rsid w:val="005B5607"/>
    <w:rsid w:val="005B5D26"/>
    <w:rsid w:val="005C349E"/>
    <w:rsid w:val="005C5049"/>
    <w:rsid w:val="005C526F"/>
    <w:rsid w:val="005D147F"/>
    <w:rsid w:val="005D1773"/>
    <w:rsid w:val="005D4744"/>
    <w:rsid w:val="005D4E2E"/>
    <w:rsid w:val="005E3A37"/>
    <w:rsid w:val="005E485C"/>
    <w:rsid w:val="005E5552"/>
    <w:rsid w:val="005E56EC"/>
    <w:rsid w:val="005E57F4"/>
    <w:rsid w:val="005E657A"/>
    <w:rsid w:val="005E7C8C"/>
    <w:rsid w:val="005F0B85"/>
    <w:rsid w:val="005F1E5D"/>
    <w:rsid w:val="006023BD"/>
    <w:rsid w:val="006026EE"/>
    <w:rsid w:val="0060484C"/>
    <w:rsid w:val="00606FAA"/>
    <w:rsid w:val="00611620"/>
    <w:rsid w:val="00615785"/>
    <w:rsid w:val="006171D9"/>
    <w:rsid w:val="00620532"/>
    <w:rsid w:val="00620810"/>
    <w:rsid w:val="0062421B"/>
    <w:rsid w:val="00626D33"/>
    <w:rsid w:val="00627AD2"/>
    <w:rsid w:val="006307FC"/>
    <w:rsid w:val="00632D7B"/>
    <w:rsid w:val="00635E72"/>
    <w:rsid w:val="00642F35"/>
    <w:rsid w:val="006473C1"/>
    <w:rsid w:val="00647E8E"/>
    <w:rsid w:val="0065317B"/>
    <w:rsid w:val="00653A74"/>
    <w:rsid w:val="00654C26"/>
    <w:rsid w:val="00656025"/>
    <w:rsid w:val="00656152"/>
    <w:rsid w:val="006563B7"/>
    <w:rsid w:val="00656BB6"/>
    <w:rsid w:val="006634F8"/>
    <w:rsid w:val="006639F6"/>
    <w:rsid w:val="0066753D"/>
    <w:rsid w:val="00670B57"/>
    <w:rsid w:val="0067495F"/>
    <w:rsid w:val="00674E80"/>
    <w:rsid w:val="00681768"/>
    <w:rsid w:val="006857D0"/>
    <w:rsid w:val="006900AD"/>
    <w:rsid w:val="006914D6"/>
    <w:rsid w:val="00695D97"/>
    <w:rsid w:val="0069659C"/>
    <w:rsid w:val="006A07F9"/>
    <w:rsid w:val="006A2303"/>
    <w:rsid w:val="006A2464"/>
    <w:rsid w:val="006A5FA1"/>
    <w:rsid w:val="006A673E"/>
    <w:rsid w:val="006B09B0"/>
    <w:rsid w:val="006B505E"/>
    <w:rsid w:val="006B6C32"/>
    <w:rsid w:val="006B78CE"/>
    <w:rsid w:val="006C0377"/>
    <w:rsid w:val="006C202B"/>
    <w:rsid w:val="006C521C"/>
    <w:rsid w:val="006C5A96"/>
    <w:rsid w:val="006D21F9"/>
    <w:rsid w:val="006D3DD4"/>
    <w:rsid w:val="006D47BA"/>
    <w:rsid w:val="006D505E"/>
    <w:rsid w:val="006D520B"/>
    <w:rsid w:val="006D604D"/>
    <w:rsid w:val="006D6159"/>
    <w:rsid w:val="006E1C63"/>
    <w:rsid w:val="006E41DA"/>
    <w:rsid w:val="006F2910"/>
    <w:rsid w:val="006F2AFB"/>
    <w:rsid w:val="006F2B67"/>
    <w:rsid w:val="006F605E"/>
    <w:rsid w:val="00700C5E"/>
    <w:rsid w:val="007013EB"/>
    <w:rsid w:val="00704427"/>
    <w:rsid w:val="007058A8"/>
    <w:rsid w:val="00705BB7"/>
    <w:rsid w:val="00706FDE"/>
    <w:rsid w:val="00707700"/>
    <w:rsid w:val="00711ABC"/>
    <w:rsid w:val="00712E01"/>
    <w:rsid w:val="007139C8"/>
    <w:rsid w:val="00715C34"/>
    <w:rsid w:val="00716959"/>
    <w:rsid w:val="007224A7"/>
    <w:rsid w:val="00723B32"/>
    <w:rsid w:val="00723B78"/>
    <w:rsid w:val="0072519A"/>
    <w:rsid w:val="0072686F"/>
    <w:rsid w:val="007279A2"/>
    <w:rsid w:val="00727FC0"/>
    <w:rsid w:val="00731A2D"/>
    <w:rsid w:val="007323D4"/>
    <w:rsid w:val="00733239"/>
    <w:rsid w:val="0073480F"/>
    <w:rsid w:val="0073639B"/>
    <w:rsid w:val="007365FA"/>
    <w:rsid w:val="00740166"/>
    <w:rsid w:val="00742416"/>
    <w:rsid w:val="00742AE5"/>
    <w:rsid w:val="00750CC4"/>
    <w:rsid w:val="007555D3"/>
    <w:rsid w:val="0076025F"/>
    <w:rsid w:val="007621EF"/>
    <w:rsid w:val="00764DD5"/>
    <w:rsid w:val="00770CCF"/>
    <w:rsid w:val="007725C6"/>
    <w:rsid w:val="00774286"/>
    <w:rsid w:val="00776E4E"/>
    <w:rsid w:val="00777230"/>
    <w:rsid w:val="00777DC0"/>
    <w:rsid w:val="00780E05"/>
    <w:rsid w:val="00781F9F"/>
    <w:rsid w:val="00782E5D"/>
    <w:rsid w:val="007854B7"/>
    <w:rsid w:val="0078550A"/>
    <w:rsid w:val="0078640D"/>
    <w:rsid w:val="00786982"/>
    <w:rsid w:val="007869B4"/>
    <w:rsid w:val="00787F12"/>
    <w:rsid w:val="0079468F"/>
    <w:rsid w:val="00794893"/>
    <w:rsid w:val="0079569E"/>
    <w:rsid w:val="00796106"/>
    <w:rsid w:val="00797FCA"/>
    <w:rsid w:val="007A4764"/>
    <w:rsid w:val="007A6016"/>
    <w:rsid w:val="007A74EF"/>
    <w:rsid w:val="007B18C7"/>
    <w:rsid w:val="007B1A4B"/>
    <w:rsid w:val="007B23B0"/>
    <w:rsid w:val="007B34BF"/>
    <w:rsid w:val="007B5B42"/>
    <w:rsid w:val="007B75B7"/>
    <w:rsid w:val="007C5A26"/>
    <w:rsid w:val="007C70FA"/>
    <w:rsid w:val="007C7407"/>
    <w:rsid w:val="007D0027"/>
    <w:rsid w:val="007D2A7B"/>
    <w:rsid w:val="007D3929"/>
    <w:rsid w:val="007D5287"/>
    <w:rsid w:val="007D56F6"/>
    <w:rsid w:val="007D6155"/>
    <w:rsid w:val="007D6942"/>
    <w:rsid w:val="007E1B1F"/>
    <w:rsid w:val="007E29C4"/>
    <w:rsid w:val="007E7596"/>
    <w:rsid w:val="007F1A5B"/>
    <w:rsid w:val="007F1FA4"/>
    <w:rsid w:val="007F331A"/>
    <w:rsid w:val="007F334C"/>
    <w:rsid w:val="007F48F6"/>
    <w:rsid w:val="007F51A3"/>
    <w:rsid w:val="007F6BF5"/>
    <w:rsid w:val="007F7BBB"/>
    <w:rsid w:val="00800D40"/>
    <w:rsid w:val="0080384C"/>
    <w:rsid w:val="00803D02"/>
    <w:rsid w:val="00812407"/>
    <w:rsid w:val="00815C91"/>
    <w:rsid w:val="00817941"/>
    <w:rsid w:val="00820E1B"/>
    <w:rsid w:val="00822089"/>
    <w:rsid w:val="00823497"/>
    <w:rsid w:val="008242F8"/>
    <w:rsid w:val="00824408"/>
    <w:rsid w:val="008259F8"/>
    <w:rsid w:val="0082681A"/>
    <w:rsid w:val="00833541"/>
    <w:rsid w:val="008346FD"/>
    <w:rsid w:val="00834B85"/>
    <w:rsid w:val="008369D5"/>
    <w:rsid w:val="00842637"/>
    <w:rsid w:val="00842D57"/>
    <w:rsid w:val="00844BF3"/>
    <w:rsid w:val="00845C52"/>
    <w:rsid w:val="008468DA"/>
    <w:rsid w:val="0085276E"/>
    <w:rsid w:val="00853511"/>
    <w:rsid w:val="00853971"/>
    <w:rsid w:val="00854B9C"/>
    <w:rsid w:val="00857ED0"/>
    <w:rsid w:val="00861086"/>
    <w:rsid w:val="00861912"/>
    <w:rsid w:val="00866DBE"/>
    <w:rsid w:val="00870214"/>
    <w:rsid w:val="0087073F"/>
    <w:rsid w:val="00871B76"/>
    <w:rsid w:val="00871D12"/>
    <w:rsid w:val="0087237C"/>
    <w:rsid w:val="00882077"/>
    <w:rsid w:val="0088358B"/>
    <w:rsid w:val="00883E95"/>
    <w:rsid w:val="008952FA"/>
    <w:rsid w:val="008A3B0F"/>
    <w:rsid w:val="008A7017"/>
    <w:rsid w:val="008B07A3"/>
    <w:rsid w:val="008B1E6E"/>
    <w:rsid w:val="008B4F40"/>
    <w:rsid w:val="008B6C3B"/>
    <w:rsid w:val="008C010B"/>
    <w:rsid w:val="008C111A"/>
    <w:rsid w:val="008C2572"/>
    <w:rsid w:val="008D029B"/>
    <w:rsid w:val="008D302F"/>
    <w:rsid w:val="008D3998"/>
    <w:rsid w:val="008D3D8C"/>
    <w:rsid w:val="008D6624"/>
    <w:rsid w:val="008D7838"/>
    <w:rsid w:val="008E31B3"/>
    <w:rsid w:val="008E5318"/>
    <w:rsid w:val="008F084E"/>
    <w:rsid w:val="008F1D05"/>
    <w:rsid w:val="008F1E73"/>
    <w:rsid w:val="008F4BB4"/>
    <w:rsid w:val="008F69E7"/>
    <w:rsid w:val="008F7946"/>
    <w:rsid w:val="0090119D"/>
    <w:rsid w:val="00907737"/>
    <w:rsid w:val="00910056"/>
    <w:rsid w:val="00911BCA"/>
    <w:rsid w:val="00915564"/>
    <w:rsid w:val="00920E38"/>
    <w:rsid w:val="00925D2C"/>
    <w:rsid w:val="0092625D"/>
    <w:rsid w:val="00930431"/>
    <w:rsid w:val="009308B1"/>
    <w:rsid w:val="00930AC9"/>
    <w:rsid w:val="00932EAE"/>
    <w:rsid w:val="00933934"/>
    <w:rsid w:val="0094133E"/>
    <w:rsid w:val="00944477"/>
    <w:rsid w:val="00946D4C"/>
    <w:rsid w:val="00950253"/>
    <w:rsid w:val="00952362"/>
    <w:rsid w:val="0095252D"/>
    <w:rsid w:val="00961CFB"/>
    <w:rsid w:val="009642C8"/>
    <w:rsid w:val="00964A72"/>
    <w:rsid w:val="0096561C"/>
    <w:rsid w:val="00965656"/>
    <w:rsid w:val="00966846"/>
    <w:rsid w:val="00970C5D"/>
    <w:rsid w:val="0097296D"/>
    <w:rsid w:val="00973056"/>
    <w:rsid w:val="009808A1"/>
    <w:rsid w:val="009831C2"/>
    <w:rsid w:val="00983341"/>
    <w:rsid w:val="00983736"/>
    <w:rsid w:val="009861B5"/>
    <w:rsid w:val="00986916"/>
    <w:rsid w:val="00991206"/>
    <w:rsid w:val="00993AEB"/>
    <w:rsid w:val="009A1088"/>
    <w:rsid w:val="009A6310"/>
    <w:rsid w:val="009B071F"/>
    <w:rsid w:val="009B219A"/>
    <w:rsid w:val="009B3826"/>
    <w:rsid w:val="009B5BAA"/>
    <w:rsid w:val="009B6494"/>
    <w:rsid w:val="009B7672"/>
    <w:rsid w:val="009C1E87"/>
    <w:rsid w:val="009C3DE4"/>
    <w:rsid w:val="009C4EED"/>
    <w:rsid w:val="009C6398"/>
    <w:rsid w:val="009D42D2"/>
    <w:rsid w:val="009D4E35"/>
    <w:rsid w:val="009D7894"/>
    <w:rsid w:val="009E14C0"/>
    <w:rsid w:val="009E225D"/>
    <w:rsid w:val="009E25A1"/>
    <w:rsid w:val="009E2781"/>
    <w:rsid w:val="009E6CE6"/>
    <w:rsid w:val="009F7047"/>
    <w:rsid w:val="009F70D3"/>
    <w:rsid w:val="00A03EA0"/>
    <w:rsid w:val="00A04EC7"/>
    <w:rsid w:val="00A06DCC"/>
    <w:rsid w:val="00A12764"/>
    <w:rsid w:val="00A12C0F"/>
    <w:rsid w:val="00A14066"/>
    <w:rsid w:val="00A215D5"/>
    <w:rsid w:val="00A220A8"/>
    <w:rsid w:val="00A2227F"/>
    <w:rsid w:val="00A23654"/>
    <w:rsid w:val="00A30BC1"/>
    <w:rsid w:val="00A3149A"/>
    <w:rsid w:val="00A31AEC"/>
    <w:rsid w:val="00A332CF"/>
    <w:rsid w:val="00A337A1"/>
    <w:rsid w:val="00A3600E"/>
    <w:rsid w:val="00A36144"/>
    <w:rsid w:val="00A36C29"/>
    <w:rsid w:val="00A4241E"/>
    <w:rsid w:val="00A425A1"/>
    <w:rsid w:val="00A44BE4"/>
    <w:rsid w:val="00A45389"/>
    <w:rsid w:val="00A50815"/>
    <w:rsid w:val="00A51BE7"/>
    <w:rsid w:val="00A5545F"/>
    <w:rsid w:val="00A5622F"/>
    <w:rsid w:val="00A575C9"/>
    <w:rsid w:val="00A618F7"/>
    <w:rsid w:val="00A6276A"/>
    <w:rsid w:val="00A66A85"/>
    <w:rsid w:val="00A66E58"/>
    <w:rsid w:val="00A72C45"/>
    <w:rsid w:val="00A84207"/>
    <w:rsid w:val="00A84448"/>
    <w:rsid w:val="00A85C2E"/>
    <w:rsid w:val="00A878D5"/>
    <w:rsid w:val="00A87E5C"/>
    <w:rsid w:val="00A9087D"/>
    <w:rsid w:val="00A90EDA"/>
    <w:rsid w:val="00A9284B"/>
    <w:rsid w:val="00A9679B"/>
    <w:rsid w:val="00AA1FF0"/>
    <w:rsid w:val="00AA2890"/>
    <w:rsid w:val="00AA4F37"/>
    <w:rsid w:val="00AA56F3"/>
    <w:rsid w:val="00AA5C33"/>
    <w:rsid w:val="00AB0B7C"/>
    <w:rsid w:val="00AB4373"/>
    <w:rsid w:val="00AB7900"/>
    <w:rsid w:val="00AC03BB"/>
    <w:rsid w:val="00AC0EEF"/>
    <w:rsid w:val="00AC1943"/>
    <w:rsid w:val="00AC3A91"/>
    <w:rsid w:val="00AD3261"/>
    <w:rsid w:val="00AD6817"/>
    <w:rsid w:val="00AE03B2"/>
    <w:rsid w:val="00AE0F1B"/>
    <w:rsid w:val="00AE23A7"/>
    <w:rsid w:val="00AE452C"/>
    <w:rsid w:val="00AE7D3F"/>
    <w:rsid w:val="00AF1BFA"/>
    <w:rsid w:val="00AF1C97"/>
    <w:rsid w:val="00AF3FF5"/>
    <w:rsid w:val="00B005AA"/>
    <w:rsid w:val="00B06096"/>
    <w:rsid w:val="00B1019B"/>
    <w:rsid w:val="00B10335"/>
    <w:rsid w:val="00B10A16"/>
    <w:rsid w:val="00B12C1F"/>
    <w:rsid w:val="00B16420"/>
    <w:rsid w:val="00B17362"/>
    <w:rsid w:val="00B21816"/>
    <w:rsid w:val="00B225F9"/>
    <w:rsid w:val="00B233DB"/>
    <w:rsid w:val="00B25E69"/>
    <w:rsid w:val="00B30208"/>
    <w:rsid w:val="00B338AA"/>
    <w:rsid w:val="00B34237"/>
    <w:rsid w:val="00B34925"/>
    <w:rsid w:val="00B35E0F"/>
    <w:rsid w:val="00B36345"/>
    <w:rsid w:val="00B37625"/>
    <w:rsid w:val="00B4279D"/>
    <w:rsid w:val="00B458E9"/>
    <w:rsid w:val="00B45BE6"/>
    <w:rsid w:val="00B468BF"/>
    <w:rsid w:val="00B4789F"/>
    <w:rsid w:val="00B5013A"/>
    <w:rsid w:val="00B50704"/>
    <w:rsid w:val="00B52082"/>
    <w:rsid w:val="00B533EE"/>
    <w:rsid w:val="00B55A7C"/>
    <w:rsid w:val="00B62FDE"/>
    <w:rsid w:val="00B63B75"/>
    <w:rsid w:val="00B72B48"/>
    <w:rsid w:val="00B74D82"/>
    <w:rsid w:val="00B77E85"/>
    <w:rsid w:val="00B812CB"/>
    <w:rsid w:val="00B81AAC"/>
    <w:rsid w:val="00B861AF"/>
    <w:rsid w:val="00B9047D"/>
    <w:rsid w:val="00B92295"/>
    <w:rsid w:val="00B92725"/>
    <w:rsid w:val="00B93CAB"/>
    <w:rsid w:val="00B94411"/>
    <w:rsid w:val="00BA034B"/>
    <w:rsid w:val="00BA04B1"/>
    <w:rsid w:val="00BA09E1"/>
    <w:rsid w:val="00BA3344"/>
    <w:rsid w:val="00BA474D"/>
    <w:rsid w:val="00BA4ADE"/>
    <w:rsid w:val="00BA63DF"/>
    <w:rsid w:val="00BA7437"/>
    <w:rsid w:val="00BB32E3"/>
    <w:rsid w:val="00BB5F34"/>
    <w:rsid w:val="00BB6D2B"/>
    <w:rsid w:val="00BB7A88"/>
    <w:rsid w:val="00BC2EB1"/>
    <w:rsid w:val="00BC2F88"/>
    <w:rsid w:val="00BC31FD"/>
    <w:rsid w:val="00BC4395"/>
    <w:rsid w:val="00BC7EEC"/>
    <w:rsid w:val="00BD0FA0"/>
    <w:rsid w:val="00BD1CE3"/>
    <w:rsid w:val="00BD31BC"/>
    <w:rsid w:val="00BD387C"/>
    <w:rsid w:val="00BD43E7"/>
    <w:rsid w:val="00BD7683"/>
    <w:rsid w:val="00BE11CE"/>
    <w:rsid w:val="00BE24A1"/>
    <w:rsid w:val="00BE24B6"/>
    <w:rsid w:val="00BF2B24"/>
    <w:rsid w:val="00BF3A03"/>
    <w:rsid w:val="00BF5C9A"/>
    <w:rsid w:val="00BF5F31"/>
    <w:rsid w:val="00BF7513"/>
    <w:rsid w:val="00C00EA4"/>
    <w:rsid w:val="00C01004"/>
    <w:rsid w:val="00C01B0C"/>
    <w:rsid w:val="00C0573D"/>
    <w:rsid w:val="00C117C6"/>
    <w:rsid w:val="00C15F19"/>
    <w:rsid w:val="00C16956"/>
    <w:rsid w:val="00C178EF"/>
    <w:rsid w:val="00C204EE"/>
    <w:rsid w:val="00C22127"/>
    <w:rsid w:val="00C24716"/>
    <w:rsid w:val="00C25400"/>
    <w:rsid w:val="00C25D37"/>
    <w:rsid w:val="00C26EDF"/>
    <w:rsid w:val="00C2790C"/>
    <w:rsid w:val="00C32A13"/>
    <w:rsid w:val="00C32B0E"/>
    <w:rsid w:val="00C3323E"/>
    <w:rsid w:val="00C349BA"/>
    <w:rsid w:val="00C368A2"/>
    <w:rsid w:val="00C3717E"/>
    <w:rsid w:val="00C4644C"/>
    <w:rsid w:val="00C50FEC"/>
    <w:rsid w:val="00C524D4"/>
    <w:rsid w:val="00C55609"/>
    <w:rsid w:val="00C614BF"/>
    <w:rsid w:val="00C61EA5"/>
    <w:rsid w:val="00C62CDB"/>
    <w:rsid w:val="00C665C5"/>
    <w:rsid w:val="00C67A6A"/>
    <w:rsid w:val="00C70144"/>
    <w:rsid w:val="00C72124"/>
    <w:rsid w:val="00C72ED9"/>
    <w:rsid w:val="00C735B6"/>
    <w:rsid w:val="00C73F9F"/>
    <w:rsid w:val="00C750B2"/>
    <w:rsid w:val="00C76596"/>
    <w:rsid w:val="00C80621"/>
    <w:rsid w:val="00C848B1"/>
    <w:rsid w:val="00C84E44"/>
    <w:rsid w:val="00C853F6"/>
    <w:rsid w:val="00C86662"/>
    <w:rsid w:val="00C90442"/>
    <w:rsid w:val="00C90608"/>
    <w:rsid w:val="00C90E2C"/>
    <w:rsid w:val="00C92904"/>
    <w:rsid w:val="00C92A95"/>
    <w:rsid w:val="00C93577"/>
    <w:rsid w:val="00C976E3"/>
    <w:rsid w:val="00CA0084"/>
    <w:rsid w:val="00CA0BAD"/>
    <w:rsid w:val="00CB2491"/>
    <w:rsid w:val="00CB5970"/>
    <w:rsid w:val="00CC1F0B"/>
    <w:rsid w:val="00CC52BE"/>
    <w:rsid w:val="00CC7A4C"/>
    <w:rsid w:val="00CD1357"/>
    <w:rsid w:val="00CD1EED"/>
    <w:rsid w:val="00CD3890"/>
    <w:rsid w:val="00CD4158"/>
    <w:rsid w:val="00CD47B7"/>
    <w:rsid w:val="00CD6C1D"/>
    <w:rsid w:val="00CE5F61"/>
    <w:rsid w:val="00CF470E"/>
    <w:rsid w:val="00D017DE"/>
    <w:rsid w:val="00D033EE"/>
    <w:rsid w:val="00D041BA"/>
    <w:rsid w:val="00D04A88"/>
    <w:rsid w:val="00D05134"/>
    <w:rsid w:val="00D05384"/>
    <w:rsid w:val="00D06775"/>
    <w:rsid w:val="00D06EB7"/>
    <w:rsid w:val="00D14536"/>
    <w:rsid w:val="00D15FEF"/>
    <w:rsid w:val="00D168C4"/>
    <w:rsid w:val="00D22747"/>
    <w:rsid w:val="00D22E7F"/>
    <w:rsid w:val="00D30148"/>
    <w:rsid w:val="00D32C3E"/>
    <w:rsid w:val="00D33D12"/>
    <w:rsid w:val="00D34CC9"/>
    <w:rsid w:val="00D46602"/>
    <w:rsid w:val="00D46F85"/>
    <w:rsid w:val="00D50A19"/>
    <w:rsid w:val="00D53AE4"/>
    <w:rsid w:val="00D553E0"/>
    <w:rsid w:val="00D6028D"/>
    <w:rsid w:val="00D63A8D"/>
    <w:rsid w:val="00D640AB"/>
    <w:rsid w:val="00D65DCD"/>
    <w:rsid w:val="00D664FC"/>
    <w:rsid w:val="00D70453"/>
    <w:rsid w:val="00D75359"/>
    <w:rsid w:val="00D76F1C"/>
    <w:rsid w:val="00D80365"/>
    <w:rsid w:val="00D831DF"/>
    <w:rsid w:val="00D95AD7"/>
    <w:rsid w:val="00DA11A5"/>
    <w:rsid w:val="00DA250B"/>
    <w:rsid w:val="00DB4BFA"/>
    <w:rsid w:val="00DB72F0"/>
    <w:rsid w:val="00DB7514"/>
    <w:rsid w:val="00DB768A"/>
    <w:rsid w:val="00DC28D0"/>
    <w:rsid w:val="00DC2C49"/>
    <w:rsid w:val="00DC404D"/>
    <w:rsid w:val="00DC6957"/>
    <w:rsid w:val="00DC6B25"/>
    <w:rsid w:val="00DD1645"/>
    <w:rsid w:val="00DD36A0"/>
    <w:rsid w:val="00DD54F8"/>
    <w:rsid w:val="00DD7F35"/>
    <w:rsid w:val="00DE2330"/>
    <w:rsid w:val="00DE27CD"/>
    <w:rsid w:val="00DE284D"/>
    <w:rsid w:val="00DF675B"/>
    <w:rsid w:val="00DF7D40"/>
    <w:rsid w:val="00E0190B"/>
    <w:rsid w:val="00E02C51"/>
    <w:rsid w:val="00E052EA"/>
    <w:rsid w:val="00E06145"/>
    <w:rsid w:val="00E06DDC"/>
    <w:rsid w:val="00E07D56"/>
    <w:rsid w:val="00E1002F"/>
    <w:rsid w:val="00E10B4B"/>
    <w:rsid w:val="00E131B4"/>
    <w:rsid w:val="00E16C92"/>
    <w:rsid w:val="00E22F54"/>
    <w:rsid w:val="00E264DF"/>
    <w:rsid w:val="00E26C12"/>
    <w:rsid w:val="00E30E13"/>
    <w:rsid w:val="00E30E53"/>
    <w:rsid w:val="00E3102C"/>
    <w:rsid w:val="00E37E8F"/>
    <w:rsid w:val="00E40616"/>
    <w:rsid w:val="00E40B0C"/>
    <w:rsid w:val="00E54474"/>
    <w:rsid w:val="00E641F7"/>
    <w:rsid w:val="00E65865"/>
    <w:rsid w:val="00E6779E"/>
    <w:rsid w:val="00E726BD"/>
    <w:rsid w:val="00E752E0"/>
    <w:rsid w:val="00E81F3A"/>
    <w:rsid w:val="00E82480"/>
    <w:rsid w:val="00E82995"/>
    <w:rsid w:val="00E84E1F"/>
    <w:rsid w:val="00E851E1"/>
    <w:rsid w:val="00E90828"/>
    <w:rsid w:val="00E90A75"/>
    <w:rsid w:val="00E92C98"/>
    <w:rsid w:val="00E9533E"/>
    <w:rsid w:val="00E95866"/>
    <w:rsid w:val="00E95A0E"/>
    <w:rsid w:val="00EA0B91"/>
    <w:rsid w:val="00EA158A"/>
    <w:rsid w:val="00EA22A6"/>
    <w:rsid w:val="00EA23F3"/>
    <w:rsid w:val="00EA3F1A"/>
    <w:rsid w:val="00EB34D7"/>
    <w:rsid w:val="00EB6868"/>
    <w:rsid w:val="00EB6902"/>
    <w:rsid w:val="00EB7F26"/>
    <w:rsid w:val="00EC2360"/>
    <w:rsid w:val="00EC2C21"/>
    <w:rsid w:val="00EC41E0"/>
    <w:rsid w:val="00EC6524"/>
    <w:rsid w:val="00ED144A"/>
    <w:rsid w:val="00ED15F7"/>
    <w:rsid w:val="00ED26F1"/>
    <w:rsid w:val="00ED5A82"/>
    <w:rsid w:val="00ED62E7"/>
    <w:rsid w:val="00EE3EF3"/>
    <w:rsid w:val="00EE67E9"/>
    <w:rsid w:val="00EE79E8"/>
    <w:rsid w:val="00EF2134"/>
    <w:rsid w:val="00EF413E"/>
    <w:rsid w:val="00EF4C3E"/>
    <w:rsid w:val="00F007B8"/>
    <w:rsid w:val="00F00C71"/>
    <w:rsid w:val="00F01067"/>
    <w:rsid w:val="00F01B98"/>
    <w:rsid w:val="00F03579"/>
    <w:rsid w:val="00F036EB"/>
    <w:rsid w:val="00F06283"/>
    <w:rsid w:val="00F1248D"/>
    <w:rsid w:val="00F12754"/>
    <w:rsid w:val="00F147E8"/>
    <w:rsid w:val="00F1489A"/>
    <w:rsid w:val="00F16B26"/>
    <w:rsid w:val="00F21447"/>
    <w:rsid w:val="00F2353A"/>
    <w:rsid w:val="00F23885"/>
    <w:rsid w:val="00F24C01"/>
    <w:rsid w:val="00F30C5A"/>
    <w:rsid w:val="00F3237D"/>
    <w:rsid w:val="00F37564"/>
    <w:rsid w:val="00F40291"/>
    <w:rsid w:val="00F4316F"/>
    <w:rsid w:val="00F43DC4"/>
    <w:rsid w:val="00F44AFA"/>
    <w:rsid w:val="00F46159"/>
    <w:rsid w:val="00F501E9"/>
    <w:rsid w:val="00F528F4"/>
    <w:rsid w:val="00F530CE"/>
    <w:rsid w:val="00F566D6"/>
    <w:rsid w:val="00F5718A"/>
    <w:rsid w:val="00F571E8"/>
    <w:rsid w:val="00F61523"/>
    <w:rsid w:val="00F653A9"/>
    <w:rsid w:val="00F657FA"/>
    <w:rsid w:val="00F6799A"/>
    <w:rsid w:val="00F7079E"/>
    <w:rsid w:val="00F70EDB"/>
    <w:rsid w:val="00F7443E"/>
    <w:rsid w:val="00F763AA"/>
    <w:rsid w:val="00F813F1"/>
    <w:rsid w:val="00F81D44"/>
    <w:rsid w:val="00F83F3D"/>
    <w:rsid w:val="00F84260"/>
    <w:rsid w:val="00F84769"/>
    <w:rsid w:val="00F85EA7"/>
    <w:rsid w:val="00F904A1"/>
    <w:rsid w:val="00F906E3"/>
    <w:rsid w:val="00F91085"/>
    <w:rsid w:val="00F94B3E"/>
    <w:rsid w:val="00FA5986"/>
    <w:rsid w:val="00FA7FA2"/>
    <w:rsid w:val="00FB0B6F"/>
    <w:rsid w:val="00FB4C72"/>
    <w:rsid w:val="00FB66A8"/>
    <w:rsid w:val="00FC3165"/>
    <w:rsid w:val="00FC3504"/>
    <w:rsid w:val="00FC4448"/>
    <w:rsid w:val="00FC5F12"/>
    <w:rsid w:val="00FD4969"/>
    <w:rsid w:val="00FD5F5D"/>
    <w:rsid w:val="00FD709A"/>
    <w:rsid w:val="00FE1D25"/>
    <w:rsid w:val="00FE21FF"/>
    <w:rsid w:val="00FE2FB6"/>
    <w:rsid w:val="00FE35DC"/>
    <w:rsid w:val="00FE4AAF"/>
    <w:rsid w:val="00FE69B5"/>
    <w:rsid w:val="00FF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52EA"/>
  <w15:docId w15:val="{F0F032B8-F565-46E1-9983-1F4B7D22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FDE"/>
    <w:rPr>
      <w:rFonts w:ascii="Times New Roman" w:hAnsi="Times New Roman" w:cs="Times New Roman"/>
      <w:sz w:val="24"/>
      <w:szCs w:val="24"/>
    </w:rPr>
  </w:style>
  <w:style w:type="paragraph" w:styleId="Heading1">
    <w:name w:val="heading 1"/>
    <w:basedOn w:val="Normal"/>
    <w:next w:val="Normal"/>
    <w:link w:val="Heading1Char"/>
    <w:uiPriority w:val="9"/>
    <w:qFormat/>
    <w:rsid w:val="00706F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6FDE"/>
    <w:pPr>
      <w:outlineLvl w:val="1"/>
    </w:pPr>
    <w:rPr>
      <w:b/>
    </w:rPr>
  </w:style>
  <w:style w:type="paragraph" w:styleId="Heading3">
    <w:name w:val="heading 3"/>
    <w:basedOn w:val="Normal"/>
    <w:next w:val="Normal"/>
    <w:link w:val="Heading3Char"/>
    <w:uiPriority w:val="9"/>
    <w:semiHidden/>
    <w:unhideWhenUsed/>
    <w:qFormat/>
    <w:rsid w:val="000B55F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6A"/>
    <w:pPr>
      <w:ind w:left="720"/>
      <w:contextualSpacing/>
    </w:pPr>
  </w:style>
  <w:style w:type="paragraph" w:styleId="Header">
    <w:name w:val="header"/>
    <w:basedOn w:val="Normal"/>
    <w:link w:val="HeaderChar"/>
    <w:uiPriority w:val="99"/>
    <w:unhideWhenUsed/>
    <w:rsid w:val="00B50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13A"/>
  </w:style>
  <w:style w:type="paragraph" w:styleId="Footer">
    <w:name w:val="footer"/>
    <w:basedOn w:val="Normal"/>
    <w:link w:val="FooterChar"/>
    <w:uiPriority w:val="99"/>
    <w:unhideWhenUsed/>
    <w:rsid w:val="00B50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13A"/>
  </w:style>
  <w:style w:type="paragraph" w:styleId="BalloonText">
    <w:name w:val="Balloon Text"/>
    <w:basedOn w:val="Normal"/>
    <w:link w:val="BalloonTextChar"/>
    <w:uiPriority w:val="99"/>
    <w:semiHidden/>
    <w:unhideWhenUsed/>
    <w:rsid w:val="00B50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13A"/>
    <w:rPr>
      <w:rFonts w:ascii="Segoe UI" w:hAnsi="Segoe UI" w:cs="Segoe UI"/>
      <w:sz w:val="18"/>
      <w:szCs w:val="18"/>
    </w:rPr>
  </w:style>
  <w:style w:type="character" w:customStyle="1" w:styleId="Heading1Char">
    <w:name w:val="Heading 1 Char"/>
    <w:basedOn w:val="DefaultParagraphFont"/>
    <w:link w:val="Heading1"/>
    <w:uiPriority w:val="9"/>
    <w:rsid w:val="00706F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6FDE"/>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1A54D2"/>
    <w:pPr>
      <w:tabs>
        <w:tab w:val="left" w:pos="2438"/>
      </w:tabs>
      <w:spacing w:after="0" w:line="240" w:lineRule="auto"/>
    </w:pPr>
    <w:rPr>
      <w:rFonts w:ascii="Garamond" w:hAnsi="Garamond"/>
      <w:sz w:val="20"/>
      <w:szCs w:val="20"/>
    </w:rPr>
  </w:style>
  <w:style w:type="character" w:customStyle="1" w:styleId="FootnoteTextChar">
    <w:name w:val="Footnote Text Char"/>
    <w:basedOn w:val="DefaultParagraphFont"/>
    <w:link w:val="FootnoteText"/>
    <w:uiPriority w:val="99"/>
    <w:semiHidden/>
    <w:rsid w:val="001A54D2"/>
    <w:rPr>
      <w:rFonts w:ascii="Garamond" w:hAnsi="Garamond" w:cs="Times New Roman"/>
      <w:sz w:val="20"/>
      <w:szCs w:val="20"/>
    </w:rPr>
  </w:style>
  <w:style w:type="character" w:styleId="FootnoteReference">
    <w:name w:val="footnote reference"/>
    <w:basedOn w:val="DefaultParagraphFont"/>
    <w:uiPriority w:val="99"/>
    <w:semiHidden/>
    <w:unhideWhenUsed/>
    <w:rsid w:val="001A54D2"/>
    <w:rPr>
      <w:vertAlign w:val="superscript"/>
    </w:rPr>
  </w:style>
  <w:style w:type="character" w:styleId="CommentReference">
    <w:name w:val="annotation reference"/>
    <w:basedOn w:val="DefaultParagraphFont"/>
    <w:uiPriority w:val="99"/>
    <w:semiHidden/>
    <w:unhideWhenUsed/>
    <w:rsid w:val="001A54D2"/>
    <w:rPr>
      <w:sz w:val="16"/>
      <w:szCs w:val="16"/>
    </w:rPr>
  </w:style>
  <w:style w:type="paragraph" w:styleId="CommentText">
    <w:name w:val="annotation text"/>
    <w:basedOn w:val="Normal"/>
    <w:link w:val="CommentTextChar"/>
    <w:uiPriority w:val="99"/>
    <w:unhideWhenUsed/>
    <w:rsid w:val="001A54D2"/>
    <w:pPr>
      <w:spacing w:line="240" w:lineRule="auto"/>
    </w:pPr>
    <w:rPr>
      <w:sz w:val="20"/>
      <w:szCs w:val="20"/>
    </w:rPr>
  </w:style>
  <w:style w:type="character" w:customStyle="1" w:styleId="CommentTextChar">
    <w:name w:val="Comment Text Char"/>
    <w:basedOn w:val="DefaultParagraphFont"/>
    <w:link w:val="CommentText"/>
    <w:uiPriority w:val="99"/>
    <w:rsid w:val="001A54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4D2"/>
    <w:rPr>
      <w:b/>
      <w:bCs/>
    </w:rPr>
  </w:style>
  <w:style w:type="character" w:customStyle="1" w:styleId="CommentSubjectChar">
    <w:name w:val="Comment Subject Char"/>
    <w:basedOn w:val="CommentTextChar"/>
    <w:link w:val="CommentSubject"/>
    <w:uiPriority w:val="99"/>
    <w:semiHidden/>
    <w:rsid w:val="001A54D2"/>
    <w:rPr>
      <w:rFonts w:ascii="Times New Roman" w:hAnsi="Times New Roman" w:cs="Times New Roman"/>
      <w:b/>
      <w:bCs/>
      <w:sz w:val="20"/>
      <w:szCs w:val="20"/>
    </w:rPr>
  </w:style>
  <w:style w:type="character" w:styleId="Hyperlink">
    <w:name w:val="Hyperlink"/>
    <w:basedOn w:val="DefaultParagraphFont"/>
    <w:uiPriority w:val="99"/>
    <w:unhideWhenUsed/>
    <w:rsid w:val="00A9284B"/>
    <w:rPr>
      <w:color w:val="0563C1" w:themeColor="hyperlink"/>
      <w:u w:val="single"/>
    </w:rPr>
  </w:style>
  <w:style w:type="paragraph" w:customStyle="1" w:styleId="Normal0">
    <w:name w:val="[Normal]"/>
    <w:basedOn w:val="ListParagraph"/>
    <w:qFormat/>
    <w:rsid w:val="00426DC9"/>
    <w:pPr>
      <w:tabs>
        <w:tab w:val="left" w:pos="720"/>
        <w:tab w:val="left" w:pos="1440"/>
        <w:tab w:val="left" w:pos="2160"/>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Pr>
      <w:rFonts w:ascii="Garamond" w:hAnsi="Garamond"/>
    </w:rPr>
  </w:style>
  <w:style w:type="character" w:customStyle="1" w:styleId="Heading3Char">
    <w:name w:val="Heading 3 Char"/>
    <w:basedOn w:val="DefaultParagraphFont"/>
    <w:link w:val="Heading3"/>
    <w:uiPriority w:val="9"/>
    <w:semiHidden/>
    <w:rsid w:val="000B55F1"/>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A4241E"/>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619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91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61912"/>
    <w:rPr>
      <w:vertAlign w:val="superscript"/>
    </w:rPr>
  </w:style>
  <w:style w:type="character" w:styleId="UnresolvedMention">
    <w:name w:val="Unresolved Mention"/>
    <w:basedOn w:val="DefaultParagraphFont"/>
    <w:uiPriority w:val="99"/>
    <w:semiHidden/>
    <w:unhideWhenUsed/>
    <w:rsid w:val="00C61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4165">
      <w:bodyDiv w:val="1"/>
      <w:marLeft w:val="0"/>
      <w:marRight w:val="0"/>
      <w:marTop w:val="0"/>
      <w:marBottom w:val="0"/>
      <w:divBdr>
        <w:top w:val="none" w:sz="0" w:space="0" w:color="auto"/>
        <w:left w:val="none" w:sz="0" w:space="0" w:color="auto"/>
        <w:bottom w:val="none" w:sz="0" w:space="0" w:color="auto"/>
        <w:right w:val="none" w:sz="0" w:space="0" w:color="auto"/>
      </w:divBdr>
    </w:div>
    <w:div w:id="306977700">
      <w:bodyDiv w:val="1"/>
      <w:marLeft w:val="0"/>
      <w:marRight w:val="0"/>
      <w:marTop w:val="0"/>
      <w:marBottom w:val="0"/>
      <w:divBdr>
        <w:top w:val="none" w:sz="0" w:space="0" w:color="auto"/>
        <w:left w:val="none" w:sz="0" w:space="0" w:color="auto"/>
        <w:bottom w:val="none" w:sz="0" w:space="0" w:color="auto"/>
        <w:right w:val="none" w:sz="0" w:space="0" w:color="auto"/>
      </w:divBdr>
    </w:div>
    <w:div w:id="312832408">
      <w:bodyDiv w:val="1"/>
      <w:marLeft w:val="0"/>
      <w:marRight w:val="0"/>
      <w:marTop w:val="0"/>
      <w:marBottom w:val="0"/>
      <w:divBdr>
        <w:top w:val="none" w:sz="0" w:space="0" w:color="auto"/>
        <w:left w:val="none" w:sz="0" w:space="0" w:color="auto"/>
        <w:bottom w:val="none" w:sz="0" w:space="0" w:color="auto"/>
        <w:right w:val="none" w:sz="0" w:space="0" w:color="auto"/>
      </w:divBdr>
      <w:divsChild>
        <w:div w:id="755976014">
          <w:marLeft w:val="0"/>
          <w:marRight w:val="0"/>
          <w:marTop w:val="86"/>
          <w:marBottom w:val="0"/>
          <w:divBdr>
            <w:top w:val="none" w:sz="0" w:space="0" w:color="auto"/>
            <w:left w:val="none" w:sz="0" w:space="0" w:color="auto"/>
            <w:bottom w:val="none" w:sz="0" w:space="0" w:color="auto"/>
            <w:right w:val="none" w:sz="0" w:space="0" w:color="auto"/>
          </w:divBdr>
        </w:div>
      </w:divsChild>
    </w:div>
    <w:div w:id="323893864">
      <w:bodyDiv w:val="1"/>
      <w:marLeft w:val="0"/>
      <w:marRight w:val="0"/>
      <w:marTop w:val="0"/>
      <w:marBottom w:val="0"/>
      <w:divBdr>
        <w:top w:val="none" w:sz="0" w:space="0" w:color="auto"/>
        <w:left w:val="none" w:sz="0" w:space="0" w:color="auto"/>
        <w:bottom w:val="none" w:sz="0" w:space="0" w:color="auto"/>
        <w:right w:val="none" w:sz="0" w:space="0" w:color="auto"/>
      </w:divBdr>
    </w:div>
    <w:div w:id="457920228">
      <w:bodyDiv w:val="1"/>
      <w:marLeft w:val="0"/>
      <w:marRight w:val="0"/>
      <w:marTop w:val="0"/>
      <w:marBottom w:val="0"/>
      <w:divBdr>
        <w:top w:val="none" w:sz="0" w:space="0" w:color="auto"/>
        <w:left w:val="none" w:sz="0" w:space="0" w:color="auto"/>
        <w:bottom w:val="none" w:sz="0" w:space="0" w:color="auto"/>
        <w:right w:val="none" w:sz="0" w:space="0" w:color="auto"/>
      </w:divBdr>
    </w:div>
    <w:div w:id="556210321">
      <w:bodyDiv w:val="1"/>
      <w:marLeft w:val="0"/>
      <w:marRight w:val="0"/>
      <w:marTop w:val="0"/>
      <w:marBottom w:val="0"/>
      <w:divBdr>
        <w:top w:val="none" w:sz="0" w:space="0" w:color="auto"/>
        <w:left w:val="none" w:sz="0" w:space="0" w:color="auto"/>
        <w:bottom w:val="none" w:sz="0" w:space="0" w:color="auto"/>
        <w:right w:val="none" w:sz="0" w:space="0" w:color="auto"/>
      </w:divBdr>
      <w:divsChild>
        <w:div w:id="1375427748">
          <w:marLeft w:val="274"/>
          <w:marRight w:val="0"/>
          <w:marTop w:val="86"/>
          <w:marBottom w:val="0"/>
          <w:divBdr>
            <w:top w:val="none" w:sz="0" w:space="0" w:color="auto"/>
            <w:left w:val="none" w:sz="0" w:space="0" w:color="auto"/>
            <w:bottom w:val="none" w:sz="0" w:space="0" w:color="auto"/>
            <w:right w:val="none" w:sz="0" w:space="0" w:color="auto"/>
          </w:divBdr>
        </w:div>
      </w:divsChild>
    </w:div>
    <w:div w:id="565260966">
      <w:bodyDiv w:val="1"/>
      <w:marLeft w:val="0"/>
      <w:marRight w:val="0"/>
      <w:marTop w:val="0"/>
      <w:marBottom w:val="0"/>
      <w:divBdr>
        <w:top w:val="none" w:sz="0" w:space="0" w:color="auto"/>
        <w:left w:val="none" w:sz="0" w:space="0" w:color="auto"/>
        <w:bottom w:val="none" w:sz="0" w:space="0" w:color="auto"/>
        <w:right w:val="none" w:sz="0" w:space="0" w:color="auto"/>
      </w:divBdr>
    </w:div>
    <w:div w:id="647519531">
      <w:bodyDiv w:val="1"/>
      <w:marLeft w:val="0"/>
      <w:marRight w:val="0"/>
      <w:marTop w:val="0"/>
      <w:marBottom w:val="0"/>
      <w:divBdr>
        <w:top w:val="none" w:sz="0" w:space="0" w:color="auto"/>
        <w:left w:val="none" w:sz="0" w:space="0" w:color="auto"/>
        <w:bottom w:val="none" w:sz="0" w:space="0" w:color="auto"/>
        <w:right w:val="none" w:sz="0" w:space="0" w:color="auto"/>
      </w:divBdr>
      <w:divsChild>
        <w:div w:id="329795290">
          <w:marLeft w:val="0"/>
          <w:marRight w:val="0"/>
          <w:marTop w:val="86"/>
          <w:marBottom w:val="0"/>
          <w:divBdr>
            <w:top w:val="none" w:sz="0" w:space="0" w:color="auto"/>
            <w:left w:val="none" w:sz="0" w:space="0" w:color="auto"/>
            <w:bottom w:val="none" w:sz="0" w:space="0" w:color="auto"/>
            <w:right w:val="none" w:sz="0" w:space="0" w:color="auto"/>
          </w:divBdr>
        </w:div>
      </w:divsChild>
    </w:div>
    <w:div w:id="674067262">
      <w:bodyDiv w:val="1"/>
      <w:marLeft w:val="0"/>
      <w:marRight w:val="0"/>
      <w:marTop w:val="0"/>
      <w:marBottom w:val="0"/>
      <w:divBdr>
        <w:top w:val="none" w:sz="0" w:space="0" w:color="auto"/>
        <w:left w:val="none" w:sz="0" w:space="0" w:color="auto"/>
        <w:bottom w:val="none" w:sz="0" w:space="0" w:color="auto"/>
        <w:right w:val="none" w:sz="0" w:space="0" w:color="auto"/>
      </w:divBdr>
      <w:divsChild>
        <w:div w:id="581523800">
          <w:marLeft w:val="547"/>
          <w:marRight w:val="0"/>
          <w:marTop w:val="96"/>
          <w:marBottom w:val="0"/>
          <w:divBdr>
            <w:top w:val="none" w:sz="0" w:space="0" w:color="auto"/>
            <w:left w:val="none" w:sz="0" w:space="0" w:color="auto"/>
            <w:bottom w:val="none" w:sz="0" w:space="0" w:color="auto"/>
            <w:right w:val="none" w:sz="0" w:space="0" w:color="auto"/>
          </w:divBdr>
        </w:div>
      </w:divsChild>
    </w:div>
    <w:div w:id="709575996">
      <w:bodyDiv w:val="1"/>
      <w:marLeft w:val="0"/>
      <w:marRight w:val="0"/>
      <w:marTop w:val="0"/>
      <w:marBottom w:val="0"/>
      <w:divBdr>
        <w:top w:val="none" w:sz="0" w:space="0" w:color="auto"/>
        <w:left w:val="none" w:sz="0" w:space="0" w:color="auto"/>
        <w:bottom w:val="none" w:sz="0" w:space="0" w:color="auto"/>
        <w:right w:val="none" w:sz="0" w:space="0" w:color="auto"/>
      </w:divBdr>
    </w:div>
    <w:div w:id="730349578">
      <w:bodyDiv w:val="1"/>
      <w:marLeft w:val="0"/>
      <w:marRight w:val="0"/>
      <w:marTop w:val="0"/>
      <w:marBottom w:val="0"/>
      <w:divBdr>
        <w:top w:val="none" w:sz="0" w:space="0" w:color="auto"/>
        <w:left w:val="none" w:sz="0" w:space="0" w:color="auto"/>
        <w:bottom w:val="none" w:sz="0" w:space="0" w:color="auto"/>
        <w:right w:val="none" w:sz="0" w:space="0" w:color="auto"/>
      </w:divBdr>
    </w:div>
    <w:div w:id="750782874">
      <w:bodyDiv w:val="1"/>
      <w:marLeft w:val="0"/>
      <w:marRight w:val="0"/>
      <w:marTop w:val="0"/>
      <w:marBottom w:val="0"/>
      <w:divBdr>
        <w:top w:val="none" w:sz="0" w:space="0" w:color="auto"/>
        <w:left w:val="none" w:sz="0" w:space="0" w:color="auto"/>
        <w:bottom w:val="none" w:sz="0" w:space="0" w:color="auto"/>
        <w:right w:val="none" w:sz="0" w:space="0" w:color="auto"/>
      </w:divBdr>
    </w:div>
    <w:div w:id="850146283">
      <w:bodyDiv w:val="1"/>
      <w:marLeft w:val="0"/>
      <w:marRight w:val="0"/>
      <w:marTop w:val="0"/>
      <w:marBottom w:val="0"/>
      <w:divBdr>
        <w:top w:val="none" w:sz="0" w:space="0" w:color="auto"/>
        <w:left w:val="none" w:sz="0" w:space="0" w:color="auto"/>
        <w:bottom w:val="none" w:sz="0" w:space="0" w:color="auto"/>
        <w:right w:val="none" w:sz="0" w:space="0" w:color="auto"/>
      </w:divBdr>
      <w:divsChild>
        <w:div w:id="2033804046">
          <w:marLeft w:val="0"/>
          <w:marRight w:val="0"/>
          <w:marTop w:val="86"/>
          <w:marBottom w:val="200"/>
          <w:divBdr>
            <w:top w:val="none" w:sz="0" w:space="0" w:color="auto"/>
            <w:left w:val="none" w:sz="0" w:space="0" w:color="auto"/>
            <w:bottom w:val="none" w:sz="0" w:space="0" w:color="auto"/>
            <w:right w:val="none" w:sz="0" w:space="0" w:color="auto"/>
          </w:divBdr>
        </w:div>
      </w:divsChild>
    </w:div>
    <w:div w:id="986712492">
      <w:bodyDiv w:val="1"/>
      <w:marLeft w:val="0"/>
      <w:marRight w:val="0"/>
      <w:marTop w:val="0"/>
      <w:marBottom w:val="0"/>
      <w:divBdr>
        <w:top w:val="none" w:sz="0" w:space="0" w:color="auto"/>
        <w:left w:val="none" w:sz="0" w:space="0" w:color="auto"/>
        <w:bottom w:val="none" w:sz="0" w:space="0" w:color="auto"/>
        <w:right w:val="none" w:sz="0" w:space="0" w:color="auto"/>
      </w:divBdr>
    </w:div>
    <w:div w:id="1039859717">
      <w:bodyDiv w:val="1"/>
      <w:marLeft w:val="0"/>
      <w:marRight w:val="0"/>
      <w:marTop w:val="0"/>
      <w:marBottom w:val="0"/>
      <w:divBdr>
        <w:top w:val="none" w:sz="0" w:space="0" w:color="auto"/>
        <w:left w:val="none" w:sz="0" w:space="0" w:color="auto"/>
        <w:bottom w:val="none" w:sz="0" w:space="0" w:color="auto"/>
        <w:right w:val="none" w:sz="0" w:space="0" w:color="auto"/>
      </w:divBdr>
    </w:div>
    <w:div w:id="1056709391">
      <w:bodyDiv w:val="1"/>
      <w:marLeft w:val="0"/>
      <w:marRight w:val="0"/>
      <w:marTop w:val="0"/>
      <w:marBottom w:val="0"/>
      <w:divBdr>
        <w:top w:val="none" w:sz="0" w:space="0" w:color="auto"/>
        <w:left w:val="none" w:sz="0" w:space="0" w:color="auto"/>
        <w:bottom w:val="none" w:sz="0" w:space="0" w:color="auto"/>
        <w:right w:val="none" w:sz="0" w:space="0" w:color="auto"/>
      </w:divBdr>
    </w:div>
    <w:div w:id="1090153204">
      <w:bodyDiv w:val="1"/>
      <w:marLeft w:val="0"/>
      <w:marRight w:val="0"/>
      <w:marTop w:val="0"/>
      <w:marBottom w:val="0"/>
      <w:divBdr>
        <w:top w:val="none" w:sz="0" w:space="0" w:color="auto"/>
        <w:left w:val="none" w:sz="0" w:space="0" w:color="auto"/>
        <w:bottom w:val="none" w:sz="0" w:space="0" w:color="auto"/>
        <w:right w:val="none" w:sz="0" w:space="0" w:color="auto"/>
      </w:divBdr>
    </w:div>
    <w:div w:id="1142574868">
      <w:bodyDiv w:val="1"/>
      <w:marLeft w:val="0"/>
      <w:marRight w:val="0"/>
      <w:marTop w:val="0"/>
      <w:marBottom w:val="0"/>
      <w:divBdr>
        <w:top w:val="none" w:sz="0" w:space="0" w:color="auto"/>
        <w:left w:val="none" w:sz="0" w:space="0" w:color="auto"/>
        <w:bottom w:val="none" w:sz="0" w:space="0" w:color="auto"/>
        <w:right w:val="none" w:sz="0" w:space="0" w:color="auto"/>
      </w:divBdr>
      <w:divsChild>
        <w:div w:id="1923099686">
          <w:marLeft w:val="274"/>
          <w:marRight w:val="0"/>
          <w:marTop w:val="86"/>
          <w:marBottom w:val="0"/>
          <w:divBdr>
            <w:top w:val="none" w:sz="0" w:space="0" w:color="auto"/>
            <w:left w:val="none" w:sz="0" w:space="0" w:color="auto"/>
            <w:bottom w:val="none" w:sz="0" w:space="0" w:color="auto"/>
            <w:right w:val="none" w:sz="0" w:space="0" w:color="auto"/>
          </w:divBdr>
        </w:div>
      </w:divsChild>
    </w:div>
    <w:div w:id="1165172515">
      <w:bodyDiv w:val="1"/>
      <w:marLeft w:val="0"/>
      <w:marRight w:val="0"/>
      <w:marTop w:val="0"/>
      <w:marBottom w:val="0"/>
      <w:divBdr>
        <w:top w:val="none" w:sz="0" w:space="0" w:color="auto"/>
        <w:left w:val="none" w:sz="0" w:space="0" w:color="auto"/>
        <w:bottom w:val="none" w:sz="0" w:space="0" w:color="auto"/>
        <w:right w:val="none" w:sz="0" w:space="0" w:color="auto"/>
      </w:divBdr>
    </w:div>
    <w:div w:id="1166631669">
      <w:bodyDiv w:val="1"/>
      <w:marLeft w:val="0"/>
      <w:marRight w:val="0"/>
      <w:marTop w:val="0"/>
      <w:marBottom w:val="0"/>
      <w:divBdr>
        <w:top w:val="none" w:sz="0" w:space="0" w:color="auto"/>
        <w:left w:val="none" w:sz="0" w:space="0" w:color="auto"/>
        <w:bottom w:val="none" w:sz="0" w:space="0" w:color="auto"/>
        <w:right w:val="none" w:sz="0" w:space="0" w:color="auto"/>
      </w:divBdr>
    </w:div>
    <w:div w:id="1167864853">
      <w:bodyDiv w:val="1"/>
      <w:marLeft w:val="0"/>
      <w:marRight w:val="0"/>
      <w:marTop w:val="0"/>
      <w:marBottom w:val="0"/>
      <w:divBdr>
        <w:top w:val="none" w:sz="0" w:space="0" w:color="auto"/>
        <w:left w:val="none" w:sz="0" w:space="0" w:color="auto"/>
        <w:bottom w:val="none" w:sz="0" w:space="0" w:color="auto"/>
        <w:right w:val="none" w:sz="0" w:space="0" w:color="auto"/>
      </w:divBdr>
    </w:div>
    <w:div w:id="1175605880">
      <w:bodyDiv w:val="1"/>
      <w:marLeft w:val="0"/>
      <w:marRight w:val="0"/>
      <w:marTop w:val="0"/>
      <w:marBottom w:val="0"/>
      <w:divBdr>
        <w:top w:val="none" w:sz="0" w:space="0" w:color="auto"/>
        <w:left w:val="none" w:sz="0" w:space="0" w:color="auto"/>
        <w:bottom w:val="none" w:sz="0" w:space="0" w:color="auto"/>
        <w:right w:val="none" w:sz="0" w:space="0" w:color="auto"/>
      </w:divBdr>
    </w:div>
    <w:div w:id="1181889510">
      <w:bodyDiv w:val="1"/>
      <w:marLeft w:val="0"/>
      <w:marRight w:val="0"/>
      <w:marTop w:val="0"/>
      <w:marBottom w:val="0"/>
      <w:divBdr>
        <w:top w:val="none" w:sz="0" w:space="0" w:color="auto"/>
        <w:left w:val="none" w:sz="0" w:space="0" w:color="auto"/>
        <w:bottom w:val="none" w:sz="0" w:space="0" w:color="auto"/>
        <w:right w:val="none" w:sz="0" w:space="0" w:color="auto"/>
      </w:divBdr>
    </w:div>
    <w:div w:id="1223179877">
      <w:bodyDiv w:val="1"/>
      <w:marLeft w:val="0"/>
      <w:marRight w:val="0"/>
      <w:marTop w:val="0"/>
      <w:marBottom w:val="0"/>
      <w:divBdr>
        <w:top w:val="none" w:sz="0" w:space="0" w:color="auto"/>
        <w:left w:val="none" w:sz="0" w:space="0" w:color="auto"/>
        <w:bottom w:val="none" w:sz="0" w:space="0" w:color="auto"/>
        <w:right w:val="none" w:sz="0" w:space="0" w:color="auto"/>
      </w:divBdr>
    </w:div>
    <w:div w:id="1248150272">
      <w:bodyDiv w:val="1"/>
      <w:marLeft w:val="0"/>
      <w:marRight w:val="0"/>
      <w:marTop w:val="0"/>
      <w:marBottom w:val="0"/>
      <w:divBdr>
        <w:top w:val="none" w:sz="0" w:space="0" w:color="auto"/>
        <w:left w:val="none" w:sz="0" w:space="0" w:color="auto"/>
        <w:bottom w:val="none" w:sz="0" w:space="0" w:color="auto"/>
        <w:right w:val="none" w:sz="0" w:space="0" w:color="auto"/>
      </w:divBdr>
    </w:div>
    <w:div w:id="1269510721">
      <w:bodyDiv w:val="1"/>
      <w:marLeft w:val="0"/>
      <w:marRight w:val="0"/>
      <w:marTop w:val="0"/>
      <w:marBottom w:val="0"/>
      <w:divBdr>
        <w:top w:val="none" w:sz="0" w:space="0" w:color="auto"/>
        <w:left w:val="none" w:sz="0" w:space="0" w:color="auto"/>
        <w:bottom w:val="none" w:sz="0" w:space="0" w:color="auto"/>
        <w:right w:val="none" w:sz="0" w:space="0" w:color="auto"/>
      </w:divBdr>
    </w:div>
    <w:div w:id="1315447046">
      <w:bodyDiv w:val="1"/>
      <w:marLeft w:val="0"/>
      <w:marRight w:val="0"/>
      <w:marTop w:val="0"/>
      <w:marBottom w:val="0"/>
      <w:divBdr>
        <w:top w:val="none" w:sz="0" w:space="0" w:color="auto"/>
        <w:left w:val="none" w:sz="0" w:space="0" w:color="auto"/>
        <w:bottom w:val="none" w:sz="0" w:space="0" w:color="auto"/>
        <w:right w:val="none" w:sz="0" w:space="0" w:color="auto"/>
      </w:divBdr>
    </w:div>
    <w:div w:id="1339696320">
      <w:bodyDiv w:val="1"/>
      <w:marLeft w:val="0"/>
      <w:marRight w:val="0"/>
      <w:marTop w:val="0"/>
      <w:marBottom w:val="0"/>
      <w:divBdr>
        <w:top w:val="none" w:sz="0" w:space="0" w:color="auto"/>
        <w:left w:val="none" w:sz="0" w:space="0" w:color="auto"/>
        <w:bottom w:val="none" w:sz="0" w:space="0" w:color="auto"/>
        <w:right w:val="none" w:sz="0" w:space="0" w:color="auto"/>
      </w:divBdr>
    </w:div>
    <w:div w:id="1381979500">
      <w:bodyDiv w:val="1"/>
      <w:marLeft w:val="0"/>
      <w:marRight w:val="0"/>
      <w:marTop w:val="0"/>
      <w:marBottom w:val="0"/>
      <w:divBdr>
        <w:top w:val="none" w:sz="0" w:space="0" w:color="auto"/>
        <w:left w:val="none" w:sz="0" w:space="0" w:color="auto"/>
        <w:bottom w:val="none" w:sz="0" w:space="0" w:color="auto"/>
        <w:right w:val="none" w:sz="0" w:space="0" w:color="auto"/>
      </w:divBdr>
    </w:div>
    <w:div w:id="1406760437">
      <w:bodyDiv w:val="1"/>
      <w:marLeft w:val="0"/>
      <w:marRight w:val="0"/>
      <w:marTop w:val="0"/>
      <w:marBottom w:val="0"/>
      <w:divBdr>
        <w:top w:val="none" w:sz="0" w:space="0" w:color="auto"/>
        <w:left w:val="none" w:sz="0" w:space="0" w:color="auto"/>
        <w:bottom w:val="none" w:sz="0" w:space="0" w:color="auto"/>
        <w:right w:val="none" w:sz="0" w:space="0" w:color="auto"/>
      </w:divBdr>
    </w:div>
    <w:div w:id="1514874646">
      <w:bodyDiv w:val="1"/>
      <w:marLeft w:val="0"/>
      <w:marRight w:val="0"/>
      <w:marTop w:val="0"/>
      <w:marBottom w:val="0"/>
      <w:divBdr>
        <w:top w:val="none" w:sz="0" w:space="0" w:color="auto"/>
        <w:left w:val="none" w:sz="0" w:space="0" w:color="auto"/>
        <w:bottom w:val="none" w:sz="0" w:space="0" w:color="auto"/>
        <w:right w:val="none" w:sz="0" w:space="0" w:color="auto"/>
      </w:divBdr>
    </w:div>
    <w:div w:id="1539395411">
      <w:bodyDiv w:val="1"/>
      <w:marLeft w:val="0"/>
      <w:marRight w:val="0"/>
      <w:marTop w:val="0"/>
      <w:marBottom w:val="0"/>
      <w:divBdr>
        <w:top w:val="none" w:sz="0" w:space="0" w:color="auto"/>
        <w:left w:val="none" w:sz="0" w:space="0" w:color="auto"/>
        <w:bottom w:val="none" w:sz="0" w:space="0" w:color="auto"/>
        <w:right w:val="none" w:sz="0" w:space="0" w:color="auto"/>
      </w:divBdr>
      <w:divsChild>
        <w:div w:id="1233586165">
          <w:marLeft w:val="274"/>
          <w:marRight w:val="0"/>
          <w:marTop w:val="86"/>
          <w:marBottom w:val="0"/>
          <w:divBdr>
            <w:top w:val="none" w:sz="0" w:space="0" w:color="auto"/>
            <w:left w:val="none" w:sz="0" w:space="0" w:color="auto"/>
            <w:bottom w:val="none" w:sz="0" w:space="0" w:color="auto"/>
            <w:right w:val="none" w:sz="0" w:space="0" w:color="auto"/>
          </w:divBdr>
        </w:div>
      </w:divsChild>
    </w:div>
    <w:div w:id="1646007859">
      <w:bodyDiv w:val="1"/>
      <w:marLeft w:val="0"/>
      <w:marRight w:val="0"/>
      <w:marTop w:val="0"/>
      <w:marBottom w:val="0"/>
      <w:divBdr>
        <w:top w:val="none" w:sz="0" w:space="0" w:color="auto"/>
        <w:left w:val="none" w:sz="0" w:space="0" w:color="auto"/>
        <w:bottom w:val="none" w:sz="0" w:space="0" w:color="auto"/>
        <w:right w:val="none" w:sz="0" w:space="0" w:color="auto"/>
      </w:divBdr>
    </w:div>
    <w:div w:id="1654723806">
      <w:bodyDiv w:val="1"/>
      <w:marLeft w:val="0"/>
      <w:marRight w:val="0"/>
      <w:marTop w:val="0"/>
      <w:marBottom w:val="0"/>
      <w:divBdr>
        <w:top w:val="none" w:sz="0" w:space="0" w:color="auto"/>
        <w:left w:val="none" w:sz="0" w:space="0" w:color="auto"/>
        <w:bottom w:val="none" w:sz="0" w:space="0" w:color="auto"/>
        <w:right w:val="none" w:sz="0" w:space="0" w:color="auto"/>
      </w:divBdr>
      <w:divsChild>
        <w:div w:id="538595379">
          <w:marLeft w:val="0"/>
          <w:marRight w:val="0"/>
          <w:marTop w:val="86"/>
          <w:marBottom w:val="0"/>
          <w:divBdr>
            <w:top w:val="none" w:sz="0" w:space="0" w:color="auto"/>
            <w:left w:val="none" w:sz="0" w:space="0" w:color="auto"/>
            <w:bottom w:val="none" w:sz="0" w:space="0" w:color="auto"/>
            <w:right w:val="none" w:sz="0" w:space="0" w:color="auto"/>
          </w:divBdr>
        </w:div>
      </w:divsChild>
    </w:div>
    <w:div w:id="1695182091">
      <w:bodyDiv w:val="1"/>
      <w:marLeft w:val="0"/>
      <w:marRight w:val="0"/>
      <w:marTop w:val="0"/>
      <w:marBottom w:val="0"/>
      <w:divBdr>
        <w:top w:val="none" w:sz="0" w:space="0" w:color="auto"/>
        <w:left w:val="none" w:sz="0" w:space="0" w:color="auto"/>
        <w:bottom w:val="none" w:sz="0" w:space="0" w:color="auto"/>
        <w:right w:val="none" w:sz="0" w:space="0" w:color="auto"/>
      </w:divBdr>
    </w:div>
    <w:div w:id="1783918478">
      <w:bodyDiv w:val="1"/>
      <w:marLeft w:val="0"/>
      <w:marRight w:val="0"/>
      <w:marTop w:val="0"/>
      <w:marBottom w:val="0"/>
      <w:divBdr>
        <w:top w:val="none" w:sz="0" w:space="0" w:color="auto"/>
        <w:left w:val="none" w:sz="0" w:space="0" w:color="auto"/>
        <w:bottom w:val="none" w:sz="0" w:space="0" w:color="auto"/>
        <w:right w:val="none" w:sz="0" w:space="0" w:color="auto"/>
      </w:divBdr>
    </w:div>
    <w:div w:id="1788354223">
      <w:bodyDiv w:val="1"/>
      <w:marLeft w:val="0"/>
      <w:marRight w:val="0"/>
      <w:marTop w:val="0"/>
      <w:marBottom w:val="0"/>
      <w:divBdr>
        <w:top w:val="none" w:sz="0" w:space="0" w:color="auto"/>
        <w:left w:val="none" w:sz="0" w:space="0" w:color="auto"/>
        <w:bottom w:val="none" w:sz="0" w:space="0" w:color="auto"/>
        <w:right w:val="none" w:sz="0" w:space="0" w:color="auto"/>
      </w:divBdr>
      <w:divsChild>
        <w:div w:id="1975600669">
          <w:marLeft w:val="274"/>
          <w:marRight w:val="0"/>
          <w:marTop w:val="86"/>
          <w:marBottom w:val="0"/>
          <w:divBdr>
            <w:top w:val="none" w:sz="0" w:space="0" w:color="auto"/>
            <w:left w:val="none" w:sz="0" w:space="0" w:color="auto"/>
            <w:bottom w:val="none" w:sz="0" w:space="0" w:color="auto"/>
            <w:right w:val="none" w:sz="0" w:space="0" w:color="auto"/>
          </w:divBdr>
        </w:div>
      </w:divsChild>
    </w:div>
    <w:div w:id="1809468737">
      <w:bodyDiv w:val="1"/>
      <w:marLeft w:val="0"/>
      <w:marRight w:val="0"/>
      <w:marTop w:val="0"/>
      <w:marBottom w:val="0"/>
      <w:divBdr>
        <w:top w:val="none" w:sz="0" w:space="0" w:color="auto"/>
        <w:left w:val="none" w:sz="0" w:space="0" w:color="auto"/>
        <w:bottom w:val="none" w:sz="0" w:space="0" w:color="auto"/>
        <w:right w:val="none" w:sz="0" w:space="0" w:color="auto"/>
      </w:divBdr>
    </w:div>
    <w:div w:id="1924143291">
      <w:bodyDiv w:val="1"/>
      <w:marLeft w:val="0"/>
      <w:marRight w:val="0"/>
      <w:marTop w:val="0"/>
      <w:marBottom w:val="0"/>
      <w:divBdr>
        <w:top w:val="none" w:sz="0" w:space="0" w:color="auto"/>
        <w:left w:val="none" w:sz="0" w:space="0" w:color="auto"/>
        <w:bottom w:val="none" w:sz="0" w:space="0" w:color="auto"/>
        <w:right w:val="none" w:sz="0" w:space="0" w:color="auto"/>
      </w:divBdr>
    </w:div>
    <w:div w:id="19345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omiatti@latrobe.edu.au" TargetMode="External"/><Relationship Id="rId13" Type="http://schemas.openxmlformats.org/officeDocument/2006/relationships/hyperlink" Target="mailto:campbell.aitken@burnet.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seear@monas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oore4@latrobe.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Fraser@latrobe.edu.au" TargetMode="External"/><Relationship Id="rId4" Type="http://schemas.openxmlformats.org/officeDocument/2006/relationships/settings" Target="settings.xml"/><Relationship Id="rId9" Type="http://schemas.openxmlformats.org/officeDocument/2006/relationships/hyperlink" Target="mailto:textual.gor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D0C5-939B-4C11-A141-3535BE91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8130</Words>
  <Characters>46342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Renae Fomiatti</dc:creator>
  <cp:lastModifiedBy>Renae Fomiatti</cp:lastModifiedBy>
  <cp:revision>3</cp:revision>
  <cp:lastPrinted>2019-07-16T00:54:00Z</cp:lastPrinted>
  <dcterms:created xsi:type="dcterms:W3CDTF">2019-09-19T23:45:00Z</dcterms:created>
  <dcterms:modified xsi:type="dcterms:W3CDTF">2019-09-19T23:46:00Z</dcterms:modified>
</cp:coreProperties>
</file>