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3D5D" w14:textId="5DE71345" w:rsidR="00896B65" w:rsidRDefault="00896B65" w:rsidP="004B1F53">
      <w:pPr>
        <w:pStyle w:val="Heading1"/>
        <w:spacing w:line="360" w:lineRule="auto"/>
      </w:pPr>
      <w:bookmarkStart w:id="0" w:name="_GoBack"/>
      <w:bookmarkEnd w:id="0"/>
      <w:r w:rsidRPr="00C21E23">
        <w:t>Addiction stigma and the production of impediment</w:t>
      </w:r>
      <w:r w:rsidR="009A02FB">
        <w:t xml:space="preserve">s to </w:t>
      </w:r>
      <w:r w:rsidR="004B1F53">
        <w:t>take-home naloxone uptake</w:t>
      </w:r>
    </w:p>
    <w:p w14:paraId="1EA0044F" w14:textId="77777777" w:rsidR="00E8640A" w:rsidRPr="00E8640A" w:rsidRDefault="00E8640A" w:rsidP="00CD6C43">
      <w:pPr>
        <w:spacing w:line="360" w:lineRule="auto"/>
      </w:pPr>
    </w:p>
    <w:p w14:paraId="7BD21746" w14:textId="77777777" w:rsidR="00E8640A" w:rsidRPr="009A02FB" w:rsidRDefault="00E8640A" w:rsidP="00CD6C43">
      <w:pPr>
        <w:pStyle w:val="Heading2"/>
        <w:spacing w:line="360" w:lineRule="auto"/>
      </w:pPr>
      <w:r w:rsidRPr="009A02FB">
        <w:t>Abstract</w:t>
      </w:r>
    </w:p>
    <w:p w14:paraId="45D3CAB2" w14:textId="441DEA34" w:rsidR="00E8640A" w:rsidRDefault="00123E0E" w:rsidP="00CD6C43">
      <w:pPr>
        <w:spacing w:line="360" w:lineRule="auto"/>
        <w:rPr>
          <w:shd w:val="clear" w:color="auto" w:fill="FFFFFF"/>
        </w:rPr>
      </w:pPr>
      <w:r>
        <w:t xml:space="preserve">Opioid overdose deaths are a </w:t>
      </w:r>
      <w:r w:rsidR="00277C11">
        <w:t>major</w:t>
      </w:r>
      <w:r>
        <w:t xml:space="preserve"> </w:t>
      </w:r>
      <w:r w:rsidR="00816CB2">
        <w:t xml:space="preserve">health </w:t>
      </w:r>
      <w:r>
        <w:t xml:space="preserve">issue in Australia and </w:t>
      </w:r>
      <w:r w:rsidR="00277C11">
        <w:t>around the world</w:t>
      </w:r>
      <w:r>
        <w:t xml:space="preserve">. </w:t>
      </w:r>
      <w:r w:rsidR="00E8640A" w:rsidRPr="00E8640A">
        <w:t xml:space="preserve">Programs to provide opioid consumers with ‘take-home’ naloxone </w:t>
      </w:r>
      <w:r w:rsidR="00360DD9">
        <w:t>t</w:t>
      </w:r>
      <w:r w:rsidR="00E8640A" w:rsidRPr="00E8640A">
        <w:t>o reverse overdose exist internationally, but uptake</w:t>
      </w:r>
      <w:r w:rsidR="000A0A92">
        <w:t xml:space="preserve"> by </w:t>
      </w:r>
      <w:r w:rsidR="006B2A6A">
        <w:t xml:space="preserve">mainstream health services and </w:t>
      </w:r>
      <w:r w:rsidR="000A0A92">
        <w:t>consumers</w:t>
      </w:r>
      <w:r w:rsidR="00E8640A" w:rsidRPr="00E8640A">
        <w:t xml:space="preserve"> </w:t>
      </w:r>
      <w:r w:rsidR="00A237DF">
        <w:t>remain</w:t>
      </w:r>
      <w:r w:rsidR="000A0A92">
        <w:t>s</w:t>
      </w:r>
      <w:r w:rsidR="00E8640A" w:rsidRPr="00E8640A">
        <w:t xml:space="preserve"> inconsistent. </w:t>
      </w:r>
      <w:r w:rsidR="00E839FB">
        <w:t xml:space="preserve">Researchers have identified a range of important </w:t>
      </w:r>
      <w:r w:rsidR="00E77B19">
        <w:t xml:space="preserve">educational, training and logistical impediments to </w:t>
      </w:r>
      <w:r w:rsidR="007D1071">
        <w:t xml:space="preserve">take-home naloxone </w:t>
      </w:r>
      <w:r w:rsidR="00E839FB">
        <w:t xml:space="preserve">uptake and </w:t>
      </w:r>
      <w:r w:rsidR="00E77B19">
        <w:t>distribution</w:t>
      </w:r>
      <w:r w:rsidR="00ED49E0">
        <w:t>; yet they have focused</w:t>
      </w:r>
      <w:r w:rsidR="00E839FB">
        <w:t xml:space="preserve"> less on </w:t>
      </w:r>
      <w:r w:rsidR="00E8640A" w:rsidRPr="00E8640A">
        <w:t xml:space="preserve">the social </w:t>
      </w:r>
      <w:r w:rsidR="00E839FB">
        <w:t>dynamics</w:t>
      </w:r>
      <w:r w:rsidR="00E839FB" w:rsidRPr="00E8640A">
        <w:t xml:space="preserve"> </w:t>
      </w:r>
      <w:r w:rsidR="00E8640A" w:rsidRPr="00E8640A">
        <w:t>that can enhance or limit access</w:t>
      </w:r>
      <w:r w:rsidR="00FE0685">
        <w:t>, such as</w:t>
      </w:r>
      <w:r w:rsidR="0053419C">
        <w:t xml:space="preserve"> stigma</w:t>
      </w:r>
      <w:r w:rsidR="00E8640A" w:rsidRPr="00E8640A">
        <w:t xml:space="preserve">. </w:t>
      </w:r>
      <w:r w:rsidR="00E839FB">
        <w:t>In this article, w</w:t>
      </w:r>
      <w:r w:rsidR="00E8640A" w:rsidRPr="00E8640A">
        <w:t xml:space="preserve">e </w:t>
      </w:r>
      <w:r w:rsidR="00E839FB">
        <w:t>also explore impediments to uptake, drawing on qualitative</w:t>
      </w:r>
      <w:r w:rsidR="00E8640A" w:rsidRPr="00E8640A">
        <w:t xml:space="preserve"> interview data gathered for an Australian research project on take-home naloxone. </w:t>
      </w:r>
      <w:r w:rsidR="00752AC1" w:rsidRPr="00752AC1">
        <w:rPr>
          <w:shd w:val="clear" w:color="auto" w:fill="FFFFFF"/>
        </w:rPr>
        <w:t>Mobilising a performative approach to stigma, we argue that overdose and prevention are shaped by the social dynamics of stigma and</w:t>
      </w:r>
      <w:r w:rsidR="00ED49E0">
        <w:rPr>
          <w:shd w:val="clear" w:color="auto" w:fill="FFFFFF"/>
        </w:rPr>
        <w:t>,</w:t>
      </w:r>
      <w:r w:rsidR="00752AC1" w:rsidRPr="00752AC1">
        <w:rPr>
          <w:shd w:val="clear" w:color="auto" w:fill="FFFFFF"/>
        </w:rPr>
        <w:t xml:space="preserve"> as such, responsibility for dealing with overdose, as with take-home naloxone, should also be considered social (that is, shared among peers, the public, communities and governments)</w:t>
      </w:r>
      <w:r w:rsidR="00B06CFE">
        <w:rPr>
          <w:shd w:val="clear" w:color="auto" w:fill="FFFFFF"/>
        </w:rPr>
        <w:t xml:space="preserve">. </w:t>
      </w:r>
      <w:r w:rsidR="000E7CC3">
        <w:rPr>
          <w:shd w:val="clear" w:color="auto" w:fill="FFFFFF"/>
        </w:rPr>
        <w:t>O</w:t>
      </w:r>
      <w:r w:rsidR="00FE0685">
        <w:rPr>
          <w:shd w:val="clear" w:color="auto" w:fill="FFFFFF"/>
        </w:rPr>
        <w:t>ur</w:t>
      </w:r>
      <w:r w:rsidR="0053419C">
        <w:rPr>
          <w:shd w:val="clear" w:color="auto" w:fill="FFFFFF"/>
        </w:rPr>
        <w:t xml:space="preserve"> interview data</w:t>
      </w:r>
      <w:r w:rsidR="0053419C" w:rsidRPr="00E8640A">
        <w:rPr>
          <w:shd w:val="clear" w:color="auto" w:fill="FFFFFF"/>
        </w:rPr>
        <w:t xml:space="preserve"> </w:t>
      </w:r>
      <w:r w:rsidR="0053419C">
        <w:rPr>
          <w:shd w:val="clear" w:color="auto" w:fill="FFFFFF"/>
        </w:rPr>
        <w:t xml:space="preserve">illuminate the </w:t>
      </w:r>
      <w:r w:rsidR="00ED49E0">
        <w:rPr>
          <w:shd w:val="clear" w:color="auto" w:fill="FFFFFF"/>
        </w:rPr>
        <w:t xml:space="preserve">various </w:t>
      </w:r>
      <w:r w:rsidR="0053419C">
        <w:rPr>
          <w:shd w:val="clear" w:color="auto" w:fill="FFFFFF"/>
        </w:rPr>
        <w:t>ways in which</w:t>
      </w:r>
      <w:r w:rsidR="00E8640A" w:rsidRPr="00E8640A">
        <w:rPr>
          <w:shd w:val="clear" w:color="auto" w:fill="FFFFFF"/>
          <w:lang w:val="en-US"/>
        </w:rPr>
        <w:t xml:space="preserve"> addiction stigma limits the possibilities and capacities of take-home naloxone</w:t>
      </w:r>
      <w:r w:rsidR="00E77B19">
        <w:rPr>
          <w:shd w:val="clear" w:color="auto" w:fill="FFFFFF"/>
          <w:lang w:val="en-US"/>
        </w:rPr>
        <w:t xml:space="preserve"> and overdose prevention</w:t>
      </w:r>
      <w:r w:rsidR="00E8640A" w:rsidRPr="00E8640A">
        <w:rPr>
          <w:shd w:val="clear" w:color="auto" w:fill="FFFFFF"/>
          <w:lang w:val="en-US"/>
        </w:rPr>
        <w:t xml:space="preserve">. </w:t>
      </w:r>
      <w:r w:rsidR="00E8640A" w:rsidRPr="00E8640A">
        <w:rPr>
          <w:shd w:val="clear" w:color="auto" w:fill="FFFFFF"/>
        </w:rPr>
        <w:t xml:space="preserve">First, we focus on how stigma </w:t>
      </w:r>
      <w:r w:rsidR="0053419C">
        <w:rPr>
          <w:shd w:val="clear" w:color="auto" w:fill="FFFFFF"/>
        </w:rPr>
        <w:t xml:space="preserve">may </w:t>
      </w:r>
      <w:r w:rsidR="00E8640A" w:rsidRPr="00E8640A">
        <w:rPr>
          <w:shd w:val="clear" w:color="auto" w:fill="FFFFFF"/>
        </w:rPr>
        <w:t xml:space="preserve">impede professional information provision about </w:t>
      </w:r>
      <w:r w:rsidR="00C51820">
        <w:rPr>
          <w:shd w:val="clear" w:color="auto" w:fill="FFFFFF"/>
        </w:rPr>
        <w:t>take-home naloxone</w:t>
      </w:r>
      <w:r w:rsidR="00E77B19">
        <w:rPr>
          <w:shd w:val="clear" w:color="auto" w:fill="FFFFFF"/>
        </w:rPr>
        <w:t xml:space="preserve"> by </w:t>
      </w:r>
      <w:r w:rsidR="00E77B19">
        <w:t xml:space="preserve">limiting the </w:t>
      </w:r>
      <w:r w:rsidR="00E839FB">
        <w:t>extent to which it is presented as a</w:t>
      </w:r>
      <w:r w:rsidR="00E77B19">
        <w:t xml:space="preserve"> matter of interest for </w:t>
      </w:r>
      <w:r w:rsidR="00E77B19">
        <w:rPr>
          <w:i/>
        </w:rPr>
        <w:t>all</w:t>
      </w:r>
      <w:r w:rsidR="00E77B19">
        <w:t xml:space="preserve"> opioid consumers</w:t>
      </w:r>
      <w:r w:rsidR="00E839FB">
        <w:t>, not just those who consume opioids illicitly</w:t>
      </w:r>
      <w:r w:rsidR="00E8640A" w:rsidRPr="00E8640A">
        <w:rPr>
          <w:shd w:val="clear" w:color="auto" w:fill="FFFFFF"/>
        </w:rPr>
        <w:t xml:space="preserve">. Second, we explore how stigma </w:t>
      </w:r>
      <w:r w:rsidR="0053419C">
        <w:rPr>
          <w:shd w:val="clear" w:color="auto" w:fill="FFFFFF"/>
        </w:rPr>
        <w:t xml:space="preserve">may </w:t>
      </w:r>
      <w:r w:rsidR="00E8640A" w:rsidRPr="00E8640A">
        <w:rPr>
          <w:shd w:val="clear" w:color="auto" w:fill="FFFFFF"/>
        </w:rPr>
        <w:t>limit the scale</w:t>
      </w:r>
      <w:r w:rsidR="0053419C">
        <w:rPr>
          <w:shd w:val="clear" w:color="auto" w:fill="FFFFFF"/>
        </w:rPr>
        <w:t>-</w:t>
      </w:r>
      <w:r w:rsidR="00E8640A" w:rsidRPr="00E8640A">
        <w:rPr>
          <w:shd w:val="clear" w:color="auto" w:fill="FFFFFF"/>
        </w:rPr>
        <w:t xml:space="preserve">up and expansion of programs and access points. From here we focus on how stigma </w:t>
      </w:r>
      <w:r w:rsidR="00EB05B1">
        <w:t xml:space="preserve">co-constitutes the politics of overdose and prevention, rendering take-home naloxone ill-suited to </w:t>
      </w:r>
      <w:r w:rsidR="0053419C">
        <w:t xml:space="preserve">many </w:t>
      </w:r>
      <w:r w:rsidR="00EB05B1">
        <w:t>social settings of overdose.</w:t>
      </w:r>
      <w:r w:rsidR="00EB05B1">
        <w:rPr>
          <w:shd w:val="clear" w:color="auto" w:fill="FFFFFF"/>
        </w:rPr>
        <w:t xml:space="preserve"> </w:t>
      </w:r>
      <w:r w:rsidR="00E839FB">
        <w:rPr>
          <w:shd w:val="clear" w:color="auto" w:fill="FFFFFF"/>
        </w:rPr>
        <w:t>In closing, we</w:t>
      </w:r>
      <w:r w:rsidR="00E839FB" w:rsidRPr="00E8640A">
        <w:rPr>
          <w:shd w:val="clear" w:color="auto" w:fill="FFFFFF"/>
        </w:rPr>
        <w:t xml:space="preserve"> </w:t>
      </w:r>
      <w:r w:rsidR="00E839FB">
        <w:rPr>
          <w:shd w:val="clear" w:color="auto" w:fill="FFFFFF"/>
        </w:rPr>
        <w:t>point out</w:t>
      </w:r>
      <w:r w:rsidR="00E839FB" w:rsidRPr="00E8640A">
        <w:rPr>
          <w:shd w:val="clear" w:color="auto" w:fill="FFFFFF"/>
        </w:rPr>
        <w:t xml:space="preserve"> </w:t>
      </w:r>
      <w:r w:rsidR="00E8640A" w:rsidRPr="00E8640A">
        <w:rPr>
          <w:shd w:val="clear" w:color="auto" w:fill="FFFFFF"/>
        </w:rPr>
        <w:t>that stigma is not just a</w:t>
      </w:r>
      <w:r w:rsidR="0053419C">
        <w:rPr>
          <w:shd w:val="clear" w:color="auto" w:fill="FFFFFF"/>
        </w:rPr>
        <w:t xml:space="preserve"> post hoc impediment to</w:t>
      </w:r>
      <w:r w:rsidR="00E8640A" w:rsidRPr="00E8640A">
        <w:rPr>
          <w:shd w:val="clear" w:color="auto" w:fill="FFFFFF"/>
        </w:rPr>
        <w:t xml:space="preserve"> access</w:t>
      </w:r>
      <w:r w:rsidR="00E839FB">
        <w:rPr>
          <w:shd w:val="clear" w:color="auto" w:fill="FFFFFF"/>
        </w:rPr>
        <w:t xml:space="preserve"> to</w:t>
      </w:r>
      <w:r w:rsidR="00E8640A" w:rsidRPr="00E8640A">
        <w:rPr>
          <w:shd w:val="clear" w:color="auto" w:fill="FFFFFF"/>
        </w:rPr>
        <w:t xml:space="preserve"> and use </w:t>
      </w:r>
      <w:r w:rsidR="0053419C">
        <w:rPr>
          <w:shd w:val="clear" w:color="auto" w:fill="FFFFFF"/>
        </w:rPr>
        <w:t xml:space="preserve">of </w:t>
      </w:r>
      <w:r w:rsidR="00E8640A" w:rsidRPr="00E8640A">
        <w:rPr>
          <w:shd w:val="clear" w:color="auto" w:fill="FFFFFF"/>
        </w:rPr>
        <w:t xml:space="preserve">take-home naloxone but is </w:t>
      </w:r>
      <w:r w:rsidR="00FE0685">
        <w:rPr>
          <w:shd w:val="clear" w:color="auto" w:fill="FFFFFF"/>
        </w:rPr>
        <w:t>central to</w:t>
      </w:r>
      <w:r w:rsidR="00E8640A" w:rsidRPr="00E8640A">
        <w:rPr>
          <w:shd w:val="clear" w:color="auto" w:fill="FFFFFF"/>
        </w:rPr>
        <w:t xml:space="preserve"> opioid overdose</w:t>
      </w:r>
      <w:r w:rsidR="0053419C">
        <w:rPr>
          <w:shd w:val="clear" w:color="auto" w:fill="FFFFFF"/>
        </w:rPr>
        <w:t xml:space="preserve"> production itself,</w:t>
      </w:r>
      <w:r w:rsidR="00E8640A" w:rsidRPr="00E8640A">
        <w:rPr>
          <w:shd w:val="clear" w:color="auto" w:fill="FFFFFF"/>
        </w:rPr>
        <w:t xml:space="preserve"> and</w:t>
      </w:r>
      <w:r w:rsidR="0053419C">
        <w:rPr>
          <w:shd w:val="clear" w:color="auto" w:fill="FFFFFF"/>
        </w:rPr>
        <w:t xml:space="preserve"> to</w:t>
      </w:r>
      <w:r w:rsidR="00E8640A" w:rsidRPr="00E8640A">
        <w:rPr>
          <w:shd w:val="clear" w:color="auto" w:fill="FFFFFF"/>
        </w:rPr>
        <w:t xml:space="preserve"> effective prevention. </w:t>
      </w:r>
      <w:r w:rsidR="00E839FB">
        <w:rPr>
          <w:shd w:val="clear" w:color="auto" w:fill="FFFFFF"/>
        </w:rPr>
        <w:t>While</w:t>
      </w:r>
      <w:r w:rsidR="00E839FB" w:rsidRPr="00E8640A">
        <w:rPr>
          <w:shd w:val="clear" w:color="auto" w:fill="FFFFFF"/>
        </w:rPr>
        <w:t xml:space="preserve"> </w:t>
      </w:r>
      <w:r w:rsidR="00E8640A" w:rsidRPr="00E8640A">
        <w:rPr>
          <w:shd w:val="clear" w:color="auto" w:fill="FFFFFF"/>
        </w:rPr>
        <w:t xml:space="preserve">take-home naloxone is an excellent life-saving initiative, uncritically valorising it may divert attention from </w:t>
      </w:r>
      <w:r w:rsidR="001B3C70">
        <w:rPr>
          <w:shd w:val="clear" w:color="auto" w:fill="FFFFFF"/>
        </w:rPr>
        <w:t xml:space="preserve">broader </w:t>
      </w:r>
      <w:r w:rsidR="00E8640A" w:rsidRPr="00E8640A">
        <w:rPr>
          <w:shd w:val="clear" w:color="auto" w:fill="FFFFFF"/>
        </w:rPr>
        <w:t>goals</w:t>
      </w:r>
      <w:r w:rsidR="001B3C70">
        <w:rPr>
          <w:shd w:val="clear" w:color="auto" w:fill="FFFFFF"/>
        </w:rPr>
        <w:t>,</w:t>
      </w:r>
      <w:r w:rsidR="00E8640A" w:rsidRPr="00E8640A">
        <w:rPr>
          <w:shd w:val="clear" w:color="auto" w:fill="FFFFFF"/>
        </w:rPr>
        <w:t xml:space="preserve"> such as the </w:t>
      </w:r>
      <w:r w:rsidR="001B3C70">
        <w:rPr>
          <w:shd w:val="clear" w:color="auto" w:fill="FFFFFF"/>
        </w:rPr>
        <w:t xml:space="preserve">de-stigmatisation of drug consumption through </w:t>
      </w:r>
      <w:r w:rsidR="00E8640A" w:rsidRPr="00E8640A">
        <w:rPr>
          <w:shd w:val="clear" w:color="auto" w:fill="FFFFFF"/>
        </w:rPr>
        <w:t>decriminalisation</w:t>
      </w:r>
      <w:r w:rsidR="00E839FB">
        <w:rPr>
          <w:shd w:val="clear" w:color="auto" w:fill="FFFFFF"/>
        </w:rPr>
        <w:t>,</w:t>
      </w:r>
      <w:r w:rsidR="001B3C70">
        <w:rPr>
          <w:shd w:val="clear" w:color="auto" w:fill="FFFFFF"/>
        </w:rPr>
        <w:t xml:space="preserve"> and other ambitious attempts to reduce overdose</w:t>
      </w:r>
      <w:r w:rsidR="00E8640A" w:rsidRPr="00E8640A">
        <w:rPr>
          <w:shd w:val="clear" w:color="auto" w:fill="FFFFFF"/>
        </w:rPr>
        <w:t xml:space="preserve">. </w:t>
      </w:r>
    </w:p>
    <w:p w14:paraId="15EB780E" w14:textId="5A632345" w:rsidR="003C1F35" w:rsidRDefault="003C1F35" w:rsidP="00CD6C43">
      <w:pPr>
        <w:spacing w:line="360" w:lineRule="auto"/>
        <w:rPr>
          <w:shd w:val="clear" w:color="auto" w:fill="FFFFFF"/>
        </w:rPr>
      </w:pPr>
    </w:p>
    <w:p w14:paraId="61C537ED" w14:textId="287FBBBD" w:rsidR="003C1F35" w:rsidRPr="00E8640A" w:rsidRDefault="003C1F35" w:rsidP="00CD6C43">
      <w:pPr>
        <w:spacing w:line="360" w:lineRule="auto"/>
        <w:rPr>
          <w:shd w:val="clear" w:color="auto" w:fill="FFFFFF"/>
        </w:rPr>
      </w:pPr>
      <w:r w:rsidRPr="003C1F35">
        <w:rPr>
          <w:b/>
          <w:shd w:val="clear" w:color="auto" w:fill="FFFFFF"/>
        </w:rPr>
        <w:t>Keywords:</w:t>
      </w:r>
      <w:r>
        <w:rPr>
          <w:shd w:val="clear" w:color="auto" w:fill="FFFFFF"/>
        </w:rPr>
        <w:t xml:space="preserve"> Take-home naloxone, overdose, stigma, </w:t>
      </w:r>
      <w:r w:rsidR="003103A6">
        <w:rPr>
          <w:shd w:val="clear" w:color="auto" w:fill="FFFFFF"/>
        </w:rPr>
        <w:t xml:space="preserve">Judith </w:t>
      </w:r>
      <w:r>
        <w:rPr>
          <w:shd w:val="clear" w:color="auto" w:fill="FFFFFF"/>
        </w:rPr>
        <w:t>Butler</w:t>
      </w:r>
      <w:r w:rsidR="00C51820">
        <w:rPr>
          <w:shd w:val="clear" w:color="auto" w:fill="FFFFFF"/>
        </w:rPr>
        <w:t>, qualitative</w:t>
      </w:r>
      <w:r w:rsidR="003B76B5">
        <w:rPr>
          <w:shd w:val="clear" w:color="auto" w:fill="FFFFFF"/>
        </w:rPr>
        <w:t xml:space="preserve"> research</w:t>
      </w:r>
      <w:r w:rsidR="00C51820">
        <w:rPr>
          <w:shd w:val="clear" w:color="auto" w:fill="FFFFFF"/>
        </w:rPr>
        <w:t xml:space="preserve"> </w:t>
      </w:r>
    </w:p>
    <w:p w14:paraId="6913E8A7" w14:textId="77777777" w:rsidR="00896B65" w:rsidRPr="00E8640A" w:rsidRDefault="00896B65" w:rsidP="00CD6C43">
      <w:pPr>
        <w:spacing w:line="360" w:lineRule="auto"/>
      </w:pPr>
    </w:p>
    <w:p w14:paraId="1AC4711C" w14:textId="0E7D4F39" w:rsidR="00360DD9" w:rsidRDefault="00360DD9" w:rsidP="00CD6C43">
      <w:pPr>
        <w:spacing w:line="360" w:lineRule="auto"/>
      </w:pPr>
    </w:p>
    <w:p w14:paraId="7854FB12" w14:textId="77777777" w:rsidR="007747B1" w:rsidRDefault="007747B1" w:rsidP="00CD6C43">
      <w:pPr>
        <w:spacing w:line="360" w:lineRule="auto"/>
      </w:pPr>
    </w:p>
    <w:p w14:paraId="39A4213A" w14:textId="173019F9" w:rsidR="00C87284" w:rsidRDefault="00C87284">
      <w:pPr>
        <w:autoSpaceDE/>
        <w:autoSpaceDN/>
        <w:adjustRightInd/>
        <w:spacing w:after="160" w:line="259" w:lineRule="auto"/>
        <w:rPr>
          <w:b/>
        </w:rPr>
      </w:pPr>
    </w:p>
    <w:p w14:paraId="2CA0D039" w14:textId="4B63403C" w:rsidR="002B67BF" w:rsidRDefault="009A02FB" w:rsidP="00B6094E">
      <w:pPr>
        <w:pStyle w:val="Heading2"/>
        <w:spacing w:line="360" w:lineRule="auto"/>
      </w:pPr>
      <w:r w:rsidRPr="00971C1A">
        <w:lastRenderedPageBreak/>
        <w:t>Introduction</w:t>
      </w:r>
    </w:p>
    <w:p w14:paraId="133637CE" w14:textId="66C4B53C" w:rsidR="00EE20A5" w:rsidRDefault="00821ED6" w:rsidP="00FA63C6">
      <w:pPr>
        <w:spacing w:line="360" w:lineRule="auto"/>
      </w:pPr>
      <w:r>
        <w:t xml:space="preserve">Opioid overdose deaths </w:t>
      </w:r>
      <w:r w:rsidR="007606EA">
        <w:t>are a</w:t>
      </w:r>
      <w:r>
        <w:t xml:space="preserve"> </w:t>
      </w:r>
      <w:r w:rsidR="00E839FB">
        <w:t>major</w:t>
      </w:r>
      <w:r>
        <w:t xml:space="preserve"> public health</w:t>
      </w:r>
      <w:r w:rsidR="007606EA">
        <w:t xml:space="preserve"> </w:t>
      </w:r>
      <w:r w:rsidR="00A27F98">
        <w:t>issue</w:t>
      </w:r>
      <w:r>
        <w:t xml:space="preserve"> in Australia and </w:t>
      </w:r>
      <w:r w:rsidR="00E839FB">
        <w:t>around the world</w:t>
      </w:r>
      <w:r w:rsidR="007606EA">
        <w:t xml:space="preserve">. </w:t>
      </w:r>
      <w:r w:rsidR="00D23345">
        <w:t>In many places,</w:t>
      </w:r>
      <w:r w:rsidR="00F263E2">
        <w:t xml:space="preserve"> the</w:t>
      </w:r>
      <w:r w:rsidR="00D23345">
        <w:t xml:space="preserve"> scale</w:t>
      </w:r>
      <w:r w:rsidR="00E839FB">
        <w:t>-</w:t>
      </w:r>
      <w:r w:rsidR="00D23345">
        <w:t xml:space="preserve">up and expansion of </w:t>
      </w:r>
      <w:r w:rsidR="00E839FB">
        <w:t>‘</w:t>
      </w:r>
      <w:r w:rsidR="00D23345">
        <w:t>take-home</w:t>
      </w:r>
      <w:r w:rsidR="00E839FB">
        <w:t>’</w:t>
      </w:r>
      <w:r w:rsidR="00D23345">
        <w:t xml:space="preserve"> naloxone </w:t>
      </w:r>
      <w:r w:rsidR="00330A4A">
        <w:t>prescribing</w:t>
      </w:r>
      <w:r w:rsidR="006B2A6A">
        <w:t>, dispensing</w:t>
      </w:r>
      <w:r w:rsidR="00330A4A">
        <w:t xml:space="preserve"> and education </w:t>
      </w:r>
      <w:r w:rsidR="00D23345">
        <w:t>programs</w:t>
      </w:r>
      <w:r w:rsidR="00905BEB">
        <w:t xml:space="preserve"> </w:t>
      </w:r>
      <w:r w:rsidR="00D23345">
        <w:t>ha</w:t>
      </w:r>
      <w:r w:rsidR="002228E6">
        <w:t>ve</w:t>
      </w:r>
      <w:r w:rsidR="00D23345">
        <w:t xml:space="preserve"> become </w:t>
      </w:r>
      <w:r w:rsidR="00223AE6">
        <w:t>foc</w:t>
      </w:r>
      <w:r w:rsidR="00F263E2">
        <w:t>al points</w:t>
      </w:r>
      <w:r w:rsidR="00905BEB">
        <w:t xml:space="preserve"> of opioid overdose prevention. </w:t>
      </w:r>
      <w:r w:rsidR="002228E6">
        <w:t>In this approach, n</w:t>
      </w:r>
      <w:r w:rsidR="00F12C53">
        <w:t>aloxone</w:t>
      </w:r>
      <w:r w:rsidR="002228E6">
        <w:t xml:space="preserve">, </w:t>
      </w:r>
      <w:r w:rsidR="00F12C53">
        <w:t>an opioid antagonist used to reverse the respiratory effects associated with overdose</w:t>
      </w:r>
      <w:r w:rsidR="002228E6">
        <w:t>,</w:t>
      </w:r>
      <w:r w:rsidR="00F12C53">
        <w:t xml:space="preserve"> </w:t>
      </w:r>
      <w:r w:rsidR="002228E6">
        <w:t>is</w:t>
      </w:r>
      <w:r w:rsidR="00D23345">
        <w:t xml:space="preserve"> provide</w:t>
      </w:r>
      <w:r w:rsidR="002228E6">
        <w:t>d</w:t>
      </w:r>
      <w:r w:rsidR="00D23345">
        <w:t xml:space="preserve"> </w:t>
      </w:r>
      <w:r w:rsidR="002228E6">
        <w:t>to individuals who consume opioids along with</w:t>
      </w:r>
      <w:r w:rsidR="00D23345">
        <w:t xml:space="preserve"> training on overdose prevention</w:t>
      </w:r>
      <w:r w:rsidR="002228E6">
        <w:t xml:space="preserve"> </w:t>
      </w:r>
      <w:r w:rsidR="00D23345">
        <w:t>(</w:t>
      </w:r>
      <w:bookmarkStart w:id="1" w:name="_Hlk26525526"/>
      <w:r w:rsidR="00D23345" w:rsidRPr="00E20901">
        <w:t>Kolla &amp; Strike, 2019</w:t>
      </w:r>
      <w:bookmarkEnd w:id="1"/>
      <w:r w:rsidR="00D23345">
        <w:t xml:space="preserve">). </w:t>
      </w:r>
      <w:r w:rsidR="002228E6">
        <w:t>However, d</w:t>
      </w:r>
      <w:r w:rsidR="00B2270B">
        <w:t xml:space="preserve">espite decades of research demonstrating the </w:t>
      </w:r>
      <w:r w:rsidR="006F2733">
        <w:t xml:space="preserve">effectiveness </w:t>
      </w:r>
      <w:r w:rsidR="00B2270B">
        <w:t xml:space="preserve">of naloxone, </w:t>
      </w:r>
      <w:r w:rsidR="00E47082">
        <w:t>the reach of these programs</w:t>
      </w:r>
      <w:r w:rsidR="002228E6">
        <w:t xml:space="preserve"> remains</w:t>
      </w:r>
      <w:r w:rsidR="00B2270B">
        <w:t xml:space="preserve"> limited. </w:t>
      </w:r>
      <w:r w:rsidR="006F2733">
        <w:t xml:space="preserve">This </w:t>
      </w:r>
      <w:r w:rsidR="00E47082">
        <w:t>‘</w:t>
      </w:r>
      <w:r w:rsidR="00A36D14">
        <w:t xml:space="preserve">intervention </w:t>
      </w:r>
      <w:r w:rsidR="00E47082">
        <w:t>inertia’</w:t>
      </w:r>
      <w:r w:rsidR="006F2733">
        <w:t xml:space="preserve"> </w:t>
      </w:r>
      <w:r w:rsidR="00E47082">
        <w:t>(</w:t>
      </w:r>
      <w:r w:rsidR="00A36D14" w:rsidRPr="00C4623A">
        <w:t>Strang et al. 2019</w:t>
      </w:r>
      <w:r w:rsidR="00E47082">
        <w:t xml:space="preserve">) </w:t>
      </w:r>
      <w:r w:rsidR="006F2733">
        <w:t xml:space="preserve">raises </w:t>
      </w:r>
      <w:r w:rsidR="006B2A6A">
        <w:t xml:space="preserve">urgent </w:t>
      </w:r>
      <w:r w:rsidR="006F2733">
        <w:t>questions</w:t>
      </w:r>
      <w:r w:rsidR="002228E6">
        <w:t xml:space="preserve"> about obstacles and how to address them. Researchers have identified a range of practical impediments</w:t>
      </w:r>
      <w:r w:rsidR="00E47082">
        <w:t xml:space="preserve"> to the expansion of take-home naloxone programs,</w:t>
      </w:r>
      <w:r w:rsidR="002228E6">
        <w:t xml:space="preserve"> such as cost, funding constraints and knowledge of the medication (Dwyer</w:t>
      </w:r>
      <w:r w:rsidR="005F70EE">
        <w:t xml:space="preserve"> et al., </w:t>
      </w:r>
      <w:r w:rsidR="002228E6">
        <w:t>2016). Awareness-r</w:t>
      </w:r>
      <w:r w:rsidR="002228E6" w:rsidRPr="00E8640A">
        <w:t>aising or education initiatives targeted at people who consume opioids, their families and friends</w:t>
      </w:r>
      <w:r w:rsidR="002228E6">
        <w:t xml:space="preserve"> have been put forward as appropriate responses to these issues (Dietze et al. 2017)</w:t>
      </w:r>
      <w:r w:rsidR="002228E6" w:rsidRPr="00E8640A">
        <w:t xml:space="preserve">. </w:t>
      </w:r>
      <w:r w:rsidR="002228E6">
        <w:t xml:space="preserve">In the process, </w:t>
      </w:r>
      <w:r w:rsidR="00E47082">
        <w:t xml:space="preserve">however, </w:t>
      </w:r>
      <w:r w:rsidR="002228E6">
        <w:t xml:space="preserve">important </w:t>
      </w:r>
      <w:r w:rsidR="002228E6" w:rsidRPr="00E8640A">
        <w:t xml:space="preserve">social </w:t>
      </w:r>
      <w:r w:rsidR="002228E6">
        <w:t>dynamics relating to stigma</w:t>
      </w:r>
      <w:r w:rsidR="002228E6" w:rsidRPr="00E8640A">
        <w:t xml:space="preserve"> </w:t>
      </w:r>
      <w:r w:rsidR="002228E6">
        <w:t xml:space="preserve">have received less attention. </w:t>
      </w:r>
      <w:bookmarkStart w:id="2" w:name="_Hlk26525964"/>
      <w:r w:rsidR="00227D38">
        <w:t xml:space="preserve">Attending to the influence of stigma on take-home naloxone </w:t>
      </w:r>
      <w:r w:rsidR="00E47082">
        <w:t xml:space="preserve">programs </w:t>
      </w:r>
      <w:r w:rsidR="005A373E">
        <w:t>seems to be</w:t>
      </w:r>
      <w:r w:rsidR="00227D38">
        <w:t xml:space="preserve"> essential </w:t>
      </w:r>
      <w:r w:rsidR="000A0A92">
        <w:t>in</w:t>
      </w:r>
      <w:r w:rsidR="00227D38">
        <w:t xml:space="preserve"> thinking through ways to improve access and uptake</w:t>
      </w:r>
      <w:r w:rsidR="00E47082">
        <w:t xml:space="preserve">, both </w:t>
      </w:r>
      <w:r w:rsidR="00555FBD">
        <w:t xml:space="preserve">by mainstream health services and </w:t>
      </w:r>
      <w:r w:rsidR="00E47082">
        <w:t>among individuals not usually targeted for overdose prevention</w:t>
      </w:r>
      <w:r w:rsidR="00227D38">
        <w:t>.</w:t>
      </w:r>
      <w:bookmarkEnd w:id="2"/>
      <w:r w:rsidR="00227D38">
        <w:t xml:space="preserve"> </w:t>
      </w:r>
      <w:r w:rsidR="00E47082">
        <w:t>Moreover,</w:t>
      </w:r>
      <w:r w:rsidR="00227D38">
        <w:t xml:space="preserve"> highlighting the persistence of drug-related stigma – particularly in places we would least expect to find it, such as overdose prevention initiatives – reminds us of the need to scrutinise the social conditions under which drug-related harms occur</w:t>
      </w:r>
      <w:r w:rsidR="00E47082">
        <w:t>,</w:t>
      </w:r>
      <w:r w:rsidR="00227D38">
        <w:t xml:space="preserve"> and their role in constituting harms </w:t>
      </w:r>
      <w:r w:rsidR="00E47082">
        <w:t>that may then be</w:t>
      </w:r>
      <w:r w:rsidR="00227D38">
        <w:t xml:space="preserve"> attributed to other causes.</w:t>
      </w:r>
    </w:p>
    <w:p w14:paraId="7B76DD43" w14:textId="77777777" w:rsidR="00DC5C0C" w:rsidRPr="00EB3235" w:rsidRDefault="00DC5C0C" w:rsidP="004C7058">
      <w:pPr>
        <w:spacing w:line="360" w:lineRule="auto"/>
        <w:rPr>
          <w:u w:val="double"/>
        </w:rPr>
      </w:pPr>
    </w:p>
    <w:p w14:paraId="473986C3" w14:textId="0CE41782" w:rsidR="0073198C" w:rsidRDefault="00B5433C">
      <w:pPr>
        <w:spacing w:line="360" w:lineRule="auto"/>
      </w:pPr>
      <w:r>
        <w:t xml:space="preserve">In this article we </w:t>
      </w:r>
      <w:r w:rsidR="00E41A41">
        <w:t>argue that</w:t>
      </w:r>
      <w:r>
        <w:t xml:space="preserve"> impediments to take-home naloxone uptake are </w:t>
      </w:r>
      <w:r w:rsidR="007F0594">
        <w:t>co-</w:t>
      </w:r>
      <w:r>
        <w:t>produced through the operation of stigma. Drawing</w:t>
      </w:r>
      <w:r w:rsidRPr="00E8640A">
        <w:t xml:space="preserve"> </w:t>
      </w:r>
      <w:r>
        <w:t>on Fraser et al.’s</w:t>
      </w:r>
      <w:r w:rsidR="00C51820">
        <w:t xml:space="preserve"> (2017)</w:t>
      </w:r>
      <w:r>
        <w:t xml:space="preserve"> performative account of stigma</w:t>
      </w:r>
      <w:r w:rsidR="00941359">
        <w:t xml:space="preserve"> </w:t>
      </w:r>
      <w:r>
        <w:t xml:space="preserve">and </w:t>
      </w:r>
      <w:r w:rsidRPr="00E8640A">
        <w:t xml:space="preserve">qualitative data gathered for a project on take-home </w:t>
      </w:r>
      <w:r>
        <w:t xml:space="preserve">naloxone, we </w:t>
      </w:r>
      <w:r w:rsidR="00E41A41">
        <w:t>show how</w:t>
      </w:r>
      <w:r>
        <w:t xml:space="preserve"> </w:t>
      </w:r>
      <w:r w:rsidR="00941359">
        <w:t xml:space="preserve">addiction stigma </w:t>
      </w:r>
      <w:r w:rsidR="00E41A41">
        <w:t xml:space="preserve">shapes </w:t>
      </w:r>
      <w:r w:rsidR="00B2537E">
        <w:t xml:space="preserve">and </w:t>
      </w:r>
      <w:r w:rsidR="00E41A41">
        <w:t xml:space="preserve">delimits </w:t>
      </w:r>
      <w:r w:rsidR="00941359">
        <w:t xml:space="preserve">uptake and access </w:t>
      </w:r>
      <w:r w:rsidR="001A1E1B">
        <w:t>along with</w:t>
      </w:r>
      <w:r w:rsidR="00B2537E">
        <w:t xml:space="preserve"> </w:t>
      </w:r>
      <w:r w:rsidR="001A1E1B">
        <w:t xml:space="preserve">the functions and effects of </w:t>
      </w:r>
      <w:r w:rsidR="00B2537E">
        <w:t>take-home naloxone</w:t>
      </w:r>
      <w:r w:rsidR="00941359">
        <w:t xml:space="preserve"> as a</w:t>
      </w:r>
      <w:r w:rsidR="001A1E1B">
        <w:t xml:space="preserve"> </w:t>
      </w:r>
      <w:r w:rsidR="00941359">
        <w:t>technology for overdose prevention.</w:t>
      </w:r>
      <w:r w:rsidR="00F12AE1">
        <w:t xml:space="preserve"> To begin</w:t>
      </w:r>
      <w:r w:rsidR="005867F6">
        <w:t>,</w:t>
      </w:r>
      <w:r w:rsidR="00F12AE1">
        <w:t xml:space="preserve"> we</w:t>
      </w:r>
      <w:r w:rsidR="001A1E1B">
        <w:t xml:space="preserve"> introduce our theoretical approach and the methods used to </w:t>
      </w:r>
      <w:r w:rsidR="00CB034A">
        <w:t>construct</w:t>
      </w:r>
      <w:r w:rsidR="001A1E1B">
        <w:t xml:space="preserve"> our dataset. </w:t>
      </w:r>
      <w:r w:rsidR="00576A97">
        <w:t>W</w:t>
      </w:r>
      <w:r w:rsidR="001A1E1B">
        <w:t xml:space="preserve">e </w:t>
      </w:r>
      <w:r w:rsidR="00576A97">
        <w:t>then</w:t>
      </w:r>
      <w:r w:rsidR="00F12AE1">
        <w:t xml:space="preserve"> explore </w:t>
      </w:r>
      <w:r w:rsidR="00C51820">
        <w:t>how</w:t>
      </w:r>
      <w:r w:rsidR="001A1E1B">
        <w:t xml:space="preserve"> </w:t>
      </w:r>
      <w:r w:rsidR="00F12AE1">
        <w:t xml:space="preserve">addiction stigma operates </w:t>
      </w:r>
      <w:r w:rsidR="005867F6">
        <w:t xml:space="preserve">in ways that may </w:t>
      </w:r>
      <w:r w:rsidR="00F12AE1">
        <w:t>co-produce less careful healthcare encoun</w:t>
      </w:r>
      <w:r w:rsidR="002E59B0">
        <w:t>ters. A</w:t>
      </w:r>
      <w:r w:rsidR="001A1E1B">
        <w:t xml:space="preserve">s we will argue, </w:t>
      </w:r>
      <w:r w:rsidR="00C4623A">
        <w:t>addiction stigma</w:t>
      </w:r>
      <w:r w:rsidR="00C4623A" w:rsidRPr="00B93EA0">
        <w:t xml:space="preserve"> may </w:t>
      </w:r>
      <w:r w:rsidR="00C4623A">
        <w:t xml:space="preserve">limit the </w:t>
      </w:r>
      <w:r w:rsidR="00E47082">
        <w:t>expansion</w:t>
      </w:r>
      <w:r w:rsidR="00C4623A">
        <w:t xml:space="preserve"> of take-home naloxone into a mainstream public health intervention and matter of interest for </w:t>
      </w:r>
      <w:r w:rsidR="00C4623A">
        <w:rPr>
          <w:i/>
        </w:rPr>
        <w:t>all</w:t>
      </w:r>
      <w:r w:rsidR="00C4623A">
        <w:t xml:space="preserve"> opioid consumers</w:t>
      </w:r>
      <w:r w:rsidR="00F12AE1">
        <w:t xml:space="preserve">. We then argue that addiction stigma </w:t>
      </w:r>
      <w:r w:rsidR="001A1E1B">
        <w:t xml:space="preserve">further </w:t>
      </w:r>
      <w:r w:rsidR="00F12AE1">
        <w:t xml:space="preserve">shapes the issue of access by generating concerns about </w:t>
      </w:r>
      <w:r w:rsidR="005867F6">
        <w:t xml:space="preserve">exposure and </w:t>
      </w:r>
      <w:r w:rsidR="00F12AE1">
        <w:t>discreditab</w:t>
      </w:r>
      <w:r w:rsidR="001A1E1B">
        <w:t>i</w:t>
      </w:r>
      <w:r w:rsidR="00F12AE1">
        <w:t>lity</w:t>
      </w:r>
      <w:r w:rsidR="005867F6">
        <w:t xml:space="preserve"> when carrying take-home naloxone</w:t>
      </w:r>
      <w:r w:rsidR="00B65661">
        <w:t xml:space="preserve">. </w:t>
      </w:r>
      <w:r w:rsidR="005867F6">
        <w:t>Next</w:t>
      </w:r>
      <w:r w:rsidR="005A373E">
        <w:t>,</w:t>
      </w:r>
      <w:r w:rsidR="005867F6">
        <w:t xml:space="preserve"> we</w:t>
      </w:r>
      <w:r w:rsidR="001A1E1B">
        <w:t xml:space="preserve"> </w:t>
      </w:r>
      <w:r w:rsidR="005867F6">
        <w:t>explore interview data that</w:t>
      </w:r>
      <w:r w:rsidR="001A1E1B">
        <w:t xml:space="preserve"> indicate that</w:t>
      </w:r>
      <w:r w:rsidR="00F12AE1">
        <w:t xml:space="preserve"> </w:t>
      </w:r>
      <w:r w:rsidR="005867F6">
        <w:t xml:space="preserve">participants consider </w:t>
      </w:r>
      <w:r w:rsidR="001A1E1B">
        <w:t>sites for accessing</w:t>
      </w:r>
      <w:r w:rsidR="00F12AE1" w:rsidRPr="00F12AE1">
        <w:t xml:space="preserve"> take-home naloxone</w:t>
      </w:r>
      <w:r w:rsidR="001A1E1B">
        <w:t xml:space="preserve"> limited</w:t>
      </w:r>
      <w:r w:rsidR="00964A42">
        <w:t xml:space="preserve"> and</w:t>
      </w:r>
      <w:r w:rsidR="001A1E1B">
        <w:t xml:space="preserve"> </w:t>
      </w:r>
      <w:r w:rsidR="003C1F35">
        <w:t>prohibitive</w:t>
      </w:r>
      <w:r w:rsidR="001A1E1B">
        <w:t>.</w:t>
      </w:r>
      <w:r w:rsidR="00257FCE">
        <w:t xml:space="preserve"> </w:t>
      </w:r>
      <w:r w:rsidR="005A6504">
        <w:t xml:space="preserve">We </w:t>
      </w:r>
      <w:r w:rsidR="005A6504">
        <w:lastRenderedPageBreak/>
        <w:t>consider these limitations not as ‘neutral’ problems awaiting improvement but as the effects of politics and a social and cultural discomfort with</w:t>
      </w:r>
      <w:r w:rsidR="005A6504">
        <w:rPr>
          <w:rStyle w:val="CommentReference"/>
        </w:rPr>
        <w:t xml:space="preserve"> </w:t>
      </w:r>
      <w:r w:rsidR="005A6504">
        <w:t xml:space="preserve">drug use. </w:t>
      </w:r>
      <w:r w:rsidR="001A1E1B">
        <w:t xml:space="preserve">These </w:t>
      </w:r>
      <w:r w:rsidR="00257FCE">
        <w:t xml:space="preserve">limitations </w:t>
      </w:r>
      <w:r w:rsidR="001121FE">
        <w:t xml:space="preserve">in access </w:t>
      </w:r>
      <w:r w:rsidR="00A36207">
        <w:t>function to</w:t>
      </w:r>
      <w:r w:rsidR="001121FE">
        <w:t xml:space="preserve"> further</w:t>
      </w:r>
      <w:r w:rsidR="00A36207">
        <w:t xml:space="preserve"> marginalise people </w:t>
      </w:r>
      <w:r w:rsidR="00F12AE1">
        <w:t>who consume opioids</w:t>
      </w:r>
      <w:r w:rsidR="009E2F42">
        <w:t xml:space="preserve"> and their healthcare concerns</w:t>
      </w:r>
      <w:r w:rsidR="001A1E1B">
        <w:t xml:space="preserve"> and needs</w:t>
      </w:r>
      <w:r w:rsidR="009E2F42">
        <w:t xml:space="preserve"> from normative social life. In the final section, we </w:t>
      </w:r>
      <w:r w:rsidR="001A1E1B">
        <w:t xml:space="preserve">draw on our interviews to </w:t>
      </w:r>
      <w:r w:rsidR="009E2F42">
        <w:t xml:space="preserve">argue that </w:t>
      </w:r>
      <w:r w:rsidR="001A1E1B">
        <w:t xml:space="preserve">Australia’s </w:t>
      </w:r>
      <w:r w:rsidR="009E2F42">
        <w:t>criminalis</w:t>
      </w:r>
      <w:r w:rsidR="001A1E1B">
        <w:t>ing drug policy</w:t>
      </w:r>
      <w:r w:rsidR="009E2F42">
        <w:t xml:space="preserve"> and</w:t>
      </w:r>
      <w:r w:rsidR="001A1E1B">
        <w:t xml:space="preserve"> the</w:t>
      </w:r>
      <w:r w:rsidR="009E2F42">
        <w:t xml:space="preserve"> </w:t>
      </w:r>
      <w:r w:rsidR="001A1E1B">
        <w:t>stigma associated with it actively</w:t>
      </w:r>
      <w:r w:rsidR="009E2F42">
        <w:t xml:space="preserve"> </w:t>
      </w:r>
      <w:r w:rsidR="001A1E1B">
        <w:t>shape overdose events as isolated and secretive, such that</w:t>
      </w:r>
      <w:r w:rsidR="009E2F42">
        <w:t xml:space="preserve"> take-home naloxone </w:t>
      </w:r>
      <w:r w:rsidR="005867F6">
        <w:t xml:space="preserve">equipment </w:t>
      </w:r>
      <w:r w:rsidR="00E2156A">
        <w:t xml:space="preserve">may be </w:t>
      </w:r>
      <w:r w:rsidR="009E2F42">
        <w:t>irrelevant</w:t>
      </w:r>
      <w:r w:rsidR="00E2156A">
        <w:t xml:space="preserve"> to many. In line with this, </w:t>
      </w:r>
      <w:r w:rsidR="005867F6">
        <w:t xml:space="preserve">we </w:t>
      </w:r>
      <w:r w:rsidR="00C51820">
        <w:t>argue that</w:t>
      </w:r>
      <w:r w:rsidR="005867F6">
        <w:t xml:space="preserve"> </w:t>
      </w:r>
      <w:r w:rsidR="009E2F42">
        <w:t xml:space="preserve">overdose prevention </w:t>
      </w:r>
      <w:r w:rsidR="00E2156A">
        <w:t>i</w:t>
      </w:r>
      <w:r w:rsidR="009E2F42">
        <w:t>s</w:t>
      </w:r>
      <w:r w:rsidR="00E2156A">
        <w:t xml:space="preserve"> conceived as</w:t>
      </w:r>
      <w:r w:rsidR="009E2F42">
        <w:t xml:space="preserve"> an individual effort </w:t>
      </w:r>
      <w:r w:rsidR="00E2156A">
        <w:t xml:space="preserve">more </w:t>
      </w:r>
      <w:r w:rsidR="009E2F42">
        <w:t>than a public or community one</w:t>
      </w:r>
      <w:r w:rsidR="00EA3B2D">
        <w:t>. We</w:t>
      </w:r>
      <w:r w:rsidR="00530041">
        <w:t xml:space="preserve"> conclude by calling for more attention to be paid to the stigmatising context in which overdose itself is produced</w:t>
      </w:r>
      <w:r w:rsidR="001121FE">
        <w:t xml:space="preserve"> and take-home naloxone operates</w:t>
      </w:r>
      <w:r w:rsidR="00530041">
        <w:t>.</w:t>
      </w:r>
    </w:p>
    <w:p w14:paraId="188F3DA1" w14:textId="5E85E7CF" w:rsidR="00257FCE" w:rsidRDefault="00257FCE" w:rsidP="00CD6C43">
      <w:pPr>
        <w:spacing w:line="360" w:lineRule="auto"/>
      </w:pPr>
    </w:p>
    <w:p w14:paraId="7D37E9B7" w14:textId="77777777" w:rsidR="009A02FB" w:rsidRDefault="009A02FB" w:rsidP="00CD6C43">
      <w:pPr>
        <w:pStyle w:val="Heading2"/>
        <w:spacing w:line="360" w:lineRule="auto"/>
      </w:pPr>
      <w:r>
        <w:t>Background</w:t>
      </w:r>
    </w:p>
    <w:p w14:paraId="5B4DD425" w14:textId="6899F8AF" w:rsidR="00E47082" w:rsidRDefault="00C51820" w:rsidP="00187F2D">
      <w:pPr>
        <w:spacing w:line="360" w:lineRule="auto"/>
        <w:rPr>
          <w:rFonts w:cs="AdvP7B6C"/>
        </w:rPr>
      </w:pPr>
      <w:r>
        <w:t xml:space="preserve">Like </w:t>
      </w:r>
      <w:r w:rsidR="00E56791" w:rsidRPr="00F2054E">
        <w:t xml:space="preserve">many other </w:t>
      </w:r>
      <w:r w:rsidR="00E56791">
        <w:t>nations</w:t>
      </w:r>
      <w:r w:rsidR="00E56791" w:rsidRPr="00F2054E">
        <w:t xml:space="preserve">, Australia </w:t>
      </w:r>
      <w:r w:rsidR="00E2156A">
        <w:t>i</w:t>
      </w:r>
      <w:r w:rsidR="00E56791" w:rsidRPr="00F2054E">
        <w:t xml:space="preserve">s </w:t>
      </w:r>
      <w:r w:rsidR="008F1652" w:rsidRPr="00F2054E">
        <w:t>experienci</w:t>
      </w:r>
      <w:r w:rsidR="008F1652">
        <w:t>ng</w:t>
      </w:r>
      <w:r w:rsidR="00E56791" w:rsidRPr="00F2054E">
        <w:t xml:space="preserve"> increased opioid overdose hospital admissions and deaths. Current Australian research identified </w:t>
      </w:r>
      <w:r w:rsidR="00B94676">
        <w:t>1045 opioid-</w:t>
      </w:r>
      <w:r w:rsidR="008F1652">
        <w:t>induced deaths in 2016, with 65%</w:t>
      </w:r>
      <w:r w:rsidR="005867F6">
        <w:t xml:space="preserve"> </w:t>
      </w:r>
      <w:r w:rsidR="008F1652">
        <w:t>of deaths</w:t>
      </w:r>
      <w:r w:rsidR="005B5E79">
        <w:t xml:space="preserve"> (n = 679) </w:t>
      </w:r>
      <w:r w:rsidR="008F1652">
        <w:t xml:space="preserve">attributed to pharmaceutical opioids, </w:t>
      </w:r>
      <w:r w:rsidR="005867F6">
        <w:t>24%</w:t>
      </w:r>
      <w:r w:rsidR="008F1652">
        <w:t xml:space="preserve"> to heroin (n = 247), and 11% (n = 111) to both pharmaceutical opioids and heroin (</w:t>
      </w:r>
      <w:r w:rsidR="004F2F23">
        <w:t>Roxburgh et al.</w:t>
      </w:r>
      <w:r w:rsidR="008B5D8A">
        <w:t>,</w:t>
      </w:r>
      <w:r w:rsidR="004F2F23">
        <w:t xml:space="preserve"> 2018</w:t>
      </w:r>
      <w:r w:rsidR="008F1652">
        <w:t>)</w:t>
      </w:r>
      <w:r w:rsidR="00964A42">
        <w:t xml:space="preserve">. </w:t>
      </w:r>
      <w:r w:rsidR="00E56791" w:rsidRPr="00F2054E">
        <w:t>A range of strategies</w:t>
      </w:r>
      <w:r w:rsidR="0049562E">
        <w:t xml:space="preserve"> </w:t>
      </w:r>
      <w:r w:rsidR="00E56791" w:rsidRPr="00F2054E">
        <w:t>to reduce over</w:t>
      </w:r>
      <w:r w:rsidR="00E56791">
        <w:t>dose</w:t>
      </w:r>
      <w:r w:rsidR="00E56791" w:rsidRPr="00F2054E">
        <w:t xml:space="preserve"> deaths focuss</w:t>
      </w:r>
      <w:r w:rsidR="00E2156A">
        <w:t>ing</w:t>
      </w:r>
      <w:r w:rsidR="00E56791" w:rsidRPr="00F2054E">
        <w:t xml:space="preserve"> primarily on the knowledge and action of people who consume illicit drugs have been developed and implemented in Australia</w:t>
      </w:r>
      <w:r w:rsidR="00A30F28">
        <w:t xml:space="preserve"> </w:t>
      </w:r>
      <w:r w:rsidR="00E56791" w:rsidRPr="007B1819">
        <w:t>(</w:t>
      </w:r>
      <w:r w:rsidR="00D23F52" w:rsidRPr="0062557F">
        <w:t>Farrugia</w:t>
      </w:r>
      <w:r w:rsidR="008B5D8A">
        <w:t xml:space="preserve"> et al., </w:t>
      </w:r>
      <w:r w:rsidR="00D23F52" w:rsidRPr="007B1819">
        <w:t>2017)</w:t>
      </w:r>
      <w:r w:rsidR="00E56791" w:rsidRPr="007B1819">
        <w:t>.</w:t>
      </w:r>
      <w:r w:rsidR="00E56791" w:rsidRPr="00F2054E">
        <w:t xml:space="preserve"> </w:t>
      </w:r>
      <w:r w:rsidR="0049562E">
        <w:t xml:space="preserve">In addition to expanding opioid substitution </w:t>
      </w:r>
      <w:r w:rsidR="003B76B5">
        <w:t>treatment</w:t>
      </w:r>
      <w:r w:rsidR="0049562E">
        <w:t>, p</w:t>
      </w:r>
      <w:r w:rsidR="00A30F28">
        <w:t xml:space="preserve">roviding </w:t>
      </w:r>
      <w:r>
        <w:t xml:space="preserve">training in overdose recognition and response and dispensing </w:t>
      </w:r>
      <w:r w:rsidR="00A30F28">
        <w:t>the opioid antagonist naloxone to people who use drugs</w:t>
      </w:r>
      <w:r>
        <w:t xml:space="preserve"> as ‘take-home nal</w:t>
      </w:r>
      <w:r w:rsidR="003B76B5">
        <w:t>o</w:t>
      </w:r>
      <w:r>
        <w:t>xone’</w:t>
      </w:r>
      <w:r w:rsidR="00A30F28">
        <w:t xml:space="preserve"> is </w:t>
      </w:r>
      <w:r w:rsidR="0049562E">
        <w:t>another</w:t>
      </w:r>
      <w:r w:rsidR="00A30F28">
        <w:t xml:space="preserve"> </w:t>
      </w:r>
      <w:r w:rsidR="00E56791" w:rsidRPr="00F2054E">
        <w:t>initiative aimed at reducing lives lost to overdose</w:t>
      </w:r>
      <w:r w:rsidR="00E74428">
        <w:t xml:space="preserve"> </w:t>
      </w:r>
      <w:r w:rsidR="00E56791" w:rsidRPr="00F2054E">
        <w:t>(Dwyer et al.</w:t>
      </w:r>
      <w:r w:rsidR="008B5D8A">
        <w:t>,</w:t>
      </w:r>
      <w:r w:rsidR="00E56791" w:rsidRPr="00F2054E">
        <w:t xml:space="preserve"> 2018).</w:t>
      </w:r>
      <w:r w:rsidR="008B461C">
        <w:t xml:space="preserve"> </w:t>
      </w:r>
      <w:r w:rsidR="00187F2D" w:rsidRPr="00F2054E">
        <w:rPr>
          <w:rFonts w:cs="AdvP7B6C"/>
        </w:rPr>
        <w:t xml:space="preserve">Australia’s first </w:t>
      </w:r>
      <w:r w:rsidR="00187F2D">
        <w:rPr>
          <w:rFonts w:cs="AdvP7B6C"/>
        </w:rPr>
        <w:t xml:space="preserve">take-home naloxone </w:t>
      </w:r>
      <w:r w:rsidR="00187F2D" w:rsidRPr="00F2054E">
        <w:rPr>
          <w:rFonts w:cs="AdvP7B6C"/>
        </w:rPr>
        <w:t xml:space="preserve">program </w:t>
      </w:r>
      <w:r w:rsidR="00187F2D">
        <w:rPr>
          <w:rFonts w:cs="AdvP7B6C"/>
        </w:rPr>
        <w:t>was established</w:t>
      </w:r>
      <w:r w:rsidR="00187F2D" w:rsidRPr="00F2054E">
        <w:rPr>
          <w:rFonts w:cs="AdvP7B6C"/>
        </w:rPr>
        <w:t xml:space="preserve"> in 2012 (Lenton et al.</w:t>
      </w:r>
      <w:r w:rsidR="00187F2D">
        <w:rPr>
          <w:rFonts w:cs="AdvP7B6C"/>
        </w:rPr>
        <w:t>,</w:t>
      </w:r>
      <w:r w:rsidR="00187F2D" w:rsidRPr="00F2054E">
        <w:rPr>
          <w:rFonts w:cs="AdvP7B6C"/>
        </w:rPr>
        <w:t xml:space="preserve"> 2015</w:t>
      </w:r>
      <w:r w:rsidR="00187F2D">
        <w:rPr>
          <w:rFonts w:cs="AdvP7B6C"/>
        </w:rPr>
        <w:t>)</w:t>
      </w:r>
      <w:r w:rsidR="00E47082">
        <w:rPr>
          <w:rFonts w:cs="AdvP7B6C"/>
        </w:rPr>
        <w:t>,</w:t>
      </w:r>
      <w:r w:rsidR="00187F2D">
        <w:rPr>
          <w:rFonts w:cs="AdvP7B6C"/>
        </w:rPr>
        <w:t xml:space="preserve"> and</w:t>
      </w:r>
      <w:r w:rsidR="00187F2D" w:rsidRPr="00F2054E">
        <w:rPr>
          <w:rFonts w:cs="AdvP7B6C"/>
        </w:rPr>
        <w:t xml:space="preserve"> programs of varying size and approach </w:t>
      </w:r>
      <w:r w:rsidR="00187F2D">
        <w:rPr>
          <w:rFonts w:cs="AdvP7B6C"/>
        </w:rPr>
        <w:t xml:space="preserve">are in place </w:t>
      </w:r>
      <w:r w:rsidR="00187F2D" w:rsidRPr="00F2054E">
        <w:rPr>
          <w:rFonts w:cs="AdvP7B6C"/>
        </w:rPr>
        <w:t>in most Australian jurisdictions</w:t>
      </w:r>
      <w:r w:rsidR="00187F2D">
        <w:rPr>
          <w:rFonts w:cs="AdvP7B6C"/>
        </w:rPr>
        <w:t xml:space="preserve"> (Dwyer</w:t>
      </w:r>
      <w:r w:rsidR="00187F2D" w:rsidRPr="00F2054E">
        <w:rPr>
          <w:rFonts w:cs="AdvP7B6C"/>
        </w:rPr>
        <w:t xml:space="preserve"> et al.</w:t>
      </w:r>
      <w:r w:rsidR="00187F2D">
        <w:rPr>
          <w:rFonts w:cs="AdvP7B6C"/>
        </w:rPr>
        <w:t>,</w:t>
      </w:r>
      <w:r w:rsidR="00187F2D" w:rsidRPr="00F2054E">
        <w:rPr>
          <w:rFonts w:cs="AdvP7B6C"/>
        </w:rPr>
        <w:t xml:space="preserve"> 2018)</w:t>
      </w:r>
      <w:r w:rsidR="00187F2D">
        <w:rPr>
          <w:rFonts w:cs="AdvP7B6C"/>
        </w:rPr>
        <w:t>.</w:t>
      </w:r>
      <w:r w:rsidR="00187F2D" w:rsidRPr="00F2054E">
        <w:rPr>
          <w:rFonts w:cs="AdvP7B6C"/>
        </w:rPr>
        <w:t xml:space="preserve"> </w:t>
      </w:r>
      <w:r w:rsidR="00EA0D5C">
        <w:t xml:space="preserve">In Australia, </w:t>
      </w:r>
      <w:r w:rsidR="00C7417C">
        <w:t xml:space="preserve">at the time of writing, </w:t>
      </w:r>
      <w:r w:rsidR="00E47082">
        <w:t xml:space="preserve">the </w:t>
      </w:r>
      <w:r w:rsidR="00EA0D5C">
        <w:t>naloxone</w:t>
      </w:r>
      <w:r w:rsidR="00E47082">
        <w:t xml:space="preserve"> distributed in take-home programs</w:t>
      </w:r>
      <w:r w:rsidR="00EA0D5C">
        <w:t xml:space="preserve"> is primarily available </w:t>
      </w:r>
      <w:r w:rsidR="00EA0D5C" w:rsidRPr="00F917ED">
        <w:t xml:space="preserve">in a multi-dose </w:t>
      </w:r>
      <w:r w:rsidR="00EA0D5C">
        <w:t xml:space="preserve">pre-filled </w:t>
      </w:r>
      <w:r w:rsidR="00EA0D5C" w:rsidRPr="00F917ED">
        <w:t>syringe</w:t>
      </w:r>
      <w:r w:rsidR="00EA0D5C">
        <w:t>,</w:t>
      </w:r>
      <w:r w:rsidR="00EA0D5C" w:rsidRPr="00F917ED">
        <w:t xml:space="preserve"> </w:t>
      </w:r>
      <w:r w:rsidR="00EA0D5C">
        <w:t>or in glass ampoules with needles and syringes, for intra-muscular injection</w:t>
      </w:r>
      <w:r w:rsidR="00EA0D5C" w:rsidRPr="00F917ED">
        <w:t>.</w:t>
      </w:r>
      <w:r w:rsidR="00EA0D5C">
        <w:t xml:space="preserve"> A</w:t>
      </w:r>
      <w:r w:rsidR="007D1071">
        <w:t xml:space="preserve"> publicly subsidised</w:t>
      </w:r>
      <w:r w:rsidR="00EA0D5C">
        <w:t xml:space="preserve"> intranasal product has recently been made available in Australia but is yet to be widely dispensed or used (Paola, 2019).</w:t>
      </w:r>
    </w:p>
    <w:p w14:paraId="73A2BF90" w14:textId="7030E0CD" w:rsidR="00EE5CD0" w:rsidRDefault="00EE5CD0" w:rsidP="00CD6C43">
      <w:pPr>
        <w:spacing w:line="360" w:lineRule="auto"/>
      </w:pPr>
    </w:p>
    <w:p w14:paraId="39322717" w14:textId="2AEC3A8A" w:rsidR="00DD4662" w:rsidRDefault="00E47082" w:rsidP="00CD6C43">
      <w:pPr>
        <w:spacing w:line="360" w:lineRule="auto"/>
      </w:pPr>
      <w:r>
        <w:t>A</w:t>
      </w:r>
      <w:bookmarkStart w:id="3" w:name="_Hlk26526405"/>
      <w:r w:rsidR="00CB02FF" w:rsidRPr="00C4623A">
        <w:t xml:space="preserve"> growing body of research </w:t>
      </w:r>
      <w:r>
        <w:t xml:space="preserve">has focused </w:t>
      </w:r>
      <w:r w:rsidR="00CB02FF" w:rsidRPr="00C4623A">
        <w:t>on barriers to the wider implementation</w:t>
      </w:r>
      <w:r w:rsidR="00FD5C72" w:rsidRPr="00C4623A">
        <w:t xml:space="preserve"> of take-home naloxone</w:t>
      </w:r>
      <w:r w:rsidR="00C35DC0" w:rsidRPr="00C4623A">
        <w:t xml:space="preserve"> programs</w:t>
      </w:r>
      <w:r>
        <w:t xml:space="preserve"> and</w:t>
      </w:r>
      <w:r w:rsidR="00FD5C72" w:rsidRPr="00C4623A">
        <w:t xml:space="preserve"> uptake</w:t>
      </w:r>
      <w:r w:rsidR="00CB02FF" w:rsidRPr="00C4623A">
        <w:t xml:space="preserve"> </w:t>
      </w:r>
      <w:r w:rsidR="00FD5C72" w:rsidRPr="00C4623A">
        <w:t>by consumers</w:t>
      </w:r>
      <w:r w:rsidR="00CF0CEB" w:rsidRPr="00C4623A">
        <w:t xml:space="preserve"> (Fraser et al., 2018; McDonald et al., 2017)</w:t>
      </w:r>
      <w:r w:rsidR="00CB02FF" w:rsidRPr="00C4623A">
        <w:t>.</w:t>
      </w:r>
      <w:r w:rsidR="005D3C6C">
        <w:t xml:space="preserve"> </w:t>
      </w:r>
      <w:bookmarkEnd w:id="3"/>
      <w:r>
        <w:t>These barriers</w:t>
      </w:r>
      <w:r w:rsidR="005D3C6C">
        <w:t xml:space="preserve"> </w:t>
      </w:r>
      <w:r>
        <w:t>are</w:t>
      </w:r>
      <w:r w:rsidR="00961D4C">
        <w:t xml:space="preserve"> </w:t>
      </w:r>
      <w:r w:rsidR="005D3C6C">
        <w:t xml:space="preserve">difficult to determine </w:t>
      </w:r>
      <w:r w:rsidR="005D3C6C" w:rsidRPr="00C4623A">
        <w:t xml:space="preserve">for </w:t>
      </w:r>
      <w:r w:rsidR="00961D4C" w:rsidRPr="00C4623A">
        <w:t>several</w:t>
      </w:r>
      <w:r w:rsidR="005D3C6C" w:rsidRPr="00C4623A">
        <w:t xml:space="preserve"> reasons, not least </w:t>
      </w:r>
      <w:r>
        <w:t>because</w:t>
      </w:r>
      <w:r w:rsidR="005D3C6C" w:rsidRPr="00C4623A">
        <w:t xml:space="preserve"> no sing</w:t>
      </w:r>
      <w:r>
        <w:t>le</w:t>
      </w:r>
      <w:r w:rsidR="005D3C6C" w:rsidRPr="00C4623A">
        <w:t xml:space="preserve"> model of take-home naloxone delivery</w:t>
      </w:r>
      <w:r>
        <w:t xml:space="preserve"> exists</w:t>
      </w:r>
      <w:r w:rsidR="005D3C6C" w:rsidRPr="00C4623A">
        <w:t xml:space="preserve"> (</w:t>
      </w:r>
      <w:bookmarkStart w:id="4" w:name="_Hlk26526420"/>
      <w:r w:rsidR="005D3C6C" w:rsidRPr="00C4623A">
        <w:t>Strang et al. 2019</w:t>
      </w:r>
      <w:bookmarkEnd w:id="4"/>
      <w:r w:rsidR="005D3C6C" w:rsidRPr="00C4623A">
        <w:t>).</w:t>
      </w:r>
      <w:r w:rsidR="005D3C6C">
        <w:t xml:space="preserve"> </w:t>
      </w:r>
      <w:r>
        <w:t>P</w:t>
      </w:r>
      <w:r w:rsidR="005D3C6C">
        <w:t>rogram and training models vary (</w:t>
      </w:r>
      <w:r w:rsidR="00B46DA9">
        <w:t>Dwyer et al., 2018</w:t>
      </w:r>
      <w:r w:rsidR="005D3C6C">
        <w:t xml:space="preserve">), naloxone </w:t>
      </w:r>
      <w:r w:rsidR="00961D4C">
        <w:t xml:space="preserve">is distributed in </w:t>
      </w:r>
      <w:r>
        <w:t>different</w:t>
      </w:r>
      <w:r w:rsidR="00961D4C">
        <w:t xml:space="preserve"> settings</w:t>
      </w:r>
      <w:r w:rsidR="00B46DA9">
        <w:t xml:space="preserve"> with distinct requirements</w:t>
      </w:r>
      <w:r w:rsidR="005D3C6C">
        <w:t xml:space="preserve"> (</w:t>
      </w:r>
      <w:r w:rsidR="00B46DA9">
        <w:t>McDonald et a., 2017</w:t>
      </w:r>
      <w:r w:rsidR="005D3C6C">
        <w:t>) and</w:t>
      </w:r>
      <w:r>
        <w:t>, as already noted</w:t>
      </w:r>
      <w:r w:rsidR="002044C9">
        <w:t xml:space="preserve">, </w:t>
      </w:r>
      <w:r w:rsidR="00961D4C">
        <w:t xml:space="preserve">multiple </w:t>
      </w:r>
      <w:r w:rsidR="005D3C6C">
        <w:t>take-home naloxone formulations</w:t>
      </w:r>
      <w:r>
        <w:t xml:space="preserve"> are available, and </w:t>
      </w:r>
      <w:r>
        <w:lastRenderedPageBreak/>
        <w:t>these</w:t>
      </w:r>
      <w:r w:rsidR="00961D4C">
        <w:t xml:space="preserve"> are continually subject to change and reformulation. </w:t>
      </w:r>
      <w:r>
        <w:t xml:space="preserve">While this area of </w:t>
      </w:r>
      <w:r w:rsidR="00B54929">
        <w:t>work is</w:t>
      </w:r>
      <w:r>
        <w:t xml:space="preserve"> </w:t>
      </w:r>
      <w:r w:rsidR="00B54929">
        <w:t>highly unstable</w:t>
      </w:r>
      <w:r w:rsidR="00961D4C">
        <w:t>, several barriers</w:t>
      </w:r>
      <w:r w:rsidR="00B54929">
        <w:t xml:space="preserve"> </w:t>
      </w:r>
      <w:r w:rsidR="00961D4C">
        <w:t>are consistently cited</w:t>
      </w:r>
      <w:r w:rsidR="00EA0D5C">
        <w:t xml:space="preserve"> </w:t>
      </w:r>
      <w:r>
        <w:t xml:space="preserve">as decisive </w:t>
      </w:r>
      <w:r w:rsidR="00EA0D5C">
        <w:t>in the literature</w:t>
      </w:r>
      <w:r w:rsidR="00BA3968">
        <w:t>.</w:t>
      </w:r>
      <w:r w:rsidR="008F7A0D">
        <w:t xml:space="preserve"> </w:t>
      </w:r>
      <w:r>
        <w:t>The first</w:t>
      </w:r>
      <w:r w:rsidR="008F7A0D">
        <w:t xml:space="preserve"> is the legal frameworks that shape take-home naloxone distribution, including laws concerned with indemnity for consumers and medical prescribers (</w:t>
      </w:r>
      <w:r w:rsidR="00B46DA9">
        <w:t xml:space="preserve">McDonald et a., 2017; </w:t>
      </w:r>
      <w:r w:rsidR="008F7A0D">
        <w:t xml:space="preserve">Strang et al. 2019). As Strang et al. argue, ‘a conducive legal environment is a prerequisite for widespread implementation’ (2019, p. 1410). </w:t>
      </w:r>
      <w:r w:rsidR="00B54929">
        <w:t>Also identified as a key barrier are</w:t>
      </w:r>
      <w:r w:rsidR="00100F73">
        <w:t xml:space="preserve"> </w:t>
      </w:r>
      <w:r w:rsidR="00BA3968">
        <w:t>workforce and logistical imped</w:t>
      </w:r>
      <w:r w:rsidR="00AC083F">
        <w:t>iment</w:t>
      </w:r>
      <w:r w:rsidR="00C4623A">
        <w:t>s</w:t>
      </w:r>
      <w:r w:rsidR="00AC083F">
        <w:t xml:space="preserve"> </w:t>
      </w:r>
      <w:r w:rsidR="00BA3968">
        <w:t>(</w:t>
      </w:r>
      <w:r w:rsidR="00C41385">
        <w:t>Dwyer et al., 2016; Lacroix et al., 2018</w:t>
      </w:r>
      <w:r w:rsidR="00B46DA9">
        <w:t>; Olsen et al., 2019</w:t>
      </w:r>
      <w:r w:rsidR="00BA3968">
        <w:t xml:space="preserve">). </w:t>
      </w:r>
      <w:r w:rsidR="00B54929">
        <w:t>W</w:t>
      </w:r>
      <w:r w:rsidR="00702512">
        <w:t>orkloads</w:t>
      </w:r>
      <w:r w:rsidR="007046F2">
        <w:t xml:space="preserve"> and time constraints,</w:t>
      </w:r>
      <w:r w:rsidR="00BA3968">
        <w:t xml:space="preserve"> </w:t>
      </w:r>
      <w:r w:rsidR="00AE4DCD">
        <w:t xml:space="preserve">limited </w:t>
      </w:r>
      <w:r w:rsidR="00EA0D5C">
        <w:t xml:space="preserve">knowledge and </w:t>
      </w:r>
      <w:r w:rsidR="00187F2D">
        <w:t>awareness</w:t>
      </w:r>
      <w:r w:rsidR="00100F73">
        <w:t xml:space="preserve"> of the product</w:t>
      </w:r>
      <w:r w:rsidR="00B54929">
        <w:t>s,</w:t>
      </w:r>
      <w:r w:rsidR="00100F73">
        <w:t xml:space="preserve"> </w:t>
      </w:r>
      <w:r w:rsidR="00B54929">
        <w:t xml:space="preserve">low </w:t>
      </w:r>
      <w:r w:rsidR="00100F73">
        <w:t xml:space="preserve">confidence </w:t>
      </w:r>
      <w:r w:rsidR="00B54929">
        <w:t xml:space="preserve">about </w:t>
      </w:r>
      <w:r w:rsidR="00100F73">
        <w:t xml:space="preserve">dispensing, </w:t>
      </w:r>
      <w:r w:rsidR="00702512">
        <w:t>inadequate prescribing and dispensing</w:t>
      </w:r>
      <w:r w:rsidR="00100F73">
        <w:t xml:space="preserve"> systems and procedures, and confusion around staff roles and responsibilities have all been identified</w:t>
      </w:r>
      <w:r w:rsidR="00F63144">
        <w:t xml:space="preserve"> as </w:t>
      </w:r>
      <w:r w:rsidR="00B54929">
        <w:t>limiting</w:t>
      </w:r>
      <w:r w:rsidR="00F63144">
        <w:t xml:space="preserve"> </w:t>
      </w:r>
      <w:r w:rsidR="00B54929">
        <w:t>the incorporation of</w:t>
      </w:r>
      <w:r w:rsidR="00F63144">
        <w:t xml:space="preserve"> </w:t>
      </w:r>
      <w:r w:rsidR="00B54929">
        <w:t>naloxone distribution</w:t>
      </w:r>
      <w:r w:rsidR="00F63144">
        <w:t xml:space="preserve"> into</w:t>
      </w:r>
      <w:r w:rsidR="00EA0D5C">
        <w:t xml:space="preserve"> professional environments and</w:t>
      </w:r>
      <w:r w:rsidR="00F63144">
        <w:t xml:space="preserve"> workflow</w:t>
      </w:r>
      <w:r w:rsidR="008F7A0D">
        <w:t xml:space="preserve"> (</w:t>
      </w:r>
      <w:r w:rsidR="00B46DA9">
        <w:t xml:space="preserve">e.g. Chun et al., 2019; </w:t>
      </w:r>
      <w:r w:rsidR="007D1071">
        <w:t>Dwyer et al., 2016</w:t>
      </w:r>
      <w:r w:rsidR="00C41385">
        <w:t>; Lacroix et al., 2018;</w:t>
      </w:r>
      <w:r w:rsidR="00B46DA9">
        <w:t xml:space="preserve"> Lenton et al., 201</w:t>
      </w:r>
      <w:r w:rsidR="00654330">
        <w:t>5</w:t>
      </w:r>
      <w:r w:rsidR="00B46DA9">
        <w:t>;</w:t>
      </w:r>
      <w:r w:rsidR="00C41385">
        <w:t xml:space="preserve"> </w:t>
      </w:r>
      <w:r w:rsidR="00B46DA9">
        <w:t xml:space="preserve">Olsen et al., 2019; </w:t>
      </w:r>
      <w:r w:rsidR="00C41385">
        <w:t>Straus et a</w:t>
      </w:r>
      <w:r w:rsidR="00E817DD">
        <w:t>l</w:t>
      </w:r>
      <w:r w:rsidR="00C41385">
        <w:t>., 2013</w:t>
      </w:r>
      <w:r w:rsidR="008F7A0D">
        <w:t>)</w:t>
      </w:r>
      <w:r w:rsidR="00F63144">
        <w:t xml:space="preserve">. </w:t>
      </w:r>
    </w:p>
    <w:p w14:paraId="61EF7C4B" w14:textId="77777777" w:rsidR="00DD4662" w:rsidRDefault="00DD4662" w:rsidP="00CD6C43">
      <w:pPr>
        <w:spacing w:line="360" w:lineRule="auto"/>
      </w:pPr>
    </w:p>
    <w:p w14:paraId="4DD3729E" w14:textId="789A95B2" w:rsidR="007046F2" w:rsidRDefault="007046F2" w:rsidP="007046F2">
      <w:pPr>
        <w:spacing w:line="360" w:lineRule="auto"/>
      </w:pPr>
      <w:r>
        <w:t xml:space="preserve">Research </w:t>
      </w:r>
      <w:r w:rsidR="00187F2D">
        <w:t>has also identified</w:t>
      </w:r>
      <w:r>
        <w:t xml:space="preserve"> impl</w:t>
      </w:r>
      <w:r w:rsidR="00187F2D">
        <w:t>emen</w:t>
      </w:r>
      <w:r>
        <w:t>tation barriers to do with prescription</w:t>
      </w:r>
      <w:r w:rsidR="002044C9">
        <w:t xml:space="preserve"> and formulations</w:t>
      </w:r>
      <w:r>
        <w:t xml:space="preserve">. Until recently, naloxone was only available as a prescription medicine in Australia, meaning those wishing to access it needed to see a medical practitioner. </w:t>
      </w:r>
      <w:r w:rsidR="00B54929">
        <w:t>While</w:t>
      </w:r>
      <w:r>
        <w:t xml:space="preserve"> it can now also be accessed over</w:t>
      </w:r>
      <w:r w:rsidR="00B54929">
        <w:t xml:space="preserve"> </w:t>
      </w:r>
      <w:r>
        <w:t>the</w:t>
      </w:r>
      <w:r w:rsidR="00B54929">
        <w:t xml:space="preserve"> </w:t>
      </w:r>
      <w:r>
        <w:t xml:space="preserve">counter </w:t>
      </w:r>
      <w:r w:rsidR="00B54929">
        <w:t xml:space="preserve">at pharmacies </w:t>
      </w:r>
      <w:r>
        <w:t>(</w:t>
      </w:r>
      <w:r w:rsidRPr="00F917ED">
        <w:t>Lenton</w:t>
      </w:r>
      <w:r>
        <w:t xml:space="preserve"> et al.,</w:t>
      </w:r>
      <w:r w:rsidRPr="00F917ED">
        <w:t xml:space="preserve"> 2016</w:t>
      </w:r>
      <w:r>
        <w:t>), the price can be prohibitive (Farrugia et al., 2017).</w:t>
      </w:r>
      <w:r w:rsidR="00F860BF">
        <w:t xml:space="preserve"> </w:t>
      </w:r>
      <w:r w:rsidR="00187F2D">
        <w:t>In Australia, w</w:t>
      </w:r>
      <w:r>
        <w:t xml:space="preserve">hen bought on prescription, </w:t>
      </w:r>
      <w:r w:rsidRPr="00F85861">
        <w:t>naloxone is subsid</w:t>
      </w:r>
      <w:r>
        <w:t>is</w:t>
      </w:r>
      <w:r w:rsidRPr="00F85861">
        <w:t>ed under Australia’s Pharmaceutical Benefits Scheme</w:t>
      </w:r>
      <w:r>
        <w:t xml:space="preserve"> and</w:t>
      </w:r>
      <w:r w:rsidR="00C7417C">
        <w:t>,</w:t>
      </w:r>
      <w:r>
        <w:t xml:space="preserve"> at the time of writing</w:t>
      </w:r>
      <w:r w:rsidR="00C7417C">
        <w:t>,</w:t>
      </w:r>
      <w:r>
        <w:t xml:space="preserve"> </w:t>
      </w:r>
      <w:r w:rsidRPr="00F85861">
        <w:t xml:space="preserve">costs </w:t>
      </w:r>
      <w:r>
        <w:t>AUD $</w:t>
      </w:r>
      <w:r w:rsidRPr="00F85861">
        <w:t>6.20</w:t>
      </w:r>
      <w:r>
        <w:t xml:space="preserve"> for those holding a government concession card</w:t>
      </w:r>
      <w:r w:rsidR="00B54929">
        <w:t>,</w:t>
      </w:r>
      <w:r>
        <w:t xml:space="preserve"> and $40.30 for others</w:t>
      </w:r>
      <w:r w:rsidRPr="00F85861">
        <w:t xml:space="preserve">. </w:t>
      </w:r>
      <w:r>
        <w:t>O</w:t>
      </w:r>
      <w:r w:rsidRPr="00F85861">
        <w:t>ver</w:t>
      </w:r>
      <w:r>
        <w:t>-</w:t>
      </w:r>
      <w:r w:rsidRPr="00F85861">
        <w:t>the</w:t>
      </w:r>
      <w:r>
        <w:t>-</w:t>
      </w:r>
      <w:r w:rsidRPr="00F85861">
        <w:t>counter</w:t>
      </w:r>
      <w:r>
        <w:t xml:space="preserve"> access is not subsidised, with</w:t>
      </w:r>
      <w:r w:rsidRPr="00F85861">
        <w:t xml:space="preserve"> cost</w:t>
      </w:r>
      <w:r>
        <w:t xml:space="preserve"> varying dramatically (AUD $20–$80), making it too expensive for many (Pricolo and Nielsen, 2018)</w:t>
      </w:r>
      <w:r w:rsidRPr="00F85861">
        <w:t>.</w:t>
      </w:r>
      <w:r>
        <w:t xml:space="preserve"> </w:t>
      </w:r>
      <w:r w:rsidRPr="00C82CEE">
        <w:t xml:space="preserve">When naloxone is accessed through established take-home naloxone programs, it is generally provided </w:t>
      </w:r>
      <w:r>
        <w:t xml:space="preserve">free </w:t>
      </w:r>
      <w:r w:rsidRPr="00C82CEE">
        <w:t>to consumers</w:t>
      </w:r>
      <w:r w:rsidR="00B54929">
        <w:t>,</w:t>
      </w:r>
      <w:r>
        <w:t xml:space="preserve"> with the</w:t>
      </w:r>
      <w:r w:rsidRPr="00C82CEE">
        <w:t xml:space="preserve"> costs borne by the service or agency, sometimes with additional funding </w:t>
      </w:r>
      <w:r>
        <w:t>from</w:t>
      </w:r>
      <w:r w:rsidRPr="00C82CEE">
        <w:t xml:space="preserve"> state governments.</w:t>
      </w:r>
      <w:r>
        <w:t xml:space="preserve"> </w:t>
      </w:r>
      <w:r w:rsidR="00B54929">
        <w:t>Lastly</w:t>
      </w:r>
      <w:r w:rsidR="00B05F39">
        <w:t xml:space="preserve">, </w:t>
      </w:r>
      <w:r w:rsidR="00B54929">
        <w:t>some modes of administration limit uptake</w:t>
      </w:r>
      <w:r w:rsidR="00B05F39">
        <w:t xml:space="preserve"> (</w:t>
      </w:r>
      <w:r w:rsidR="00937B85">
        <w:t>Dunn et al., 2018</w:t>
      </w:r>
      <w:r w:rsidR="00B05F39">
        <w:t>).</w:t>
      </w:r>
      <w:r w:rsidR="002044C9">
        <w:t xml:space="preserve"> Formulations requiring intra-muscular injections </w:t>
      </w:r>
      <w:r w:rsidR="00B54929">
        <w:t>can be</w:t>
      </w:r>
      <w:r w:rsidR="007D1071">
        <w:t xml:space="preserve"> unappealing to </w:t>
      </w:r>
      <w:r w:rsidR="002044C9">
        <w:t xml:space="preserve">people who consume opioids orally or are less familiar with injecting. </w:t>
      </w:r>
    </w:p>
    <w:p w14:paraId="2AA9FF45" w14:textId="77777777" w:rsidR="007046F2" w:rsidRDefault="007046F2" w:rsidP="007046F2">
      <w:pPr>
        <w:spacing w:line="360" w:lineRule="auto"/>
      </w:pPr>
    </w:p>
    <w:p w14:paraId="58FB228D" w14:textId="6508D814" w:rsidR="00916215" w:rsidRDefault="00B54929" w:rsidP="00CD6C43">
      <w:pPr>
        <w:spacing w:line="360" w:lineRule="auto"/>
        <w:rPr>
          <w:rFonts w:cs="AdvP7B6C"/>
        </w:rPr>
      </w:pPr>
      <w:r>
        <w:rPr>
          <w:rFonts w:cs="AdvP7B6C"/>
        </w:rPr>
        <w:t>While</w:t>
      </w:r>
      <w:r w:rsidR="00702512">
        <w:rPr>
          <w:rFonts w:cs="AdvP7B6C"/>
        </w:rPr>
        <w:t xml:space="preserve"> access and</w:t>
      </w:r>
      <w:r w:rsidR="00702512" w:rsidRPr="00F2054E">
        <w:rPr>
          <w:rFonts w:cs="AdvP7B6C"/>
        </w:rPr>
        <w:t xml:space="preserve"> </w:t>
      </w:r>
      <w:r w:rsidR="00702512">
        <w:rPr>
          <w:rFonts w:cs="AdvP7B6C"/>
        </w:rPr>
        <w:t>availability have expanded</w:t>
      </w:r>
      <w:r w:rsidR="00702512" w:rsidRPr="00F2054E">
        <w:rPr>
          <w:rFonts w:cs="AdvP7B6C"/>
        </w:rPr>
        <w:t>, knowledge of take-home naloxone among people who consume opioids</w:t>
      </w:r>
      <w:r w:rsidR="00702512">
        <w:rPr>
          <w:rFonts w:cs="AdvP7B6C"/>
        </w:rPr>
        <w:t xml:space="preserve"> and who </w:t>
      </w:r>
      <w:r w:rsidR="00702512" w:rsidRPr="00F2054E">
        <w:rPr>
          <w:rFonts w:cs="AdvP7B6C"/>
        </w:rPr>
        <w:t xml:space="preserve">may witness an overdose remains inconsistent, </w:t>
      </w:r>
      <w:r w:rsidR="00702512" w:rsidRPr="00F2054E">
        <w:t>varying depending on</w:t>
      </w:r>
      <w:r w:rsidR="00702512">
        <w:t>, among other things,</w:t>
      </w:r>
      <w:r w:rsidR="00702512" w:rsidRPr="00F2054E">
        <w:t xml:space="preserve"> availability and </w:t>
      </w:r>
      <w:r>
        <w:t xml:space="preserve">level of public </w:t>
      </w:r>
      <w:r w:rsidR="00702512" w:rsidRPr="00F2054E">
        <w:t>promotion (Dietze et al.</w:t>
      </w:r>
      <w:r w:rsidR="00702512">
        <w:t>,</w:t>
      </w:r>
      <w:r w:rsidR="00702512" w:rsidRPr="00F2054E">
        <w:t xml:space="preserve"> 2017). </w:t>
      </w:r>
      <w:r w:rsidR="00702512">
        <w:t xml:space="preserve">Because </w:t>
      </w:r>
      <w:r w:rsidR="00702512" w:rsidRPr="00F2054E">
        <w:t xml:space="preserve">take-home naloxone programs </w:t>
      </w:r>
      <w:r w:rsidR="00702512">
        <w:t xml:space="preserve">have </w:t>
      </w:r>
      <w:r w:rsidR="00702512" w:rsidRPr="00F2054E">
        <w:t>focus</w:t>
      </w:r>
      <w:r w:rsidR="00702512">
        <w:t>ed</w:t>
      </w:r>
      <w:r w:rsidR="00702512" w:rsidRPr="00F2054E">
        <w:t xml:space="preserve"> </w:t>
      </w:r>
      <w:r w:rsidR="00702512">
        <w:t xml:space="preserve">to date </w:t>
      </w:r>
      <w:r w:rsidR="00702512" w:rsidRPr="00F2054E">
        <w:t>on people who consume illicit opioids and their families and friends</w:t>
      </w:r>
      <w:r w:rsidR="00702512">
        <w:t xml:space="preserve">, </w:t>
      </w:r>
      <w:r w:rsidR="00702512" w:rsidRPr="00F2054E">
        <w:t xml:space="preserve">awareness of </w:t>
      </w:r>
      <w:r w:rsidR="00702512">
        <w:t>take-home naloxone</w:t>
      </w:r>
      <w:r w:rsidR="00702512" w:rsidRPr="00F2054E">
        <w:t xml:space="preserve"> </w:t>
      </w:r>
      <w:r w:rsidR="00702512">
        <w:t xml:space="preserve">is thought to be especially </w:t>
      </w:r>
      <w:r w:rsidR="00702512" w:rsidRPr="00F2054E">
        <w:t>low</w:t>
      </w:r>
      <w:r w:rsidR="00702512">
        <w:t xml:space="preserve"> among people who</w:t>
      </w:r>
      <w:r w:rsidR="007D1071">
        <w:t xml:space="preserve"> primarily</w:t>
      </w:r>
      <w:r w:rsidR="00702512">
        <w:t xml:space="preserve"> consume </w:t>
      </w:r>
      <w:r>
        <w:t>prescribed opioid</w:t>
      </w:r>
      <w:r w:rsidR="006C05F4">
        <w:t>s</w:t>
      </w:r>
      <w:r>
        <w:t xml:space="preserve"> (for example, for </w:t>
      </w:r>
      <w:r w:rsidR="00702512">
        <w:lastRenderedPageBreak/>
        <w:t>chronic pain</w:t>
      </w:r>
      <w:r>
        <w:t>)</w:t>
      </w:r>
      <w:r w:rsidR="00702512" w:rsidRPr="00F2054E">
        <w:t xml:space="preserve"> (</w:t>
      </w:r>
      <w:r w:rsidR="00702512">
        <w:t xml:space="preserve">Coe and Walsh, 2015; </w:t>
      </w:r>
      <w:r w:rsidR="00702512" w:rsidRPr="00F2054E">
        <w:t>Nielsen et al</w:t>
      </w:r>
      <w:r w:rsidR="00702512">
        <w:t>.,</w:t>
      </w:r>
      <w:r w:rsidR="00702512" w:rsidRPr="00F2054E">
        <w:t xml:space="preserve"> 2018)</w:t>
      </w:r>
      <w:r w:rsidR="002044C9">
        <w:t>, the general public and mainstream health services.</w:t>
      </w:r>
    </w:p>
    <w:p w14:paraId="4E071D62" w14:textId="77777777" w:rsidR="00E56791" w:rsidRPr="00A6414E" w:rsidRDefault="00E56791" w:rsidP="00CD6C43">
      <w:pPr>
        <w:spacing w:line="360" w:lineRule="auto"/>
      </w:pPr>
    </w:p>
    <w:p w14:paraId="01FF25B4" w14:textId="77777777" w:rsidR="00E56791" w:rsidRPr="00E8640A" w:rsidRDefault="00E56791" w:rsidP="00CD6C43">
      <w:pPr>
        <w:pStyle w:val="Heading2"/>
        <w:spacing w:line="360" w:lineRule="auto"/>
      </w:pPr>
      <w:r w:rsidRPr="00E8640A">
        <w:t>Literature review</w:t>
      </w:r>
      <w:r w:rsidR="009A02FB">
        <w:t xml:space="preserve"> </w:t>
      </w:r>
    </w:p>
    <w:p w14:paraId="30747A07" w14:textId="577BD581" w:rsidR="007101B3" w:rsidRDefault="00B54929" w:rsidP="005B3F6A">
      <w:pPr>
        <w:spacing w:line="360" w:lineRule="auto"/>
      </w:pPr>
      <w:r>
        <w:t xml:space="preserve">While </w:t>
      </w:r>
      <w:r w:rsidR="00B30FE5">
        <w:t>impediments to</w:t>
      </w:r>
      <w:r w:rsidR="00000D26">
        <w:t xml:space="preserve"> the uptake of </w:t>
      </w:r>
      <w:r w:rsidR="005B3F6A">
        <w:t>take-home naloxone</w:t>
      </w:r>
      <w:r>
        <w:t xml:space="preserve"> have received a significant amount of attention from researchers</w:t>
      </w:r>
      <w:r w:rsidR="00101651">
        <w:t>,</w:t>
      </w:r>
      <w:r w:rsidR="00000D26">
        <w:t xml:space="preserve"> </w:t>
      </w:r>
      <w:r w:rsidR="007101B3">
        <w:t>less</w:t>
      </w:r>
      <w:r w:rsidR="00B30FE5">
        <w:t xml:space="preserve"> </w:t>
      </w:r>
      <w:r>
        <w:t xml:space="preserve">work has been done </w:t>
      </w:r>
      <w:r w:rsidR="00B30FE5">
        <w:t>on the role of stigma.</w:t>
      </w:r>
      <w:r w:rsidR="00CF0CEB">
        <w:t xml:space="preserve"> </w:t>
      </w:r>
      <w:r>
        <w:t>T</w:t>
      </w:r>
      <w:r w:rsidR="005B3F6A">
        <w:t>he</w:t>
      </w:r>
      <w:r w:rsidR="00E56791">
        <w:t xml:space="preserve"> stigmatisation of alcohol and other drug consumption</w:t>
      </w:r>
      <w:r w:rsidR="005B3F6A">
        <w:t xml:space="preserve"> and treatment</w:t>
      </w:r>
      <w:r w:rsidR="00C1450B">
        <w:t xml:space="preserve"> across a</w:t>
      </w:r>
      <w:r w:rsidR="00B30FE5">
        <w:t xml:space="preserve"> range of </w:t>
      </w:r>
      <w:r w:rsidR="00E56791">
        <w:t>settings</w:t>
      </w:r>
      <w:r w:rsidR="00136C9B" w:rsidRPr="00136C9B">
        <w:t xml:space="preserve"> </w:t>
      </w:r>
      <w:r w:rsidR="00136C9B">
        <w:t>is well known</w:t>
      </w:r>
      <w:r w:rsidR="00C1450B">
        <w:t>. These include</w:t>
      </w:r>
      <w:r w:rsidR="00E56791">
        <w:t xml:space="preserve"> general healthcare services</w:t>
      </w:r>
      <w:r w:rsidR="00F9383E">
        <w:t xml:space="preserve"> (Paquette</w:t>
      </w:r>
      <w:r w:rsidR="004C5654">
        <w:t xml:space="preserve"> et al.,</w:t>
      </w:r>
      <w:r w:rsidR="00F9383E">
        <w:t xml:space="preserve"> 2018</w:t>
      </w:r>
      <w:r w:rsidR="004C5654">
        <w:t>;</w:t>
      </w:r>
      <w:r w:rsidR="00F9383E">
        <w:t xml:space="preserve"> Simmonds </w:t>
      </w:r>
      <w:r w:rsidR="004C5654">
        <w:t>and</w:t>
      </w:r>
      <w:r w:rsidR="00F9383E">
        <w:t xml:space="preserve"> Coomber</w:t>
      </w:r>
      <w:r w:rsidR="004C5654">
        <w:t>,</w:t>
      </w:r>
      <w:r w:rsidR="00F9383E">
        <w:t xml:space="preserve"> 2009</w:t>
      </w:r>
      <w:r w:rsidR="004C5654">
        <w:t>;</w:t>
      </w:r>
      <w:r w:rsidR="00F9383E">
        <w:t xml:space="preserve"> van Boekel et al.</w:t>
      </w:r>
      <w:r w:rsidR="004C5654">
        <w:t>,</w:t>
      </w:r>
      <w:r w:rsidR="00F9383E">
        <w:t xml:space="preserve"> 2013)</w:t>
      </w:r>
      <w:r w:rsidR="00B30FE5">
        <w:t>,</w:t>
      </w:r>
      <w:r w:rsidR="00E56791">
        <w:t xml:space="preserve"> specialist drug health services</w:t>
      </w:r>
      <w:r w:rsidR="00F9383E">
        <w:t xml:space="preserve"> (Earnshaw</w:t>
      </w:r>
      <w:r w:rsidR="004C5654">
        <w:t xml:space="preserve"> et al.,</w:t>
      </w:r>
      <w:r w:rsidR="00F9383E">
        <w:t xml:space="preserve"> 2013</w:t>
      </w:r>
      <w:r w:rsidR="004C5654">
        <w:t>;</w:t>
      </w:r>
      <w:r w:rsidR="00F9383E">
        <w:t xml:space="preserve"> Treloar </w:t>
      </w:r>
      <w:r w:rsidR="004C5654">
        <w:t>and</w:t>
      </w:r>
      <w:r w:rsidR="00F9383E">
        <w:t xml:space="preserve"> Holt</w:t>
      </w:r>
      <w:r w:rsidR="004C5654">
        <w:t>,</w:t>
      </w:r>
      <w:r w:rsidR="00F9383E">
        <w:t xml:space="preserve"> 2006)</w:t>
      </w:r>
      <w:r w:rsidR="00E56791">
        <w:t xml:space="preserve"> and workplaces</w:t>
      </w:r>
      <w:r w:rsidR="00F9383E">
        <w:t xml:space="preserve"> (Lloyd</w:t>
      </w:r>
      <w:r w:rsidR="004C5654">
        <w:t>,</w:t>
      </w:r>
      <w:r w:rsidR="00F9383E">
        <w:t xml:space="preserve"> 2013)</w:t>
      </w:r>
      <w:r w:rsidR="00E56791">
        <w:t>, media representations (Cape</w:t>
      </w:r>
      <w:r w:rsidR="004C5654">
        <w:t>,</w:t>
      </w:r>
      <w:r w:rsidR="00E56791">
        <w:t xml:space="preserve"> 2003</w:t>
      </w:r>
      <w:r w:rsidR="002E707B">
        <w:t>;</w:t>
      </w:r>
      <w:r w:rsidR="00E56791">
        <w:t xml:space="preserve"> </w:t>
      </w:r>
      <w:r w:rsidR="00E56791" w:rsidRPr="00640A30">
        <w:t>Hickman</w:t>
      </w:r>
      <w:r w:rsidR="004C5654">
        <w:t>,</w:t>
      </w:r>
      <w:r w:rsidR="00E56791" w:rsidRPr="00640A30">
        <w:t xml:space="preserve"> 2002)</w:t>
      </w:r>
      <w:r w:rsidR="00AF2E7D">
        <w:t>,</w:t>
      </w:r>
      <w:r w:rsidR="00E56791" w:rsidRPr="00640A30">
        <w:t xml:space="preserve"> anti-drug campaigns (Linnemann </w:t>
      </w:r>
      <w:r w:rsidR="004C5654">
        <w:t>and</w:t>
      </w:r>
      <w:r w:rsidR="00E56791" w:rsidRPr="00640A30">
        <w:t xml:space="preserve"> Wall</w:t>
      </w:r>
      <w:r w:rsidR="004C5654">
        <w:t>,</w:t>
      </w:r>
      <w:r w:rsidR="00E56791" w:rsidRPr="00640A30">
        <w:t xml:space="preserve"> 2013)</w:t>
      </w:r>
      <w:r w:rsidR="00611C0D" w:rsidRPr="00640A30">
        <w:t xml:space="preserve"> and policy (</w:t>
      </w:r>
      <w:r w:rsidR="00C817D9" w:rsidRPr="00CD37AC">
        <w:t>Lancaster</w:t>
      </w:r>
      <w:r w:rsidR="004C5654">
        <w:t xml:space="preserve"> et al.,</w:t>
      </w:r>
      <w:r w:rsidR="00C817D9" w:rsidRPr="00CD37AC">
        <w:t xml:space="preserve"> 201</w:t>
      </w:r>
      <w:r w:rsidR="001278C3">
        <w:t>5</w:t>
      </w:r>
      <w:r w:rsidR="00C817D9" w:rsidRPr="00CD37AC">
        <w:t>;</w:t>
      </w:r>
      <w:r w:rsidR="00C817D9" w:rsidRPr="00640A30">
        <w:t xml:space="preserve"> </w:t>
      </w:r>
      <w:r w:rsidR="00611C0D" w:rsidRPr="00640A30">
        <w:t>Stevens</w:t>
      </w:r>
      <w:r w:rsidR="004C5654">
        <w:t>,</w:t>
      </w:r>
      <w:r w:rsidR="00611C0D" w:rsidRPr="00640A30">
        <w:t xml:space="preserve"> 2018)</w:t>
      </w:r>
      <w:r w:rsidR="00E56791" w:rsidRPr="00640A30">
        <w:t xml:space="preserve">. </w:t>
      </w:r>
      <w:r w:rsidR="00290BE4">
        <w:t xml:space="preserve">More </w:t>
      </w:r>
      <w:r w:rsidR="00E56791">
        <w:t>recently,</w:t>
      </w:r>
      <w:r w:rsidR="00B30FE5">
        <w:t xml:space="preserve"> researchers</w:t>
      </w:r>
      <w:r w:rsidR="00E56791">
        <w:t xml:space="preserve"> (</w:t>
      </w:r>
      <w:r w:rsidR="00B30FE5">
        <w:t>Fraser et al.</w:t>
      </w:r>
      <w:r w:rsidR="004C5654">
        <w:t>,</w:t>
      </w:r>
      <w:r w:rsidR="00B30FE5">
        <w:t xml:space="preserve"> 2017; Paquette</w:t>
      </w:r>
      <w:r w:rsidR="004C5654">
        <w:t xml:space="preserve"> et al., </w:t>
      </w:r>
      <w:r w:rsidR="00E56791">
        <w:t xml:space="preserve">2018) </w:t>
      </w:r>
      <w:r w:rsidR="00B30FE5">
        <w:t xml:space="preserve">have </w:t>
      </w:r>
      <w:r w:rsidR="00E56791">
        <w:t>argue</w:t>
      </w:r>
      <w:r w:rsidR="00B30FE5">
        <w:t>d</w:t>
      </w:r>
      <w:r w:rsidR="00E56791">
        <w:t xml:space="preserve"> that people who inject drugs experience stigma at ‘every turn’, for example, when utilising general medical care or specialist drug health services and when engaging in </w:t>
      </w:r>
      <w:r w:rsidR="00396476">
        <w:t>treatment</w:t>
      </w:r>
      <w:r w:rsidR="00E56791">
        <w:t xml:space="preserve">. </w:t>
      </w:r>
    </w:p>
    <w:p w14:paraId="172BFD50" w14:textId="77777777" w:rsidR="007101B3" w:rsidRDefault="007101B3" w:rsidP="005B3F6A">
      <w:pPr>
        <w:spacing w:line="360" w:lineRule="auto"/>
      </w:pPr>
    </w:p>
    <w:p w14:paraId="5210BCE9" w14:textId="013E1BB6" w:rsidR="00CF0CEB" w:rsidRDefault="00C1450B" w:rsidP="00CD6C43">
      <w:pPr>
        <w:spacing w:line="360" w:lineRule="auto"/>
      </w:pPr>
      <w:r>
        <w:t xml:space="preserve">Stigma is known to negatively </w:t>
      </w:r>
      <w:r w:rsidR="00B54929">
        <w:t xml:space="preserve">affect </w:t>
      </w:r>
      <w:r>
        <w:t xml:space="preserve">the health </w:t>
      </w:r>
      <w:r w:rsidR="00B54929">
        <w:t xml:space="preserve">and well-being </w:t>
      </w:r>
      <w:r>
        <w:t xml:space="preserve">of people who use illicit drugs, and </w:t>
      </w:r>
      <w:r w:rsidR="00B54929">
        <w:t>the need to</w:t>
      </w:r>
      <w:r>
        <w:t xml:space="preserve"> address it across different healthcare settings, including mainstream health care and specialist drug services</w:t>
      </w:r>
      <w:r w:rsidR="00B54929">
        <w:t>, is well established</w:t>
      </w:r>
      <w:r>
        <w:t xml:space="preserve"> (Radcliffe and Stevens, 2008).</w:t>
      </w:r>
      <w:r w:rsidR="007101B3">
        <w:t xml:space="preserve"> Equally, il</w:t>
      </w:r>
      <w:r w:rsidR="0033650A">
        <w:t>licit drug-related</w:t>
      </w:r>
      <w:r w:rsidR="00E56791">
        <w:t xml:space="preserve"> stigma</w:t>
      </w:r>
      <w:r w:rsidR="000B5C32">
        <w:t xml:space="preserve"> </w:t>
      </w:r>
      <w:r w:rsidR="00E56791">
        <w:t>shapes the experiences of people</w:t>
      </w:r>
      <w:r w:rsidR="0033650A">
        <w:t xml:space="preserve"> who are</w:t>
      </w:r>
      <w:r w:rsidR="00E56791">
        <w:t xml:space="preserve"> not generally targeted by specialist drug health services, such as those consuming</w:t>
      </w:r>
      <w:r w:rsidR="00B54929">
        <w:t xml:space="preserve"> prescribed</w:t>
      </w:r>
      <w:r w:rsidR="00E56791">
        <w:t xml:space="preserve"> opioids for chronic pain</w:t>
      </w:r>
      <w:r w:rsidR="004250C4">
        <w:t xml:space="preserve"> (</w:t>
      </w:r>
      <w:r w:rsidR="00E56791">
        <w:t xml:space="preserve">Werner </w:t>
      </w:r>
      <w:r w:rsidR="004C5654">
        <w:t>and</w:t>
      </w:r>
      <w:r w:rsidR="00E56791">
        <w:t xml:space="preserve"> Malteru</w:t>
      </w:r>
      <w:r w:rsidR="004250C4">
        <w:t xml:space="preserve">d, </w:t>
      </w:r>
      <w:r w:rsidR="00E56791">
        <w:t xml:space="preserve">2003), </w:t>
      </w:r>
      <w:r w:rsidR="004250C4">
        <w:t>and also those who could benefit specifically from methadone for chronic pain (</w:t>
      </w:r>
      <w:r w:rsidR="00E56791">
        <w:t>Shah and Diwan</w:t>
      </w:r>
      <w:r w:rsidR="004250C4">
        <w:t xml:space="preserve">, </w:t>
      </w:r>
      <w:r w:rsidR="00E56791">
        <w:t>2010</w:t>
      </w:r>
      <w:r w:rsidR="004250C4">
        <w:t xml:space="preserve">; </w:t>
      </w:r>
      <w:r w:rsidR="002C6825">
        <w:t>Keane</w:t>
      </w:r>
      <w:r w:rsidR="004C5654">
        <w:t>,</w:t>
      </w:r>
      <w:r w:rsidR="002C6825">
        <w:t xml:space="preserve"> 2013)</w:t>
      </w:r>
      <w:r w:rsidR="00E56791">
        <w:t xml:space="preserve">. </w:t>
      </w:r>
      <w:r w:rsidR="00B73B31">
        <w:t>Notably</w:t>
      </w:r>
      <w:r w:rsidR="00396476">
        <w:t xml:space="preserve"> </w:t>
      </w:r>
      <w:r w:rsidR="00E56791">
        <w:t>health professionals often relate to people with chronic pain and those thought to have an ‘addiction’ as intrinsically difficult patients</w:t>
      </w:r>
      <w:r w:rsidR="004250C4">
        <w:t xml:space="preserve"> (Buchman et al., 2016)</w:t>
      </w:r>
      <w:r w:rsidR="00E56791">
        <w:t xml:space="preserve">. </w:t>
      </w:r>
    </w:p>
    <w:p w14:paraId="2EF32B15" w14:textId="4761847F" w:rsidR="009F4639" w:rsidRDefault="009F4639" w:rsidP="00CD6C43">
      <w:pPr>
        <w:spacing w:line="360" w:lineRule="auto"/>
      </w:pPr>
    </w:p>
    <w:p w14:paraId="7174728D" w14:textId="6F17D080" w:rsidR="00251824" w:rsidRDefault="002F55AD" w:rsidP="00CF0CEB">
      <w:pPr>
        <w:spacing w:line="360" w:lineRule="auto"/>
      </w:pPr>
      <w:r>
        <w:t xml:space="preserve">To date, </w:t>
      </w:r>
      <w:r w:rsidR="00CF0CEB" w:rsidRPr="00702512">
        <w:t xml:space="preserve">stigma has been broadly identified as </w:t>
      </w:r>
      <w:r w:rsidR="00B73B31">
        <w:t xml:space="preserve">a factor </w:t>
      </w:r>
      <w:r w:rsidR="005A2EA8">
        <w:t>potentially limiting</w:t>
      </w:r>
      <w:r w:rsidR="00CF0CEB">
        <w:t xml:space="preserve"> </w:t>
      </w:r>
      <w:r w:rsidR="00E76A9B">
        <w:t xml:space="preserve">the </w:t>
      </w:r>
      <w:r w:rsidR="00CF0CEB" w:rsidRPr="00702512">
        <w:t xml:space="preserve">uptake </w:t>
      </w:r>
      <w:r w:rsidR="00CF0CEB">
        <w:t xml:space="preserve">of take-home naloxone </w:t>
      </w:r>
      <w:r w:rsidR="00CF0CEB" w:rsidRPr="00702512">
        <w:t xml:space="preserve">(Banjo et al., 2014), </w:t>
      </w:r>
      <w:r>
        <w:t xml:space="preserve">but </w:t>
      </w:r>
      <w:r w:rsidR="00CF0CEB" w:rsidRPr="00702512">
        <w:t>it has yet to receive detailed attention.</w:t>
      </w:r>
      <w:r w:rsidR="00CF0CEB">
        <w:t xml:space="preserve"> </w:t>
      </w:r>
      <w:bookmarkStart w:id="5" w:name="_Hlk26528638"/>
      <w:r w:rsidR="005A2EA8">
        <w:t xml:space="preserve">Nearly a decade ago, </w:t>
      </w:r>
      <w:r w:rsidR="00CF0CEB">
        <w:t>Dietze and Lenton (2010)</w:t>
      </w:r>
      <w:bookmarkEnd w:id="5"/>
      <w:r w:rsidR="00CF0CEB">
        <w:t xml:space="preserve"> </w:t>
      </w:r>
      <w:r w:rsidR="005A2EA8">
        <w:t>noted</w:t>
      </w:r>
      <w:r w:rsidR="00CF0CEB">
        <w:t xml:space="preserve"> </w:t>
      </w:r>
      <w:r w:rsidR="00BE09B0">
        <w:t xml:space="preserve">the </w:t>
      </w:r>
      <w:r w:rsidR="005A2EA8">
        <w:t xml:space="preserve">existence of </w:t>
      </w:r>
      <w:r w:rsidR="00BE09B0">
        <w:t>professiona</w:t>
      </w:r>
      <w:r w:rsidR="00AE4DCD">
        <w:t>l</w:t>
      </w:r>
      <w:r w:rsidR="00CF0CEB">
        <w:t xml:space="preserve"> ‘scepticism’ </w:t>
      </w:r>
      <w:r w:rsidR="00BE09B0">
        <w:t xml:space="preserve">surrounding </w:t>
      </w:r>
      <w:r w:rsidR="005A2EA8">
        <w:t xml:space="preserve">the provision of </w:t>
      </w:r>
      <w:r w:rsidR="00CF0CEB">
        <w:t xml:space="preserve">take-home naloxone in non-medical settings. </w:t>
      </w:r>
      <w:r w:rsidR="00F664A3">
        <w:t xml:space="preserve">According to Matheson et al. (2014), negative attitudes towards people who consume drugs led Scottish general practitioners (GPs) to resist delivering take-home naloxone. </w:t>
      </w:r>
      <w:r w:rsidR="0034754D">
        <w:t>Meanwhile, r</w:t>
      </w:r>
      <w:r w:rsidR="005A2EA8">
        <w:t xml:space="preserve">ecent research </w:t>
      </w:r>
      <w:r w:rsidR="00E76A9B">
        <w:t xml:space="preserve">involving </w:t>
      </w:r>
      <w:r w:rsidR="005A2EA8">
        <w:t>Australian community pharmacists identified negative perceptions of the patient group as a barrier to increased dispensing (Olsen et al., 2019). A</w:t>
      </w:r>
      <w:r w:rsidR="00F664A3">
        <w:t xml:space="preserve"> study of </w:t>
      </w:r>
      <w:r w:rsidR="005A2EA8">
        <w:t xml:space="preserve">Australian </w:t>
      </w:r>
      <w:r w:rsidR="00F664A3">
        <w:t xml:space="preserve">emergency department physicians and pharmacists </w:t>
      </w:r>
      <w:r w:rsidR="0034754D">
        <w:t xml:space="preserve">also </w:t>
      </w:r>
      <w:r w:rsidR="00251824">
        <w:t>reporte</w:t>
      </w:r>
      <w:r w:rsidR="00E76A9B">
        <w:t>d</w:t>
      </w:r>
      <w:r w:rsidR="00F664A3">
        <w:t xml:space="preserve"> that some</w:t>
      </w:r>
      <w:r w:rsidR="00C1450B">
        <w:t xml:space="preserve"> </w:t>
      </w:r>
      <w:r w:rsidR="00F664A3">
        <w:t>thought take-home naloxone m</w:t>
      </w:r>
      <w:r w:rsidR="00251824">
        <w:t>ight</w:t>
      </w:r>
      <w:r w:rsidR="00F664A3">
        <w:t xml:space="preserve"> increase ‘risky </w:t>
      </w:r>
      <w:r w:rsidR="00F664A3">
        <w:lastRenderedPageBreak/>
        <w:t>behaviour’ (</w:t>
      </w:r>
      <w:bookmarkStart w:id="6" w:name="_Hlk27641040"/>
      <w:r w:rsidR="00F664A3">
        <w:t>Holland et al. 2019</w:t>
      </w:r>
      <w:bookmarkEnd w:id="6"/>
      <w:r w:rsidR="00F664A3">
        <w:t>).</w:t>
      </w:r>
      <w:r w:rsidR="00167062">
        <w:t xml:space="preserve"> </w:t>
      </w:r>
      <w:r w:rsidR="00C1450B">
        <w:t>Similarly, o</w:t>
      </w:r>
      <w:r w:rsidR="00F664A3">
        <w:t>ther studies</w:t>
      </w:r>
      <w:r w:rsidR="00E76A9B">
        <w:t xml:space="preserve"> have</w:t>
      </w:r>
      <w:r w:rsidR="00F664A3">
        <w:t xml:space="preserve"> found that mainstream health practitioners were concerned </w:t>
      </w:r>
      <w:r w:rsidR="00E76A9B">
        <w:t xml:space="preserve">that </w:t>
      </w:r>
      <w:r w:rsidR="00F664A3">
        <w:t>take-home naloxone m</w:t>
      </w:r>
      <w:r w:rsidR="00E76A9B">
        <w:t>ight</w:t>
      </w:r>
      <w:r w:rsidR="00F664A3" w:rsidRPr="00AF227B">
        <w:t xml:space="preserve"> </w:t>
      </w:r>
      <w:r w:rsidR="00F664A3">
        <w:t>be seen by consumers</w:t>
      </w:r>
      <w:r w:rsidR="00F664A3" w:rsidRPr="00AF227B">
        <w:t xml:space="preserve"> as a ‘safety net’ against overdose</w:t>
      </w:r>
      <w:r w:rsidR="00F664A3">
        <w:t xml:space="preserve">, thereby </w:t>
      </w:r>
      <w:r w:rsidR="00F664A3" w:rsidRPr="00AF227B">
        <w:t>escalat</w:t>
      </w:r>
      <w:r w:rsidR="00F664A3">
        <w:t>ing</w:t>
      </w:r>
      <w:r w:rsidR="00F664A3" w:rsidRPr="00AF227B">
        <w:t xml:space="preserve"> opioid consumption</w:t>
      </w:r>
      <w:r w:rsidR="00F664A3">
        <w:t xml:space="preserve"> </w:t>
      </w:r>
      <w:r w:rsidR="00F664A3" w:rsidRPr="00AF227B">
        <w:rPr>
          <w:rFonts w:cs="AdvP7B6C"/>
        </w:rPr>
        <w:t>(Beletsky et al.</w:t>
      </w:r>
      <w:r w:rsidR="00F664A3">
        <w:rPr>
          <w:rFonts w:cs="AdvP7B6C"/>
        </w:rPr>
        <w:t>,</w:t>
      </w:r>
      <w:r w:rsidR="00F664A3" w:rsidRPr="00AF227B">
        <w:rPr>
          <w:rFonts w:cs="AdvP7B6C"/>
        </w:rPr>
        <w:t xml:space="preserve"> 2006; Green et al.</w:t>
      </w:r>
      <w:r w:rsidR="00F664A3">
        <w:rPr>
          <w:rFonts w:cs="AdvP7B6C"/>
        </w:rPr>
        <w:t>,</w:t>
      </w:r>
      <w:r w:rsidR="00F664A3" w:rsidRPr="00AF227B">
        <w:rPr>
          <w:rFonts w:cs="AdvP7B6C"/>
        </w:rPr>
        <w:t xml:space="preserve"> 2013</w:t>
      </w:r>
      <w:r w:rsidR="00F664A3">
        <w:rPr>
          <w:rFonts w:cs="AdvP7B6C"/>
        </w:rPr>
        <w:t xml:space="preserve">; Strang et al., 2019). </w:t>
      </w:r>
      <w:r w:rsidR="00F664A3">
        <w:t>This</w:t>
      </w:r>
      <w:r w:rsidR="005A2EA8">
        <w:t xml:space="preserve"> perception</w:t>
      </w:r>
      <w:r w:rsidR="00F664A3">
        <w:t xml:space="preserve"> has been referred to elsewhere as the ‘moral hazard’ problem (</w:t>
      </w:r>
      <w:r w:rsidR="00937B85">
        <w:t>Greene, 2018</w:t>
      </w:r>
      <w:r w:rsidR="00F664A3">
        <w:t xml:space="preserve">). </w:t>
      </w:r>
    </w:p>
    <w:p w14:paraId="2CD1EB87" w14:textId="77777777" w:rsidR="00251824" w:rsidRDefault="00251824" w:rsidP="00CF0CEB">
      <w:pPr>
        <w:spacing w:line="360" w:lineRule="auto"/>
      </w:pPr>
    </w:p>
    <w:p w14:paraId="58111FAF" w14:textId="0C224B32" w:rsidR="00AE4DCD" w:rsidRDefault="00F664A3" w:rsidP="00CF0CEB">
      <w:pPr>
        <w:spacing w:line="360" w:lineRule="auto"/>
      </w:pPr>
      <w:r>
        <w:t>Questions have a</w:t>
      </w:r>
      <w:r w:rsidR="00251824">
        <w:t>dditionally</w:t>
      </w:r>
      <w:r>
        <w:t xml:space="preserve"> been raised about </w:t>
      </w:r>
      <w:r w:rsidR="00CF0CEB">
        <w:t>whether people who use opioids can safely administer take-home naloxone (</w:t>
      </w:r>
      <w:r w:rsidR="00502267">
        <w:t xml:space="preserve">Beletsky et al., 2006; </w:t>
      </w:r>
      <w:bookmarkStart w:id="7" w:name="_Hlk27641110"/>
      <w:r w:rsidR="00CF0CEB">
        <w:t>Drainoni et al., 2016</w:t>
      </w:r>
      <w:bookmarkEnd w:id="7"/>
      <w:r w:rsidR="00CF0CEB">
        <w:t xml:space="preserve">). </w:t>
      </w:r>
      <w:r w:rsidR="00502267">
        <w:rPr>
          <w:rFonts w:cs="AdvP7B6C"/>
        </w:rPr>
        <w:t xml:space="preserve">As might be expected, evaluations of take-home naloxone programs indicate that people who inject drugs competently distribute and use take-home naloxone to manage complex overdose events </w:t>
      </w:r>
      <w:r w:rsidR="00502267" w:rsidRPr="00AF74F7">
        <w:rPr>
          <w:rFonts w:cs="AdvP7B6C"/>
        </w:rPr>
        <w:t>(</w:t>
      </w:r>
      <w:r w:rsidR="00502267">
        <w:rPr>
          <w:rFonts w:cs="AdvP7B6C"/>
        </w:rPr>
        <w:t xml:space="preserve">Neale et al., 2019; </w:t>
      </w:r>
      <w:r w:rsidR="00502267" w:rsidRPr="00AF74F7">
        <w:rPr>
          <w:rFonts w:cs="AdvP7B6C"/>
        </w:rPr>
        <w:t>Olsen</w:t>
      </w:r>
      <w:r w:rsidR="00502267">
        <w:rPr>
          <w:rFonts w:cs="AdvP7B6C"/>
        </w:rPr>
        <w:t xml:space="preserve"> et al.,</w:t>
      </w:r>
      <w:r w:rsidR="00502267" w:rsidRPr="00AF74F7">
        <w:rPr>
          <w:rFonts w:cs="AdvP7B6C"/>
        </w:rPr>
        <w:t xml:space="preserve"> 2015).</w:t>
      </w:r>
      <w:r w:rsidR="00502267" w:rsidRPr="00AF227B">
        <w:rPr>
          <w:rFonts w:cs="AdvP7B6C"/>
        </w:rPr>
        <w:t xml:space="preserve"> </w:t>
      </w:r>
      <w:r w:rsidR="00251824">
        <w:rPr>
          <w:rFonts w:cs="AdvP7B6C"/>
        </w:rPr>
        <w:t>Questions about competency</w:t>
      </w:r>
      <w:r>
        <w:rPr>
          <w:rFonts w:cs="AdvP7B6C"/>
        </w:rPr>
        <w:t xml:space="preserve"> likely</w:t>
      </w:r>
      <w:r w:rsidR="00502267" w:rsidRPr="00AF227B">
        <w:rPr>
          <w:rFonts w:cs="AdvP7B6C"/>
        </w:rPr>
        <w:t xml:space="preserve"> reflect unexamined as</w:t>
      </w:r>
      <w:r w:rsidR="00502267">
        <w:rPr>
          <w:rFonts w:cs="AdvP7B6C"/>
        </w:rPr>
        <w:t xml:space="preserve">sumptions about the agency and abilities </w:t>
      </w:r>
      <w:r w:rsidR="00502267" w:rsidRPr="00AF227B">
        <w:rPr>
          <w:rFonts w:cs="AdvP7B6C"/>
        </w:rPr>
        <w:t>of people who consume drugs</w:t>
      </w:r>
      <w:r w:rsidR="005A2EA8">
        <w:rPr>
          <w:rFonts w:cs="AdvP7B6C"/>
        </w:rPr>
        <w:t>,</w:t>
      </w:r>
      <w:r>
        <w:rPr>
          <w:rFonts w:cs="AdvP7B6C"/>
        </w:rPr>
        <w:t xml:space="preserve"> and the </w:t>
      </w:r>
      <w:r w:rsidR="005A2EA8">
        <w:rPr>
          <w:rFonts w:cs="AdvP7B6C"/>
        </w:rPr>
        <w:t xml:space="preserve">presence of </w:t>
      </w:r>
      <w:r>
        <w:rPr>
          <w:rFonts w:cs="AdvP7B6C"/>
        </w:rPr>
        <w:t xml:space="preserve">broader </w:t>
      </w:r>
      <w:r w:rsidR="005A2EA8">
        <w:rPr>
          <w:rFonts w:cs="AdvP7B6C"/>
        </w:rPr>
        <w:t xml:space="preserve">prejudice </w:t>
      </w:r>
      <w:r w:rsidR="007D1071">
        <w:t>shaping understandings of</w:t>
      </w:r>
      <w:r w:rsidR="00C1450B">
        <w:t xml:space="preserve"> opioid use and overdose</w:t>
      </w:r>
      <w:r>
        <w:t>.</w:t>
      </w:r>
      <w:r w:rsidR="00C1450B">
        <w:t xml:space="preserve"> </w:t>
      </w:r>
      <w:r w:rsidR="00815DC0">
        <w:t xml:space="preserve">However, as we go on to </w:t>
      </w:r>
      <w:r w:rsidR="009C0878">
        <w:t>explore in this</w:t>
      </w:r>
      <w:r w:rsidR="00815DC0">
        <w:t xml:space="preserve"> article, stigma exists</w:t>
      </w:r>
      <w:r w:rsidR="009C0878">
        <w:t xml:space="preserve"> not only</w:t>
      </w:r>
      <w:r w:rsidR="00815DC0">
        <w:t xml:space="preserve"> in and through </w:t>
      </w:r>
      <w:r w:rsidR="00265F6E">
        <w:t>‘</w:t>
      </w:r>
      <w:r w:rsidR="00815DC0">
        <w:t>negative</w:t>
      </w:r>
      <w:r w:rsidR="00265F6E">
        <w:t>’</w:t>
      </w:r>
      <w:r w:rsidR="00815DC0">
        <w:t xml:space="preserve"> attitudes</w:t>
      </w:r>
      <w:r w:rsidR="005A2EA8">
        <w:t xml:space="preserve">. It is also usefully understood as </w:t>
      </w:r>
      <w:r w:rsidR="00815DC0">
        <w:t xml:space="preserve">a foundational process through which </w:t>
      </w:r>
      <w:r w:rsidR="009C0878">
        <w:t>social</w:t>
      </w:r>
      <w:r w:rsidR="00265F6E">
        <w:t xml:space="preserve"> conceptions of health</w:t>
      </w:r>
      <w:r w:rsidR="00992FAD">
        <w:t xml:space="preserve"> and </w:t>
      </w:r>
      <w:r w:rsidR="009C0878">
        <w:t xml:space="preserve">responsibility are constituted. </w:t>
      </w:r>
      <w:r>
        <w:t xml:space="preserve">Strang et al. (2019) </w:t>
      </w:r>
      <w:r w:rsidR="005A2EA8">
        <w:t>observe that</w:t>
      </w:r>
      <w:r>
        <w:t xml:space="preserve"> more work </w:t>
      </w:r>
      <w:r w:rsidR="005A2EA8">
        <w:t xml:space="preserve">needs </w:t>
      </w:r>
      <w:r>
        <w:t>to be done in ensuring that take-home naloxone is seen as compatible with</w:t>
      </w:r>
      <w:r w:rsidR="00FD1010">
        <w:t xml:space="preserve"> </w:t>
      </w:r>
      <w:r w:rsidR="007D1071">
        <w:t>other more established</w:t>
      </w:r>
      <w:r>
        <w:t xml:space="preserve"> health car</w:t>
      </w:r>
      <w:r w:rsidR="007D1071">
        <w:t>e</w:t>
      </w:r>
      <w:r>
        <w:t xml:space="preserve"> roles</w:t>
      </w:r>
      <w:r w:rsidR="005A2EA8">
        <w:t>. As</w:t>
      </w:r>
      <w:r>
        <w:t xml:space="preserve"> we argue in this article</w:t>
      </w:r>
      <w:r w:rsidR="00D85C41">
        <w:t xml:space="preserve">, </w:t>
      </w:r>
      <w:r w:rsidR="005B403C">
        <w:t xml:space="preserve">this work extends to linking naloxone distribution to personal </w:t>
      </w:r>
      <w:r>
        <w:t>health</w:t>
      </w:r>
      <w:r w:rsidR="00D85C41">
        <w:t xml:space="preserve"> and dignity </w:t>
      </w:r>
      <w:r>
        <w:t>more broadly.</w:t>
      </w:r>
      <w:r w:rsidR="00AE4DCD">
        <w:t xml:space="preserve"> </w:t>
      </w:r>
    </w:p>
    <w:p w14:paraId="166F571D" w14:textId="77777777" w:rsidR="00916215" w:rsidRDefault="00916215" w:rsidP="00CD6C43">
      <w:pPr>
        <w:spacing w:line="360" w:lineRule="auto"/>
        <w:rPr>
          <w:rFonts w:cs="AdvP7B6C"/>
        </w:rPr>
      </w:pPr>
    </w:p>
    <w:p w14:paraId="0504199C" w14:textId="1AAB6F25" w:rsidR="00CD6C43" w:rsidRDefault="00CD6C43" w:rsidP="00C63C03">
      <w:pPr>
        <w:spacing w:line="360" w:lineRule="auto"/>
      </w:pPr>
      <w:bookmarkStart w:id="8" w:name="_Hlk27060751"/>
      <w:r w:rsidRPr="00C9218D">
        <w:t xml:space="preserve">Our article builds on </w:t>
      </w:r>
      <w:r w:rsidR="00070123">
        <w:t>prior</w:t>
      </w:r>
      <w:r w:rsidRPr="00C9218D">
        <w:t xml:space="preserve"> research through an exploration of </w:t>
      </w:r>
      <w:r w:rsidR="00BD5074">
        <w:t xml:space="preserve">the role of </w:t>
      </w:r>
      <w:r w:rsidRPr="00C9218D">
        <w:t xml:space="preserve">addiction-related stigma </w:t>
      </w:r>
      <w:r w:rsidR="00BD5074">
        <w:t>in</w:t>
      </w:r>
      <w:r w:rsidRPr="00C9218D">
        <w:t xml:space="preserve"> </w:t>
      </w:r>
      <w:r w:rsidR="006B1014">
        <w:t xml:space="preserve">relation to the </w:t>
      </w:r>
      <w:r w:rsidRPr="00C9218D">
        <w:t>uptake of take-home naloxone</w:t>
      </w:r>
      <w:r w:rsidR="00474895" w:rsidRPr="00C9218D">
        <w:t xml:space="preserve"> both</w:t>
      </w:r>
      <w:r w:rsidRPr="00C9218D">
        <w:t xml:space="preserve"> for people who inject</w:t>
      </w:r>
      <w:r w:rsidR="007D6728" w:rsidRPr="00C9218D">
        <w:t xml:space="preserve"> </w:t>
      </w:r>
      <w:r w:rsidR="00474895" w:rsidRPr="00C9218D">
        <w:t>illicit</w:t>
      </w:r>
      <w:r w:rsidRPr="00C9218D">
        <w:t xml:space="preserve"> drugs and </w:t>
      </w:r>
      <w:r w:rsidR="006B1014">
        <w:t xml:space="preserve">for </w:t>
      </w:r>
      <w:r w:rsidRPr="00C9218D">
        <w:t>people who consume</w:t>
      </w:r>
      <w:r w:rsidR="00474895" w:rsidRPr="00C9218D">
        <w:t xml:space="preserve"> prescribed</w:t>
      </w:r>
      <w:r w:rsidRPr="00C9218D">
        <w:t xml:space="preserve"> opioids primarily for chronic pain</w:t>
      </w:r>
      <w:bookmarkEnd w:id="8"/>
      <w:r w:rsidRPr="00C9218D">
        <w:t>.</w:t>
      </w:r>
      <w:r>
        <w:t xml:space="preserve"> </w:t>
      </w:r>
      <w:r w:rsidR="007C64EF">
        <w:t>Further, we explore how addiction stigma</w:t>
      </w:r>
      <w:r w:rsidR="00474895">
        <w:t xml:space="preserve"> is</w:t>
      </w:r>
      <w:r w:rsidR="007C64EF">
        <w:t xml:space="preserve"> </w:t>
      </w:r>
      <w:r w:rsidR="00474895">
        <w:t xml:space="preserve">in turn shaped </w:t>
      </w:r>
      <w:r w:rsidR="007C64EF">
        <w:t xml:space="preserve">through health initiatives and technologies </w:t>
      </w:r>
      <w:r w:rsidR="00474895">
        <w:t xml:space="preserve">such as </w:t>
      </w:r>
      <w:r w:rsidR="003C1F35">
        <w:t>take-home naloxone</w:t>
      </w:r>
      <w:r w:rsidR="007C64EF">
        <w:t xml:space="preserve">, </w:t>
      </w:r>
      <w:r w:rsidR="00474895">
        <w:t>modulating</w:t>
      </w:r>
      <w:r w:rsidR="007C64EF">
        <w:t xml:space="preserve"> the very conditions of possibility for overdose and prevention. To this end, the relevance of our analysis</w:t>
      </w:r>
      <w:r w:rsidR="00C51820">
        <w:t xml:space="preserve"> likely</w:t>
      </w:r>
      <w:r w:rsidR="007C64EF">
        <w:t xml:space="preserve"> extends beyond take-home naloxone specifically, offering insights for other initiatives</w:t>
      </w:r>
      <w:r w:rsidR="00E759D9">
        <w:t>, such as overdose response training,</w:t>
      </w:r>
      <w:r w:rsidR="007C64EF">
        <w:t xml:space="preserve"> aimed at reducing the loss of live</w:t>
      </w:r>
      <w:r w:rsidR="00164165">
        <w:t>s</w:t>
      </w:r>
      <w:r w:rsidR="007C64EF">
        <w:t xml:space="preserve"> to opioid overdose</w:t>
      </w:r>
      <w:r w:rsidR="00BD5074">
        <w:t>, and for health measures more generally</w:t>
      </w:r>
      <w:r w:rsidR="007C64EF">
        <w:t>.</w:t>
      </w:r>
    </w:p>
    <w:p w14:paraId="2FD7F6AC" w14:textId="0C7CA2A2" w:rsidR="00E9644C" w:rsidRPr="009A02FB" w:rsidRDefault="00CD6C43" w:rsidP="00CD6C43">
      <w:pPr>
        <w:spacing w:line="360" w:lineRule="auto"/>
      </w:pPr>
      <w:r w:rsidDel="00CD6C43">
        <w:t xml:space="preserve"> </w:t>
      </w:r>
    </w:p>
    <w:p w14:paraId="6556C7E1" w14:textId="74ECB6A1" w:rsidR="00E03D56" w:rsidRPr="00E03D56" w:rsidRDefault="00896B65" w:rsidP="007A168A">
      <w:pPr>
        <w:pStyle w:val="Heading2"/>
        <w:spacing w:line="360" w:lineRule="auto"/>
      </w:pPr>
      <w:r w:rsidRPr="00E8640A">
        <w:t>Approach</w:t>
      </w:r>
      <w:r w:rsidR="009A02FB">
        <w:t xml:space="preserve"> </w:t>
      </w:r>
    </w:p>
    <w:p w14:paraId="3BAB6EE2" w14:textId="2F2260F1" w:rsidR="00AD586E" w:rsidRDefault="00C4518C" w:rsidP="00EF5CEB">
      <w:pPr>
        <w:spacing w:line="360" w:lineRule="auto"/>
      </w:pPr>
      <w:r>
        <w:t>Our</w:t>
      </w:r>
      <w:r w:rsidR="007C64EF">
        <w:t xml:space="preserve"> approach to stigma </w:t>
      </w:r>
      <w:r w:rsidR="00474895">
        <w:t>is based on</w:t>
      </w:r>
      <w:r w:rsidR="004D77BD">
        <w:t xml:space="preserve"> </w:t>
      </w:r>
      <w:r w:rsidR="00AD586E" w:rsidRPr="00AD586E">
        <w:t>Fraser et al.’s</w:t>
      </w:r>
      <w:r w:rsidR="000B5C32">
        <w:t xml:space="preserve"> (2017)</w:t>
      </w:r>
      <w:r w:rsidR="00AD586E" w:rsidRPr="00AD586E">
        <w:t xml:space="preserve"> recent theorisation of addiction stigma as a p</w:t>
      </w:r>
      <w:r w:rsidR="004D77BD">
        <w:t>erformative biopolitical process</w:t>
      </w:r>
      <w:r w:rsidR="00EF5CEB">
        <w:t xml:space="preserve"> (</w:t>
      </w:r>
      <w:r w:rsidR="00F3527E">
        <w:t xml:space="preserve">see </w:t>
      </w:r>
      <w:r w:rsidR="00474895">
        <w:t xml:space="preserve">also </w:t>
      </w:r>
      <w:r w:rsidR="00EF5CEB">
        <w:t>Buchman</w:t>
      </w:r>
      <w:r w:rsidR="004C5654">
        <w:t xml:space="preserve"> et al., </w:t>
      </w:r>
      <w:r w:rsidR="00EF5CEB">
        <w:t>2017</w:t>
      </w:r>
      <w:r w:rsidR="00640A23">
        <w:t xml:space="preserve">; </w:t>
      </w:r>
      <w:r w:rsidR="00EF5CEB">
        <w:t>Seear</w:t>
      </w:r>
      <w:r w:rsidR="00640A23">
        <w:t xml:space="preserve"> et al., </w:t>
      </w:r>
      <w:r w:rsidR="00EF5CEB">
        <w:t>2017</w:t>
      </w:r>
      <w:r w:rsidR="00640A23">
        <w:t>).</w:t>
      </w:r>
      <w:r w:rsidR="00AD586E" w:rsidRPr="00AD586E">
        <w:t xml:space="preserve"> </w:t>
      </w:r>
      <w:r w:rsidR="00E9644C">
        <w:t xml:space="preserve">Reworking </w:t>
      </w:r>
      <w:r w:rsidR="00AD586E" w:rsidRPr="00AD586E">
        <w:t xml:space="preserve">Goffman’s </w:t>
      </w:r>
      <w:r w:rsidR="00C21FBD">
        <w:t xml:space="preserve">(1973/1963) </w:t>
      </w:r>
      <w:r w:rsidR="00474895">
        <w:t>analysis of</w:t>
      </w:r>
      <w:r w:rsidR="00AD586E" w:rsidRPr="00AD586E">
        <w:t xml:space="preserve"> stigma through the insights of feminist poststructuralist </w:t>
      </w:r>
      <w:r w:rsidR="00AD586E">
        <w:t>scholarship</w:t>
      </w:r>
      <w:r w:rsidR="00AD586E" w:rsidRPr="00AD586E">
        <w:t xml:space="preserve"> on subjectivity and gender</w:t>
      </w:r>
      <w:r w:rsidR="004D77BD">
        <w:t>,</w:t>
      </w:r>
      <w:r w:rsidR="00E9644C">
        <w:t xml:space="preserve"> </w:t>
      </w:r>
      <w:r w:rsidR="005B3FCA">
        <w:t>Fraser et al.</w:t>
      </w:r>
      <w:r w:rsidR="00E9644C">
        <w:t xml:space="preserve"> </w:t>
      </w:r>
      <w:r w:rsidR="00E9644C" w:rsidRPr="00AD586E">
        <w:t>generate a more dynamic</w:t>
      </w:r>
      <w:r w:rsidR="00E9644C">
        <w:t xml:space="preserve"> </w:t>
      </w:r>
      <w:r w:rsidR="00E9644C">
        <w:lastRenderedPageBreak/>
        <w:t xml:space="preserve">and </w:t>
      </w:r>
      <w:r w:rsidR="005B3FCA">
        <w:t>processual</w:t>
      </w:r>
      <w:r w:rsidR="005B3FCA" w:rsidRPr="00AD586E">
        <w:t xml:space="preserve"> </w:t>
      </w:r>
      <w:r w:rsidR="00E9644C" w:rsidRPr="00AD586E">
        <w:t>account of stigma</w:t>
      </w:r>
      <w:r w:rsidR="00474895">
        <w:t xml:space="preserve"> than is suggested </w:t>
      </w:r>
      <w:r w:rsidR="00F3527E">
        <w:t xml:space="preserve">by </w:t>
      </w:r>
      <w:r w:rsidR="00474895">
        <w:t>Goffman</w:t>
      </w:r>
      <w:r w:rsidR="00E9644C">
        <w:t xml:space="preserve">. </w:t>
      </w:r>
      <w:r w:rsidR="00474895">
        <w:t>While highly influential</w:t>
      </w:r>
      <w:r w:rsidR="00AD586E" w:rsidRPr="00AD586E">
        <w:t>, Goffman</w:t>
      </w:r>
      <w:r w:rsidR="00691BCD">
        <w:t xml:space="preserve">’s account </w:t>
      </w:r>
      <w:r w:rsidR="00AD586E" w:rsidRPr="00AD586E">
        <w:t>focus</w:t>
      </w:r>
      <w:r w:rsidR="00F3527E">
        <w:t>es primarily</w:t>
      </w:r>
      <w:r w:rsidR="00AD586E" w:rsidRPr="00AD586E">
        <w:t xml:space="preserve"> on how individuals manage their </w:t>
      </w:r>
      <w:r w:rsidR="00474895" w:rsidRPr="00AD586E">
        <w:t>discredit</w:t>
      </w:r>
      <w:r w:rsidR="00474895">
        <w:t>ed status</w:t>
      </w:r>
      <w:r w:rsidR="00474895" w:rsidRPr="00AD586E">
        <w:t xml:space="preserve"> </w:t>
      </w:r>
      <w:r w:rsidR="00AD586E" w:rsidRPr="00AD586E">
        <w:t>in encounters with ‘normals’</w:t>
      </w:r>
      <w:r w:rsidR="001D261A">
        <w:t xml:space="preserve"> (Fraser et al.</w:t>
      </w:r>
      <w:r w:rsidR="00640A23">
        <w:t>,</w:t>
      </w:r>
      <w:r w:rsidR="001D261A">
        <w:t xml:space="preserve"> 2017)</w:t>
      </w:r>
      <w:r w:rsidR="00082C4B">
        <w:t xml:space="preserve">, </w:t>
      </w:r>
      <w:r w:rsidR="009C3CFC">
        <w:t>and</w:t>
      </w:r>
      <w:r w:rsidR="009C3CFC" w:rsidRPr="00AD586E">
        <w:t xml:space="preserve"> ‘</w:t>
      </w:r>
      <w:r w:rsidR="00AD586E" w:rsidRPr="00AD586E">
        <w:t>pays little attention to questions of why particular features or issues come to be stigmatised, or what is achieved at a political level by stigmatisation’ (</w:t>
      </w:r>
      <w:r w:rsidR="00082C4B" w:rsidRPr="00AD586E">
        <w:t>Fraser et al</w:t>
      </w:r>
      <w:r w:rsidR="00082C4B">
        <w:t xml:space="preserve">., </w:t>
      </w:r>
      <w:r w:rsidR="00640A23">
        <w:t xml:space="preserve">2017: </w:t>
      </w:r>
      <w:r w:rsidR="00AD586E" w:rsidRPr="00AD586E">
        <w:t xml:space="preserve">194). One effect of this </w:t>
      </w:r>
      <w:r w:rsidR="00E15039">
        <w:t>inattention</w:t>
      </w:r>
      <w:r w:rsidR="00AD586E" w:rsidRPr="00AD586E">
        <w:t xml:space="preserve"> is that stigma is presented as an inevitable and natural effect of </w:t>
      </w:r>
      <w:r w:rsidR="00E15039">
        <w:t xml:space="preserve">social relations that inevitably </w:t>
      </w:r>
      <w:r w:rsidR="005B3FCA">
        <w:t>discredit</w:t>
      </w:r>
      <w:r w:rsidR="00E15039">
        <w:t xml:space="preserve"> some</w:t>
      </w:r>
      <w:r w:rsidR="005B3FCA">
        <w:t xml:space="preserve"> identities</w:t>
      </w:r>
      <w:r w:rsidR="00AD586E" w:rsidRPr="00AD586E">
        <w:t xml:space="preserve"> (Fraser et al.</w:t>
      </w:r>
      <w:r w:rsidR="00640A23">
        <w:t>,</w:t>
      </w:r>
      <w:r w:rsidR="00AD586E" w:rsidRPr="00AD586E">
        <w:t xml:space="preserve"> 2017). This </w:t>
      </w:r>
      <w:r w:rsidR="00EE09A8" w:rsidRPr="00AD586E">
        <w:t xml:space="preserve">proposition </w:t>
      </w:r>
      <w:r w:rsidR="00AD586E" w:rsidRPr="00AD586E">
        <w:t xml:space="preserve">is concerning </w:t>
      </w:r>
      <w:r w:rsidR="00EF5CEB">
        <w:t>in the context of opioid consumption,</w:t>
      </w:r>
      <w:r w:rsidR="00AD586E" w:rsidRPr="00AD586E">
        <w:t xml:space="preserve"> as the lived effects of stigma are often severe and sometimes fatal. </w:t>
      </w:r>
    </w:p>
    <w:p w14:paraId="1402F76E" w14:textId="77777777" w:rsidR="00916215" w:rsidRPr="00AD586E" w:rsidRDefault="00916215" w:rsidP="00CD6C43">
      <w:pPr>
        <w:spacing w:line="360" w:lineRule="auto"/>
      </w:pPr>
    </w:p>
    <w:p w14:paraId="3AC99810" w14:textId="620C6603" w:rsidR="00AD586E" w:rsidRPr="00AD586E" w:rsidRDefault="001D261A" w:rsidP="00CD6C43">
      <w:pPr>
        <w:spacing w:line="360" w:lineRule="auto"/>
        <w:rPr>
          <w:lang w:val="en-US"/>
        </w:rPr>
      </w:pPr>
      <w:r>
        <w:t xml:space="preserve">In addressing </w:t>
      </w:r>
      <w:r w:rsidR="00E15039">
        <w:t>how stigma might be conceptualised to avoid this kind of fatalism</w:t>
      </w:r>
      <w:r>
        <w:t xml:space="preserve">, Fraser </w:t>
      </w:r>
      <w:r w:rsidR="00164165">
        <w:t xml:space="preserve">et al. </w:t>
      </w:r>
      <w:r w:rsidR="005B3FCA">
        <w:t xml:space="preserve">(2017) </w:t>
      </w:r>
      <w:r w:rsidR="00E15039">
        <w:t>present an account</w:t>
      </w:r>
      <w:r w:rsidR="00AD586E" w:rsidRPr="00AD586E">
        <w:t xml:space="preserve"> that can explain the enduring ‘resilience and persistence’ of addiction stigma over time but also </w:t>
      </w:r>
      <w:r w:rsidR="00D3557A">
        <w:t>its</w:t>
      </w:r>
      <w:r w:rsidR="00AD586E" w:rsidRPr="00AD586E">
        <w:t xml:space="preserve"> disruption and change. They draw on Judith Butler’s </w:t>
      </w:r>
      <w:r w:rsidR="00E15039">
        <w:t>feminist work on the performativity of gender,</w:t>
      </w:r>
      <w:r w:rsidR="00AD586E" w:rsidRPr="00AD586E">
        <w:t xml:space="preserve"> </w:t>
      </w:r>
      <w:r w:rsidR="00691BCD">
        <w:t xml:space="preserve">in </w:t>
      </w:r>
      <w:r w:rsidR="004D77BD">
        <w:t>which</w:t>
      </w:r>
      <w:r w:rsidR="00E03D56">
        <w:rPr>
          <w:lang w:val="en-US"/>
        </w:rPr>
        <w:t xml:space="preserve"> </w:t>
      </w:r>
      <w:r w:rsidR="00AD586E" w:rsidRPr="00AD586E">
        <w:rPr>
          <w:lang w:val="en-US"/>
        </w:rPr>
        <w:t>the biology of sex is not given in nature but made through performative, repeated and iterative socio-material practices across a wide range of social, institutional, legal and political settings.</w:t>
      </w:r>
      <w:r w:rsidR="00AD586E" w:rsidRPr="00AD586E">
        <w:t xml:space="preserve"> </w:t>
      </w:r>
      <w:r w:rsidR="00B8406F">
        <w:rPr>
          <w:lang w:val="en-US"/>
        </w:rPr>
        <w:t>S</w:t>
      </w:r>
      <w:r w:rsidR="00B8406F" w:rsidRPr="00AD586E">
        <w:rPr>
          <w:lang w:val="en-US"/>
        </w:rPr>
        <w:t xml:space="preserve">ubjects are admitted into </w:t>
      </w:r>
      <w:r w:rsidR="00B8406F">
        <w:rPr>
          <w:lang w:val="en-US"/>
        </w:rPr>
        <w:t>legitimate</w:t>
      </w:r>
      <w:r w:rsidR="00B8406F" w:rsidRPr="00AD586E">
        <w:rPr>
          <w:lang w:val="en-US"/>
        </w:rPr>
        <w:t xml:space="preserve"> </w:t>
      </w:r>
      <w:r w:rsidR="00B8406F">
        <w:rPr>
          <w:lang w:val="en-US"/>
        </w:rPr>
        <w:t>social life</w:t>
      </w:r>
      <w:r w:rsidR="00AD586E" w:rsidRPr="00AD586E">
        <w:rPr>
          <w:lang w:val="en-US"/>
        </w:rPr>
        <w:t xml:space="preserve"> through the accession into, and adoption of, a </w:t>
      </w:r>
      <w:r w:rsidR="00606871">
        <w:rPr>
          <w:lang w:val="en-US"/>
        </w:rPr>
        <w:t>recognisable</w:t>
      </w:r>
      <w:r w:rsidR="00657999">
        <w:rPr>
          <w:lang w:val="en-US"/>
        </w:rPr>
        <w:t xml:space="preserve"> and normative</w:t>
      </w:r>
      <w:r w:rsidR="00AD586E" w:rsidRPr="00AD586E">
        <w:rPr>
          <w:lang w:val="en-US"/>
        </w:rPr>
        <w:t xml:space="preserve"> sexed identity (Fraser et al.</w:t>
      </w:r>
      <w:r w:rsidR="00640A23">
        <w:rPr>
          <w:lang w:val="en-US"/>
        </w:rPr>
        <w:t>,</w:t>
      </w:r>
      <w:r w:rsidR="002405E5">
        <w:rPr>
          <w:lang w:val="en-US"/>
        </w:rPr>
        <w:t xml:space="preserve"> 2017</w:t>
      </w:r>
      <w:r w:rsidR="00640A23">
        <w:rPr>
          <w:lang w:val="en-US"/>
        </w:rPr>
        <w:t xml:space="preserve">: </w:t>
      </w:r>
      <w:r w:rsidR="00AD586E" w:rsidRPr="00AD586E">
        <w:rPr>
          <w:lang w:val="en-US"/>
        </w:rPr>
        <w:t xml:space="preserve">195). </w:t>
      </w:r>
      <w:r w:rsidR="00E15039">
        <w:rPr>
          <w:lang w:val="en-US"/>
        </w:rPr>
        <w:t xml:space="preserve">However, </w:t>
      </w:r>
      <w:r w:rsidR="00AD586E" w:rsidRPr="00AD586E">
        <w:rPr>
          <w:lang w:val="en-US"/>
        </w:rPr>
        <w:t xml:space="preserve">‘the subject is </w:t>
      </w:r>
      <w:r w:rsidR="00B8406F">
        <w:rPr>
          <w:lang w:val="en-US"/>
        </w:rPr>
        <w:t xml:space="preserve">[also] </w:t>
      </w:r>
      <w:r w:rsidR="00AD586E" w:rsidRPr="00AD586E">
        <w:rPr>
          <w:lang w:val="en-US"/>
        </w:rPr>
        <w:t>formed through the force of exclusion and abjection, one which produces a constitutive outside to the subject’ (</w:t>
      </w:r>
      <w:r w:rsidR="00B8406F">
        <w:rPr>
          <w:lang w:val="en-US"/>
        </w:rPr>
        <w:t xml:space="preserve">Butler, </w:t>
      </w:r>
      <w:r w:rsidR="00CC2B32">
        <w:rPr>
          <w:lang w:val="en-US"/>
        </w:rPr>
        <w:t>1993</w:t>
      </w:r>
      <w:r w:rsidR="00640A23">
        <w:rPr>
          <w:lang w:val="en-US"/>
        </w:rPr>
        <w:t xml:space="preserve">: </w:t>
      </w:r>
      <w:r w:rsidR="00AD586E" w:rsidRPr="00AD586E">
        <w:rPr>
          <w:lang w:val="en-US"/>
        </w:rPr>
        <w:t>3). In this sense, it is only through the identification, production and exclusion of a range of abjected Others who ‘circumscribe the domain of the subject’, that the legitimate and intelligible subject comes to be formed (1993</w:t>
      </w:r>
      <w:r w:rsidR="00640A23">
        <w:rPr>
          <w:lang w:val="en-US"/>
        </w:rPr>
        <w:t xml:space="preserve">: </w:t>
      </w:r>
      <w:r w:rsidR="00AD586E" w:rsidRPr="00AD586E">
        <w:rPr>
          <w:lang w:val="en-US"/>
        </w:rPr>
        <w:t>3). But this abjected Other haunts the domain of legitimate subjectivity and indeed is enfolded ‘inside’ the subject as ‘its own founding repudiation’ (Butler, 1993</w:t>
      </w:r>
      <w:r w:rsidR="00640A23">
        <w:rPr>
          <w:lang w:val="en-US"/>
        </w:rPr>
        <w:t xml:space="preserve">: </w:t>
      </w:r>
      <w:r w:rsidR="00AD586E" w:rsidRPr="00AD586E">
        <w:rPr>
          <w:lang w:val="en-US"/>
        </w:rPr>
        <w:t>3). As Fraser and Seear argue, ‘</w:t>
      </w:r>
      <w:r w:rsidR="00684476">
        <w:rPr>
          <w:lang w:val="en-US"/>
        </w:rPr>
        <w:t>[t]</w:t>
      </w:r>
      <w:r w:rsidR="00AD586E" w:rsidRPr="00AD586E">
        <w:rPr>
          <w:lang w:val="en-US"/>
        </w:rPr>
        <w:t>he abject is a “site of dreaded identification” for the subject, thus the abject exists in counterpoise to the subject, against whom it is produced through forces of exclusion’ (201</w:t>
      </w:r>
      <w:r w:rsidR="00303F7F">
        <w:rPr>
          <w:lang w:val="en-US"/>
        </w:rPr>
        <w:t>1</w:t>
      </w:r>
      <w:r w:rsidR="00640A23">
        <w:rPr>
          <w:lang w:val="en-US"/>
        </w:rPr>
        <w:t xml:space="preserve">: </w:t>
      </w:r>
      <w:r w:rsidR="00AD586E" w:rsidRPr="00AD586E">
        <w:rPr>
          <w:lang w:val="en-US"/>
        </w:rPr>
        <w:t xml:space="preserve">118). </w:t>
      </w:r>
    </w:p>
    <w:p w14:paraId="62DB6DFC" w14:textId="77777777" w:rsidR="00AD586E" w:rsidRPr="00AD586E" w:rsidRDefault="00AD586E" w:rsidP="00CD6C43">
      <w:pPr>
        <w:spacing w:line="360" w:lineRule="auto"/>
        <w:rPr>
          <w:lang w:val="en-US"/>
        </w:rPr>
      </w:pPr>
    </w:p>
    <w:p w14:paraId="33E6C833" w14:textId="1C1C5E6E" w:rsidR="00900FED" w:rsidRDefault="00AD586E" w:rsidP="00CD6C43">
      <w:pPr>
        <w:spacing w:line="360" w:lineRule="auto"/>
      </w:pPr>
      <w:r w:rsidRPr="00AD586E">
        <w:rPr>
          <w:lang w:val="en-US"/>
        </w:rPr>
        <w:t xml:space="preserve">Butler’s insights into the political productivity of </w:t>
      </w:r>
      <w:r w:rsidR="00E15039" w:rsidRPr="00AD586E">
        <w:rPr>
          <w:lang w:val="en-US"/>
        </w:rPr>
        <w:t>abject</w:t>
      </w:r>
      <w:r w:rsidR="00E15039">
        <w:rPr>
          <w:lang w:val="en-US"/>
        </w:rPr>
        <w:t xml:space="preserve">ion </w:t>
      </w:r>
      <w:r w:rsidR="00B56504">
        <w:rPr>
          <w:lang w:val="en-US"/>
        </w:rPr>
        <w:t>underlie</w:t>
      </w:r>
      <w:r w:rsidRPr="00AD586E">
        <w:rPr>
          <w:lang w:val="en-US"/>
        </w:rPr>
        <w:t xml:space="preserve"> Fraser et al.’s </w:t>
      </w:r>
      <w:r w:rsidR="00E15039">
        <w:rPr>
          <w:lang w:val="en-US"/>
        </w:rPr>
        <w:t xml:space="preserve">conceptualisation </w:t>
      </w:r>
      <w:r w:rsidRPr="00AD586E">
        <w:rPr>
          <w:lang w:val="en-US"/>
        </w:rPr>
        <w:t xml:space="preserve">of </w:t>
      </w:r>
      <w:r w:rsidR="00CA1CE3">
        <w:rPr>
          <w:lang w:val="en-US"/>
        </w:rPr>
        <w:t xml:space="preserve">addiction </w:t>
      </w:r>
      <w:r w:rsidRPr="00AD586E">
        <w:rPr>
          <w:lang w:val="en-US"/>
        </w:rPr>
        <w:t xml:space="preserve">stigma. </w:t>
      </w:r>
      <w:r w:rsidR="00A5709E">
        <w:rPr>
          <w:lang w:val="en-US"/>
        </w:rPr>
        <w:t>While t</w:t>
      </w:r>
      <w:r w:rsidR="00657999">
        <w:rPr>
          <w:lang w:val="en-US"/>
        </w:rPr>
        <w:t>hey</w:t>
      </w:r>
      <w:r w:rsidRPr="00AD586E">
        <w:rPr>
          <w:lang w:val="en-US"/>
        </w:rPr>
        <w:t xml:space="preserve"> observe similarities between Goffman’s claim that the normal and the stigmatised form part of the same complex, and Butler’s account of the constitutive outside</w:t>
      </w:r>
      <w:r w:rsidR="00E15039">
        <w:rPr>
          <w:lang w:val="en-US"/>
        </w:rPr>
        <w:t xml:space="preserve"> of the subject, t</w:t>
      </w:r>
      <w:r w:rsidRPr="00AD586E">
        <w:rPr>
          <w:lang w:val="en-US"/>
        </w:rPr>
        <w:t xml:space="preserve">hey </w:t>
      </w:r>
      <w:r w:rsidR="00E15039">
        <w:rPr>
          <w:lang w:val="en-US"/>
        </w:rPr>
        <w:t xml:space="preserve">also </w:t>
      </w:r>
      <w:r w:rsidRPr="00AD586E">
        <w:rPr>
          <w:lang w:val="en-US"/>
        </w:rPr>
        <w:t xml:space="preserve">argue that </w:t>
      </w:r>
      <w:r w:rsidRPr="00AD586E">
        <w:t xml:space="preserve">stigma </w:t>
      </w:r>
      <w:r w:rsidRPr="00AD586E">
        <w:rPr>
          <w:lang w:val="en-US"/>
        </w:rPr>
        <w:t>is</w:t>
      </w:r>
      <w:r w:rsidR="00657999">
        <w:t xml:space="preserve"> </w:t>
      </w:r>
      <w:r w:rsidRPr="00AD586E">
        <w:t>a foundational process necessary to the constitution of normative social relations in liberal modernity</w:t>
      </w:r>
      <w:r w:rsidR="005B4773">
        <w:rPr>
          <w:lang w:val="en-US"/>
        </w:rPr>
        <w:t>:</w:t>
      </w:r>
      <w:r w:rsidRPr="00AD586E">
        <w:rPr>
          <w:lang w:val="en-US"/>
        </w:rPr>
        <w:t xml:space="preserve"> ‘the outside of legitimacy comprises all those whose relationship to drugs does not align with normative understanding of autonomy, sobriety, freedom and rationality’ (</w:t>
      </w:r>
      <w:r w:rsidR="00640A23">
        <w:rPr>
          <w:lang w:val="en-US"/>
        </w:rPr>
        <w:t xml:space="preserve">2017: </w:t>
      </w:r>
      <w:r w:rsidRPr="00AD586E">
        <w:rPr>
          <w:lang w:val="en-US"/>
        </w:rPr>
        <w:t>194). In this way, the operation of addiction stigma serves an essential political purpose</w:t>
      </w:r>
      <w:r w:rsidR="008F22D3">
        <w:rPr>
          <w:lang w:val="en-US"/>
        </w:rPr>
        <w:t xml:space="preserve"> by </w:t>
      </w:r>
      <w:r w:rsidR="004578AB">
        <w:rPr>
          <w:lang w:val="en-US"/>
        </w:rPr>
        <w:t>reproducing</w:t>
      </w:r>
      <w:r w:rsidR="008F22D3">
        <w:rPr>
          <w:lang w:val="en-US"/>
        </w:rPr>
        <w:t xml:space="preserve"> </w:t>
      </w:r>
      <w:r w:rsidR="00EE09A8">
        <w:rPr>
          <w:lang w:val="en-US"/>
        </w:rPr>
        <w:t xml:space="preserve">the </w:t>
      </w:r>
      <w:r w:rsidR="008F22D3">
        <w:rPr>
          <w:lang w:val="en-US"/>
        </w:rPr>
        <w:t xml:space="preserve">normative conceptions of </w:t>
      </w:r>
      <w:r w:rsidRPr="00AD586E">
        <w:rPr>
          <w:lang w:val="en-US"/>
        </w:rPr>
        <w:t xml:space="preserve">human </w:t>
      </w:r>
      <w:r w:rsidRPr="00AD586E">
        <w:rPr>
          <w:lang w:val="en-US"/>
        </w:rPr>
        <w:lastRenderedPageBreak/>
        <w:t xml:space="preserve">reason, rationality and objectivity </w:t>
      </w:r>
      <w:r w:rsidR="008F22D3">
        <w:rPr>
          <w:lang w:val="en-US"/>
        </w:rPr>
        <w:t xml:space="preserve">that </w:t>
      </w:r>
      <w:r w:rsidRPr="00AD586E">
        <w:rPr>
          <w:lang w:val="en-US"/>
        </w:rPr>
        <w:t>underpin liberal social processes and societies</w:t>
      </w:r>
      <w:r w:rsidR="005A6504">
        <w:rPr>
          <w:lang w:val="en-US"/>
        </w:rPr>
        <w:t xml:space="preserve">. </w:t>
      </w:r>
      <w:r w:rsidR="008267DE" w:rsidRPr="008267DE">
        <w:rPr>
          <w:lang w:val="en-US"/>
        </w:rPr>
        <w:t>In relation to take-home naloxone, much has been written about the ‘intervention inertia’</w:t>
      </w:r>
      <w:r w:rsidR="008267DE" w:rsidRPr="008267DE">
        <w:t xml:space="preserve"> (Strang</w:t>
      </w:r>
      <w:r w:rsidR="00640A23">
        <w:t xml:space="preserve"> et al.,</w:t>
      </w:r>
      <w:r w:rsidR="008267DE" w:rsidRPr="008267DE">
        <w:t xml:space="preserve"> 2013</w:t>
      </w:r>
      <w:r w:rsidR="00A36D14">
        <w:t>; Strang et al., 2019</w:t>
      </w:r>
      <w:r w:rsidR="008267DE" w:rsidRPr="008267DE">
        <w:t xml:space="preserve">) </w:t>
      </w:r>
      <w:r w:rsidR="005B4773">
        <w:t>impairing</w:t>
      </w:r>
      <w:r w:rsidR="005B4773" w:rsidRPr="008267DE">
        <w:t xml:space="preserve"> </w:t>
      </w:r>
      <w:r w:rsidR="008267DE" w:rsidRPr="008267DE">
        <w:t xml:space="preserve">its implementation and uptake. In this </w:t>
      </w:r>
      <w:r w:rsidR="00EE09A8">
        <w:t>article</w:t>
      </w:r>
      <w:r w:rsidR="008267DE" w:rsidRPr="008267DE">
        <w:t>, we understand th</w:t>
      </w:r>
      <w:r w:rsidR="005B4773">
        <w:t>is</w:t>
      </w:r>
      <w:r w:rsidR="008267DE" w:rsidRPr="008267DE">
        <w:t xml:space="preserve"> inertia not as </w:t>
      </w:r>
      <w:r w:rsidR="005B4773">
        <w:t xml:space="preserve">a </w:t>
      </w:r>
      <w:r w:rsidR="008267DE" w:rsidRPr="008267DE">
        <w:t xml:space="preserve">‘neutral’ problem but as the effect of broader politics, and a social and cultural discomfort with drug use, which </w:t>
      </w:r>
      <w:r w:rsidR="005B4773">
        <w:t>undermine</w:t>
      </w:r>
      <w:r w:rsidR="006B1014">
        <w:t>s</w:t>
      </w:r>
      <w:r w:rsidR="005B4773">
        <w:t xml:space="preserve"> </w:t>
      </w:r>
      <w:r w:rsidR="008267DE" w:rsidRPr="008267DE">
        <w:t xml:space="preserve">overdose prevention efforts and public attention. </w:t>
      </w:r>
    </w:p>
    <w:p w14:paraId="41BE9E79" w14:textId="77777777" w:rsidR="0069301C" w:rsidRDefault="0069301C" w:rsidP="00CD6C43">
      <w:pPr>
        <w:spacing w:line="360" w:lineRule="auto"/>
        <w:rPr>
          <w:lang w:val="en-US"/>
        </w:rPr>
      </w:pPr>
    </w:p>
    <w:p w14:paraId="2D6FDE48" w14:textId="4C11567B" w:rsidR="00995C11" w:rsidRDefault="004D77BD" w:rsidP="00995C11">
      <w:pPr>
        <w:spacing w:line="360" w:lineRule="auto"/>
      </w:pPr>
      <w:r w:rsidRPr="00B0689D">
        <w:rPr>
          <w:lang w:val="en-US"/>
        </w:rPr>
        <w:t>Taking up this understanding of</w:t>
      </w:r>
      <w:r w:rsidR="00A30CBC" w:rsidRPr="00B0689D">
        <w:rPr>
          <w:lang w:val="en-US"/>
        </w:rPr>
        <w:t xml:space="preserve"> stigma</w:t>
      </w:r>
      <w:r w:rsidRPr="00B0689D">
        <w:rPr>
          <w:lang w:val="en-US"/>
        </w:rPr>
        <w:t xml:space="preserve">, this article </w:t>
      </w:r>
      <w:r w:rsidR="00A30CBC" w:rsidRPr="00B0689D">
        <w:rPr>
          <w:lang w:val="en-US"/>
        </w:rPr>
        <w:t>e</w:t>
      </w:r>
      <w:r w:rsidR="00AD586E" w:rsidRPr="00B0689D">
        <w:rPr>
          <w:lang w:val="en-US"/>
        </w:rPr>
        <w:t>xamine</w:t>
      </w:r>
      <w:r w:rsidR="00E15039" w:rsidRPr="00B0689D">
        <w:rPr>
          <w:lang w:val="en-US"/>
        </w:rPr>
        <w:t>s</w:t>
      </w:r>
      <w:r w:rsidR="00AD586E" w:rsidRPr="00B0689D">
        <w:rPr>
          <w:lang w:val="en-US"/>
        </w:rPr>
        <w:t xml:space="preserve"> what </w:t>
      </w:r>
      <w:r w:rsidR="00D3557A" w:rsidRPr="00B0689D">
        <w:rPr>
          <w:lang w:val="en-US"/>
        </w:rPr>
        <w:t xml:space="preserve">addiction </w:t>
      </w:r>
      <w:r w:rsidR="00AD586E" w:rsidRPr="00B0689D">
        <w:rPr>
          <w:lang w:val="en-US"/>
        </w:rPr>
        <w:t>stigma achieves in relation to take-home naloxone uptake and administration</w:t>
      </w:r>
      <w:r w:rsidR="00E15039" w:rsidRPr="00B0689D">
        <w:rPr>
          <w:lang w:val="en-US"/>
        </w:rPr>
        <w:t>,</w:t>
      </w:r>
      <w:r w:rsidRPr="00B0689D">
        <w:rPr>
          <w:lang w:val="en-US"/>
        </w:rPr>
        <w:t xml:space="preserve"> and overdose prevention</w:t>
      </w:r>
      <w:r w:rsidR="00AD586E" w:rsidRPr="00B0689D">
        <w:rPr>
          <w:lang w:val="en-US"/>
        </w:rPr>
        <w:t>.</w:t>
      </w:r>
      <w:r w:rsidR="00AD586E" w:rsidRPr="00534292">
        <w:rPr>
          <w:lang w:val="en-US"/>
        </w:rPr>
        <w:t xml:space="preserve"> In what</w:t>
      </w:r>
      <w:r w:rsidR="00AD586E" w:rsidRPr="00AD586E">
        <w:rPr>
          <w:lang w:val="en-US"/>
        </w:rPr>
        <w:t xml:space="preserve"> follows</w:t>
      </w:r>
      <w:r w:rsidR="006B1014">
        <w:rPr>
          <w:lang w:val="en-US"/>
        </w:rPr>
        <w:t>,</w:t>
      </w:r>
      <w:r w:rsidR="00AD586E" w:rsidRPr="00AD586E">
        <w:rPr>
          <w:lang w:val="en-US"/>
        </w:rPr>
        <w:t xml:space="preserve"> we examine </w:t>
      </w:r>
      <w:r w:rsidR="00A30CBC">
        <w:rPr>
          <w:lang w:val="en-US"/>
        </w:rPr>
        <w:t xml:space="preserve">accounts </w:t>
      </w:r>
      <w:r w:rsidR="00AD586E" w:rsidRPr="00AD586E">
        <w:rPr>
          <w:lang w:val="en-US"/>
        </w:rPr>
        <w:t>of addiction stigma</w:t>
      </w:r>
      <w:r w:rsidR="005B4773">
        <w:rPr>
          <w:lang w:val="en-US"/>
        </w:rPr>
        <w:t xml:space="preserve"> and</w:t>
      </w:r>
      <w:r w:rsidR="00E15039">
        <w:rPr>
          <w:lang w:val="en-US"/>
        </w:rPr>
        <w:t xml:space="preserve"> </w:t>
      </w:r>
      <w:r w:rsidR="00AD586E" w:rsidRPr="00AD586E">
        <w:rPr>
          <w:lang w:val="en-US"/>
        </w:rPr>
        <w:t>it</w:t>
      </w:r>
      <w:r w:rsidR="00E15039">
        <w:rPr>
          <w:lang w:val="en-US"/>
        </w:rPr>
        <w:t>s effects on</w:t>
      </w:r>
      <w:r w:rsidR="00AD586E" w:rsidRPr="00AD586E">
        <w:rPr>
          <w:lang w:val="en-US"/>
        </w:rPr>
        <w:t xml:space="preserve"> the uptake of take-home naloxone</w:t>
      </w:r>
      <w:r w:rsidR="00A30CBC">
        <w:rPr>
          <w:lang w:val="en-US"/>
        </w:rPr>
        <w:t>. To begin,</w:t>
      </w:r>
      <w:r w:rsidR="00AD586E" w:rsidRPr="00AD586E">
        <w:rPr>
          <w:lang w:val="en-US"/>
        </w:rPr>
        <w:t xml:space="preserve"> we focus on how</w:t>
      </w:r>
      <w:r w:rsidR="00A30CBC">
        <w:rPr>
          <w:lang w:val="en-US"/>
        </w:rPr>
        <w:t xml:space="preserve"> </w:t>
      </w:r>
      <w:r w:rsidR="00A30CBC">
        <w:t>the operation</w:t>
      </w:r>
      <w:r w:rsidR="00E15039">
        <w:t>s</w:t>
      </w:r>
      <w:r w:rsidR="00A30CBC">
        <w:t xml:space="preserve"> of addiction stigma </w:t>
      </w:r>
      <w:r w:rsidR="00E15039">
        <w:t xml:space="preserve">shape </w:t>
      </w:r>
      <w:r w:rsidR="00A30CBC">
        <w:rPr>
          <w:lang w:val="en-US"/>
        </w:rPr>
        <w:t>information provision</w:t>
      </w:r>
      <w:r w:rsidR="00191172">
        <w:rPr>
          <w:lang w:val="en-US"/>
        </w:rPr>
        <w:t xml:space="preserve"> </w:t>
      </w:r>
      <w:r w:rsidR="00A30CBC">
        <w:rPr>
          <w:lang w:val="en-US"/>
        </w:rPr>
        <w:t xml:space="preserve">about take-home naloxone. We </w:t>
      </w:r>
      <w:r w:rsidR="00E15039">
        <w:rPr>
          <w:lang w:val="en-US"/>
        </w:rPr>
        <w:t>then explore the ways</w:t>
      </w:r>
      <w:r w:rsidR="00191172">
        <w:rPr>
          <w:lang w:val="en-US"/>
        </w:rPr>
        <w:t xml:space="preserve"> </w:t>
      </w:r>
      <w:r w:rsidR="00A30CBC">
        <w:rPr>
          <w:lang w:val="en-US"/>
        </w:rPr>
        <w:t>addiction stigma</w:t>
      </w:r>
      <w:r w:rsidR="00191172">
        <w:rPr>
          <w:lang w:val="en-US"/>
        </w:rPr>
        <w:t xml:space="preserve"> curtails access to </w:t>
      </w:r>
      <w:r w:rsidR="00A5709E">
        <w:rPr>
          <w:lang w:val="en-US"/>
        </w:rPr>
        <w:t>it</w:t>
      </w:r>
      <w:r w:rsidR="00E15039">
        <w:rPr>
          <w:lang w:val="en-US"/>
        </w:rPr>
        <w:t>, limiting</w:t>
      </w:r>
      <w:r w:rsidR="00A30CBC">
        <w:rPr>
          <w:lang w:val="en-US"/>
        </w:rPr>
        <w:t xml:space="preserve"> willingness to </w:t>
      </w:r>
      <w:r w:rsidR="000B63A8">
        <w:rPr>
          <w:lang w:val="en-US"/>
        </w:rPr>
        <w:t>occupy</w:t>
      </w:r>
      <w:r w:rsidR="00191172">
        <w:t xml:space="preserve"> publicly visible stigmatised identit</w:t>
      </w:r>
      <w:r w:rsidR="000B63A8">
        <w:t>ies, thereby</w:t>
      </w:r>
      <w:r w:rsidR="00191172">
        <w:t xml:space="preserve"> </w:t>
      </w:r>
      <w:r w:rsidR="000B63A8">
        <w:t xml:space="preserve">producing </w:t>
      </w:r>
      <w:r w:rsidR="00A30CBC">
        <w:t>inequitable</w:t>
      </w:r>
      <w:r w:rsidR="00191172">
        <w:t xml:space="preserve"> and inconvenient</w:t>
      </w:r>
      <w:r w:rsidR="00A30CBC">
        <w:t xml:space="preserve"> access. Finally, we explore </w:t>
      </w:r>
      <w:r w:rsidR="000B63A8">
        <w:t xml:space="preserve">the ways </w:t>
      </w:r>
      <w:r w:rsidR="00A30CBC">
        <w:t>stigma co-constitutes the politics of overdose, rendering take-home naloxone ill-suited to overdose environment</w:t>
      </w:r>
      <w:r w:rsidR="000B63A8">
        <w:t>s</w:t>
      </w:r>
      <w:r w:rsidR="00A30CBC">
        <w:t xml:space="preserve">, and </w:t>
      </w:r>
      <w:r w:rsidR="000B63A8">
        <w:t xml:space="preserve">understating </w:t>
      </w:r>
      <w:r w:rsidR="00A30CBC">
        <w:t xml:space="preserve">shared responsibility for </w:t>
      </w:r>
      <w:r w:rsidR="00A5709E">
        <w:t>its</w:t>
      </w:r>
      <w:r w:rsidR="00A30CBC">
        <w:t xml:space="preserve"> uptake. </w:t>
      </w:r>
      <w:r w:rsidR="00995C11">
        <w:t>In conducting our analysis</w:t>
      </w:r>
      <w:r w:rsidR="006B1014">
        <w:t>,</w:t>
      </w:r>
      <w:r w:rsidR="00995C11">
        <w:t xml:space="preserve"> we explore the performative biopolitical effects of stigma on take-home naloxone access and uptake, and argue that this process reinscribes a classic distribution of power in which people who use drugs are simultaneously responsibilised </w:t>
      </w:r>
      <w:r w:rsidR="00995C11">
        <w:rPr>
          <w:i/>
        </w:rPr>
        <w:t xml:space="preserve">and </w:t>
      </w:r>
      <w:r w:rsidR="00995C11">
        <w:t xml:space="preserve">marginalised in the service of normative social relations. In </w:t>
      </w:r>
      <w:r w:rsidR="004F2B02">
        <w:t>making our argument</w:t>
      </w:r>
      <w:r w:rsidR="00995C11">
        <w:t xml:space="preserve">, we </w:t>
      </w:r>
      <w:r w:rsidR="004F2B02">
        <w:t xml:space="preserve">reiterate Fraser et al.’s </w:t>
      </w:r>
      <w:r w:rsidR="008F6C72">
        <w:t xml:space="preserve">(2017) </w:t>
      </w:r>
      <w:r w:rsidR="004F2B02">
        <w:t>observation that</w:t>
      </w:r>
      <w:r w:rsidR="00995C11">
        <w:t xml:space="preserve"> </w:t>
      </w:r>
      <w:r w:rsidR="004F2B02">
        <w:t>stigma is not a series of</w:t>
      </w:r>
      <w:r w:rsidR="00995C11">
        <w:t xml:space="preserve"> discrete</w:t>
      </w:r>
      <w:r w:rsidR="004F2B02">
        <w:t xml:space="preserve"> moments</w:t>
      </w:r>
      <w:r w:rsidR="00A30655">
        <w:t xml:space="preserve"> or intentional acts,</w:t>
      </w:r>
      <w:r w:rsidR="00995C11">
        <w:t xml:space="preserve"> but </w:t>
      </w:r>
      <w:r w:rsidR="00D45A23">
        <w:t xml:space="preserve">thoroughly </w:t>
      </w:r>
      <w:r w:rsidR="004F2B02">
        <w:t>shapes and orders</w:t>
      </w:r>
      <w:r w:rsidR="00995C11">
        <w:t xml:space="preserve"> everyday life for </w:t>
      </w:r>
      <w:r w:rsidR="005B4773">
        <w:t>drug</w:t>
      </w:r>
      <w:r w:rsidR="00995C11">
        <w:t xml:space="preserve"> consume</w:t>
      </w:r>
      <w:r w:rsidR="005B4773">
        <w:t>rs</w:t>
      </w:r>
      <w:r w:rsidR="00995C11">
        <w:t xml:space="preserve"> in </w:t>
      </w:r>
      <w:r w:rsidR="004F2B02">
        <w:t>many</w:t>
      </w:r>
      <w:r w:rsidR="00995C11">
        <w:t xml:space="preserve"> contexts</w:t>
      </w:r>
      <w:r w:rsidR="008F6C72">
        <w:t>.</w:t>
      </w:r>
    </w:p>
    <w:p w14:paraId="45B70307" w14:textId="77777777" w:rsidR="00191172" w:rsidRDefault="00191172" w:rsidP="00CD6C43">
      <w:pPr>
        <w:spacing w:line="360" w:lineRule="auto"/>
      </w:pPr>
    </w:p>
    <w:p w14:paraId="3BF8A883" w14:textId="33F0441C" w:rsidR="00AD586E" w:rsidRDefault="009A02FB" w:rsidP="00EE09A8">
      <w:pPr>
        <w:pStyle w:val="Heading2"/>
        <w:keepNext/>
        <w:spacing w:line="360" w:lineRule="auto"/>
      </w:pPr>
      <w:r>
        <w:t>Method</w:t>
      </w:r>
    </w:p>
    <w:p w14:paraId="4D65878D" w14:textId="4B0CA123" w:rsidR="00634BA6" w:rsidRDefault="00E56791" w:rsidP="00CD6C43">
      <w:pPr>
        <w:spacing w:line="360" w:lineRule="auto"/>
      </w:pPr>
      <w:r>
        <w:t>Our analysis draws on data gathered for a qualitative research project investigating the meanings and experience of take-home naloxone for opioid consumers and health professionals</w:t>
      </w:r>
      <w:r w:rsidR="00EE09A8">
        <w:t>.</w:t>
      </w:r>
      <w:r w:rsidR="00995C11">
        <w:t xml:space="preserve"> </w:t>
      </w:r>
      <w:r w:rsidR="00EE09A8">
        <w:t xml:space="preserve">Using </w:t>
      </w:r>
      <w:r>
        <w:t>a purposive sampling strategy</w:t>
      </w:r>
      <w:r w:rsidR="00EE09A8">
        <w:t>, we</w:t>
      </w:r>
      <w:r>
        <w:t xml:space="preserve"> interview</w:t>
      </w:r>
      <w:r w:rsidR="00EE09A8">
        <w:t>ed</w:t>
      </w:r>
      <w:r>
        <w:t xml:space="preserve"> 46 people who consume opioids (28 people with </w:t>
      </w:r>
      <w:r w:rsidR="00030483">
        <w:t xml:space="preserve">experience of </w:t>
      </w:r>
      <w:r>
        <w:t>injecting drug</w:t>
      </w:r>
      <w:r w:rsidR="00030483">
        <w:t>s</w:t>
      </w:r>
      <w:r>
        <w:t xml:space="preserve"> and 18 who consume opioids primarily for chronic pain)</w:t>
      </w:r>
      <w:r w:rsidR="00191195">
        <w:t>.</w:t>
      </w:r>
      <w:r w:rsidR="0030783B">
        <w:t xml:space="preserve"> </w:t>
      </w:r>
      <w:r w:rsidR="004B1F53">
        <w:t>Twenty-four</w:t>
      </w:r>
      <w:r w:rsidR="0030783B">
        <w:t xml:space="preserve"> men, </w:t>
      </w:r>
      <w:r w:rsidR="004B1F53">
        <w:t>twenty</w:t>
      </w:r>
      <w:r w:rsidR="0030783B">
        <w:t xml:space="preserve"> women, </w:t>
      </w:r>
      <w:r w:rsidR="004B1F53">
        <w:t>one</w:t>
      </w:r>
      <w:r w:rsidR="0030783B">
        <w:t xml:space="preserve"> trans-woman and </w:t>
      </w:r>
      <w:r w:rsidR="004B1F53">
        <w:t>one</w:t>
      </w:r>
      <w:r w:rsidR="0030783B">
        <w:t xml:space="preserve"> gender fluid person</w:t>
      </w:r>
      <w:r w:rsidR="00191195">
        <w:t xml:space="preserve"> participated in interviews. Gender was based on self-report and was self-defined. </w:t>
      </w:r>
      <w:r w:rsidR="0030783B">
        <w:t xml:space="preserve">We also interviewed </w:t>
      </w:r>
      <w:r>
        <w:t xml:space="preserve">37 health professionals across New South Wales </w:t>
      </w:r>
      <w:r w:rsidR="005C3192">
        <w:t xml:space="preserve">(NSW) </w:t>
      </w:r>
      <w:r>
        <w:t>and Victoria</w:t>
      </w:r>
      <w:r w:rsidR="005C3192">
        <w:t xml:space="preserve"> (Vic)</w:t>
      </w:r>
      <w:r>
        <w:t>.</w:t>
      </w:r>
      <w:r w:rsidR="0030783B">
        <w:t xml:space="preserve"> However, t</w:t>
      </w:r>
      <w:r w:rsidR="00B719CE">
        <w:t xml:space="preserve">his article </w:t>
      </w:r>
      <w:r w:rsidR="006B1014">
        <w:t xml:space="preserve">includes only the </w:t>
      </w:r>
      <w:r w:rsidR="00B719CE">
        <w:t>consumer perspectives on</w:t>
      </w:r>
      <w:r w:rsidR="006B1014">
        <w:t>,</w:t>
      </w:r>
      <w:r w:rsidR="00B719CE">
        <w:t xml:space="preserve"> and experiences of</w:t>
      </w:r>
      <w:r w:rsidR="006B1014">
        <w:t>,</w:t>
      </w:r>
      <w:r w:rsidR="00B719CE">
        <w:t xml:space="preserve"> stigma</w:t>
      </w:r>
      <w:r w:rsidR="008F6C72">
        <w:t xml:space="preserve"> as they relate</w:t>
      </w:r>
      <w:r w:rsidR="00B719CE">
        <w:t xml:space="preserve"> to take-home naloxone access, uptake and overdose prevention. </w:t>
      </w:r>
      <w:r w:rsidR="00030483">
        <w:t>A</w:t>
      </w:r>
      <w:r>
        <w:t xml:space="preserve"> recruitment flyer </w:t>
      </w:r>
      <w:r w:rsidR="00030483">
        <w:t>(</w:t>
      </w:r>
      <w:r>
        <w:t>‘Would you like to share your views on opioid overdose and naloxone?’</w:t>
      </w:r>
      <w:r w:rsidR="00030483">
        <w:t xml:space="preserve">) </w:t>
      </w:r>
      <w:r>
        <w:t xml:space="preserve">was circulated through drug health services, drug </w:t>
      </w:r>
      <w:r>
        <w:lastRenderedPageBreak/>
        <w:t xml:space="preserve">consumer organisations and social media. Potential participants </w:t>
      </w:r>
      <w:r w:rsidR="00030483">
        <w:t xml:space="preserve">who responded </w:t>
      </w:r>
      <w:r>
        <w:t xml:space="preserve">were screened to ensure variation </w:t>
      </w:r>
      <w:r w:rsidR="00995C11">
        <w:t xml:space="preserve">in </w:t>
      </w:r>
      <w:r w:rsidR="006B1014">
        <w:t xml:space="preserve">the </w:t>
      </w:r>
      <w:r>
        <w:t>types of opioid consumed, experience with take-home naloxone, gender, age, ethnicity and socio-economic background. The study was approved by Curtin University’s Human Research Ethics Committee (</w:t>
      </w:r>
      <w:r w:rsidRPr="00495AD1">
        <w:rPr>
          <w:rFonts w:cs="Times New Roman"/>
          <w:bCs/>
        </w:rPr>
        <w:t>HRE2017-0168</w:t>
      </w:r>
      <w:r>
        <w:t>/2017).</w:t>
      </w:r>
    </w:p>
    <w:p w14:paraId="4B0E1486" w14:textId="77777777" w:rsidR="00634BA6" w:rsidRDefault="00634BA6" w:rsidP="00CD6C43">
      <w:pPr>
        <w:spacing w:line="360" w:lineRule="auto"/>
      </w:pPr>
    </w:p>
    <w:p w14:paraId="25CE557F" w14:textId="15AC232A" w:rsidR="0027654F" w:rsidRDefault="00E56791" w:rsidP="00EE5B8E">
      <w:pPr>
        <w:spacing w:line="360" w:lineRule="auto"/>
      </w:pPr>
      <w:r>
        <w:t xml:space="preserve">All participants provided informed written consent. </w:t>
      </w:r>
      <w:r w:rsidR="00995C11">
        <w:t>In-d</w:t>
      </w:r>
      <w:r>
        <w:t>epth semi-structured interviews</w:t>
      </w:r>
      <w:r w:rsidR="00995C11">
        <w:t xml:space="preserve"> </w:t>
      </w:r>
      <w:r>
        <w:t>explored experiences of opioid consumption and overdose</w:t>
      </w:r>
      <w:r w:rsidR="006B1014">
        <w:t>;</w:t>
      </w:r>
      <w:r>
        <w:t xml:space="preserve"> awareness of, and experience with, take-home naloxone</w:t>
      </w:r>
      <w:r w:rsidR="006B1014">
        <w:t>;</w:t>
      </w:r>
      <w:r>
        <w:t xml:space="preserve"> access to take-home naloxone</w:t>
      </w:r>
      <w:r w:rsidR="006B1014">
        <w:t>;</w:t>
      </w:r>
      <w:r>
        <w:t xml:space="preserve"> experience with, and opinions of, overdose response and take-home naloxone training</w:t>
      </w:r>
      <w:r w:rsidR="006B1014">
        <w:t>;</w:t>
      </w:r>
      <w:r w:rsidR="00995C11">
        <w:t xml:space="preserve"> </w:t>
      </w:r>
      <w:r>
        <w:t xml:space="preserve">and preferred modes of administering take-home naloxone. </w:t>
      </w:r>
      <w:r w:rsidR="00332B77">
        <w:t>I</w:t>
      </w:r>
      <w:r>
        <w:t xml:space="preserve">nterviews </w:t>
      </w:r>
      <w:r w:rsidR="001E69E5">
        <w:t>rang</w:t>
      </w:r>
      <w:r w:rsidR="005B403C">
        <w:t>ed</w:t>
      </w:r>
      <w:r w:rsidR="001E69E5">
        <w:t xml:space="preserve"> from </w:t>
      </w:r>
      <w:r w:rsidR="00CA1CE3">
        <w:t>25</w:t>
      </w:r>
      <w:r w:rsidR="001E69E5">
        <w:t xml:space="preserve"> minutes to </w:t>
      </w:r>
      <w:r w:rsidR="00CA1CE3">
        <w:t>100</w:t>
      </w:r>
      <w:r w:rsidR="001E69E5">
        <w:t xml:space="preserve"> minutes</w:t>
      </w:r>
      <w:r w:rsidR="005B403C">
        <w:t xml:space="preserve"> in length</w:t>
      </w:r>
      <w:r w:rsidR="001E69E5">
        <w:t>. The</w:t>
      </w:r>
      <w:r w:rsidR="00FD1010">
        <w:t>y</w:t>
      </w:r>
      <w:r w:rsidR="001E69E5">
        <w:t xml:space="preserve"> </w:t>
      </w:r>
      <w:r>
        <w:t xml:space="preserve">were conducted in private rooms </w:t>
      </w:r>
      <w:r w:rsidR="00995C11">
        <w:t>at</w:t>
      </w:r>
      <w:r>
        <w:t xml:space="preserve"> alcohol and other drug </w:t>
      </w:r>
      <w:r w:rsidRPr="00BA3F64">
        <w:t>services</w:t>
      </w:r>
      <w:r>
        <w:t>, university offices or public places such as libraries and cafes</w:t>
      </w:r>
      <w:r w:rsidR="00995C11">
        <w:t xml:space="preserve">, </w:t>
      </w:r>
      <w:r w:rsidR="00332B77">
        <w:t>and</w:t>
      </w:r>
      <w:r>
        <w:t xml:space="preserve"> </w:t>
      </w:r>
      <w:r w:rsidR="00D9438E">
        <w:t>several</w:t>
      </w:r>
      <w:r>
        <w:t xml:space="preserve"> </w:t>
      </w:r>
      <w:r w:rsidR="006B1014">
        <w:t xml:space="preserve">were undertaken </w:t>
      </w:r>
      <w:r w:rsidR="00D9438E">
        <w:t xml:space="preserve">by </w:t>
      </w:r>
      <w:r w:rsidR="005C3192">
        <w:t>tele</w:t>
      </w:r>
      <w:r>
        <w:t xml:space="preserve">phone </w:t>
      </w:r>
      <w:r w:rsidR="006B1014">
        <w:t>because of</w:t>
      </w:r>
      <w:r w:rsidR="007853B8">
        <w:t xml:space="preserve"> distance</w:t>
      </w:r>
      <w:r>
        <w:t xml:space="preserve">. </w:t>
      </w:r>
      <w:r w:rsidR="00995C11">
        <w:t>I</w:t>
      </w:r>
      <w:r>
        <w:t>nterview recordings were transcribed verbatim and the transcript</w:t>
      </w:r>
      <w:r w:rsidR="006B1014">
        <w:t>ion</w:t>
      </w:r>
      <w:r>
        <w:t xml:space="preserve">s </w:t>
      </w:r>
      <w:r w:rsidR="006B1014">
        <w:t xml:space="preserve">were </w:t>
      </w:r>
      <w:r>
        <w:t>imported into N</w:t>
      </w:r>
      <w:r w:rsidR="00332B77">
        <w:t>V</w:t>
      </w:r>
      <w:r>
        <w:t>ivo 11.</w:t>
      </w:r>
      <w:r w:rsidR="002C429D">
        <w:t xml:space="preserve"> A coding framework was developed by the second author in response to themes and gaps identified in the existing literature and the broader project aims.</w:t>
      </w:r>
      <w:r w:rsidR="004D1943">
        <w:t xml:space="preserve"> </w:t>
      </w:r>
      <w:r w:rsidR="001B5F72">
        <w:t>These codes were reviewed and further developed with the entire research team (authors one</w:t>
      </w:r>
      <w:r w:rsidR="00D9438E">
        <w:t xml:space="preserve"> to</w:t>
      </w:r>
      <w:r w:rsidR="001B5F72">
        <w:t xml:space="preserve"> s</w:t>
      </w:r>
      <w:r w:rsidR="006B1014">
        <w:t>ix</w:t>
      </w:r>
      <w:r w:rsidR="001B5F72">
        <w:t xml:space="preserve">). </w:t>
      </w:r>
      <w:r w:rsidR="004D1943">
        <w:t>The main</w:t>
      </w:r>
      <w:r w:rsidR="002C429D">
        <w:t xml:space="preserve"> </w:t>
      </w:r>
      <w:r w:rsidR="004D1943">
        <w:t>c</w:t>
      </w:r>
      <w:r w:rsidR="002C429D">
        <w:t>odes included</w:t>
      </w:r>
      <w:r w:rsidR="004D1943">
        <w:t>:</w:t>
      </w:r>
      <w:r w:rsidR="002C429D">
        <w:t xml:space="preserve"> </w:t>
      </w:r>
      <w:r w:rsidR="004D1943">
        <w:t xml:space="preserve">experiences of </w:t>
      </w:r>
      <w:r w:rsidR="002C429D">
        <w:t>access and administration</w:t>
      </w:r>
      <w:r w:rsidR="004D1943">
        <w:t xml:space="preserve"> of take-home naloxone</w:t>
      </w:r>
      <w:r w:rsidR="002C429D">
        <w:t>, knowledge of and attitudes to take-home naloxone</w:t>
      </w:r>
      <w:r w:rsidR="00FD538B">
        <w:t>;</w:t>
      </w:r>
      <w:r w:rsidR="002C429D">
        <w:t xml:space="preserve"> experiences of opioid consumption and overdose</w:t>
      </w:r>
      <w:r w:rsidR="00FD538B">
        <w:t>;</w:t>
      </w:r>
      <w:r w:rsidR="002C429D">
        <w:t xml:space="preserve"> social relationships and stigma</w:t>
      </w:r>
      <w:r w:rsidR="00FD538B">
        <w:t>;</w:t>
      </w:r>
      <w:r w:rsidR="002C429D">
        <w:t xml:space="preserve"> and interactions with health and criminal justice systems. All data w</w:t>
      </w:r>
      <w:r w:rsidR="00A5709E">
        <w:t>ere</w:t>
      </w:r>
      <w:r w:rsidR="002C429D">
        <w:t xml:space="preserve"> coded by the first and second authors. </w:t>
      </w:r>
      <w:r w:rsidR="00EE5B8E">
        <w:t>Following further</w:t>
      </w:r>
      <w:r w:rsidR="00D13497">
        <w:t xml:space="preserve"> reading and</w:t>
      </w:r>
      <w:r w:rsidR="00EE5B8E">
        <w:t xml:space="preserve"> analysis of the stigma node</w:t>
      </w:r>
      <w:r w:rsidR="00D13497">
        <w:t xml:space="preserve"> through the approach described in the previous section</w:t>
      </w:r>
      <w:r w:rsidR="00EE5B8E">
        <w:t>, the first author</w:t>
      </w:r>
      <w:r w:rsidR="00D13497">
        <w:t xml:space="preserve"> generated several smaller codes identifying sites and practices where stigma </w:t>
      </w:r>
      <w:r w:rsidR="007853B8">
        <w:t xml:space="preserve">appeared to be </w:t>
      </w:r>
      <w:r w:rsidR="00D13497">
        <w:t xml:space="preserve">present. </w:t>
      </w:r>
    </w:p>
    <w:p w14:paraId="1CB1DDC5" w14:textId="655E052C" w:rsidR="00BA3F64" w:rsidRDefault="00BA3F64" w:rsidP="00CD37AC"/>
    <w:p w14:paraId="62F95601" w14:textId="13B8222A" w:rsidR="00BC5512" w:rsidRDefault="00BC5512" w:rsidP="00D9438E">
      <w:pPr>
        <w:pStyle w:val="Heading2"/>
        <w:keepNext/>
      </w:pPr>
      <w:r>
        <w:t>Analysis</w:t>
      </w:r>
    </w:p>
    <w:p w14:paraId="57075805" w14:textId="77777777" w:rsidR="00BC5512" w:rsidRPr="00BA3F64" w:rsidRDefault="00BC5512" w:rsidP="00CD37AC"/>
    <w:p w14:paraId="6E957D65" w14:textId="07CDC77F" w:rsidR="00896B65" w:rsidRDefault="00FC016E" w:rsidP="00575338">
      <w:pPr>
        <w:pStyle w:val="Heading3"/>
        <w:rPr>
          <w:i/>
        </w:rPr>
      </w:pPr>
      <w:r>
        <w:rPr>
          <w:i/>
        </w:rPr>
        <w:t>Impeding i</w:t>
      </w:r>
      <w:r w:rsidR="00567853" w:rsidRPr="0056626D">
        <w:rPr>
          <w:i/>
        </w:rPr>
        <w:t>nformation provision</w:t>
      </w:r>
    </w:p>
    <w:p w14:paraId="1DF27DF8" w14:textId="77777777" w:rsidR="00614A68" w:rsidRPr="00FD1010" w:rsidRDefault="00614A68" w:rsidP="00FD1010"/>
    <w:p w14:paraId="6296A850" w14:textId="7C6B0051" w:rsidR="007B1819" w:rsidRDefault="00FA70A6" w:rsidP="0062557F">
      <w:pPr>
        <w:spacing w:line="360" w:lineRule="auto"/>
      </w:pPr>
      <w:r>
        <w:t xml:space="preserve">Healthcare settings </w:t>
      </w:r>
      <w:r w:rsidR="00D2418A">
        <w:t>have been found</w:t>
      </w:r>
      <w:r>
        <w:t xml:space="preserve"> to be key </w:t>
      </w:r>
      <w:r w:rsidR="00392DE4">
        <w:t xml:space="preserve">sites </w:t>
      </w:r>
      <w:r>
        <w:t>in the stigmatisation of drug use (Fraser et al.</w:t>
      </w:r>
      <w:r w:rsidR="00640A23">
        <w:t>,</w:t>
      </w:r>
      <w:r>
        <w:t xml:space="preserve"> 2017</w:t>
      </w:r>
      <w:r w:rsidR="006D7375">
        <w:t>; Paquette</w:t>
      </w:r>
      <w:r w:rsidR="00640A23">
        <w:t xml:space="preserve"> et al.</w:t>
      </w:r>
      <w:r w:rsidR="006D7375">
        <w:t>, 2018</w:t>
      </w:r>
      <w:r>
        <w:t>)</w:t>
      </w:r>
      <w:r w:rsidR="00176FB6">
        <w:t xml:space="preserve">. </w:t>
      </w:r>
      <w:r w:rsidR="00332B77">
        <w:t xml:space="preserve">This makes them </w:t>
      </w:r>
      <w:r w:rsidR="00EF5CEB">
        <w:t>complex settings to negotiate</w:t>
      </w:r>
      <w:r w:rsidR="00176FB6">
        <w:t xml:space="preserve"> both</w:t>
      </w:r>
      <w:r w:rsidR="00EF5CEB">
        <w:t xml:space="preserve"> </w:t>
      </w:r>
      <w:r w:rsidR="004D1943">
        <w:t xml:space="preserve">for people who </w:t>
      </w:r>
      <w:r w:rsidR="00A848AD">
        <w:t>use</w:t>
      </w:r>
      <w:r w:rsidR="004D1943">
        <w:t xml:space="preserve"> illicit drugs and people who consume prescribed opioids for chronic pain </w:t>
      </w:r>
      <w:r w:rsidR="006C4468">
        <w:t>(Newton et al.</w:t>
      </w:r>
      <w:r w:rsidR="00640A23">
        <w:t>,</w:t>
      </w:r>
      <w:r w:rsidR="006C4468">
        <w:t xml:space="preserve"> 2013</w:t>
      </w:r>
      <w:r w:rsidR="00685B97">
        <w:t xml:space="preserve">; </w:t>
      </w:r>
      <w:r w:rsidR="006C4468">
        <w:t xml:space="preserve">Werner </w:t>
      </w:r>
      <w:r w:rsidR="00640A23">
        <w:t>and</w:t>
      </w:r>
      <w:r w:rsidR="006C4468">
        <w:t xml:space="preserve"> Malterud</w:t>
      </w:r>
      <w:r w:rsidR="00640A23">
        <w:t>,</w:t>
      </w:r>
      <w:r w:rsidR="006C4468">
        <w:t xml:space="preserve"> 2003)</w:t>
      </w:r>
      <w:r>
        <w:t>.</w:t>
      </w:r>
      <w:r w:rsidR="00A848AD">
        <w:t xml:space="preserve"> </w:t>
      </w:r>
      <w:r w:rsidR="00332B77">
        <w:t>Consistent</w:t>
      </w:r>
      <w:r w:rsidR="00A848AD">
        <w:t xml:space="preserve"> with </w:t>
      </w:r>
      <w:r w:rsidR="00D9438E">
        <w:t xml:space="preserve">our </w:t>
      </w:r>
      <w:r w:rsidR="00665535">
        <w:t>approach</w:t>
      </w:r>
      <w:r w:rsidR="00A848AD">
        <w:t>, we argue that</w:t>
      </w:r>
      <w:r w:rsidR="00665535">
        <w:t xml:space="preserve"> information provision</w:t>
      </w:r>
      <w:r w:rsidR="006E3E9D">
        <w:t xml:space="preserve"> about the availability and importance</w:t>
      </w:r>
      <w:r w:rsidR="002F0FD2">
        <w:t xml:space="preserve"> </w:t>
      </w:r>
      <w:r w:rsidR="00665535">
        <w:t xml:space="preserve">of </w:t>
      </w:r>
      <w:r w:rsidR="002F0FD2">
        <w:t>take-ho</w:t>
      </w:r>
      <w:r w:rsidR="002F0FD2" w:rsidRPr="007B1819">
        <w:t>me naloxone</w:t>
      </w:r>
      <w:r w:rsidR="00665535" w:rsidRPr="007B1819">
        <w:t xml:space="preserve"> should</w:t>
      </w:r>
      <w:r w:rsidR="006E3E9D" w:rsidRPr="007B1819">
        <w:t xml:space="preserve"> be </w:t>
      </w:r>
      <w:r w:rsidR="005265B5" w:rsidRPr="007B1819">
        <w:t>viewed</w:t>
      </w:r>
      <w:r w:rsidR="006E3E9D" w:rsidRPr="007B1819">
        <w:t xml:space="preserve"> as </w:t>
      </w:r>
      <w:r w:rsidR="004216A3" w:rsidRPr="007B1819">
        <w:t xml:space="preserve">taking shape within a pervasive dynamic of </w:t>
      </w:r>
      <w:r w:rsidR="006E3E9D" w:rsidRPr="007B1819">
        <w:t>addiction stigma</w:t>
      </w:r>
      <w:r w:rsidR="005B403C">
        <w:t>, a dynamic</w:t>
      </w:r>
      <w:r w:rsidR="00992FAD">
        <w:t xml:space="preserve"> that </w:t>
      </w:r>
      <w:r w:rsidR="005B403C">
        <w:t>separates</w:t>
      </w:r>
      <w:r w:rsidR="00992FAD">
        <w:t xml:space="preserve"> overdose prevention and take-home naloxone </w:t>
      </w:r>
      <w:r w:rsidR="005B403C">
        <w:t xml:space="preserve">initiatives </w:t>
      </w:r>
      <w:r w:rsidR="00992FAD">
        <w:t xml:space="preserve">from mainstream public healthcare. </w:t>
      </w:r>
    </w:p>
    <w:p w14:paraId="1B05193F" w14:textId="77777777" w:rsidR="00805E2A" w:rsidRDefault="00805E2A" w:rsidP="00805E2A">
      <w:pPr>
        <w:spacing w:line="360" w:lineRule="auto"/>
      </w:pPr>
    </w:p>
    <w:p w14:paraId="6B9F2B0C" w14:textId="47644FDF" w:rsidR="008A0560" w:rsidRPr="00077C95" w:rsidRDefault="006B5677" w:rsidP="00CD6C43">
      <w:pPr>
        <w:spacing w:line="360" w:lineRule="auto"/>
      </w:pPr>
      <w:r>
        <w:lastRenderedPageBreak/>
        <w:t>A key</w:t>
      </w:r>
      <w:r w:rsidR="007D7198">
        <w:t xml:space="preserve"> theme in participants’ accounts </w:t>
      </w:r>
      <w:r>
        <w:t xml:space="preserve">was the role of information provision about overdose prevention. </w:t>
      </w:r>
      <w:r w:rsidR="00A5709E">
        <w:t>Importantly, p</w:t>
      </w:r>
      <w:r w:rsidR="00840564">
        <w:t xml:space="preserve">eople who </w:t>
      </w:r>
      <w:r w:rsidR="007A529F">
        <w:t>use</w:t>
      </w:r>
      <w:r w:rsidR="00840564">
        <w:t xml:space="preserve"> illicit </w:t>
      </w:r>
      <w:r w:rsidR="007A529F">
        <w:t>opioids</w:t>
      </w:r>
      <w:r w:rsidR="00840564">
        <w:t xml:space="preserve"> and people who consume prescribed opioids commonly described thinking about overdose</w:t>
      </w:r>
      <w:r w:rsidR="00A5709E">
        <w:t>,</w:t>
      </w:r>
      <w:r w:rsidR="00840564">
        <w:t xml:space="preserve"> and some saw themselves at risk</w:t>
      </w:r>
      <w:r w:rsidR="00A5709E">
        <w:t xml:space="preserve"> of it</w:t>
      </w:r>
      <w:r w:rsidR="00840564">
        <w:t>. For example, Bobbi (</w:t>
      </w:r>
      <w:r w:rsidR="004C5248">
        <w:t xml:space="preserve">female, </w:t>
      </w:r>
      <w:r w:rsidR="004B1F53">
        <w:t>35 years old</w:t>
      </w:r>
      <w:r w:rsidR="00840564">
        <w:t xml:space="preserve">, NSW) </w:t>
      </w:r>
      <w:r w:rsidR="00C4229F">
        <w:t>regularly</w:t>
      </w:r>
      <w:r w:rsidR="00840564">
        <w:t xml:space="preserve"> inject</w:t>
      </w:r>
      <w:r w:rsidR="00C4229F">
        <w:t>s</w:t>
      </w:r>
      <w:r w:rsidR="00840564">
        <w:t xml:space="preserve"> illicit opioids</w:t>
      </w:r>
      <w:r w:rsidR="00C4229F">
        <w:t>.</w:t>
      </w:r>
      <w:r w:rsidR="00840564">
        <w:t xml:space="preserve"> </w:t>
      </w:r>
      <w:r w:rsidR="00C4229F">
        <w:t>In her interview, she explained that</w:t>
      </w:r>
      <w:r w:rsidR="00840564">
        <w:t xml:space="preserve"> she thought about overdose ‘every time [she] had a shot</w:t>
      </w:r>
      <w:r w:rsidR="002909FD">
        <w:t xml:space="preserve"> [injection]</w:t>
      </w:r>
      <w:r w:rsidR="00840564">
        <w:t>’</w:t>
      </w:r>
      <w:r w:rsidR="00C4229F">
        <w:t>. Similarly,</w:t>
      </w:r>
      <w:r w:rsidR="00805E2A">
        <w:t xml:space="preserve"> Ghassan (</w:t>
      </w:r>
      <w:r w:rsidR="004C5248">
        <w:t>male</w:t>
      </w:r>
      <w:r w:rsidR="00805E2A">
        <w:t>, 37</w:t>
      </w:r>
      <w:r w:rsidR="00DA68FA">
        <w:t xml:space="preserve"> years old</w:t>
      </w:r>
      <w:r w:rsidR="00805E2A">
        <w:t>, NSW) explained that he was</w:t>
      </w:r>
      <w:r w:rsidR="00805E2A" w:rsidRPr="00805E2A">
        <w:t xml:space="preserve"> </w:t>
      </w:r>
      <w:r w:rsidR="00805E2A">
        <w:t>‘</w:t>
      </w:r>
      <w:r w:rsidR="00805E2A" w:rsidRPr="00805E2A">
        <w:t>really</w:t>
      </w:r>
      <w:r w:rsidR="00805E2A">
        <w:t>, really</w:t>
      </w:r>
      <w:r w:rsidR="00805E2A" w:rsidRPr="00805E2A">
        <w:t xml:space="preserve"> aware of it</w:t>
      </w:r>
      <w:r w:rsidR="00805E2A">
        <w:t xml:space="preserve">’ after overdosing in a </w:t>
      </w:r>
      <w:r w:rsidR="00AF787B">
        <w:t xml:space="preserve">public </w:t>
      </w:r>
      <w:r w:rsidR="00805E2A">
        <w:t xml:space="preserve">toilet. Despite </w:t>
      </w:r>
      <w:r w:rsidR="00C4229F">
        <w:t xml:space="preserve">these </w:t>
      </w:r>
      <w:r w:rsidR="00805E2A">
        <w:t>concerns, some participants reported that</w:t>
      </w:r>
      <w:r w:rsidR="00606B02">
        <w:t xml:space="preserve"> </w:t>
      </w:r>
      <w:r w:rsidR="00805E2A" w:rsidRPr="00F85861">
        <w:t xml:space="preserve">health </w:t>
      </w:r>
      <w:r w:rsidR="00805E2A">
        <w:t xml:space="preserve">professionals </w:t>
      </w:r>
      <w:r w:rsidR="00C4229F">
        <w:t>did not</w:t>
      </w:r>
      <w:r w:rsidR="00805E2A">
        <w:t xml:space="preserve"> </w:t>
      </w:r>
      <w:r w:rsidR="00805E2A" w:rsidRPr="00F85861">
        <w:t xml:space="preserve">inform </w:t>
      </w:r>
      <w:r w:rsidR="00805E2A">
        <w:t xml:space="preserve">them </w:t>
      </w:r>
      <w:r w:rsidR="00805E2A" w:rsidRPr="00F85861">
        <w:t>about the availability of take-home naloxone.</w:t>
      </w:r>
      <w:r w:rsidR="00805E2A">
        <w:t xml:space="preserve"> For example, </w:t>
      </w:r>
      <w:r w:rsidR="00077C95">
        <w:t xml:space="preserve">Tony </w:t>
      </w:r>
      <w:r w:rsidR="008A0560">
        <w:t>(</w:t>
      </w:r>
      <w:r w:rsidR="004C5248">
        <w:t>male</w:t>
      </w:r>
      <w:r w:rsidR="006C4468">
        <w:t>, 44</w:t>
      </w:r>
      <w:r w:rsidR="00DA68FA">
        <w:t xml:space="preserve"> years old</w:t>
      </w:r>
      <w:r w:rsidR="006C4468">
        <w:t>, NSW</w:t>
      </w:r>
      <w:r w:rsidR="008A0560">
        <w:t xml:space="preserve">) </w:t>
      </w:r>
      <w:r w:rsidR="00077C95">
        <w:t>explains, ‘It’s not very widely pushed or advertised</w:t>
      </w:r>
      <w:r w:rsidR="008A0560">
        <w:t xml:space="preserve"> </w:t>
      </w:r>
      <w:r w:rsidR="00077C95">
        <w:t>I don’t think</w:t>
      </w:r>
      <w:r w:rsidR="007853B8">
        <w:t>,</w:t>
      </w:r>
      <w:r w:rsidR="00077C95">
        <w:t xml:space="preserve"> and the doctors </w:t>
      </w:r>
      <w:r w:rsidR="00516463">
        <w:t>n</w:t>
      </w:r>
      <w:r w:rsidR="00077C95">
        <w:t xml:space="preserve">ever mention it’. </w:t>
      </w:r>
      <w:r w:rsidR="002C358D">
        <w:t>Simone (</w:t>
      </w:r>
      <w:r w:rsidR="004C5248">
        <w:t>female</w:t>
      </w:r>
      <w:r w:rsidR="002C358D">
        <w:t>, 48</w:t>
      </w:r>
      <w:r w:rsidR="00DA68FA">
        <w:t xml:space="preserve"> years old</w:t>
      </w:r>
      <w:r w:rsidR="002C358D">
        <w:t xml:space="preserve">, Vic) </w:t>
      </w:r>
      <w:r w:rsidR="00C4229F">
        <w:rPr>
          <w:iCs/>
        </w:rPr>
        <w:t>makes a similar point:</w:t>
      </w:r>
    </w:p>
    <w:p w14:paraId="54436976" w14:textId="6E58F3B8" w:rsidR="008A0560" w:rsidRPr="00B0013B" w:rsidRDefault="00F860BF" w:rsidP="00CD6C43">
      <w:pPr>
        <w:spacing w:line="360" w:lineRule="auto"/>
      </w:pPr>
      <w:r>
        <w:rPr>
          <w:i/>
          <w:iCs/>
        </w:rPr>
        <w:t xml:space="preserve"> </w:t>
      </w:r>
    </w:p>
    <w:p w14:paraId="3931C8AE" w14:textId="5816FFC0" w:rsidR="008A0560" w:rsidRDefault="008A0560" w:rsidP="00CD6C43">
      <w:pPr>
        <w:pStyle w:val="ListParagraph"/>
        <w:spacing w:line="360" w:lineRule="auto"/>
      </w:pPr>
      <w:r w:rsidRPr="00F85861">
        <w:t>When you’re in the doctor</w:t>
      </w:r>
      <w:r w:rsidR="00176FB6">
        <w:t>’</w:t>
      </w:r>
      <w:r w:rsidRPr="00F85861">
        <w:t>s and getting your prescription […</w:t>
      </w:r>
      <w:r w:rsidR="005D5089">
        <w:t xml:space="preserve"> for opioid substitution treatment</w:t>
      </w:r>
      <w:r w:rsidRPr="00F85861">
        <w:t xml:space="preserve">] the doctor never asks you if you want a script for </w:t>
      </w:r>
      <w:r w:rsidR="001A6CFB">
        <w:t>n</w:t>
      </w:r>
      <w:r w:rsidRPr="00F85861">
        <w:t>aloxone</w:t>
      </w:r>
      <w:r w:rsidR="00176FB6">
        <w:t>,</w:t>
      </w:r>
      <w:r w:rsidRPr="00F85861">
        <w:t xml:space="preserve"> which they should</w:t>
      </w:r>
      <w:r w:rsidR="00176FB6">
        <w:t xml:space="preserve">, </w:t>
      </w:r>
      <w:r w:rsidRPr="00F85861">
        <w:t>or</w:t>
      </w:r>
      <w:r w:rsidR="00176FB6">
        <w:t xml:space="preserve"> [asks]</w:t>
      </w:r>
      <w:r w:rsidRPr="00F85861">
        <w:t xml:space="preserve"> </w:t>
      </w:r>
      <w:r w:rsidR="00E009A0">
        <w:t>‘</w:t>
      </w:r>
      <w:r w:rsidRPr="00F85861">
        <w:t>are you educated around it</w:t>
      </w:r>
      <w:r w:rsidR="00E009A0">
        <w:t>’</w:t>
      </w:r>
      <w:r w:rsidRPr="00F85861">
        <w:t xml:space="preserve"> or </w:t>
      </w:r>
      <w:r w:rsidR="00E009A0">
        <w:t>‘</w:t>
      </w:r>
      <w:r w:rsidRPr="00F85861">
        <w:t>would you like to be?</w:t>
      </w:r>
      <w:r w:rsidR="00E009A0">
        <w:t>’</w:t>
      </w:r>
      <w:r w:rsidRPr="00F85861">
        <w:t xml:space="preserve"> That’s never mentioned, which I think is wrong. </w:t>
      </w:r>
    </w:p>
    <w:p w14:paraId="39F1095F" w14:textId="77777777" w:rsidR="008A0560" w:rsidRDefault="008A0560" w:rsidP="00CD6C43">
      <w:pPr>
        <w:spacing w:line="360" w:lineRule="auto"/>
      </w:pPr>
    </w:p>
    <w:p w14:paraId="4EF9B3F4" w14:textId="511415D7" w:rsidR="00516015" w:rsidRDefault="002F0FD2" w:rsidP="00CD6C43">
      <w:pPr>
        <w:spacing w:line="360" w:lineRule="auto"/>
      </w:pPr>
      <w:r>
        <w:t xml:space="preserve">Similarly, </w:t>
      </w:r>
      <w:r w:rsidR="00E44C01">
        <w:t>Kate (</w:t>
      </w:r>
      <w:r w:rsidR="004C5248">
        <w:t>female</w:t>
      </w:r>
      <w:r w:rsidR="00E44C01">
        <w:t>,</w:t>
      </w:r>
      <w:r w:rsidR="00D303E1">
        <w:t xml:space="preserve"> </w:t>
      </w:r>
      <w:r w:rsidR="00E44C01">
        <w:t>34</w:t>
      </w:r>
      <w:r w:rsidR="00DA68FA">
        <w:t xml:space="preserve"> years old</w:t>
      </w:r>
      <w:r w:rsidR="00E44C01">
        <w:t xml:space="preserve">, NSW) </w:t>
      </w:r>
      <w:r w:rsidR="00CD3A97">
        <w:t>explain</w:t>
      </w:r>
      <w:r w:rsidR="00176FB6">
        <w:t>s</w:t>
      </w:r>
      <w:r w:rsidR="00CD3A97">
        <w:t xml:space="preserve"> that she</w:t>
      </w:r>
      <w:r w:rsidR="00E44C01">
        <w:t xml:space="preserve"> only recently heard about take-home naloxone through the residential </w:t>
      </w:r>
      <w:r w:rsidR="00567853">
        <w:t>rehabilitation</w:t>
      </w:r>
      <w:r w:rsidR="00E44C01">
        <w:t xml:space="preserve"> service that recruited</w:t>
      </w:r>
      <w:r w:rsidR="00B93E78">
        <w:t xml:space="preserve"> her</w:t>
      </w:r>
      <w:r w:rsidR="00E44C01">
        <w:t xml:space="preserve"> for </w:t>
      </w:r>
      <w:r w:rsidR="0002303B">
        <w:t xml:space="preserve">our </w:t>
      </w:r>
      <w:r w:rsidR="00E44C01">
        <w:t>study:</w:t>
      </w:r>
    </w:p>
    <w:p w14:paraId="5C797633" w14:textId="77777777" w:rsidR="00516015" w:rsidRPr="00F85861" w:rsidRDefault="00516015" w:rsidP="00CD6C43">
      <w:pPr>
        <w:spacing w:line="360" w:lineRule="auto"/>
      </w:pPr>
    </w:p>
    <w:p w14:paraId="3AB86535" w14:textId="23D00D98" w:rsidR="00516015" w:rsidRDefault="00516015" w:rsidP="00CD6C43">
      <w:pPr>
        <w:pStyle w:val="ListParagraph"/>
        <w:spacing w:line="360" w:lineRule="auto"/>
      </w:pPr>
      <w:r w:rsidRPr="00F85861">
        <w:t>No. I didn’t even know there were take-home packs until the girl in here told me […]</w:t>
      </w:r>
      <w:r w:rsidR="00176FB6">
        <w:t xml:space="preserve"> </w:t>
      </w:r>
      <w:r w:rsidR="00392DE4">
        <w:t>I</w:t>
      </w:r>
      <w:r w:rsidRPr="00F85861">
        <w:t>t was always hush hush with me, so you know, I didn’t know. Nothing was said at the [methadone] clinic</w:t>
      </w:r>
      <w:r w:rsidR="00C4229F">
        <w:t>,</w:t>
      </w:r>
      <w:r w:rsidRPr="00F85861">
        <w:t xml:space="preserve"> or anything about this.</w:t>
      </w:r>
    </w:p>
    <w:p w14:paraId="7645CCA3" w14:textId="0FB6E09F" w:rsidR="00516015" w:rsidRDefault="00516015" w:rsidP="00CD6C43">
      <w:pPr>
        <w:spacing w:line="360" w:lineRule="auto"/>
      </w:pPr>
    </w:p>
    <w:p w14:paraId="289357BE" w14:textId="411AAF86" w:rsidR="0051697E" w:rsidRDefault="00C97BA6" w:rsidP="00B75A72">
      <w:pPr>
        <w:spacing w:line="360" w:lineRule="auto"/>
      </w:pPr>
      <w:r>
        <w:t xml:space="preserve">Although Kate does not explicitly describe </w:t>
      </w:r>
      <w:r w:rsidR="002F0FD2">
        <w:t>feeling stigmatised</w:t>
      </w:r>
      <w:r>
        <w:t>, she refer</w:t>
      </w:r>
      <w:r w:rsidR="00B93E78">
        <w:t>s</w:t>
      </w:r>
      <w:r>
        <w:t xml:space="preserve"> to her previous experience</w:t>
      </w:r>
      <w:r w:rsidR="00B93E78">
        <w:t xml:space="preserve">s of treatment as ‘hush hush’. </w:t>
      </w:r>
      <w:r w:rsidR="00392DE4">
        <w:t>Potentially relevant, even life-saving, information was not provided</w:t>
      </w:r>
      <w:r w:rsidR="00BF0D97">
        <w:t xml:space="preserve">. </w:t>
      </w:r>
      <w:r w:rsidR="0051697E">
        <w:t>Our point here is not to suggest that healthcare practitioners intentionally withhold information, although this is of course possible (see Green et al., 2013)</w:t>
      </w:r>
      <w:r w:rsidR="005B403C">
        <w:t>. S</w:t>
      </w:r>
      <w:r w:rsidR="0051697E">
        <w:t>ome may not be adequately informed about take-home naloxone (Chun et al., 2019; Matheson et al., 2014).</w:t>
      </w:r>
      <w:r w:rsidR="00CC2B37">
        <w:t xml:space="preserve"> </w:t>
      </w:r>
      <w:r w:rsidR="00F51AAA">
        <w:t xml:space="preserve">While we do not have access to the thoughts and processes of the practitioners involved, </w:t>
      </w:r>
      <w:r w:rsidR="00CC2B37">
        <w:t xml:space="preserve">these accounts of absence and oversight are </w:t>
      </w:r>
      <w:r w:rsidR="00F51AAA">
        <w:t>striking,</w:t>
      </w:r>
      <w:r w:rsidR="00CC2B37">
        <w:t xml:space="preserve"> </w:t>
      </w:r>
      <w:r w:rsidR="0051697E">
        <w:t>particularly when considered alongside comments made by participants who had learned about take-home naloxone access and administration from peer-organisations and peer-run media</w:t>
      </w:r>
      <w:r w:rsidR="00C31A0D">
        <w:t xml:space="preserve"> </w:t>
      </w:r>
      <w:r w:rsidR="00CB6684">
        <w:t>(Dwyer et al., 2018)</w:t>
      </w:r>
      <w:r w:rsidR="0051697E">
        <w:t xml:space="preserve">. </w:t>
      </w:r>
      <w:r w:rsidR="002F59FC">
        <w:t xml:space="preserve">By way of contrast, </w:t>
      </w:r>
      <w:r w:rsidR="005B403C">
        <w:t>the provision of information about</w:t>
      </w:r>
      <w:r w:rsidR="002F59FC">
        <w:t xml:space="preserve"> take-home naloxone in harm</w:t>
      </w:r>
      <w:r w:rsidR="005B403C">
        <w:t xml:space="preserve"> </w:t>
      </w:r>
      <w:r w:rsidR="002F59FC">
        <w:t xml:space="preserve">reduction and peer-run organisations tended to be </w:t>
      </w:r>
      <w:r w:rsidR="005B403C">
        <w:t>routine and widespread</w:t>
      </w:r>
      <w:r w:rsidR="002F59FC">
        <w:t xml:space="preserve">. </w:t>
      </w:r>
      <w:r w:rsidR="0051697E">
        <w:t>Bobbi (</w:t>
      </w:r>
      <w:r w:rsidR="004A44F1">
        <w:t>female</w:t>
      </w:r>
      <w:r w:rsidR="0051697E">
        <w:t>, 35</w:t>
      </w:r>
      <w:r w:rsidR="00DA68FA">
        <w:t xml:space="preserve"> years old</w:t>
      </w:r>
      <w:r w:rsidR="0051697E">
        <w:t xml:space="preserve">, NSW) and </w:t>
      </w:r>
      <w:r w:rsidR="0051697E">
        <w:lastRenderedPageBreak/>
        <w:t>Valentina (</w:t>
      </w:r>
      <w:r w:rsidR="004A44F1">
        <w:t>female</w:t>
      </w:r>
      <w:r w:rsidR="0051697E">
        <w:t>, 42</w:t>
      </w:r>
      <w:r w:rsidR="00DA68FA">
        <w:t xml:space="preserve"> years old</w:t>
      </w:r>
      <w:r w:rsidR="0051697E">
        <w:t xml:space="preserve">, NSW), for example, spoke about learning about take-home naloxone in the User’s News (a targeted harm reduction publication by the NSW Users and AIDS Association [NUAA]). </w:t>
      </w:r>
      <w:r w:rsidR="00D847C3">
        <w:t xml:space="preserve">Many </w:t>
      </w:r>
      <w:r w:rsidR="00992FAD">
        <w:t xml:space="preserve">other </w:t>
      </w:r>
      <w:r w:rsidR="0051697E">
        <w:t>participants described learning about take-home naloxone through peer-run overdose education programs, N</w:t>
      </w:r>
      <w:r w:rsidR="00D6158E">
        <w:t xml:space="preserve">eedle and </w:t>
      </w:r>
      <w:r w:rsidR="0051697E">
        <w:t>S</w:t>
      </w:r>
      <w:r w:rsidR="00D6158E">
        <w:t xml:space="preserve">yringe </w:t>
      </w:r>
      <w:r w:rsidR="0051697E">
        <w:t>P</w:t>
      </w:r>
      <w:r w:rsidR="00D6158E">
        <w:t>rograms (NSP</w:t>
      </w:r>
      <w:r w:rsidR="0051697E">
        <w:t>s</w:t>
      </w:r>
      <w:r w:rsidR="00D6158E">
        <w:t>)</w:t>
      </w:r>
      <w:r w:rsidR="0051697E">
        <w:t xml:space="preserve"> and other harm-reduction services.</w:t>
      </w:r>
      <w:r w:rsidR="002F59FC">
        <w:t xml:space="preserve"> A</w:t>
      </w:r>
      <w:bookmarkStart w:id="9" w:name="_Hlk26525722"/>
      <w:r w:rsidR="002F59FC">
        <w:t>s sociological research on other</w:t>
      </w:r>
      <w:r w:rsidR="00E200A0">
        <w:t xml:space="preserve"> epidemics and</w:t>
      </w:r>
      <w:r w:rsidR="002F59FC">
        <w:t xml:space="preserve"> public health interventions suggest (</w:t>
      </w:r>
      <w:bookmarkStart w:id="10" w:name="_Hlk26527342"/>
      <w:r w:rsidR="00E200A0">
        <w:t>Epstein, 1998; Pienaar, 2016; Rosengarten, 2009</w:t>
      </w:r>
      <w:bookmarkEnd w:id="10"/>
      <w:r w:rsidR="002F59FC">
        <w:t xml:space="preserve">), capacity </w:t>
      </w:r>
      <w:r w:rsidR="005B403C">
        <w:t xml:space="preserve">limitations </w:t>
      </w:r>
      <w:r w:rsidR="002F59FC">
        <w:t xml:space="preserve">and/or inertia in addressing public health problems are not neutral or apolitical states. </w:t>
      </w:r>
      <w:r w:rsidR="00992FAD">
        <w:t>Public health i</w:t>
      </w:r>
      <w:r w:rsidR="00D847C3">
        <w:t>nterventions and their uptake</w:t>
      </w:r>
      <w:r w:rsidR="00E200A0">
        <w:t xml:space="preserve"> are shaped by politics, practices of resourcing, </w:t>
      </w:r>
      <w:r w:rsidR="00D847C3">
        <w:t xml:space="preserve">and assumptions about </w:t>
      </w:r>
      <w:r w:rsidR="00E200A0">
        <w:t xml:space="preserve">race and gender, all of which </w:t>
      </w:r>
      <w:r w:rsidR="005B403C">
        <w:t xml:space="preserve">act to </w:t>
      </w:r>
      <w:r w:rsidR="00D847C3">
        <w:t>constitut</w:t>
      </w:r>
      <w:r w:rsidR="005B403C">
        <w:t xml:space="preserve">e </w:t>
      </w:r>
      <w:r w:rsidR="00D847C3">
        <w:t xml:space="preserve">responsibility, urgency and importance. </w:t>
      </w:r>
      <w:r w:rsidR="005B403C">
        <w:t xml:space="preserve">Readable from </w:t>
      </w:r>
      <w:r w:rsidR="002F59FC">
        <w:t xml:space="preserve">these examples is </w:t>
      </w:r>
      <w:r w:rsidR="005B403C">
        <w:t>the way in which</w:t>
      </w:r>
      <w:r w:rsidR="002F59FC">
        <w:t xml:space="preserve"> operations of opioid and addiction stigma </w:t>
      </w:r>
      <w:r w:rsidR="00992FAD">
        <w:t xml:space="preserve">implicitly </w:t>
      </w:r>
      <w:r w:rsidR="002F59FC">
        <w:t>impede information transfer (</w:t>
      </w:r>
      <w:bookmarkStart w:id="11" w:name="_Hlk26528562"/>
      <w:r w:rsidR="002F59FC">
        <w:t>Bounthavong et al. 2019; Olsen et al., 2019; Paquette et al., 2018</w:t>
      </w:r>
      <w:bookmarkEnd w:id="11"/>
      <w:r w:rsidR="002F59FC">
        <w:t xml:space="preserve">). </w:t>
      </w:r>
      <w:r w:rsidR="00D847C3">
        <w:t xml:space="preserve">As we go on to discuss in more detail, </w:t>
      </w:r>
      <w:r w:rsidR="002F59FC">
        <w:t xml:space="preserve">education about take-home naloxone </w:t>
      </w:r>
      <w:r w:rsidR="00CC2B37">
        <w:t>is treated</w:t>
      </w:r>
      <w:r w:rsidR="005B403C">
        <w:t xml:space="preserve"> in primary health settings</w:t>
      </w:r>
      <w:r w:rsidR="002F59FC">
        <w:t xml:space="preserve"> as ancillary to core business</w:t>
      </w:r>
      <w:r w:rsidR="00CC2B37">
        <w:t xml:space="preserve">. This </w:t>
      </w:r>
      <w:r w:rsidR="002F59FC">
        <w:t>resul</w:t>
      </w:r>
      <w:r w:rsidR="00CC2B37">
        <w:t>ts</w:t>
      </w:r>
      <w:r w:rsidR="002F59FC">
        <w:t xml:space="preserve"> in the concentration of responsibility for overdose prevention among peers and within peer-run organisations</w:t>
      </w:r>
      <w:r w:rsidR="004B2304">
        <w:t>,</w:t>
      </w:r>
      <w:r w:rsidR="00D847C3">
        <w:t xml:space="preserve"> obscuring </w:t>
      </w:r>
      <w:r w:rsidR="005B403C">
        <w:t>the broader contexts (such as the legal context) that facilitate rather than help prevent overdose</w:t>
      </w:r>
      <w:r w:rsidR="00D847C3">
        <w:t xml:space="preserve">. </w:t>
      </w:r>
      <w:bookmarkEnd w:id="9"/>
    </w:p>
    <w:p w14:paraId="45657C7D" w14:textId="77777777" w:rsidR="00B75A72" w:rsidRDefault="00B75A72" w:rsidP="00C01FB7">
      <w:pPr>
        <w:spacing w:line="360" w:lineRule="auto"/>
      </w:pPr>
    </w:p>
    <w:p w14:paraId="34BD3F1F" w14:textId="48BCF4E9" w:rsidR="000E1375" w:rsidRDefault="00334FAE" w:rsidP="00CD6C43">
      <w:pPr>
        <w:spacing w:line="360" w:lineRule="auto"/>
      </w:pPr>
      <w:r>
        <w:t>Unlike the</w:t>
      </w:r>
      <w:r w:rsidR="00A56219">
        <w:t xml:space="preserve"> </w:t>
      </w:r>
      <w:r w:rsidR="00CD3A97">
        <w:t xml:space="preserve">subtle </w:t>
      </w:r>
      <w:r w:rsidR="00A56219">
        <w:t>rendering</w:t>
      </w:r>
      <w:r w:rsidR="004578AB">
        <w:t>s</w:t>
      </w:r>
      <w:r w:rsidR="00A56219">
        <w:t xml:space="preserve"> of </w:t>
      </w:r>
      <w:r w:rsidR="00AE14EA">
        <w:t xml:space="preserve">absence </w:t>
      </w:r>
      <w:r w:rsidR="00A56219">
        <w:t xml:space="preserve">described </w:t>
      </w:r>
      <w:r>
        <w:t>above, some</w:t>
      </w:r>
      <w:r w:rsidR="00DA6C1E">
        <w:t xml:space="preserve"> participants suggested that they were not offered information about take-home naloxone because they were not </w:t>
      </w:r>
      <w:r w:rsidR="00BF0D97">
        <w:t xml:space="preserve">seen </w:t>
      </w:r>
      <w:r w:rsidR="000E1375">
        <w:t xml:space="preserve">as </w:t>
      </w:r>
      <w:r w:rsidR="00575338">
        <w:t>consumers</w:t>
      </w:r>
      <w:r w:rsidR="0020697F">
        <w:t xml:space="preserve"> of illicit drugs</w:t>
      </w:r>
      <w:r w:rsidR="00FA74EA">
        <w:t>.</w:t>
      </w:r>
      <w:r w:rsidR="00EA3B2D">
        <w:t xml:space="preserve"> </w:t>
      </w:r>
      <w:r w:rsidR="000E1375">
        <w:t xml:space="preserve">For example, </w:t>
      </w:r>
      <w:r w:rsidR="00516015" w:rsidRPr="00F85861">
        <w:t>Cameron</w:t>
      </w:r>
      <w:r>
        <w:t xml:space="preserve"> (</w:t>
      </w:r>
      <w:r w:rsidR="004A44F1">
        <w:t>male</w:t>
      </w:r>
      <w:r w:rsidR="00567853" w:rsidRPr="00F85861">
        <w:t>, 47</w:t>
      </w:r>
      <w:r w:rsidR="00DA68FA">
        <w:t xml:space="preserve"> years old</w:t>
      </w:r>
      <w:r w:rsidR="00567853" w:rsidRPr="00F85861">
        <w:t>, NSW</w:t>
      </w:r>
      <w:r w:rsidR="009C2C7B">
        <w:t>)</w:t>
      </w:r>
      <w:r w:rsidR="00F83DB5">
        <w:t xml:space="preserve"> consume</w:t>
      </w:r>
      <w:r w:rsidR="00731067">
        <w:t>s</w:t>
      </w:r>
      <w:r w:rsidR="004D1943">
        <w:t xml:space="preserve"> prescribed</w:t>
      </w:r>
      <w:r w:rsidR="00F83DB5">
        <w:t xml:space="preserve"> opioids for chronic pain</w:t>
      </w:r>
      <w:r w:rsidR="00BF0D97">
        <w:t>. In his interview he explains that he has never been offered take-home naloxone when filling his opioid prescription at a pharmacy</w:t>
      </w:r>
      <w:r w:rsidR="00A40D35">
        <w:t xml:space="preserve">. </w:t>
      </w:r>
      <w:r w:rsidR="00567853">
        <w:t xml:space="preserve">He </w:t>
      </w:r>
      <w:r w:rsidR="00BF0D97">
        <w:t>speculates that</w:t>
      </w:r>
      <w:r w:rsidR="00567853">
        <w:t xml:space="preserve"> this</w:t>
      </w:r>
      <w:r w:rsidR="00BF0D97">
        <w:t xml:space="preserve"> may be </w:t>
      </w:r>
      <w:r w:rsidR="00A56219">
        <w:t xml:space="preserve">because he </w:t>
      </w:r>
      <w:r w:rsidR="00BF0D97">
        <w:t xml:space="preserve">does </w:t>
      </w:r>
      <w:r w:rsidR="00A56219">
        <w:t>not ‘look’</w:t>
      </w:r>
      <w:r>
        <w:t xml:space="preserve"> like someone </w:t>
      </w:r>
      <w:r w:rsidR="002D72F7">
        <w:t xml:space="preserve">(a consumer of illicit drugs) </w:t>
      </w:r>
      <w:r>
        <w:t>who needs take-home naloxone</w:t>
      </w:r>
      <w:r w:rsidR="000E1375">
        <w:t>:</w:t>
      </w:r>
    </w:p>
    <w:p w14:paraId="73B5DE83" w14:textId="77777777" w:rsidR="00334FAE" w:rsidRDefault="00334FAE" w:rsidP="00CD6C43">
      <w:pPr>
        <w:spacing w:line="360" w:lineRule="auto"/>
      </w:pPr>
    </w:p>
    <w:p w14:paraId="2404806B" w14:textId="14072234" w:rsidR="00516015" w:rsidRDefault="00516015" w:rsidP="00CD6C43">
      <w:pPr>
        <w:spacing w:line="360" w:lineRule="auto"/>
        <w:ind w:left="720"/>
      </w:pPr>
      <w:r w:rsidRPr="00F85861">
        <w:t>I’m not sure whether it’s something that none of them [pharmacists] would’ve thought to mention</w:t>
      </w:r>
      <w:r w:rsidR="00BF0D97">
        <w:t>,</w:t>
      </w:r>
      <w:r w:rsidRPr="00F85861">
        <w:t xml:space="preserve"> or whether it was just a case of, </w:t>
      </w:r>
      <w:r w:rsidR="00F83DB5">
        <w:t>‘</w:t>
      </w:r>
      <w:r w:rsidRPr="00F85861">
        <w:t xml:space="preserve">He doesn’t look like someone who’s going to need to </w:t>
      </w:r>
      <w:r w:rsidR="00567853">
        <w:t>know this, so I won’t say it.</w:t>
      </w:r>
      <w:r w:rsidR="00F83DB5">
        <w:t>’</w:t>
      </w:r>
      <w:r w:rsidR="00567853">
        <w:t xml:space="preserve"> </w:t>
      </w:r>
    </w:p>
    <w:p w14:paraId="5BBF42B7" w14:textId="77777777" w:rsidR="00516015" w:rsidRPr="00F85861" w:rsidRDefault="00516015" w:rsidP="00CD6C43">
      <w:pPr>
        <w:pStyle w:val="ListParagraph"/>
        <w:spacing w:line="360" w:lineRule="auto"/>
      </w:pPr>
    </w:p>
    <w:p w14:paraId="69D94B7F" w14:textId="4D10A70D" w:rsidR="00DC35D4" w:rsidRPr="00F14E85" w:rsidRDefault="009C2C7B" w:rsidP="002C14F5">
      <w:pPr>
        <w:spacing w:line="360" w:lineRule="auto"/>
      </w:pPr>
      <w:r>
        <w:t>W</w:t>
      </w:r>
      <w:r w:rsidR="00147364">
        <w:t>orth</w:t>
      </w:r>
      <w:r w:rsidR="007853B8">
        <w:t xml:space="preserve"> noting here</w:t>
      </w:r>
      <w:r w:rsidR="00147364">
        <w:t xml:space="preserve"> </w:t>
      </w:r>
      <w:r>
        <w:t xml:space="preserve">is </w:t>
      </w:r>
      <w:r w:rsidR="00147364">
        <w:t>that</w:t>
      </w:r>
      <w:r>
        <w:t xml:space="preserve"> </w:t>
      </w:r>
      <w:r w:rsidR="00147364">
        <w:t xml:space="preserve">pharmacists </w:t>
      </w:r>
      <w:r>
        <w:t xml:space="preserve">currently </w:t>
      </w:r>
      <w:r w:rsidR="00147364">
        <w:t>receive little training or guidance about when and how to dispense take-home naloxone.</w:t>
      </w:r>
      <w:r w:rsidR="00614A68">
        <w:t xml:space="preserve"> </w:t>
      </w:r>
      <w:r w:rsidR="005B403C">
        <w:t>Indeed, in some research, h</w:t>
      </w:r>
      <w:r w:rsidR="00614A68">
        <w:t xml:space="preserve">ealth professionals report being concerned about offering take-home naloxone </w:t>
      </w:r>
      <w:r w:rsidR="00103B7E">
        <w:t>in case</w:t>
      </w:r>
      <w:r w:rsidR="005B403C">
        <w:t xml:space="preserve"> doing so</w:t>
      </w:r>
      <w:r w:rsidR="00103B7E">
        <w:t xml:space="preserve"> causes offence (Binswanger et al., 2014)</w:t>
      </w:r>
      <w:r w:rsidR="00152DEC">
        <w:t>.</w:t>
      </w:r>
      <w:r w:rsidR="00147364">
        <w:t xml:space="preserve"> </w:t>
      </w:r>
      <w:r w:rsidR="00614A68">
        <w:t>In any case</w:t>
      </w:r>
      <w:r w:rsidR="00147364">
        <w:t xml:space="preserve">, </w:t>
      </w:r>
      <w:r w:rsidR="00C144EA">
        <w:t>if there exist</w:t>
      </w:r>
      <w:r w:rsidR="00147364">
        <w:t xml:space="preserve"> practical constraints t</w:t>
      </w:r>
      <w:r w:rsidR="00564CA5">
        <w:t>hat promote ‘intervention inertia’ (Strang</w:t>
      </w:r>
      <w:r w:rsidR="00640A23">
        <w:t xml:space="preserve"> et al.,</w:t>
      </w:r>
      <w:r w:rsidR="00564CA5">
        <w:t xml:space="preserve"> 2013)</w:t>
      </w:r>
      <w:r w:rsidR="00147364">
        <w:t xml:space="preserve">, </w:t>
      </w:r>
      <w:r w:rsidR="007853B8">
        <w:t>we need to ask why.</w:t>
      </w:r>
      <w:r w:rsidR="00C144EA">
        <w:t xml:space="preserve"> As we argued above,</w:t>
      </w:r>
      <w:r w:rsidR="007853B8">
        <w:t xml:space="preserve"> </w:t>
      </w:r>
      <w:r w:rsidR="00C144EA">
        <w:t>s</w:t>
      </w:r>
      <w:r w:rsidR="007853B8">
        <w:t xml:space="preserve">ilence about </w:t>
      </w:r>
      <w:r w:rsidR="007853B8">
        <w:lastRenderedPageBreak/>
        <w:t xml:space="preserve">risks and issues </w:t>
      </w:r>
      <w:r w:rsidR="00C144EA">
        <w:t>is not neutral</w:t>
      </w:r>
      <w:r w:rsidR="005B403C">
        <w:t>. It is not merely a gap, rather it is</w:t>
      </w:r>
      <w:r w:rsidR="00C144EA">
        <w:t xml:space="preserve"> </w:t>
      </w:r>
      <w:r w:rsidR="007853B8">
        <w:t xml:space="preserve">always to do with what </w:t>
      </w:r>
      <w:r w:rsidR="00C144EA">
        <w:t xml:space="preserve">(and </w:t>
      </w:r>
      <w:r w:rsidR="00C144EA" w:rsidRPr="0053715B">
        <w:rPr>
          <w:i/>
        </w:rPr>
        <w:t>who</w:t>
      </w:r>
      <w:r w:rsidR="00C144EA">
        <w:t xml:space="preserve">) </w:t>
      </w:r>
      <w:r w:rsidR="007853B8">
        <w:t>counts as important</w:t>
      </w:r>
      <w:r w:rsidR="00C144EA">
        <w:t xml:space="preserve"> in particular </w:t>
      </w:r>
      <w:r w:rsidR="00931039">
        <w:t xml:space="preserve">social </w:t>
      </w:r>
      <w:r w:rsidR="00C144EA">
        <w:t>institutions and settings</w:t>
      </w:r>
      <w:r w:rsidR="00564CA5">
        <w:t>.</w:t>
      </w:r>
      <w:r w:rsidR="002C14F5" w:rsidRPr="00B93EA0">
        <w:t xml:space="preserve"> </w:t>
      </w:r>
      <w:bookmarkStart w:id="12" w:name="_Hlk26196872"/>
      <w:r w:rsidR="00B25946">
        <w:t xml:space="preserve">Such </w:t>
      </w:r>
      <w:r w:rsidR="002C14F5" w:rsidRPr="00B93EA0">
        <w:t xml:space="preserve">assumptions </w:t>
      </w:r>
      <w:r w:rsidR="00614A68">
        <w:t xml:space="preserve">about the </w:t>
      </w:r>
      <w:r w:rsidR="00FE54D8">
        <w:t xml:space="preserve">legitimate subjects of take-home naloxone </w:t>
      </w:r>
      <w:r w:rsidR="002C14F5" w:rsidRPr="00B93EA0">
        <w:t>are worth exploring</w:t>
      </w:r>
      <w:r w:rsidR="00152DEC">
        <w:t xml:space="preserve"> because </w:t>
      </w:r>
      <w:r w:rsidR="005B403C">
        <w:t>they</w:t>
      </w:r>
      <w:r w:rsidR="00152DEC">
        <w:t xml:space="preserve"> have implications for how </w:t>
      </w:r>
      <w:r w:rsidR="00DC35D4">
        <w:t xml:space="preserve">broader </w:t>
      </w:r>
      <w:r w:rsidR="00152DEC">
        <w:t>responsibility for overdose prevention is conceived</w:t>
      </w:r>
      <w:r w:rsidR="00FE54D8">
        <w:t>.</w:t>
      </w:r>
      <w:r w:rsidR="002C14F5" w:rsidRPr="00B93EA0">
        <w:t xml:space="preserve"> </w:t>
      </w:r>
    </w:p>
    <w:bookmarkEnd w:id="12"/>
    <w:p w14:paraId="539FC275" w14:textId="77777777" w:rsidR="00706480" w:rsidRDefault="00706480" w:rsidP="00CD6C43">
      <w:pPr>
        <w:spacing w:line="360" w:lineRule="auto"/>
      </w:pPr>
    </w:p>
    <w:p w14:paraId="0B4A8E93" w14:textId="6352931E" w:rsidR="00596A88" w:rsidRDefault="00F83DB5" w:rsidP="00596A88">
      <w:pPr>
        <w:spacing w:line="360" w:lineRule="auto"/>
      </w:pPr>
      <w:r>
        <w:t>Other</w:t>
      </w:r>
      <w:r w:rsidR="00567853">
        <w:t xml:space="preserve"> participants </w:t>
      </w:r>
      <w:r w:rsidR="00664E4D">
        <w:t xml:space="preserve">were </w:t>
      </w:r>
      <w:r w:rsidR="00D54F06">
        <w:t xml:space="preserve">reluctant </w:t>
      </w:r>
      <w:r w:rsidR="00664E4D">
        <w:t>to</w:t>
      </w:r>
      <w:r w:rsidR="00664E4D" w:rsidRPr="00F14E85">
        <w:rPr>
          <w:i/>
        </w:rPr>
        <w:t xml:space="preserve"> a</w:t>
      </w:r>
      <w:r w:rsidR="00D641A1" w:rsidRPr="00F14E85">
        <w:rPr>
          <w:i/>
        </w:rPr>
        <w:t>sk</w:t>
      </w:r>
      <w:r w:rsidR="00706480">
        <w:t xml:space="preserve"> for information</w:t>
      </w:r>
      <w:r w:rsidR="00664E4D">
        <w:t xml:space="preserve"> about take-home naloxone</w:t>
      </w:r>
      <w:r w:rsidR="00706480">
        <w:t xml:space="preserve"> for fear of </w:t>
      </w:r>
      <w:r w:rsidR="00664E4D">
        <w:t>discriminat</w:t>
      </w:r>
      <w:r>
        <w:t>ion</w:t>
      </w:r>
      <w:r w:rsidR="00B41CEC">
        <w:t xml:space="preserve">, especially from </w:t>
      </w:r>
      <w:r w:rsidR="005B403C">
        <w:t>general practitioners</w:t>
      </w:r>
      <w:r w:rsidR="00706480">
        <w:t xml:space="preserve">. </w:t>
      </w:r>
      <w:r w:rsidR="00596A88">
        <w:t>When Farez (</w:t>
      </w:r>
      <w:r w:rsidR="004A44F1">
        <w:t>male</w:t>
      </w:r>
      <w:r w:rsidR="00596A88">
        <w:t>,</w:t>
      </w:r>
      <w:r w:rsidR="00D303E1">
        <w:t xml:space="preserve"> </w:t>
      </w:r>
      <w:r w:rsidR="00596A88">
        <w:t>43</w:t>
      </w:r>
      <w:r w:rsidR="00DA68FA">
        <w:t xml:space="preserve"> years old</w:t>
      </w:r>
      <w:r w:rsidR="00596A88">
        <w:t>, NSW), who was taking prescribed opioids, was asked whether he had ever spoken to his GP about take-home naloxone, he replied:</w:t>
      </w:r>
    </w:p>
    <w:p w14:paraId="464C61E3" w14:textId="77777777" w:rsidR="00596A88" w:rsidRDefault="00596A88" w:rsidP="00596A88">
      <w:pPr>
        <w:spacing w:line="360" w:lineRule="auto"/>
      </w:pPr>
    </w:p>
    <w:p w14:paraId="7B541C0D" w14:textId="71E2E08E" w:rsidR="00596A88" w:rsidRDefault="00596A88" w:rsidP="00596A88">
      <w:pPr>
        <w:spacing w:line="360" w:lineRule="auto"/>
        <w:ind w:left="720"/>
      </w:pPr>
      <w:r>
        <w:t xml:space="preserve">No. No. No. The reason why I don’t do that is that will get the doctor thinking that I’m using illegal drugs. [Take-home naloxone has] got nothing to do with normal medication. The first thing they’d be thinking is, </w:t>
      </w:r>
      <w:r w:rsidR="00CB6684">
        <w:t>‘W</w:t>
      </w:r>
      <w:r>
        <w:t>hy are you asking about this? This is a drug we give to people that have overdosed</w:t>
      </w:r>
      <w:r w:rsidR="00CB6684">
        <w:t>’</w:t>
      </w:r>
      <w:r>
        <w:t>. T</w:t>
      </w:r>
      <w:r w:rsidRPr="00567853">
        <w:t>his is just why I would never bring it up</w:t>
      </w:r>
      <w:r>
        <w:t>.</w:t>
      </w:r>
    </w:p>
    <w:p w14:paraId="64C50FB6" w14:textId="77777777" w:rsidR="00596A88" w:rsidRDefault="00596A88" w:rsidP="00596A88">
      <w:pPr>
        <w:spacing w:line="360" w:lineRule="auto"/>
        <w:ind w:left="720"/>
      </w:pPr>
    </w:p>
    <w:p w14:paraId="47161C3B" w14:textId="3EBEDB1B" w:rsidR="00706480" w:rsidRDefault="00596A88" w:rsidP="00596A88">
      <w:pPr>
        <w:spacing w:line="360" w:lineRule="auto"/>
      </w:pPr>
      <w:r>
        <w:t xml:space="preserve">In this example, Farez speculates that he might be demoted to the status of illicit drug user if he asks about naloxone. </w:t>
      </w:r>
      <w:r w:rsidR="00C401C0">
        <w:t xml:space="preserve">Likewise, </w:t>
      </w:r>
      <w:r w:rsidR="00664E4D">
        <w:t>Karen (</w:t>
      </w:r>
      <w:r w:rsidR="004A44F1">
        <w:t>female</w:t>
      </w:r>
      <w:r w:rsidR="00664E4D">
        <w:t>, 34</w:t>
      </w:r>
      <w:r w:rsidR="00DA68FA">
        <w:t xml:space="preserve"> years old</w:t>
      </w:r>
      <w:r w:rsidR="00664E4D">
        <w:t>, Vic),</w:t>
      </w:r>
      <w:r w:rsidR="00F14E85">
        <w:t xml:space="preserve"> who</w:t>
      </w:r>
      <w:r w:rsidR="00664E4D">
        <w:t xml:space="preserve"> </w:t>
      </w:r>
      <w:r w:rsidR="00E4346E">
        <w:t>consumes</w:t>
      </w:r>
      <w:r w:rsidR="00706480" w:rsidRPr="00F85861">
        <w:t xml:space="preserve"> heroin</w:t>
      </w:r>
      <w:r w:rsidR="00664E4D">
        <w:t xml:space="preserve"> regularly</w:t>
      </w:r>
      <w:r w:rsidR="00F14E85">
        <w:t>, explained</w:t>
      </w:r>
      <w:r w:rsidR="005C5961">
        <w:t xml:space="preserve"> </w:t>
      </w:r>
      <w:r w:rsidR="00F14E85">
        <w:t>i</w:t>
      </w:r>
      <w:r w:rsidR="005C5961">
        <w:t xml:space="preserve">n her interview </w:t>
      </w:r>
      <w:r w:rsidR="00D54F06">
        <w:t xml:space="preserve">why </w:t>
      </w:r>
      <w:r w:rsidR="005C5961">
        <w:t>she</w:t>
      </w:r>
      <w:r w:rsidR="00706480" w:rsidRPr="00F85861">
        <w:t xml:space="preserve"> </w:t>
      </w:r>
      <w:r w:rsidR="00E4346E" w:rsidRPr="00F85861">
        <w:t>d</w:t>
      </w:r>
      <w:r w:rsidR="00E4346E">
        <w:t>oes</w:t>
      </w:r>
      <w:r w:rsidR="00E4346E" w:rsidRPr="00F85861">
        <w:t xml:space="preserve"> </w:t>
      </w:r>
      <w:r w:rsidR="00706480" w:rsidRPr="00F85861">
        <w:t xml:space="preserve">not </w:t>
      </w:r>
      <w:r w:rsidR="00664E4D">
        <w:t>discuss take-home naloxone with her</w:t>
      </w:r>
      <w:r w:rsidR="00706480" w:rsidRPr="00F85861">
        <w:t xml:space="preserve"> GP:</w:t>
      </w:r>
    </w:p>
    <w:p w14:paraId="3645EB0F" w14:textId="77777777" w:rsidR="00706480" w:rsidRPr="00F85861" w:rsidRDefault="00706480" w:rsidP="00CD6C43">
      <w:pPr>
        <w:spacing w:line="360" w:lineRule="auto"/>
      </w:pPr>
    </w:p>
    <w:p w14:paraId="3357804F" w14:textId="5573155B" w:rsidR="00706480" w:rsidRDefault="00706480" w:rsidP="00CD6C43">
      <w:pPr>
        <w:pStyle w:val="ListParagraph"/>
        <w:spacing w:line="360" w:lineRule="auto"/>
      </w:pPr>
      <w:r w:rsidRPr="00F85861">
        <w:t>I haven’t gone to my normal GP and spoken to him about it because the judgmental side comes up all the time</w:t>
      </w:r>
      <w:r w:rsidR="005C5961">
        <w:t>. A</w:t>
      </w:r>
      <w:r w:rsidRPr="00F85861">
        <w:t xml:space="preserve">nd you think, </w:t>
      </w:r>
      <w:r w:rsidR="00CB6684">
        <w:t>o</w:t>
      </w:r>
      <w:r w:rsidRPr="00F85861">
        <w:t>kay, I’m going to get judged because I’m carrying this around, which means people might think I’m a druggie</w:t>
      </w:r>
      <w:r w:rsidR="00F83DB5">
        <w:t>.</w:t>
      </w:r>
      <w:r w:rsidRPr="00F85861">
        <w:t xml:space="preserve"> </w:t>
      </w:r>
    </w:p>
    <w:p w14:paraId="3EE212B8" w14:textId="77777777" w:rsidR="00706480" w:rsidRPr="00F85861" w:rsidRDefault="00706480" w:rsidP="00CD6C43">
      <w:pPr>
        <w:pStyle w:val="ListParagraph"/>
        <w:spacing w:line="360" w:lineRule="auto"/>
      </w:pPr>
    </w:p>
    <w:p w14:paraId="4FC905E9" w14:textId="48FAB954" w:rsidR="00D54F06" w:rsidRDefault="00E4346E" w:rsidP="00CD6C43">
      <w:pPr>
        <w:spacing w:line="360" w:lineRule="auto"/>
      </w:pPr>
      <w:r>
        <w:t>Here Karen describes two different concerns relating to stigma</w:t>
      </w:r>
      <w:r w:rsidR="002D72F7">
        <w:t>:</w:t>
      </w:r>
      <w:r>
        <w:t xml:space="preserve"> she does</w:t>
      </w:r>
      <w:r w:rsidR="00334FAE">
        <w:t xml:space="preserve"> not want to expose </w:t>
      </w:r>
      <w:r w:rsidR="00E9695A">
        <w:t xml:space="preserve">herself to judgement from her </w:t>
      </w:r>
      <w:r w:rsidR="00F83DB5">
        <w:t>GP</w:t>
      </w:r>
      <w:r w:rsidR="002D72F7">
        <w:t>, and</w:t>
      </w:r>
      <w:r w:rsidR="00706480" w:rsidRPr="00F85861">
        <w:t xml:space="preserve"> </w:t>
      </w:r>
      <w:r w:rsidR="002D72F7">
        <w:t>she</w:t>
      </w:r>
      <w:r w:rsidR="00706480" w:rsidRPr="00F85861">
        <w:t xml:space="preserve"> fear</w:t>
      </w:r>
      <w:r w:rsidR="002D72F7">
        <w:t>s</w:t>
      </w:r>
      <w:r w:rsidR="00706480" w:rsidRPr="00F85861">
        <w:t xml:space="preserve"> carrying </w:t>
      </w:r>
      <w:r w:rsidR="00E9695A">
        <w:t>take-home naloxone</w:t>
      </w:r>
      <w:r w:rsidR="00706480" w:rsidRPr="00F85861">
        <w:t xml:space="preserve"> because </w:t>
      </w:r>
      <w:r w:rsidR="00334FAE">
        <w:t>she</w:t>
      </w:r>
      <w:r w:rsidR="00706480" w:rsidRPr="00F85861">
        <w:t xml:space="preserve"> might </w:t>
      </w:r>
      <w:r w:rsidR="00334FAE">
        <w:t>be targeted</w:t>
      </w:r>
      <w:r w:rsidR="00064BF1">
        <w:t xml:space="preserve"> by </w:t>
      </w:r>
      <w:r w:rsidR="00C401C0">
        <w:t>members of the</w:t>
      </w:r>
      <w:r w:rsidR="00064BF1">
        <w:t xml:space="preserve"> public</w:t>
      </w:r>
      <w:r>
        <w:t>. W</w:t>
      </w:r>
      <w:r w:rsidR="00207F77">
        <w:t xml:space="preserve">e return to </w:t>
      </w:r>
      <w:r>
        <w:t>th</w:t>
      </w:r>
      <w:r w:rsidR="009E555B">
        <w:t>e second</w:t>
      </w:r>
      <w:r>
        <w:t xml:space="preserve"> point </w:t>
      </w:r>
      <w:r w:rsidR="00207F77">
        <w:t>in the next section</w:t>
      </w:r>
      <w:r w:rsidR="00706480">
        <w:t xml:space="preserve">. </w:t>
      </w:r>
      <w:bookmarkStart w:id="13" w:name="_Hlk27061733"/>
      <w:r w:rsidR="00E50BBC">
        <w:t xml:space="preserve">For </w:t>
      </w:r>
      <w:r w:rsidR="00614A68">
        <w:t>now,</w:t>
      </w:r>
      <w:r w:rsidR="00E50BBC">
        <w:t xml:space="preserve"> </w:t>
      </w:r>
      <w:r w:rsidR="005505B7">
        <w:t>we wish to highlight</w:t>
      </w:r>
      <w:r w:rsidR="00E50BBC">
        <w:t xml:space="preserve"> </w:t>
      </w:r>
      <w:r w:rsidR="005505B7">
        <w:t>the performative association</w:t>
      </w:r>
      <w:r w:rsidR="00C401C0">
        <w:t xml:space="preserve"> that exists</w:t>
      </w:r>
      <w:r w:rsidR="005505B7">
        <w:t xml:space="preserve"> </w:t>
      </w:r>
      <w:r w:rsidR="00C401C0">
        <w:t xml:space="preserve">between </w:t>
      </w:r>
      <w:r w:rsidR="00E50BBC">
        <w:t>take-home naloxone</w:t>
      </w:r>
      <w:r w:rsidR="005505B7">
        <w:t xml:space="preserve"> </w:t>
      </w:r>
      <w:r w:rsidR="00C401C0">
        <w:t xml:space="preserve">and </w:t>
      </w:r>
      <w:r w:rsidR="005505B7">
        <w:t>stigmatised phenomena such as opioids and addiction (rather than, for example, medicine, life-saving or heroism)</w:t>
      </w:r>
      <w:r w:rsidR="00C401C0">
        <w:t xml:space="preserve">. </w:t>
      </w:r>
      <w:bookmarkEnd w:id="13"/>
      <w:r w:rsidR="00C401C0">
        <w:t>This association</w:t>
      </w:r>
      <w:r w:rsidR="005505B7">
        <w:t xml:space="preserve"> </w:t>
      </w:r>
      <w:r w:rsidR="00C401C0">
        <w:t>means</w:t>
      </w:r>
      <w:r w:rsidR="005505B7">
        <w:t xml:space="preserve"> participants are discouraged from asking for information </w:t>
      </w:r>
      <w:r w:rsidR="00C81590">
        <w:t xml:space="preserve">about take-home naloxone </w:t>
      </w:r>
      <w:r w:rsidR="005505B7">
        <w:t xml:space="preserve">for fear of being </w:t>
      </w:r>
      <w:r w:rsidR="00C401C0">
        <w:t xml:space="preserve">labelled </w:t>
      </w:r>
      <w:r w:rsidR="005505B7">
        <w:t>‘druggies’. Importantly</w:t>
      </w:r>
      <w:r w:rsidR="00C401C0">
        <w:t xml:space="preserve"> here, </w:t>
      </w:r>
      <w:r w:rsidR="005505B7">
        <w:t xml:space="preserve">we </w:t>
      </w:r>
      <w:r w:rsidR="00C401C0">
        <w:t>do not</w:t>
      </w:r>
      <w:r w:rsidR="005505B7">
        <w:t xml:space="preserve"> </w:t>
      </w:r>
      <w:r w:rsidR="00C401C0">
        <w:t>merely</w:t>
      </w:r>
      <w:r w:rsidR="005505B7">
        <w:t xml:space="preserve"> </w:t>
      </w:r>
      <w:r w:rsidR="00FC5464">
        <w:t>critiqu</w:t>
      </w:r>
      <w:r w:rsidR="00C401C0">
        <w:t>e</w:t>
      </w:r>
      <w:r w:rsidR="00FC5464">
        <w:t xml:space="preserve"> stigmatising </w:t>
      </w:r>
      <w:r w:rsidR="005505B7">
        <w:t>‘attitudes’ or ‘behaviours’ but</w:t>
      </w:r>
      <w:r w:rsidR="00C401C0">
        <w:t xml:space="preserve"> instead we wish to</w:t>
      </w:r>
      <w:r w:rsidR="00FC5464">
        <w:t xml:space="preserve"> draw attention to</w:t>
      </w:r>
      <w:r w:rsidR="005505B7">
        <w:t xml:space="preserve"> </w:t>
      </w:r>
      <w:r w:rsidR="00C401C0">
        <w:t>the ways in which</w:t>
      </w:r>
      <w:r w:rsidR="004C2CD1">
        <w:t xml:space="preserve"> addiction stigma operates </w:t>
      </w:r>
      <w:r w:rsidR="00596A88">
        <w:t>in mainstream health services to establish a life-saving public health intervention as shameful</w:t>
      </w:r>
      <w:r w:rsidR="00F14E85">
        <w:t xml:space="preserve"> </w:t>
      </w:r>
      <w:r w:rsidR="00C401C0">
        <w:t xml:space="preserve">and marginal </w:t>
      </w:r>
      <w:r w:rsidR="00F14E85">
        <w:t>via its association with addiction</w:t>
      </w:r>
      <w:r w:rsidR="00596A88">
        <w:t>.</w:t>
      </w:r>
    </w:p>
    <w:p w14:paraId="7601946D" w14:textId="77777777" w:rsidR="00394EF4" w:rsidRPr="00394EF4" w:rsidRDefault="00394EF4" w:rsidP="007E18CC">
      <w:pPr>
        <w:spacing w:line="360" w:lineRule="auto"/>
        <w:rPr>
          <w:i/>
        </w:rPr>
      </w:pPr>
    </w:p>
    <w:p w14:paraId="15AEF176" w14:textId="08DC6FF5" w:rsidR="00A26373" w:rsidRDefault="00ED2FF4" w:rsidP="008B0AC4">
      <w:pPr>
        <w:pStyle w:val="Heading3"/>
        <w:rPr>
          <w:i/>
        </w:rPr>
      </w:pPr>
      <w:r w:rsidRPr="0056626D">
        <w:rPr>
          <w:i/>
        </w:rPr>
        <w:t>Ordering a</w:t>
      </w:r>
      <w:r w:rsidR="009D7F85" w:rsidRPr="0056626D">
        <w:rPr>
          <w:i/>
        </w:rPr>
        <w:t>ccess</w:t>
      </w:r>
    </w:p>
    <w:p w14:paraId="0BBFD217" w14:textId="77777777" w:rsidR="000B5BA2" w:rsidRPr="000B5BA2" w:rsidRDefault="000B5BA2" w:rsidP="000B5BA2"/>
    <w:p w14:paraId="70574B3C" w14:textId="37A8CA13" w:rsidR="006822E7" w:rsidRDefault="00C401C0" w:rsidP="0052677A">
      <w:pPr>
        <w:spacing w:line="360" w:lineRule="auto"/>
      </w:pPr>
      <w:r>
        <w:t>So far we have</w:t>
      </w:r>
      <w:r w:rsidR="00F720A6">
        <w:t xml:space="preserve"> </w:t>
      </w:r>
      <w:r w:rsidR="007A63A4">
        <w:t>argued that</w:t>
      </w:r>
      <w:r w:rsidR="00F720A6">
        <w:t xml:space="preserve"> addiction stigma </w:t>
      </w:r>
      <w:r w:rsidR="00275DED">
        <w:t>may impede</w:t>
      </w:r>
      <w:r w:rsidR="007A63A4">
        <w:t xml:space="preserve"> information</w:t>
      </w:r>
      <w:r w:rsidR="00275DED">
        <w:t xml:space="preserve"> provision</w:t>
      </w:r>
      <w:r w:rsidR="007A63A4">
        <w:t xml:space="preserve"> about take-home naloxone, </w:t>
      </w:r>
      <w:r w:rsidR="00F720A6">
        <w:t>especially in the pharmacy and general practice</w:t>
      </w:r>
      <w:r w:rsidR="005A3225">
        <w:t xml:space="preserve">. </w:t>
      </w:r>
      <w:r>
        <w:t>Next we wish to consider the ways in which the</w:t>
      </w:r>
      <w:r w:rsidR="007A63A4">
        <w:t xml:space="preserve"> </w:t>
      </w:r>
      <w:r w:rsidR="001D3C7C">
        <w:t>operation</w:t>
      </w:r>
      <w:r w:rsidR="005E36C9">
        <w:t>s</w:t>
      </w:r>
      <w:r w:rsidR="00DE0A25">
        <w:t xml:space="preserve"> </w:t>
      </w:r>
      <w:r w:rsidR="00CE15C1">
        <w:t>of</w:t>
      </w:r>
      <w:r w:rsidR="005A3225">
        <w:t xml:space="preserve"> addiction</w:t>
      </w:r>
      <w:r w:rsidR="00CE15C1">
        <w:t xml:space="preserve"> </w:t>
      </w:r>
      <w:r w:rsidR="00394EF4" w:rsidRPr="00F85861">
        <w:t>stigma</w:t>
      </w:r>
      <w:r w:rsidR="00DA5573">
        <w:t xml:space="preserve"> may</w:t>
      </w:r>
      <w:r w:rsidR="00394EF4" w:rsidRPr="00F85861">
        <w:t xml:space="preserve"> also</w:t>
      </w:r>
      <w:r w:rsidR="001D3C7C">
        <w:t xml:space="preserve"> </w:t>
      </w:r>
      <w:r w:rsidR="007A63A4">
        <w:t>impede the expansion of take-home naloxone</w:t>
      </w:r>
      <w:r w:rsidR="004B2304">
        <w:t xml:space="preserve"> programs and</w:t>
      </w:r>
      <w:r w:rsidR="007A63A4">
        <w:t xml:space="preserve"> access</w:t>
      </w:r>
      <w:r w:rsidR="00275DED">
        <w:t xml:space="preserve">. </w:t>
      </w:r>
      <w:r w:rsidR="005A3225">
        <w:t xml:space="preserve">As </w:t>
      </w:r>
      <w:r w:rsidR="005E36C9">
        <w:t>discuss</w:t>
      </w:r>
      <w:r w:rsidR="006D7B57">
        <w:t>ed</w:t>
      </w:r>
      <w:r w:rsidR="001D3C7C">
        <w:t xml:space="preserve"> </w:t>
      </w:r>
      <w:r w:rsidR="008915B7">
        <w:t>above, s</w:t>
      </w:r>
      <w:r w:rsidR="009C55AA">
        <w:t xml:space="preserve">ome participants </w:t>
      </w:r>
      <w:r w:rsidR="00EB0F0C">
        <w:t xml:space="preserve">describe </w:t>
      </w:r>
      <w:r w:rsidR="001D3C7C">
        <w:t>concerns</w:t>
      </w:r>
      <w:r w:rsidR="006822E7">
        <w:t xml:space="preserve"> </w:t>
      </w:r>
      <w:r w:rsidR="00A02837">
        <w:t xml:space="preserve">about </w:t>
      </w:r>
      <w:r w:rsidR="006822E7">
        <w:t>being</w:t>
      </w:r>
      <w:r w:rsidR="009C5081">
        <w:t xml:space="preserve"> publicly</w:t>
      </w:r>
      <w:r w:rsidR="006822E7">
        <w:t xml:space="preserve"> identifie</w:t>
      </w:r>
      <w:r w:rsidR="00720E6F">
        <w:t xml:space="preserve">d as </w:t>
      </w:r>
      <w:r w:rsidR="006D7B57">
        <w:t>consumers</w:t>
      </w:r>
      <w:r w:rsidR="0020697F">
        <w:t xml:space="preserve"> of illicit drugs</w:t>
      </w:r>
      <w:r w:rsidR="00C535AE">
        <w:t xml:space="preserve">. </w:t>
      </w:r>
      <w:r w:rsidR="005E36C9">
        <w:t>It seems</w:t>
      </w:r>
      <w:r w:rsidR="00C70217">
        <w:t xml:space="preserve"> that</w:t>
      </w:r>
      <w:r w:rsidR="005E36C9">
        <w:t xml:space="preserve"> the </w:t>
      </w:r>
      <w:r w:rsidR="00C535AE">
        <w:t>threat of discreditability</w:t>
      </w:r>
      <w:r w:rsidR="00915D99">
        <w:t xml:space="preserve"> </w:t>
      </w:r>
      <w:r w:rsidR="00D70E6D">
        <w:t>functions</w:t>
      </w:r>
      <w:r w:rsidR="00C535AE">
        <w:t xml:space="preserve"> </w:t>
      </w:r>
      <w:r w:rsidR="001D3C7C">
        <w:t xml:space="preserve">as a barrier to accessing take-home naloxone </w:t>
      </w:r>
      <w:r w:rsidR="00915D99">
        <w:t xml:space="preserve">in </w:t>
      </w:r>
      <w:r w:rsidR="001D3C7C">
        <w:t xml:space="preserve">various </w:t>
      </w:r>
      <w:r w:rsidR="00D70E6D">
        <w:t xml:space="preserve">healthcare settings, </w:t>
      </w:r>
      <w:r w:rsidR="005E36C9">
        <w:t xml:space="preserve">but for prescription </w:t>
      </w:r>
      <w:r w:rsidR="00090072">
        <w:t xml:space="preserve">drug </w:t>
      </w:r>
      <w:r w:rsidR="005E36C9">
        <w:t>consumers</w:t>
      </w:r>
      <w:r w:rsidR="00915D99">
        <w:t xml:space="preserve"> </w:t>
      </w:r>
      <w:r w:rsidR="00D70E6D">
        <w:t>t</w:t>
      </w:r>
      <w:r w:rsidR="00A02837">
        <w:t>his</w:t>
      </w:r>
      <w:r w:rsidR="009C5081">
        <w:t xml:space="preserve"> dynamic</w:t>
      </w:r>
      <w:r w:rsidR="00A02837">
        <w:t xml:space="preserve"> was especially pronounced in the </w:t>
      </w:r>
      <w:r w:rsidR="00D54F06">
        <w:t xml:space="preserve">pharmacy </w:t>
      </w:r>
      <w:r w:rsidR="00A02837">
        <w:t>context</w:t>
      </w:r>
      <w:r w:rsidR="001D3C7C">
        <w:t xml:space="preserve">. </w:t>
      </w:r>
      <w:r w:rsidR="0070717C">
        <w:t>Simon</w:t>
      </w:r>
      <w:r w:rsidR="00EB0F0C">
        <w:t xml:space="preserve"> (</w:t>
      </w:r>
      <w:r w:rsidR="004A44F1">
        <w:t>male</w:t>
      </w:r>
      <w:r w:rsidR="0070717C" w:rsidRPr="00156AD6">
        <w:t>, 34</w:t>
      </w:r>
      <w:r w:rsidR="00DA68FA">
        <w:t xml:space="preserve"> years old</w:t>
      </w:r>
      <w:r w:rsidR="0070717C" w:rsidRPr="00156AD6">
        <w:t>, Vic)</w:t>
      </w:r>
      <w:r w:rsidR="005E36C9" w:rsidRPr="00156AD6">
        <w:t>, for example,</w:t>
      </w:r>
      <w:r w:rsidR="0070717C" w:rsidRPr="00156AD6">
        <w:t xml:space="preserve"> </w:t>
      </w:r>
      <w:r w:rsidR="006822E7" w:rsidRPr="00156AD6">
        <w:t xml:space="preserve">explains that </w:t>
      </w:r>
      <w:r w:rsidR="0070717C" w:rsidRPr="00156AD6">
        <w:t>he</w:t>
      </w:r>
      <w:r w:rsidR="0070717C" w:rsidRPr="00977549">
        <w:t xml:space="preserve"> </w:t>
      </w:r>
      <w:r w:rsidR="006822E7" w:rsidRPr="00977549">
        <w:t xml:space="preserve">would feel </w:t>
      </w:r>
      <w:r w:rsidR="006D7B57">
        <w:t>un</w:t>
      </w:r>
      <w:r w:rsidR="006822E7" w:rsidRPr="00977549">
        <w:t xml:space="preserve">comfortable buying </w:t>
      </w:r>
      <w:r w:rsidR="005E36C9" w:rsidRPr="00977549">
        <w:t>n</w:t>
      </w:r>
      <w:r w:rsidR="006822E7" w:rsidRPr="00977549">
        <w:t xml:space="preserve">aloxone </w:t>
      </w:r>
      <w:r w:rsidR="008B0AC4">
        <w:t xml:space="preserve">at </w:t>
      </w:r>
      <w:r w:rsidR="006D7B57">
        <w:t xml:space="preserve">a </w:t>
      </w:r>
      <w:r w:rsidR="006822E7">
        <w:t>pharmacy</w:t>
      </w:r>
      <w:r w:rsidR="006822E7" w:rsidRPr="00F85861">
        <w:t>:</w:t>
      </w:r>
    </w:p>
    <w:p w14:paraId="2E2E8319" w14:textId="77777777" w:rsidR="006822E7" w:rsidRPr="00F85861" w:rsidRDefault="006822E7" w:rsidP="00CD6C43">
      <w:pPr>
        <w:spacing w:line="360" w:lineRule="auto"/>
      </w:pPr>
    </w:p>
    <w:p w14:paraId="49682E33" w14:textId="0CDC94C0" w:rsidR="006822E7" w:rsidRDefault="006822E7" w:rsidP="00CD6C43">
      <w:pPr>
        <w:pStyle w:val="ListParagraph"/>
        <w:spacing w:line="360" w:lineRule="auto"/>
      </w:pPr>
      <w:r w:rsidRPr="00F85861">
        <w:t xml:space="preserve">Well, if you’re going in to ask for </w:t>
      </w:r>
      <w:r w:rsidR="001A6CFB">
        <w:t>n</w:t>
      </w:r>
      <w:r w:rsidR="001A6CFB" w:rsidRPr="00F85861">
        <w:t>aloxone</w:t>
      </w:r>
      <w:r w:rsidR="005E36C9">
        <w:t xml:space="preserve"> […people might]</w:t>
      </w:r>
      <w:r w:rsidRPr="00F85861">
        <w:t xml:space="preserve"> know what it is</w:t>
      </w:r>
      <w:r w:rsidR="005E36C9">
        <w:t>,</w:t>
      </w:r>
      <w:r w:rsidRPr="00F85861">
        <w:t xml:space="preserve"> and even if they don’t and they hear it […]</w:t>
      </w:r>
      <w:r w:rsidR="008915B7">
        <w:t xml:space="preserve"> </w:t>
      </w:r>
      <w:r w:rsidRPr="00F85861">
        <w:t xml:space="preserve">they’re going to go home and research, aren’t they? And they’re going to go […] </w:t>
      </w:r>
      <w:r w:rsidR="001A6CFB">
        <w:t>‘</w:t>
      </w:r>
      <w:r w:rsidRPr="00F85861">
        <w:t>well, that person’s using illicit drugs</w:t>
      </w:r>
      <w:r w:rsidR="001A6CFB">
        <w:t>’</w:t>
      </w:r>
      <w:r w:rsidRPr="00F85861">
        <w:t>. So, you know, again that stigma of pe</w:t>
      </w:r>
      <w:r w:rsidR="003C1549">
        <w:t xml:space="preserve">ople not understanding either. </w:t>
      </w:r>
    </w:p>
    <w:p w14:paraId="3CC12562" w14:textId="77777777" w:rsidR="006822E7" w:rsidRPr="00F85861" w:rsidRDefault="006822E7" w:rsidP="00CD6C43">
      <w:pPr>
        <w:pStyle w:val="ListParagraph"/>
        <w:spacing w:line="360" w:lineRule="auto"/>
      </w:pPr>
    </w:p>
    <w:p w14:paraId="7934D646" w14:textId="3F00FDDC" w:rsidR="00DA5573" w:rsidRDefault="005E36C9" w:rsidP="0022223D">
      <w:pPr>
        <w:spacing w:line="360" w:lineRule="auto"/>
      </w:pPr>
      <w:r>
        <w:t xml:space="preserve">While </w:t>
      </w:r>
      <w:r w:rsidR="006822E7" w:rsidRPr="00F85861">
        <w:t xml:space="preserve">Simon </w:t>
      </w:r>
      <w:r>
        <w:t xml:space="preserve">has a prescription for his medication, he is </w:t>
      </w:r>
      <w:r w:rsidR="00F2639C">
        <w:t>sufficiently concerned</w:t>
      </w:r>
      <w:r>
        <w:t xml:space="preserve"> about how </w:t>
      </w:r>
      <w:r w:rsidR="006D7B57">
        <w:t>he</w:t>
      </w:r>
      <w:r w:rsidR="00F2639C">
        <w:t xml:space="preserve"> may be viewed by other</w:t>
      </w:r>
      <w:r w:rsidR="00520196">
        <w:t>s</w:t>
      </w:r>
      <w:r w:rsidR="00F2639C">
        <w:t xml:space="preserve"> </w:t>
      </w:r>
      <w:r w:rsidR="00DA5573">
        <w:t>to avoid</w:t>
      </w:r>
      <w:r w:rsidR="006915FA">
        <w:t xml:space="preserve"> enquir</w:t>
      </w:r>
      <w:r w:rsidR="00DA5573">
        <w:t>ing</w:t>
      </w:r>
      <w:r w:rsidR="006915FA">
        <w:t xml:space="preserve"> about take-home naloxone</w:t>
      </w:r>
      <w:r w:rsidR="00DA5573">
        <w:t xml:space="preserve">. </w:t>
      </w:r>
      <w:bookmarkStart w:id="14" w:name="_Hlk26525811"/>
      <w:r w:rsidR="00F2639C">
        <w:t>Our data suggest that t</w:t>
      </w:r>
      <w:r w:rsidR="00274D1E">
        <w:t xml:space="preserve">his concern </w:t>
      </w:r>
      <w:r w:rsidR="006D7B57">
        <w:t xml:space="preserve">about </w:t>
      </w:r>
      <w:r w:rsidR="006D7B57" w:rsidRPr="006D7B57">
        <w:t>discreditability</w:t>
      </w:r>
      <w:r w:rsidR="006D7B57">
        <w:t xml:space="preserve"> </w:t>
      </w:r>
      <w:r w:rsidR="001D3C7C">
        <w:t xml:space="preserve">constitutes </w:t>
      </w:r>
      <w:r w:rsidR="005265B5">
        <w:t>a significant barrier</w:t>
      </w:r>
      <w:r w:rsidR="0008233B">
        <w:t xml:space="preserve"> to accessing take-home naloxone through pharmacies for </w:t>
      </w:r>
      <w:r w:rsidR="00720E6F">
        <w:t xml:space="preserve">people who </w:t>
      </w:r>
      <w:r w:rsidR="006C1349">
        <w:t xml:space="preserve">use </w:t>
      </w:r>
      <w:r w:rsidR="00720E6F">
        <w:t>opioids for chronic pain</w:t>
      </w:r>
      <w:r w:rsidR="001D3C7C">
        <w:t>.</w:t>
      </w:r>
      <w:r w:rsidR="00274D1E">
        <w:t xml:space="preserve"> </w:t>
      </w:r>
      <w:bookmarkEnd w:id="14"/>
    </w:p>
    <w:p w14:paraId="7C84D3FC" w14:textId="77777777" w:rsidR="00DA5573" w:rsidRDefault="00DA5573" w:rsidP="0022223D">
      <w:pPr>
        <w:spacing w:line="360" w:lineRule="auto"/>
      </w:pPr>
    </w:p>
    <w:p w14:paraId="58C3E5AF" w14:textId="3A9AA853" w:rsidR="006822E7" w:rsidRDefault="00F2639C" w:rsidP="0022223D">
      <w:pPr>
        <w:spacing w:line="360" w:lineRule="auto"/>
      </w:pPr>
      <w:r>
        <w:t>Reciprocally</w:t>
      </w:r>
      <w:r w:rsidR="00274D1E">
        <w:t>, w</w:t>
      </w:r>
      <w:r w:rsidR="00EB0F0C">
        <w:t xml:space="preserve">e would also </w:t>
      </w:r>
      <w:r w:rsidR="00DA5573">
        <w:t xml:space="preserve">argue </w:t>
      </w:r>
      <w:r w:rsidR="00EB0F0C">
        <w:t xml:space="preserve">that as a </w:t>
      </w:r>
      <w:r w:rsidR="00C535AE">
        <w:t>biopolitical</w:t>
      </w:r>
      <w:r w:rsidR="00062BD3">
        <w:t xml:space="preserve"> performative</w:t>
      </w:r>
      <w:r w:rsidR="00EB0F0C">
        <w:t xml:space="preserve"> process</w:t>
      </w:r>
      <w:r>
        <w:t xml:space="preserve">, </w:t>
      </w:r>
      <w:r w:rsidR="00F14E85">
        <w:t xml:space="preserve">addiction </w:t>
      </w:r>
      <w:r>
        <w:t xml:space="preserve">stigma </w:t>
      </w:r>
      <w:r w:rsidR="00EB0F0C">
        <w:t xml:space="preserve">functions to </w:t>
      </w:r>
      <w:r w:rsidR="00A5388F">
        <w:t xml:space="preserve">reinforce </w:t>
      </w:r>
      <w:r w:rsidR="00062BD3">
        <w:t>the pharmacy as a</w:t>
      </w:r>
      <w:r w:rsidR="0073056E">
        <w:t xml:space="preserve"> normative health</w:t>
      </w:r>
      <w:r w:rsidR="00EB05B1">
        <w:t xml:space="preserve">care </w:t>
      </w:r>
      <w:r w:rsidR="00D70E6D">
        <w:t xml:space="preserve">and social </w:t>
      </w:r>
      <w:r w:rsidR="00EB05B1">
        <w:t>setting</w:t>
      </w:r>
      <w:r w:rsidR="00062BD3">
        <w:t xml:space="preserve"> </w:t>
      </w:r>
      <w:r w:rsidR="00EB05B1">
        <w:t xml:space="preserve">in which people who use </w:t>
      </w:r>
      <w:r w:rsidR="00DA5573">
        <w:t xml:space="preserve">illicit </w:t>
      </w:r>
      <w:r w:rsidR="00EB05B1">
        <w:t>drugs do not belong</w:t>
      </w:r>
      <w:r w:rsidR="00062BD3">
        <w:t xml:space="preserve">. </w:t>
      </w:r>
      <w:r w:rsidR="0073056E">
        <w:t>Farez</w:t>
      </w:r>
      <w:r w:rsidR="006A5770">
        <w:t xml:space="preserve"> (</w:t>
      </w:r>
      <w:r w:rsidR="004A44F1">
        <w:t>male</w:t>
      </w:r>
      <w:r w:rsidR="006A5770">
        <w:t>, 42</w:t>
      </w:r>
      <w:r w:rsidR="00DA68FA">
        <w:t xml:space="preserve"> years old</w:t>
      </w:r>
      <w:r w:rsidR="006A5770">
        <w:t>,</w:t>
      </w:r>
      <w:r w:rsidR="0062557F">
        <w:t xml:space="preserve"> NSW</w:t>
      </w:r>
      <w:r w:rsidR="006A5770">
        <w:t>)</w:t>
      </w:r>
      <w:r w:rsidR="0073056E">
        <w:t>,</w:t>
      </w:r>
      <w:r w:rsidR="006A5770">
        <w:t xml:space="preserve"> </w:t>
      </w:r>
      <w:r>
        <w:t xml:space="preserve">a prescription </w:t>
      </w:r>
      <w:r w:rsidR="00090072">
        <w:t xml:space="preserve">drug </w:t>
      </w:r>
      <w:r>
        <w:t>consumer</w:t>
      </w:r>
      <w:r w:rsidR="00062BD3">
        <w:t xml:space="preserve"> </w:t>
      </w:r>
      <w:r w:rsidR="00090072">
        <w:t xml:space="preserve">and </w:t>
      </w:r>
      <w:r w:rsidR="00062BD3">
        <w:t>also a trainee pharmacist</w:t>
      </w:r>
      <w:r w:rsidR="00DA5573">
        <w:t>,</w:t>
      </w:r>
      <w:r w:rsidR="00062BD3">
        <w:t xml:space="preserve"> </w:t>
      </w:r>
      <w:r w:rsidR="0008233B">
        <w:t>makes this point</w:t>
      </w:r>
      <w:r w:rsidR="00062BD3">
        <w:t>:</w:t>
      </w:r>
    </w:p>
    <w:p w14:paraId="4380BED0" w14:textId="15A940D1" w:rsidR="00062BD3" w:rsidRDefault="00062BD3" w:rsidP="00CD6C43">
      <w:pPr>
        <w:spacing w:line="360" w:lineRule="auto"/>
      </w:pPr>
    </w:p>
    <w:p w14:paraId="7A625899" w14:textId="40D3EACF" w:rsidR="00062BD3" w:rsidRDefault="006A5770" w:rsidP="007A168A">
      <w:pPr>
        <w:spacing w:line="360" w:lineRule="auto"/>
        <w:ind w:left="720"/>
        <w:rPr>
          <w:rFonts w:cs="Calibri"/>
        </w:rPr>
      </w:pPr>
      <w:r>
        <w:rPr>
          <w:rFonts w:cs="Calibri"/>
        </w:rPr>
        <w:t>A</w:t>
      </w:r>
      <w:r w:rsidR="00062BD3" w:rsidRPr="007A168A">
        <w:rPr>
          <w:rFonts w:cs="Calibri"/>
        </w:rPr>
        <w:t xml:space="preserve"> lot of pharmacists will not stock </w:t>
      </w:r>
      <w:r w:rsidR="00F2639C">
        <w:rPr>
          <w:rFonts w:cs="Calibri"/>
        </w:rPr>
        <w:t>[naloxone]</w:t>
      </w:r>
      <w:r w:rsidR="00062BD3" w:rsidRPr="007A168A">
        <w:rPr>
          <w:rFonts w:cs="Calibri"/>
        </w:rPr>
        <w:t xml:space="preserve"> because they don’t want to</w:t>
      </w:r>
      <w:r w:rsidR="00A05A5B">
        <w:rPr>
          <w:rFonts w:cs="Calibri"/>
        </w:rPr>
        <w:t xml:space="preserve"> </w:t>
      </w:r>
      <w:r w:rsidR="00062BD3" w:rsidRPr="007A168A">
        <w:rPr>
          <w:rFonts w:cs="Calibri"/>
        </w:rPr>
        <w:t>…</w:t>
      </w:r>
      <w:r w:rsidR="00A05A5B">
        <w:rPr>
          <w:rFonts w:cs="Calibri"/>
        </w:rPr>
        <w:t xml:space="preserve"> </w:t>
      </w:r>
      <w:r w:rsidR="00062BD3" w:rsidRPr="007A168A">
        <w:rPr>
          <w:rFonts w:cs="Calibri"/>
        </w:rPr>
        <w:t>how do I state it</w:t>
      </w:r>
      <w:r w:rsidR="00A05A5B">
        <w:rPr>
          <w:rFonts w:cs="Calibri"/>
        </w:rPr>
        <w:t xml:space="preserve"> </w:t>
      </w:r>
      <w:r w:rsidR="00062BD3" w:rsidRPr="007A168A">
        <w:rPr>
          <w:rFonts w:cs="Calibri"/>
        </w:rPr>
        <w:t>...</w:t>
      </w:r>
      <w:r w:rsidR="00A05A5B">
        <w:rPr>
          <w:rFonts w:cs="Calibri"/>
        </w:rPr>
        <w:t xml:space="preserve"> </w:t>
      </w:r>
      <w:r w:rsidR="00062BD3" w:rsidRPr="007A168A">
        <w:rPr>
          <w:rFonts w:cs="Calibri"/>
        </w:rPr>
        <w:t>they don’t want to invite the wrong crowd into the pharmacy.</w:t>
      </w:r>
      <w:r w:rsidR="00062BD3" w:rsidRPr="007A168A">
        <w:rPr>
          <w:rFonts w:cs="Calibri"/>
          <w:bCs/>
        </w:rPr>
        <w:t xml:space="preserve"> […]</w:t>
      </w:r>
      <w:r w:rsidR="00BF682F">
        <w:rPr>
          <w:rFonts w:cs="Calibri"/>
          <w:bCs/>
        </w:rPr>
        <w:t xml:space="preserve"> </w:t>
      </w:r>
      <w:r w:rsidR="00062BD3" w:rsidRPr="007A168A">
        <w:rPr>
          <w:rFonts w:cs="Calibri"/>
        </w:rPr>
        <w:t>Naloxone could go a long way in preventing a lot of deaths</w:t>
      </w:r>
      <w:r w:rsidR="00BF682F">
        <w:rPr>
          <w:rFonts w:cs="Calibri"/>
        </w:rPr>
        <w:t xml:space="preserve"> [but]</w:t>
      </w:r>
      <w:r w:rsidR="00062BD3" w:rsidRPr="007A168A">
        <w:rPr>
          <w:rFonts w:cs="Calibri"/>
        </w:rPr>
        <w:t xml:space="preserve"> due to the stigma associated with it</w:t>
      </w:r>
      <w:r w:rsidR="00F2639C">
        <w:rPr>
          <w:rFonts w:cs="Calibri"/>
        </w:rPr>
        <w:t xml:space="preserve"> [some pharmacists avoid stocking it].</w:t>
      </w:r>
    </w:p>
    <w:p w14:paraId="3FEFEEF3" w14:textId="223FED2E" w:rsidR="00062BD3" w:rsidRDefault="00062BD3" w:rsidP="00FD051F">
      <w:pPr>
        <w:spacing w:line="360" w:lineRule="auto"/>
        <w:rPr>
          <w:rFonts w:cs="Calibri"/>
        </w:rPr>
      </w:pPr>
    </w:p>
    <w:p w14:paraId="3C5F1038" w14:textId="055DBB77" w:rsidR="00C401C0" w:rsidRDefault="00062BD3" w:rsidP="00DB27E6">
      <w:pPr>
        <w:spacing w:line="360" w:lineRule="auto"/>
        <w:rPr>
          <w:rFonts w:cs="Calibri"/>
        </w:rPr>
      </w:pPr>
      <w:r>
        <w:rPr>
          <w:rFonts w:cs="Calibri"/>
        </w:rPr>
        <w:lastRenderedPageBreak/>
        <w:t>In both these extracts</w:t>
      </w:r>
      <w:r w:rsidR="00C535AE">
        <w:rPr>
          <w:rFonts w:cs="Calibri"/>
        </w:rPr>
        <w:t>, stigma</w:t>
      </w:r>
      <w:r>
        <w:rPr>
          <w:rFonts w:cs="Calibri"/>
        </w:rPr>
        <w:t xml:space="preserve"> </w:t>
      </w:r>
      <w:r w:rsidR="00C401C0">
        <w:rPr>
          <w:rFonts w:cs="Calibri"/>
        </w:rPr>
        <w:t xml:space="preserve">simultaneously </w:t>
      </w:r>
      <w:r w:rsidR="00EB05B1">
        <w:rPr>
          <w:rFonts w:cs="Calibri"/>
        </w:rPr>
        <w:t xml:space="preserve">pre-exists </w:t>
      </w:r>
      <w:r w:rsidR="0008233B">
        <w:rPr>
          <w:rFonts w:cs="Calibri"/>
        </w:rPr>
        <w:t xml:space="preserve">and </w:t>
      </w:r>
      <w:r>
        <w:rPr>
          <w:rFonts w:cs="Calibri"/>
        </w:rPr>
        <w:t xml:space="preserve">is </w:t>
      </w:r>
      <w:r w:rsidR="00F2639C">
        <w:rPr>
          <w:rFonts w:cs="Calibri"/>
        </w:rPr>
        <w:t xml:space="preserve">reciprocally </w:t>
      </w:r>
      <w:r>
        <w:rPr>
          <w:rFonts w:cs="Calibri"/>
        </w:rPr>
        <w:t xml:space="preserve">performed </w:t>
      </w:r>
      <w:r w:rsidRPr="00450258">
        <w:rPr>
          <w:rFonts w:cs="Calibri"/>
        </w:rPr>
        <w:t>in and through</w:t>
      </w:r>
      <w:r w:rsidRPr="00C401C0">
        <w:rPr>
          <w:rFonts w:cs="Calibri"/>
        </w:rPr>
        <w:t xml:space="preserve"> </w:t>
      </w:r>
      <w:r w:rsidR="00F2639C">
        <w:rPr>
          <w:rFonts w:cs="Calibri"/>
        </w:rPr>
        <w:t xml:space="preserve">specific </w:t>
      </w:r>
      <w:r>
        <w:rPr>
          <w:rFonts w:cs="Calibri"/>
        </w:rPr>
        <w:t>technologies of healthcare</w:t>
      </w:r>
      <w:r w:rsidR="00E979B0">
        <w:rPr>
          <w:rFonts w:cs="Calibri"/>
        </w:rPr>
        <w:t>,</w:t>
      </w:r>
      <w:r>
        <w:rPr>
          <w:rFonts w:cs="Calibri"/>
        </w:rPr>
        <w:t xml:space="preserve"> </w:t>
      </w:r>
      <w:r w:rsidR="00E979B0">
        <w:rPr>
          <w:rFonts w:cs="Calibri"/>
        </w:rPr>
        <w:t>such as take-home naloxone</w:t>
      </w:r>
      <w:r w:rsidR="00F2639C">
        <w:rPr>
          <w:rFonts w:cs="Calibri"/>
        </w:rPr>
        <w:t>. In this process</w:t>
      </w:r>
      <w:r w:rsidR="004B2304">
        <w:rPr>
          <w:rFonts w:cs="Calibri"/>
        </w:rPr>
        <w:t>, mainstream health services</w:t>
      </w:r>
      <w:r w:rsidR="00AE02BE">
        <w:rPr>
          <w:rFonts w:cs="Calibri"/>
        </w:rPr>
        <w:t xml:space="preserve"> and legitimate </w:t>
      </w:r>
      <w:r w:rsidR="00CC2B32">
        <w:rPr>
          <w:rFonts w:cs="Calibri"/>
        </w:rPr>
        <w:t xml:space="preserve">healthcare </w:t>
      </w:r>
      <w:r w:rsidR="00AE02BE">
        <w:rPr>
          <w:rFonts w:cs="Calibri"/>
        </w:rPr>
        <w:t>subjects</w:t>
      </w:r>
      <w:r w:rsidR="00F2639C">
        <w:rPr>
          <w:rFonts w:cs="Calibri"/>
        </w:rPr>
        <w:t xml:space="preserve"> are </w:t>
      </w:r>
      <w:r w:rsidR="00C401C0">
        <w:rPr>
          <w:rFonts w:cs="Calibri"/>
        </w:rPr>
        <w:t xml:space="preserve">mutually </w:t>
      </w:r>
      <w:r w:rsidR="00F2639C">
        <w:rPr>
          <w:rFonts w:cs="Calibri"/>
        </w:rPr>
        <w:t>reaffirmed.</w:t>
      </w:r>
      <w:r w:rsidR="00DB27E6">
        <w:rPr>
          <w:rFonts w:cs="Calibri"/>
        </w:rPr>
        <w:t xml:space="preserve"> </w:t>
      </w:r>
    </w:p>
    <w:p w14:paraId="1B063A31" w14:textId="77777777" w:rsidR="00C401C0" w:rsidRDefault="00C401C0" w:rsidP="00DB27E6">
      <w:pPr>
        <w:spacing w:line="360" w:lineRule="auto"/>
        <w:rPr>
          <w:rFonts w:cs="Calibri"/>
        </w:rPr>
      </w:pPr>
    </w:p>
    <w:p w14:paraId="0A1296CA" w14:textId="64CC3BB4" w:rsidR="00C401C0" w:rsidRDefault="00C401C0" w:rsidP="00DB27E6">
      <w:pPr>
        <w:spacing w:line="360" w:lineRule="auto"/>
        <w:rPr>
          <w:rFonts w:cs="Calibri"/>
        </w:rPr>
      </w:pPr>
      <w:r>
        <w:rPr>
          <w:rFonts w:cs="Calibri"/>
        </w:rPr>
        <w:t>Unsurprisingly, m</w:t>
      </w:r>
      <w:r w:rsidR="00E00E05">
        <w:rPr>
          <w:rFonts w:cs="Calibri"/>
        </w:rPr>
        <w:t xml:space="preserve">any participants who consumed illicit drugs explained </w:t>
      </w:r>
      <w:r>
        <w:rPr>
          <w:rFonts w:cs="Calibri"/>
        </w:rPr>
        <w:t>they preferred to</w:t>
      </w:r>
      <w:r w:rsidR="00E00E05">
        <w:rPr>
          <w:rFonts w:cs="Calibri"/>
        </w:rPr>
        <w:t xml:space="preserve"> access take-home naloxone via needle and syringe exchanges, </w:t>
      </w:r>
      <w:r w:rsidR="00090072">
        <w:rPr>
          <w:rFonts w:cs="Calibri"/>
        </w:rPr>
        <w:t>‘</w:t>
      </w:r>
      <w:r w:rsidR="00E00E05">
        <w:rPr>
          <w:rFonts w:cs="Calibri"/>
        </w:rPr>
        <w:t>foot patrols</w:t>
      </w:r>
      <w:r w:rsidR="00090072">
        <w:rPr>
          <w:rFonts w:cs="Calibri"/>
        </w:rPr>
        <w:t>’</w:t>
      </w:r>
      <w:r w:rsidR="0060275A">
        <w:rPr>
          <w:rFonts w:cs="Calibri"/>
        </w:rPr>
        <w:t xml:space="preserve"> (drug consume</w:t>
      </w:r>
      <w:r w:rsidR="00320214">
        <w:rPr>
          <w:rFonts w:cs="Calibri"/>
        </w:rPr>
        <w:t>r</w:t>
      </w:r>
      <w:r w:rsidR="0060275A">
        <w:rPr>
          <w:rFonts w:cs="Calibri"/>
        </w:rPr>
        <w:t xml:space="preserve"> outreach service</w:t>
      </w:r>
      <w:r w:rsidR="00320214">
        <w:rPr>
          <w:rFonts w:cs="Calibri"/>
        </w:rPr>
        <w:t>s</w:t>
      </w:r>
      <w:r w:rsidR="0060275A">
        <w:rPr>
          <w:rFonts w:cs="Calibri"/>
        </w:rPr>
        <w:t>)</w:t>
      </w:r>
      <w:r w:rsidR="00E00E05">
        <w:rPr>
          <w:rFonts w:cs="Calibri"/>
        </w:rPr>
        <w:t xml:space="preserve"> and methadone dosing clinics – spaces in which they </w:t>
      </w:r>
      <w:r w:rsidR="00B62E38">
        <w:rPr>
          <w:rFonts w:cs="Calibri"/>
        </w:rPr>
        <w:t xml:space="preserve">typically </w:t>
      </w:r>
      <w:r w:rsidR="00E00E05">
        <w:rPr>
          <w:rFonts w:cs="Calibri"/>
        </w:rPr>
        <w:t>felt comfortable and welcome.</w:t>
      </w:r>
      <w:r w:rsidR="0006402D">
        <w:rPr>
          <w:rFonts w:cs="Calibri"/>
        </w:rPr>
        <w:t xml:space="preserve"> For example,</w:t>
      </w:r>
      <w:r w:rsidR="00E00E05">
        <w:rPr>
          <w:rFonts w:cs="Calibri"/>
        </w:rPr>
        <w:t xml:space="preserve"> </w:t>
      </w:r>
      <w:r w:rsidR="0006402D">
        <w:rPr>
          <w:rFonts w:cs="Calibri"/>
        </w:rPr>
        <w:t>b</w:t>
      </w:r>
      <w:r w:rsidR="00E00E05">
        <w:rPr>
          <w:rFonts w:cs="Calibri"/>
        </w:rPr>
        <w:t>oth Bobbi (</w:t>
      </w:r>
      <w:r w:rsidR="004A44F1">
        <w:rPr>
          <w:rFonts w:cs="Calibri"/>
        </w:rPr>
        <w:t>female</w:t>
      </w:r>
      <w:r w:rsidR="00E00E05">
        <w:rPr>
          <w:rFonts w:cs="Calibri"/>
        </w:rPr>
        <w:t>, 35</w:t>
      </w:r>
      <w:r w:rsidR="00DA68FA">
        <w:rPr>
          <w:rFonts w:cs="Calibri"/>
        </w:rPr>
        <w:t xml:space="preserve"> years old</w:t>
      </w:r>
      <w:r w:rsidR="00E00E05">
        <w:rPr>
          <w:rFonts w:cs="Calibri"/>
        </w:rPr>
        <w:t>, NSW) and Julia (</w:t>
      </w:r>
      <w:r w:rsidR="004A44F1">
        <w:rPr>
          <w:rFonts w:cs="Calibri"/>
        </w:rPr>
        <w:t>female</w:t>
      </w:r>
      <w:r w:rsidR="00E00E05">
        <w:rPr>
          <w:rFonts w:cs="Calibri"/>
        </w:rPr>
        <w:t>, 54</w:t>
      </w:r>
      <w:r w:rsidR="00DA68FA">
        <w:rPr>
          <w:rFonts w:cs="Calibri"/>
        </w:rPr>
        <w:t xml:space="preserve"> years old</w:t>
      </w:r>
      <w:r w:rsidR="00E00E05">
        <w:rPr>
          <w:rFonts w:cs="Calibri"/>
        </w:rPr>
        <w:t>, NSW) explain they would prefer to do overdose training and access take-home naloxone through needle</w:t>
      </w:r>
      <w:r w:rsidR="0006402D">
        <w:rPr>
          <w:rFonts w:cs="Calibri"/>
        </w:rPr>
        <w:t xml:space="preserve"> and syringe</w:t>
      </w:r>
      <w:r w:rsidR="00E00E05">
        <w:rPr>
          <w:rFonts w:cs="Calibri"/>
        </w:rPr>
        <w:t xml:space="preserve"> exchanges. </w:t>
      </w:r>
      <w:r>
        <w:rPr>
          <w:rFonts w:cs="Calibri"/>
        </w:rPr>
        <w:t xml:space="preserve">As </w:t>
      </w:r>
      <w:r w:rsidR="00E00E05">
        <w:rPr>
          <w:rFonts w:cs="Calibri"/>
        </w:rPr>
        <w:t xml:space="preserve">Bobbi says, ‘they’re not judgemental and they want you to use it [heroin] in the best way’. </w:t>
      </w:r>
      <w:r w:rsidR="00263200">
        <w:rPr>
          <w:rFonts w:cs="Calibri"/>
        </w:rPr>
        <w:t>Dylan (</w:t>
      </w:r>
      <w:r w:rsidR="004A44F1">
        <w:rPr>
          <w:rFonts w:cs="Calibri"/>
        </w:rPr>
        <w:t>male</w:t>
      </w:r>
      <w:r w:rsidR="00263200">
        <w:rPr>
          <w:rFonts w:cs="Calibri"/>
        </w:rPr>
        <w:t>, 33</w:t>
      </w:r>
      <w:r w:rsidR="00DA68FA">
        <w:rPr>
          <w:rFonts w:cs="Calibri"/>
        </w:rPr>
        <w:t xml:space="preserve"> years old</w:t>
      </w:r>
      <w:r w:rsidR="00263200">
        <w:rPr>
          <w:rFonts w:cs="Calibri"/>
        </w:rPr>
        <w:t>, V</w:t>
      </w:r>
      <w:r w:rsidR="00320214">
        <w:rPr>
          <w:rFonts w:cs="Calibri"/>
        </w:rPr>
        <w:t>ic</w:t>
      </w:r>
      <w:r w:rsidR="00263200">
        <w:rPr>
          <w:rFonts w:cs="Calibri"/>
        </w:rPr>
        <w:t xml:space="preserve">) spoke highly of </w:t>
      </w:r>
      <w:r w:rsidR="0006402D">
        <w:rPr>
          <w:rFonts w:cs="Calibri"/>
        </w:rPr>
        <w:t xml:space="preserve">the </w:t>
      </w:r>
      <w:r w:rsidR="00D303E1">
        <w:rPr>
          <w:rFonts w:cs="Calibri"/>
        </w:rPr>
        <w:t>peer</w:t>
      </w:r>
      <w:r w:rsidR="00263200">
        <w:rPr>
          <w:rFonts w:cs="Calibri"/>
        </w:rPr>
        <w:t>-based naloxone training in Victoria</w:t>
      </w:r>
      <w:r>
        <w:rPr>
          <w:rFonts w:cs="Calibri"/>
        </w:rPr>
        <w:t xml:space="preserve">, </w:t>
      </w:r>
      <w:r w:rsidR="00263200">
        <w:rPr>
          <w:rFonts w:cs="Calibri"/>
        </w:rPr>
        <w:t>saying it was ‘fantastic’</w:t>
      </w:r>
      <w:r>
        <w:rPr>
          <w:rFonts w:cs="Calibri"/>
        </w:rPr>
        <w:t>,</w:t>
      </w:r>
      <w:r w:rsidR="0006402D">
        <w:rPr>
          <w:rFonts w:cs="Calibri"/>
        </w:rPr>
        <w:t xml:space="preserve"> and aligned with his stance on harm</w:t>
      </w:r>
      <w:r>
        <w:rPr>
          <w:rFonts w:cs="Calibri"/>
        </w:rPr>
        <w:t xml:space="preserve"> </w:t>
      </w:r>
      <w:r w:rsidR="0006402D">
        <w:rPr>
          <w:rFonts w:cs="Calibri"/>
        </w:rPr>
        <w:t xml:space="preserve">reduction. </w:t>
      </w:r>
      <w:r>
        <w:rPr>
          <w:rFonts w:cs="Calibri"/>
        </w:rPr>
        <w:t>Of course,</w:t>
      </w:r>
      <w:r w:rsidR="0006402D">
        <w:rPr>
          <w:rFonts w:cs="Calibri"/>
        </w:rPr>
        <w:t xml:space="preserve"> t</w:t>
      </w:r>
      <w:r w:rsidR="00E00E05">
        <w:rPr>
          <w:rFonts w:cs="Calibri"/>
        </w:rPr>
        <w:t xml:space="preserve">hese healthcare sites are </w:t>
      </w:r>
      <w:r w:rsidR="0006402D">
        <w:rPr>
          <w:rFonts w:cs="Calibri"/>
        </w:rPr>
        <w:t>not</w:t>
      </w:r>
      <w:r>
        <w:rPr>
          <w:rFonts w:cs="Calibri"/>
        </w:rPr>
        <w:t xml:space="preserve"> themselves wholly</w:t>
      </w:r>
      <w:r w:rsidR="0006402D">
        <w:rPr>
          <w:rFonts w:cs="Calibri"/>
        </w:rPr>
        <w:t xml:space="preserve"> free</w:t>
      </w:r>
      <w:r w:rsidR="00E00E05">
        <w:rPr>
          <w:rFonts w:cs="Calibri"/>
        </w:rPr>
        <w:t xml:space="preserve"> of the operations of </w:t>
      </w:r>
      <w:r w:rsidR="0006402D">
        <w:rPr>
          <w:rFonts w:cs="Calibri"/>
        </w:rPr>
        <w:t xml:space="preserve">addiction </w:t>
      </w:r>
      <w:r w:rsidR="00E00E05">
        <w:rPr>
          <w:rFonts w:cs="Calibri"/>
        </w:rPr>
        <w:t>stigma</w:t>
      </w:r>
      <w:r w:rsidR="0006402D">
        <w:rPr>
          <w:rFonts w:cs="Calibri"/>
        </w:rPr>
        <w:t xml:space="preserve">, but in them, take-home naloxone was typically performed as useful, pragmatic and life-saving. </w:t>
      </w:r>
    </w:p>
    <w:p w14:paraId="6606A68F" w14:textId="77777777" w:rsidR="00C401C0" w:rsidRDefault="00C401C0" w:rsidP="00DB27E6">
      <w:pPr>
        <w:spacing w:line="360" w:lineRule="auto"/>
        <w:rPr>
          <w:rFonts w:cs="Calibri"/>
        </w:rPr>
      </w:pPr>
    </w:p>
    <w:p w14:paraId="2917008C" w14:textId="4B2CC51E" w:rsidR="00DB27E6" w:rsidRDefault="00E00E05" w:rsidP="00DB27E6">
      <w:pPr>
        <w:spacing w:line="360" w:lineRule="auto"/>
        <w:rPr>
          <w:rFonts w:cs="Calibri"/>
        </w:rPr>
      </w:pPr>
      <w:r>
        <w:rPr>
          <w:rFonts w:cs="Calibri"/>
        </w:rPr>
        <w:t xml:space="preserve">We highlight these tensions </w:t>
      </w:r>
      <w:r w:rsidR="00DB27E6">
        <w:rPr>
          <w:rFonts w:cs="Calibri"/>
        </w:rPr>
        <w:t>not to argue agains</w:t>
      </w:r>
      <w:r w:rsidR="0006402D">
        <w:rPr>
          <w:rFonts w:cs="Calibri"/>
        </w:rPr>
        <w:t>t the expan</w:t>
      </w:r>
      <w:r w:rsidR="00C401C0">
        <w:rPr>
          <w:rFonts w:cs="Calibri"/>
        </w:rPr>
        <w:t>sion of</w:t>
      </w:r>
      <w:r w:rsidR="0006402D">
        <w:rPr>
          <w:rFonts w:cs="Calibri"/>
        </w:rPr>
        <w:t xml:space="preserve"> take-home naloxone </w:t>
      </w:r>
      <w:r w:rsidR="00C401C0">
        <w:rPr>
          <w:rFonts w:cs="Calibri"/>
        </w:rPr>
        <w:t>availability to</w:t>
      </w:r>
      <w:r w:rsidR="0006402D">
        <w:rPr>
          <w:rFonts w:cs="Calibri"/>
        </w:rPr>
        <w:t xml:space="preserve"> pharmacies, nor </w:t>
      </w:r>
      <w:r w:rsidR="00DB27E6">
        <w:rPr>
          <w:rFonts w:cs="Calibri"/>
        </w:rPr>
        <w:t>the provision</w:t>
      </w:r>
      <w:r>
        <w:rPr>
          <w:rFonts w:cs="Calibri"/>
        </w:rPr>
        <w:t xml:space="preserve"> of take-home naloxone in </w:t>
      </w:r>
      <w:r w:rsidR="00D303E1">
        <w:rPr>
          <w:rFonts w:cs="Calibri"/>
        </w:rPr>
        <w:t>peer-based services,</w:t>
      </w:r>
      <w:r>
        <w:rPr>
          <w:rFonts w:cs="Calibri"/>
        </w:rPr>
        <w:t xml:space="preserve"> but instead </w:t>
      </w:r>
      <w:r w:rsidR="00DB27E6">
        <w:rPr>
          <w:rFonts w:cs="Calibri"/>
        </w:rPr>
        <w:t>to draw attention to how</w:t>
      </w:r>
      <w:r w:rsidR="00AE02BE">
        <w:rPr>
          <w:rFonts w:cs="Calibri"/>
        </w:rPr>
        <w:t xml:space="preserve"> </w:t>
      </w:r>
      <w:r w:rsidR="00DB27E6">
        <w:rPr>
          <w:rFonts w:cs="Calibri"/>
        </w:rPr>
        <w:t>t</w:t>
      </w:r>
      <w:r w:rsidR="00AE02BE">
        <w:rPr>
          <w:rFonts w:cs="Calibri"/>
        </w:rPr>
        <w:t>ensions</w:t>
      </w:r>
      <w:r w:rsidR="00DB27E6">
        <w:rPr>
          <w:rFonts w:cs="Calibri"/>
        </w:rPr>
        <w:t xml:space="preserve"> around</w:t>
      </w:r>
      <w:r w:rsidR="00AE02BE">
        <w:rPr>
          <w:rFonts w:cs="Calibri"/>
        </w:rPr>
        <w:t xml:space="preserve"> a</w:t>
      </w:r>
      <w:r w:rsidR="00441A8A">
        <w:rPr>
          <w:rFonts w:cs="Calibri"/>
        </w:rPr>
        <w:t>ccess</w:t>
      </w:r>
      <w:r w:rsidR="00DB27E6">
        <w:rPr>
          <w:rFonts w:cs="Calibri"/>
        </w:rPr>
        <w:t xml:space="preserve"> and</w:t>
      </w:r>
      <w:r w:rsidR="00441A8A">
        <w:rPr>
          <w:rFonts w:cs="Calibri"/>
        </w:rPr>
        <w:t xml:space="preserve"> availability</w:t>
      </w:r>
      <w:r w:rsidR="00DB27E6">
        <w:rPr>
          <w:rFonts w:cs="Calibri"/>
        </w:rPr>
        <w:t xml:space="preserve"> are implicated in </w:t>
      </w:r>
      <w:r w:rsidR="007E2FC8">
        <w:rPr>
          <w:rFonts w:cs="Calibri"/>
        </w:rPr>
        <w:t>the production of stigma</w:t>
      </w:r>
      <w:r w:rsidR="00DB27E6">
        <w:rPr>
          <w:rFonts w:cs="Calibri"/>
        </w:rPr>
        <w:t xml:space="preserve">. </w:t>
      </w:r>
      <w:bookmarkStart w:id="15" w:name="_Hlk26525823"/>
      <w:r>
        <w:rPr>
          <w:rFonts w:cs="Calibri"/>
        </w:rPr>
        <w:t>The</w:t>
      </w:r>
      <w:r w:rsidR="00DB27E6">
        <w:rPr>
          <w:rFonts w:cs="Calibri"/>
        </w:rPr>
        <w:t xml:space="preserve"> </w:t>
      </w:r>
      <w:r w:rsidR="00441A8A">
        <w:rPr>
          <w:rFonts w:cs="Calibri"/>
        </w:rPr>
        <w:t xml:space="preserve">very </w:t>
      </w:r>
      <w:r w:rsidR="00DB27E6">
        <w:rPr>
          <w:rFonts w:cs="Calibri"/>
        </w:rPr>
        <w:t>presence of take-home naloxone</w:t>
      </w:r>
      <w:r w:rsidR="00441A8A">
        <w:rPr>
          <w:rFonts w:cs="Calibri"/>
        </w:rPr>
        <w:t xml:space="preserve"> in </w:t>
      </w:r>
      <w:r w:rsidR="004B2304">
        <w:rPr>
          <w:rFonts w:cs="Calibri"/>
        </w:rPr>
        <w:t>mainstream health services has the capacity to</w:t>
      </w:r>
      <w:r w:rsidR="0008233B">
        <w:rPr>
          <w:rFonts w:cs="Calibri"/>
        </w:rPr>
        <w:t xml:space="preserve"> render</w:t>
      </w:r>
      <w:r w:rsidR="00DB27E6">
        <w:rPr>
          <w:rFonts w:cs="Calibri"/>
        </w:rPr>
        <w:t xml:space="preserve"> certain consumption practices </w:t>
      </w:r>
      <w:r w:rsidR="00441A8A">
        <w:rPr>
          <w:rFonts w:cs="Calibri"/>
        </w:rPr>
        <w:t>less shameful, while its absence</w:t>
      </w:r>
      <w:r w:rsidR="00F2639C">
        <w:rPr>
          <w:rFonts w:cs="Calibri"/>
        </w:rPr>
        <w:t xml:space="preserve"> or invisibility</w:t>
      </w:r>
      <w:r w:rsidR="00441A8A">
        <w:rPr>
          <w:rFonts w:cs="Calibri"/>
        </w:rPr>
        <w:t xml:space="preserve"> render</w:t>
      </w:r>
      <w:r w:rsidR="0008233B">
        <w:rPr>
          <w:rFonts w:cs="Calibri"/>
        </w:rPr>
        <w:t>s</w:t>
      </w:r>
      <w:r w:rsidR="00441A8A">
        <w:rPr>
          <w:rFonts w:cs="Calibri"/>
        </w:rPr>
        <w:t xml:space="preserve"> the consumption of opioids and associated health concerns marginal, unwelcome and illegitima</w:t>
      </w:r>
      <w:bookmarkStart w:id="16" w:name="_Hlk27061709"/>
      <w:r w:rsidR="00441A8A">
        <w:rPr>
          <w:rFonts w:cs="Calibri"/>
        </w:rPr>
        <w:t xml:space="preserve">te. </w:t>
      </w:r>
      <w:r w:rsidR="00C401C0">
        <w:rPr>
          <w:rFonts w:cs="Calibri"/>
        </w:rPr>
        <w:t>Indeed,</w:t>
      </w:r>
      <w:r w:rsidR="0052677A">
        <w:rPr>
          <w:rFonts w:cs="Calibri"/>
        </w:rPr>
        <w:t xml:space="preserve"> the wide</w:t>
      </w:r>
      <w:r w:rsidR="00293782">
        <w:rPr>
          <w:rFonts w:cs="Calibri"/>
        </w:rPr>
        <w:t>r</w:t>
      </w:r>
      <w:r w:rsidR="0052677A">
        <w:rPr>
          <w:rFonts w:cs="Calibri"/>
        </w:rPr>
        <w:t xml:space="preserve"> availability of take-home naloxone in pharmacies </w:t>
      </w:r>
      <w:r w:rsidR="00C401C0">
        <w:rPr>
          <w:rFonts w:cs="Calibri"/>
        </w:rPr>
        <w:t>may do</w:t>
      </w:r>
      <w:r w:rsidR="0052677A">
        <w:rPr>
          <w:rFonts w:cs="Calibri"/>
        </w:rPr>
        <w:t xml:space="preserve"> much to perform and realign take-home naloxone as </w:t>
      </w:r>
      <w:r w:rsidR="00607DD0">
        <w:rPr>
          <w:rFonts w:cs="Calibri"/>
        </w:rPr>
        <w:t>a health-promoting object and a legitimate concern of</w:t>
      </w:r>
      <w:r w:rsidR="00293782">
        <w:t xml:space="preserve"> </w:t>
      </w:r>
      <w:r w:rsidR="00293782">
        <w:rPr>
          <w:rFonts w:cs="Calibri"/>
        </w:rPr>
        <w:t>mainstream</w:t>
      </w:r>
      <w:r w:rsidR="00607DD0">
        <w:rPr>
          <w:rFonts w:cs="Calibri"/>
        </w:rPr>
        <w:t xml:space="preserve"> public </w:t>
      </w:r>
      <w:r w:rsidR="0052677A">
        <w:rPr>
          <w:rFonts w:cs="Calibri"/>
        </w:rPr>
        <w:t>healthcare</w:t>
      </w:r>
      <w:r w:rsidR="00607DD0">
        <w:rPr>
          <w:rFonts w:cs="Calibri"/>
        </w:rPr>
        <w:t>.</w:t>
      </w:r>
      <w:bookmarkEnd w:id="15"/>
      <w:bookmarkEnd w:id="16"/>
    </w:p>
    <w:p w14:paraId="6E4F568B" w14:textId="77777777" w:rsidR="006822E7" w:rsidRDefault="006822E7" w:rsidP="00CD6C43">
      <w:pPr>
        <w:spacing w:line="360" w:lineRule="auto"/>
      </w:pPr>
    </w:p>
    <w:p w14:paraId="64AE32D0" w14:textId="49895042" w:rsidR="006822E7" w:rsidRDefault="00B74C93" w:rsidP="00CD6C43">
      <w:pPr>
        <w:spacing w:line="360" w:lineRule="auto"/>
      </w:pPr>
      <w:bookmarkStart w:id="17" w:name="_Hlk26525835"/>
      <w:r>
        <w:t xml:space="preserve">Intersections </w:t>
      </w:r>
      <w:r w:rsidR="00C401C0">
        <w:t>between</w:t>
      </w:r>
      <w:r>
        <w:t xml:space="preserve"> stigma and</w:t>
      </w:r>
      <w:r w:rsidR="00452C49">
        <w:t xml:space="preserve"> take-home naloxone</w:t>
      </w:r>
      <w:r>
        <w:t xml:space="preserve"> access</w:t>
      </w:r>
      <w:r w:rsidR="00452C49">
        <w:t xml:space="preserve"> also</w:t>
      </w:r>
      <w:r>
        <w:t xml:space="preserve"> extend beyond </w:t>
      </w:r>
      <w:r w:rsidR="00452C49">
        <w:t xml:space="preserve">availability and acquisition to the capacity of consumers to safely carry and administer </w:t>
      </w:r>
      <w:r w:rsidR="00C401C0">
        <w:t>it</w:t>
      </w:r>
      <w:r w:rsidR="00452C49">
        <w:t xml:space="preserve">. </w:t>
      </w:r>
      <w:bookmarkEnd w:id="17"/>
      <w:r w:rsidR="00452C49">
        <w:t>A</w:t>
      </w:r>
      <w:r w:rsidR="00C74FAD">
        <w:t xml:space="preserve">s </w:t>
      </w:r>
      <w:r w:rsidR="00F2639C">
        <w:t>noted</w:t>
      </w:r>
      <w:r w:rsidR="00C74FAD">
        <w:t xml:space="preserve"> earlier, </w:t>
      </w:r>
      <w:r w:rsidR="00E240E4">
        <w:t xml:space="preserve">some </w:t>
      </w:r>
      <w:r w:rsidR="006822E7">
        <w:t>participants</w:t>
      </w:r>
      <w:r w:rsidR="00E240E4">
        <w:t xml:space="preserve"> </w:t>
      </w:r>
      <w:r w:rsidR="00F2639C">
        <w:t>reported being</w:t>
      </w:r>
      <w:r w:rsidR="00E240E4">
        <w:t xml:space="preserve"> dissuaded from accessing take-home naloxone because they did not want to carry it</w:t>
      </w:r>
      <w:r w:rsidR="006822E7">
        <w:t xml:space="preserve"> </w:t>
      </w:r>
      <w:r w:rsidR="00720E6F">
        <w:t>in public</w:t>
      </w:r>
      <w:r w:rsidR="00F2639C">
        <w:t xml:space="preserve">. </w:t>
      </w:r>
      <w:r w:rsidR="0006402D">
        <w:t>Jamie (</w:t>
      </w:r>
      <w:r w:rsidR="004A44F1">
        <w:t>female</w:t>
      </w:r>
      <w:r w:rsidR="0006402D">
        <w:t>, 32</w:t>
      </w:r>
      <w:r w:rsidR="00DA68FA">
        <w:t xml:space="preserve"> years old</w:t>
      </w:r>
      <w:r w:rsidR="0006402D">
        <w:t>, NSW)</w:t>
      </w:r>
      <w:r>
        <w:t>, for example,</w:t>
      </w:r>
      <w:r w:rsidR="0006402D">
        <w:t xml:space="preserve"> </w:t>
      </w:r>
      <w:r>
        <w:t xml:space="preserve">says </w:t>
      </w:r>
      <w:r w:rsidR="00293782">
        <w:t>she</w:t>
      </w:r>
      <w:r>
        <w:t xml:space="preserve"> is not ‘comfortable’ carrying take-home naloxone in case she gets ‘pulled up by the police’. </w:t>
      </w:r>
      <w:r w:rsidR="006822E7">
        <w:t>Julia (</w:t>
      </w:r>
      <w:r w:rsidR="004A44F1">
        <w:t>female</w:t>
      </w:r>
      <w:r w:rsidR="006822E7">
        <w:t>, 54</w:t>
      </w:r>
      <w:r w:rsidR="00DA68FA">
        <w:t xml:space="preserve"> years old</w:t>
      </w:r>
      <w:r w:rsidR="006822E7">
        <w:t>, NSW)</w:t>
      </w:r>
      <w:r>
        <w:t xml:space="preserve"> </w:t>
      </w:r>
      <w:r w:rsidR="00F2639C">
        <w:t xml:space="preserve">relates </w:t>
      </w:r>
      <w:r w:rsidR="008915B7">
        <w:t>an experience with the police</w:t>
      </w:r>
      <w:r w:rsidR="006822E7">
        <w:t xml:space="preserve"> </w:t>
      </w:r>
      <w:r w:rsidR="002C14F5">
        <w:t xml:space="preserve">that </w:t>
      </w:r>
      <w:r w:rsidR="006822E7">
        <w:t xml:space="preserve">made her ‘quite reluctant to carry it’: </w:t>
      </w:r>
    </w:p>
    <w:p w14:paraId="09E04668" w14:textId="77777777" w:rsidR="006822E7" w:rsidRDefault="006822E7" w:rsidP="00CD6C43">
      <w:pPr>
        <w:spacing w:line="360" w:lineRule="auto"/>
      </w:pPr>
    </w:p>
    <w:p w14:paraId="7BF9CC62" w14:textId="74574E6E" w:rsidR="006822E7" w:rsidRPr="00D41D71" w:rsidRDefault="006822E7" w:rsidP="00CD6C43">
      <w:pPr>
        <w:spacing w:line="360" w:lineRule="auto"/>
        <w:ind w:left="720"/>
      </w:pPr>
      <w:r w:rsidRPr="00D41D71">
        <w:lastRenderedPageBreak/>
        <w:t>I have come across the police and they’ve ac</w:t>
      </w:r>
      <w:r>
        <w:t xml:space="preserve">tually been quite rude about it </w:t>
      </w:r>
      <w:r w:rsidRPr="008915B7">
        <w:rPr>
          <w:bCs/>
        </w:rPr>
        <w:t>[…]</w:t>
      </w:r>
      <w:r w:rsidR="00F2639C">
        <w:t xml:space="preserve"> v</w:t>
      </w:r>
      <w:r w:rsidRPr="00D41D71">
        <w:t xml:space="preserve">ery rude. You know, </w:t>
      </w:r>
      <w:r w:rsidR="00F2639C">
        <w:t>‘</w:t>
      </w:r>
      <w:r w:rsidRPr="00D41D71">
        <w:t>Who’d you get it from?</w:t>
      </w:r>
      <w:r w:rsidR="00F2639C">
        <w:t>’</w:t>
      </w:r>
      <w:r w:rsidRPr="00D41D71">
        <w:t xml:space="preserve"> </w:t>
      </w:r>
      <w:r w:rsidR="00F2639C">
        <w:t>‘</w:t>
      </w:r>
      <w:r w:rsidRPr="00D41D71">
        <w:t>You can get it for nothing.</w:t>
      </w:r>
      <w:r w:rsidR="00F2639C">
        <w:t>’</w:t>
      </w:r>
      <w:r w:rsidRPr="00D41D71">
        <w:t xml:space="preserve"> </w:t>
      </w:r>
      <w:r w:rsidR="00F2639C">
        <w:t>‘</w:t>
      </w:r>
      <w:r w:rsidRPr="00D41D71">
        <w:t>No, you can’t.</w:t>
      </w:r>
      <w:r w:rsidR="00F2639C">
        <w:t>’</w:t>
      </w:r>
      <w:r w:rsidRPr="00D41D71">
        <w:t xml:space="preserve"> </w:t>
      </w:r>
      <w:r w:rsidR="00F2639C">
        <w:t>[…] ‘</w:t>
      </w:r>
      <w:r w:rsidRPr="00D41D71">
        <w:t>Well, yes, you can.</w:t>
      </w:r>
      <w:r w:rsidR="00F2639C">
        <w:t>’</w:t>
      </w:r>
      <w:r w:rsidRPr="00D41D71">
        <w:t xml:space="preserve"> They know, they’re trying to trick me into something</w:t>
      </w:r>
      <w:r w:rsidR="007E18CC">
        <w:t>.</w:t>
      </w:r>
      <w:r w:rsidRPr="00D41D71">
        <w:t xml:space="preserve"> </w:t>
      </w:r>
    </w:p>
    <w:p w14:paraId="3922CC2E" w14:textId="77777777" w:rsidR="006822E7" w:rsidRDefault="006822E7" w:rsidP="00CD6C43">
      <w:pPr>
        <w:spacing w:line="360" w:lineRule="auto"/>
      </w:pPr>
    </w:p>
    <w:p w14:paraId="2013818B" w14:textId="58499303" w:rsidR="00E240E4" w:rsidRDefault="00E240E4" w:rsidP="00CD6C43">
      <w:pPr>
        <w:spacing w:line="360" w:lineRule="auto"/>
        <w:rPr>
          <w:lang w:val="en-US"/>
        </w:rPr>
      </w:pPr>
      <w:r>
        <w:t xml:space="preserve">Julia explains that police harassment affected her decision </w:t>
      </w:r>
      <w:r w:rsidR="00EA3B2D">
        <w:t xml:space="preserve">not </w:t>
      </w:r>
      <w:r w:rsidR="00F71D2E">
        <w:t xml:space="preserve">to </w:t>
      </w:r>
      <w:r>
        <w:t>carry take-home naloxone</w:t>
      </w:r>
      <w:r w:rsidR="0008233B">
        <w:t>. A</w:t>
      </w:r>
      <w:r>
        <w:t>s she reflects later</w:t>
      </w:r>
      <w:r w:rsidR="006822E7">
        <w:t>,</w:t>
      </w:r>
      <w:r>
        <w:t xml:space="preserve"> </w:t>
      </w:r>
      <w:r w:rsidR="006822E7">
        <w:t>‘</w:t>
      </w:r>
      <w:r w:rsidR="006822E7" w:rsidRPr="00D41D71">
        <w:t>it</w:t>
      </w:r>
      <w:r w:rsidR="00A05A5B">
        <w:t>’s</w:t>
      </w:r>
      <w:r w:rsidR="006822E7" w:rsidRPr="00D41D71">
        <w:t xml:space="preserve"> not going to be useful if I’m not able to carry it. It’s no good at home</w:t>
      </w:r>
      <w:r w:rsidR="006822E7">
        <w:t>’</w:t>
      </w:r>
      <w:r w:rsidR="00223B1C">
        <w:t xml:space="preserve">. </w:t>
      </w:r>
      <w:r w:rsidR="00961AB8">
        <w:rPr>
          <w:lang w:val="en-US"/>
        </w:rPr>
        <w:t>Here, t</w:t>
      </w:r>
      <w:r w:rsidR="00223B1C" w:rsidRPr="00AD586E">
        <w:rPr>
          <w:lang w:val="en-US"/>
        </w:rPr>
        <w:t xml:space="preserve">he issue of take-home naloxone may serve as an </w:t>
      </w:r>
      <w:r w:rsidR="00223B1C">
        <w:rPr>
          <w:lang w:val="en-US"/>
        </w:rPr>
        <w:t>exemplar</w:t>
      </w:r>
      <w:r w:rsidR="00223B1C" w:rsidRPr="00AD586E">
        <w:rPr>
          <w:lang w:val="en-US"/>
        </w:rPr>
        <w:t xml:space="preserve"> of ‘doubled’ or ‘circular’</w:t>
      </w:r>
      <w:r w:rsidR="00720E6F">
        <w:rPr>
          <w:lang w:val="en-US"/>
        </w:rPr>
        <w:t xml:space="preserve"> </w:t>
      </w:r>
      <w:r w:rsidR="00DB0FB4">
        <w:rPr>
          <w:lang w:val="en-US"/>
        </w:rPr>
        <w:t xml:space="preserve">abjection </w:t>
      </w:r>
      <w:r w:rsidR="00720E6F">
        <w:rPr>
          <w:lang w:val="en-US"/>
        </w:rPr>
        <w:t>(</w:t>
      </w:r>
      <w:r w:rsidR="00DB0FB4">
        <w:rPr>
          <w:lang w:val="en-US"/>
        </w:rPr>
        <w:t xml:space="preserve">Fraser et al., </w:t>
      </w:r>
      <w:r w:rsidR="0022109A">
        <w:rPr>
          <w:lang w:val="en-US"/>
        </w:rPr>
        <w:t>2017</w:t>
      </w:r>
      <w:r w:rsidR="00640A23">
        <w:rPr>
          <w:lang w:val="en-US"/>
        </w:rPr>
        <w:t xml:space="preserve">: </w:t>
      </w:r>
      <w:r w:rsidR="0022109A">
        <w:rPr>
          <w:lang w:val="en-US"/>
        </w:rPr>
        <w:t>199</w:t>
      </w:r>
      <w:r w:rsidR="00720E6F">
        <w:rPr>
          <w:lang w:val="en-US"/>
        </w:rPr>
        <w:t>)</w:t>
      </w:r>
      <w:r w:rsidR="00223B1C" w:rsidRPr="00AD586E">
        <w:rPr>
          <w:lang w:val="en-US"/>
        </w:rPr>
        <w:t xml:space="preserve">. </w:t>
      </w:r>
      <w:r w:rsidR="00961AB8">
        <w:rPr>
          <w:lang w:val="en-US"/>
        </w:rPr>
        <w:t>P</w:t>
      </w:r>
      <w:r w:rsidR="00223B1C" w:rsidRPr="00AD586E">
        <w:rPr>
          <w:lang w:val="en-US"/>
        </w:rPr>
        <w:t xml:space="preserve">eople who </w:t>
      </w:r>
      <w:r w:rsidR="0070717C">
        <w:rPr>
          <w:lang w:val="en-US"/>
        </w:rPr>
        <w:t>consume</w:t>
      </w:r>
      <w:r w:rsidR="0070717C" w:rsidRPr="00AD586E">
        <w:rPr>
          <w:lang w:val="en-US"/>
        </w:rPr>
        <w:t xml:space="preserve"> </w:t>
      </w:r>
      <w:r w:rsidR="00223B1C" w:rsidRPr="00AD586E">
        <w:rPr>
          <w:lang w:val="en-US"/>
        </w:rPr>
        <w:t xml:space="preserve">drugs </w:t>
      </w:r>
      <w:r w:rsidR="00961AB8">
        <w:rPr>
          <w:lang w:val="en-US"/>
        </w:rPr>
        <w:t>are enjoined to</w:t>
      </w:r>
      <w:r w:rsidR="00223B1C" w:rsidRPr="00AD586E">
        <w:rPr>
          <w:lang w:val="en-US"/>
        </w:rPr>
        <w:t xml:space="preserve"> </w:t>
      </w:r>
      <w:r w:rsidR="00961AB8">
        <w:rPr>
          <w:lang w:val="en-US"/>
        </w:rPr>
        <w:t xml:space="preserve">undertake </w:t>
      </w:r>
      <w:r w:rsidR="00FE6843">
        <w:rPr>
          <w:lang w:val="en-US"/>
        </w:rPr>
        <w:t xml:space="preserve">complicated and </w:t>
      </w:r>
      <w:r w:rsidR="00961AB8">
        <w:rPr>
          <w:lang w:val="en-US"/>
        </w:rPr>
        <w:t>challenging activities such as saving lives through the adminis</w:t>
      </w:r>
      <w:r w:rsidR="00223B1C" w:rsidRPr="00AD586E">
        <w:rPr>
          <w:lang w:val="en-US"/>
        </w:rPr>
        <w:t>tration of take-home naloxone</w:t>
      </w:r>
      <w:r w:rsidR="00961AB8">
        <w:rPr>
          <w:lang w:val="en-US"/>
        </w:rPr>
        <w:t>. In doing so, they are expected to perform as exemplary liberal subjects, despite being denied legitimate subject status. Instead they may find themselves</w:t>
      </w:r>
      <w:r w:rsidR="0055576D">
        <w:rPr>
          <w:lang w:val="en-US"/>
        </w:rPr>
        <w:t xml:space="preserve"> </w:t>
      </w:r>
      <w:r w:rsidR="00961AB8">
        <w:rPr>
          <w:lang w:val="en-US"/>
        </w:rPr>
        <w:t xml:space="preserve">subjected to scrutiny and questioning around carrying the very life-saving resource they have been called upon to carry. </w:t>
      </w:r>
      <w:r w:rsidR="00720E6F">
        <w:rPr>
          <w:lang w:val="en-US"/>
        </w:rPr>
        <w:t>In this sense, the</w:t>
      </w:r>
      <w:r w:rsidR="0055576D">
        <w:rPr>
          <w:lang w:val="en-US"/>
        </w:rPr>
        <w:t xml:space="preserve"> stigma and </w:t>
      </w:r>
      <w:r w:rsidR="00223B1C" w:rsidRPr="00AD586E">
        <w:rPr>
          <w:lang w:val="en-US"/>
        </w:rPr>
        <w:t xml:space="preserve">loss of legitimacy </w:t>
      </w:r>
      <w:r w:rsidR="00A05A5B">
        <w:rPr>
          <w:lang w:val="en-US"/>
        </w:rPr>
        <w:t xml:space="preserve">reported by </w:t>
      </w:r>
      <w:r w:rsidR="00223B1C" w:rsidRPr="00AD586E">
        <w:rPr>
          <w:lang w:val="en-US"/>
        </w:rPr>
        <w:t xml:space="preserve">participants cannot </w:t>
      </w:r>
      <w:r w:rsidR="00961AB8">
        <w:rPr>
          <w:lang w:val="en-US"/>
        </w:rPr>
        <w:t xml:space="preserve">readily </w:t>
      </w:r>
      <w:r w:rsidR="00223B1C" w:rsidRPr="00AD586E">
        <w:rPr>
          <w:lang w:val="en-US"/>
        </w:rPr>
        <w:t>be remedied by take-home naloxone</w:t>
      </w:r>
      <w:r w:rsidR="0055576D">
        <w:rPr>
          <w:lang w:val="en-US"/>
        </w:rPr>
        <w:t>. I</w:t>
      </w:r>
      <w:r>
        <w:rPr>
          <w:lang w:val="en-US"/>
        </w:rPr>
        <w:t>ndeed</w:t>
      </w:r>
      <w:r w:rsidR="0055576D">
        <w:rPr>
          <w:lang w:val="en-US"/>
        </w:rPr>
        <w:t>, it may</w:t>
      </w:r>
      <w:r w:rsidR="00223B1C" w:rsidRPr="00AD586E">
        <w:rPr>
          <w:lang w:val="en-US"/>
        </w:rPr>
        <w:t xml:space="preserve"> be magnified by it</w:t>
      </w:r>
      <w:r w:rsidR="00896212">
        <w:rPr>
          <w:lang w:val="en-US"/>
        </w:rPr>
        <w:t xml:space="preserve"> if associated </w:t>
      </w:r>
      <w:r w:rsidR="00961AB8">
        <w:rPr>
          <w:lang w:val="en-US"/>
        </w:rPr>
        <w:t xml:space="preserve">legal </w:t>
      </w:r>
      <w:r w:rsidR="00896212">
        <w:rPr>
          <w:lang w:val="en-US"/>
        </w:rPr>
        <w:t xml:space="preserve">and social </w:t>
      </w:r>
      <w:r w:rsidR="00961AB8">
        <w:rPr>
          <w:lang w:val="en-US"/>
        </w:rPr>
        <w:t xml:space="preserve">conditions </w:t>
      </w:r>
      <w:r w:rsidR="00896212">
        <w:rPr>
          <w:lang w:val="en-US"/>
        </w:rPr>
        <w:t xml:space="preserve">are not also addressed. </w:t>
      </w:r>
    </w:p>
    <w:p w14:paraId="0136F6D1" w14:textId="2C91F67C" w:rsidR="00037EB5" w:rsidRPr="00F85861" w:rsidRDefault="00037EB5" w:rsidP="00CD6C43">
      <w:pPr>
        <w:spacing w:line="360" w:lineRule="auto"/>
      </w:pPr>
    </w:p>
    <w:p w14:paraId="5615C5B8" w14:textId="33D8E20C" w:rsidR="00C21E23" w:rsidRDefault="004B7404" w:rsidP="008B0AC4">
      <w:pPr>
        <w:pStyle w:val="Heading3"/>
        <w:rPr>
          <w:i/>
        </w:rPr>
      </w:pPr>
      <w:r>
        <w:rPr>
          <w:i/>
        </w:rPr>
        <w:t>T</w:t>
      </w:r>
      <w:r w:rsidR="007D3879">
        <w:rPr>
          <w:i/>
        </w:rPr>
        <w:t>he social production of overdose</w:t>
      </w:r>
    </w:p>
    <w:p w14:paraId="59ACE161" w14:textId="77777777" w:rsidR="000B5BA2" w:rsidRPr="000B5BA2" w:rsidRDefault="000B5BA2" w:rsidP="000B5BA2"/>
    <w:p w14:paraId="2516C5FB" w14:textId="2BAF5288" w:rsidR="00EF0162" w:rsidRDefault="00907D34" w:rsidP="007A168A">
      <w:pPr>
        <w:spacing w:line="360" w:lineRule="auto"/>
      </w:pPr>
      <w:r>
        <w:t xml:space="preserve">While access to </w:t>
      </w:r>
      <w:r w:rsidR="009D7531">
        <w:t xml:space="preserve">take-home </w:t>
      </w:r>
      <w:r>
        <w:t xml:space="preserve">naloxone and issues of confidentiality and stigma are central to uptake, it is also important to </w:t>
      </w:r>
      <w:r w:rsidR="00DB0FB4">
        <w:t>adopt</w:t>
      </w:r>
      <w:r>
        <w:t xml:space="preserve"> a more global vantage point. </w:t>
      </w:r>
      <w:r w:rsidR="0007533A">
        <w:t xml:space="preserve">A major </w:t>
      </w:r>
      <w:r w:rsidR="000C11F7">
        <w:t>obstacle</w:t>
      </w:r>
      <w:r w:rsidR="0007533A">
        <w:t xml:space="preserve"> to uptake </w:t>
      </w:r>
      <w:r>
        <w:t>is</w:t>
      </w:r>
      <w:r w:rsidR="0007533A">
        <w:t xml:space="preserve"> politico-legal</w:t>
      </w:r>
      <w:r>
        <w:t xml:space="preserve">, namely the </w:t>
      </w:r>
      <w:r w:rsidR="0007533A">
        <w:t>practices that</w:t>
      </w:r>
      <w:r w:rsidR="00B9552E">
        <w:t xml:space="preserve"> shape the soci</w:t>
      </w:r>
      <w:r w:rsidR="00DB0FB4">
        <w:t>o-</w:t>
      </w:r>
      <w:r w:rsidR="00B9552E">
        <w:t>material conditions of opioid consumption and overdose</w:t>
      </w:r>
      <w:r w:rsidR="008A31FE">
        <w:t xml:space="preserve">. </w:t>
      </w:r>
      <w:r w:rsidR="00E42A63">
        <w:t>M</w:t>
      </w:r>
      <w:r w:rsidR="00C4379C">
        <w:t>ost obviously</w:t>
      </w:r>
      <w:r>
        <w:t>,</w:t>
      </w:r>
      <w:r w:rsidR="00C4379C">
        <w:t xml:space="preserve"> </w:t>
      </w:r>
      <w:r w:rsidR="008A31FE">
        <w:t xml:space="preserve">the </w:t>
      </w:r>
      <w:r w:rsidR="00C4379C">
        <w:t>criminalisation</w:t>
      </w:r>
      <w:r w:rsidR="000C11F7">
        <w:t xml:space="preserve"> </w:t>
      </w:r>
      <w:r w:rsidR="008A31FE">
        <w:t xml:space="preserve">of </w:t>
      </w:r>
      <w:r w:rsidR="00765318">
        <w:t>non-pharmaceutical opioids</w:t>
      </w:r>
      <w:r w:rsidR="008A31FE">
        <w:t xml:space="preserve"> </w:t>
      </w:r>
      <w:r>
        <w:t xml:space="preserve">directly shapes </w:t>
      </w:r>
      <w:r w:rsidR="00642196">
        <w:t>the social settings</w:t>
      </w:r>
      <w:r w:rsidR="00765318">
        <w:t xml:space="preserve"> of use</w:t>
      </w:r>
      <w:r w:rsidR="000C11F7">
        <w:t xml:space="preserve">, </w:t>
      </w:r>
      <w:r w:rsidR="00765318">
        <w:t>the production of overdose risks</w:t>
      </w:r>
      <w:r>
        <w:t xml:space="preserve"> </w:t>
      </w:r>
      <w:r w:rsidR="000C11F7">
        <w:t>and the utility of take-home naloxone</w:t>
      </w:r>
      <w:r w:rsidR="008A31FE">
        <w:t>.</w:t>
      </w:r>
      <w:r w:rsidR="00E2699B">
        <w:t xml:space="preserve"> </w:t>
      </w:r>
      <w:r>
        <w:t>Importantly, m</w:t>
      </w:r>
      <w:r w:rsidR="00D00ABF">
        <w:t>any</w:t>
      </w:r>
      <w:r w:rsidR="008A31FE">
        <w:t xml:space="preserve"> </w:t>
      </w:r>
      <w:r w:rsidR="00D00ABF">
        <w:t>p</w:t>
      </w:r>
      <w:r w:rsidR="00765318">
        <w:t>articipant</w:t>
      </w:r>
      <w:r>
        <w:t>s</w:t>
      </w:r>
      <w:r w:rsidR="0062557F">
        <w:t xml:space="preserve"> who inject illicit drugs</w:t>
      </w:r>
      <w:r w:rsidR="00765318">
        <w:t xml:space="preserve"> </w:t>
      </w:r>
      <w:r>
        <w:t>report</w:t>
      </w:r>
      <w:r w:rsidR="00765318">
        <w:t xml:space="preserve"> </w:t>
      </w:r>
      <w:r w:rsidR="00A57713">
        <w:t>experiencing</w:t>
      </w:r>
      <w:r w:rsidR="00765318">
        <w:t xml:space="preserve"> overdose in </w:t>
      </w:r>
      <w:r>
        <w:t xml:space="preserve">isolated </w:t>
      </w:r>
      <w:r w:rsidR="00765318">
        <w:t>settings</w:t>
      </w:r>
      <w:r w:rsidR="00C4379C">
        <w:t xml:space="preserve"> </w:t>
      </w:r>
      <w:r w:rsidR="00765318">
        <w:t xml:space="preserve">such as parks, toilets, </w:t>
      </w:r>
      <w:r w:rsidR="00FB5F17">
        <w:t>vac</w:t>
      </w:r>
      <w:r w:rsidR="00D70E6D">
        <w:t>ant buildings, stairwells,</w:t>
      </w:r>
      <w:r w:rsidR="00FB5F17">
        <w:t xml:space="preserve"> </w:t>
      </w:r>
      <w:r w:rsidR="00765318">
        <w:t>streets</w:t>
      </w:r>
      <w:r w:rsidR="00FB5F17">
        <w:t xml:space="preserve"> and</w:t>
      </w:r>
      <w:r w:rsidR="00765318">
        <w:t xml:space="preserve"> </w:t>
      </w:r>
      <w:r w:rsidR="00C4379C">
        <w:t>cars</w:t>
      </w:r>
      <w:r>
        <w:t>. I</w:t>
      </w:r>
      <w:r w:rsidR="00765318">
        <w:t xml:space="preserve">n </w:t>
      </w:r>
      <w:r>
        <w:t>such contexts, use of</w:t>
      </w:r>
      <w:r w:rsidR="00765318">
        <w:t xml:space="preserve"> take-home naloxone </w:t>
      </w:r>
      <w:r w:rsidR="00B77C4B">
        <w:t xml:space="preserve">is often not </w:t>
      </w:r>
      <w:r w:rsidR="00A57713">
        <w:t>possible</w:t>
      </w:r>
      <w:r w:rsidR="00C844C3">
        <w:t xml:space="preserve"> or likely</w:t>
      </w:r>
      <w:r w:rsidR="00B77C4B">
        <w:t xml:space="preserve"> because people are alone</w:t>
      </w:r>
      <w:r w:rsidR="00026485">
        <w:t xml:space="preserve">. </w:t>
      </w:r>
      <w:r w:rsidR="00FB5F17">
        <w:t>Ghassan</w:t>
      </w:r>
      <w:r w:rsidR="00EB05B1">
        <w:t xml:space="preserve"> (</w:t>
      </w:r>
      <w:r w:rsidR="004A44F1">
        <w:t>male</w:t>
      </w:r>
      <w:r w:rsidR="00EB05B1">
        <w:t>, 37</w:t>
      </w:r>
      <w:r w:rsidR="00DA68FA">
        <w:t xml:space="preserve"> years old</w:t>
      </w:r>
      <w:r w:rsidR="00EB05B1">
        <w:t>, NSW</w:t>
      </w:r>
      <w:r w:rsidR="00FB5F17">
        <w:t xml:space="preserve">) </w:t>
      </w:r>
      <w:r w:rsidR="00EB05B1">
        <w:t>and Tony (</w:t>
      </w:r>
      <w:r w:rsidR="004A44F1">
        <w:t>male</w:t>
      </w:r>
      <w:r w:rsidR="00EB05B1">
        <w:t>, 44</w:t>
      </w:r>
      <w:r w:rsidR="00DA68FA">
        <w:t xml:space="preserve"> years old</w:t>
      </w:r>
      <w:r w:rsidR="00EB05B1">
        <w:t>, NSW</w:t>
      </w:r>
      <w:r w:rsidR="0011151C">
        <w:t>) both describe overdosing</w:t>
      </w:r>
      <w:r w:rsidR="00B77C4B">
        <w:t xml:space="preserve"> alone</w:t>
      </w:r>
      <w:r w:rsidR="0011151C">
        <w:t xml:space="preserve"> in public toilets. </w:t>
      </w:r>
      <w:r w:rsidR="00EF0162">
        <w:t xml:space="preserve">Similarly, </w:t>
      </w:r>
      <w:r w:rsidR="00EB05B1">
        <w:t>Adele (</w:t>
      </w:r>
      <w:r w:rsidR="004A44F1">
        <w:t>female</w:t>
      </w:r>
      <w:r w:rsidR="00EB05B1">
        <w:t>, 40</w:t>
      </w:r>
      <w:r w:rsidR="00DA68FA">
        <w:t xml:space="preserve"> years old</w:t>
      </w:r>
      <w:r w:rsidR="00EB05B1">
        <w:t>, Vic</w:t>
      </w:r>
      <w:r w:rsidR="0011151C">
        <w:t xml:space="preserve">) </w:t>
      </w:r>
      <w:r>
        <w:t xml:space="preserve">explains </w:t>
      </w:r>
      <w:r w:rsidR="0011151C">
        <w:t xml:space="preserve">that she overdosed in a stairwell where ‘lots of overdoses occur’. The relationship between </w:t>
      </w:r>
      <w:r w:rsidR="007E2FC8">
        <w:t>criminalisation</w:t>
      </w:r>
      <w:r w:rsidR="0011151C">
        <w:t xml:space="preserve"> and the politics of overdose here </w:t>
      </w:r>
      <w:r>
        <w:t>could not be more</w:t>
      </w:r>
      <w:r w:rsidR="0062557F">
        <w:t xml:space="preserve"> </w:t>
      </w:r>
      <w:r>
        <w:t>stark</w:t>
      </w:r>
      <w:r w:rsidR="0011151C">
        <w:t xml:space="preserve">, with many consumers </w:t>
      </w:r>
      <w:r w:rsidR="008B0AC4">
        <w:t xml:space="preserve">obliged </w:t>
      </w:r>
      <w:r w:rsidR="0011151C">
        <w:t xml:space="preserve">to inject in spaces </w:t>
      </w:r>
      <w:r w:rsidR="00DB0FB4">
        <w:t xml:space="preserve">that magnify </w:t>
      </w:r>
      <w:r w:rsidR="00EF0162">
        <w:t>the risk</w:t>
      </w:r>
      <w:r>
        <w:t xml:space="preserve"> </w:t>
      </w:r>
      <w:r w:rsidR="00DB0FB4">
        <w:t>of</w:t>
      </w:r>
      <w:r w:rsidR="00EF0162">
        <w:t xml:space="preserve"> overdose</w:t>
      </w:r>
      <w:r w:rsidR="00293782">
        <w:t xml:space="preserve"> (</w:t>
      </w:r>
      <w:r w:rsidR="00320214">
        <w:t xml:space="preserve">see also, </w:t>
      </w:r>
      <w:r w:rsidR="00293782">
        <w:t>Fadanelli et al., 2019)</w:t>
      </w:r>
      <w:r w:rsidR="0011151C">
        <w:t>.</w:t>
      </w:r>
      <w:r w:rsidR="007D3879">
        <w:t xml:space="preserve"> </w:t>
      </w:r>
      <w:bookmarkStart w:id="18" w:name="_Hlk25934371"/>
      <w:r w:rsidR="007D3879">
        <w:t xml:space="preserve">Indeed, </w:t>
      </w:r>
      <w:r w:rsidR="0030663E">
        <w:t xml:space="preserve">one of the key arguments underpinning the expansion of supervised injecting </w:t>
      </w:r>
      <w:r w:rsidR="008A458E">
        <w:t>sites</w:t>
      </w:r>
      <w:r w:rsidR="0030663E">
        <w:t xml:space="preserve"> </w:t>
      </w:r>
      <w:r w:rsidR="008A458E">
        <w:t>is</w:t>
      </w:r>
      <w:r w:rsidR="0030663E">
        <w:t xml:space="preserve"> the heightened overdose risk attached to street-based injecting </w:t>
      </w:r>
      <w:r w:rsidR="007D3879">
        <w:t>(</w:t>
      </w:r>
      <w:bookmarkEnd w:id="18"/>
      <w:r w:rsidR="00BC5CF2">
        <w:t>Kerr et al.,</w:t>
      </w:r>
      <w:r w:rsidR="0017730A">
        <w:t xml:space="preserve"> 200</w:t>
      </w:r>
      <w:r w:rsidR="00BC5CF2">
        <w:t>7</w:t>
      </w:r>
      <w:r w:rsidR="007D3879">
        <w:t>).</w:t>
      </w:r>
      <w:r w:rsidR="0011151C">
        <w:t xml:space="preserve"> </w:t>
      </w:r>
      <w:r w:rsidR="007D3879">
        <w:t>D</w:t>
      </w:r>
      <w:r>
        <w:t xml:space="preserve">ue to the stigmatisation of injecting drug use, </w:t>
      </w:r>
      <w:r w:rsidR="00D00ABF">
        <w:t>o</w:t>
      </w:r>
      <w:r w:rsidR="00765318">
        <w:t>ther participants</w:t>
      </w:r>
      <w:r w:rsidR="00E42A63">
        <w:t xml:space="preserve"> </w:t>
      </w:r>
      <w:r w:rsidR="00C4379C">
        <w:t xml:space="preserve">described </w:t>
      </w:r>
      <w:r w:rsidR="0011151C">
        <w:t xml:space="preserve">deliberately </w:t>
      </w:r>
      <w:r w:rsidR="00765318">
        <w:t xml:space="preserve">consuming opioids </w:t>
      </w:r>
      <w:r w:rsidR="00B01816">
        <w:t xml:space="preserve">alone </w:t>
      </w:r>
      <w:r w:rsidR="00642196">
        <w:t>in private</w:t>
      </w:r>
      <w:r w:rsidR="00FB5F17">
        <w:t xml:space="preserve"> or secluded</w:t>
      </w:r>
      <w:r w:rsidR="00642196">
        <w:t xml:space="preserve"> settings, </w:t>
      </w:r>
      <w:r w:rsidR="00AD4225">
        <w:t xml:space="preserve">without the safety of </w:t>
      </w:r>
      <w:r w:rsidR="00D303E1">
        <w:t xml:space="preserve">the presence of </w:t>
      </w:r>
      <w:r w:rsidR="00AD4225">
        <w:t>friends</w:t>
      </w:r>
      <w:r w:rsidR="0007533A">
        <w:t>.</w:t>
      </w:r>
      <w:r w:rsidR="00C4379C">
        <w:t xml:space="preserve"> </w:t>
      </w:r>
      <w:r w:rsidR="0007533A">
        <w:t>For example,</w:t>
      </w:r>
      <w:r w:rsidR="00B116FD">
        <w:t xml:space="preserve"> </w:t>
      </w:r>
      <w:r w:rsidR="00EB05B1">
        <w:t>Riley (</w:t>
      </w:r>
      <w:r w:rsidR="004A44F1">
        <w:t>male</w:t>
      </w:r>
      <w:r w:rsidR="00EB05B1">
        <w:t>, 26</w:t>
      </w:r>
      <w:r w:rsidR="00DA68FA">
        <w:t xml:space="preserve"> </w:t>
      </w:r>
      <w:r w:rsidR="00DA68FA">
        <w:lastRenderedPageBreak/>
        <w:t>years old</w:t>
      </w:r>
      <w:r w:rsidR="00EB05B1">
        <w:t>, Vic</w:t>
      </w:r>
      <w:r w:rsidR="00FB5F17">
        <w:t>) explain</w:t>
      </w:r>
      <w:r w:rsidR="00B01816">
        <w:t>s</w:t>
      </w:r>
      <w:r w:rsidR="00FB5F17">
        <w:t xml:space="preserve"> </w:t>
      </w:r>
      <w:r w:rsidR="00A57713">
        <w:t>that</w:t>
      </w:r>
      <w:r w:rsidR="00EF0162">
        <w:t xml:space="preserve"> he would consume </w:t>
      </w:r>
      <w:r w:rsidR="00A57713">
        <w:t>his heroin</w:t>
      </w:r>
      <w:r w:rsidR="00EF0162">
        <w:t xml:space="preserve"> </w:t>
      </w:r>
      <w:r w:rsidR="007475D2">
        <w:t xml:space="preserve">in a place </w:t>
      </w:r>
      <w:r w:rsidR="00B01816">
        <w:t>‘</w:t>
      </w:r>
      <w:r w:rsidR="00FB5F17">
        <w:t>that was secluded enough’ or</w:t>
      </w:r>
      <w:r w:rsidR="00B01816">
        <w:t xml:space="preserve"> </w:t>
      </w:r>
      <w:r w:rsidR="00FB5F17">
        <w:t xml:space="preserve">at home. </w:t>
      </w:r>
      <w:r w:rsidR="00EB05B1">
        <w:t>Similarly, Lenny (</w:t>
      </w:r>
      <w:r w:rsidR="004A44F1">
        <w:t>male</w:t>
      </w:r>
      <w:r w:rsidR="00EB05B1">
        <w:t>, 40</w:t>
      </w:r>
      <w:r w:rsidR="00DA68FA">
        <w:t xml:space="preserve"> years old</w:t>
      </w:r>
      <w:r w:rsidR="00EB05B1">
        <w:t>, Vic</w:t>
      </w:r>
      <w:r w:rsidR="00FB5F17">
        <w:t xml:space="preserve">) </w:t>
      </w:r>
      <w:r w:rsidR="00B01816">
        <w:t>explains that he has</w:t>
      </w:r>
      <w:r w:rsidR="00FB5F17">
        <w:t xml:space="preserve"> been </w:t>
      </w:r>
      <w:r w:rsidR="00A57713">
        <w:t xml:space="preserve">injecting his </w:t>
      </w:r>
      <w:r w:rsidR="00FB5F17">
        <w:t>heroin ‘mostly on the street […] in alleys and places where people don’t normally go, so</w:t>
      </w:r>
      <w:r w:rsidR="00B01816">
        <w:t>,</w:t>
      </w:r>
      <w:r w:rsidR="00FB5F17">
        <w:t xml:space="preserve"> like</w:t>
      </w:r>
      <w:r w:rsidR="00B01816">
        <w:t>,</w:t>
      </w:r>
      <w:r w:rsidR="00FB5F17">
        <w:t xml:space="preserve"> out of sight</w:t>
      </w:r>
      <w:r w:rsidR="00EB05B1">
        <w:t xml:space="preserve">’. </w:t>
      </w:r>
      <w:r w:rsidR="007475D2">
        <w:t xml:space="preserve">Although some participants injected in secluded places close to the purchase </w:t>
      </w:r>
      <w:r w:rsidR="00DB0FB4">
        <w:t xml:space="preserve">site </w:t>
      </w:r>
      <w:r w:rsidR="00F71D2E">
        <w:t xml:space="preserve">(reportedly </w:t>
      </w:r>
      <w:r w:rsidR="007475D2">
        <w:t xml:space="preserve">to </w:t>
      </w:r>
      <w:r w:rsidR="00AA7077">
        <w:t>manage</w:t>
      </w:r>
      <w:r w:rsidR="007475D2">
        <w:t xml:space="preserve"> withdrawal symptoms</w:t>
      </w:r>
      <w:r w:rsidR="00F71D2E">
        <w:t>)</w:t>
      </w:r>
      <w:r w:rsidR="007475D2">
        <w:t xml:space="preserve">, their descriptions of secluded, isolated and remote locations also speak to the shame and stigma associated with injecting drug use. </w:t>
      </w:r>
      <w:r w:rsidR="00EB05B1">
        <w:t>Russel</w:t>
      </w:r>
      <w:r w:rsidR="00EC7DFB">
        <w:t>l</w:t>
      </w:r>
      <w:r w:rsidR="00EB05B1">
        <w:t xml:space="preserve"> (</w:t>
      </w:r>
      <w:r w:rsidR="004A44F1">
        <w:t>male</w:t>
      </w:r>
      <w:r w:rsidR="00EB05B1">
        <w:t>,</w:t>
      </w:r>
      <w:r w:rsidR="0020697F">
        <w:t xml:space="preserve"> </w:t>
      </w:r>
      <w:r w:rsidR="00EB05B1">
        <w:t>50</w:t>
      </w:r>
      <w:r w:rsidR="00DA68FA">
        <w:t xml:space="preserve"> years old</w:t>
      </w:r>
      <w:r w:rsidR="00EB05B1">
        <w:t>, Vic</w:t>
      </w:r>
      <w:r w:rsidR="00FB5F17">
        <w:t xml:space="preserve">) speaks </w:t>
      </w:r>
      <w:r w:rsidR="00AA76F5">
        <w:t>explicitly</w:t>
      </w:r>
      <w:r w:rsidR="00FB5F17">
        <w:t xml:space="preserve"> about how feeling ‘dirty’ </w:t>
      </w:r>
      <w:r w:rsidR="00B01816">
        <w:t>leads him to consume in secluded places</w:t>
      </w:r>
      <w:r w:rsidR="00FB5F17">
        <w:t xml:space="preserve">: </w:t>
      </w:r>
    </w:p>
    <w:p w14:paraId="6EEA82B8" w14:textId="77777777" w:rsidR="00EF0162" w:rsidRDefault="00EF0162" w:rsidP="007A168A">
      <w:pPr>
        <w:spacing w:line="360" w:lineRule="auto"/>
      </w:pPr>
    </w:p>
    <w:p w14:paraId="4AE7DBD5" w14:textId="4D0A69AF" w:rsidR="00FB5F17" w:rsidRDefault="00FB5F17">
      <w:pPr>
        <w:spacing w:line="360" w:lineRule="auto"/>
        <w:ind w:left="720"/>
      </w:pPr>
      <w:r w:rsidRPr="007A168A">
        <w:rPr>
          <w:rFonts w:eastAsia="Calibri" w:cs="Times New Roman"/>
        </w:rPr>
        <w:t>Well</w:t>
      </w:r>
      <w:r w:rsidR="00B01816">
        <w:rPr>
          <w:rFonts w:eastAsia="Calibri" w:cs="Times New Roman"/>
        </w:rPr>
        <w:t>,</w:t>
      </w:r>
      <w:r w:rsidRPr="007A168A">
        <w:rPr>
          <w:rFonts w:eastAsia="Calibri" w:cs="Times New Roman"/>
        </w:rPr>
        <w:t xml:space="preserve"> when you’re in between houses and all the rest of it, I won’t put myself in a position where I’m using intravenous drugs where the public can see me, for the simple fact that I don’t think the public should be exposed to it […</w:t>
      </w:r>
      <w:r w:rsidR="00BF682F">
        <w:rPr>
          <w:rFonts w:eastAsia="Calibri" w:cs="Times New Roman"/>
        </w:rPr>
        <w:t xml:space="preserve">]. </w:t>
      </w:r>
      <w:r w:rsidRPr="007A168A">
        <w:rPr>
          <w:rFonts w:eastAsia="Calibri" w:cs="Times New Roman"/>
        </w:rPr>
        <w:t xml:space="preserve">I feel dirty when I </w:t>
      </w:r>
      <w:r w:rsidR="00D90A4D">
        <w:rPr>
          <w:rFonts w:eastAsia="Calibri" w:cs="Times New Roman"/>
        </w:rPr>
        <w:t>do it, so I go under the bridge.</w:t>
      </w:r>
    </w:p>
    <w:p w14:paraId="5076A4F2" w14:textId="77777777" w:rsidR="00FB5F17" w:rsidRDefault="00FB5F17" w:rsidP="007A168A">
      <w:pPr>
        <w:spacing w:line="360" w:lineRule="auto"/>
      </w:pPr>
    </w:p>
    <w:p w14:paraId="3868BE89" w14:textId="0E53E270" w:rsidR="00585592" w:rsidRDefault="00B01816" w:rsidP="00CD6C43">
      <w:pPr>
        <w:spacing w:line="360" w:lineRule="auto"/>
      </w:pPr>
      <w:r>
        <w:t>As we noted earlier,</w:t>
      </w:r>
      <w:r w:rsidR="007B4A85">
        <w:t xml:space="preserve"> stigma </w:t>
      </w:r>
      <w:r>
        <w:t xml:space="preserve">is </w:t>
      </w:r>
      <w:r w:rsidR="007B4A85">
        <w:t xml:space="preserve">a </w:t>
      </w:r>
      <w:r w:rsidR="0022109A">
        <w:t xml:space="preserve">biopolitical </w:t>
      </w:r>
      <w:r w:rsidR="007B4A85">
        <w:t>process</w:t>
      </w:r>
      <w:r>
        <w:t xml:space="preserve"> in which legitimate and illegitimate subjects are constituted, and the latter are mobilised in the construction of the former. This dynamic</w:t>
      </w:r>
      <w:r w:rsidR="007B4A85">
        <w:t xml:space="preserve"> </w:t>
      </w:r>
      <w:r>
        <w:t>is</w:t>
      </w:r>
      <w:r w:rsidR="007B4A85">
        <w:t xml:space="preserve"> </w:t>
      </w:r>
      <w:r>
        <w:t xml:space="preserve">also </w:t>
      </w:r>
      <w:r w:rsidR="007B4A85">
        <w:t xml:space="preserve">produced and reinforced structurally </w:t>
      </w:r>
      <w:r w:rsidR="00EB05B1">
        <w:t>in and through</w:t>
      </w:r>
      <w:r w:rsidR="007B4A85">
        <w:t xml:space="preserve"> laws and legal practices that criminalise people and render particular consumption practices shameful and stigmatised </w:t>
      </w:r>
      <w:r>
        <w:t xml:space="preserve">and </w:t>
      </w:r>
      <w:r w:rsidR="007B4A85">
        <w:t>others</w:t>
      </w:r>
      <w:r>
        <w:t xml:space="preserve"> normal</w:t>
      </w:r>
      <w:r w:rsidR="007B4A85">
        <w:t xml:space="preserve">. </w:t>
      </w:r>
      <w:r w:rsidR="00470A29">
        <w:t xml:space="preserve">Importantly, stigma operates here </w:t>
      </w:r>
      <w:r w:rsidR="008A458E">
        <w:t>among</w:t>
      </w:r>
      <w:r w:rsidR="00470A29">
        <w:t xml:space="preserve"> other stigmatised phenomena including marginalisation, homelessness and inequality. </w:t>
      </w:r>
      <w:r w:rsidR="00725FFF">
        <w:t>Th</w:t>
      </w:r>
      <w:r w:rsidR="007D3879">
        <w:t xml:space="preserve">is </w:t>
      </w:r>
      <w:r w:rsidR="008A458E">
        <w:t>mix of</w:t>
      </w:r>
      <w:r w:rsidR="007D3879">
        <w:t xml:space="preserve"> </w:t>
      </w:r>
      <w:r w:rsidR="008A458E">
        <w:t>forms</w:t>
      </w:r>
      <w:r w:rsidR="00470A29">
        <w:t xml:space="preserve"> of disadvantage, </w:t>
      </w:r>
      <w:r w:rsidR="009D130A">
        <w:t xml:space="preserve">criminalisation and stigmatisation </w:t>
      </w:r>
      <w:r w:rsidR="008A458E">
        <w:t>facilitates</w:t>
      </w:r>
      <w:r w:rsidR="002E4743">
        <w:t xml:space="preserve"> </w:t>
      </w:r>
      <w:r w:rsidR="00EB05B1">
        <w:t>‘</w:t>
      </w:r>
      <w:r w:rsidR="002E4743">
        <w:t>hidden</w:t>
      </w:r>
      <w:r w:rsidR="00EB05B1">
        <w:t>’</w:t>
      </w:r>
      <w:r w:rsidR="002E4743">
        <w:t xml:space="preserve"> and isolated</w:t>
      </w:r>
      <w:r>
        <w:t xml:space="preserve"> consumption</w:t>
      </w:r>
      <w:r w:rsidR="00640A30">
        <w:t xml:space="preserve"> (Aitken et al.</w:t>
      </w:r>
      <w:r w:rsidR="00640A23">
        <w:t>,</w:t>
      </w:r>
      <w:r w:rsidR="00640A30">
        <w:t xml:space="preserve"> 2002; </w:t>
      </w:r>
      <w:r w:rsidR="00194229">
        <w:t xml:space="preserve">Fadanelli et al., 2019; </w:t>
      </w:r>
      <w:r w:rsidR="00640A30">
        <w:t xml:space="preserve">Maher </w:t>
      </w:r>
      <w:r w:rsidR="00640A23">
        <w:t>and</w:t>
      </w:r>
      <w:r w:rsidR="00640A30">
        <w:t xml:space="preserve"> Dixon</w:t>
      </w:r>
      <w:r w:rsidR="00640A23">
        <w:t>,</w:t>
      </w:r>
      <w:r w:rsidR="00640A30">
        <w:t xml:space="preserve"> 2001)</w:t>
      </w:r>
      <w:r>
        <w:t xml:space="preserve"> and</w:t>
      </w:r>
      <w:r w:rsidR="00F71D2E">
        <w:t>,</w:t>
      </w:r>
      <w:r>
        <w:t xml:space="preserve"> in some cases, highly dangerous</w:t>
      </w:r>
      <w:r w:rsidR="002E4743">
        <w:t xml:space="preserve"> overdose events that</w:t>
      </w:r>
      <w:r w:rsidR="00725FFF">
        <w:t xml:space="preserve"> </w:t>
      </w:r>
      <w:r w:rsidR="009D130A">
        <w:t xml:space="preserve">are ill-suited to </w:t>
      </w:r>
      <w:r w:rsidR="00725FFF">
        <w:t>take-home naloxone</w:t>
      </w:r>
      <w:r>
        <w:t xml:space="preserve">. </w:t>
      </w:r>
      <w:r w:rsidR="00A57713">
        <w:t>P</w:t>
      </w:r>
      <w:r>
        <w:t>ut simply, where people inject</w:t>
      </w:r>
      <w:r w:rsidR="00AA7077">
        <w:t xml:space="preserve"> or consume opioids</w:t>
      </w:r>
      <w:r>
        <w:t xml:space="preserve"> in isolation, administration of overdose reversal medication </w:t>
      </w:r>
      <w:r w:rsidR="00A80397">
        <w:t>is less likely to</w:t>
      </w:r>
      <w:r>
        <w:t xml:space="preserve"> happen</w:t>
      </w:r>
      <w:r w:rsidR="007B490B">
        <w:t xml:space="preserve"> (Stam et al.</w:t>
      </w:r>
      <w:r w:rsidR="00640A23">
        <w:t>,</w:t>
      </w:r>
      <w:r w:rsidR="007B490B">
        <w:t xml:space="preserve"> 2018)</w:t>
      </w:r>
      <w:r>
        <w:t>.</w:t>
      </w:r>
      <w:r w:rsidR="00470A29">
        <w:t xml:space="preserve"> Moreover, the kinds of complex intersections we are describing here, between disadvantage, suffering and inequality, are unlikely </w:t>
      </w:r>
      <w:r w:rsidR="004B2304">
        <w:t xml:space="preserve">to be </w:t>
      </w:r>
      <w:r w:rsidR="00470A29">
        <w:t>remedied by overdose reversal medication</w:t>
      </w:r>
      <w:r w:rsidR="008A458E">
        <w:t xml:space="preserve"> alone</w:t>
      </w:r>
      <w:r w:rsidR="00470A29">
        <w:t>.</w:t>
      </w:r>
      <w:r w:rsidR="00F860BF">
        <w:t xml:space="preserve"> </w:t>
      </w:r>
    </w:p>
    <w:p w14:paraId="74CD1BC1" w14:textId="46F639A4" w:rsidR="006922BF" w:rsidRDefault="006922BF" w:rsidP="00CD6C43">
      <w:pPr>
        <w:spacing w:line="360" w:lineRule="auto"/>
      </w:pPr>
    </w:p>
    <w:p w14:paraId="214E681C" w14:textId="7D45581D" w:rsidR="006922BF" w:rsidRDefault="00B116FD" w:rsidP="00CD6C43">
      <w:pPr>
        <w:spacing w:line="360" w:lineRule="auto"/>
      </w:pPr>
      <w:r>
        <w:t>In addition to</w:t>
      </w:r>
      <w:r w:rsidR="000C11F7">
        <w:t xml:space="preserve"> </w:t>
      </w:r>
      <w:r w:rsidR="00A57C39">
        <w:t>curtailing</w:t>
      </w:r>
      <w:r w:rsidR="000C11F7">
        <w:t xml:space="preserve"> the utility of take-home naloxone</w:t>
      </w:r>
      <w:r w:rsidR="00A57713">
        <w:t xml:space="preserve"> for illicit opioid consumers</w:t>
      </w:r>
      <w:r>
        <w:t>, stigma also function</w:t>
      </w:r>
      <w:r w:rsidR="00765F79">
        <w:t>s</w:t>
      </w:r>
      <w:r>
        <w:t xml:space="preserve"> to discredit </w:t>
      </w:r>
      <w:r w:rsidR="009D130A">
        <w:t>it</w:t>
      </w:r>
      <w:r>
        <w:t xml:space="preserve"> as a </w:t>
      </w:r>
      <w:r w:rsidR="00765F79">
        <w:t xml:space="preserve">legitimate </w:t>
      </w:r>
      <w:r>
        <w:t xml:space="preserve">healthcare </w:t>
      </w:r>
      <w:r w:rsidR="008B0583">
        <w:t xml:space="preserve">initiative </w:t>
      </w:r>
      <w:r>
        <w:t xml:space="preserve">for </w:t>
      </w:r>
      <w:r w:rsidR="00A57713">
        <w:t xml:space="preserve">other </w:t>
      </w:r>
      <w:r w:rsidR="00692224">
        <w:t xml:space="preserve">opioid consumers, including </w:t>
      </w:r>
      <w:r>
        <w:t xml:space="preserve">people who </w:t>
      </w:r>
      <w:r w:rsidR="0062557F">
        <w:t xml:space="preserve">consume prescribed </w:t>
      </w:r>
      <w:r>
        <w:t xml:space="preserve">opioids. Many </w:t>
      </w:r>
      <w:r w:rsidR="00585592">
        <w:t xml:space="preserve">of those interviewed who consumed </w:t>
      </w:r>
      <w:r w:rsidR="00A57713">
        <w:t xml:space="preserve">prescribed </w:t>
      </w:r>
      <w:r w:rsidR="00585592">
        <w:t>opioids for chronic pain did</w:t>
      </w:r>
      <w:r w:rsidR="006922BF">
        <w:t xml:space="preserve"> not</w:t>
      </w:r>
      <w:r w:rsidR="00585592">
        <w:t xml:space="preserve"> perceive themselves </w:t>
      </w:r>
      <w:r w:rsidR="0066791B">
        <w:t>as vulnerable to overdose</w:t>
      </w:r>
      <w:r w:rsidR="00A94F6E">
        <w:t xml:space="preserve"> because</w:t>
      </w:r>
      <w:r w:rsidR="00A57713">
        <w:t xml:space="preserve"> the</w:t>
      </w:r>
      <w:r w:rsidR="008912FB">
        <w:t xml:space="preserve"> risk</w:t>
      </w:r>
      <w:r w:rsidR="00765F79">
        <w:t>s</w:t>
      </w:r>
      <w:r w:rsidR="008912FB">
        <w:t xml:space="preserve"> </w:t>
      </w:r>
      <w:r w:rsidR="00692224">
        <w:t>had not been raised by their medical practitioners</w:t>
      </w:r>
      <w:r w:rsidR="00A57713">
        <w:t>,</w:t>
      </w:r>
      <w:r w:rsidR="00692224">
        <w:t xml:space="preserve"> and </w:t>
      </w:r>
      <w:r w:rsidR="00765F79">
        <w:t>were</w:t>
      </w:r>
      <w:r w:rsidR="008912FB">
        <w:t xml:space="preserve"> largely </w:t>
      </w:r>
      <w:r w:rsidR="00692224">
        <w:t xml:space="preserve">articulated </w:t>
      </w:r>
      <w:r w:rsidR="008912FB">
        <w:t>in relation to illicit drug use and ‘addiction’</w:t>
      </w:r>
      <w:r w:rsidR="00AE63AF">
        <w:t xml:space="preserve">. </w:t>
      </w:r>
      <w:r w:rsidR="006922BF">
        <w:t>Maxine (</w:t>
      </w:r>
      <w:r w:rsidR="004A44F1">
        <w:t>female</w:t>
      </w:r>
      <w:r w:rsidR="0022109A">
        <w:t>, 38</w:t>
      </w:r>
      <w:r w:rsidR="00DA68FA">
        <w:t xml:space="preserve"> years old</w:t>
      </w:r>
      <w:r w:rsidR="0022109A">
        <w:t xml:space="preserve">, </w:t>
      </w:r>
      <w:r w:rsidR="006922BF">
        <w:t xml:space="preserve">NSW), for example, </w:t>
      </w:r>
      <w:r w:rsidR="006922BF">
        <w:lastRenderedPageBreak/>
        <w:t>explain</w:t>
      </w:r>
      <w:r w:rsidR="00692224">
        <w:t>s</w:t>
      </w:r>
      <w:r w:rsidR="006922BF">
        <w:t xml:space="preserve"> that although she </w:t>
      </w:r>
      <w:r w:rsidR="00097C20">
        <w:t>was taking more than the prescribed levels of</w:t>
      </w:r>
      <w:r w:rsidR="0066791B">
        <w:t xml:space="preserve"> </w:t>
      </w:r>
      <w:r w:rsidR="006C1349">
        <w:t>prescription opioid medications</w:t>
      </w:r>
      <w:r w:rsidR="00097C20">
        <w:t xml:space="preserve"> daily, the possibility of </w:t>
      </w:r>
      <w:r w:rsidR="006922BF">
        <w:t>overdose ‘never even crossed [her] mind’</w:t>
      </w:r>
      <w:r w:rsidR="00097C20">
        <w:t xml:space="preserve">. Similarly, </w:t>
      </w:r>
      <w:r w:rsidR="006922BF">
        <w:t>Cameron</w:t>
      </w:r>
      <w:r w:rsidR="00097C20">
        <w:t xml:space="preserve"> </w:t>
      </w:r>
      <w:r w:rsidR="00097C20" w:rsidRPr="00F30FEA">
        <w:rPr>
          <w:rFonts w:eastAsia="Calibri" w:cs="Times New Roman"/>
        </w:rPr>
        <w:t>(</w:t>
      </w:r>
      <w:r w:rsidR="004A44F1">
        <w:rPr>
          <w:rFonts w:eastAsia="Calibri" w:cs="Times New Roman"/>
        </w:rPr>
        <w:t>male</w:t>
      </w:r>
      <w:r w:rsidR="00097C20" w:rsidRPr="00F30FEA">
        <w:rPr>
          <w:rFonts w:eastAsia="Calibri" w:cs="Times New Roman"/>
        </w:rPr>
        <w:t>, 47</w:t>
      </w:r>
      <w:r w:rsidR="00DA68FA">
        <w:rPr>
          <w:rFonts w:eastAsia="Calibri" w:cs="Times New Roman"/>
        </w:rPr>
        <w:t xml:space="preserve"> years old</w:t>
      </w:r>
      <w:r w:rsidR="00097C20" w:rsidRPr="00F30FEA">
        <w:rPr>
          <w:rFonts w:eastAsia="Calibri" w:cs="Times New Roman"/>
        </w:rPr>
        <w:t>, NSW)</w:t>
      </w:r>
      <w:r w:rsidR="00097C20">
        <w:t xml:space="preserve"> </w:t>
      </w:r>
      <w:r w:rsidR="008D37F3">
        <w:t>notes</w:t>
      </w:r>
      <w:r w:rsidR="006922BF">
        <w:t xml:space="preserve"> that although he consumed </w:t>
      </w:r>
      <w:r w:rsidR="0062557F">
        <w:t xml:space="preserve">prescribed </w:t>
      </w:r>
      <w:r w:rsidR="006922BF">
        <w:t>opioids</w:t>
      </w:r>
      <w:r w:rsidR="004B589D">
        <w:t>,</w:t>
      </w:r>
      <w:r w:rsidR="006922BF">
        <w:t xml:space="preserve"> he did not view himself as</w:t>
      </w:r>
      <w:r w:rsidR="001F6B02">
        <w:t xml:space="preserve"> </w:t>
      </w:r>
      <w:r w:rsidR="006922BF">
        <w:t>risk</w:t>
      </w:r>
      <w:r w:rsidR="00AA76F5">
        <w:t>ing</w:t>
      </w:r>
      <w:r w:rsidR="006922BF">
        <w:t xml:space="preserve"> </w:t>
      </w:r>
      <w:r w:rsidR="00765F79">
        <w:t xml:space="preserve">overdose. </w:t>
      </w:r>
      <w:r w:rsidR="004B589D">
        <w:t>A</w:t>
      </w:r>
      <w:r w:rsidR="008B0583">
        <w:t>lthough he had heard naloxone was a drug used by emergency services,</w:t>
      </w:r>
      <w:r w:rsidR="000C11F7">
        <w:t xml:space="preserve"> </w:t>
      </w:r>
      <w:r w:rsidR="00765F79">
        <w:t xml:space="preserve">he did not </w:t>
      </w:r>
      <w:r w:rsidR="004B589D">
        <w:t>think any further about it</w:t>
      </w:r>
      <w:r w:rsidR="00765F79">
        <w:t xml:space="preserve"> ‘</w:t>
      </w:r>
      <w:r w:rsidR="006922BF" w:rsidRPr="00F30FEA">
        <w:rPr>
          <w:rFonts w:eastAsia="Calibri" w:cs="Times New Roman"/>
        </w:rPr>
        <w:t>because my life doesn’t involve the need to administer it</w:t>
      </w:r>
      <w:r w:rsidR="00765F79">
        <w:rPr>
          <w:rFonts w:eastAsia="Calibri" w:cs="Times New Roman"/>
        </w:rPr>
        <w:t xml:space="preserve">’. </w:t>
      </w:r>
      <w:r w:rsidR="004B589D">
        <w:t>It seems that</w:t>
      </w:r>
      <w:r w:rsidR="00097C20">
        <w:t xml:space="preserve"> perceptions of </w:t>
      </w:r>
      <w:r w:rsidR="00765F79" w:rsidRPr="0022109A">
        <w:rPr>
          <w:i/>
        </w:rPr>
        <w:t>who</w:t>
      </w:r>
      <w:r w:rsidR="00765F79">
        <w:t xml:space="preserve"> is at risk of </w:t>
      </w:r>
      <w:r w:rsidR="00097C20">
        <w:t xml:space="preserve">overdose </w:t>
      </w:r>
      <w:r w:rsidR="004B589D">
        <w:t>shape</w:t>
      </w:r>
      <w:r w:rsidR="00097C20">
        <w:t xml:space="preserve"> attitudes towards take-home naloxone. Claudia (</w:t>
      </w:r>
      <w:r w:rsidR="004A44F1">
        <w:t>female</w:t>
      </w:r>
      <w:r w:rsidR="0020697F">
        <w:t xml:space="preserve">, </w:t>
      </w:r>
      <w:r w:rsidR="00123C3C">
        <w:t>28</w:t>
      </w:r>
      <w:r w:rsidR="00DA68FA">
        <w:t xml:space="preserve"> years old</w:t>
      </w:r>
      <w:r w:rsidR="0020697F">
        <w:t>, NSW</w:t>
      </w:r>
      <w:r w:rsidR="00097C20">
        <w:t xml:space="preserve">) </w:t>
      </w:r>
      <w:r w:rsidR="008D37F3">
        <w:t xml:space="preserve">directly </w:t>
      </w:r>
      <w:r w:rsidR="00097C20">
        <w:t>suggest</w:t>
      </w:r>
      <w:r w:rsidR="00AA76F5">
        <w:t>s</w:t>
      </w:r>
      <w:r w:rsidR="00097C20">
        <w:t xml:space="preserve"> that </w:t>
      </w:r>
      <w:r w:rsidR="004B589D">
        <w:t xml:space="preserve">prescription </w:t>
      </w:r>
      <w:r w:rsidR="0062557F">
        <w:t xml:space="preserve">opioid </w:t>
      </w:r>
      <w:r w:rsidR="004B589D">
        <w:t>consumers</w:t>
      </w:r>
      <w:r w:rsidR="00097C20">
        <w:t xml:space="preserve"> resist seeing themselves </w:t>
      </w:r>
      <w:r w:rsidR="004B589D">
        <w:t>as</w:t>
      </w:r>
      <w:r w:rsidR="00097C20">
        <w:t xml:space="preserve"> risk</w:t>
      </w:r>
      <w:r w:rsidR="00AA76F5">
        <w:t>ing</w:t>
      </w:r>
      <w:r w:rsidR="00097C20">
        <w:t xml:space="preserve"> overdose because of its association with addiction</w:t>
      </w:r>
      <w:r w:rsidR="00765F79">
        <w:t>:</w:t>
      </w:r>
    </w:p>
    <w:p w14:paraId="3262E558" w14:textId="77777777" w:rsidR="006922BF" w:rsidRDefault="006922BF" w:rsidP="00CD6C43">
      <w:pPr>
        <w:spacing w:line="360" w:lineRule="auto"/>
      </w:pPr>
    </w:p>
    <w:p w14:paraId="7C29B017" w14:textId="755EE1B3" w:rsidR="00097C20" w:rsidRPr="0015161B" w:rsidRDefault="00074400" w:rsidP="00CD6C43">
      <w:pPr>
        <w:spacing w:line="360" w:lineRule="auto"/>
        <w:ind w:left="720"/>
      </w:pPr>
      <w:r>
        <w:rPr>
          <w:rFonts w:eastAsia="Calibri" w:cs="Times New Roman"/>
        </w:rPr>
        <w:t>[They]</w:t>
      </w:r>
      <w:r w:rsidR="00097C20" w:rsidRPr="00F30FEA">
        <w:rPr>
          <w:rFonts w:eastAsia="Calibri" w:cs="Times New Roman"/>
        </w:rPr>
        <w:t xml:space="preserve"> would be very resistant to seeing them</w:t>
      </w:r>
      <w:r w:rsidR="00097C20">
        <w:rPr>
          <w:rFonts w:eastAsia="Calibri" w:cs="Times New Roman"/>
        </w:rPr>
        <w:t>[selves]</w:t>
      </w:r>
      <w:r w:rsidR="00097C20" w:rsidRPr="00F30FEA">
        <w:rPr>
          <w:rFonts w:eastAsia="Calibri" w:cs="Times New Roman"/>
        </w:rPr>
        <w:t xml:space="preserve"> as an addicted person because </w:t>
      </w:r>
      <w:r w:rsidR="003149B9">
        <w:rPr>
          <w:rFonts w:eastAsia="Calibri" w:cs="Times New Roman"/>
        </w:rPr>
        <w:t>they’ve got</w:t>
      </w:r>
      <w:r w:rsidR="004B589D">
        <w:rPr>
          <w:rFonts w:eastAsia="Calibri" w:cs="Times New Roman"/>
        </w:rPr>
        <w:t>,</w:t>
      </w:r>
      <w:r w:rsidR="003149B9" w:rsidRPr="00F30FEA">
        <w:rPr>
          <w:rFonts w:eastAsia="Calibri" w:cs="Times New Roman"/>
        </w:rPr>
        <w:t xml:space="preserve"> </w:t>
      </w:r>
      <w:r w:rsidR="00097C20" w:rsidRPr="00F30FEA">
        <w:rPr>
          <w:rFonts w:eastAsia="Calibri" w:cs="Times New Roman"/>
        </w:rPr>
        <w:t>like</w:t>
      </w:r>
      <w:r w:rsidR="004B589D">
        <w:rPr>
          <w:rFonts w:eastAsia="Calibri" w:cs="Times New Roman"/>
        </w:rPr>
        <w:t>,</w:t>
      </w:r>
      <w:r w:rsidR="00097C20" w:rsidRPr="00F30FEA">
        <w:rPr>
          <w:rFonts w:eastAsia="Calibri" w:cs="Times New Roman"/>
        </w:rPr>
        <w:t xml:space="preserve"> a </w:t>
      </w:r>
      <w:r w:rsidR="000E0C10">
        <w:rPr>
          <w:rFonts w:eastAsia="Calibri" w:cs="Times New Roman"/>
        </w:rPr>
        <w:t>‘</w:t>
      </w:r>
      <w:r w:rsidR="00097C20" w:rsidRPr="00F30FEA">
        <w:rPr>
          <w:rFonts w:eastAsia="Calibri" w:cs="Times New Roman"/>
        </w:rPr>
        <w:t>legitimate addiction</w:t>
      </w:r>
      <w:r w:rsidR="000E0C10">
        <w:rPr>
          <w:rFonts w:eastAsia="Calibri" w:cs="Times New Roman"/>
        </w:rPr>
        <w:t>’</w:t>
      </w:r>
      <w:r w:rsidR="00097C20" w:rsidRPr="00F30FEA">
        <w:rPr>
          <w:rFonts w:eastAsia="Calibri" w:cs="Times New Roman"/>
        </w:rPr>
        <w:t xml:space="preserve"> </w:t>
      </w:r>
      <w:r>
        <w:rPr>
          <w:rFonts w:eastAsia="Calibri" w:cs="Times New Roman"/>
        </w:rPr>
        <w:t>[…]</w:t>
      </w:r>
      <w:r w:rsidR="003149B9">
        <w:rPr>
          <w:rFonts w:eastAsia="Calibri" w:cs="Times New Roman"/>
        </w:rPr>
        <w:t>.</w:t>
      </w:r>
      <w:r w:rsidR="00097C20" w:rsidRPr="00F30FEA">
        <w:rPr>
          <w:rFonts w:eastAsia="Calibri" w:cs="Times New Roman"/>
        </w:rPr>
        <w:t xml:space="preserve"> </w:t>
      </w:r>
      <w:r w:rsidR="003149B9">
        <w:rPr>
          <w:rFonts w:eastAsia="Calibri" w:cs="Times New Roman"/>
        </w:rPr>
        <w:t>T</w:t>
      </w:r>
      <w:r w:rsidR="003149B9" w:rsidRPr="00F30FEA">
        <w:rPr>
          <w:rFonts w:eastAsia="Calibri" w:cs="Times New Roman"/>
        </w:rPr>
        <w:t xml:space="preserve">o </w:t>
      </w:r>
      <w:r w:rsidR="00097C20" w:rsidRPr="00F30FEA">
        <w:rPr>
          <w:rFonts w:eastAsia="Calibri" w:cs="Times New Roman"/>
        </w:rPr>
        <w:t xml:space="preserve">then be saying ‘well, I’ve got a concern about your opioid use and so I want you to do this training. Go to the drug and alcohol </w:t>
      </w:r>
      <w:r w:rsidR="00097C20">
        <w:rPr>
          <w:rFonts w:eastAsia="Calibri" w:cs="Times New Roman"/>
        </w:rPr>
        <w:t>treatment centre down the road’,</w:t>
      </w:r>
      <w:r w:rsidR="00097C20" w:rsidRPr="00F30FEA">
        <w:rPr>
          <w:rFonts w:eastAsia="Calibri" w:cs="Times New Roman"/>
        </w:rPr>
        <w:t xml:space="preserve"> like I think that would just piss a lot of people off and they would not participate</w:t>
      </w:r>
      <w:r w:rsidR="00097C20">
        <w:rPr>
          <w:rFonts w:eastAsia="Calibri" w:cs="Times New Roman"/>
        </w:rPr>
        <w:t>.</w:t>
      </w:r>
    </w:p>
    <w:p w14:paraId="66555931" w14:textId="77777777" w:rsidR="00097C20" w:rsidRDefault="00097C20" w:rsidP="00CD6C43">
      <w:pPr>
        <w:spacing w:line="360" w:lineRule="auto"/>
      </w:pPr>
    </w:p>
    <w:p w14:paraId="56FC59CF" w14:textId="3A55217C" w:rsidR="00470A29" w:rsidRDefault="004B589D" w:rsidP="00CD6C43">
      <w:pPr>
        <w:spacing w:line="360" w:lineRule="auto"/>
      </w:pPr>
      <w:r>
        <w:t>Here</w:t>
      </w:r>
      <w:r w:rsidR="008D37F3">
        <w:t>,</w:t>
      </w:r>
      <w:r>
        <w:t xml:space="preserve"> </w:t>
      </w:r>
      <w:r w:rsidR="008D37F3">
        <w:t>f</w:t>
      </w:r>
      <w:r>
        <w:t>amiliar</w:t>
      </w:r>
      <w:r w:rsidR="00097C20">
        <w:t xml:space="preserve"> distinction</w:t>
      </w:r>
      <w:r w:rsidR="009C085A">
        <w:t>s</w:t>
      </w:r>
      <w:r w:rsidR="00097C20">
        <w:t xml:space="preserve"> between legitimate (</w:t>
      </w:r>
      <w:r w:rsidR="00640A30">
        <w:t>prescription</w:t>
      </w:r>
      <w:r w:rsidR="00097C20">
        <w:t>) and illegitimate (illicit) drug use</w:t>
      </w:r>
      <w:r w:rsidR="009C085A">
        <w:t xml:space="preserve"> </w:t>
      </w:r>
      <w:r w:rsidR="00765F79">
        <w:t xml:space="preserve">function to </w:t>
      </w:r>
      <w:r w:rsidR="002E4743">
        <w:t xml:space="preserve">ascribe </w:t>
      </w:r>
      <w:r w:rsidR="0022109A">
        <w:t xml:space="preserve">rationality, </w:t>
      </w:r>
      <w:r w:rsidR="00765F79">
        <w:t>legitimacy</w:t>
      </w:r>
      <w:r w:rsidR="00CB1AC7">
        <w:t xml:space="preserve"> and safety</w:t>
      </w:r>
      <w:r w:rsidR="00765F79">
        <w:t xml:space="preserve"> to people who consume </w:t>
      </w:r>
      <w:r w:rsidR="00AE5162">
        <w:t xml:space="preserve">prescribed </w:t>
      </w:r>
      <w:r w:rsidR="009F4CB9">
        <w:t>opioids (</w:t>
      </w:r>
      <w:r w:rsidR="00765F79">
        <w:t xml:space="preserve">even if they </w:t>
      </w:r>
      <w:r>
        <w:t>also consume illicit</w:t>
      </w:r>
      <w:r w:rsidR="0022223D">
        <w:t xml:space="preserve"> drugs regularly</w:t>
      </w:r>
      <w:r>
        <w:t xml:space="preserve"> or take more than their prescribed dose</w:t>
      </w:r>
      <w:r w:rsidR="009F4CB9">
        <w:t>)</w:t>
      </w:r>
      <w:r w:rsidR="00E83306">
        <w:t xml:space="preserve"> </w:t>
      </w:r>
      <w:r w:rsidR="00E2699B">
        <w:t>(</w:t>
      </w:r>
      <w:r w:rsidR="00170E61">
        <w:t xml:space="preserve">Bell </w:t>
      </w:r>
      <w:r w:rsidR="00640A23">
        <w:t>and</w:t>
      </w:r>
      <w:r w:rsidR="00170E61">
        <w:t xml:space="preserve"> Salmon</w:t>
      </w:r>
      <w:r w:rsidR="00640A23">
        <w:t>,</w:t>
      </w:r>
      <w:r w:rsidR="00170E61">
        <w:t xml:space="preserve"> 2009</w:t>
      </w:r>
      <w:r w:rsidR="00D14D54">
        <w:t>)</w:t>
      </w:r>
      <w:r w:rsidR="008D37F3">
        <w:t>. In turn,</w:t>
      </w:r>
      <w:r>
        <w:t xml:space="preserve"> those who consume illicit opioids</w:t>
      </w:r>
      <w:r w:rsidR="00CB1AC7">
        <w:t xml:space="preserve"> are rendered </w:t>
      </w:r>
      <w:r>
        <w:t xml:space="preserve">irrational, </w:t>
      </w:r>
      <w:r w:rsidR="00CB1AC7">
        <w:t xml:space="preserve">dangerous and </w:t>
      </w:r>
      <w:r w:rsidR="0022223D">
        <w:t>risky</w:t>
      </w:r>
      <w:r w:rsidR="00765F79">
        <w:t>.</w:t>
      </w:r>
      <w:r w:rsidR="00470A29">
        <w:t xml:space="preserve"> Of course, cultural perceptions of overdose risk are shaped by more than just take-home naloxon</w:t>
      </w:r>
      <w:r w:rsidR="00AE5162">
        <w:t>e. They</w:t>
      </w:r>
      <w:r w:rsidR="00470A29">
        <w:t xml:space="preserve"> emerg</w:t>
      </w:r>
      <w:r w:rsidR="00AE5162">
        <w:t>e</w:t>
      </w:r>
      <w:r w:rsidR="00470A29">
        <w:t xml:space="preserve"> from </w:t>
      </w:r>
      <w:r w:rsidR="00AE5162">
        <w:t>lengthy</w:t>
      </w:r>
      <w:r w:rsidR="00470A29">
        <w:t xml:space="preserve"> histor</w:t>
      </w:r>
      <w:r w:rsidR="00AE5162">
        <w:t xml:space="preserve">ies </w:t>
      </w:r>
      <w:r w:rsidR="00470A29">
        <w:t>of addiction stigma</w:t>
      </w:r>
      <w:r w:rsidR="00AE5162">
        <w:t>,</w:t>
      </w:r>
      <w:r w:rsidR="00470A29">
        <w:t xml:space="preserve"> finding expression in legal arrangements and public discourse. The social relations co-produced by prescription opioid consumption are different </w:t>
      </w:r>
      <w:r w:rsidR="00AE5162">
        <w:t xml:space="preserve">from </w:t>
      </w:r>
      <w:r w:rsidR="00470A29">
        <w:t xml:space="preserve">those </w:t>
      </w:r>
      <w:r w:rsidR="00AE5162">
        <w:t xml:space="preserve">co-produced </w:t>
      </w:r>
      <w:r w:rsidR="00470A29">
        <w:t>by illicit opioid</w:t>
      </w:r>
      <w:r w:rsidR="00AE5162">
        <w:t xml:space="preserve"> consumption</w:t>
      </w:r>
      <w:r w:rsidR="00470A29">
        <w:t xml:space="preserve">, </w:t>
      </w:r>
      <w:r w:rsidR="00AE5162">
        <w:t>with significant</w:t>
      </w:r>
      <w:r w:rsidR="00470A29">
        <w:t xml:space="preserve"> implications for how overdose risk is articulated. </w:t>
      </w:r>
      <w:r w:rsidR="00AE5162">
        <w:t>For this reason</w:t>
      </w:r>
      <w:r w:rsidR="00470A29">
        <w:t xml:space="preserve">, it is understandable </w:t>
      </w:r>
      <w:r w:rsidR="00AE5162">
        <w:t>that some consumers articulate</w:t>
      </w:r>
      <w:r w:rsidR="00470A29">
        <w:t xml:space="preserve"> take-home naloxone as both irrelevant </w:t>
      </w:r>
      <w:r w:rsidR="00470A29">
        <w:rPr>
          <w:i/>
        </w:rPr>
        <w:t xml:space="preserve">and </w:t>
      </w:r>
      <w:r w:rsidR="00470A29">
        <w:t xml:space="preserve">stigmatising, and </w:t>
      </w:r>
      <w:r w:rsidR="00AE5162">
        <w:t xml:space="preserve">that </w:t>
      </w:r>
      <w:r w:rsidR="00470A29">
        <w:t xml:space="preserve">raising the </w:t>
      </w:r>
      <w:r w:rsidR="00470A29" w:rsidRPr="002E7CF4">
        <w:t xml:space="preserve">risks associated with </w:t>
      </w:r>
      <w:r w:rsidR="00470A29">
        <w:t xml:space="preserve">licit </w:t>
      </w:r>
      <w:r w:rsidR="00470A29" w:rsidRPr="002E7CF4">
        <w:t>opioid consumption may be difficult for health professionals to initiate</w:t>
      </w:r>
      <w:r w:rsidR="00E85C86">
        <w:t>.</w:t>
      </w:r>
    </w:p>
    <w:p w14:paraId="4279797C" w14:textId="77777777" w:rsidR="00406323" w:rsidRDefault="00406323" w:rsidP="00CD6C43">
      <w:pPr>
        <w:spacing w:line="360" w:lineRule="auto"/>
      </w:pPr>
    </w:p>
    <w:p w14:paraId="739490D2" w14:textId="2A94898B" w:rsidR="009F7F00" w:rsidRDefault="00C57FB5" w:rsidP="00CD6C43">
      <w:pPr>
        <w:spacing w:line="360" w:lineRule="auto"/>
      </w:pPr>
      <w:r w:rsidRPr="00123C3C">
        <w:t>Finally</w:t>
      </w:r>
      <w:r w:rsidR="004B589D">
        <w:t>,</w:t>
      </w:r>
      <w:r w:rsidRPr="00123C3C">
        <w:t xml:space="preserve"> addiction stigma</w:t>
      </w:r>
      <w:r w:rsidR="00A57C39">
        <w:t xml:space="preserve"> </w:t>
      </w:r>
      <w:r w:rsidR="00AA76F5">
        <w:t xml:space="preserve">also </w:t>
      </w:r>
      <w:r w:rsidR="00A57C39">
        <w:t xml:space="preserve">impedes access to take-home naloxone through the </w:t>
      </w:r>
      <w:r w:rsidR="00AA76F5">
        <w:t xml:space="preserve">tropes of </w:t>
      </w:r>
      <w:r w:rsidR="00AA76F5" w:rsidRPr="008E1156">
        <w:t>individual</w:t>
      </w:r>
      <w:r w:rsidR="00AA76F5">
        <w:t xml:space="preserve"> responsibility </w:t>
      </w:r>
      <w:r w:rsidR="00A57C39">
        <w:t>constituti</w:t>
      </w:r>
      <w:r w:rsidR="00AA76F5">
        <w:t>ng</w:t>
      </w:r>
      <w:r w:rsidR="00A57C39" w:rsidRPr="008E1156">
        <w:t xml:space="preserve"> overdose prevention</w:t>
      </w:r>
      <w:r w:rsidR="004B589D">
        <w:t xml:space="preserve">. </w:t>
      </w:r>
      <w:r w:rsidR="009316E1" w:rsidRPr="008E1156">
        <w:t>Unlike</w:t>
      </w:r>
      <w:r w:rsidR="00AA76F5">
        <w:t>, say,</w:t>
      </w:r>
      <w:r w:rsidR="009316E1" w:rsidRPr="008E1156">
        <w:t xml:space="preserve"> </w:t>
      </w:r>
      <w:r w:rsidR="008D37F3">
        <w:t>anaphylactic shock, which can be similarly addressed through the use of intramuscular injections by lay responders (via</w:t>
      </w:r>
      <w:r w:rsidR="0043372A" w:rsidRPr="008E1156">
        <w:t xml:space="preserve"> the </w:t>
      </w:r>
      <w:r w:rsidR="008E1156" w:rsidRPr="008E1156">
        <w:t>EpiPen</w:t>
      </w:r>
      <w:r w:rsidR="008E1156" w:rsidRPr="008E1156">
        <w:rPr>
          <w:rFonts w:cs="Arial"/>
          <w:color w:val="222222"/>
          <w:shd w:val="clear" w:color="auto" w:fill="FFFFFF"/>
        </w:rPr>
        <w:t>®</w:t>
      </w:r>
      <w:r w:rsidR="008D37F3">
        <w:rPr>
          <w:rFonts w:cs="Arial"/>
          <w:color w:val="222222"/>
          <w:shd w:val="clear" w:color="auto" w:fill="FFFFFF"/>
        </w:rPr>
        <w:t>),</w:t>
      </w:r>
      <w:r w:rsidR="0043372A" w:rsidRPr="008E1156">
        <w:t xml:space="preserve"> to which take-home naloxone </w:t>
      </w:r>
      <w:r w:rsidR="009C085A">
        <w:t>was sometimes compared by our participants</w:t>
      </w:r>
      <w:r w:rsidR="009316E1" w:rsidRPr="008E1156">
        <w:t xml:space="preserve">, </w:t>
      </w:r>
      <w:r w:rsidR="0043372A" w:rsidRPr="008E1156">
        <w:t xml:space="preserve">responsibility for overdose prevention is overwhelmingly conceived individually. </w:t>
      </w:r>
      <w:bookmarkStart w:id="19" w:name="_Hlk27061555"/>
      <w:r w:rsidR="0043372A" w:rsidRPr="008E1156">
        <w:t xml:space="preserve">Whereas the </w:t>
      </w:r>
      <w:r w:rsidR="008E1156" w:rsidRPr="007C2B4C">
        <w:t>EpiPen</w:t>
      </w:r>
      <w:r w:rsidR="008E1156" w:rsidRPr="008E1156">
        <w:rPr>
          <w:rFonts w:cs="Arial"/>
          <w:color w:val="222222"/>
          <w:shd w:val="clear" w:color="auto" w:fill="FFFFFF"/>
        </w:rPr>
        <w:t>®</w:t>
      </w:r>
      <w:r w:rsidR="008E1156">
        <w:t xml:space="preserve"> </w:t>
      </w:r>
      <w:r w:rsidR="0043372A" w:rsidRPr="008E1156">
        <w:t>is targeted towards the general</w:t>
      </w:r>
      <w:r w:rsidR="0043372A">
        <w:t xml:space="preserve"> public</w:t>
      </w:r>
      <w:r w:rsidR="004B589D">
        <w:t>,</w:t>
      </w:r>
      <w:r w:rsidR="0043372A">
        <w:t xml:space="preserve"> and </w:t>
      </w:r>
      <w:r w:rsidR="004B589D">
        <w:t xml:space="preserve">is </w:t>
      </w:r>
      <w:r w:rsidR="0043372A">
        <w:t xml:space="preserve">broadly available in various social </w:t>
      </w:r>
      <w:r w:rsidR="004B589D">
        <w:t xml:space="preserve">and </w:t>
      </w:r>
      <w:r w:rsidR="004B589D">
        <w:lastRenderedPageBreak/>
        <w:t xml:space="preserve">commercial </w:t>
      </w:r>
      <w:r w:rsidR="0043372A">
        <w:t xml:space="preserve">settings, take-home naloxone is </w:t>
      </w:r>
      <w:r w:rsidR="004B589D">
        <w:t xml:space="preserve">articulated </w:t>
      </w:r>
      <w:r w:rsidR="0043372A">
        <w:t xml:space="preserve">as relevant </w:t>
      </w:r>
      <w:r w:rsidR="008D37F3">
        <w:t xml:space="preserve">only </w:t>
      </w:r>
      <w:r w:rsidR="0043372A">
        <w:t>to people who inject drugs</w:t>
      </w:r>
      <w:r w:rsidR="00E2699B">
        <w:t xml:space="preserve"> (and increasingly their family members</w:t>
      </w:r>
      <w:r w:rsidR="000C6ECC">
        <w:t xml:space="preserve"> [Williams et al., 2014]</w:t>
      </w:r>
      <w:r w:rsidR="00E2699B">
        <w:t>)</w:t>
      </w:r>
      <w:r w:rsidR="004B589D">
        <w:t xml:space="preserve">. This focus on illicit consumers as both the custodians and recipients of overdose prevention </w:t>
      </w:r>
      <w:r w:rsidR="0070575A">
        <w:t>is striking because it calls upon them to mobilise mutual aid and community in a context where they experience systematic exclusion from</w:t>
      </w:r>
      <w:r w:rsidR="008E1156">
        <w:t xml:space="preserve"> </w:t>
      </w:r>
      <w:r w:rsidR="00816B79">
        <w:t xml:space="preserve">these very </w:t>
      </w:r>
      <w:r w:rsidR="002F2DB6">
        <w:t>resources</w:t>
      </w:r>
      <w:r w:rsidR="008E1156">
        <w:t xml:space="preserve"> (</w:t>
      </w:r>
      <w:r w:rsidR="00A80397">
        <w:t>Fomiatti</w:t>
      </w:r>
      <w:r w:rsidR="008E1156">
        <w:t xml:space="preserve">, </w:t>
      </w:r>
      <w:r w:rsidR="00D303E1">
        <w:t>in press)</w:t>
      </w:r>
      <w:r w:rsidR="0043372A">
        <w:t>.</w:t>
      </w:r>
      <w:r w:rsidR="009316E1">
        <w:t xml:space="preserve"> </w:t>
      </w:r>
      <w:bookmarkEnd w:id="19"/>
      <w:r w:rsidR="0043372A">
        <w:t>On this point, s</w:t>
      </w:r>
      <w:r w:rsidR="009F7F00">
        <w:t xml:space="preserve">everal participants commented that take-home naloxone was not publicly </w:t>
      </w:r>
      <w:r w:rsidR="00F23804">
        <w:t xml:space="preserve">promoted </w:t>
      </w:r>
      <w:r w:rsidR="00940CEF">
        <w:t>like other forms of health</w:t>
      </w:r>
      <w:r w:rsidR="002F2DB6">
        <w:t>care</w:t>
      </w:r>
      <w:r w:rsidR="009F7F00">
        <w:t>.</w:t>
      </w:r>
      <w:r w:rsidRPr="00123C3C">
        <w:t xml:space="preserve"> </w:t>
      </w:r>
      <w:r w:rsidR="00123C3C">
        <w:t xml:space="preserve">As </w:t>
      </w:r>
      <w:r w:rsidR="00D41D71">
        <w:t xml:space="preserve">Fraser </w:t>
      </w:r>
      <w:r w:rsidR="00123C3C">
        <w:t>(</w:t>
      </w:r>
      <w:r w:rsidR="004A44F1">
        <w:t>male</w:t>
      </w:r>
      <w:r w:rsidR="0020697F">
        <w:t xml:space="preserve">, </w:t>
      </w:r>
      <w:r w:rsidR="00123C3C">
        <w:t>43</w:t>
      </w:r>
      <w:r w:rsidR="00DA68FA">
        <w:t xml:space="preserve"> years old</w:t>
      </w:r>
      <w:r w:rsidR="00123C3C">
        <w:t xml:space="preserve">, </w:t>
      </w:r>
      <w:r w:rsidR="0020697F">
        <w:t>NSW</w:t>
      </w:r>
      <w:r w:rsidR="00123C3C">
        <w:t xml:space="preserve">) </w:t>
      </w:r>
      <w:r w:rsidR="009F7F00">
        <w:t>explains:</w:t>
      </w:r>
    </w:p>
    <w:p w14:paraId="203185D9" w14:textId="77777777" w:rsidR="009316E1" w:rsidRDefault="009316E1" w:rsidP="00CD6C43">
      <w:pPr>
        <w:spacing w:line="360" w:lineRule="auto"/>
      </w:pPr>
    </w:p>
    <w:p w14:paraId="410C1339" w14:textId="7F6EC454" w:rsidR="009316E1" w:rsidRDefault="00D41D71" w:rsidP="000C6ECC">
      <w:pPr>
        <w:spacing w:line="360" w:lineRule="auto"/>
        <w:ind w:left="720"/>
      </w:pPr>
      <w:r>
        <w:t xml:space="preserve">Well it’s not out there enough. You’ve got to put an ad on the TV about it and get people out there and tell them, </w:t>
      </w:r>
      <w:r w:rsidR="00816B79">
        <w:t>‘</w:t>
      </w:r>
      <w:r>
        <w:t>have this at home and if you see someone down the street or in the pub, grab your kit and you can save a life’</w:t>
      </w:r>
      <w:r w:rsidR="00816B79">
        <w:t>.</w:t>
      </w:r>
    </w:p>
    <w:p w14:paraId="7D032EFD" w14:textId="77777777" w:rsidR="009316E1" w:rsidRDefault="009316E1">
      <w:pPr>
        <w:spacing w:line="360" w:lineRule="auto"/>
        <w:ind w:left="720"/>
      </w:pPr>
    </w:p>
    <w:p w14:paraId="0C74E7C2" w14:textId="0BF783C9" w:rsidR="000C6ECC" w:rsidRDefault="009316E1">
      <w:pPr>
        <w:spacing w:line="360" w:lineRule="auto"/>
      </w:pPr>
      <w:r>
        <w:t>Here, Fraser suggests that overdose prevention might be better targeted towards the general public.</w:t>
      </w:r>
      <w:r w:rsidR="0043372A">
        <w:t xml:space="preserve"> His comments also suggest that the language of overdose prevention </w:t>
      </w:r>
      <w:r w:rsidR="0070575A">
        <w:t>is more appropriately</w:t>
      </w:r>
      <w:r w:rsidR="0043372A">
        <w:t xml:space="preserve"> couched in terms of shared responsibility for the local community rather than targeted at individual</w:t>
      </w:r>
      <w:r w:rsidR="008D37F3">
        <w:t xml:space="preserve"> consumers of opioids</w:t>
      </w:r>
      <w:r w:rsidR="0043372A">
        <w:t xml:space="preserve">. </w:t>
      </w:r>
      <w:r w:rsidR="00E57B71">
        <w:t>While</w:t>
      </w:r>
      <w:r w:rsidR="0043372A">
        <w:t xml:space="preserve"> other participants </w:t>
      </w:r>
      <w:r w:rsidR="00E57B71">
        <w:t xml:space="preserve">agreed that take-home naloxone should be more widely advertised, they also </w:t>
      </w:r>
      <w:r w:rsidR="0043372A">
        <w:t>observed that stigma would likely negatively inform</w:t>
      </w:r>
      <w:r w:rsidR="009C085A">
        <w:t xml:space="preserve"> </w:t>
      </w:r>
      <w:r w:rsidR="0043372A">
        <w:t xml:space="preserve">attitudes to </w:t>
      </w:r>
      <w:r w:rsidR="00B3187B">
        <w:t>it</w:t>
      </w:r>
      <w:r w:rsidR="0043372A">
        <w:t>.</w:t>
      </w:r>
      <w:r w:rsidR="000C6ECC">
        <w:t xml:space="preserve"> Zippy (</w:t>
      </w:r>
      <w:r w:rsidR="004A44F1">
        <w:t>male</w:t>
      </w:r>
      <w:r w:rsidR="0020697F">
        <w:t>, 59</w:t>
      </w:r>
      <w:r w:rsidR="00DA68FA">
        <w:t xml:space="preserve"> years old</w:t>
      </w:r>
      <w:r w:rsidR="0020697F">
        <w:t xml:space="preserve">, </w:t>
      </w:r>
      <w:r w:rsidR="000C6ECC">
        <w:t xml:space="preserve">Vic), for example, </w:t>
      </w:r>
      <w:r w:rsidR="00053E73">
        <w:t>says</w:t>
      </w:r>
      <w:r w:rsidR="000C6ECC">
        <w:t>:</w:t>
      </w:r>
    </w:p>
    <w:p w14:paraId="204F005D" w14:textId="77777777" w:rsidR="00321248" w:rsidRDefault="00321248">
      <w:pPr>
        <w:spacing w:line="360" w:lineRule="auto"/>
      </w:pPr>
    </w:p>
    <w:p w14:paraId="0312773F" w14:textId="31714F9F" w:rsidR="000C6ECC" w:rsidRDefault="000C6ECC" w:rsidP="000C6ECC">
      <w:pPr>
        <w:spacing w:line="360" w:lineRule="auto"/>
        <w:ind w:left="720"/>
        <w:rPr>
          <w:rFonts w:cs="Arial"/>
          <w:color w:val="222222"/>
          <w:shd w:val="clear" w:color="auto" w:fill="FFFFFF"/>
        </w:rPr>
      </w:pPr>
      <w:r w:rsidRPr="0048570F">
        <w:rPr>
          <w:rFonts w:cs="Arial"/>
          <w:color w:val="222222"/>
          <w:shd w:val="clear" w:color="auto" w:fill="FFFFFF"/>
        </w:rPr>
        <w:t>Giving it</w:t>
      </w:r>
      <w:r w:rsidR="00321248">
        <w:rPr>
          <w:rFonts w:cs="Arial"/>
          <w:color w:val="222222"/>
          <w:shd w:val="clear" w:color="auto" w:fill="FFFFFF"/>
        </w:rPr>
        <w:t xml:space="preserve"> [take-home naloxone]</w:t>
      </w:r>
      <w:r w:rsidRPr="0048570F">
        <w:rPr>
          <w:rFonts w:cs="Arial"/>
          <w:color w:val="222222"/>
          <w:shd w:val="clear" w:color="auto" w:fill="FFFFFF"/>
        </w:rPr>
        <w:t xml:space="preserve"> to everyone would probably be a good idea, mate, you know, but how do you do that? Do you have big signs everywhere when people walk into chemist</w:t>
      </w:r>
      <w:r w:rsidR="00321248">
        <w:rPr>
          <w:rFonts w:cs="Arial"/>
          <w:color w:val="222222"/>
          <w:shd w:val="clear" w:color="auto" w:fill="FFFFFF"/>
        </w:rPr>
        <w:t>s</w:t>
      </w:r>
      <w:r w:rsidRPr="0048570F">
        <w:rPr>
          <w:rFonts w:cs="Arial"/>
          <w:color w:val="222222"/>
          <w:shd w:val="clear" w:color="auto" w:fill="FFFFFF"/>
        </w:rPr>
        <w:t xml:space="preserve"> and that, you know, ‘Would you be a participant in carrying naloxone in case you ever come across a person who’s overdosed?’ I’m sure you’d get a few people saying ‘yeah’, but most people would probably go ‘Ugh druggies, I don’t want to’</w:t>
      </w:r>
      <w:r w:rsidR="00321248">
        <w:rPr>
          <w:rFonts w:cs="Arial"/>
          <w:color w:val="222222"/>
          <w:shd w:val="clear" w:color="auto" w:fill="FFFFFF"/>
        </w:rPr>
        <w:t>.</w:t>
      </w:r>
    </w:p>
    <w:p w14:paraId="015C2FEC" w14:textId="77777777" w:rsidR="00321248" w:rsidRPr="0048570F" w:rsidRDefault="00321248" w:rsidP="000C6ECC">
      <w:pPr>
        <w:spacing w:line="360" w:lineRule="auto"/>
        <w:ind w:left="720"/>
      </w:pPr>
    </w:p>
    <w:p w14:paraId="49A5AE4A" w14:textId="63085ECD" w:rsidR="00B6094E" w:rsidRDefault="00C41D06" w:rsidP="000C6ECC">
      <w:pPr>
        <w:spacing w:line="360" w:lineRule="auto"/>
      </w:pPr>
      <w:bookmarkStart w:id="20" w:name="_Hlk27061038"/>
      <w:r>
        <w:t xml:space="preserve">In sum, our interview data highlight a range of ways in which stigma </w:t>
      </w:r>
      <w:r w:rsidR="006B40F6">
        <w:t xml:space="preserve">may </w:t>
      </w:r>
      <w:r>
        <w:t xml:space="preserve">shape </w:t>
      </w:r>
      <w:r w:rsidR="000B70D6">
        <w:t xml:space="preserve">the constitution of </w:t>
      </w:r>
      <w:r>
        <w:t xml:space="preserve">overdose </w:t>
      </w:r>
      <w:r w:rsidR="000B70D6">
        <w:t xml:space="preserve">risk </w:t>
      </w:r>
      <w:r w:rsidR="0085757C">
        <w:t xml:space="preserve">and who is responsibilised for responding to </w:t>
      </w:r>
      <w:r w:rsidR="000B70D6">
        <w:t>it</w:t>
      </w:r>
      <w:r w:rsidR="0085757C">
        <w:t>. To date,</w:t>
      </w:r>
      <w:r w:rsidR="000B70D6">
        <w:t xml:space="preserve"> it seems</w:t>
      </w:r>
      <w:r w:rsidR="0085757C">
        <w:t xml:space="preserve"> stigma around illicit drug use has meant that t</w:t>
      </w:r>
      <w:r w:rsidR="00E752D2">
        <w:t xml:space="preserve">he deaths of people who use illicit drugs </w:t>
      </w:r>
      <w:r w:rsidR="0085757C">
        <w:t xml:space="preserve">have not </w:t>
      </w:r>
      <w:r w:rsidR="00816B79">
        <w:t xml:space="preserve">warranted </w:t>
      </w:r>
      <w:r w:rsidR="000B70D6">
        <w:t>the creation of a sufficient</w:t>
      </w:r>
      <w:r w:rsidR="00E752D2">
        <w:t xml:space="preserve"> </w:t>
      </w:r>
      <w:r w:rsidR="000B70D6">
        <w:t xml:space="preserve">range of overdose prevention resources </w:t>
      </w:r>
      <w:r w:rsidR="00321248">
        <w:t xml:space="preserve">in mainstream health services </w:t>
      </w:r>
      <w:r w:rsidR="000B70D6">
        <w:t>and environments in Australia</w:t>
      </w:r>
      <w:r w:rsidR="00D05861">
        <w:t>.</w:t>
      </w:r>
    </w:p>
    <w:bookmarkEnd w:id="20"/>
    <w:p w14:paraId="6F02C588" w14:textId="77777777" w:rsidR="00B3187B" w:rsidRDefault="00B3187B">
      <w:pPr>
        <w:spacing w:line="360" w:lineRule="auto"/>
      </w:pPr>
    </w:p>
    <w:p w14:paraId="5FAC9C5F" w14:textId="77777777" w:rsidR="007D1C0F" w:rsidRPr="00D45A23" w:rsidRDefault="009A02FB" w:rsidP="00816B79">
      <w:pPr>
        <w:pStyle w:val="Heading2"/>
        <w:keepNext/>
        <w:spacing w:line="360" w:lineRule="auto"/>
      </w:pPr>
      <w:r w:rsidRPr="00D45A23">
        <w:t>Conclusion</w:t>
      </w:r>
    </w:p>
    <w:p w14:paraId="28D94B6E" w14:textId="5895E9BE" w:rsidR="007D1C0F" w:rsidRPr="00D45A23" w:rsidRDefault="007D1C0F" w:rsidP="00B0689D">
      <w:pPr>
        <w:spacing w:line="360" w:lineRule="auto"/>
        <w:rPr>
          <w:rFonts w:cs="Arial"/>
        </w:rPr>
      </w:pPr>
      <w:r w:rsidRPr="00D45A23">
        <w:rPr>
          <w:rFonts w:cs="Arial"/>
        </w:rPr>
        <w:t>This article has analyse</w:t>
      </w:r>
      <w:r w:rsidR="00D45A23">
        <w:rPr>
          <w:rFonts w:cs="Arial"/>
        </w:rPr>
        <w:t>d</w:t>
      </w:r>
      <w:r w:rsidRPr="00D45A23">
        <w:rPr>
          <w:rFonts w:cs="Arial"/>
        </w:rPr>
        <w:t xml:space="preserve"> the operations of stigma in the uptake of take-home naloxone</w:t>
      </w:r>
      <w:r w:rsidR="00E85C86">
        <w:rPr>
          <w:rFonts w:cs="Arial"/>
        </w:rPr>
        <w:t xml:space="preserve"> by mainstream health services and consumers</w:t>
      </w:r>
      <w:r w:rsidRPr="00D45A23">
        <w:rPr>
          <w:rFonts w:cs="Arial"/>
        </w:rPr>
        <w:t xml:space="preserve"> in Australia from the perspectives of those who </w:t>
      </w:r>
      <w:r w:rsidRPr="00D45A23">
        <w:rPr>
          <w:rFonts w:cs="Arial"/>
        </w:rPr>
        <w:lastRenderedPageBreak/>
        <w:t xml:space="preserve">consume opioids and risk overdose. A growing literature has usefully identified a range of practical impediments to uptake. Our task has been at once more specific and more abstract. While we have not chosen to focus on the ontology of disease states or injury, </w:t>
      </w:r>
      <w:r w:rsidR="00D45A23">
        <w:rPr>
          <w:rFonts w:cs="Arial"/>
        </w:rPr>
        <w:t>our argument</w:t>
      </w:r>
      <w:r w:rsidRPr="00D45A23">
        <w:rPr>
          <w:rFonts w:cs="Arial"/>
        </w:rPr>
        <w:t xml:space="preserve"> is undoubtedly predicated on the knowledge that such entities are not natural or inevitable (Fraser</w:t>
      </w:r>
      <w:r w:rsidR="00640A23">
        <w:rPr>
          <w:rFonts w:cs="Arial"/>
        </w:rPr>
        <w:t>,</w:t>
      </w:r>
      <w:r w:rsidRPr="00D45A23">
        <w:rPr>
          <w:rFonts w:cs="Arial"/>
        </w:rPr>
        <w:t xml:space="preserve"> </w:t>
      </w:r>
      <w:r w:rsidR="00EB46E1">
        <w:rPr>
          <w:rFonts w:cs="Arial"/>
        </w:rPr>
        <w:t>2011</w:t>
      </w:r>
      <w:r w:rsidRPr="00D45A23">
        <w:rPr>
          <w:rFonts w:cs="Arial"/>
        </w:rPr>
        <w:t xml:space="preserve">). They are constituted within the very terms of discourse mobilised to counter them. This dynamic could not be more evident than it is in the issue of overdose and its reversal. Stigma </w:t>
      </w:r>
      <w:r w:rsidR="00124407">
        <w:rPr>
          <w:rFonts w:cs="Arial"/>
        </w:rPr>
        <w:t>co-</w:t>
      </w:r>
      <w:r w:rsidRPr="00D45A23">
        <w:rPr>
          <w:rFonts w:cs="Arial"/>
        </w:rPr>
        <w:t xml:space="preserve">produces </w:t>
      </w:r>
      <w:r w:rsidR="00D45A23">
        <w:rPr>
          <w:rFonts w:cs="Arial"/>
        </w:rPr>
        <w:t xml:space="preserve">particular </w:t>
      </w:r>
      <w:r w:rsidRPr="00D45A23">
        <w:rPr>
          <w:rFonts w:cs="Arial"/>
        </w:rPr>
        <w:t>overdose events, risks</w:t>
      </w:r>
      <w:r w:rsidR="00861D9E">
        <w:rPr>
          <w:rFonts w:cs="Arial"/>
        </w:rPr>
        <w:t xml:space="preserve"> </w:t>
      </w:r>
      <w:r w:rsidR="00D45A23">
        <w:rPr>
          <w:rFonts w:cs="Arial"/>
        </w:rPr>
        <w:t xml:space="preserve">and </w:t>
      </w:r>
      <w:r w:rsidRPr="00D45A23">
        <w:rPr>
          <w:rFonts w:cs="Arial"/>
        </w:rPr>
        <w:t xml:space="preserve">responses, as well as obstacles to accessing these responses. </w:t>
      </w:r>
      <w:r w:rsidR="00861D9E">
        <w:rPr>
          <w:rFonts w:cs="Arial"/>
        </w:rPr>
        <w:t>W</w:t>
      </w:r>
      <w:r w:rsidR="00D45A23">
        <w:rPr>
          <w:rFonts w:cs="Arial"/>
        </w:rPr>
        <w:t xml:space="preserve">e have analysed interview material </w:t>
      </w:r>
      <w:r w:rsidR="0047311A">
        <w:rPr>
          <w:rFonts w:cs="Arial"/>
        </w:rPr>
        <w:t xml:space="preserve">demonstrating </w:t>
      </w:r>
      <w:r w:rsidR="00452E56">
        <w:rPr>
          <w:rFonts w:cs="Arial"/>
        </w:rPr>
        <w:t>how</w:t>
      </w:r>
      <w:r w:rsidR="0047311A">
        <w:rPr>
          <w:rFonts w:cs="Arial"/>
        </w:rPr>
        <w:t xml:space="preserve"> stigma </w:t>
      </w:r>
      <w:r w:rsidR="00124407">
        <w:rPr>
          <w:rFonts w:cs="Arial"/>
        </w:rPr>
        <w:t>helps shape</w:t>
      </w:r>
      <w:r w:rsidR="0047311A">
        <w:rPr>
          <w:rFonts w:cs="Arial"/>
        </w:rPr>
        <w:t xml:space="preserve"> the ways </w:t>
      </w:r>
      <w:r w:rsidR="00861D9E">
        <w:rPr>
          <w:rFonts w:cs="Arial"/>
        </w:rPr>
        <w:t xml:space="preserve">in which </w:t>
      </w:r>
      <w:r w:rsidR="0047311A">
        <w:rPr>
          <w:rFonts w:cs="Arial"/>
        </w:rPr>
        <w:t xml:space="preserve">information about take-home naloxone is circulated (or potentially </w:t>
      </w:r>
      <w:r w:rsidR="00E17629">
        <w:rPr>
          <w:rFonts w:cs="Arial"/>
        </w:rPr>
        <w:t>neglected</w:t>
      </w:r>
      <w:r w:rsidR="0047311A">
        <w:rPr>
          <w:rFonts w:cs="Arial"/>
        </w:rPr>
        <w:t xml:space="preserve">), how it </w:t>
      </w:r>
      <w:r w:rsidR="00124407">
        <w:rPr>
          <w:rFonts w:cs="Arial"/>
        </w:rPr>
        <w:t xml:space="preserve">helps shape </w:t>
      </w:r>
      <w:r w:rsidR="0047311A">
        <w:rPr>
          <w:rFonts w:cs="Arial"/>
        </w:rPr>
        <w:t xml:space="preserve">scope for, and concerns associated with, accessing take-home naloxone, and lastly, how it </w:t>
      </w:r>
      <w:r w:rsidR="00124407">
        <w:rPr>
          <w:rFonts w:cs="Arial"/>
        </w:rPr>
        <w:t xml:space="preserve">helps shape </w:t>
      </w:r>
      <w:r w:rsidR="0047311A">
        <w:rPr>
          <w:rFonts w:cs="Arial"/>
        </w:rPr>
        <w:t>particular patterns of responsibility for using take-home naloxone and saving the lives of others.</w:t>
      </w:r>
      <w:r w:rsidR="00E17629">
        <w:rPr>
          <w:rFonts w:cs="Arial"/>
        </w:rPr>
        <w:t xml:space="preserve"> </w:t>
      </w:r>
      <w:r w:rsidR="008267DE" w:rsidRPr="008267DE">
        <w:rPr>
          <w:lang w:val="en-US"/>
        </w:rPr>
        <w:t xml:space="preserve">This is not to suggest that we consider individual service providers </w:t>
      </w:r>
      <w:r w:rsidR="00E85C86">
        <w:rPr>
          <w:lang w:val="en-US"/>
        </w:rPr>
        <w:t xml:space="preserve">or mainstream health services </w:t>
      </w:r>
      <w:r w:rsidR="008267DE" w:rsidRPr="008267DE">
        <w:rPr>
          <w:lang w:val="en-US"/>
        </w:rPr>
        <w:t>the source of the issues describe</w:t>
      </w:r>
      <w:r w:rsidR="00861D9E">
        <w:rPr>
          <w:lang w:val="en-US"/>
        </w:rPr>
        <w:t>d</w:t>
      </w:r>
      <w:r w:rsidR="008267DE" w:rsidRPr="008267DE">
        <w:rPr>
          <w:lang w:val="en-US"/>
        </w:rPr>
        <w:t xml:space="preserve"> here. Broader structural conditions, such as the lack of a nationally coordinated framework for implementation, limited t</w:t>
      </w:r>
      <w:r w:rsidR="003D6AEB">
        <w:rPr>
          <w:lang w:val="en-US"/>
        </w:rPr>
        <w:t xml:space="preserve">raining for prescribing and variable </w:t>
      </w:r>
      <w:r w:rsidR="008267DE" w:rsidRPr="008267DE">
        <w:rPr>
          <w:lang w:val="en-US"/>
        </w:rPr>
        <w:t xml:space="preserve">dispensing guidelines, urgently need scrutiny. However, as we have argued, these persistent issues reflect, to some degree, a dynamic cultural atmosphere in which the issue of overdose and those affected </w:t>
      </w:r>
      <w:r w:rsidR="00861D9E">
        <w:rPr>
          <w:lang w:val="en-US"/>
        </w:rPr>
        <w:t xml:space="preserve">by it </w:t>
      </w:r>
      <w:r w:rsidR="008267DE" w:rsidRPr="008267DE">
        <w:rPr>
          <w:lang w:val="en-US"/>
        </w:rPr>
        <w:t>are routinely neglected.</w:t>
      </w:r>
    </w:p>
    <w:p w14:paraId="628FF62E" w14:textId="77777777" w:rsidR="007D1C0F" w:rsidRPr="00D45A23" w:rsidRDefault="007D1C0F" w:rsidP="00B0689D">
      <w:pPr>
        <w:spacing w:line="360" w:lineRule="auto"/>
        <w:rPr>
          <w:rFonts w:cs="Arial"/>
        </w:rPr>
      </w:pPr>
    </w:p>
    <w:p w14:paraId="0CE04856" w14:textId="2C2435D2" w:rsidR="003103A6" w:rsidRDefault="00B3187B">
      <w:pPr>
        <w:spacing w:line="360" w:lineRule="auto"/>
        <w:rPr>
          <w:rFonts w:cs="Arial"/>
        </w:rPr>
      </w:pPr>
      <w:r w:rsidRPr="00D45A23">
        <w:rPr>
          <w:rFonts w:cs="Arial"/>
        </w:rPr>
        <w:t>Fraser et al.’s performative theorisation of stigma</w:t>
      </w:r>
      <w:r w:rsidR="0047311A">
        <w:rPr>
          <w:rFonts w:cs="Arial"/>
        </w:rPr>
        <w:t xml:space="preserve"> treats </w:t>
      </w:r>
      <w:r w:rsidR="002F2DB6">
        <w:rPr>
          <w:rFonts w:cs="Arial"/>
        </w:rPr>
        <w:t xml:space="preserve">it </w:t>
      </w:r>
      <w:r w:rsidR="0047311A">
        <w:rPr>
          <w:rFonts w:cs="Arial"/>
        </w:rPr>
        <w:t xml:space="preserve">not as a set of post hoc judgments and practices that attach to existing phenomena, but </w:t>
      </w:r>
      <w:r w:rsidRPr="00D45A23">
        <w:rPr>
          <w:rFonts w:cs="Arial"/>
        </w:rPr>
        <w:t>as a constitutive biopolitical process</w:t>
      </w:r>
      <w:r w:rsidR="00124407">
        <w:rPr>
          <w:rFonts w:cs="Arial"/>
        </w:rPr>
        <w:t xml:space="preserve"> that can bring into being these very phenomena</w:t>
      </w:r>
      <w:r w:rsidR="0047311A">
        <w:rPr>
          <w:rFonts w:cs="Arial"/>
        </w:rPr>
        <w:t xml:space="preserve">. </w:t>
      </w:r>
      <w:bookmarkStart w:id="21" w:name="_Hlk27060574"/>
      <w:r w:rsidRPr="00D45A23">
        <w:rPr>
          <w:rFonts w:cs="Arial"/>
        </w:rPr>
        <w:t xml:space="preserve">Addiction stigma </w:t>
      </w:r>
      <w:r w:rsidR="0047311A">
        <w:rPr>
          <w:rFonts w:cs="Arial"/>
        </w:rPr>
        <w:t xml:space="preserve">effectively </w:t>
      </w:r>
      <w:r w:rsidRPr="00D45A23">
        <w:rPr>
          <w:rFonts w:cs="Arial"/>
        </w:rPr>
        <w:t>renders the lives of people who consume drugs less important than the lives of others (</w:t>
      </w:r>
      <w:r w:rsidR="00124407">
        <w:rPr>
          <w:rFonts w:cs="Arial"/>
        </w:rPr>
        <w:t>such as</w:t>
      </w:r>
      <w:r w:rsidRPr="00D45A23">
        <w:rPr>
          <w:rFonts w:cs="Arial"/>
        </w:rPr>
        <w:t xml:space="preserve"> people at risk of anaphylactic shock), and</w:t>
      </w:r>
      <w:r w:rsidR="0047311A">
        <w:rPr>
          <w:rFonts w:cs="Arial"/>
        </w:rPr>
        <w:t>,</w:t>
      </w:r>
      <w:r w:rsidRPr="00D45A23">
        <w:rPr>
          <w:rFonts w:cs="Arial"/>
        </w:rPr>
        <w:t xml:space="preserve"> </w:t>
      </w:r>
      <w:r w:rsidR="0047311A">
        <w:rPr>
          <w:rFonts w:cs="Arial"/>
        </w:rPr>
        <w:t>further</w:t>
      </w:r>
      <w:r w:rsidRPr="00D45A23">
        <w:rPr>
          <w:rFonts w:cs="Arial"/>
        </w:rPr>
        <w:t xml:space="preserve">, as objects of disgust. </w:t>
      </w:r>
      <w:r w:rsidR="00124407">
        <w:rPr>
          <w:rFonts w:cs="Arial"/>
        </w:rPr>
        <w:t>Th</w:t>
      </w:r>
      <w:r w:rsidR="00861D9E">
        <w:rPr>
          <w:rFonts w:cs="Arial"/>
        </w:rPr>
        <w:t>ese</w:t>
      </w:r>
      <w:r w:rsidR="00124407">
        <w:rPr>
          <w:rFonts w:cs="Arial"/>
        </w:rPr>
        <w:t xml:space="preserve"> meanings ha</w:t>
      </w:r>
      <w:r w:rsidR="00861D9E">
        <w:rPr>
          <w:rFonts w:cs="Arial"/>
        </w:rPr>
        <w:t>ve</w:t>
      </w:r>
      <w:r w:rsidR="0047311A">
        <w:rPr>
          <w:rFonts w:cs="Arial"/>
        </w:rPr>
        <w:t xml:space="preserve"> direct relevance because </w:t>
      </w:r>
      <w:r w:rsidR="00124407">
        <w:rPr>
          <w:rFonts w:cs="Arial"/>
        </w:rPr>
        <w:t xml:space="preserve">a key </w:t>
      </w:r>
      <w:r w:rsidR="00861D9E">
        <w:rPr>
          <w:rFonts w:cs="Arial"/>
        </w:rPr>
        <w:t xml:space="preserve">avenue for increasing </w:t>
      </w:r>
      <w:r w:rsidR="002F2DB6">
        <w:rPr>
          <w:rFonts w:cs="Arial"/>
        </w:rPr>
        <w:t xml:space="preserve">take-home naloxone </w:t>
      </w:r>
      <w:r w:rsidR="0047311A">
        <w:rPr>
          <w:rFonts w:cs="Arial"/>
        </w:rPr>
        <w:t xml:space="preserve">uptake is </w:t>
      </w:r>
      <w:r w:rsidR="00124407">
        <w:rPr>
          <w:rFonts w:cs="Arial"/>
        </w:rPr>
        <w:t>largely e</w:t>
      </w:r>
      <w:r w:rsidR="0047311A">
        <w:rPr>
          <w:rFonts w:cs="Arial"/>
        </w:rPr>
        <w:t>clipsed by this stigma, namely, the</w:t>
      </w:r>
      <w:r w:rsidRPr="00D45A23">
        <w:rPr>
          <w:rFonts w:cs="Arial"/>
        </w:rPr>
        <w:t xml:space="preserve"> sharing </w:t>
      </w:r>
      <w:r w:rsidR="0047311A">
        <w:rPr>
          <w:rFonts w:cs="Arial"/>
        </w:rPr>
        <w:t xml:space="preserve">of </w:t>
      </w:r>
      <w:r w:rsidRPr="00D45A23">
        <w:rPr>
          <w:rFonts w:cs="Arial"/>
        </w:rPr>
        <w:t xml:space="preserve">responsibility for </w:t>
      </w:r>
      <w:r w:rsidR="00124407">
        <w:rPr>
          <w:rFonts w:cs="Arial"/>
        </w:rPr>
        <w:t>responding to</w:t>
      </w:r>
      <w:r w:rsidRPr="00D45A23">
        <w:rPr>
          <w:rFonts w:cs="Arial"/>
        </w:rPr>
        <w:t xml:space="preserve"> </w:t>
      </w:r>
      <w:r w:rsidR="0047311A">
        <w:rPr>
          <w:rFonts w:cs="Arial"/>
        </w:rPr>
        <w:t xml:space="preserve">overdose among </w:t>
      </w:r>
      <w:r w:rsidR="00053E73">
        <w:rPr>
          <w:rFonts w:cs="Arial"/>
        </w:rPr>
        <w:t xml:space="preserve">mainstream health services and </w:t>
      </w:r>
      <w:r w:rsidR="0047311A">
        <w:rPr>
          <w:rFonts w:cs="Arial"/>
        </w:rPr>
        <w:t>the broad</w:t>
      </w:r>
      <w:r w:rsidR="00124407">
        <w:rPr>
          <w:rFonts w:cs="Arial"/>
        </w:rPr>
        <w:t>er community. As we have argued</w:t>
      </w:r>
      <w:r w:rsidR="00A333F9">
        <w:rPr>
          <w:rFonts w:cs="Arial"/>
        </w:rPr>
        <w:t xml:space="preserve"> elsewhere</w:t>
      </w:r>
      <w:r w:rsidR="0047311A">
        <w:rPr>
          <w:rFonts w:cs="Arial"/>
        </w:rPr>
        <w:t>,</w:t>
      </w:r>
      <w:r w:rsidRPr="00D45A23">
        <w:rPr>
          <w:rFonts w:cs="Arial"/>
        </w:rPr>
        <w:t xml:space="preserve"> </w:t>
      </w:r>
      <w:r w:rsidRPr="0047311A">
        <w:rPr>
          <w:rFonts w:cs="Arial"/>
        </w:rPr>
        <w:t xml:space="preserve">the lives of marginalised opioid consumers are not valued and their deaths are </w:t>
      </w:r>
      <w:r w:rsidR="0047311A">
        <w:rPr>
          <w:rFonts w:cs="Arial"/>
        </w:rPr>
        <w:t>rarely recognised as</w:t>
      </w:r>
      <w:r w:rsidRPr="0047311A">
        <w:rPr>
          <w:rFonts w:cs="Arial"/>
        </w:rPr>
        <w:t xml:space="preserve"> ‘grievable’</w:t>
      </w:r>
      <w:r w:rsidR="00C41D06">
        <w:rPr>
          <w:rFonts w:cs="Arial"/>
        </w:rPr>
        <w:t xml:space="preserve">. More consistently effective responses to overdose </w:t>
      </w:r>
      <w:r w:rsidR="00530041">
        <w:rPr>
          <w:rFonts w:cs="Arial"/>
        </w:rPr>
        <w:t>may struggle to take hold unless</w:t>
      </w:r>
      <w:r w:rsidR="00C41D06">
        <w:rPr>
          <w:rFonts w:cs="Arial"/>
        </w:rPr>
        <w:t xml:space="preserve"> this changes</w:t>
      </w:r>
      <w:r w:rsidRPr="0047311A">
        <w:rPr>
          <w:rFonts w:cs="Arial"/>
        </w:rPr>
        <w:t xml:space="preserve"> (Fraser</w:t>
      </w:r>
      <w:r w:rsidR="00640A23">
        <w:rPr>
          <w:rFonts w:cs="Arial"/>
        </w:rPr>
        <w:t xml:space="preserve"> et al., </w:t>
      </w:r>
      <w:r w:rsidRPr="0047311A">
        <w:rPr>
          <w:rFonts w:cs="Arial"/>
        </w:rPr>
        <w:t xml:space="preserve">2018). </w:t>
      </w:r>
    </w:p>
    <w:bookmarkEnd w:id="21"/>
    <w:p w14:paraId="7ECCEB1E" w14:textId="77777777" w:rsidR="003103A6" w:rsidRDefault="003103A6">
      <w:pPr>
        <w:spacing w:line="360" w:lineRule="auto"/>
        <w:rPr>
          <w:rFonts w:cs="Arial"/>
        </w:rPr>
      </w:pPr>
    </w:p>
    <w:p w14:paraId="24F7FDE7" w14:textId="7295135A" w:rsidR="00B3187B" w:rsidRPr="0047311A" w:rsidRDefault="002F2DB6">
      <w:pPr>
        <w:spacing w:line="360" w:lineRule="auto"/>
        <w:rPr>
          <w:rFonts w:cs="Arial"/>
        </w:rPr>
      </w:pPr>
      <w:r>
        <w:rPr>
          <w:rFonts w:cs="Arial"/>
        </w:rPr>
        <w:t>Finally</w:t>
      </w:r>
      <w:r w:rsidR="00124407">
        <w:rPr>
          <w:rFonts w:cs="Arial"/>
        </w:rPr>
        <w:t xml:space="preserve">, it is </w:t>
      </w:r>
      <w:r w:rsidR="002A738C">
        <w:rPr>
          <w:rFonts w:cs="Arial"/>
        </w:rPr>
        <w:t>worth observing that the stigmatisation of</w:t>
      </w:r>
      <w:r w:rsidR="00B3187B" w:rsidRPr="00D45A23">
        <w:rPr>
          <w:rFonts w:cs="Arial"/>
        </w:rPr>
        <w:t xml:space="preserve"> overdose and take-home naloxone</w:t>
      </w:r>
      <w:r w:rsidR="0047311A">
        <w:rPr>
          <w:rFonts w:cs="Arial"/>
        </w:rPr>
        <w:t xml:space="preserve"> </w:t>
      </w:r>
      <w:r w:rsidR="002A738C">
        <w:rPr>
          <w:rFonts w:cs="Arial"/>
        </w:rPr>
        <w:t xml:space="preserve">identified </w:t>
      </w:r>
      <w:r w:rsidR="00B3183D">
        <w:rPr>
          <w:rFonts w:cs="Arial"/>
        </w:rPr>
        <w:t>here</w:t>
      </w:r>
      <w:r w:rsidR="002A738C">
        <w:rPr>
          <w:rFonts w:cs="Arial"/>
        </w:rPr>
        <w:t xml:space="preserve"> also works</w:t>
      </w:r>
      <w:r w:rsidR="0047311A">
        <w:rPr>
          <w:rFonts w:cs="Arial"/>
        </w:rPr>
        <w:t xml:space="preserve"> to</w:t>
      </w:r>
      <w:r w:rsidR="00B3187B" w:rsidRPr="00D45A23">
        <w:rPr>
          <w:rFonts w:cs="Arial"/>
        </w:rPr>
        <w:t xml:space="preserve"> bolster and consolidat</w:t>
      </w:r>
      <w:r w:rsidR="002A738C">
        <w:rPr>
          <w:rFonts w:cs="Arial"/>
        </w:rPr>
        <w:t>e</w:t>
      </w:r>
      <w:r w:rsidR="00B3187B" w:rsidRPr="00D45A23">
        <w:rPr>
          <w:rFonts w:cs="Arial"/>
        </w:rPr>
        <w:t xml:space="preserve"> </w:t>
      </w:r>
      <w:r w:rsidR="00B3187B" w:rsidRPr="0047311A">
        <w:rPr>
          <w:rFonts w:cs="Arial"/>
        </w:rPr>
        <w:t xml:space="preserve">the symbolic legitimacy of </w:t>
      </w:r>
      <w:r w:rsidR="0047311A">
        <w:rPr>
          <w:rFonts w:cs="Arial"/>
        </w:rPr>
        <w:t>non-opioid consuming</w:t>
      </w:r>
      <w:r w:rsidR="00B3187B" w:rsidRPr="0047311A">
        <w:rPr>
          <w:rFonts w:cs="Arial"/>
        </w:rPr>
        <w:t xml:space="preserve"> subjecthood and sociality. </w:t>
      </w:r>
      <w:r w:rsidR="00B3183D">
        <w:rPr>
          <w:rFonts w:cs="Arial"/>
        </w:rPr>
        <w:t>E</w:t>
      </w:r>
      <w:r w:rsidR="002A738C">
        <w:rPr>
          <w:rFonts w:cs="Arial"/>
        </w:rPr>
        <w:t xml:space="preserve">fforts to address overdose rates </w:t>
      </w:r>
      <w:r w:rsidR="00B3183D">
        <w:rPr>
          <w:rFonts w:cs="Arial"/>
        </w:rPr>
        <w:t xml:space="preserve">require </w:t>
      </w:r>
      <w:r w:rsidR="002A738C">
        <w:rPr>
          <w:rFonts w:cs="Arial"/>
        </w:rPr>
        <w:t xml:space="preserve">more than the supply of an opioid antagonist to marginalised groups to achieve the level of traction to which those of us passionately opposed to further deaths aspire. Take-home naloxone initiatives vary in </w:t>
      </w:r>
      <w:r w:rsidR="002A738C">
        <w:rPr>
          <w:rFonts w:cs="Arial"/>
        </w:rPr>
        <w:lastRenderedPageBreak/>
        <w:t>their assumptions and the relations of responsibilit</w:t>
      </w:r>
      <w:r w:rsidR="009B3B6C">
        <w:rPr>
          <w:rFonts w:cs="Arial"/>
        </w:rPr>
        <w:t xml:space="preserve">y they instantiate, </w:t>
      </w:r>
      <w:r w:rsidR="00C41D06">
        <w:rPr>
          <w:rFonts w:cs="Arial"/>
        </w:rPr>
        <w:t xml:space="preserve">with </w:t>
      </w:r>
      <w:r w:rsidR="009B3B6C">
        <w:rPr>
          <w:rFonts w:cs="Arial"/>
        </w:rPr>
        <w:t xml:space="preserve">some </w:t>
      </w:r>
      <w:r w:rsidR="00C41D06">
        <w:rPr>
          <w:rFonts w:cs="Arial"/>
        </w:rPr>
        <w:t xml:space="preserve">but not all </w:t>
      </w:r>
      <w:r w:rsidR="009B3B6C">
        <w:rPr>
          <w:rFonts w:cs="Arial"/>
        </w:rPr>
        <w:t xml:space="preserve">connected into broader campaigns seeking change to the ways in which opioid consumption is viewed, both in relation to illicit consumption and prescription consumption. Further work linking take-home naloxone to these more searching agendas for change is </w:t>
      </w:r>
      <w:r w:rsidR="00DB1131">
        <w:rPr>
          <w:rFonts w:cs="Arial"/>
        </w:rPr>
        <w:t xml:space="preserve">surely </w:t>
      </w:r>
      <w:r w:rsidR="009B3B6C">
        <w:rPr>
          <w:rFonts w:cs="Arial"/>
        </w:rPr>
        <w:t>needed.</w:t>
      </w:r>
    </w:p>
    <w:p w14:paraId="42C49E7E" w14:textId="77777777" w:rsidR="00BB25FA" w:rsidRPr="00B0689D" w:rsidRDefault="00BB25FA">
      <w:pPr>
        <w:spacing w:line="360" w:lineRule="auto"/>
        <w:rPr>
          <w:rFonts w:cs="Arial"/>
        </w:rPr>
      </w:pPr>
    </w:p>
    <w:p w14:paraId="679480C2" w14:textId="51C6FC19" w:rsidR="00A458CC" w:rsidRDefault="00A458CC">
      <w:pPr>
        <w:autoSpaceDE/>
        <w:autoSpaceDN/>
        <w:adjustRightInd/>
        <w:spacing w:after="160" w:line="259" w:lineRule="auto"/>
      </w:pPr>
      <w:r>
        <w:br w:type="page"/>
      </w:r>
    </w:p>
    <w:p w14:paraId="1919230B" w14:textId="77777777" w:rsidR="00A458CC" w:rsidRPr="00A458CC" w:rsidRDefault="00A458CC" w:rsidP="00A458CC"/>
    <w:p w14:paraId="2F5BDAB1" w14:textId="0523F7ED" w:rsidR="009B7D7F" w:rsidRPr="000B5C32" w:rsidRDefault="007A168A" w:rsidP="000B5C32">
      <w:pPr>
        <w:pStyle w:val="Heading2"/>
      </w:pPr>
      <w:r>
        <w:t>R</w:t>
      </w:r>
      <w:r w:rsidR="009B7D7F" w:rsidRPr="00B50D79">
        <w:t>eferences</w:t>
      </w:r>
    </w:p>
    <w:p w14:paraId="12F9BA89" w14:textId="6BD3B167" w:rsidR="00640A30" w:rsidRDefault="00640A30" w:rsidP="009E7A32">
      <w:pPr>
        <w:spacing w:line="360" w:lineRule="auto"/>
        <w:ind w:left="567" w:hanging="567"/>
        <w:rPr>
          <w:rFonts w:cstheme="minorHAnsi"/>
        </w:rPr>
      </w:pPr>
    </w:p>
    <w:p w14:paraId="3349A552" w14:textId="6A408D7D" w:rsidR="00640A30" w:rsidRDefault="00640A30" w:rsidP="009E7A32">
      <w:pPr>
        <w:spacing w:line="360" w:lineRule="auto"/>
        <w:ind w:left="567" w:hanging="567"/>
        <w:rPr>
          <w:rFonts w:cstheme="minorHAnsi"/>
        </w:rPr>
      </w:pPr>
      <w:r w:rsidRPr="00640A30">
        <w:rPr>
          <w:rFonts w:cstheme="minorHAnsi"/>
        </w:rPr>
        <w:t xml:space="preserve">Aitken, C., Moore, D., Higgs, P., Kelsall, J., &amp; Kerger, M. (2002). The impact of a police crackdown on a street drug scene: </w:t>
      </w:r>
      <w:r w:rsidR="00D17D6F">
        <w:rPr>
          <w:rFonts w:cstheme="minorHAnsi"/>
        </w:rPr>
        <w:t>E</w:t>
      </w:r>
      <w:r w:rsidRPr="00640A30">
        <w:rPr>
          <w:rFonts w:cstheme="minorHAnsi"/>
        </w:rPr>
        <w:t>vidence from the street. </w:t>
      </w:r>
      <w:r w:rsidRPr="00640A30">
        <w:rPr>
          <w:rFonts w:cstheme="minorHAnsi"/>
          <w:i/>
          <w:iCs/>
        </w:rPr>
        <w:t>International journal of drug policy</w:t>
      </w:r>
      <w:r w:rsidRPr="00640A30">
        <w:rPr>
          <w:rFonts w:cstheme="minorHAnsi"/>
        </w:rPr>
        <w:t>, </w:t>
      </w:r>
      <w:r w:rsidRPr="00640A30">
        <w:rPr>
          <w:rFonts w:cstheme="minorHAnsi"/>
          <w:i/>
          <w:iCs/>
        </w:rPr>
        <w:t>13</w:t>
      </w:r>
      <w:r w:rsidR="00754294">
        <w:rPr>
          <w:rFonts w:cstheme="minorHAnsi"/>
          <w:i/>
          <w:iCs/>
        </w:rPr>
        <w:t xml:space="preserve"> </w:t>
      </w:r>
      <w:r w:rsidRPr="00640A30">
        <w:rPr>
          <w:rFonts w:cstheme="minorHAnsi"/>
        </w:rPr>
        <w:t>(3), 193-202.</w:t>
      </w:r>
    </w:p>
    <w:p w14:paraId="055DAACA" w14:textId="77777777" w:rsidR="00FA63C6" w:rsidRDefault="00FA63C6" w:rsidP="009E7A32">
      <w:pPr>
        <w:spacing w:line="360" w:lineRule="auto"/>
        <w:ind w:left="567" w:hanging="567"/>
        <w:rPr>
          <w:rFonts w:cstheme="minorHAnsi"/>
        </w:rPr>
      </w:pPr>
    </w:p>
    <w:p w14:paraId="03CE475B" w14:textId="4980D358" w:rsidR="00FA63C6" w:rsidRPr="00FA63C6" w:rsidRDefault="00FA63C6" w:rsidP="009E7A32">
      <w:pPr>
        <w:spacing w:line="360" w:lineRule="auto"/>
        <w:ind w:left="567" w:hanging="567"/>
        <w:rPr>
          <w:rFonts w:cstheme="minorHAnsi"/>
        </w:rPr>
      </w:pPr>
      <w:r>
        <w:rPr>
          <w:rFonts w:cstheme="minorHAnsi"/>
        </w:rPr>
        <w:t xml:space="preserve">Banjo, O., Tzemis, D., Al-Qutub, D., Amlani, A., Kesselring, S. &amp; Buxton, J. (2014). A quantitative and qualitative evaluation of the British Columbia Take Home Naloxone program. </w:t>
      </w:r>
      <w:r>
        <w:rPr>
          <w:rFonts w:cstheme="minorHAnsi"/>
          <w:i/>
        </w:rPr>
        <w:t>CMAJ Open,</w:t>
      </w:r>
      <w:r w:rsidRPr="00754294">
        <w:rPr>
          <w:rFonts w:cstheme="minorHAnsi"/>
          <w:i/>
        </w:rPr>
        <w:t xml:space="preserve"> 2</w:t>
      </w:r>
      <w:r w:rsidR="00754294">
        <w:rPr>
          <w:rFonts w:cstheme="minorHAnsi"/>
          <w:i/>
        </w:rPr>
        <w:t xml:space="preserve"> </w:t>
      </w:r>
      <w:r>
        <w:rPr>
          <w:rFonts w:cstheme="minorHAnsi"/>
        </w:rPr>
        <w:t>(3), 153-161.</w:t>
      </w:r>
    </w:p>
    <w:p w14:paraId="44F9E595" w14:textId="77777777" w:rsidR="00640A30" w:rsidRDefault="00640A30" w:rsidP="009E7A32">
      <w:pPr>
        <w:spacing w:line="360" w:lineRule="auto"/>
        <w:ind w:left="567" w:hanging="567"/>
        <w:rPr>
          <w:rFonts w:cstheme="minorHAnsi"/>
        </w:rPr>
      </w:pPr>
    </w:p>
    <w:p w14:paraId="761F3353" w14:textId="5C14652C" w:rsidR="00A458CC" w:rsidRDefault="00A458CC" w:rsidP="009E7A32">
      <w:pPr>
        <w:spacing w:line="360" w:lineRule="auto"/>
        <w:ind w:left="567" w:hanging="567"/>
        <w:rPr>
          <w:rFonts w:cstheme="minorHAnsi"/>
        </w:rPr>
      </w:pPr>
      <w:r w:rsidRPr="00D81EAF">
        <w:rPr>
          <w:rFonts w:cstheme="minorHAnsi"/>
        </w:rPr>
        <w:t xml:space="preserve">Beletsky, L., Ruthazer, E., Macalino, G., Rich, J., Tan, L., &amp; Burris, S. (2006). Physicians’ knowledge of and willingness to prescribe naloxone to reverse accidental opiate overdose: Challenges and opportunities. </w:t>
      </w:r>
      <w:r w:rsidRPr="00D81EAF">
        <w:rPr>
          <w:rFonts w:cstheme="minorHAnsi"/>
          <w:i/>
        </w:rPr>
        <w:t>Journal of Urban Health</w:t>
      </w:r>
      <w:r w:rsidRPr="00D81EAF">
        <w:rPr>
          <w:rFonts w:cstheme="minorHAnsi"/>
        </w:rPr>
        <w:t>, 84, 126–136.</w:t>
      </w:r>
    </w:p>
    <w:p w14:paraId="08851C0D" w14:textId="4C96AC99" w:rsidR="00170E61" w:rsidRDefault="00170E61" w:rsidP="009E7A32">
      <w:pPr>
        <w:spacing w:line="360" w:lineRule="auto"/>
        <w:ind w:left="567" w:hanging="567"/>
        <w:rPr>
          <w:rFonts w:cstheme="minorHAnsi"/>
        </w:rPr>
      </w:pPr>
    </w:p>
    <w:p w14:paraId="4B683CAD" w14:textId="6E38B620" w:rsidR="00170E61" w:rsidRDefault="00170E61" w:rsidP="009E7A32">
      <w:pPr>
        <w:spacing w:line="360" w:lineRule="auto"/>
        <w:ind w:left="567" w:hanging="567"/>
        <w:rPr>
          <w:rFonts w:cstheme="minorHAnsi"/>
          <w:iCs/>
        </w:rPr>
      </w:pPr>
      <w:r>
        <w:rPr>
          <w:rFonts w:cstheme="minorHAnsi"/>
        </w:rPr>
        <w:t xml:space="preserve">Bell, K. &amp; Salmon, A. (2009). Pain, physical dependence and pseudoaddiction: Redefining addiction for ‘nice’ people. </w:t>
      </w:r>
      <w:r w:rsidRPr="00640A30">
        <w:rPr>
          <w:rFonts w:cstheme="minorHAnsi"/>
          <w:i/>
          <w:iCs/>
        </w:rPr>
        <w:t>International journal of drug policy</w:t>
      </w:r>
      <w:r w:rsidRPr="00754294">
        <w:rPr>
          <w:rFonts w:cstheme="minorHAnsi"/>
          <w:i/>
          <w:iCs/>
        </w:rPr>
        <w:t>, 20</w:t>
      </w:r>
      <w:r w:rsidR="00754294">
        <w:rPr>
          <w:rFonts w:cstheme="minorHAnsi"/>
          <w:i/>
          <w:iCs/>
        </w:rPr>
        <w:t xml:space="preserve"> </w:t>
      </w:r>
      <w:r>
        <w:rPr>
          <w:rFonts w:cstheme="minorHAnsi"/>
          <w:iCs/>
        </w:rPr>
        <w:t>(2), 170-178.</w:t>
      </w:r>
    </w:p>
    <w:p w14:paraId="6E29746F" w14:textId="4764BCF0" w:rsidR="00103B7E" w:rsidRDefault="00103B7E" w:rsidP="009E7A32">
      <w:pPr>
        <w:spacing w:line="360" w:lineRule="auto"/>
        <w:ind w:left="567" w:hanging="567"/>
        <w:rPr>
          <w:rFonts w:cstheme="minorHAnsi"/>
          <w:iCs/>
        </w:rPr>
      </w:pPr>
    </w:p>
    <w:p w14:paraId="7EB10B57" w14:textId="33C30AC2" w:rsidR="00103B7E" w:rsidRDefault="00103B7E" w:rsidP="009E7A32">
      <w:pPr>
        <w:spacing w:line="360" w:lineRule="auto"/>
        <w:ind w:left="567" w:hanging="567"/>
        <w:rPr>
          <w:rFonts w:cstheme="minorHAnsi"/>
          <w:iCs/>
        </w:rPr>
      </w:pPr>
      <w:r>
        <w:rPr>
          <w:rFonts w:cstheme="minorHAnsi"/>
          <w:iCs/>
        </w:rPr>
        <w:t xml:space="preserve">Binswanger, I., Koester, S., Mueller, S., Gardner, E., Goddard, K. &amp; Glanz, J. (2014). Overdose education and naloxone prescribing for patients on chronic opioids: A qualitative study of primary care staff. </w:t>
      </w:r>
      <w:r>
        <w:rPr>
          <w:rFonts w:cstheme="minorHAnsi"/>
          <w:i/>
          <w:iCs/>
        </w:rPr>
        <w:t xml:space="preserve">Journal of General Internal Medicine, </w:t>
      </w:r>
      <w:r>
        <w:rPr>
          <w:rFonts w:cstheme="minorHAnsi"/>
          <w:iCs/>
        </w:rPr>
        <w:t>30 (12), 1837-1844.</w:t>
      </w:r>
    </w:p>
    <w:p w14:paraId="5C8080C1" w14:textId="48D84281" w:rsidR="003B1AC1" w:rsidRDefault="003B1AC1" w:rsidP="009E7A32">
      <w:pPr>
        <w:spacing w:line="360" w:lineRule="auto"/>
        <w:ind w:left="567" w:hanging="567"/>
        <w:rPr>
          <w:rFonts w:cstheme="minorHAnsi"/>
          <w:iCs/>
        </w:rPr>
      </w:pPr>
    </w:p>
    <w:p w14:paraId="2B7C3943" w14:textId="3972D00A" w:rsidR="003B1AC1" w:rsidRPr="00103B7E" w:rsidRDefault="003B1AC1" w:rsidP="003B1AC1">
      <w:pPr>
        <w:spacing w:line="360" w:lineRule="auto"/>
        <w:ind w:left="567" w:hanging="567"/>
        <w:rPr>
          <w:rFonts w:cstheme="minorHAnsi"/>
        </w:rPr>
      </w:pPr>
      <w:r w:rsidRPr="00DB1496">
        <w:rPr>
          <w:rStyle w:val="Hyperlink"/>
          <w:rFonts w:cstheme="minorHAnsi"/>
          <w:color w:val="auto"/>
          <w:u w:val="none"/>
        </w:rPr>
        <w:t>Bounthavong, M., Suh, K., Christopher, M. L., Veenstra, D. L., Basu, A., &amp; Devine, E. B. (</w:t>
      </w:r>
      <w:r>
        <w:rPr>
          <w:rStyle w:val="Hyperlink"/>
          <w:rFonts w:cstheme="minorHAnsi"/>
          <w:color w:val="auto"/>
          <w:u w:val="none"/>
        </w:rPr>
        <w:t>In press</w:t>
      </w:r>
      <w:r w:rsidRPr="00DB1496">
        <w:rPr>
          <w:rStyle w:val="Hyperlink"/>
          <w:rFonts w:cstheme="minorHAnsi"/>
          <w:color w:val="auto"/>
          <w:u w:val="none"/>
        </w:rPr>
        <w:t xml:space="preserve">). Providers' perceptions on barriers and facilitators to prescribing naloxone for patients at risk for opioid overdose after implementation of a national academic detailing program: A qualitative assessment. </w:t>
      </w:r>
      <w:r w:rsidRPr="005F70EE">
        <w:rPr>
          <w:rStyle w:val="Hyperlink"/>
          <w:rFonts w:cstheme="minorHAnsi"/>
          <w:i/>
          <w:color w:val="auto"/>
          <w:u w:val="none"/>
        </w:rPr>
        <w:t>Research in Social and Administrative Pharmacy.</w:t>
      </w:r>
      <w:r>
        <w:rPr>
          <w:rStyle w:val="Hyperlink"/>
          <w:rFonts w:cstheme="minorHAnsi"/>
          <w:color w:val="auto"/>
          <w:u w:val="none"/>
        </w:rPr>
        <w:t xml:space="preserve"> </w:t>
      </w:r>
      <w:r w:rsidRPr="005F70EE">
        <w:rPr>
          <w:rStyle w:val="Hyperlink"/>
          <w:rFonts w:cstheme="minorHAnsi"/>
          <w:color w:val="auto"/>
          <w:u w:val="none"/>
        </w:rPr>
        <w:t>https://doi.org/10.1016/j.sapharm.2019.10.015</w:t>
      </w:r>
    </w:p>
    <w:p w14:paraId="0E324EFA" w14:textId="3CBCCD56" w:rsidR="00A458CC" w:rsidRDefault="00A458CC" w:rsidP="009E7A32">
      <w:pPr>
        <w:spacing w:line="360" w:lineRule="auto"/>
        <w:ind w:left="567" w:hanging="567"/>
        <w:rPr>
          <w:rFonts w:cstheme="minorHAnsi"/>
        </w:rPr>
      </w:pPr>
    </w:p>
    <w:p w14:paraId="321E2C1E" w14:textId="5D3DD216" w:rsidR="000F7A86" w:rsidRDefault="000F7A86" w:rsidP="009E7A32">
      <w:pPr>
        <w:spacing w:line="360" w:lineRule="auto"/>
        <w:ind w:left="567" w:hanging="567"/>
        <w:rPr>
          <w:rFonts w:cstheme="minorHAnsi"/>
        </w:rPr>
      </w:pPr>
      <w:r w:rsidRPr="000F7A86">
        <w:rPr>
          <w:rFonts w:cstheme="minorHAnsi"/>
        </w:rPr>
        <w:t>Buchman, D. Z., Ho, A., &amp; Illes, J. (2016). Y</w:t>
      </w:r>
      <w:r w:rsidR="00D17D6F">
        <w:rPr>
          <w:rFonts w:cstheme="minorHAnsi"/>
        </w:rPr>
        <w:t>ou present like a drug addict: P</w:t>
      </w:r>
      <w:r w:rsidRPr="000F7A86">
        <w:rPr>
          <w:rFonts w:cstheme="minorHAnsi"/>
        </w:rPr>
        <w:t>atient and clinician perspectives on trust and trustworthiness in chronic pain management. </w:t>
      </w:r>
      <w:r w:rsidRPr="000F7A86">
        <w:rPr>
          <w:rFonts w:cstheme="minorHAnsi"/>
          <w:i/>
          <w:iCs/>
        </w:rPr>
        <w:t>Pain Medicine</w:t>
      </w:r>
      <w:r w:rsidRPr="000F7A86">
        <w:rPr>
          <w:rFonts w:cstheme="minorHAnsi"/>
        </w:rPr>
        <w:t>, </w:t>
      </w:r>
      <w:r w:rsidRPr="000F7A86">
        <w:rPr>
          <w:rFonts w:cstheme="minorHAnsi"/>
          <w:i/>
          <w:iCs/>
        </w:rPr>
        <w:t>17</w:t>
      </w:r>
      <w:r w:rsidR="00C22FE0">
        <w:rPr>
          <w:rFonts w:cstheme="minorHAnsi"/>
          <w:i/>
          <w:iCs/>
        </w:rPr>
        <w:t xml:space="preserve"> </w:t>
      </w:r>
      <w:r w:rsidRPr="00C22FE0">
        <w:rPr>
          <w:rFonts w:cstheme="minorHAnsi"/>
        </w:rPr>
        <w:t>(8</w:t>
      </w:r>
      <w:r w:rsidRPr="000F7A86">
        <w:rPr>
          <w:rFonts w:cstheme="minorHAnsi"/>
        </w:rPr>
        <w:t>), 1394-1406.</w:t>
      </w:r>
    </w:p>
    <w:p w14:paraId="284B5265" w14:textId="77777777" w:rsidR="00406C4B" w:rsidRPr="00D81EAF" w:rsidRDefault="00406C4B" w:rsidP="009E7A32">
      <w:pPr>
        <w:spacing w:line="360" w:lineRule="auto"/>
        <w:ind w:left="567" w:hanging="567"/>
        <w:rPr>
          <w:rFonts w:cstheme="minorHAnsi"/>
        </w:rPr>
      </w:pPr>
    </w:p>
    <w:p w14:paraId="5C6AC90A" w14:textId="784997F1" w:rsidR="00406C4B" w:rsidRDefault="00A458CC" w:rsidP="003B1AC1">
      <w:pPr>
        <w:spacing w:line="360" w:lineRule="auto"/>
        <w:ind w:left="567" w:hanging="567"/>
        <w:rPr>
          <w:rStyle w:val="Hyperlink"/>
          <w:rFonts w:cstheme="minorHAnsi"/>
          <w:color w:val="auto"/>
          <w:u w:val="none"/>
        </w:rPr>
      </w:pPr>
      <w:r w:rsidRPr="00D81EAF">
        <w:rPr>
          <w:rStyle w:val="Hyperlink"/>
          <w:rFonts w:cstheme="minorHAnsi"/>
          <w:color w:val="auto"/>
          <w:u w:val="none"/>
        </w:rPr>
        <w:t xml:space="preserve">Buchman, D., Leece, P. &amp; Orkin, A. (2017). The epidemic of stigma: The bioethics of opioids. </w:t>
      </w:r>
      <w:r w:rsidRPr="00D81EAF">
        <w:rPr>
          <w:rStyle w:val="Hyperlink"/>
          <w:rFonts w:cstheme="minorHAnsi"/>
          <w:i/>
          <w:color w:val="auto"/>
          <w:u w:val="none"/>
        </w:rPr>
        <w:t xml:space="preserve">Journal of Law, Medicine &amp; Ethics, </w:t>
      </w:r>
      <w:r w:rsidRPr="00D81EAF">
        <w:rPr>
          <w:rStyle w:val="Hyperlink"/>
          <w:rFonts w:cstheme="minorHAnsi"/>
          <w:color w:val="auto"/>
          <w:u w:val="none"/>
        </w:rPr>
        <w:t>45, 607-620.</w:t>
      </w:r>
    </w:p>
    <w:p w14:paraId="3A56ECB1" w14:textId="77777777" w:rsidR="003B1AC1" w:rsidRPr="00D81EAF" w:rsidRDefault="003B1AC1" w:rsidP="003B1AC1">
      <w:pPr>
        <w:spacing w:line="360" w:lineRule="auto"/>
        <w:ind w:left="567" w:hanging="567"/>
        <w:rPr>
          <w:rStyle w:val="Hyperlink"/>
          <w:rFonts w:cstheme="minorHAnsi"/>
          <w:color w:val="auto"/>
          <w:u w:val="none"/>
        </w:rPr>
      </w:pPr>
    </w:p>
    <w:p w14:paraId="6D152D93" w14:textId="08DED29B" w:rsidR="00A458CC" w:rsidRDefault="00A458CC" w:rsidP="009E7A32">
      <w:pPr>
        <w:spacing w:line="360" w:lineRule="auto"/>
        <w:ind w:left="567" w:hanging="567"/>
        <w:rPr>
          <w:rFonts w:cstheme="minorHAnsi"/>
        </w:rPr>
      </w:pPr>
      <w:r w:rsidRPr="00D81EAF">
        <w:rPr>
          <w:rFonts w:cstheme="minorHAnsi"/>
        </w:rPr>
        <w:lastRenderedPageBreak/>
        <w:t xml:space="preserve">Butler, J. (1993). </w:t>
      </w:r>
      <w:r w:rsidRPr="00D81EAF">
        <w:rPr>
          <w:rFonts w:cstheme="minorHAnsi"/>
          <w:i/>
        </w:rPr>
        <w:t>Bodies that matter</w:t>
      </w:r>
      <w:r w:rsidRPr="00D81EAF">
        <w:rPr>
          <w:rFonts w:cstheme="minorHAnsi"/>
        </w:rPr>
        <w:t>. New York: Routledge.</w:t>
      </w:r>
    </w:p>
    <w:p w14:paraId="5BF0BB82" w14:textId="683BC42B" w:rsidR="00AF74F7" w:rsidRDefault="00AF74F7" w:rsidP="00A838C0">
      <w:pPr>
        <w:spacing w:line="360" w:lineRule="auto"/>
        <w:rPr>
          <w:rFonts w:cstheme="minorHAnsi"/>
        </w:rPr>
      </w:pPr>
    </w:p>
    <w:p w14:paraId="57E1A1ED" w14:textId="1771B957" w:rsidR="00C13E7D" w:rsidRPr="00C13E7D" w:rsidRDefault="00C13E7D" w:rsidP="009E7A32">
      <w:pPr>
        <w:spacing w:line="360" w:lineRule="auto"/>
        <w:ind w:left="567" w:hanging="567"/>
        <w:rPr>
          <w:rFonts w:cstheme="minorHAnsi"/>
        </w:rPr>
      </w:pPr>
      <w:r>
        <w:rPr>
          <w:rFonts w:cstheme="minorHAnsi"/>
        </w:rPr>
        <w:t xml:space="preserve">Chun, K., Olsen, A., Taing, M-W., Clavario, A. et al. (2019). How prepared are pharmacists to provide over-the-counter naloxone? The role of previous education and new training opportunities. </w:t>
      </w:r>
      <w:r>
        <w:rPr>
          <w:rFonts w:cstheme="minorHAnsi"/>
          <w:i/>
        </w:rPr>
        <w:t xml:space="preserve">Research in Social and Administrative Pharmacy, </w:t>
      </w:r>
      <w:r>
        <w:rPr>
          <w:rFonts w:cstheme="minorHAnsi"/>
        </w:rPr>
        <w:t>15 (8), 1014-1020.</w:t>
      </w:r>
    </w:p>
    <w:p w14:paraId="085786BD" w14:textId="7AF6A174" w:rsidR="00A458CC" w:rsidRPr="00D81EAF" w:rsidRDefault="00A458CC" w:rsidP="009E7A32">
      <w:pPr>
        <w:spacing w:line="360" w:lineRule="auto"/>
        <w:ind w:left="567" w:hanging="567"/>
        <w:rPr>
          <w:rFonts w:cstheme="minorHAnsi"/>
        </w:rPr>
      </w:pPr>
    </w:p>
    <w:p w14:paraId="20D8C885" w14:textId="44884E81" w:rsidR="00A458CC" w:rsidRDefault="00A458CC" w:rsidP="009E7A32">
      <w:pPr>
        <w:spacing w:line="360" w:lineRule="auto"/>
        <w:ind w:left="567" w:hanging="567"/>
        <w:rPr>
          <w:rFonts w:cstheme="minorHAnsi"/>
        </w:rPr>
      </w:pPr>
      <w:r w:rsidRPr="00D81EAF">
        <w:rPr>
          <w:rFonts w:cstheme="minorHAnsi"/>
        </w:rPr>
        <w:t xml:space="preserve">Coe, M. A., &amp; Walsh, S. L. (2015). Distribution of naloxone for overdose prevention to chronic pain patients. </w:t>
      </w:r>
      <w:r w:rsidRPr="00D81EAF">
        <w:rPr>
          <w:rFonts w:cstheme="minorHAnsi"/>
          <w:i/>
        </w:rPr>
        <w:t>Preventive Medicine</w:t>
      </w:r>
      <w:r w:rsidRPr="00D81EAF">
        <w:rPr>
          <w:rFonts w:cstheme="minorHAnsi"/>
        </w:rPr>
        <w:t>, 80, 41–43.</w:t>
      </w:r>
    </w:p>
    <w:p w14:paraId="3C3874F8" w14:textId="5CEC1A38" w:rsidR="00DB1496" w:rsidRDefault="00DB1496" w:rsidP="009E7A32">
      <w:pPr>
        <w:spacing w:line="360" w:lineRule="auto"/>
        <w:ind w:left="567" w:hanging="567"/>
        <w:rPr>
          <w:rFonts w:cstheme="minorHAnsi"/>
        </w:rPr>
      </w:pPr>
    </w:p>
    <w:p w14:paraId="4E61A32D" w14:textId="1FDDE3A6" w:rsidR="00C22FE0" w:rsidRDefault="00DB1496" w:rsidP="00C22FE0">
      <w:pPr>
        <w:spacing w:line="360" w:lineRule="auto"/>
        <w:ind w:left="567" w:hanging="567"/>
        <w:rPr>
          <w:rFonts w:cstheme="minorHAnsi"/>
        </w:rPr>
      </w:pPr>
      <w:r>
        <w:t xml:space="preserve">Dietze, P., &amp; Lenton, S. (2010). The case for the wider distribution of naloxone in Australia. Available at: </w:t>
      </w:r>
      <w:hyperlink r:id="rId8" w:history="1">
        <w:r w:rsidR="00C22FE0" w:rsidRPr="00BD1A14">
          <w:rPr>
            <w:rStyle w:val="Hyperlink"/>
          </w:rPr>
          <w:t>http://www.atoda.org.au/wpcontent/uploads/The_heroin_reversal_drug_naloxone_FIN2.pdf</w:t>
        </w:r>
      </w:hyperlink>
    </w:p>
    <w:p w14:paraId="3F3D8325" w14:textId="77777777" w:rsidR="00C22FE0" w:rsidRDefault="00C22FE0" w:rsidP="00C22FE0">
      <w:pPr>
        <w:spacing w:line="360" w:lineRule="auto"/>
        <w:ind w:left="567" w:hanging="567"/>
        <w:rPr>
          <w:rFonts w:cstheme="minorHAnsi"/>
        </w:rPr>
      </w:pPr>
    </w:p>
    <w:p w14:paraId="19324F2E" w14:textId="77777777" w:rsidR="00C22FE0" w:rsidRDefault="00A458CC" w:rsidP="00C22FE0">
      <w:pPr>
        <w:spacing w:line="360" w:lineRule="auto"/>
        <w:ind w:left="567" w:hanging="567"/>
        <w:rPr>
          <w:rFonts w:cstheme="minorHAnsi"/>
        </w:rPr>
      </w:pPr>
      <w:r w:rsidRPr="00D81EAF">
        <w:rPr>
          <w:rFonts w:cs="AdvTT5843c571"/>
        </w:rPr>
        <w:t xml:space="preserve">Dietze, P., Stare, M., Coffer, S., Dambiar, D., </w:t>
      </w:r>
      <w:r w:rsidRPr="00D81EAF">
        <w:rPr>
          <w:rFonts w:cs="AdvTTf90d833a.I"/>
        </w:rPr>
        <w:t xml:space="preserve">et al. </w:t>
      </w:r>
      <w:r w:rsidRPr="00D81EAF">
        <w:rPr>
          <w:rFonts w:cs="AdvTT5843c571"/>
        </w:rPr>
        <w:t xml:space="preserve">(2017) Knowledge of naloxone and take-home </w:t>
      </w:r>
      <w:r w:rsidRPr="002743D1">
        <w:rPr>
          <w:rFonts w:cs="AdvTT5843c571"/>
        </w:rPr>
        <w:t xml:space="preserve">naloxone programs among a sample of people who inject drugs in Australia: </w:t>
      </w:r>
      <w:r w:rsidR="00AB49A6" w:rsidRPr="00E83306">
        <w:rPr>
          <w:rFonts w:cs="AdvTT5843c571"/>
        </w:rPr>
        <w:t>V</w:t>
      </w:r>
      <w:r w:rsidRPr="00E83306">
        <w:rPr>
          <w:rFonts w:cs="AdvTT5843c571"/>
        </w:rPr>
        <w:t>ariations across capital cities</w:t>
      </w:r>
      <w:r w:rsidR="00AB49A6" w:rsidRPr="00E83306">
        <w:rPr>
          <w:rFonts w:cs="AdvTT5843c571"/>
        </w:rPr>
        <w:t>.</w:t>
      </w:r>
      <w:r w:rsidRPr="00E83306">
        <w:rPr>
          <w:rFonts w:cs="AdvTT5843c571"/>
        </w:rPr>
        <w:t xml:space="preserve"> </w:t>
      </w:r>
      <w:r w:rsidRPr="00E83306">
        <w:rPr>
          <w:rFonts w:cs="AdvTTf90d833a.I"/>
          <w:i/>
        </w:rPr>
        <w:t>Drug and Alcohol Review</w:t>
      </w:r>
      <w:r w:rsidR="00AB49A6" w:rsidRPr="00E83306">
        <w:rPr>
          <w:rFonts w:cs="AdvTT5843c571"/>
        </w:rPr>
        <w:t>, 37 (4),</w:t>
      </w:r>
      <w:r w:rsidR="00AB49A6" w:rsidRPr="00170E61">
        <w:rPr>
          <w:rFonts w:cs="AdvTT5843c571"/>
          <w:i/>
        </w:rPr>
        <w:t xml:space="preserve"> </w:t>
      </w:r>
      <w:r w:rsidR="00AB49A6" w:rsidRPr="00170E61">
        <w:rPr>
          <w:rFonts w:cs="AdvTT5843c571"/>
        </w:rPr>
        <w:t>457-463.</w:t>
      </w:r>
    </w:p>
    <w:p w14:paraId="3A80A07C" w14:textId="77777777" w:rsidR="00C22FE0" w:rsidRDefault="00C22FE0" w:rsidP="00C22FE0">
      <w:pPr>
        <w:spacing w:line="360" w:lineRule="auto"/>
        <w:ind w:left="567" w:hanging="567"/>
        <w:rPr>
          <w:rFonts w:cstheme="minorHAnsi"/>
        </w:rPr>
      </w:pPr>
    </w:p>
    <w:p w14:paraId="701503BD" w14:textId="453D7903" w:rsidR="002743D1" w:rsidRPr="00C22FE0" w:rsidRDefault="00C22FE0" w:rsidP="00C22FE0">
      <w:pPr>
        <w:spacing w:line="360" w:lineRule="auto"/>
        <w:ind w:left="567" w:hanging="567"/>
        <w:rPr>
          <w:rFonts w:cstheme="minorHAnsi"/>
        </w:rPr>
      </w:pPr>
      <w:r w:rsidRPr="00C22FE0">
        <w:t xml:space="preserve">Drainoni, M. L., Koppelman, E. A., Feldman, J. A., Walley, A. Y., Mitchell, P. M., Ellison, J., &amp; Bernstein, E. (2016). Why is it so hard to implement change? A qualitative examination of barriers and facilitators to distribution of naloxone for overdose prevention in a safety net environment. </w:t>
      </w:r>
      <w:r w:rsidRPr="00394723">
        <w:rPr>
          <w:i/>
        </w:rPr>
        <w:t>BMC research notes, 9</w:t>
      </w:r>
      <w:r w:rsidR="00394723">
        <w:t xml:space="preserve"> </w:t>
      </w:r>
      <w:r w:rsidRPr="00C22FE0">
        <w:t>(1), 465.</w:t>
      </w:r>
    </w:p>
    <w:p w14:paraId="048AA0BE" w14:textId="420F61C0" w:rsidR="00937B85" w:rsidRDefault="00937B85" w:rsidP="00A838C0">
      <w:pPr>
        <w:spacing w:line="360" w:lineRule="auto"/>
        <w:rPr>
          <w:rFonts w:cs="LldnlfAdvTT3713a231"/>
          <w:color w:val="131413"/>
        </w:rPr>
      </w:pPr>
    </w:p>
    <w:p w14:paraId="6325D372" w14:textId="50193A99" w:rsidR="00937B85" w:rsidRPr="005F70EE" w:rsidRDefault="00937B85" w:rsidP="009E7A32">
      <w:pPr>
        <w:spacing w:line="360" w:lineRule="auto"/>
        <w:ind w:left="567" w:hanging="567"/>
        <w:rPr>
          <w:rFonts w:cs="AdvTT5843c571"/>
        </w:rPr>
      </w:pPr>
      <w:r>
        <w:rPr>
          <w:rFonts w:cs="LldnlfAdvTT3713a231"/>
          <w:color w:val="131413"/>
        </w:rPr>
        <w:t xml:space="preserve">Dunn, K., Barrett, F. &amp; Bigelow, G. (2018). Naloxone formulation for overdose reversal preference among patients receiving opioids for pain management. </w:t>
      </w:r>
      <w:r>
        <w:rPr>
          <w:rFonts w:cs="LldnlfAdvTT3713a231"/>
          <w:i/>
          <w:color w:val="131413"/>
        </w:rPr>
        <w:t xml:space="preserve">Addictive Behaviors, </w:t>
      </w:r>
      <w:r>
        <w:rPr>
          <w:rFonts w:cs="LldnlfAdvTT3713a231"/>
          <w:color w:val="131413"/>
        </w:rPr>
        <w:t>86, 56-60.</w:t>
      </w:r>
    </w:p>
    <w:p w14:paraId="6DC6A272" w14:textId="6BA2DE8C" w:rsidR="008F1652" w:rsidRDefault="008F1652" w:rsidP="009E7A32">
      <w:pPr>
        <w:spacing w:line="360" w:lineRule="auto"/>
        <w:ind w:left="567" w:hanging="567"/>
        <w:rPr>
          <w:rFonts w:cs="AdvTT5843c571"/>
        </w:rPr>
      </w:pPr>
    </w:p>
    <w:p w14:paraId="6240948C" w14:textId="4E8DD037" w:rsidR="008F1652" w:rsidRPr="00D81EAF" w:rsidRDefault="008F1652" w:rsidP="007D6728">
      <w:pPr>
        <w:spacing w:line="360" w:lineRule="auto"/>
        <w:ind w:left="567" w:hanging="567"/>
        <w:rPr>
          <w:rFonts w:cs="AdvTT5843c571"/>
        </w:rPr>
      </w:pPr>
      <w:r w:rsidRPr="00D81EAF">
        <w:rPr>
          <w:rFonts w:cstheme="minorHAnsi"/>
        </w:rPr>
        <w:t xml:space="preserve">Dwyer, R., Fraser, S., &amp; Dietze, P. (2016). Benefits and barriers to expanding the availability of take-home naloxone in Australia: A qualitative study. </w:t>
      </w:r>
      <w:r w:rsidRPr="00293782">
        <w:rPr>
          <w:rFonts w:cstheme="minorHAnsi"/>
          <w:i/>
        </w:rPr>
        <w:t>Drugs: Education, Prevention and Policy</w:t>
      </w:r>
      <w:r w:rsidRPr="00D81EAF">
        <w:rPr>
          <w:rFonts w:cstheme="minorHAnsi"/>
        </w:rPr>
        <w:t>, 23, 388–396.</w:t>
      </w:r>
    </w:p>
    <w:p w14:paraId="1F2D5314" w14:textId="54BE685A" w:rsidR="00A458CC" w:rsidRPr="00D81EAF" w:rsidRDefault="00A458CC" w:rsidP="0056626D">
      <w:pPr>
        <w:spacing w:line="360" w:lineRule="auto"/>
        <w:rPr>
          <w:rFonts w:cstheme="minorHAnsi"/>
        </w:rPr>
      </w:pPr>
    </w:p>
    <w:p w14:paraId="28D8F7DD" w14:textId="40EA370A" w:rsidR="00A458CC" w:rsidRPr="00406C4B" w:rsidRDefault="00A458CC" w:rsidP="009E7A32">
      <w:pPr>
        <w:spacing w:line="360" w:lineRule="auto"/>
        <w:ind w:left="567" w:hanging="567"/>
        <w:rPr>
          <w:rFonts w:cstheme="minorHAnsi"/>
        </w:rPr>
      </w:pPr>
      <w:r w:rsidRPr="00D81EAF">
        <w:rPr>
          <w:rFonts w:cstheme="minorHAnsi"/>
        </w:rPr>
        <w:t xml:space="preserve">Dwyer, </w:t>
      </w:r>
      <w:r w:rsidR="00406C4B">
        <w:rPr>
          <w:rFonts w:cstheme="minorHAnsi"/>
        </w:rPr>
        <w:t xml:space="preserve">R., </w:t>
      </w:r>
      <w:r w:rsidRPr="00D81EAF">
        <w:rPr>
          <w:rFonts w:cstheme="minorHAnsi"/>
        </w:rPr>
        <w:t>Olsen,</w:t>
      </w:r>
      <w:r w:rsidR="00406C4B">
        <w:rPr>
          <w:rFonts w:cstheme="minorHAnsi"/>
        </w:rPr>
        <w:t xml:space="preserve"> A., Fowlie, C., Gough, C., Van Beek, I. …</w:t>
      </w:r>
      <w:r w:rsidRPr="00D81EAF">
        <w:rPr>
          <w:rFonts w:cstheme="minorHAnsi"/>
        </w:rPr>
        <w:t xml:space="preserve"> </w:t>
      </w:r>
      <w:r w:rsidR="00406C4B">
        <w:rPr>
          <w:rFonts w:cstheme="minorHAnsi"/>
        </w:rPr>
        <w:t>(</w:t>
      </w:r>
      <w:r w:rsidRPr="00D81EAF">
        <w:rPr>
          <w:rFonts w:cstheme="minorHAnsi"/>
        </w:rPr>
        <w:t>2018</w:t>
      </w:r>
      <w:r w:rsidR="00406C4B">
        <w:rPr>
          <w:rFonts w:cstheme="minorHAnsi"/>
        </w:rPr>
        <w:t xml:space="preserve">). An overview of take-home naloxone programs in Australia. </w:t>
      </w:r>
      <w:r w:rsidR="00406C4B" w:rsidRPr="00406C4B">
        <w:rPr>
          <w:rFonts w:cstheme="minorHAnsi"/>
          <w:i/>
        </w:rPr>
        <w:t>Drug and Alcohol Review</w:t>
      </w:r>
      <w:r w:rsidR="00406C4B">
        <w:rPr>
          <w:rFonts w:cstheme="minorHAnsi"/>
        </w:rPr>
        <w:t xml:space="preserve">, </w:t>
      </w:r>
      <w:r w:rsidR="00406C4B" w:rsidRPr="00394723">
        <w:rPr>
          <w:rFonts w:cstheme="minorHAnsi"/>
          <w:i/>
        </w:rPr>
        <w:t xml:space="preserve">37 </w:t>
      </w:r>
      <w:r w:rsidR="00406C4B">
        <w:rPr>
          <w:rFonts w:cstheme="minorHAnsi"/>
        </w:rPr>
        <w:t>(4), 440-449.</w:t>
      </w:r>
    </w:p>
    <w:p w14:paraId="5C8B5001" w14:textId="77777777" w:rsidR="00406C4B" w:rsidRPr="00D81EAF" w:rsidRDefault="00406C4B" w:rsidP="009E7A32">
      <w:pPr>
        <w:spacing w:line="360" w:lineRule="auto"/>
        <w:ind w:left="567" w:hanging="567"/>
        <w:rPr>
          <w:rFonts w:cstheme="minorHAnsi"/>
        </w:rPr>
      </w:pPr>
    </w:p>
    <w:p w14:paraId="72EAE1A0" w14:textId="37EA37A5" w:rsidR="00406C4B" w:rsidRDefault="000F7A86" w:rsidP="009E7A32">
      <w:pPr>
        <w:spacing w:line="360" w:lineRule="auto"/>
        <w:ind w:left="567" w:hanging="567"/>
        <w:rPr>
          <w:rFonts w:cstheme="minorHAnsi"/>
        </w:rPr>
      </w:pPr>
      <w:r w:rsidRPr="000F7A86">
        <w:rPr>
          <w:rFonts w:cstheme="minorHAnsi"/>
        </w:rPr>
        <w:lastRenderedPageBreak/>
        <w:t xml:space="preserve">Earnshaw, V., Smith, L., &amp; Copenhaver, M. (2013). Drug addiction stigma in the context of </w:t>
      </w:r>
      <w:r w:rsidR="00D17D6F">
        <w:rPr>
          <w:rFonts w:cstheme="minorHAnsi"/>
        </w:rPr>
        <w:t>methadone maintenance therapy: A</w:t>
      </w:r>
      <w:r w:rsidRPr="000F7A86">
        <w:rPr>
          <w:rFonts w:cstheme="minorHAnsi"/>
        </w:rPr>
        <w:t>n investigation into understudied sources of stigma. </w:t>
      </w:r>
      <w:r w:rsidRPr="000F7A86">
        <w:rPr>
          <w:rFonts w:cstheme="minorHAnsi"/>
          <w:i/>
          <w:iCs/>
        </w:rPr>
        <w:t>International journal of mental health and addiction</w:t>
      </w:r>
      <w:r w:rsidRPr="000F7A86">
        <w:rPr>
          <w:rFonts w:cstheme="minorHAnsi"/>
        </w:rPr>
        <w:t>, </w:t>
      </w:r>
      <w:r w:rsidRPr="000F7A86">
        <w:rPr>
          <w:rFonts w:cstheme="minorHAnsi"/>
          <w:i/>
          <w:iCs/>
        </w:rPr>
        <w:t>11</w:t>
      </w:r>
      <w:r w:rsidR="00394723">
        <w:rPr>
          <w:rFonts w:cstheme="minorHAnsi"/>
          <w:i/>
          <w:iCs/>
        </w:rPr>
        <w:t xml:space="preserve"> </w:t>
      </w:r>
      <w:r w:rsidRPr="000F7A86">
        <w:rPr>
          <w:rFonts w:cstheme="minorHAnsi"/>
        </w:rPr>
        <w:t>(1), 110-122.</w:t>
      </w:r>
    </w:p>
    <w:p w14:paraId="54A83595" w14:textId="77777777" w:rsidR="00DB1496" w:rsidRDefault="00DB1496" w:rsidP="009E7A32">
      <w:pPr>
        <w:spacing w:line="360" w:lineRule="auto"/>
        <w:ind w:left="567" w:hanging="567"/>
        <w:rPr>
          <w:rFonts w:cstheme="minorHAnsi"/>
        </w:rPr>
      </w:pPr>
    </w:p>
    <w:p w14:paraId="7E434402" w14:textId="77777777" w:rsidR="00394723" w:rsidRDefault="00DB1496" w:rsidP="00394723">
      <w:pPr>
        <w:spacing w:line="360" w:lineRule="auto"/>
        <w:ind w:left="567" w:hanging="567"/>
        <w:rPr>
          <w:rFonts w:cstheme="minorHAnsi"/>
        </w:rPr>
      </w:pPr>
      <w:r w:rsidRPr="005F70EE">
        <w:rPr>
          <w:rFonts w:cs="Arial"/>
          <w:color w:val="222222"/>
          <w:shd w:val="clear" w:color="auto" w:fill="FFFFFF"/>
        </w:rPr>
        <w:t>Epstein, S. (1996). </w:t>
      </w:r>
      <w:r w:rsidRPr="005F70EE">
        <w:rPr>
          <w:rFonts w:cs="Arial"/>
          <w:i/>
          <w:iCs/>
          <w:color w:val="222222"/>
          <w:shd w:val="clear" w:color="auto" w:fill="FFFFFF"/>
        </w:rPr>
        <w:t>Impure science: AIDS, activism, and the politics of knowledge</w:t>
      </w:r>
      <w:r w:rsidRPr="005F70EE">
        <w:rPr>
          <w:rFonts w:cs="Arial"/>
          <w:color w:val="222222"/>
          <w:shd w:val="clear" w:color="auto" w:fill="FFFFFF"/>
        </w:rPr>
        <w:t> (Vol. 7).</w:t>
      </w:r>
      <w:r w:rsidR="00394723">
        <w:rPr>
          <w:rFonts w:cs="Arial"/>
          <w:color w:val="222222"/>
          <w:shd w:val="clear" w:color="auto" w:fill="FFFFFF"/>
        </w:rPr>
        <w:t xml:space="preserve"> Berkeley and Los Angeles:</w:t>
      </w:r>
      <w:r w:rsidRPr="005F70EE">
        <w:rPr>
          <w:rFonts w:cs="Arial"/>
          <w:color w:val="222222"/>
          <w:shd w:val="clear" w:color="auto" w:fill="FFFFFF"/>
        </w:rPr>
        <w:t xml:space="preserve"> Univ</w:t>
      </w:r>
      <w:r w:rsidR="00394723">
        <w:rPr>
          <w:rFonts w:cs="Arial"/>
          <w:color w:val="222222"/>
          <w:shd w:val="clear" w:color="auto" w:fill="FFFFFF"/>
        </w:rPr>
        <w:t>ersity</w:t>
      </w:r>
      <w:r w:rsidRPr="005F70EE">
        <w:rPr>
          <w:rFonts w:cs="Arial"/>
          <w:color w:val="222222"/>
          <w:shd w:val="clear" w:color="auto" w:fill="FFFFFF"/>
        </w:rPr>
        <w:t xml:space="preserve"> of California Press.</w:t>
      </w:r>
    </w:p>
    <w:p w14:paraId="6F34E8EF" w14:textId="77777777" w:rsidR="00394723" w:rsidRDefault="00394723" w:rsidP="00394723">
      <w:pPr>
        <w:spacing w:line="360" w:lineRule="auto"/>
        <w:ind w:left="567" w:hanging="567"/>
        <w:rPr>
          <w:rFonts w:cstheme="minorHAnsi"/>
        </w:rPr>
      </w:pPr>
    </w:p>
    <w:p w14:paraId="21A28708" w14:textId="7594F982" w:rsidR="00394723" w:rsidRDefault="00293782" w:rsidP="00394723">
      <w:pPr>
        <w:spacing w:line="360" w:lineRule="auto"/>
        <w:ind w:left="567" w:hanging="567"/>
        <w:rPr>
          <w:rFonts w:cstheme="minorHAnsi"/>
        </w:rPr>
      </w:pPr>
      <w:r>
        <w:rPr>
          <w:rFonts w:cstheme="minorHAnsi"/>
        </w:rPr>
        <w:t>Fadanelli, M., Cloud, D., Ibragimov, U., Ballard, A., Prood, N., Young, A. &amp; Cooper, H. (</w:t>
      </w:r>
      <w:r w:rsidR="005F70EE">
        <w:rPr>
          <w:rFonts w:cstheme="minorHAnsi"/>
        </w:rPr>
        <w:t>In press</w:t>
      </w:r>
      <w:r>
        <w:rPr>
          <w:rFonts w:cstheme="minorHAnsi"/>
        </w:rPr>
        <w:t xml:space="preserve">). People, places, and stigma: A qualitative study exploring the overdose risk environment of rural Kentucky. </w:t>
      </w:r>
      <w:r w:rsidRPr="00640A30">
        <w:rPr>
          <w:rFonts w:cstheme="minorHAnsi"/>
          <w:i/>
          <w:iCs/>
        </w:rPr>
        <w:t>International journal of drug policy</w:t>
      </w:r>
      <w:r>
        <w:rPr>
          <w:rFonts w:cstheme="minorHAnsi"/>
          <w:i/>
          <w:iCs/>
        </w:rPr>
        <w:t>.</w:t>
      </w:r>
      <w:r w:rsidR="005F70EE">
        <w:rPr>
          <w:rFonts w:cstheme="minorHAnsi"/>
          <w:i/>
          <w:iCs/>
        </w:rPr>
        <w:t xml:space="preserve"> </w:t>
      </w:r>
      <w:hyperlink r:id="rId9" w:history="1">
        <w:r w:rsidR="00394723" w:rsidRPr="00BD1A14">
          <w:rPr>
            <w:rStyle w:val="Hyperlink"/>
            <w:rFonts w:cstheme="minorHAnsi"/>
            <w:iCs/>
          </w:rPr>
          <w:t>https://doi.org/10.1016/j.drugpo.2019.11.001</w:t>
        </w:r>
      </w:hyperlink>
    </w:p>
    <w:p w14:paraId="1E878ECB" w14:textId="77777777" w:rsidR="00394723" w:rsidRDefault="00394723" w:rsidP="00394723">
      <w:pPr>
        <w:spacing w:line="360" w:lineRule="auto"/>
        <w:rPr>
          <w:rFonts w:cstheme="minorHAnsi"/>
        </w:rPr>
      </w:pPr>
    </w:p>
    <w:p w14:paraId="25D30AD6" w14:textId="5A954179" w:rsidR="00D31B49" w:rsidRPr="00D81EAF" w:rsidRDefault="00A458CC">
      <w:pPr>
        <w:spacing w:line="360" w:lineRule="auto"/>
        <w:ind w:left="567" w:hanging="567"/>
        <w:rPr>
          <w:rFonts w:cs="AdvTT5843c571"/>
        </w:rPr>
      </w:pPr>
      <w:r w:rsidRPr="00D81EAF">
        <w:rPr>
          <w:rFonts w:cs="AdvTT5843c571"/>
        </w:rPr>
        <w:t>Farrugia, A., Fraser, S. and Dwyer, R. (2017) Assembling the social and political dimensions of take-home naloxone</w:t>
      </w:r>
      <w:r w:rsidR="00394723">
        <w:rPr>
          <w:rFonts w:cs="AdvTT5843c571"/>
        </w:rPr>
        <w:t>.</w:t>
      </w:r>
      <w:r w:rsidRPr="00D81EAF">
        <w:rPr>
          <w:rFonts w:cs="AdvTT5843c571"/>
        </w:rPr>
        <w:t xml:space="preserve"> </w:t>
      </w:r>
      <w:r w:rsidRPr="00394723">
        <w:rPr>
          <w:rFonts w:cs="AdvTTf90d833a.I"/>
          <w:i/>
        </w:rPr>
        <w:t>Contemporary Drug Problems</w:t>
      </w:r>
      <w:r w:rsidRPr="00394723">
        <w:rPr>
          <w:rFonts w:cs="AdvTT5843c571"/>
          <w:i/>
        </w:rPr>
        <w:t>, 44</w:t>
      </w:r>
      <w:r w:rsidRPr="00D81EAF">
        <w:rPr>
          <w:rFonts w:cs="AdvTT5843c571"/>
        </w:rPr>
        <w:t xml:space="preserve"> </w:t>
      </w:r>
      <w:r w:rsidR="00394723">
        <w:rPr>
          <w:rFonts w:cs="AdvTT5843c571"/>
        </w:rPr>
        <w:t>(</w:t>
      </w:r>
      <w:r w:rsidRPr="00D81EAF">
        <w:rPr>
          <w:rFonts w:cs="AdvTT5843c571"/>
        </w:rPr>
        <w:t>3</w:t>
      </w:r>
      <w:r w:rsidR="00394723">
        <w:rPr>
          <w:rFonts w:cs="AdvTT5843c571"/>
        </w:rPr>
        <w:t>)</w:t>
      </w:r>
      <w:r w:rsidRPr="00D81EAF">
        <w:rPr>
          <w:rFonts w:cs="AdvTT5843c571"/>
        </w:rPr>
        <w:t>, 163</w:t>
      </w:r>
      <w:r w:rsidRPr="00D81EAF">
        <w:rPr>
          <w:rFonts w:cs="AdvTTec369687+20"/>
        </w:rPr>
        <w:t>–</w:t>
      </w:r>
      <w:r w:rsidRPr="00D81EAF">
        <w:rPr>
          <w:rFonts w:cs="AdvTT5843c571"/>
        </w:rPr>
        <w:t>75.</w:t>
      </w:r>
    </w:p>
    <w:p w14:paraId="3D1F72F2" w14:textId="0BC170A9" w:rsidR="00EB46E1" w:rsidRDefault="00EB46E1" w:rsidP="00394723">
      <w:pPr>
        <w:spacing w:line="360" w:lineRule="auto"/>
        <w:ind w:left="567" w:hanging="567"/>
        <w:rPr>
          <w:rFonts w:cstheme="minorHAnsi"/>
        </w:rPr>
      </w:pPr>
    </w:p>
    <w:p w14:paraId="0E99FE0E" w14:textId="2EB4060D" w:rsidR="00406C4B" w:rsidRDefault="007F2F44">
      <w:pPr>
        <w:spacing w:line="360" w:lineRule="auto"/>
        <w:ind w:left="567" w:hanging="567"/>
        <w:rPr>
          <w:rFonts w:cstheme="minorHAnsi"/>
        </w:rPr>
      </w:pPr>
      <w:r w:rsidRPr="007F2F44">
        <w:rPr>
          <w:rFonts w:cstheme="minorHAnsi"/>
        </w:rPr>
        <w:t xml:space="preserve">Fraser, S. (2011). Beyond the ‘potsherd’: The role of injecting drug use-related stigma in shaping hepatitis C. In S. Fraser &amp; D. Moore (Eds.), </w:t>
      </w:r>
      <w:r w:rsidRPr="00CD37AC">
        <w:rPr>
          <w:rFonts w:cstheme="minorHAnsi"/>
          <w:i/>
        </w:rPr>
        <w:t>The drug effect</w:t>
      </w:r>
      <w:r w:rsidR="003B1AC1">
        <w:rPr>
          <w:rFonts w:cstheme="minorHAnsi"/>
          <w:i/>
        </w:rPr>
        <w:t>: Health, crime and society</w:t>
      </w:r>
      <w:r w:rsidR="00284B36">
        <w:rPr>
          <w:rFonts w:cstheme="minorHAnsi"/>
          <w:i/>
        </w:rPr>
        <w:t xml:space="preserve"> </w:t>
      </w:r>
      <w:r w:rsidRPr="007F2F44">
        <w:rPr>
          <w:rFonts w:cstheme="minorHAnsi"/>
        </w:rPr>
        <w:t>(pp. 91–105). Melbourne: Cambridge University Press.</w:t>
      </w:r>
    </w:p>
    <w:p w14:paraId="7605B49A" w14:textId="77777777" w:rsidR="00284B36" w:rsidRPr="00D81EAF" w:rsidRDefault="00284B36" w:rsidP="00A838C0">
      <w:pPr>
        <w:spacing w:line="360" w:lineRule="auto"/>
        <w:rPr>
          <w:rFonts w:cstheme="minorHAnsi"/>
        </w:rPr>
      </w:pPr>
    </w:p>
    <w:p w14:paraId="4A893714" w14:textId="46D8B802" w:rsidR="00A458CC" w:rsidRDefault="00A458CC" w:rsidP="009E7A32">
      <w:pPr>
        <w:spacing w:line="360" w:lineRule="auto"/>
        <w:ind w:left="567" w:hanging="567"/>
        <w:rPr>
          <w:lang w:val="en-US"/>
        </w:rPr>
      </w:pPr>
      <w:r w:rsidRPr="00D81EAF">
        <w:t xml:space="preserve">Fraser, S., Farrugia, A. &amp; Dwyer, R. (2018). </w:t>
      </w:r>
      <w:r w:rsidRPr="00D81EAF">
        <w:rPr>
          <w:rFonts w:cs="Arial"/>
          <w:color w:val="000000"/>
        </w:rPr>
        <w:t>Grievable lives? Death by opioid overdose in Australian newspaper coverage</w:t>
      </w:r>
      <w:r w:rsidRPr="00D81EAF">
        <w:t xml:space="preserve">. </w:t>
      </w:r>
      <w:r w:rsidRPr="00D81EAF">
        <w:rPr>
          <w:i/>
          <w:lang w:val="en-US"/>
        </w:rPr>
        <w:t>International Journal of Drug Policy,</w:t>
      </w:r>
      <w:r w:rsidRPr="00D81EAF">
        <w:rPr>
          <w:lang w:val="en-US"/>
        </w:rPr>
        <w:t xml:space="preserve"> 59, 28-35.</w:t>
      </w:r>
    </w:p>
    <w:p w14:paraId="0317FC3F" w14:textId="77777777" w:rsidR="00406C4B" w:rsidRPr="00D81EAF" w:rsidRDefault="00406C4B" w:rsidP="009E7A32">
      <w:pPr>
        <w:spacing w:line="360" w:lineRule="auto"/>
        <w:ind w:left="567" w:hanging="567"/>
        <w:rPr>
          <w:lang w:val="en-US"/>
        </w:rPr>
      </w:pPr>
    </w:p>
    <w:p w14:paraId="0D12DFA6" w14:textId="4905E78E" w:rsidR="00A458CC" w:rsidRPr="00D81EAF" w:rsidRDefault="00A458CC" w:rsidP="009E7A32">
      <w:pPr>
        <w:spacing w:line="360" w:lineRule="auto"/>
        <w:ind w:left="567" w:hanging="567"/>
        <w:rPr>
          <w:rFonts w:cstheme="minorHAnsi"/>
        </w:rPr>
      </w:pPr>
      <w:r w:rsidRPr="00D81EAF">
        <w:rPr>
          <w:rFonts w:cstheme="minorHAnsi"/>
        </w:rPr>
        <w:t>Fraser, S., Pienaar,</w:t>
      </w:r>
      <w:r w:rsidR="009E7A32">
        <w:rPr>
          <w:rFonts w:cstheme="minorHAnsi"/>
        </w:rPr>
        <w:t xml:space="preserve"> </w:t>
      </w:r>
      <w:r w:rsidRPr="00D81EAF">
        <w:rPr>
          <w:rFonts w:cstheme="minorHAnsi"/>
        </w:rPr>
        <w:t>K., Dilkes-Frayne, E., Moore, D.,</w:t>
      </w:r>
      <w:r w:rsidR="00303F7F">
        <w:rPr>
          <w:rFonts w:cstheme="minorHAnsi"/>
        </w:rPr>
        <w:t xml:space="preserve"> </w:t>
      </w:r>
      <w:r w:rsidRPr="00D81EAF">
        <w:rPr>
          <w:rFonts w:cstheme="minorHAnsi"/>
        </w:rPr>
        <w:t xml:space="preserve">Kokanovic,R., Treloar, C., &amp; Dunlop, A. (2017). Addiction stigma and the biopolitics of liberal modernity: A qualitative analysis. </w:t>
      </w:r>
      <w:r w:rsidRPr="00D81EAF">
        <w:rPr>
          <w:rFonts w:cstheme="minorHAnsi"/>
          <w:i/>
        </w:rPr>
        <w:t>International Journal of Drug Policy</w:t>
      </w:r>
      <w:r w:rsidRPr="00D81EAF">
        <w:rPr>
          <w:rFonts w:cstheme="minorHAnsi"/>
        </w:rPr>
        <w:t>, 44, 192–201.</w:t>
      </w:r>
    </w:p>
    <w:p w14:paraId="281A8D91" w14:textId="77777777" w:rsidR="00A458CC" w:rsidRPr="00D81EAF" w:rsidRDefault="00A458CC" w:rsidP="009E7A32">
      <w:pPr>
        <w:spacing w:line="360" w:lineRule="auto"/>
        <w:ind w:left="567" w:hanging="567"/>
        <w:rPr>
          <w:rFonts w:cstheme="minorHAnsi"/>
        </w:rPr>
      </w:pPr>
    </w:p>
    <w:p w14:paraId="616C338E" w14:textId="62A2FA1D" w:rsidR="00EB46E1" w:rsidRDefault="00A458CC" w:rsidP="00754294">
      <w:pPr>
        <w:spacing w:line="360" w:lineRule="auto"/>
        <w:ind w:left="567" w:hanging="567"/>
        <w:rPr>
          <w:rFonts w:cstheme="minorHAnsi"/>
        </w:rPr>
      </w:pPr>
      <w:r w:rsidRPr="00D81EAF">
        <w:rPr>
          <w:rFonts w:cs="AdvTT5843c571"/>
        </w:rPr>
        <w:t xml:space="preserve">Fraser, S. and Seear, K. (2011) </w:t>
      </w:r>
      <w:r w:rsidRPr="00D81EAF">
        <w:rPr>
          <w:rFonts w:cs="AdvTTf90d833a.I"/>
          <w:i/>
        </w:rPr>
        <w:t>Making Disease, Making Citizens</w:t>
      </w:r>
      <w:r w:rsidR="00284B36">
        <w:rPr>
          <w:rFonts w:cs="AdvTTf90d833a.I"/>
          <w:i/>
        </w:rPr>
        <w:t>.</w:t>
      </w:r>
      <w:r w:rsidRPr="00D81EAF">
        <w:rPr>
          <w:rFonts w:cs="AdvTT5843c571"/>
        </w:rPr>
        <w:t xml:space="preserve"> Surrey: Ashgate.</w:t>
      </w:r>
    </w:p>
    <w:p w14:paraId="1076D90D" w14:textId="528E69B9" w:rsidR="00C844C3" w:rsidRDefault="00C844C3" w:rsidP="00EB46E1">
      <w:pPr>
        <w:spacing w:line="360" w:lineRule="auto"/>
        <w:ind w:left="567" w:hanging="567"/>
        <w:rPr>
          <w:rFonts w:cstheme="minorHAnsi"/>
        </w:rPr>
      </w:pPr>
    </w:p>
    <w:p w14:paraId="3C7AB5CC" w14:textId="5DBAF416" w:rsidR="00C844C3" w:rsidRPr="00394723" w:rsidRDefault="00C844C3" w:rsidP="00EB46E1">
      <w:pPr>
        <w:spacing w:line="360" w:lineRule="auto"/>
        <w:ind w:left="567" w:hanging="567"/>
        <w:rPr>
          <w:rFonts w:cstheme="minorHAnsi"/>
        </w:rPr>
      </w:pPr>
      <w:r>
        <w:rPr>
          <w:rFonts w:cstheme="minorHAnsi"/>
        </w:rPr>
        <w:t xml:space="preserve">Fomiatti, R. (in press). </w:t>
      </w:r>
      <w:r w:rsidR="00F713FF">
        <w:rPr>
          <w:rFonts w:cstheme="minorHAnsi"/>
        </w:rPr>
        <w:t>‘</w:t>
      </w:r>
      <w:r w:rsidRPr="00C844C3">
        <w:rPr>
          <w:rFonts w:cstheme="minorHAnsi"/>
        </w:rPr>
        <w:t>It</w:t>
      </w:r>
      <w:r w:rsidR="00F713FF">
        <w:rPr>
          <w:rFonts w:cstheme="minorHAnsi"/>
        </w:rPr>
        <w:t>’</w:t>
      </w:r>
      <w:r w:rsidRPr="00C844C3">
        <w:rPr>
          <w:rFonts w:cstheme="minorHAnsi"/>
        </w:rPr>
        <w:t>s good being part of the commun</w:t>
      </w:r>
      <w:r>
        <w:rPr>
          <w:rFonts w:cstheme="minorHAnsi"/>
        </w:rPr>
        <w:t>ity and doing the right thing</w:t>
      </w:r>
      <w:r w:rsidR="00F713FF">
        <w:rPr>
          <w:rFonts w:cstheme="minorHAnsi"/>
        </w:rPr>
        <w:t>’</w:t>
      </w:r>
      <w:r>
        <w:rPr>
          <w:rFonts w:cstheme="minorHAnsi"/>
        </w:rPr>
        <w:t xml:space="preserve">: </w:t>
      </w:r>
      <w:r w:rsidRPr="00C844C3">
        <w:rPr>
          <w:rFonts w:cstheme="minorHAnsi"/>
        </w:rPr>
        <w:t xml:space="preserve">(Re)problematising </w:t>
      </w:r>
      <w:r w:rsidR="00F713FF">
        <w:rPr>
          <w:rFonts w:cstheme="minorHAnsi"/>
        </w:rPr>
        <w:t>‘</w:t>
      </w:r>
      <w:r w:rsidRPr="00C844C3">
        <w:rPr>
          <w:rFonts w:cstheme="minorHAnsi"/>
        </w:rPr>
        <w:t>community</w:t>
      </w:r>
      <w:r w:rsidR="00F713FF">
        <w:rPr>
          <w:rFonts w:cstheme="minorHAnsi"/>
        </w:rPr>
        <w:t>’</w:t>
      </w:r>
      <w:r w:rsidRPr="00C844C3">
        <w:rPr>
          <w:rFonts w:cstheme="minorHAnsi"/>
        </w:rPr>
        <w:t xml:space="preserve"> in new recovery-oriented policy and consumer accounts</w:t>
      </w:r>
      <w:r>
        <w:rPr>
          <w:rFonts w:cstheme="minorHAnsi"/>
        </w:rPr>
        <w:t xml:space="preserve">. </w:t>
      </w:r>
      <w:r>
        <w:rPr>
          <w:rFonts w:cstheme="minorHAnsi"/>
          <w:i/>
        </w:rPr>
        <w:t xml:space="preserve">International Journal of Drug Policy. </w:t>
      </w:r>
      <w:r w:rsidR="00394723" w:rsidRPr="00394723">
        <w:rPr>
          <w:rFonts w:cstheme="minorHAnsi"/>
        </w:rPr>
        <w:t>https://doi.org/10.1016/j.drugpo.2019.04.007</w:t>
      </w:r>
    </w:p>
    <w:p w14:paraId="1A54EC02" w14:textId="77777777" w:rsidR="00406C4B" w:rsidRPr="00D81EAF" w:rsidRDefault="00406C4B" w:rsidP="009E7A32">
      <w:pPr>
        <w:spacing w:line="360" w:lineRule="auto"/>
        <w:ind w:left="567" w:hanging="567"/>
        <w:rPr>
          <w:rFonts w:cstheme="minorHAnsi"/>
        </w:rPr>
      </w:pPr>
    </w:p>
    <w:p w14:paraId="7F8246AA" w14:textId="4DAFA1BA" w:rsidR="00A458CC" w:rsidRDefault="00A458CC" w:rsidP="009E7A32">
      <w:pPr>
        <w:spacing w:line="360" w:lineRule="auto"/>
        <w:ind w:left="567" w:hanging="567"/>
        <w:rPr>
          <w:rFonts w:cstheme="minorHAnsi"/>
        </w:rPr>
      </w:pPr>
      <w:r w:rsidRPr="00D81EAF">
        <w:rPr>
          <w:rFonts w:cstheme="minorHAnsi"/>
        </w:rPr>
        <w:t xml:space="preserve">Goffman, E. (1973/1963). </w:t>
      </w:r>
      <w:r w:rsidRPr="00D81EAF">
        <w:rPr>
          <w:rFonts w:cstheme="minorHAnsi"/>
          <w:i/>
        </w:rPr>
        <w:t>Stigma</w:t>
      </w:r>
      <w:r w:rsidR="003B1AC1">
        <w:rPr>
          <w:rFonts w:cstheme="minorHAnsi"/>
          <w:i/>
        </w:rPr>
        <w:t>: Notes on the management of spoiled identity</w:t>
      </w:r>
      <w:r w:rsidRPr="00D81EAF">
        <w:rPr>
          <w:rFonts w:cstheme="minorHAnsi"/>
        </w:rPr>
        <w:t xml:space="preserve">. Harmondsworth: Penguin. </w:t>
      </w:r>
    </w:p>
    <w:p w14:paraId="43DDEEC7" w14:textId="77777777" w:rsidR="00A458CC" w:rsidRPr="00D81EAF" w:rsidRDefault="00A458CC" w:rsidP="005F70EE">
      <w:pPr>
        <w:spacing w:line="360" w:lineRule="auto"/>
        <w:rPr>
          <w:rFonts w:cstheme="minorHAnsi"/>
        </w:rPr>
      </w:pPr>
    </w:p>
    <w:p w14:paraId="341E2E6C" w14:textId="5E3F16EC" w:rsidR="00A458CC" w:rsidRDefault="00A458CC" w:rsidP="009E7A32">
      <w:pPr>
        <w:spacing w:line="360" w:lineRule="auto"/>
        <w:ind w:left="567" w:hanging="567"/>
        <w:rPr>
          <w:rFonts w:cstheme="minorHAnsi"/>
        </w:rPr>
      </w:pPr>
      <w:r w:rsidRPr="00D81EAF">
        <w:rPr>
          <w:rFonts w:cstheme="minorHAnsi"/>
        </w:rPr>
        <w:t xml:space="preserve">Green, T., Bowman, S., Zaller, N., Ray, M., Case, P., &amp; Heimer, R. (2013). Barriers to medical provider support for prescription naloxone as overdose antidote for lay responders. </w:t>
      </w:r>
      <w:r w:rsidRPr="00D81EAF">
        <w:rPr>
          <w:rFonts w:cstheme="minorHAnsi"/>
          <w:i/>
        </w:rPr>
        <w:t>Substance Use &amp; Misuse</w:t>
      </w:r>
      <w:r w:rsidRPr="00D81EAF">
        <w:rPr>
          <w:rFonts w:cstheme="minorHAnsi"/>
        </w:rPr>
        <w:t>, 48, 558–567.</w:t>
      </w:r>
    </w:p>
    <w:p w14:paraId="355F3E6A" w14:textId="21EA4AD1" w:rsidR="000322F5" w:rsidRDefault="000322F5" w:rsidP="009E7A32">
      <w:pPr>
        <w:spacing w:line="360" w:lineRule="auto"/>
        <w:ind w:left="567" w:hanging="567"/>
        <w:rPr>
          <w:rFonts w:cstheme="minorHAnsi"/>
        </w:rPr>
      </w:pPr>
    </w:p>
    <w:p w14:paraId="3444F364" w14:textId="217D229B" w:rsidR="000322F5" w:rsidRPr="000322F5" w:rsidRDefault="000322F5" w:rsidP="009E7A32">
      <w:pPr>
        <w:spacing w:line="360" w:lineRule="auto"/>
        <w:ind w:left="567" w:hanging="567"/>
        <w:rPr>
          <w:rFonts w:cstheme="minorHAnsi"/>
        </w:rPr>
      </w:pPr>
      <w:r>
        <w:rPr>
          <w:rFonts w:cstheme="minorHAnsi"/>
        </w:rPr>
        <w:t xml:space="preserve">Greene, J. (2018). Naloxone ‘moral hazard’ debate pits economists against physicians. </w:t>
      </w:r>
      <w:r>
        <w:rPr>
          <w:rFonts w:cstheme="minorHAnsi"/>
          <w:i/>
        </w:rPr>
        <w:t xml:space="preserve">Annals of Emergency Medicine, </w:t>
      </w:r>
      <w:r>
        <w:rPr>
          <w:rFonts w:cstheme="minorHAnsi"/>
        </w:rPr>
        <w:t>72 (2), A13-A16.</w:t>
      </w:r>
    </w:p>
    <w:p w14:paraId="04E7AED1" w14:textId="77777777" w:rsidR="00A458CC" w:rsidRPr="00D81EAF" w:rsidRDefault="00A458CC" w:rsidP="009E7A32">
      <w:pPr>
        <w:spacing w:line="360" w:lineRule="auto"/>
        <w:ind w:left="567" w:hanging="567"/>
        <w:rPr>
          <w:rFonts w:cstheme="minorHAnsi"/>
        </w:rPr>
      </w:pPr>
    </w:p>
    <w:p w14:paraId="2B5C5D9F" w14:textId="2199DE7B" w:rsidR="00394723" w:rsidRDefault="00A458CC" w:rsidP="00394723">
      <w:pPr>
        <w:spacing w:line="360" w:lineRule="auto"/>
        <w:ind w:left="567" w:hanging="567"/>
        <w:rPr>
          <w:rFonts w:cs="AdvOT596495f2"/>
        </w:rPr>
      </w:pPr>
      <w:r w:rsidRPr="00D81EAF">
        <w:rPr>
          <w:rFonts w:cs="AdvOT596495f2"/>
        </w:rPr>
        <w:t xml:space="preserve">Hickman, T. (2002). Heroin chic: The visual culture of narcotic addiction. </w:t>
      </w:r>
      <w:r w:rsidRPr="00D81EAF">
        <w:rPr>
          <w:rFonts w:cs="AdvOT7fb33346.I"/>
          <w:i/>
        </w:rPr>
        <w:t>Third Text,</w:t>
      </w:r>
      <w:r w:rsidRPr="00D81EAF">
        <w:rPr>
          <w:rFonts w:cs="AdvOT7fb33346.I"/>
        </w:rPr>
        <w:t xml:space="preserve"> </w:t>
      </w:r>
      <w:r w:rsidRPr="003B1AC1">
        <w:rPr>
          <w:rFonts w:cs="AdvOT7fb33346.I"/>
          <w:i/>
        </w:rPr>
        <w:t>16</w:t>
      </w:r>
      <w:r w:rsidR="003B1AC1">
        <w:rPr>
          <w:rFonts w:cs="AdvOT7fb33346.I"/>
        </w:rPr>
        <w:t xml:space="preserve"> </w:t>
      </w:r>
      <w:r w:rsidRPr="00D81EAF">
        <w:rPr>
          <w:rFonts w:cs="AdvOT596495f2"/>
        </w:rPr>
        <w:t>(2), 119</w:t>
      </w:r>
      <w:r w:rsidRPr="00D81EAF">
        <w:rPr>
          <w:rFonts w:cs="AdvOT596495f2+20"/>
        </w:rPr>
        <w:t>–</w:t>
      </w:r>
      <w:r w:rsidRPr="00D81EAF">
        <w:rPr>
          <w:rFonts w:cs="AdvOT596495f2"/>
        </w:rPr>
        <w:t>136.</w:t>
      </w:r>
    </w:p>
    <w:p w14:paraId="05A98245" w14:textId="77777777" w:rsidR="00394723" w:rsidRDefault="00394723" w:rsidP="00394723">
      <w:pPr>
        <w:spacing w:line="360" w:lineRule="auto"/>
        <w:ind w:left="567" w:hanging="567"/>
        <w:rPr>
          <w:rFonts w:cs="AdvOT596495f2"/>
        </w:rPr>
      </w:pPr>
    </w:p>
    <w:p w14:paraId="74CDF913" w14:textId="52F755B3" w:rsidR="002C6825" w:rsidRPr="00394723" w:rsidRDefault="00394723" w:rsidP="00394723">
      <w:pPr>
        <w:spacing w:line="360" w:lineRule="auto"/>
        <w:ind w:left="567" w:hanging="567"/>
        <w:rPr>
          <w:rFonts w:cs="AdvOT596495f2"/>
        </w:rPr>
      </w:pPr>
      <w:r w:rsidRPr="00394723">
        <w:t>Holland, T. J., Penm, J., Dinh, M., Aran, S., &amp; Chaar, B. (2019). Emergency department physicians’ and pharmacists’ perspectives on take</w:t>
      </w:r>
      <w:r w:rsidRPr="00394723">
        <w:rPr>
          <w:rFonts w:ascii="Times New Roman" w:hAnsi="Times New Roman" w:cs="Times New Roman"/>
        </w:rPr>
        <w:t>‐</w:t>
      </w:r>
      <w:r w:rsidRPr="00394723">
        <w:t xml:space="preserve">home naloxone. </w:t>
      </w:r>
      <w:r w:rsidRPr="00394723">
        <w:rPr>
          <w:i/>
        </w:rPr>
        <w:t>Drug and alcohol review, 38</w:t>
      </w:r>
      <w:r>
        <w:t xml:space="preserve"> </w:t>
      </w:r>
      <w:r w:rsidRPr="00394723">
        <w:t>(2), 169-176.</w:t>
      </w:r>
    </w:p>
    <w:p w14:paraId="217AC6AC" w14:textId="77777777" w:rsidR="00394723" w:rsidRDefault="00394723" w:rsidP="00C22FE0">
      <w:pPr>
        <w:spacing w:line="360" w:lineRule="auto"/>
        <w:rPr>
          <w:rFonts w:cstheme="minorHAnsi"/>
        </w:rPr>
      </w:pPr>
    </w:p>
    <w:p w14:paraId="416A75E6" w14:textId="551BB179" w:rsidR="002C6825" w:rsidRDefault="002C6825" w:rsidP="009E7A32">
      <w:pPr>
        <w:spacing w:line="360" w:lineRule="auto"/>
        <w:ind w:left="567" w:hanging="567"/>
        <w:rPr>
          <w:rFonts w:cstheme="minorHAnsi"/>
        </w:rPr>
      </w:pPr>
      <w:r w:rsidRPr="002C6825">
        <w:rPr>
          <w:rFonts w:cstheme="minorHAnsi"/>
        </w:rPr>
        <w:t>Keane, H. (2013). Categorising methadone: Addiction and analgesia. </w:t>
      </w:r>
      <w:r w:rsidRPr="002C6825">
        <w:rPr>
          <w:rFonts w:cstheme="minorHAnsi"/>
          <w:i/>
          <w:iCs/>
        </w:rPr>
        <w:t>International Journal of Drug Policy</w:t>
      </w:r>
      <w:r w:rsidRPr="002C6825">
        <w:rPr>
          <w:rFonts w:cstheme="minorHAnsi"/>
        </w:rPr>
        <w:t>, </w:t>
      </w:r>
      <w:r w:rsidRPr="002C6825">
        <w:rPr>
          <w:rFonts w:cstheme="minorHAnsi"/>
          <w:i/>
          <w:iCs/>
        </w:rPr>
        <w:t>24</w:t>
      </w:r>
      <w:r w:rsidR="003B1AC1">
        <w:rPr>
          <w:rFonts w:cstheme="minorHAnsi"/>
          <w:i/>
          <w:iCs/>
        </w:rPr>
        <w:t xml:space="preserve"> </w:t>
      </w:r>
      <w:r>
        <w:rPr>
          <w:rFonts w:cstheme="minorHAnsi"/>
        </w:rPr>
        <w:t>(6), e</w:t>
      </w:r>
      <w:r w:rsidRPr="002C6825">
        <w:rPr>
          <w:rFonts w:cstheme="minorHAnsi"/>
        </w:rPr>
        <w:t>18-e24.</w:t>
      </w:r>
    </w:p>
    <w:p w14:paraId="2274639F" w14:textId="661E9D7B" w:rsidR="00F42C01" w:rsidRDefault="00F42C01" w:rsidP="009E7A32">
      <w:pPr>
        <w:spacing w:line="360" w:lineRule="auto"/>
        <w:ind w:left="567" w:hanging="567"/>
        <w:rPr>
          <w:rFonts w:cstheme="minorHAnsi"/>
        </w:rPr>
      </w:pPr>
    </w:p>
    <w:p w14:paraId="3F8C65E7" w14:textId="6EFAFF58" w:rsidR="00F42C01" w:rsidRPr="00F42C01" w:rsidRDefault="00F42C01" w:rsidP="00F42C01">
      <w:pPr>
        <w:spacing w:line="360" w:lineRule="auto"/>
        <w:ind w:left="567" w:hanging="567"/>
        <w:rPr>
          <w:rFonts w:cstheme="minorHAnsi"/>
          <w:iCs/>
        </w:rPr>
      </w:pPr>
      <w:r>
        <w:rPr>
          <w:rFonts w:cstheme="minorHAnsi"/>
        </w:rPr>
        <w:t xml:space="preserve">Kerr, T., Small, W., Moore, D. &amp; Wood, E. (2007). A micro-environmental intervention to reduce the harms associated with drug-related overdose: Evidence from the evaluation of Vancouver’s safer injection facility. </w:t>
      </w:r>
      <w:r w:rsidRPr="002C6825">
        <w:rPr>
          <w:rFonts w:cstheme="minorHAnsi"/>
          <w:i/>
          <w:iCs/>
        </w:rPr>
        <w:t>International Journal of Drug Policy</w:t>
      </w:r>
      <w:r w:rsidRPr="00394723">
        <w:rPr>
          <w:rFonts w:cstheme="minorHAnsi"/>
          <w:i/>
          <w:iCs/>
        </w:rPr>
        <w:t>, 18</w:t>
      </w:r>
      <w:r>
        <w:rPr>
          <w:rFonts w:cstheme="minorHAnsi"/>
          <w:iCs/>
        </w:rPr>
        <w:t xml:space="preserve"> (1), 37-45.</w:t>
      </w:r>
    </w:p>
    <w:p w14:paraId="3F6B29C3" w14:textId="77777777" w:rsidR="00323FB0" w:rsidRDefault="00323FB0" w:rsidP="009E7A32">
      <w:pPr>
        <w:spacing w:line="360" w:lineRule="auto"/>
        <w:ind w:left="567" w:hanging="567"/>
        <w:rPr>
          <w:rFonts w:cstheme="minorHAnsi"/>
        </w:rPr>
      </w:pPr>
    </w:p>
    <w:p w14:paraId="1B1E1403" w14:textId="5B8A2835" w:rsidR="00323FB0" w:rsidRDefault="00323FB0" w:rsidP="009E7A32">
      <w:pPr>
        <w:spacing w:line="360" w:lineRule="auto"/>
        <w:ind w:left="567" w:hanging="567"/>
        <w:rPr>
          <w:rFonts w:cstheme="minorHAnsi"/>
        </w:rPr>
      </w:pPr>
      <w:r w:rsidRPr="00323FB0">
        <w:rPr>
          <w:rFonts w:cstheme="minorHAnsi"/>
        </w:rPr>
        <w:t xml:space="preserve">Kolla, G., &amp; Strike, C. (2019). ‘It's too much, I'm getting really tired of it’: Overdose response and structural vulnerabilities among harm reduction workers in community settings. </w:t>
      </w:r>
      <w:r w:rsidRPr="00394723">
        <w:rPr>
          <w:rFonts w:cstheme="minorHAnsi"/>
          <w:i/>
        </w:rPr>
        <w:t>International Journal of Drug Policy</w:t>
      </w:r>
      <w:r w:rsidRPr="00323FB0">
        <w:rPr>
          <w:rFonts w:cstheme="minorHAnsi"/>
        </w:rPr>
        <w:t>, 74, 127-135.</w:t>
      </w:r>
    </w:p>
    <w:p w14:paraId="309825B1" w14:textId="57EAC992" w:rsidR="00394723" w:rsidRDefault="00394723" w:rsidP="00F42C01">
      <w:pPr>
        <w:spacing w:line="360" w:lineRule="auto"/>
        <w:rPr>
          <w:rFonts w:cstheme="minorHAnsi"/>
          <w:iCs/>
        </w:rPr>
      </w:pPr>
    </w:p>
    <w:p w14:paraId="2E092D99" w14:textId="216209D9" w:rsidR="00394723" w:rsidRDefault="00E817DD" w:rsidP="00394723">
      <w:pPr>
        <w:spacing w:line="360" w:lineRule="auto"/>
        <w:ind w:left="567" w:hanging="567"/>
        <w:rPr>
          <w:rFonts w:cstheme="minorHAnsi"/>
        </w:rPr>
      </w:pPr>
      <w:r w:rsidRPr="005F70EE">
        <w:rPr>
          <w:rFonts w:cstheme="minorHAnsi"/>
        </w:rPr>
        <w:t xml:space="preserve">Lacroix, L., Thurgur, T., Orkin, A. &amp; Perry, J. (2018). Emergency physicians’ attitudes and perceived barriers to the implementation of take-home naloxone programs in Canadian emergency departments. </w:t>
      </w:r>
      <w:r w:rsidRPr="005F70EE">
        <w:rPr>
          <w:rFonts w:cstheme="minorHAnsi"/>
          <w:i/>
        </w:rPr>
        <w:t xml:space="preserve">Canadian Journal of Emergency Medicine, </w:t>
      </w:r>
      <w:r w:rsidRPr="00394723">
        <w:rPr>
          <w:rFonts w:cstheme="minorHAnsi"/>
          <w:i/>
        </w:rPr>
        <w:t>20</w:t>
      </w:r>
      <w:r w:rsidRPr="005F70EE">
        <w:rPr>
          <w:rFonts w:cstheme="minorHAnsi"/>
        </w:rPr>
        <w:t xml:space="preserve"> (1), 46-52.</w:t>
      </w:r>
    </w:p>
    <w:p w14:paraId="429B3D5C" w14:textId="77777777" w:rsidR="00394723" w:rsidRDefault="00394723" w:rsidP="00394723">
      <w:pPr>
        <w:spacing w:line="360" w:lineRule="auto"/>
        <w:ind w:left="567" w:hanging="567"/>
        <w:rPr>
          <w:rFonts w:cstheme="minorHAnsi"/>
        </w:rPr>
      </w:pPr>
    </w:p>
    <w:p w14:paraId="5DFC0DCD" w14:textId="478F988F" w:rsidR="00640A30" w:rsidRDefault="00640A30" w:rsidP="00394723">
      <w:pPr>
        <w:spacing w:line="360" w:lineRule="auto"/>
        <w:ind w:left="567" w:hanging="567"/>
        <w:rPr>
          <w:rFonts w:cstheme="minorHAnsi"/>
        </w:rPr>
      </w:pPr>
      <w:r w:rsidRPr="00640A30">
        <w:rPr>
          <w:rFonts w:cstheme="minorHAnsi"/>
        </w:rPr>
        <w:t>Lancaster, K., Santana, L., Madden, A., &amp; Ritter, A. (2015). Stigma and subjectivities: Examining the textured relationship between lived experience and opinions about drug policy among people who inject drugs. </w:t>
      </w:r>
      <w:r w:rsidRPr="00640A30">
        <w:rPr>
          <w:rFonts w:cstheme="minorHAnsi"/>
          <w:i/>
          <w:iCs/>
        </w:rPr>
        <w:t>Drugs: education, prevention and policy</w:t>
      </w:r>
      <w:r w:rsidRPr="00640A30">
        <w:rPr>
          <w:rFonts w:cstheme="minorHAnsi"/>
        </w:rPr>
        <w:t>, </w:t>
      </w:r>
      <w:r w:rsidRPr="00640A30">
        <w:rPr>
          <w:rFonts w:cstheme="minorHAnsi"/>
          <w:i/>
          <w:iCs/>
        </w:rPr>
        <w:t>22</w:t>
      </w:r>
      <w:r w:rsidR="00394723">
        <w:rPr>
          <w:rFonts w:cstheme="minorHAnsi"/>
          <w:i/>
          <w:iCs/>
        </w:rPr>
        <w:t xml:space="preserve"> </w:t>
      </w:r>
      <w:r w:rsidRPr="00640A30">
        <w:rPr>
          <w:rFonts w:cstheme="minorHAnsi"/>
        </w:rPr>
        <w:t>(3), 224-231.</w:t>
      </w:r>
    </w:p>
    <w:p w14:paraId="15AB66B1" w14:textId="139C307C" w:rsidR="00406C4B" w:rsidRPr="00D81EAF" w:rsidRDefault="00406C4B" w:rsidP="00394723">
      <w:pPr>
        <w:spacing w:line="360" w:lineRule="auto"/>
        <w:ind w:left="567" w:hanging="567"/>
        <w:rPr>
          <w:rFonts w:cstheme="minorHAnsi"/>
        </w:rPr>
      </w:pPr>
    </w:p>
    <w:p w14:paraId="05FC3FAA" w14:textId="6ADC931E" w:rsidR="00A458CC" w:rsidRPr="00D81EAF" w:rsidRDefault="00A458CC" w:rsidP="009E7A32">
      <w:pPr>
        <w:spacing w:line="360" w:lineRule="auto"/>
        <w:ind w:left="567" w:hanging="567"/>
        <w:rPr>
          <w:rFonts w:cstheme="minorHAnsi"/>
        </w:rPr>
      </w:pPr>
      <w:r w:rsidRPr="00D81EAF">
        <w:rPr>
          <w:rFonts w:cstheme="minorHAnsi"/>
        </w:rPr>
        <w:lastRenderedPageBreak/>
        <w:t xml:space="preserve">Lenton, S., Dietze, P., &amp; Jauncey, M. (2016). Australia to reschedule naloxone for overdose. </w:t>
      </w:r>
      <w:r w:rsidR="008A1F7D">
        <w:rPr>
          <w:rFonts w:cstheme="minorHAnsi"/>
          <w:i/>
        </w:rPr>
        <w:t>MJA</w:t>
      </w:r>
      <w:r w:rsidR="00B878C8">
        <w:rPr>
          <w:rFonts w:cstheme="minorHAnsi"/>
        </w:rPr>
        <w:t xml:space="preserve">, </w:t>
      </w:r>
      <w:r w:rsidR="00B878C8" w:rsidRPr="00394723">
        <w:rPr>
          <w:rFonts w:cstheme="minorHAnsi"/>
          <w:i/>
        </w:rPr>
        <w:t>20</w:t>
      </w:r>
      <w:r w:rsidRPr="00394723">
        <w:rPr>
          <w:rFonts w:cstheme="minorHAnsi"/>
          <w:i/>
        </w:rPr>
        <w:t>4</w:t>
      </w:r>
      <w:r w:rsidR="00394723" w:rsidRPr="00394723">
        <w:rPr>
          <w:rFonts w:cstheme="minorHAnsi"/>
          <w:i/>
        </w:rPr>
        <w:t xml:space="preserve"> </w:t>
      </w:r>
      <w:r w:rsidR="00B878C8">
        <w:rPr>
          <w:rFonts w:cstheme="minorHAnsi"/>
        </w:rPr>
        <w:t>(4)</w:t>
      </w:r>
      <w:r w:rsidRPr="00D81EAF">
        <w:rPr>
          <w:rFonts w:cstheme="minorHAnsi"/>
        </w:rPr>
        <w:t>, 146–147.</w:t>
      </w:r>
    </w:p>
    <w:p w14:paraId="39230299" w14:textId="77777777" w:rsidR="00A458CC" w:rsidRPr="00D81EAF" w:rsidRDefault="00A458CC" w:rsidP="009E7A32">
      <w:pPr>
        <w:spacing w:line="360" w:lineRule="auto"/>
        <w:ind w:left="567" w:hanging="567"/>
        <w:rPr>
          <w:rFonts w:cstheme="minorHAnsi"/>
        </w:rPr>
      </w:pPr>
    </w:p>
    <w:p w14:paraId="0F277702" w14:textId="77777777" w:rsidR="00A458CC" w:rsidRPr="00D81EAF" w:rsidRDefault="00A458CC" w:rsidP="009E7A32">
      <w:pPr>
        <w:spacing w:line="360" w:lineRule="auto"/>
        <w:ind w:left="567" w:hanging="567"/>
        <w:rPr>
          <w:rFonts w:cstheme="minorHAnsi"/>
        </w:rPr>
      </w:pPr>
      <w:r w:rsidRPr="00D81EAF">
        <w:rPr>
          <w:rFonts w:cstheme="minorHAnsi"/>
        </w:rPr>
        <w:t xml:space="preserve">Lenton, S., Dietze, P., Olsen, A.,Wiggins, N., McDonald, D., &amp; Fowlie, C. (2015). Working together: Expanding the availability of naloxone for peer administration to prevent opioid overdose deaths in the Australian Capital Territory and beyond. </w:t>
      </w:r>
      <w:r w:rsidRPr="00D81EAF">
        <w:rPr>
          <w:rFonts w:cstheme="minorHAnsi"/>
          <w:i/>
        </w:rPr>
        <w:t>Drug and Alcohol Review</w:t>
      </w:r>
      <w:r w:rsidRPr="00D81EAF">
        <w:rPr>
          <w:rFonts w:cstheme="minorHAnsi"/>
        </w:rPr>
        <w:t>, 34, 404–411.</w:t>
      </w:r>
    </w:p>
    <w:p w14:paraId="780D4FE1" w14:textId="77777777" w:rsidR="00A458CC" w:rsidRPr="00D81EAF" w:rsidRDefault="00A458CC" w:rsidP="009E7A32">
      <w:pPr>
        <w:spacing w:line="360" w:lineRule="auto"/>
        <w:ind w:left="567" w:hanging="567"/>
        <w:rPr>
          <w:rFonts w:cstheme="minorHAnsi"/>
        </w:rPr>
      </w:pPr>
    </w:p>
    <w:p w14:paraId="31BE67DF" w14:textId="3217F393" w:rsidR="00A458CC" w:rsidRPr="00D81EAF" w:rsidRDefault="00A458CC" w:rsidP="009E7A32">
      <w:pPr>
        <w:spacing w:line="360" w:lineRule="auto"/>
        <w:ind w:left="567" w:hanging="567"/>
        <w:rPr>
          <w:rFonts w:cs="AdvOT596495f2"/>
        </w:rPr>
      </w:pPr>
      <w:r w:rsidRPr="00D81EAF">
        <w:rPr>
          <w:rFonts w:cs="AdvOT596495f2"/>
        </w:rPr>
        <w:t xml:space="preserve">Linnemann, T., &amp; Wall, T. (2013). </w:t>
      </w:r>
      <w:r w:rsidRPr="00D81EAF">
        <w:rPr>
          <w:rFonts w:cs="AdvOT596495f2+20"/>
        </w:rPr>
        <w:t>‘</w:t>
      </w:r>
      <w:r w:rsidRPr="00D81EAF">
        <w:rPr>
          <w:rFonts w:cs="AdvOT596495f2"/>
        </w:rPr>
        <w:t>This is your face on meth</w:t>
      </w:r>
      <w:r w:rsidRPr="00D81EAF">
        <w:rPr>
          <w:rFonts w:cs="AdvOT596495f2+20"/>
        </w:rPr>
        <w:t>’</w:t>
      </w:r>
      <w:r w:rsidRPr="00D81EAF">
        <w:rPr>
          <w:rFonts w:cs="AdvOT596495f2"/>
        </w:rPr>
        <w:t xml:space="preserve">: The punitive spectacle of </w:t>
      </w:r>
      <w:r w:rsidRPr="00D81EAF">
        <w:rPr>
          <w:rFonts w:cs="AdvOT596495f2+20"/>
        </w:rPr>
        <w:t>‘</w:t>
      </w:r>
      <w:r w:rsidRPr="00D81EAF">
        <w:rPr>
          <w:rFonts w:cs="AdvOT596495f2"/>
        </w:rPr>
        <w:t>white trash</w:t>
      </w:r>
      <w:r w:rsidRPr="00D81EAF">
        <w:rPr>
          <w:rFonts w:cs="AdvOT596495f2+20"/>
        </w:rPr>
        <w:t xml:space="preserve">’ </w:t>
      </w:r>
      <w:r w:rsidRPr="00D81EAF">
        <w:rPr>
          <w:rFonts w:cs="AdvOT596495f2"/>
        </w:rPr>
        <w:t xml:space="preserve">in the rural war on drugs. </w:t>
      </w:r>
      <w:r w:rsidRPr="00D81EAF">
        <w:rPr>
          <w:rFonts w:cs="AdvOT7fb33346.I"/>
          <w:i/>
        </w:rPr>
        <w:t>Theoretical Criminology</w:t>
      </w:r>
      <w:r w:rsidRPr="00D81EAF">
        <w:rPr>
          <w:rFonts w:cs="AdvOT7fb33346.I"/>
        </w:rPr>
        <w:t>, 17</w:t>
      </w:r>
      <w:r w:rsidR="003B1AC1">
        <w:rPr>
          <w:rFonts w:cs="AdvOT7fb33346.I"/>
        </w:rPr>
        <w:t xml:space="preserve"> </w:t>
      </w:r>
      <w:r w:rsidRPr="00D81EAF">
        <w:rPr>
          <w:rFonts w:cs="AdvOT596495f2"/>
        </w:rPr>
        <w:t>(3), 315</w:t>
      </w:r>
      <w:r w:rsidRPr="00D81EAF">
        <w:rPr>
          <w:rFonts w:cs="AdvOT596495f2+20"/>
        </w:rPr>
        <w:t>–</w:t>
      </w:r>
      <w:r w:rsidRPr="00D81EAF">
        <w:rPr>
          <w:rFonts w:cs="AdvOT596495f2"/>
        </w:rPr>
        <w:t>334.</w:t>
      </w:r>
    </w:p>
    <w:p w14:paraId="70A396AC" w14:textId="77777777" w:rsidR="00A458CC" w:rsidRPr="00D81EAF" w:rsidRDefault="00A458CC" w:rsidP="009E7A32">
      <w:pPr>
        <w:spacing w:line="360" w:lineRule="auto"/>
        <w:ind w:left="567" w:hanging="567"/>
        <w:rPr>
          <w:rFonts w:cs="AdvOT596495f2"/>
        </w:rPr>
      </w:pPr>
    </w:p>
    <w:p w14:paraId="5944DBE8" w14:textId="49207F1B" w:rsidR="00754294" w:rsidRPr="00D81EAF" w:rsidRDefault="00A458CC" w:rsidP="009E7A32">
      <w:pPr>
        <w:spacing w:line="360" w:lineRule="auto"/>
        <w:ind w:left="567" w:hanging="567"/>
        <w:rPr>
          <w:rFonts w:cstheme="minorHAnsi"/>
        </w:rPr>
      </w:pPr>
      <w:r w:rsidRPr="00D81EAF">
        <w:rPr>
          <w:rFonts w:cstheme="minorHAnsi"/>
        </w:rPr>
        <w:t xml:space="preserve">Lloyd, C. (2013). The stigmatization of problem drug users: A narrative literature review. </w:t>
      </w:r>
      <w:r w:rsidRPr="00D81EAF">
        <w:rPr>
          <w:rFonts w:cstheme="minorHAnsi"/>
          <w:i/>
        </w:rPr>
        <w:t>Drugs: Education, Prevention and Policy</w:t>
      </w:r>
      <w:r w:rsidRPr="00D81EAF">
        <w:rPr>
          <w:rFonts w:cstheme="minorHAnsi"/>
        </w:rPr>
        <w:t>, 20, 85–95.</w:t>
      </w:r>
    </w:p>
    <w:p w14:paraId="4D605F16" w14:textId="77777777" w:rsidR="00640A30" w:rsidRDefault="00640A30" w:rsidP="009E7A32">
      <w:pPr>
        <w:spacing w:line="360" w:lineRule="auto"/>
        <w:ind w:left="567" w:hanging="567"/>
        <w:rPr>
          <w:rFonts w:cstheme="minorHAnsi"/>
        </w:rPr>
      </w:pPr>
    </w:p>
    <w:p w14:paraId="330C93BB" w14:textId="73F9BC43" w:rsidR="00640A30" w:rsidRDefault="00640A30" w:rsidP="009E7A32">
      <w:pPr>
        <w:spacing w:line="360" w:lineRule="auto"/>
        <w:ind w:left="567" w:hanging="567"/>
        <w:rPr>
          <w:rFonts w:cstheme="minorHAnsi"/>
        </w:rPr>
      </w:pPr>
      <w:r w:rsidRPr="00640A30">
        <w:rPr>
          <w:rFonts w:cstheme="minorHAnsi"/>
        </w:rPr>
        <w:t>Maher, L., &amp; Dixon, D. (2001). The cost of crackdowns: Policing Cabramatta's heroin market. </w:t>
      </w:r>
      <w:r w:rsidRPr="00640A30">
        <w:rPr>
          <w:rFonts w:cstheme="minorHAnsi"/>
          <w:i/>
          <w:iCs/>
        </w:rPr>
        <w:t>Current issues in criminal justice</w:t>
      </w:r>
      <w:r w:rsidRPr="00640A30">
        <w:rPr>
          <w:rFonts w:cstheme="minorHAnsi"/>
        </w:rPr>
        <w:t>, </w:t>
      </w:r>
      <w:r w:rsidRPr="00640A30">
        <w:rPr>
          <w:rFonts w:cstheme="minorHAnsi"/>
          <w:i/>
          <w:iCs/>
        </w:rPr>
        <w:t>13</w:t>
      </w:r>
      <w:r w:rsidR="00394723">
        <w:rPr>
          <w:rFonts w:cstheme="minorHAnsi"/>
          <w:i/>
          <w:iCs/>
        </w:rPr>
        <w:t xml:space="preserve"> </w:t>
      </w:r>
      <w:r w:rsidRPr="00640A30">
        <w:rPr>
          <w:rFonts w:cstheme="minorHAnsi"/>
        </w:rPr>
        <w:t>(1), 5-22.</w:t>
      </w:r>
    </w:p>
    <w:p w14:paraId="52D84C5B" w14:textId="77777777" w:rsidR="00406C4B" w:rsidRPr="00D81EAF" w:rsidRDefault="00406C4B" w:rsidP="009E7A32">
      <w:pPr>
        <w:spacing w:line="360" w:lineRule="auto"/>
        <w:ind w:left="567" w:hanging="567"/>
        <w:rPr>
          <w:rFonts w:cstheme="minorHAnsi"/>
        </w:rPr>
      </w:pPr>
    </w:p>
    <w:p w14:paraId="7369BD78" w14:textId="4EB85EDC" w:rsidR="00A458CC" w:rsidRDefault="00B878C8" w:rsidP="009E7A32">
      <w:pPr>
        <w:spacing w:line="360" w:lineRule="auto"/>
        <w:ind w:left="567" w:hanging="567"/>
        <w:rPr>
          <w:rFonts w:cstheme="minorHAnsi"/>
        </w:rPr>
      </w:pPr>
      <w:r w:rsidRPr="00B878C8">
        <w:rPr>
          <w:rFonts w:cstheme="minorHAnsi"/>
        </w:rPr>
        <w:t>Matheson, C., Pflanz-Sinclair, C., Aucott, L., Wilson, P., Watson, R., Malloy, S., ... &amp; McAuley, A. (2014). Reducing drug related death</w:t>
      </w:r>
      <w:r w:rsidR="00D17D6F">
        <w:rPr>
          <w:rFonts w:cstheme="minorHAnsi"/>
        </w:rPr>
        <w:t>s: A</w:t>
      </w:r>
      <w:r w:rsidRPr="00B878C8">
        <w:rPr>
          <w:rFonts w:cstheme="minorHAnsi"/>
        </w:rPr>
        <w:t xml:space="preserve"> pre-implementation assessment of knowledge, barriers and enablers for naloxone distribution through general practice. </w:t>
      </w:r>
      <w:r w:rsidRPr="00B878C8">
        <w:rPr>
          <w:rFonts w:cstheme="minorHAnsi"/>
          <w:i/>
          <w:iCs/>
        </w:rPr>
        <w:t>BMC family practice</w:t>
      </w:r>
      <w:r w:rsidRPr="00B878C8">
        <w:rPr>
          <w:rFonts w:cstheme="minorHAnsi"/>
        </w:rPr>
        <w:t>, </w:t>
      </w:r>
      <w:r w:rsidRPr="00B878C8">
        <w:rPr>
          <w:rFonts w:cstheme="minorHAnsi"/>
          <w:i/>
          <w:iCs/>
        </w:rPr>
        <w:t>15</w:t>
      </w:r>
      <w:r w:rsidR="00394723">
        <w:rPr>
          <w:rFonts w:cstheme="minorHAnsi"/>
          <w:i/>
          <w:iCs/>
        </w:rPr>
        <w:t xml:space="preserve"> </w:t>
      </w:r>
      <w:r w:rsidRPr="00B878C8">
        <w:rPr>
          <w:rFonts w:cstheme="minorHAnsi"/>
        </w:rPr>
        <w:t>(1), 12.</w:t>
      </w:r>
    </w:p>
    <w:p w14:paraId="7EAF7E6F" w14:textId="77777777" w:rsidR="00406C4B" w:rsidRPr="00D81EAF" w:rsidRDefault="00406C4B" w:rsidP="009E7A32">
      <w:pPr>
        <w:spacing w:line="360" w:lineRule="auto"/>
        <w:ind w:left="567" w:hanging="567"/>
        <w:rPr>
          <w:rFonts w:cstheme="minorHAnsi"/>
        </w:rPr>
      </w:pPr>
    </w:p>
    <w:p w14:paraId="2B67351E" w14:textId="06981E9B" w:rsidR="005F70EE" w:rsidRDefault="00A458CC" w:rsidP="00D31B49">
      <w:pPr>
        <w:spacing w:line="360" w:lineRule="auto"/>
        <w:ind w:left="567" w:hanging="567"/>
        <w:rPr>
          <w:rFonts w:cstheme="minorHAnsi"/>
        </w:rPr>
      </w:pPr>
      <w:r w:rsidRPr="00D81EAF">
        <w:rPr>
          <w:rFonts w:cstheme="minorHAnsi"/>
        </w:rPr>
        <w:t>McDonald, R., Campbell, N., &amp; Strang, J. (2017).</w:t>
      </w:r>
      <w:r w:rsidR="00394723">
        <w:rPr>
          <w:rFonts w:cstheme="minorHAnsi"/>
        </w:rPr>
        <w:t xml:space="preserve"> </w:t>
      </w:r>
      <w:r w:rsidRPr="00D81EAF">
        <w:rPr>
          <w:rFonts w:cstheme="minorHAnsi"/>
        </w:rPr>
        <w:t xml:space="preserve">Twenty years of take-home naloxone for the prevention of overdose deaths from heroin and other opioids—Conception and maturation. </w:t>
      </w:r>
      <w:r w:rsidRPr="00D81EAF">
        <w:rPr>
          <w:rFonts w:cstheme="minorHAnsi"/>
          <w:i/>
        </w:rPr>
        <w:t>Drug and Alcohol Dependence</w:t>
      </w:r>
      <w:r w:rsidRPr="00D81EAF">
        <w:rPr>
          <w:rFonts w:cstheme="minorHAnsi"/>
        </w:rPr>
        <w:t>, 178, 176–187.</w:t>
      </w:r>
    </w:p>
    <w:p w14:paraId="5CA67D02" w14:textId="764A3C0F" w:rsidR="00E759D9" w:rsidRDefault="00E759D9" w:rsidP="00A838C0">
      <w:pPr>
        <w:spacing w:line="360" w:lineRule="auto"/>
        <w:rPr>
          <w:rFonts w:cstheme="minorHAnsi"/>
        </w:rPr>
      </w:pPr>
    </w:p>
    <w:p w14:paraId="18EF11CC" w14:textId="14DAE58C" w:rsidR="00E759D9" w:rsidRPr="00D81EAF" w:rsidRDefault="00E759D9" w:rsidP="009E7A32">
      <w:pPr>
        <w:spacing w:line="360" w:lineRule="auto"/>
        <w:ind w:left="567" w:hanging="567"/>
        <w:rPr>
          <w:rFonts w:cstheme="minorHAnsi"/>
        </w:rPr>
      </w:pPr>
      <w:r w:rsidRPr="00E759D9">
        <w:rPr>
          <w:rFonts w:cstheme="minorHAnsi"/>
        </w:rPr>
        <w:t xml:space="preserve">Neale, J., Brown, C., Campbell, A. N. C., Jones, J. D., Metz, V. E., Strang, J., and Comer, S. D. (2019) ‘How competent are people who use opioids at responding to overdoses? Qualitative analyses of actions and decisions taken during overdose emergencies’, </w:t>
      </w:r>
      <w:r w:rsidRPr="00394723">
        <w:rPr>
          <w:rFonts w:cstheme="minorHAnsi"/>
          <w:i/>
        </w:rPr>
        <w:t>Addiction</w:t>
      </w:r>
      <w:r w:rsidR="00394723">
        <w:rPr>
          <w:rFonts w:cstheme="minorHAnsi"/>
        </w:rPr>
        <w:t>,</w:t>
      </w:r>
      <w:r w:rsidRPr="00E759D9">
        <w:rPr>
          <w:rFonts w:cstheme="minorHAnsi"/>
        </w:rPr>
        <w:t xml:space="preserve"> 114, 708-718.</w:t>
      </w:r>
    </w:p>
    <w:p w14:paraId="7B9354DF" w14:textId="6DFC70F0" w:rsidR="009D5F04" w:rsidRDefault="009D5F04" w:rsidP="00CD37AC">
      <w:pPr>
        <w:spacing w:line="360" w:lineRule="auto"/>
        <w:rPr>
          <w:rFonts w:cs="AdvP7B6C"/>
        </w:rPr>
      </w:pPr>
    </w:p>
    <w:p w14:paraId="40904EDC" w14:textId="621C34DF" w:rsidR="00406C4B" w:rsidRDefault="00406C4B" w:rsidP="009E7A32">
      <w:pPr>
        <w:spacing w:line="360" w:lineRule="auto"/>
        <w:ind w:left="567" w:hanging="567"/>
      </w:pPr>
      <w:r>
        <w:t xml:space="preserve">Newton, B., Southall, S., Raphael, J., Ashford, R. &amp; LeMarchand, K. (2013). A narrative review of impact of disbelief in chronic pain. </w:t>
      </w:r>
      <w:r>
        <w:rPr>
          <w:i/>
        </w:rPr>
        <w:t xml:space="preserve">Pain Management, </w:t>
      </w:r>
      <w:r>
        <w:t xml:space="preserve">14 (3), 161-171. </w:t>
      </w:r>
    </w:p>
    <w:p w14:paraId="6F2532AA" w14:textId="77777777" w:rsidR="00406C4B" w:rsidRPr="00AD586E" w:rsidRDefault="00406C4B" w:rsidP="009E7A32">
      <w:pPr>
        <w:spacing w:line="360" w:lineRule="auto"/>
        <w:ind w:left="567" w:hanging="567"/>
      </w:pPr>
    </w:p>
    <w:p w14:paraId="5FF59C4D" w14:textId="2EFFB989" w:rsidR="00A458CC" w:rsidRDefault="00A458CC" w:rsidP="005F70EE">
      <w:pPr>
        <w:spacing w:line="360" w:lineRule="auto"/>
        <w:ind w:left="567" w:hanging="567"/>
        <w:rPr>
          <w:rFonts w:cstheme="minorHAnsi"/>
        </w:rPr>
      </w:pPr>
      <w:r w:rsidRPr="009E7A32">
        <w:rPr>
          <w:rFonts w:cstheme="minorHAnsi"/>
        </w:rPr>
        <w:lastRenderedPageBreak/>
        <w:t>Nielsen</w:t>
      </w:r>
      <w:r w:rsidR="009E7A32">
        <w:rPr>
          <w:rFonts w:cstheme="minorHAnsi"/>
        </w:rPr>
        <w:t>, S., Peacock, A., Lintzeris, N., Bruno, R., Larance, B. &amp; Degenhardt, L. (</w:t>
      </w:r>
      <w:r w:rsidRPr="009E7A32">
        <w:rPr>
          <w:rFonts w:cstheme="minorHAnsi"/>
        </w:rPr>
        <w:t>2018</w:t>
      </w:r>
      <w:r w:rsidR="009E7A32">
        <w:rPr>
          <w:rFonts w:cstheme="minorHAnsi"/>
        </w:rPr>
        <w:t xml:space="preserve">). Knowledge of opioid overdose and attitudes to supply of take-home naloxone among people with chronic noncancer pain prescribed opioids. </w:t>
      </w:r>
      <w:r w:rsidR="009E7A32">
        <w:rPr>
          <w:rFonts w:cstheme="minorHAnsi"/>
          <w:i/>
        </w:rPr>
        <w:t xml:space="preserve">Pain Medicine, </w:t>
      </w:r>
      <w:r w:rsidR="009E7A32">
        <w:rPr>
          <w:rFonts w:cstheme="minorHAnsi"/>
        </w:rPr>
        <w:t>19</w:t>
      </w:r>
      <w:r w:rsidR="003B1AC1">
        <w:rPr>
          <w:rFonts w:cstheme="minorHAnsi"/>
        </w:rPr>
        <w:t xml:space="preserve"> </w:t>
      </w:r>
      <w:r w:rsidR="009E7A32">
        <w:rPr>
          <w:rFonts w:cstheme="minorHAnsi"/>
        </w:rPr>
        <w:t>(3), 533-540.</w:t>
      </w:r>
    </w:p>
    <w:p w14:paraId="4B2742C7" w14:textId="3C39A695" w:rsidR="00394723" w:rsidRDefault="00394723" w:rsidP="005F70EE">
      <w:pPr>
        <w:spacing w:line="360" w:lineRule="auto"/>
        <w:ind w:left="567" w:hanging="567"/>
        <w:rPr>
          <w:rFonts w:cstheme="minorHAnsi"/>
        </w:rPr>
      </w:pPr>
    </w:p>
    <w:p w14:paraId="41C452C4" w14:textId="26E7EB7C" w:rsidR="00E817DD" w:rsidRPr="005F70EE" w:rsidRDefault="00E817DD" w:rsidP="005F70EE">
      <w:pPr>
        <w:spacing w:line="360" w:lineRule="auto"/>
        <w:ind w:left="567" w:hanging="567"/>
        <w:rPr>
          <w:rFonts w:cstheme="minorHAnsi"/>
        </w:rPr>
      </w:pPr>
      <w:r w:rsidRPr="005F70EE">
        <w:rPr>
          <w:rFonts w:cstheme="minorHAnsi"/>
        </w:rPr>
        <w:t xml:space="preserve">Olsen, A., Lawton, B., Dwyer, R., Taing, M-W., Chun, K. et al. (2019). Why aren’t Australian pharmacists supplying naloxone? Findings from a qualitative study. </w:t>
      </w:r>
      <w:r w:rsidRPr="005F70EE">
        <w:rPr>
          <w:rFonts w:cstheme="minorHAnsi"/>
          <w:i/>
        </w:rPr>
        <w:t xml:space="preserve">International Journal of Drug Policy, </w:t>
      </w:r>
      <w:r w:rsidRPr="005F70EE">
        <w:rPr>
          <w:rFonts w:cstheme="minorHAnsi"/>
        </w:rPr>
        <w:t>69, 46-52</w:t>
      </w:r>
      <w:r w:rsidR="00394723">
        <w:rPr>
          <w:rFonts w:cstheme="minorHAnsi"/>
        </w:rPr>
        <w:t>.</w:t>
      </w:r>
    </w:p>
    <w:p w14:paraId="73E0ADAF" w14:textId="5F1D5E13" w:rsidR="00AF74F7" w:rsidRDefault="00AF74F7" w:rsidP="009E7A32">
      <w:pPr>
        <w:spacing w:line="360" w:lineRule="auto"/>
        <w:ind w:left="567" w:hanging="567"/>
        <w:rPr>
          <w:rFonts w:cstheme="minorHAnsi"/>
        </w:rPr>
      </w:pPr>
    </w:p>
    <w:p w14:paraId="44E49511" w14:textId="6B5E39D3" w:rsidR="005F70EE" w:rsidRDefault="00AF74F7" w:rsidP="005F70EE">
      <w:pPr>
        <w:spacing w:line="360" w:lineRule="auto"/>
        <w:ind w:left="567" w:hanging="567"/>
        <w:rPr>
          <w:rFonts w:cstheme="minorHAnsi"/>
        </w:rPr>
      </w:pPr>
      <w:r w:rsidRPr="00AF74F7">
        <w:rPr>
          <w:rFonts w:cstheme="minorHAnsi"/>
        </w:rPr>
        <w:t xml:space="preserve">Olsen, A., McDonald, D., Lenton, S., &amp; Dietze, P. (2015). </w:t>
      </w:r>
      <w:r w:rsidRPr="00A92BCD">
        <w:rPr>
          <w:rFonts w:cstheme="minorHAnsi"/>
          <w:i/>
        </w:rPr>
        <w:t>Evaluation of the 'Implementing Expanded Naloxone Availability in the ACT (I-ENAACT) Program' 2011-2014.</w:t>
      </w:r>
      <w:r w:rsidR="00394723">
        <w:rPr>
          <w:rFonts w:cstheme="minorHAnsi"/>
        </w:rPr>
        <w:t xml:space="preserve"> </w:t>
      </w:r>
      <w:r w:rsidR="00A92BCD">
        <w:rPr>
          <w:rFonts w:cstheme="minorHAnsi"/>
        </w:rPr>
        <w:t xml:space="preserve">Perth: National Drug Research Institute, Curtin University. </w:t>
      </w:r>
    </w:p>
    <w:p w14:paraId="314B4737" w14:textId="77777777" w:rsidR="00406C4B" w:rsidRPr="00D81EAF" w:rsidRDefault="00406C4B" w:rsidP="009E7A32">
      <w:pPr>
        <w:spacing w:line="360" w:lineRule="auto"/>
        <w:ind w:left="567" w:hanging="567"/>
        <w:rPr>
          <w:rFonts w:cstheme="minorHAnsi"/>
        </w:rPr>
      </w:pPr>
    </w:p>
    <w:p w14:paraId="26F6141A" w14:textId="1401BC1A" w:rsidR="00A458CC" w:rsidRPr="00D81EAF" w:rsidRDefault="00A458CC" w:rsidP="009E7A32">
      <w:pPr>
        <w:spacing w:line="360" w:lineRule="auto"/>
        <w:ind w:left="567" w:hanging="567"/>
        <w:rPr>
          <w:rFonts w:cs="AdvTT5843c571"/>
        </w:rPr>
      </w:pPr>
      <w:r w:rsidRPr="00D81EAF">
        <w:rPr>
          <w:rFonts w:cs="AdvTT5843c571"/>
        </w:rPr>
        <w:t>Paola, S. (</w:t>
      </w:r>
      <w:r w:rsidR="00EE5CD0" w:rsidRPr="00D81EAF">
        <w:rPr>
          <w:rFonts w:cs="AdvTT5843c571"/>
        </w:rPr>
        <w:t>201</w:t>
      </w:r>
      <w:r w:rsidR="00EE5CD0">
        <w:rPr>
          <w:rFonts w:cs="AdvTT5843c571"/>
        </w:rPr>
        <w:t>9</w:t>
      </w:r>
      <w:r w:rsidRPr="00D81EAF">
        <w:rPr>
          <w:rFonts w:cs="AdvTT5843c571"/>
        </w:rPr>
        <w:t xml:space="preserve">) </w:t>
      </w:r>
      <w:r w:rsidR="00EE5CD0">
        <w:rPr>
          <w:rFonts w:cs="AdvTT5843c571"/>
        </w:rPr>
        <w:t>Intranasal naloxone now available in Australia</w:t>
      </w:r>
      <w:r w:rsidRPr="00D81EAF">
        <w:rPr>
          <w:rFonts w:cs="AdvTT5843c571"/>
        </w:rPr>
        <w:t xml:space="preserve">. AJP.com.au, Available at </w:t>
      </w:r>
      <w:hyperlink r:id="rId10" w:history="1">
        <w:r w:rsidR="003B1AC1" w:rsidRPr="00BD1A14">
          <w:rPr>
            <w:rStyle w:val="Hyperlink"/>
            <w:rFonts w:cs="AdvTT5843c571"/>
          </w:rPr>
          <w:t>https://ajp.com.au/news/intranasal-naloxone-now-available-in-australia</w:t>
        </w:r>
      </w:hyperlink>
      <w:r w:rsidR="003B1AC1">
        <w:rPr>
          <w:rFonts w:cs="AdvTT5843c571"/>
        </w:rPr>
        <w:t xml:space="preserve"> </w:t>
      </w:r>
      <w:r w:rsidRPr="00D81EAF">
        <w:rPr>
          <w:rFonts w:cs="AdvTT5843c571"/>
        </w:rPr>
        <w:t xml:space="preserve">(Last accessed </w:t>
      </w:r>
      <w:r w:rsidR="003B1AC1">
        <w:rPr>
          <w:rFonts w:cs="AdvTT5843c571"/>
        </w:rPr>
        <w:t>19</w:t>
      </w:r>
      <w:r w:rsidR="00EE5CD0">
        <w:rPr>
          <w:rFonts w:cs="AdvTT5843c571"/>
        </w:rPr>
        <w:t xml:space="preserve"> </w:t>
      </w:r>
      <w:r w:rsidR="003B1AC1">
        <w:rPr>
          <w:rFonts w:cs="AdvTT5843c571"/>
        </w:rPr>
        <w:t>December</w:t>
      </w:r>
      <w:r w:rsidR="00EE5CD0">
        <w:rPr>
          <w:rFonts w:cs="AdvTT5843c571"/>
        </w:rPr>
        <w:t xml:space="preserve"> 2019</w:t>
      </w:r>
      <w:r w:rsidRPr="00D81EAF">
        <w:rPr>
          <w:rFonts w:cs="AdvTT5843c571"/>
        </w:rPr>
        <w:t>).</w:t>
      </w:r>
    </w:p>
    <w:p w14:paraId="496DDE6B" w14:textId="77777777" w:rsidR="00A458CC" w:rsidRPr="00D81EAF" w:rsidRDefault="00A458CC" w:rsidP="009E7A32">
      <w:pPr>
        <w:spacing w:line="360" w:lineRule="auto"/>
        <w:ind w:left="567" w:hanging="567"/>
        <w:rPr>
          <w:rFonts w:cs="AdvTT5843c571"/>
        </w:rPr>
      </w:pPr>
    </w:p>
    <w:p w14:paraId="23779A17" w14:textId="07824FBD" w:rsidR="00DB1496" w:rsidRDefault="00B878C8" w:rsidP="005F70EE">
      <w:pPr>
        <w:spacing w:line="360" w:lineRule="auto"/>
        <w:ind w:left="567" w:hanging="567"/>
        <w:rPr>
          <w:rFonts w:cstheme="minorHAnsi"/>
        </w:rPr>
      </w:pPr>
      <w:r w:rsidRPr="00B878C8">
        <w:rPr>
          <w:rFonts w:cstheme="minorHAnsi"/>
        </w:rPr>
        <w:t>Paquette, C. E., Syvertsen, J. L., &amp; Pollini, R. A. (2018). Stigma at every turn: Health services experiences among people who inject drugs. </w:t>
      </w:r>
      <w:r w:rsidRPr="00B878C8">
        <w:rPr>
          <w:rFonts w:cstheme="minorHAnsi"/>
          <w:i/>
          <w:iCs/>
        </w:rPr>
        <w:t>International Journal of Drug Policy</w:t>
      </w:r>
      <w:r w:rsidRPr="00B878C8">
        <w:rPr>
          <w:rFonts w:cstheme="minorHAnsi"/>
        </w:rPr>
        <w:t>, </w:t>
      </w:r>
      <w:r w:rsidRPr="00B878C8">
        <w:rPr>
          <w:rFonts w:cstheme="minorHAnsi"/>
          <w:i/>
          <w:iCs/>
        </w:rPr>
        <w:t>57</w:t>
      </w:r>
      <w:r w:rsidRPr="00B878C8">
        <w:rPr>
          <w:rFonts w:cstheme="minorHAnsi"/>
        </w:rPr>
        <w:t>, 104-110.</w:t>
      </w:r>
    </w:p>
    <w:p w14:paraId="66691B44" w14:textId="6947ECB9" w:rsidR="00DB1496" w:rsidRDefault="00DB1496" w:rsidP="009E7A32">
      <w:pPr>
        <w:spacing w:line="360" w:lineRule="auto"/>
        <w:ind w:left="567" w:hanging="567"/>
        <w:rPr>
          <w:rFonts w:cstheme="minorHAnsi"/>
        </w:rPr>
      </w:pPr>
    </w:p>
    <w:p w14:paraId="485585F9" w14:textId="660FCEED" w:rsidR="00B878C8" w:rsidRPr="00D81EAF" w:rsidRDefault="00DB1496" w:rsidP="005F70EE">
      <w:pPr>
        <w:spacing w:line="360" w:lineRule="auto"/>
        <w:ind w:left="567" w:hanging="567"/>
        <w:rPr>
          <w:rFonts w:cstheme="minorHAnsi"/>
        </w:rPr>
      </w:pPr>
      <w:r w:rsidRPr="00DB1496">
        <w:rPr>
          <w:rFonts w:cstheme="minorHAnsi"/>
        </w:rPr>
        <w:t xml:space="preserve">Pienaar, K. (2016). </w:t>
      </w:r>
      <w:r w:rsidRPr="003B1AC1">
        <w:rPr>
          <w:rFonts w:cstheme="minorHAnsi"/>
          <w:i/>
        </w:rPr>
        <w:t>Politics in the Making of HIV/AIDS in South Africa</w:t>
      </w:r>
      <w:r w:rsidRPr="00DB1496">
        <w:rPr>
          <w:rFonts w:cstheme="minorHAnsi"/>
        </w:rPr>
        <w:t xml:space="preserve">. </w:t>
      </w:r>
      <w:r>
        <w:rPr>
          <w:rFonts w:cstheme="minorHAnsi"/>
        </w:rPr>
        <w:t xml:space="preserve">London: </w:t>
      </w:r>
      <w:r w:rsidRPr="00DB1496">
        <w:rPr>
          <w:rFonts w:cstheme="minorHAnsi"/>
        </w:rPr>
        <w:t>Palgrave Macmillan.</w:t>
      </w:r>
    </w:p>
    <w:p w14:paraId="0EAB9F8E" w14:textId="77777777" w:rsidR="00B878C8" w:rsidRPr="00D81EAF" w:rsidRDefault="00B878C8" w:rsidP="009E7A32">
      <w:pPr>
        <w:spacing w:line="360" w:lineRule="auto"/>
        <w:ind w:left="567" w:hanging="567"/>
        <w:rPr>
          <w:rFonts w:cstheme="minorHAnsi"/>
        </w:rPr>
      </w:pPr>
    </w:p>
    <w:p w14:paraId="7EF972BF" w14:textId="77777777" w:rsidR="00A458CC" w:rsidRPr="00D81EAF" w:rsidRDefault="00A458CC" w:rsidP="009E7A32">
      <w:pPr>
        <w:spacing w:line="360" w:lineRule="auto"/>
        <w:ind w:left="567" w:hanging="567"/>
        <w:rPr>
          <w:rFonts w:cstheme="minorHAnsi"/>
        </w:rPr>
      </w:pPr>
      <w:r w:rsidRPr="00D81EAF">
        <w:rPr>
          <w:rFonts w:cstheme="minorHAnsi"/>
        </w:rPr>
        <w:t xml:space="preserve">Pricolo, A., &amp; Neilsen, S. (2018). Naloxone rescheduling in Australia: Processes, implementation and challenges with supply of naloxone as a ‘pharmacist only’ over-the-counter medicine. </w:t>
      </w:r>
      <w:r w:rsidRPr="00D81EAF">
        <w:rPr>
          <w:rFonts w:cstheme="minorHAnsi"/>
          <w:i/>
        </w:rPr>
        <w:t>Drug and Alcohol Review</w:t>
      </w:r>
      <w:r w:rsidRPr="00D81EAF">
        <w:rPr>
          <w:rFonts w:cstheme="minorHAnsi"/>
        </w:rPr>
        <w:t>, 37 (4), 450-453.</w:t>
      </w:r>
    </w:p>
    <w:p w14:paraId="42B4059F" w14:textId="77777777" w:rsidR="00A458CC" w:rsidRPr="00D81EAF" w:rsidRDefault="00A458CC" w:rsidP="009E7A32">
      <w:pPr>
        <w:spacing w:line="360" w:lineRule="auto"/>
        <w:ind w:left="567" w:hanging="567"/>
        <w:rPr>
          <w:rFonts w:cstheme="minorHAnsi"/>
        </w:rPr>
      </w:pPr>
    </w:p>
    <w:p w14:paraId="49D953E0" w14:textId="3E5D42B5" w:rsidR="00406C4B" w:rsidRDefault="00A458CC" w:rsidP="005F70EE">
      <w:pPr>
        <w:spacing w:line="360" w:lineRule="auto"/>
        <w:ind w:left="567" w:hanging="567"/>
        <w:rPr>
          <w:rFonts w:cstheme="minorHAnsi"/>
        </w:rPr>
      </w:pPr>
      <w:r w:rsidRPr="00D81EAF">
        <w:rPr>
          <w:rFonts w:cstheme="minorHAnsi"/>
        </w:rPr>
        <w:t xml:space="preserve">Radcliffe, P., &amp; Stevens, A. (2008). Are drug treatment services only for ‘thieving junkie scumbags’? Drug users and the management of stigmatised identities. </w:t>
      </w:r>
      <w:r w:rsidRPr="00D81EAF">
        <w:rPr>
          <w:rFonts w:cstheme="minorHAnsi"/>
          <w:i/>
        </w:rPr>
        <w:t>Social Science &amp; Medicine</w:t>
      </w:r>
      <w:r w:rsidRPr="00D81EAF">
        <w:rPr>
          <w:rFonts w:cstheme="minorHAnsi"/>
        </w:rPr>
        <w:t xml:space="preserve">, </w:t>
      </w:r>
      <w:r w:rsidRPr="003B1AC1">
        <w:rPr>
          <w:rFonts w:cstheme="minorHAnsi"/>
        </w:rPr>
        <w:t>67</w:t>
      </w:r>
      <w:r w:rsidRPr="00D81EAF">
        <w:rPr>
          <w:rFonts w:cstheme="minorHAnsi"/>
        </w:rPr>
        <w:t xml:space="preserve">, 1065–1073. </w:t>
      </w:r>
    </w:p>
    <w:p w14:paraId="1AD4F46B" w14:textId="76B17E77" w:rsidR="00F42C01" w:rsidRDefault="00F42C01" w:rsidP="005F70EE">
      <w:pPr>
        <w:spacing w:line="360" w:lineRule="auto"/>
        <w:ind w:left="567" w:hanging="567"/>
        <w:rPr>
          <w:rFonts w:cstheme="minorHAnsi"/>
        </w:rPr>
      </w:pPr>
    </w:p>
    <w:p w14:paraId="7E1A96D9" w14:textId="54CBC9E1" w:rsidR="00F42C01" w:rsidRDefault="00F42C01" w:rsidP="00F42C01">
      <w:pPr>
        <w:spacing w:line="360" w:lineRule="auto"/>
        <w:ind w:left="567" w:hanging="567"/>
      </w:pPr>
      <w:r w:rsidRPr="00DB1496">
        <w:t>Rosengarten, M. (20</w:t>
      </w:r>
      <w:r>
        <w:t>09</w:t>
      </w:r>
      <w:r w:rsidRPr="00DB1496">
        <w:t xml:space="preserve">). </w:t>
      </w:r>
      <w:r w:rsidRPr="0024484B">
        <w:rPr>
          <w:i/>
        </w:rPr>
        <w:t>HIV interventions: Biomedicine and the traffic between information and flesh</w:t>
      </w:r>
      <w:r w:rsidRPr="00DB1496">
        <w:t>.</w:t>
      </w:r>
      <w:r>
        <w:t xml:space="preserve"> Seattle, WA:</w:t>
      </w:r>
      <w:r w:rsidRPr="00DB1496">
        <w:t xml:space="preserve"> University of Washington Press.</w:t>
      </w:r>
    </w:p>
    <w:p w14:paraId="124D9405" w14:textId="77777777" w:rsidR="00F42C01" w:rsidRDefault="00F42C01" w:rsidP="00F42C01">
      <w:pPr>
        <w:spacing w:line="360" w:lineRule="auto"/>
        <w:rPr>
          <w:rFonts w:cstheme="minorHAnsi"/>
        </w:rPr>
      </w:pPr>
    </w:p>
    <w:p w14:paraId="0A12CA76" w14:textId="0151D0AE" w:rsidR="008F1652" w:rsidRDefault="008F1652" w:rsidP="005F70EE">
      <w:pPr>
        <w:spacing w:line="360" w:lineRule="auto"/>
        <w:ind w:left="567" w:hanging="567"/>
      </w:pPr>
    </w:p>
    <w:p w14:paraId="2099C288" w14:textId="72035BE5" w:rsidR="00EB46E1" w:rsidRDefault="008F1652" w:rsidP="005F70EE">
      <w:pPr>
        <w:spacing w:line="360" w:lineRule="auto"/>
        <w:ind w:left="567" w:hanging="567"/>
      </w:pPr>
      <w:r w:rsidRPr="008F1652">
        <w:lastRenderedPageBreak/>
        <w:t>Roxburgh, A., Dobbins, T., Degenhardt, L.</w:t>
      </w:r>
      <w:r>
        <w:t xml:space="preserve"> and Peacock, A. (2018). </w:t>
      </w:r>
      <w:r w:rsidRPr="003B1AC1">
        <w:rPr>
          <w:i/>
        </w:rPr>
        <w:t>Opioid, amphetamine, and cocaine-induced deaths in Australia: August 2018</w:t>
      </w:r>
      <w:r w:rsidRPr="008F1652">
        <w:t xml:space="preserve">. Sydney: </w:t>
      </w:r>
      <w:r w:rsidR="008A1F7D">
        <w:t>NDARC</w:t>
      </w:r>
      <w:r w:rsidR="00EB46E1">
        <w:t>.</w:t>
      </w:r>
    </w:p>
    <w:p w14:paraId="64661CF9" w14:textId="77777777" w:rsidR="005F70EE" w:rsidRDefault="005F70EE" w:rsidP="005F70EE">
      <w:pPr>
        <w:spacing w:line="360" w:lineRule="auto"/>
      </w:pPr>
    </w:p>
    <w:p w14:paraId="66625EFD" w14:textId="622056F8" w:rsidR="00A458CC" w:rsidRDefault="00B878C8" w:rsidP="009E7A32">
      <w:pPr>
        <w:spacing w:line="360" w:lineRule="auto"/>
        <w:ind w:left="567" w:hanging="567"/>
        <w:rPr>
          <w:rFonts w:cstheme="minorHAnsi"/>
        </w:rPr>
      </w:pPr>
      <w:r w:rsidRPr="00B878C8">
        <w:rPr>
          <w:rFonts w:cstheme="minorHAnsi"/>
        </w:rPr>
        <w:t>Seear, K., Lancaster, K., &amp; Ritter, A. (2017). A new framework for evaluating the potential f</w:t>
      </w:r>
      <w:r w:rsidR="00D17D6F">
        <w:rPr>
          <w:rFonts w:cstheme="minorHAnsi"/>
        </w:rPr>
        <w:t>or drug law to produce stigma: I</w:t>
      </w:r>
      <w:r w:rsidRPr="00B878C8">
        <w:rPr>
          <w:rFonts w:cstheme="minorHAnsi"/>
        </w:rPr>
        <w:t>nsights from an Australian study.</w:t>
      </w:r>
      <w:r w:rsidRPr="00B878C8">
        <w:rPr>
          <w:rFonts w:cstheme="minorHAnsi"/>
          <w:i/>
          <w:iCs/>
        </w:rPr>
        <w:t xml:space="preserve"> Journal of Law, Medicine &amp; Ethics</w:t>
      </w:r>
      <w:r w:rsidRPr="00B878C8">
        <w:rPr>
          <w:rFonts w:cstheme="minorHAnsi"/>
        </w:rPr>
        <w:t>, </w:t>
      </w:r>
      <w:r w:rsidRPr="00B878C8">
        <w:rPr>
          <w:rFonts w:cstheme="minorHAnsi"/>
          <w:i/>
          <w:iCs/>
        </w:rPr>
        <w:t>45</w:t>
      </w:r>
      <w:r w:rsidRPr="00B878C8">
        <w:rPr>
          <w:rFonts w:cstheme="minorHAnsi"/>
        </w:rPr>
        <w:t>(4), 596-606.</w:t>
      </w:r>
    </w:p>
    <w:p w14:paraId="5175F639" w14:textId="77777777" w:rsidR="00406C4B" w:rsidRPr="00D81EAF" w:rsidRDefault="00406C4B" w:rsidP="009E7A32">
      <w:pPr>
        <w:spacing w:line="360" w:lineRule="auto"/>
        <w:ind w:left="567" w:hanging="567"/>
        <w:rPr>
          <w:rFonts w:cstheme="minorHAnsi"/>
        </w:rPr>
      </w:pPr>
    </w:p>
    <w:p w14:paraId="6AB6AC30" w14:textId="237D9603" w:rsidR="00406C4B" w:rsidRDefault="00B878C8" w:rsidP="009E7A32">
      <w:pPr>
        <w:spacing w:line="360" w:lineRule="auto"/>
        <w:ind w:left="567" w:hanging="567"/>
        <w:rPr>
          <w:rFonts w:cstheme="minorHAnsi"/>
        </w:rPr>
      </w:pPr>
      <w:r w:rsidRPr="00B878C8">
        <w:rPr>
          <w:rFonts w:cstheme="minorHAnsi"/>
        </w:rPr>
        <w:t xml:space="preserve">Shah, S., </w:t>
      </w:r>
      <w:r w:rsidR="00D17D6F">
        <w:rPr>
          <w:rFonts w:cstheme="minorHAnsi"/>
        </w:rPr>
        <w:t>&amp; Diwan, S. (2010). Methadone: D</w:t>
      </w:r>
      <w:r w:rsidRPr="00B878C8">
        <w:rPr>
          <w:rFonts w:cstheme="minorHAnsi"/>
        </w:rPr>
        <w:t>oes stigma play a role as a barrier to treatment of chronic pain. </w:t>
      </w:r>
      <w:r w:rsidRPr="00B878C8">
        <w:rPr>
          <w:rFonts w:cstheme="minorHAnsi"/>
          <w:i/>
          <w:iCs/>
        </w:rPr>
        <w:t>Pain Physician</w:t>
      </w:r>
      <w:r w:rsidRPr="00B878C8">
        <w:rPr>
          <w:rFonts w:cstheme="minorHAnsi"/>
        </w:rPr>
        <w:t>, </w:t>
      </w:r>
      <w:r w:rsidRPr="009E7A32">
        <w:rPr>
          <w:rFonts w:cstheme="minorHAnsi"/>
          <w:iCs/>
        </w:rPr>
        <w:t>13</w:t>
      </w:r>
      <w:r w:rsidR="003B1AC1">
        <w:rPr>
          <w:rFonts w:cstheme="minorHAnsi"/>
          <w:iCs/>
        </w:rPr>
        <w:t xml:space="preserve"> </w:t>
      </w:r>
      <w:r w:rsidRPr="009E7A32">
        <w:rPr>
          <w:rFonts w:cstheme="minorHAnsi"/>
        </w:rPr>
        <w:t>(</w:t>
      </w:r>
      <w:r w:rsidRPr="00B878C8">
        <w:rPr>
          <w:rFonts w:cstheme="minorHAnsi"/>
        </w:rPr>
        <w:t>3), 289-293.</w:t>
      </w:r>
    </w:p>
    <w:p w14:paraId="033DAAF8" w14:textId="77777777" w:rsidR="00B878C8" w:rsidRPr="00D81EAF" w:rsidRDefault="00B878C8" w:rsidP="009E7A32">
      <w:pPr>
        <w:spacing w:line="360" w:lineRule="auto"/>
        <w:ind w:left="567" w:hanging="567"/>
        <w:rPr>
          <w:rFonts w:cstheme="minorHAnsi"/>
        </w:rPr>
      </w:pPr>
    </w:p>
    <w:p w14:paraId="2B7BAD6C" w14:textId="77777777" w:rsidR="00A458CC" w:rsidRPr="00D81EAF" w:rsidRDefault="00A458CC" w:rsidP="009E7A32">
      <w:pPr>
        <w:spacing w:line="360" w:lineRule="auto"/>
        <w:ind w:left="567" w:hanging="567"/>
        <w:rPr>
          <w:rFonts w:cstheme="minorHAnsi"/>
        </w:rPr>
      </w:pPr>
      <w:r w:rsidRPr="00D81EAF">
        <w:rPr>
          <w:rFonts w:cstheme="minorHAnsi"/>
        </w:rPr>
        <w:t xml:space="preserve">Simmonds, L., &amp; Coomber, R. (2009). Injecting drug users: A stigmatised and stigmatising population. </w:t>
      </w:r>
      <w:r w:rsidRPr="00D81EAF">
        <w:rPr>
          <w:rFonts w:cstheme="minorHAnsi"/>
          <w:i/>
        </w:rPr>
        <w:t>International Journal of Drug Policy</w:t>
      </w:r>
      <w:r w:rsidRPr="00D81EAF">
        <w:rPr>
          <w:rFonts w:cstheme="minorHAnsi"/>
        </w:rPr>
        <w:t xml:space="preserve">, 20, 121–130. </w:t>
      </w:r>
    </w:p>
    <w:p w14:paraId="42B8CFF1" w14:textId="3AE02F3D" w:rsidR="00A458CC" w:rsidRDefault="00A458CC" w:rsidP="009E7A32">
      <w:pPr>
        <w:spacing w:line="360" w:lineRule="auto"/>
        <w:ind w:left="567" w:hanging="567"/>
        <w:rPr>
          <w:rFonts w:cstheme="minorHAnsi"/>
        </w:rPr>
      </w:pPr>
    </w:p>
    <w:p w14:paraId="45810F93" w14:textId="54415D43" w:rsidR="007B490B" w:rsidRDefault="007B490B" w:rsidP="009E7A32">
      <w:pPr>
        <w:spacing w:line="360" w:lineRule="auto"/>
        <w:ind w:left="567" w:hanging="567"/>
        <w:rPr>
          <w:rFonts w:cstheme="minorHAnsi"/>
        </w:rPr>
      </w:pPr>
      <w:r w:rsidRPr="007B490B">
        <w:rPr>
          <w:rFonts w:cstheme="minorHAnsi"/>
        </w:rPr>
        <w:t>Stam, N. C., Gerostamoulos, D., Pilgrim, J. L., Smith, K., Moran, L., Parsons, S., &amp; Drummer, O. H. (2018). An analysis of issues in the classification and reporting of heroin</w:t>
      </w:r>
      <w:r w:rsidRPr="007B490B">
        <w:rPr>
          <w:rFonts w:ascii="Times New Roman" w:hAnsi="Times New Roman" w:cs="Times New Roman"/>
        </w:rPr>
        <w:t>‐</w:t>
      </w:r>
      <w:r w:rsidRPr="007B490B">
        <w:rPr>
          <w:rFonts w:cstheme="minorHAnsi"/>
        </w:rPr>
        <w:t>related deaths.</w:t>
      </w:r>
      <w:r w:rsidRPr="007B490B">
        <w:rPr>
          <w:rFonts w:cs="Garamond"/>
        </w:rPr>
        <w:t> </w:t>
      </w:r>
      <w:r w:rsidRPr="007B490B">
        <w:rPr>
          <w:rFonts w:cstheme="minorHAnsi"/>
          <w:i/>
          <w:iCs/>
        </w:rPr>
        <w:t>Addiction</w:t>
      </w:r>
      <w:r w:rsidRPr="007B490B">
        <w:rPr>
          <w:rFonts w:cstheme="minorHAnsi"/>
        </w:rPr>
        <w:t>.</w:t>
      </w:r>
    </w:p>
    <w:p w14:paraId="6AA3A8FB" w14:textId="77777777" w:rsidR="007B490B" w:rsidRPr="00D81EAF" w:rsidRDefault="007B490B" w:rsidP="009E7A32">
      <w:pPr>
        <w:spacing w:line="360" w:lineRule="auto"/>
        <w:ind w:left="567" w:hanging="567"/>
        <w:rPr>
          <w:rFonts w:cstheme="minorHAnsi"/>
        </w:rPr>
      </w:pPr>
    </w:p>
    <w:p w14:paraId="470E23DF" w14:textId="1608572F" w:rsidR="00A458CC" w:rsidRDefault="00A458CC" w:rsidP="009E7A32">
      <w:pPr>
        <w:spacing w:line="360" w:lineRule="auto"/>
        <w:ind w:left="567" w:hanging="567"/>
        <w:rPr>
          <w:rFonts w:cstheme="minorHAnsi"/>
        </w:rPr>
      </w:pPr>
      <w:r w:rsidRPr="009E7A32">
        <w:rPr>
          <w:rFonts w:cstheme="minorHAnsi"/>
        </w:rPr>
        <w:t xml:space="preserve">Stevens, A. </w:t>
      </w:r>
      <w:r w:rsidR="009E7A32">
        <w:rPr>
          <w:rFonts w:cstheme="minorHAnsi"/>
        </w:rPr>
        <w:t>(</w:t>
      </w:r>
      <w:r w:rsidRPr="009E7A32">
        <w:rPr>
          <w:rFonts w:cstheme="minorHAnsi"/>
        </w:rPr>
        <w:t>2018</w:t>
      </w:r>
      <w:r w:rsidR="009E7A32">
        <w:rPr>
          <w:rFonts w:cstheme="minorHAnsi"/>
        </w:rPr>
        <w:t xml:space="preserve">). ‘Being human’ and the ‘moral sidestep’ in drug policy: Explaining government inaction on opioid-related deaths in the UK. </w:t>
      </w:r>
      <w:r w:rsidR="009E7A32">
        <w:rPr>
          <w:rFonts w:cstheme="minorHAnsi"/>
          <w:i/>
        </w:rPr>
        <w:t xml:space="preserve">Addictive Behaviors, </w:t>
      </w:r>
      <w:r w:rsidR="009E7A32">
        <w:rPr>
          <w:rFonts w:cstheme="minorHAnsi"/>
        </w:rPr>
        <w:t>90, 444-450.</w:t>
      </w:r>
    </w:p>
    <w:p w14:paraId="59056191" w14:textId="23CD8155" w:rsidR="00564CA5" w:rsidRDefault="00564CA5" w:rsidP="009E7A32">
      <w:pPr>
        <w:spacing w:line="360" w:lineRule="auto"/>
        <w:ind w:left="567" w:hanging="567"/>
        <w:rPr>
          <w:rFonts w:cstheme="minorHAnsi"/>
        </w:rPr>
      </w:pPr>
    </w:p>
    <w:p w14:paraId="1DE74F15" w14:textId="23F0B161" w:rsidR="00564CA5" w:rsidRDefault="00564CA5" w:rsidP="009E7A32">
      <w:pPr>
        <w:spacing w:line="360" w:lineRule="auto"/>
        <w:ind w:left="567" w:hanging="567"/>
        <w:rPr>
          <w:rFonts w:cstheme="minorHAnsi"/>
        </w:rPr>
      </w:pPr>
      <w:r w:rsidRPr="00564CA5">
        <w:rPr>
          <w:rFonts w:cstheme="minorHAnsi"/>
        </w:rPr>
        <w:t>Strang, J., Bird, S. M., &amp; Parmar, M. K. (2013). Take-home emergency naloxone to prevent heroin overdos</w:t>
      </w:r>
      <w:r w:rsidR="00D17D6F">
        <w:rPr>
          <w:rFonts w:cstheme="minorHAnsi"/>
        </w:rPr>
        <w:t>e deaths after prison release: R</w:t>
      </w:r>
      <w:r w:rsidRPr="00564CA5">
        <w:rPr>
          <w:rFonts w:cstheme="minorHAnsi"/>
        </w:rPr>
        <w:t>ationale and practicalities for the N-ALIVE randomized trial. </w:t>
      </w:r>
      <w:r w:rsidRPr="00564CA5">
        <w:rPr>
          <w:rFonts w:cstheme="minorHAnsi"/>
          <w:i/>
          <w:iCs/>
        </w:rPr>
        <w:t>Journal of Urban Health</w:t>
      </w:r>
      <w:r w:rsidRPr="00564CA5">
        <w:rPr>
          <w:rFonts w:cstheme="minorHAnsi"/>
        </w:rPr>
        <w:t>, </w:t>
      </w:r>
      <w:r w:rsidRPr="00564CA5">
        <w:rPr>
          <w:rFonts w:cstheme="minorHAnsi"/>
          <w:i/>
          <w:iCs/>
        </w:rPr>
        <w:t>90</w:t>
      </w:r>
      <w:r w:rsidR="003B1AC1">
        <w:rPr>
          <w:rFonts w:cstheme="minorHAnsi"/>
          <w:i/>
          <w:iCs/>
        </w:rPr>
        <w:t xml:space="preserve"> </w:t>
      </w:r>
      <w:r w:rsidRPr="00564CA5">
        <w:rPr>
          <w:rFonts w:cstheme="minorHAnsi"/>
        </w:rPr>
        <w:t>(5), 983-996.</w:t>
      </w:r>
    </w:p>
    <w:p w14:paraId="12613D81" w14:textId="77777777" w:rsidR="005F70EE" w:rsidRDefault="005F70EE" w:rsidP="005F70EE">
      <w:pPr>
        <w:spacing w:line="360" w:lineRule="auto"/>
        <w:rPr>
          <w:rFonts w:cstheme="minorHAnsi"/>
        </w:rPr>
      </w:pPr>
    </w:p>
    <w:p w14:paraId="5EFCFE0F" w14:textId="52C651C6" w:rsidR="00E817DD" w:rsidRDefault="003B1AC1" w:rsidP="003B1AC1">
      <w:pPr>
        <w:spacing w:line="360" w:lineRule="auto"/>
        <w:ind w:left="567" w:hanging="567"/>
        <w:rPr>
          <w:rFonts w:cstheme="minorHAnsi"/>
        </w:rPr>
      </w:pPr>
      <w:r w:rsidRPr="003B1AC1">
        <w:rPr>
          <w:rFonts w:cstheme="minorHAnsi"/>
        </w:rPr>
        <w:t xml:space="preserve">Strang, J., McDonald, R., Campbell, G., Degenhardt, L., Nielsen, S., Ritter, A., &amp; Dale, O. (2019). Take-home naloxone for the emergency interim management of opioid overdose: the public health application of an emergency medicine. </w:t>
      </w:r>
      <w:r w:rsidRPr="003B1AC1">
        <w:rPr>
          <w:rFonts w:cstheme="minorHAnsi"/>
          <w:i/>
        </w:rPr>
        <w:t>Drugs</w:t>
      </w:r>
      <w:r w:rsidRPr="003B1AC1">
        <w:rPr>
          <w:rFonts w:cstheme="minorHAnsi"/>
        </w:rPr>
        <w:t>, 1-24.</w:t>
      </w:r>
    </w:p>
    <w:p w14:paraId="274D8C96" w14:textId="65171069" w:rsidR="003B1AC1" w:rsidRDefault="003B1AC1" w:rsidP="003B1AC1">
      <w:pPr>
        <w:spacing w:line="360" w:lineRule="auto"/>
        <w:ind w:left="567" w:hanging="567"/>
        <w:rPr>
          <w:rFonts w:cstheme="minorHAnsi"/>
        </w:rPr>
      </w:pPr>
    </w:p>
    <w:p w14:paraId="2D5963C0" w14:textId="7ECB5DBB" w:rsidR="00406C4B" w:rsidRDefault="00E817DD" w:rsidP="003B1AC1">
      <w:pPr>
        <w:spacing w:line="360" w:lineRule="auto"/>
        <w:ind w:left="567" w:hanging="567"/>
        <w:rPr>
          <w:rFonts w:cstheme="minorHAnsi"/>
        </w:rPr>
      </w:pPr>
      <w:r w:rsidRPr="005F70EE">
        <w:rPr>
          <w:rFonts w:cstheme="minorHAnsi"/>
        </w:rPr>
        <w:t xml:space="preserve">Straus, M., Ghitza, U. &amp; Tai, B. (2013). Preventing death from rising opioid overdose in the US – the promise of naloxone antidote in community-based naloxone take-home programs. </w:t>
      </w:r>
      <w:r w:rsidRPr="005F70EE">
        <w:rPr>
          <w:rFonts w:cstheme="minorHAnsi"/>
          <w:i/>
        </w:rPr>
        <w:t xml:space="preserve">Substance Abuse and Rehabilitation, </w:t>
      </w:r>
      <w:r w:rsidRPr="005F70EE">
        <w:rPr>
          <w:rFonts w:cstheme="minorHAnsi"/>
        </w:rPr>
        <w:t>4, 65-72.</w:t>
      </w:r>
    </w:p>
    <w:p w14:paraId="5EBBBBBA" w14:textId="77777777" w:rsidR="009E7A32" w:rsidRDefault="009E7A32" w:rsidP="005F70EE">
      <w:pPr>
        <w:spacing w:line="360" w:lineRule="auto"/>
      </w:pPr>
    </w:p>
    <w:p w14:paraId="0482FB41" w14:textId="092F4D66" w:rsidR="00A458CC" w:rsidRDefault="0071348E" w:rsidP="009E7A32">
      <w:pPr>
        <w:spacing w:line="360" w:lineRule="auto"/>
        <w:ind w:left="567" w:hanging="567"/>
        <w:rPr>
          <w:rFonts w:cstheme="minorHAnsi"/>
        </w:rPr>
      </w:pPr>
      <w:r w:rsidRPr="0071348E">
        <w:rPr>
          <w:rFonts w:cstheme="minorHAnsi"/>
        </w:rPr>
        <w:lastRenderedPageBreak/>
        <w:t>Treloar, C., &amp; Holt, M. (2006). Deficit models and divergent philosophies: Service providers’ perspectives on barriers and incentives to drug treatment. </w:t>
      </w:r>
      <w:r w:rsidRPr="0071348E">
        <w:rPr>
          <w:rFonts w:cstheme="minorHAnsi"/>
          <w:i/>
          <w:iCs/>
        </w:rPr>
        <w:t>Drugs: Education, prevention and policy</w:t>
      </w:r>
      <w:r w:rsidRPr="0071348E">
        <w:rPr>
          <w:rFonts w:cstheme="minorHAnsi"/>
        </w:rPr>
        <w:t>, </w:t>
      </w:r>
      <w:r w:rsidRPr="0071348E">
        <w:rPr>
          <w:rFonts w:cstheme="minorHAnsi"/>
          <w:i/>
          <w:iCs/>
        </w:rPr>
        <w:t>13</w:t>
      </w:r>
      <w:r w:rsidR="003B1AC1">
        <w:rPr>
          <w:rFonts w:cstheme="minorHAnsi"/>
          <w:i/>
          <w:iCs/>
        </w:rPr>
        <w:t xml:space="preserve"> </w:t>
      </w:r>
      <w:r w:rsidRPr="0071348E">
        <w:rPr>
          <w:rFonts w:cstheme="minorHAnsi"/>
        </w:rPr>
        <w:t>(4), 367-382.</w:t>
      </w:r>
    </w:p>
    <w:p w14:paraId="7AEA942F" w14:textId="06274044" w:rsidR="00406C4B" w:rsidRDefault="00406C4B" w:rsidP="009E7A32">
      <w:pPr>
        <w:spacing w:line="360" w:lineRule="auto"/>
        <w:ind w:left="567" w:hanging="567"/>
        <w:rPr>
          <w:rFonts w:cstheme="minorHAnsi"/>
        </w:rPr>
      </w:pPr>
    </w:p>
    <w:p w14:paraId="2FEDACE7" w14:textId="7F4B017C" w:rsidR="00A458CC" w:rsidRDefault="00A458CC" w:rsidP="00F42C01">
      <w:pPr>
        <w:spacing w:line="360" w:lineRule="auto"/>
        <w:ind w:left="567" w:hanging="567"/>
        <w:rPr>
          <w:rFonts w:cstheme="minorHAnsi"/>
        </w:rPr>
      </w:pPr>
      <w:r w:rsidRPr="00D81EAF">
        <w:rPr>
          <w:rFonts w:cstheme="minorHAnsi"/>
        </w:rPr>
        <w:t xml:space="preserve">van Boekel, L. C., Brouwers, E. P., Van Weeghel, J., &amp; Garretsen, H. F. (2013). Stigma among health professionals towards patients with substance use disorders and its consequences for healthcare delivery: Systematic review. </w:t>
      </w:r>
      <w:r w:rsidRPr="00D81EAF">
        <w:rPr>
          <w:rFonts w:cstheme="minorHAnsi"/>
          <w:i/>
        </w:rPr>
        <w:t>Drug &amp; Alcohol Dependence</w:t>
      </w:r>
      <w:r w:rsidRPr="00D81EAF">
        <w:rPr>
          <w:rFonts w:cstheme="minorHAnsi"/>
        </w:rPr>
        <w:t xml:space="preserve">, 131, 23–35. </w:t>
      </w:r>
    </w:p>
    <w:p w14:paraId="51B7D8E4" w14:textId="77777777" w:rsidR="00302A53" w:rsidRDefault="00302A53" w:rsidP="005F70EE">
      <w:pPr>
        <w:spacing w:line="360" w:lineRule="auto"/>
        <w:rPr>
          <w:rFonts w:cstheme="minorHAnsi"/>
        </w:rPr>
      </w:pPr>
    </w:p>
    <w:p w14:paraId="691A6C48" w14:textId="76B8F83A" w:rsidR="005F70EE" w:rsidRDefault="0071348E" w:rsidP="00754294">
      <w:pPr>
        <w:spacing w:line="360" w:lineRule="auto"/>
        <w:ind w:left="567" w:hanging="567"/>
        <w:rPr>
          <w:rFonts w:cstheme="minorHAnsi"/>
        </w:rPr>
      </w:pPr>
      <w:r w:rsidRPr="0071348E">
        <w:rPr>
          <w:rFonts w:cstheme="minorHAnsi"/>
        </w:rPr>
        <w:t>Werner, A., &amp; Malterud, K. (2003). It is hard work b</w:t>
      </w:r>
      <w:r w:rsidR="00D17D6F">
        <w:rPr>
          <w:rFonts w:cstheme="minorHAnsi"/>
        </w:rPr>
        <w:t>ehaving as a credible patient: E</w:t>
      </w:r>
      <w:r w:rsidRPr="0071348E">
        <w:rPr>
          <w:rFonts w:cstheme="minorHAnsi"/>
        </w:rPr>
        <w:t>ncounters between women with chronic pain and their doctors. </w:t>
      </w:r>
      <w:r w:rsidRPr="0071348E">
        <w:rPr>
          <w:rFonts w:cstheme="minorHAnsi"/>
          <w:i/>
          <w:iCs/>
        </w:rPr>
        <w:t>Social science &amp; medicine</w:t>
      </w:r>
      <w:r w:rsidRPr="0071348E">
        <w:rPr>
          <w:rFonts w:cstheme="minorHAnsi"/>
        </w:rPr>
        <w:t>, </w:t>
      </w:r>
      <w:r w:rsidRPr="0071348E">
        <w:rPr>
          <w:rFonts w:cstheme="minorHAnsi"/>
          <w:i/>
          <w:iCs/>
        </w:rPr>
        <w:t>57</w:t>
      </w:r>
      <w:r w:rsidR="003B1AC1">
        <w:rPr>
          <w:rFonts w:cstheme="minorHAnsi"/>
          <w:i/>
          <w:iCs/>
        </w:rPr>
        <w:t xml:space="preserve"> </w:t>
      </w:r>
      <w:r w:rsidRPr="0071348E">
        <w:rPr>
          <w:rFonts w:cstheme="minorHAnsi"/>
        </w:rPr>
        <w:t>(8), 1409-1419.</w:t>
      </w:r>
    </w:p>
    <w:p w14:paraId="00A95A63" w14:textId="77777777" w:rsidR="00754294" w:rsidRPr="00D81EAF" w:rsidRDefault="00754294" w:rsidP="00754294">
      <w:pPr>
        <w:spacing w:line="360" w:lineRule="auto"/>
        <w:ind w:left="567" w:hanging="567"/>
        <w:rPr>
          <w:rFonts w:cstheme="minorHAnsi"/>
        </w:rPr>
      </w:pPr>
    </w:p>
    <w:p w14:paraId="7A709FAD" w14:textId="7B2EC18C" w:rsidR="00AC40F9" w:rsidRDefault="000C6ECC" w:rsidP="009E7A32">
      <w:pPr>
        <w:spacing w:line="360" w:lineRule="auto"/>
        <w:ind w:left="567" w:hanging="567"/>
      </w:pPr>
      <w:r>
        <w:t xml:space="preserve">Williams, A., Marsden, J. &amp; Strang, J. (2014). Training family members to manage heroin overdose and administer naloxone: Randomized trial of effects on knowledge and attitudes. </w:t>
      </w:r>
      <w:r>
        <w:rPr>
          <w:i/>
        </w:rPr>
        <w:t>Addiction</w:t>
      </w:r>
      <w:r>
        <w:t>, 109 (2), 250-259.</w:t>
      </w:r>
    </w:p>
    <w:p w14:paraId="4BC42181" w14:textId="5926BD9A" w:rsidR="0017730A" w:rsidRPr="0017730A" w:rsidRDefault="0017730A" w:rsidP="00BC5CF2">
      <w:pPr>
        <w:spacing w:line="360" w:lineRule="auto"/>
        <w:ind w:left="567" w:hanging="567"/>
      </w:pPr>
    </w:p>
    <w:sectPr w:rsidR="0017730A" w:rsidRPr="0017730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CDC0" w14:textId="77777777" w:rsidR="005F70EE" w:rsidRDefault="005F70EE" w:rsidP="00BA3F64">
      <w:r>
        <w:separator/>
      </w:r>
    </w:p>
  </w:endnote>
  <w:endnote w:type="continuationSeparator" w:id="0">
    <w:p w14:paraId="543D1290" w14:textId="77777777" w:rsidR="005F70EE" w:rsidRDefault="005F70EE" w:rsidP="00BA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5843c571">
    <w:altName w:val="Cambria"/>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LldnlfAdvTT3713a231">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 w:name="AdvOT7fb33346.I">
    <w:panose1 w:val="00000000000000000000"/>
    <w:charset w:val="00"/>
    <w:family w:val="roman"/>
    <w:notTrueType/>
    <w:pitch w:val="default"/>
    <w:sig w:usb0="00000003" w:usb1="00000000" w:usb2="00000000" w:usb3="00000000" w:csb0="00000001" w:csb1="00000000"/>
  </w:font>
  <w:font w:name="AdvOT596495f2+2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0580" w14:textId="77777777" w:rsidR="005F70EE" w:rsidRDefault="005F70EE" w:rsidP="00BA3F64">
      <w:r>
        <w:separator/>
      </w:r>
    </w:p>
  </w:footnote>
  <w:footnote w:type="continuationSeparator" w:id="0">
    <w:p w14:paraId="154D0636" w14:textId="77777777" w:rsidR="005F70EE" w:rsidRDefault="005F70EE" w:rsidP="00BA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897595"/>
      <w:docPartObj>
        <w:docPartGallery w:val="Page Numbers (Top of Page)"/>
        <w:docPartUnique/>
      </w:docPartObj>
    </w:sdtPr>
    <w:sdtEndPr>
      <w:rPr>
        <w:noProof/>
      </w:rPr>
    </w:sdtEndPr>
    <w:sdtContent>
      <w:p w14:paraId="70FD1B2A" w14:textId="0EB30E4F" w:rsidR="005F70EE" w:rsidRDefault="005F70EE" w:rsidP="00BA3F64">
        <w:pPr>
          <w:pStyle w:val="Header"/>
        </w:pPr>
        <w:r w:rsidRPr="00E8640A">
          <w:fldChar w:fldCharType="begin"/>
        </w:r>
        <w:r w:rsidRPr="00E8640A">
          <w:instrText xml:space="preserve"> PAGE   \* MERGEFORMAT </w:instrText>
        </w:r>
        <w:r w:rsidRPr="00E8640A">
          <w:fldChar w:fldCharType="separate"/>
        </w:r>
        <w:r>
          <w:rPr>
            <w:noProof/>
          </w:rPr>
          <w:t>22</w:t>
        </w:r>
        <w:r w:rsidRPr="00E8640A">
          <w:rPr>
            <w:noProof/>
          </w:rPr>
          <w:fldChar w:fldCharType="end"/>
        </w:r>
      </w:p>
    </w:sdtContent>
  </w:sdt>
  <w:p w14:paraId="390816F0" w14:textId="77777777" w:rsidR="005F70EE" w:rsidRDefault="005F70EE" w:rsidP="00BA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D4"/>
    <w:multiLevelType w:val="hybridMultilevel"/>
    <w:tmpl w:val="D860693C"/>
    <w:lvl w:ilvl="0" w:tplc="EAF8B770">
      <w:numFmt w:val="bullet"/>
      <w:lvlText w:val="-"/>
      <w:lvlJc w:val="left"/>
      <w:pPr>
        <w:ind w:left="72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66E2C"/>
    <w:multiLevelType w:val="hybridMultilevel"/>
    <w:tmpl w:val="CDA49122"/>
    <w:lvl w:ilvl="0" w:tplc="EBF0FE6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95262"/>
    <w:multiLevelType w:val="hybridMultilevel"/>
    <w:tmpl w:val="94561854"/>
    <w:lvl w:ilvl="0" w:tplc="D340ED80">
      <w:start w:val="1"/>
      <w:numFmt w:val="bullet"/>
      <w:lvlText w:val=""/>
      <w:lvlJc w:val="left"/>
      <w:pPr>
        <w:tabs>
          <w:tab w:val="num" w:pos="720"/>
        </w:tabs>
        <w:ind w:left="720" w:hanging="360"/>
      </w:pPr>
      <w:rPr>
        <w:rFonts w:ascii="Wingdings" w:hAnsi="Wingdings" w:hint="default"/>
      </w:rPr>
    </w:lvl>
    <w:lvl w:ilvl="1" w:tplc="E6ACD684" w:tentative="1">
      <w:start w:val="1"/>
      <w:numFmt w:val="bullet"/>
      <w:lvlText w:val=""/>
      <w:lvlJc w:val="left"/>
      <w:pPr>
        <w:tabs>
          <w:tab w:val="num" w:pos="1440"/>
        </w:tabs>
        <w:ind w:left="1440" w:hanging="360"/>
      </w:pPr>
      <w:rPr>
        <w:rFonts w:ascii="Wingdings" w:hAnsi="Wingdings" w:hint="default"/>
      </w:rPr>
    </w:lvl>
    <w:lvl w:ilvl="2" w:tplc="250EFDC0" w:tentative="1">
      <w:start w:val="1"/>
      <w:numFmt w:val="bullet"/>
      <w:lvlText w:val=""/>
      <w:lvlJc w:val="left"/>
      <w:pPr>
        <w:tabs>
          <w:tab w:val="num" w:pos="2160"/>
        </w:tabs>
        <w:ind w:left="2160" w:hanging="360"/>
      </w:pPr>
      <w:rPr>
        <w:rFonts w:ascii="Wingdings" w:hAnsi="Wingdings" w:hint="default"/>
      </w:rPr>
    </w:lvl>
    <w:lvl w:ilvl="3" w:tplc="72DCEA80" w:tentative="1">
      <w:start w:val="1"/>
      <w:numFmt w:val="bullet"/>
      <w:lvlText w:val=""/>
      <w:lvlJc w:val="left"/>
      <w:pPr>
        <w:tabs>
          <w:tab w:val="num" w:pos="2880"/>
        </w:tabs>
        <w:ind w:left="2880" w:hanging="360"/>
      </w:pPr>
      <w:rPr>
        <w:rFonts w:ascii="Wingdings" w:hAnsi="Wingdings" w:hint="default"/>
      </w:rPr>
    </w:lvl>
    <w:lvl w:ilvl="4" w:tplc="D71289E8" w:tentative="1">
      <w:start w:val="1"/>
      <w:numFmt w:val="bullet"/>
      <w:lvlText w:val=""/>
      <w:lvlJc w:val="left"/>
      <w:pPr>
        <w:tabs>
          <w:tab w:val="num" w:pos="3600"/>
        </w:tabs>
        <w:ind w:left="3600" w:hanging="360"/>
      </w:pPr>
      <w:rPr>
        <w:rFonts w:ascii="Wingdings" w:hAnsi="Wingdings" w:hint="default"/>
      </w:rPr>
    </w:lvl>
    <w:lvl w:ilvl="5" w:tplc="FBF0E604" w:tentative="1">
      <w:start w:val="1"/>
      <w:numFmt w:val="bullet"/>
      <w:lvlText w:val=""/>
      <w:lvlJc w:val="left"/>
      <w:pPr>
        <w:tabs>
          <w:tab w:val="num" w:pos="4320"/>
        </w:tabs>
        <w:ind w:left="4320" w:hanging="360"/>
      </w:pPr>
      <w:rPr>
        <w:rFonts w:ascii="Wingdings" w:hAnsi="Wingdings" w:hint="default"/>
      </w:rPr>
    </w:lvl>
    <w:lvl w:ilvl="6" w:tplc="C330A874" w:tentative="1">
      <w:start w:val="1"/>
      <w:numFmt w:val="bullet"/>
      <w:lvlText w:val=""/>
      <w:lvlJc w:val="left"/>
      <w:pPr>
        <w:tabs>
          <w:tab w:val="num" w:pos="5040"/>
        </w:tabs>
        <w:ind w:left="5040" w:hanging="360"/>
      </w:pPr>
      <w:rPr>
        <w:rFonts w:ascii="Wingdings" w:hAnsi="Wingdings" w:hint="default"/>
      </w:rPr>
    </w:lvl>
    <w:lvl w:ilvl="7" w:tplc="00B685BE" w:tentative="1">
      <w:start w:val="1"/>
      <w:numFmt w:val="bullet"/>
      <w:lvlText w:val=""/>
      <w:lvlJc w:val="left"/>
      <w:pPr>
        <w:tabs>
          <w:tab w:val="num" w:pos="5760"/>
        </w:tabs>
        <w:ind w:left="5760" w:hanging="360"/>
      </w:pPr>
      <w:rPr>
        <w:rFonts w:ascii="Wingdings" w:hAnsi="Wingdings" w:hint="default"/>
      </w:rPr>
    </w:lvl>
    <w:lvl w:ilvl="8" w:tplc="6E16BD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606E6"/>
    <w:multiLevelType w:val="hybridMultilevel"/>
    <w:tmpl w:val="B05E723A"/>
    <w:lvl w:ilvl="0" w:tplc="AA9C8E6A">
      <w:start w:val="1"/>
      <w:numFmt w:val="bullet"/>
      <w:lvlText w:val=""/>
      <w:lvlJc w:val="left"/>
      <w:pPr>
        <w:tabs>
          <w:tab w:val="num" w:pos="720"/>
        </w:tabs>
        <w:ind w:left="720" w:hanging="360"/>
      </w:pPr>
      <w:rPr>
        <w:rFonts w:ascii="Wingdings" w:hAnsi="Wingdings" w:hint="default"/>
      </w:rPr>
    </w:lvl>
    <w:lvl w:ilvl="1" w:tplc="EECC9CF4" w:tentative="1">
      <w:start w:val="1"/>
      <w:numFmt w:val="bullet"/>
      <w:lvlText w:val=""/>
      <w:lvlJc w:val="left"/>
      <w:pPr>
        <w:tabs>
          <w:tab w:val="num" w:pos="1440"/>
        </w:tabs>
        <w:ind w:left="1440" w:hanging="360"/>
      </w:pPr>
      <w:rPr>
        <w:rFonts w:ascii="Wingdings" w:hAnsi="Wingdings" w:hint="default"/>
      </w:rPr>
    </w:lvl>
    <w:lvl w:ilvl="2" w:tplc="C584E3E2" w:tentative="1">
      <w:start w:val="1"/>
      <w:numFmt w:val="bullet"/>
      <w:lvlText w:val=""/>
      <w:lvlJc w:val="left"/>
      <w:pPr>
        <w:tabs>
          <w:tab w:val="num" w:pos="2160"/>
        </w:tabs>
        <w:ind w:left="2160" w:hanging="360"/>
      </w:pPr>
      <w:rPr>
        <w:rFonts w:ascii="Wingdings" w:hAnsi="Wingdings" w:hint="default"/>
      </w:rPr>
    </w:lvl>
    <w:lvl w:ilvl="3" w:tplc="14149080" w:tentative="1">
      <w:start w:val="1"/>
      <w:numFmt w:val="bullet"/>
      <w:lvlText w:val=""/>
      <w:lvlJc w:val="left"/>
      <w:pPr>
        <w:tabs>
          <w:tab w:val="num" w:pos="2880"/>
        </w:tabs>
        <w:ind w:left="2880" w:hanging="360"/>
      </w:pPr>
      <w:rPr>
        <w:rFonts w:ascii="Wingdings" w:hAnsi="Wingdings" w:hint="default"/>
      </w:rPr>
    </w:lvl>
    <w:lvl w:ilvl="4" w:tplc="205E270C" w:tentative="1">
      <w:start w:val="1"/>
      <w:numFmt w:val="bullet"/>
      <w:lvlText w:val=""/>
      <w:lvlJc w:val="left"/>
      <w:pPr>
        <w:tabs>
          <w:tab w:val="num" w:pos="3600"/>
        </w:tabs>
        <w:ind w:left="3600" w:hanging="360"/>
      </w:pPr>
      <w:rPr>
        <w:rFonts w:ascii="Wingdings" w:hAnsi="Wingdings" w:hint="default"/>
      </w:rPr>
    </w:lvl>
    <w:lvl w:ilvl="5" w:tplc="69BEF408" w:tentative="1">
      <w:start w:val="1"/>
      <w:numFmt w:val="bullet"/>
      <w:lvlText w:val=""/>
      <w:lvlJc w:val="left"/>
      <w:pPr>
        <w:tabs>
          <w:tab w:val="num" w:pos="4320"/>
        </w:tabs>
        <w:ind w:left="4320" w:hanging="360"/>
      </w:pPr>
      <w:rPr>
        <w:rFonts w:ascii="Wingdings" w:hAnsi="Wingdings" w:hint="default"/>
      </w:rPr>
    </w:lvl>
    <w:lvl w:ilvl="6" w:tplc="9280D99C" w:tentative="1">
      <w:start w:val="1"/>
      <w:numFmt w:val="bullet"/>
      <w:lvlText w:val=""/>
      <w:lvlJc w:val="left"/>
      <w:pPr>
        <w:tabs>
          <w:tab w:val="num" w:pos="5040"/>
        </w:tabs>
        <w:ind w:left="5040" w:hanging="360"/>
      </w:pPr>
      <w:rPr>
        <w:rFonts w:ascii="Wingdings" w:hAnsi="Wingdings" w:hint="default"/>
      </w:rPr>
    </w:lvl>
    <w:lvl w:ilvl="7" w:tplc="DEBC80C0" w:tentative="1">
      <w:start w:val="1"/>
      <w:numFmt w:val="bullet"/>
      <w:lvlText w:val=""/>
      <w:lvlJc w:val="left"/>
      <w:pPr>
        <w:tabs>
          <w:tab w:val="num" w:pos="5760"/>
        </w:tabs>
        <w:ind w:left="5760" w:hanging="360"/>
      </w:pPr>
      <w:rPr>
        <w:rFonts w:ascii="Wingdings" w:hAnsi="Wingdings" w:hint="default"/>
      </w:rPr>
    </w:lvl>
    <w:lvl w:ilvl="8" w:tplc="C95417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C32E0"/>
    <w:multiLevelType w:val="hybridMultilevel"/>
    <w:tmpl w:val="C21AFCFA"/>
    <w:lvl w:ilvl="0" w:tplc="A66CE58C">
      <w:start w:val="1"/>
      <w:numFmt w:val="decimal"/>
      <w:lvlText w:val="%1."/>
      <w:lvlJc w:val="left"/>
      <w:pPr>
        <w:ind w:left="720" w:hanging="360"/>
      </w:pPr>
      <w:rPr>
        <w:rFonts w:ascii="Palatino Linotype" w:eastAsia="Times New Roman" w:hAnsi="Palatino Linotyp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15982"/>
    <w:multiLevelType w:val="hybridMultilevel"/>
    <w:tmpl w:val="53B84AD6"/>
    <w:lvl w:ilvl="0" w:tplc="7D4A09EA">
      <w:start w:val="1"/>
      <w:numFmt w:val="decimal"/>
      <w:lvlText w:val="%1."/>
      <w:lvlJc w:val="left"/>
      <w:pPr>
        <w:tabs>
          <w:tab w:val="num" w:pos="360"/>
        </w:tabs>
        <w:ind w:left="360" w:hanging="360"/>
      </w:pPr>
      <w:rPr>
        <w:rFonts w:cs="Times New Roman"/>
        <w:b w:val="0"/>
        <w:i w:val="0"/>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1C400C36"/>
    <w:multiLevelType w:val="hybridMultilevel"/>
    <w:tmpl w:val="4D96F582"/>
    <w:lvl w:ilvl="0" w:tplc="4274D1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8110B"/>
    <w:multiLevelType w:val="hybridMultilevel"/>
    <w:tmpl w:val="8A1A7478"/>
    <w:lvl w:ilvl="0" w:tplc="EDB4BBA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0E6581"/>
    <w:multiLevelType w:val="hybridMultilevel"/>
    <w:tmpl w:val="8DEAD4FC"/>
    <w:lvl w:ilvl="0" w:tplc="5C662FAE">
      <w:start w:val="1"/>
      <w:numFmt w:val="bullet"/>
      <w:lvlText w:val=""/>
      <w:lvlJc w:val="left"/>
      <w:pPr>
        <w:tabs>
          <w:tab w:val="num" w:pos="720"/>
        </w:tabs>
        <w:ind w:left="720" w:hanging="360"/>
      </w:pPr>
      <w:rPr>
        <w:rFonts w:ascii="Wingdings" w:hAnsi="Wingdings" w:hint="default"/>
      </w:rPr>
    </w:lvl>
    <w:lvl w:ilvl="1" w:tplc="A5322356" w:tentative="1">
      <w:start w:val="1"/>
      <w:numFmt w:val="bullet"/>
      <w:lvlText w:val=""/>
      <w:lvlJc w:val="left"/>
      <w:pPr>
        <w:tabs>
          <w:tab w:val="num" w:pos="1440"/>
        </w:tabs>
        <w:ind w:left="1440" w:hanging="360"/>
      </w:pPr>
      <w:rPr>
        <w:rFonts w:ascii="Wingdings" w:hAnsi="Wingdings" w:hint="default"/>
      </w:rPr>
    </w:lvl>
    <w:lvl w:ilvl="2" w:tplc="F4201C5E" w:tentative="1">
      <w:start w:val="1"/>
      <w:numFmt w:val="bullet"/>
      <w:lvlText w:val=""/>
      <w:lvlJc w:val="left"/>
      <w:pPr>
        <w:tabs>
          <w:tab w:val="num" w:pos="2160"/>
        </w:tabs>
        <w:ind w:left="2160" w:hanging="360"/>
      </w:pPr>
      <w:rPr>
        <w:rFonts w:ascii="Wingdings" w:hAnsi="Wingdings" w:hint="default"/>
      </w:rPr>
    </w:lvl>
    <w:lvl w:ilvl="3" w:tplc="82A219DE" w:tentative="1">
      <w:start w:val="1"/>
      <w:numFmt w:val="bullet"/>
      <w:lvlText w:val=""/>
      <w:lvlJc w:val="left"/>
      <w:pPr>
        <w:tabs>
          <w:tab w:val="num" w:pos="2880"/>
        </w:tabs>
        <w:ind w:left="2880" w:hanging="360"/>
      </w:pPr>
      <w:rPr>
        <w:rFonts w:ascii="Wingdings" w:hAnsi="Wingdings" w:hint="default"/>
      </w:rPr>
    </w:lvl>
    <w:lvl w:ilvl="4" w:tplc="B92A27DC" w:tentative="1">
      <w:start w:val="1"/>
      <w:numFmt w:val="bullet"/>
      <w:lvlText w:val=""/>
      <w:lvlJc w:val="left"/>
      <w:pPr>
        <w:tabs>
          <w:tab w:val="num" w:pos="3600"/>
        </w:tabs>
        <w:ind w:left="3600" w:hanging="360"/>
      </w:pPr>
      <w:rPr>
        <w:rFonts w:ascii="Wingdings" w:hAnsi="Wingdings" w:hint="default"/>
      </w:rPr>
    </w:lvl>
    <w:lvl w:ilvl="5" w:tplc="70AE550A" w:tentative="1">
      <w:start w:val="1"/>
      <w:numFmt w:val="bullet"/>
      <w:lvlText w:val=""/>
      <w:lvlJc w:val="left"/>
      <w:pPr>
        <w:tabs>
          <w:tab w:val="num" w:pos="4320"/>
        </w:tabs>
        <w:ind w:left="4320" w:hanging="360"/>
      </w:pPr>
      <w:rPr>
        <w:rFonts w:ascii="Wingdings" w:hAnsi="Wingdings" w:hint="default"/>
      </w:rPr>
    </w:lvl>
    <w:lvl w:ilvl="6" w:tplc="CF28DF1E" w:tentative="1">
      <w:start w:val="1"/>
      <w:numFmt w:val="bullet"/>
      <w:lvlText w:val=""/>
      <w:lvlJc w:val="left"/>
      <w:pPr>
        <w:tabs>
          <w:tab w:val="num" w:pos="5040"/>
        </w:tabs>
        <w:ind w:left="5040" w:hanging="360"/>
      </w:pPr>
      <w:rPr>
        <w:rFonts w:ascii="Wingdings" w:hAnsi="Wingdings" w:hint="default"/>
      </w:rPr>
    </w:lvl>
    <w:lvl w:ilvl="7" w:tplc="078A8842" w:tentative="1">
      <w:start w:val="1"/>
      <w:numFmt w:val="bullet"/>
      <w:lvlText w:val=""/>
      <w:lvlJc w:val="left"/>
      <w:pPr>
        <w:tabs>
          <w:tab w:val="num" w:pos="5760"/>
        </w:tabs>
        <w:ind w:left="5760" w:hanging="360"/>
      </w:pPr>
      <w:rPr>
        <w:rFonts w:ascii="Wingdings" w:hAnsi="Wingdings" w:hint="default"/>
      </w:rPr>
    </w:lvl>
    <w:lvl w:ilvl="8" w:tplc="B726DA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16E36"/>
    <w:multiLevelType w:val="hybridMultilevel"/>
    <w:tmpl w:val="D2220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FF5F9E"/>
    <w:multiLevelType w:val="hybridMultilevel"/>
    <w:tmpl w:val="1C24F3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513BD"/>
    <w:multiLevelType w:val="hybridMultilevel"/>
    <w:tmpl w:val="93825540"/>
    <w:lvl w:ilvl="0" w:tplc="682E0BE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E4809"/>
    <w:multiLevelType w:val="multilevel"/>
    <w:tmpl w:val="78FC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01047"/>
    <w:multiLevelType w:val="hybridMultilevel"/>
    <w:tmpl w:val="6624D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206B68"/>
    <w:multiLevelType w:val="hybridMultilevel"/>
    <w:tmpl w:val="698A60A0"/>
    <w:lvl w:ilvl="0" w:tplc="EDB4BBA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4F4D5A"/>
    <w:multiLevelType w:val="hybridMultilevel"/>
    <w:tmpl w:val="2338730E"/>
    <w:lvl w:ilvl="0" w:tplc="EBF0FE6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474A75"/>
    <w:multiLevelType w:val="multilevel"/>
    <w:tmpl w:val="3B126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0135E"/>
    <w:multiLevelType w:val="hybridMultilevel"/>
    <w:tmpl w:val="71FC2FC2"/>
    <w:lvl w:ilvl="0" w:tplc="7EAAB040">
      <w:start w:val="1"/>
      <w:numFmt w:val="bullet"/>
      <w:lvlText w:val=""/>
      <w:lvlJc w:val="left"/>
      <w:pPr>
        <w:tabs>
          <w:tab w:val="num" w:pos="720"/>
        </w:tabs>
        <w:ind w:left="720" w:hanging="360"/>
      </w:pPr>
      <w:rPr>
        <w:rFonts w:ascii="Wingdings" w:hAnsi="Wingdings" w:hint="default"/>
      </w:rPr>
    </w:lvl>
    <w:lvl w:ilvl="1" w:tplc="12129876" w:tentative="1">
      <w:start w:val="1"/>
      <w:numFmt w:val="bullet"/>
      <w:lvlText w:val=""/>
      <w:lvlJc w:val="left"/>
      <w:pPr>
        <w:tabs>
          <w:tab w:val="num" w:pos="1440"/>
        </w:tabs>
        <w:ind w:left="1440" w:hanging="360"/>
      </w:pPr>
      <w:rPr>
        <w:rFonts w:ascii="Wingdings" w:hAnsi="Wingdings" w:hint="default"/>
      </w:rPr>
    </w:lvl>
    <w:lvl w:ilvl="2" w:tplc="6EF64AAE" w:tentative="1">
      <w:start w:val="1"/>
      <w:numFmt w:val="bullet"/>
      <w:lvlText w:val=""/>
      <w:lvlJc w:val="left"/>
      <w:pPr>
        <w:tabs>
          <w:tab w:val="num" w:pos="2160"/>
        </w:tabs>
        <w:ind w:left="2160" w:hanging="360"/>
      </w:pPr>
      <w:rPr>
        <w:rFonts w:ascii="Wingdings" w:hAnsi="Wingdings" w:hint="default"/>
      </w:rPr>
    </w:lvl>
    <w:lvl w:ilvl="3" w:tplc="576C55B0" w:tentative="1">
      <w:start w:val="1"/>
      <w:numFmt w:val="bullet"/>
      <w:lvlText w:val=""/>
      <w:lvlJc w:val="left"/>
      <w:pPr>
        <w:tabs>
          <w:tab w:val="num" w:pos="2880"/>
        </w:tabs>
        <w:ind w:left="2880" w:hanging="360"/>
      </w:pPr>
      <w:rPr>
        <w:rFonts w:ascii="Wingdings" w:hAnsi="Wingdings" w:hint="default"/>
      </w:rPr>
    </w:lvl>
    <w:lvl w:ilvl="4" w:tplc="D4E02204" w:tentative="1">
      <w:start w:val="1"/>
      <w:numFmt w:val="bullet"/>
      <w:lvlText w:val=""/>
      <w:lvlJc w:val="left"/>
      <w:pPr>
        <w:tabs>
          <w:tab w:val="num" w:pos="3600"/>
        </w:tabs>
        <w:ind w:left="3600" w:hanging="360"/>
      </w:pPr>
      <w:rPr>
        <w:rFonts w:ascii="Wingdings" w:hAnsi="Wingdings" w:hint="default"/>
      </w:rPr>
    </w:lvl>
    <w:lvl w:ilvl="5" w:tplc="75386338" w:tentative="1">
      <w:start w:val="1"/>
      <w:numFmt w:val="bullet"/>
      <w:lvlText w:val=""/>
      <w:lvlJc w:val="left"/>
      <w:pPr>
        <w:tabs>
          <w:tab w:val="num" w:pos="4320"/>
        </w:tabs>
        <w:ind w:left="4320" w:hanging="360"/>
      </w:pPr>
      <w:rPr>
        <w:rFonts w:ascii="Wingdings" w:hAnsi="Wingdings" w:hint="default"/>
      </w:rPr>
    </w:lvl>
    <w:lvl w:ilvl="6" w:tplc="C9B82E10" w:tentative="1">
      <w:start w:val="1"/>
      <w:numFmt w:val="bullet"/>
      <w:lvlText w:val=""/>
      <w:lvlJc w:val="left"/>
      <w:pPr>
        <w:tabs>
          <w:tab w:val="num" w:pos="5040"/>
        </w:tabs>
        <w:ind w:left="5040" w:hanging="360"/>
      </w:pPr>
      <w:rPr>
        <w:rFonts w:ascii="Wingdings" w:hAnsi="Wingdings" w:hint="default"/>
      </w:rPr>
    </w:lvl>
    <w:lvl w:ilvl="7" w:tplc="939C2B02" w:tentative="1">
      <w:start w:val="1"/>
      <w:numFmt w:val="bullet"/>
      <w:lvlText w:val=""/>
      <w:lvlJc w:val="left"/>
      <w:pPr>
        <w:tabs>
          <w:tab w:val="num" w:pos="5760"/>
        </w:tabs>
        <w:ind w:left="5760" w:hanging="360"/>
      </w:pPr>
      <w:rPr>
        <w:rFonts w:ascii="Wingdings" w:hAnsi="Wingdings" w:hint="default"/>
      </w:rPr>
    </w:lvl>
    <w:lvl w:ilvl="8" w:tplc="3138AA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BA4639"/>
    <w:multiLevelType w:val="hybridMultilevel"/>
    <w:tmpl w:val="8FF425BA"/>
    <w:lvl w:ilvl="0" w:tplc="47B8D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81011B"/>
    <w:multiLevelType w:val="hybridMultilevel"/>
    <w:tmpl w:val="BAC21EB0"/>
    <w:lvl w:ilvl="0" w:tplc="DBA275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5"/>
  </w:num>
  <w:num w:numId="5">
    <w:abstractNumId w:val="10"/>
  </w:num>
  <w:num w:numId="6">
    <w:abstractNumId w:val="1"/>
  </w:num>
  <w:num w:numId="7">
    <w:abstractNumId w:val="3"/>
  </w:num>
  <w:num w:numId="8">
    <w:abstractNumId w:val="8"/>
  </w:num>
  <w:num w:numId="9">
    <w:abstractNumId w:val="17"/>
  </w:num>
  <w:num w:numId="10">
    <w:abstractNumId w:val="2"/>
  </w:num>
  <w:num w:numId="11">
    <w:abstractNumId w:val="6"/>
  </w:num>
  <w:num w:numId="12">
    <w:abstractNumId w:val="19"/>
  </w:num>
  <w:num w:numId="13">
    <w:abstractNumId w:val="9"/>
  </w:num>
  <w:num w:numId="14">
    <w:abstractNumId w:val="13"/>
  </w:num>
  <w:num w:numId="15">
    <w:abstractNumId w:val="18"/>
  </w:num>
  <w:num w:numId="16">
    <w:abstractNumId w:val="16"/>
  </w:num>
  <w:num w:numId="17">
    <w:abstractNumId w:val="5"/>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65"/>
    <w:rsid w:val="00000D26"/>
    <w:rsid w:val="00002407"/>
    <w:rsid w:val="00004424"/>
    <w:rsid w:val="0001624E"/>
    <w:rsid w:val="000202A0"/>
    <w:rsid w:val="000216D6"/>
    <w:rsid w:val="0002303B"/>
    <w:rsid w:val="00023E47"/>
    <w:rsid w:val="00026485"/>
    <w:rsid w:val="00030483"/>
    <w:rsid w:val="00030F4D"/>
    <w:rsid w:val="0003180E"/>
    <w:rsid w:val="000322F5"/>
    <w:rsid w:val="00035064"/>
    <w:rsid w:val="00037EB5"/>
    <w:rsid w:val="00041B3D"/>
    <w:rsid w:val="000471F9"/>
    <w:rsid w:val="00047DF4"/>
    <w:rsid w:val="00053E73"/>
    <w:rsid w:val="0005575D"/>
    <w:rsid w:val="000564EB"/>
    <w:rsid w:val="00062BD3"/>
    <w:rsid w:val="00063A91"/>
    <w:rsid w:val="0006402D"/>
    <w:rsid w:val="000643DA"/>
    <w:rsid w:val="00064BF1"/>
    <w:rsid w:val="00064E5A"/>
    <w:rsid w:val="000651F6"/>
    <w:rsid w:val="0006589F"/>
    <w:rsid w:val="00065E9E"/>
    <w:rsid w:val="00066828"/>
    <w:rsid w:val="00070123"/>
    <w:rsid w:val="00070542"/>
    <w:rsid w:val="00070F81"/>
    <w:rsid w:val="00074400"/>
    <w:rsid w:val="0007533A"/>
    <w:rsid w:val="00077C95"/>
    <w:rsid w:val="000807DA"/>
    <w:rsid w:val="0008233B"/>
    <w:rsid w:val="00082C4B"/>
    <w:rsid w:val="00082DD9"/>
    <w:rsid w:val="00084EF1"/>
    <w:rsid w:val="00090072"/>
    <w:rsid w:val="00096201"/>
    <w:rsid w:val="000971B3"/>
    <w:rsid w:val="00097C20"/>
    <w:rsid w:val="000A0A92"/>
    <w:rsid w:val="000A0B93"/>
    <w:rsid w:val="000A16BC"/>
    <w:rsid w:val="000A4036"/>
    <w:rsid w:val="000A7382"/>
    <w:rsid w:val="000B307A"/>
    <w:rsid w:val="000B3539"/>
    <w:rsid w:val="000B3726"/>
    <w:rsid w:val="000B4308"/>
    <w:rsid w:val="000B5BA2"/>
    <w:rsid w:val="000B5C32"/>
    <w:rsid w:val="000B6222"/>
    <w:rsid w:val="000B63A8"/>
    <w:rsid w:val="000B70D6"/>
    <w:rsid w:val="000C11F7"/>
    <w:rsid w:val="000C4032"/>
    <w:rsid w:val="000C436D"/>
    <w:rsid w:val="000C6ECC"/>
    <w:rsid w:val="000D46C0"/>
    <w:rsid w:val="000D546A"/>
    <w:rsid w:val="000E0C10"/>
    <w:rsid w:val="000E1375"/>
    <w:rsid w:val="000E1951"/>
    <w:rsid w:val="000E5229"/>
    <w:rsid w:val="000E686E"/>
    <w:rsid w:val="000E7CC3"/>
    <w:rsid w:val="000F3DAE"/>
    <w:rsid w:val="000F7666"/>
    <w:rsid w:val="000F7A86"/>
    <w:rsid w:val="001005BC"/>
    <w:rsid w:val="00100F73"/>
    <w:rsid w:val="00101651"/>
    <w:rsid w:val="00103B7E"/>
    <w:rsid w:val="001046D9"/>
    <w:rsid w:val="0011151C"/>
    <w:rsid w:val="001121FE"/>
    <w:rsid w:val="00123C3C"/>
    <w:rsid w:val="00123E0E"/>
    <w:rsid w:val="00124407"/>
    <w:rsid w:val="001278C3"/>
    <w:rsid w:val="00130CC4"/>
    <w:rsid w:val="001342CE"/>
    <w:rsid w:val="00134B2A"/>
    <w:rsid w:val="00136C9B"/>
    <w:rsid w:val="00136F8F"/>
    <w:rsid w:val="00137DD7"/>
    <w:rsid w:val="00140C12"/>
    <w:rsid w:val="00142847"/>
    <w:rsid w:val="00147364"/>
    <w:rsid w:val="0015161B"/>
    <w:rsid w:val="00152DEC"/>
    <w:rsid w:val="001548A5"/>
    <w:rsid w:val="00156AD6"/>
    <w:rsid w:val="00162D7D"/>
    <w:rsid w:val="00164165"/>
    <w:rsid w:val="00167062"/>
    <w:rsid w:val="001677A4"/>
    <w:rsid w:val="00170E61"/>
    <w:rsid w:val="001742E0"/>
    <w:rsid w:val="00176FB6"/>
    <w:rsid w:val="0017730A"/>
    <w:rsid w:val="00177EA7"/>
    <w:rsid w:val="00182227"/>
    <w:rsid w:val="001841A6"/>
    <w:rsid w:val="00185E03"/>
    <w:rsid w:val="00187F2D"/>
    <w:rsid w:val="00191172"/>
    <w:rsid w:val="00191195"/>
    <w:rsid w:val="00194229"/>
    <w:rsid w:val="00195791"/>
    <w:rsid w:val="001A1E1B"/>
    <w:rsid w:val="001A6CFB"/>
    <w:rsid w:val="001A74C8"/>
    <w:rsid w:val="001B3C70"/>
    <w:rsid w:val="001B5F72"/>
    <w:rsid w:val="001B7E36"/>
    <w:rsid w:val="001D1CE5"/>
    <w:rsid w:val="001D261A"/>
    <w:rsid w:val="001D3C7C"/>
    <w:rsid w:val="001E61BC"/>
    <w:rsid w:val="001E69E5"/>
    <w:rsid w:val="001F66C8"/>
    <w:rsid w:val="001F6B02"/>
    <w:rsid w:val="00200119"/>
    <w:rsid w:val="00201C38"/>
    <w:rsid w:val="00203D0D"/>
    <w:rsid w:val="002044C9"/>
    <w:rsid w:val="0020697F"/>
    <w:rsid w:val="00207F77"/>
    <w:rsid w:val="0021114F"/>
    <w:rsid w:val="0022109A"/>
    <w:rsid w:val="00221F8C"/>
    <w:rsid w:val="0022223D"/>
    <w:rsid w:val="002228E6"/>
    <w:rsid w:val="00223AE6"/>
    <w:rsid w:val="00223B1C"/>
    <w:rsid w:val="00225C4A"/>
    <w:rsid w:val="00227D38"/>
    <w:rsid w:val="00230D17"/>
    <w:rsid w:val="0023702B"/>
    <w:rsid w:val="002405E5"/>
    <w:rsid w:val="00241D09"/>
    <w:rsid w:val="0024484B"/>
    <w:rsid w:val="00246B5E"/>
    <w:rsid w:val="0025112A"/>
    <w:rsid w:val="00251824"/>
    <w:rsid w:val="00257FCE"/>
    <w:rsid w:val="00261D8E"/>
    <w:rsid w:val="00262F48"/>
    <w:rsid w:val="00263200"/>
    <w:rsid w:val="00265F6E"/>
    <w:rsid w:val="002743D1"/>
    <w:rsid w:val="00274D1E"/>
    <w:rsid w:val="00275897"/>
    <w:rsid w:val="00275DED"/>
    <w:rsid w:val="0027654F"/>
    <w:rsid w:val="00277C11"/>
    <w:rsid w:val="00284B36"/>
    <w:rsid w:val="002909FD"/>
    <w:rsid w:val="00290BE4"/>
    <w:rsid w:val="00293782"/>
    <w:rsid w:val="00293823"/>
    <w:rsid w:val="002A738C"/>
    <w:rsid w:val="002B1DB6"/>
    <w:rsid w:val="002B67BF"/>
    <w:rsid w:val="002C06EF"/>
    <w:rsid w:val="002C14F5"/>
    <w:rsid w:val="002C2E59"/>
    <w:rsid w:val="002C358D"/>
    <w:rsid w:val="002C36A4"/>
    <w:rsid w:val="002C3970"/>
    <w:rsid w:val="002C429D"/>
    <w:rsid w:val="002C6825"/>
    <w:rsid w:val="002D1B84"/>
    <w:rsid w:val="002D40FE"/>
    <w:rsid w:val="002D72F7"/>
    <w:rsid w:val="002E40AC"/>
    <w:rsid w:val="002E4743"/>
    <w:rsid w:val="002E59B0"/>
    <w:rsid w:val="002E707B"/>
    <w:rsid w:val="002F048B"/>
    <w:rsid w:val="002F0FD2"/>
    <w:rsid w:val="002F2DB6"/>
    <w:rsid w:val="002F55AD"/>
    <w:rsid w:val="002F59FC"/>
    <w:rsid w:val="002F6E07"/>
    <w:rsid w:val="00302A53"/>
    <w:rsid w:val="00302A5D"/>
    <w:rsid w:val="00303950"/>
    <w:rsid w:val="00303F7F"/>
    <w:rsid w:val="003057B3"/>
    <w:rsid w:val="0030663E"/>
    <w:rsid w:val="0030783B"/>
    <w:rsid w:val="003103A6"/>
    <w:rsid w:val="003149B9"/>
    <w:rsid w:val="00314FDB"/>
    <w:rsid w:val="00320214"/>
    <w:rsid w:val="00321248"/>
    <w:rsid w:val="00323FB0"/>
    <w:rsid w:val="00323FB5"/>
    <w:rsid w:val="00326453"/>
    <w:rsid w:val="00330A4A"/>
    <w:rsid w:val="00332B77"/>
    <w:rsid w:val="00334935"/>
    <w:rsid w:val="00334D60"/>
    <w:rsid w:val="00334FAE"/>
    <w:rsid w:val="0033650A"/>
    <w:rsid w:val="0034116A"/>
    <w:rsid w:val="003441BA"/>
    <w:rsid w:val="0034429F"/>
    <w:rsid w:val="00346CF3"/>
    <w:rsid w:val="00347299"/>
    <w:rsid w:val="0034754D"/>
    <w:rsid w:val="003603F9"/>
    <w:rsid w:val="00360DD9"/>
    <w:rsid w:val="0036248F"/>
    <w:rsid w:val="00365160"/>
    <w:rsid w:val="0037190A"/>
    <w:rsid w:val="00371CD7"/>
    <w:rsid w:val="00371D7A"/>
    <w:rsid w:val="00375EAB"/>
    <w:rsid w:val="00381686"/>
    <w:rsid w:val="00387598"/>
    <w:rsid w:val="00392DE4"/>
    <w:rsid w:val="00394723"/>
    <w:rsid w:val="00394EF4"/>
    <w:rsid w:val="00396476"/>
    <w:rsid w:val="003A5630"/>
    <w:rsid w:val="003B1AC1"/>
    <w:rsid w:val="003B5C88"/>
    <w:rsid w:val="003B6A87"/>
    <w:rsid w:val="003B76B5"/>
    <w:rsid w:val="003B7868"/>
    <w:rsid w:val="003C1549"/>
    <w:rsid w:val="003C1F35"/>
    <w:rsid w:val="003C5E37"/>
    <w:rsid w:val="003C69E8"/>
    <w:rsid w:val="003D46F4"/>
    <w:rsid w:val="003D6AEB"/>
    <w:rsid w:val="003E4164"/>
    <w:rsid w:val="003E4189"/>
    <w:rsid w:val="003E4CF8"/>
    <w:rsid w:val="003E76A4"/>
    <w:rsid w:val="003F2FDB"/>
    <w:rsid w:val="00406323"/>
    <w:rsid w:val="004063A1"/>
    <w:rsid w:val="00406B78"/>
    <w:rsid w:val="00406C4B"/>
    <w:rsid w:val="0041193E"/>
    <w:rsid w:val="004216A3"/>
    <w:rsid w:val="004250C4"/>
    <w:rsid w:val="0043372A"/>
    <w:rsid w:val="00441A8A"/>
    <w:rsid w:val="00450258"/>
    <w:rsid w:val="004513C9"/>
    <w:rsid w:val="00452C49"/>
    <w:rsid w:val="00452E56"/>
    <w:rsid w:val="00453438"/>
    <w:rsid w:val="00456BEF"/>
    <w:rsid w:val="004578AB"/>
    <w:rsid w:val="00462653"/>
    <w:rsid w:val="0046273B"/>
    <w:rsid w:val="00463F45"/>
    <w:rsid w:val="00465C3B"/>
    <w:rsid w:val="00466D03"/>
    <w:rsid w:val="00470A29"/>
    <w:rsid w:val="00471A4D"/>
    <w:rsid w:val="0047311A"/>
    <w:rsid w:val="004735C1"/>
    <w:rsid w:val="00474895"/>
    <w:rsid w:val="00475E9B"/>
    <w:rsid w:val="00476238"/>
    <w:rsid w:val="004822AD"/>
    <w:rsid w:val="0049497D"/>
    <w:rsid w:val="00494EE1"/>
    <w:rsid w:val="0049562E"/>
    <w:rsid w:val="004A44F1"/>
    <w:rsid w:val="004A58BE"/>
    <w:rsid w:val="004B1F53"/>
    <w:rsid w:val="004B2304"/>
    <w:rsid w:val="004B589D"/>
    <w:rsid w:val="004B7404"/>
    <w:rsid w:val="004C2CD1"/>
    <w:rsid w:val="004C5248"/>
    <w:rsid w:val="004C54F0"/>
    <w:rsid w:val="004C5654"/>
    <w:rsid w:val="004C7058"/>
    <w:rsid w:val="004D16A9"/>
    <w:rsid w:val="004D1943"/>
    <w:rsid w:val="004D38C0"/>
    <w:rsid w:val="004D3EDE"/>
    <w:rsid w:val="004D40A0"/>
    <w:rsid w:val="004D77BD"/>
    <w:rsid w:val="004E4B82"/>
    <w:rsid w:val="004F2B02"/>
    <w:rsid w:val="004F2F23"/>
    <w:rsid w:val="004F416E"/>
    <w:rsid w:val="004F4196"/>
    <w:rsid w:val="004F5324"/>
    <w:rsid w:val="005001E5"/>
    <w:rsid w:val="00502267"/>
    <w:rsid w:val="0050331A"/>
    <w:rsid w:val="00504C3D"/>
    <w:rsid w:val="00511A16"/>
    <w:rsid w:val="00516015"/>
    <w:rsid w:val="00516463"/>
    <w:rsid w:val="0051697E"/>
    <w:rsid w:val="00520196"/>
    <w:rsid w:val="005265B5"/>
    <w:rsid w:val="0052677A"/>
    <w:rsid w:val="00530041"/>
    <w:rsid w:val="00532723"/>
    <w:rsid w:val="0053419C"/>
    <w:rsid w:val="00534292"/>
    <w:rsid w:val="0053715B"/>
    <w:rsid w:val="005411D1"/>
    <w:rsid w:val="005467F0"/>
    <w:rsid w:val="00546ED3"/>
    <w:rsid w:val="005505B7"/>
    <w:rsid w:val="00553CE0"/>
    <w:rsid w:val="00553D54"/>
    <w:rsid w:val="0055576D"/>
    <w:rsid w:val="00555FBD"/>
    <w:rsid w:val="005611FE"/>
    <w:rsid w:val="00564CA5"/>
    <w:rsid w:val="0056626D"/>
    <w:rsid w:val="0056698D"/>
    <w:rsid w:val="00567853"/>
    <w:rsid w:val="00575338"/>
    <w:rsid w:val="00575DFD"/>
    <w:rsid w:val="00576A97"/>
    <w:rsid w:val="00577169"/>
    <w:rsid w:val="005835A6"/>
    <w:rsid w:val="00585592"/>
    <w:rsid w:val="005867F6"/>
    <w:rsid w:val="00590D8C"/>
    <w:rsid w:val="00596A88"/>
    <w:rsid w:val="005A18EA"/>
    <w:rsid w:val="005A2A65"/>
    <w:rsid w:val="005A2EA8"/>
    <w:rsid w:val="005A3225"/>
    <w:rsid w:val="005A373E"/>
    <w:rsid w:val="005A6504"/>
    <w:rsid w:val="005A7740"/>
    <w:rsid w:val="005B3F6A"/>
    <w:rsid w:val="005B3FCA"/>
    <w:rsid w:val="005B403C"/>
    <w:rsid w:val="005B4773"/>
    <w:rsid w:val="005B587C"/>
    <w:rsid w:val="005B5E79"/>
    <w:rsid w:val="005B7EEF"/>
    <w:rsid w:val="005B7F89"/>
    <w:rsid w:val="005C1610"/>
    <w:rsid w:val="005C3192"/>
    <w:rsid w:val="005C3CD3"/>
    <w:rsid w:val="005C466B"/>
    <w:rsid w:val="005C5961"/>
    <w:rsid w:val="005C5B01"/>
    <w:rsid w:val="005C7020"/>
    <w:rsid w:val="005D3C42"/>
    <w:rsid w:val="005D3C6C"/>
    <w:rsid w:val="005D5089"/>
    <w:rsid w:val="005D6458"/>
    <w:rsid w:val="005E0487"/>
    <w:rsid w:val="005E36C9"/>
    <w:rsid w:val="005F6E4C"/>
    <w:rsid w:val="005F70EE"/>
    <w:rsid w:val="005F7B97"/>
    <w:rsid w:val="005F7C9A"/>
    <w:rsid w:val="0060275A"/>
    <w:rsid w:val="00606871"/>
    <w:rsid w:val="00606B02"/>
    <w:rsid w:val="00607DD0"/>
    <w:rsid w:val="00611C0D"/>
    <w:rsid w:val="00614A68"/>
    <w:rsid w:val="0062250E"/>
    <w:rsid w:val="0062557F"/>
    <w:rsid w:val="0063488C"/>
    <w:rsid w:val="00634BA6"/>
    <w:rsid w:val="00640A23"/>
    <w:rsid w:val="00640A30"/>
    <w:rsid w:val="00642196"/>
    <w:rsid w:val="00646B5B"/>
    <w:rsid w:val="00654330"/>
    <w:rsid w:val="0065730D"/>
    <w:rsid w:val="00657999"/>
    <w:rsid w:val="00664E4D"/>
    <w:rsid w:val="00665535"/>
    <w:rsid w:val="00665F07"/>
    <w:rsid w:val="0066791B"/>
    <w:rsid w:val="00671FE3"/>
    <w:rsid w:val="00673FA7"/>
    <w:rsid w:val="006822E7"/>
    <w:rsid w:val="006830EC"/>
    <w:rsid w:val="00684476"/>
    <w:rsid w:val="00685B97"/>
    <w:rsid w:val="006860B7"/>
    <w:rsid w:val="00690D8A"/>
    <w:rsid w:val="006915FA"/>
    <w:rsid w:val="00691BCD"/>
    <w:rsid w:val="00692224"/>
    <w:rsid w:val="006922BF"/>
    <w:rsid w:val="0069301C"/>
    <w:rsid w:val="00695A90"/>
    <w:rsid w:val="006963EF"/>
    <w:rsid w:val="006A5457"/>
    <w:rsid w:val="006A5770"/>
    <w:rsid w:val="006B1014"/>
    <w:rsid w:val="006B2A6A"/>
    <w:rsid w:val="006B2E76"/>
    <w:rsid w:val="006B40F6"/>
    <w:rsid w:val="006B53D7"/>
    <w:rsid w:val="006B5677"/>
    <w:rsid w:val="006B5B7B"/>
    <w:rsid w:val="006B66FD"/>
    <w:rsid w:val="006B6E49"/>
    <w:rsid w:val="006C05F4"/>
    <w:rsid w:val="006C1349"/>
    <w:rsid w:val="006C3446"/>
    <w:rsid w:val="006C4468"/>
    <w:rsid w:val="006C46A7"/>
    <w:rsid w:val="006C4F61"/>
    <w:rsid w:val="006C6B00"/>
    <w:rsid w:val="006C7748"/>
    <w:rsid w:val="006C7B9C"/>
    <w:rsid w:val="006D4781"/>
    <w:rsid w:val="006D7222"/>
    <w:rsid w:val="006D7375"/>
    <w:rsid w:val="006D7B57"/>
    <w:rsid w:val="006E30C1"/>
    <w:rsid w:val="006E3E9D"/>
    <w:rsid w:val="006E4D32"/>
    <w:rsid w:val="006F2733"/>
    <w:rsid w:val="006F34E5"/>
    <w:rsid w:val="00700984"/>
    <w:rsid w:val="007018EA"/>
    <w:rsid w:val="00702512"/>
    <w:rsid w:val="007046F2"/>
    <w:rsid w:val="0070575A"/>
    <w:rsid w:val="00706480"/>
    <w:rsid w:val="0070717C"/>
    <w:rsid w:val="007101B3"/>
    <w:rsid w:val="00710B3C"/>
    <w:rsid w:val="00710CCF"/>
    <w:rsid w:val="0071348E"/>
    <w:rsid w:val="00720E6F"/>
    <w:rsid w:val="00725FFF"/>
    <w:rsid w:val="007273A8"/>
    <w:rsid w:val="00727673"/>
    <w:rsid w:val="0073056E"/>
    <w:rsid w:val="00731067"/>
    <w:rsid w:val="0073198C"/>
    <w:rsid w:val="00735641"/>
    <w:rsid w:val="0074065A"/>
    <w:rsid w:val="00744A84"/>
    <w:rsid w:val="007475D2"/>
    <w:rsid w:val="00751F2B"/>
    <w:rsid w:val="00752AC1"/>
    <w:rsid w:val="00754294"/>
    <w:rsid w:val="007564B7"/>
    <w:rsid w:val="0076066F"/>
    <w:rsid w:val="007606EA"/>
    <w:rsid w:val="00765318"/>
    <w:rsid w:val="00765F79"/>
    <w:rsid w:val="007741D7"/>
    <w:rsid w:val="007747B1"/>
    <w:rsid w:val="00774914"/>
    <w:rsid w:val="007853B8"/>
    <w:rsid w:val="007979C5"/>
    <w:rsid w:val="007A168A"/>
    <w:rsid w:val="007A529F"/>
    <w:rsid w:val="007A63A4"/>
    <w:rsid w:val="007A7A59"/>
    <w:rsid w:val="007B0238"/>
    <w:rsid w:val="007B114D"/>
    <w:rsid w:val="007B1819"/>
    <w:rsid w:val="007B490B"/>
    <w:rsid w:val="007B4A85"/>
    <w:rsid w:val="007C64EF"/>
    <w:rsid w:val="007D1071"/>
    <w:rsid w:val="007D1C0F"/>
    <w:rsid w:val="007D3879"/>
    <w:rsid w:val="007D6728"/>
    <w:rsid w:val="007D68DA"/>
    <w:rsid w:val="007D7198"/>
    <w:rsid w:val="007D7557"/>
    <w:rsid w:val="007E18CC"/>
    <w:rsid w:val="007E2FC8"/>
    <w:rsid w:val="007E5DBD"/>
    <w:rsid w:val="007F0594"/>
    <w:rsid w:val="007F0C16"/>
    <w:rsid w:val="007F2F44"/>
    <w:rsid w:val="00805E2A"/>
    <w:rsid w:val="00815DC0"/>
    <w:rsid w:val="00816B79"/>
    <w:rsid w:val="00816CB2"/>
    <w:rsid w:val="00821ED6"/>
    <w:rsid w:val="00824C34"/>
    <w:rsid w:val="008267DE"/>
    <w:rsid w:val="00831C6F"/>
    <w:rsid w:val="00840564"/>
    <w:rsid w:val="0085757C"/>
    <w:rsid w:val="00861D9E"/>
    <w:rsid w:val="0086717F"/>
    <w:rsid w:val="00871C2C"/>
    <w:rsid w:val="00874609"/>
    <w:rsid w:val="00890F62"/>
    <w:rsid w:val="008912FB"/>
    <w:rsid w:val="008915B7"/>
    <w:rsid w:val="00896212"/>
    <w:rsid w:val="00896B65"/>
    <w:rsid w:val="0089722B"/>
    <w:rsid w:val="008A0560"/>
    <w:rsid w:val="008A1F7D"/>
    <w:rsid w:val="008A31FE"/>
    <w:rsid w:val="008A458E"/>
    <w:rsid w:val="008A5B39"/>
    <w:rsid w:val="008A6211"/>
    <w:rsid w:val="008B0583"/>
    <w:rsid w:val="008B0AC4"/>
    <w:rsid w:val="008B258F"/>
    <w:rsid w:val="008B461C"/>
    <w:rsid w:val="008B5C05"/>
    <w:rsid w:val="008B5D8A"/>
    <w:rsid w:val="008B6CB5"/>
    <w:rsid w:val="008C19D0"/>
    <w:rsid w:val="008C2006"/>
    <w:rsid w:val="008D008A"/>
    <w:rsid w:val="008D37F3"/>
    <w:rsid w:val="008D4FF6"/>
    <w:rsid w:val="008D523B"/>
    <w:rsid w:val="008D6013"/>
    <w:rsid w:val="008D6B4A"/>
    <w:rsid w:val="008D7FAE"/>
    <w:rsid w:val="008E1156"/>
    <w:rsid w:val="008F1652"/>
    <w:rsid w:val="008F22D3"/>
    <w:rsid w:val="008F6C72"/>
    <w:rsid w:val="008F7A0D"/>
    <w:rsid w:val="00900F5B"/>
    <w:rsid w:val="00900FED"/>
    <w:rsid w:val="00905BEB"/>
    <w:rsid w:val="009066E6"/>
    <w:rsid w:val="00907197"/>
    <w:rsid w:val="00907D34"/>
    <w:rsid w:val="00915817"/>
    <w:rsid w:val="00915D99"/>
    <w:rsid w:val="00916215"/>
    <w:rsid w:val="00916739"/>
    <w:rsid w:val="009175AC"/>
    <w:rsid w:val="0091776F"/>
    <w:rsid w:val="00921D13"/>
    <w:rsid w:val="00931039"/>
    <w:rsid w:val="009316E1"/>
    <w:rsid w:val="00937B85"/>
    <w:rsid w:val="00940CEF"/>
    <w:rsid w:val="00941359"/>
    <w:rsid w:val="009528CD"/>
    <w:rsid w:val="00953B7A"/>
    <w:rsid w:val="00954F97"/>
    <w:rsid w:val="009613FE"/>
    <w:rsid w:val="00961AB8"/>
    <w:rsid w:val="00961D4C"/>
    <w:rsid w:val="00961E82"/>
    <w:rsid w:val="00964A42"/>
    <w:rsid w:val="00970C38"/>
    <w:rsid w:val="00971C1A"/>
    <w:rsid w:val="009756EC"/>
    <w:rsid w:val="00977549"/>
    <w:rsid w:val="00980897"/>
    <w:rsid w:val="00981423"/>
    <w:rsid w:val="00987B3C"/>
    <w:rsid w:val="00990EAD"/>
    <w:rsid w:val="00990FCF"/>
    <w:rsid w:val="00991020"/>
    <w:rsid w:val="00991241"/>
    <w:rsid w:val="00991649"/>
    <w:rsid w:val="00992FAD"/>
    <w:rsid w:val="00993D34"/>
    <w:rsid w:val="00995895"/>
    <w:rsid w:val="0099598D"/>
    <w:rsid w:val="00995B0C"/>
    <w:rsid w:val="00995C11"/>
    <w:rsid w:val="009A02FB"/>
    <w:rsid w:val="009A154A"/>
    <w:rsid w:val="009A3E76"/>
    <w:rsid w:val="009A721D"/>
    <w:rsid w:val="009A7749"/>
    <w:rsid w:val="009B01A6"/>
    <w:rsid w:val="009B13A3"/>
    <w:rsid w:val="009B30E3"/>
    <w:rsid w:val="009B3B6C"/>
    <w:rsid w:val="009B3D22"/>
    <w:rsid w:val="009B7D7F"/>
    <w:rsid w:val="009C085A"/>
    <w:rsid w:val="009C0878"/>
    <w:rsid w:val="009C1D93"/>
    <w:rsid w:val="009C2C7B"/>
    <w:rsid w:val="009C3CFC"/>
    <w:rsid w:val="009C5081"/>
    <w:rsid w:val="009C55AA"/>
    <w:rsid w:val="009D130A"/>
    <w:rsid w:val="009D184D"/>
    <w:rsid w:val="009D3FBF"/>
    <w:rsid w:val="009D5F04"/>
    <w:rsid w:val="009D733B"/>
    <w:rsid w:val="009D7531"/>
    <w:rsid w:val="009D79EB"/>
    <w:rsid w:val="009D7F85"/>
    <w:rsid w:val="009E066D"/>
    <w:rsid w:val="009E110C"/>
    <w:rsid w:val="009E25ED"/>
    <w:rsid w:val="009E2F42"/>
    <w:rsid w:val="009E33E6"/>
    <w:rsid w:val="009E399E"/>
    <w:rsid w:val="009E555B"/>
    <w:rsid w:val="009E7A32"/>
    <w:rsid w:val="009F3C37"/>
    <w:rsid w:val="009F4639"/>
    <w:rsid w:val="009F4CB9"/>
    <w:rsid w:val="009F7F00"/>
    <w:rsid w:val="00A02837"/>
    <w:rsid w:val="00A05A5B"/>
    <w:rsid w:val="00A1302D"/>
    <w:rsid w:val="00A2132C"/>
    <w:rsid w:val="00A237DF"/>
    <w:rsid w:val="00A26373"/>
    <w:rsid w:val="00A2755A"/>
    <w:rsid w:val="00A27F98"/>
    <w:rsid w:val="00A30655"/>
    <w:rsid w:val="00A30CBC"/>
    <w:rsid w:val="00A30F28"/>
    <w:rsid w:val="00A333F9"/>
    <w:rsid w:val="00A36207"/>
    <w:rsid w:val="00A36D14"/>
    <w:rsid w:val="00A40D35"/>
    <w:rsid w:val="00A41066"/>
    <w:rsid w:val="00A425AC"/>
    <w:rsid w:val="00A458CC"/>
    <w:rsid w:val="00A4758B"/>
    <w:rsid w:val="00A47E9B"/>
    <w:rsid w:val="00A5388F"/>
    <w:rsid w:val="00A54C3A"/>
    <w:rsid w:val="00A553A7"/>
    <w:rsid w:val="00A56219"/>
    <w:rsid w:val="00A5709E"/>
    <w:rsid w:val="00A57713"/>
    <w:rsid w:val="00A57C39"/>
    <w:rsid w:val="00A6414E"/>
    <w:rsid w:val="00A74D11"/>
    <w:rsid w:val="00A80397"/>
    <w:rsid w:val="00A80684"/>
    <w:rsid w:val="00A838C0"/>
    <w:rsid w:val="00A848AD"/>
    <w:rsid w:val="00A8518C"/>
    <w:rsid w:val="00A851C6"/>
    <w:rsid w:val="00A854E5"/>
    <w:rsid w:val="00A91857"/>
    <w:rsid w:val="00A92BCD"/>
    <w:rsid w:val="00A94F6E"/>
    <w:rsid w:val="00A97DB7"/>
    <w:rsid w:val="00AA1976"/>
    <w:rsid w:val="00AA7077"/>
    <w:rsid w:val="00AA76F5"/>
    <w:rsid w:val="00AB44CE"/>
    <w:rsid w:val="00AB49A6"/>
    <w:rsid w:val="00AC061B"/>
    <w:rsid w:val="00AC083F"/>
    <w:rsid w:val="00AC0E8E"/>
    <w:rsid w:val="00AC1491"/>
    <w:rsid w:val="00AC40F9"/>
    <w:rsid w:val="00AD2952"/>
    <w:rsid w:val="00AD2EF7"/>
    <w:rsid w:val="00AD3746"/>
    <w:rsid w:val="00AD4225"/>
    <w:rsid w:val="00AD586E"/>
    <w:rsid w:val="00AD7669"/>
    <w:rsid w:val="00AE02BE"/>
    <w:rsid w:val="00AE039B"/>
    <w:rsid w:val="00AE14EA"/>
    <w:rsid w:val="00AE4DCD"/>
    <w:rsid w:val="00AE5162"/>
    <w:rsid w:val="00AE63AF"/>
    <w:rsid w:val="00AF2E7D"/>
    <w:rsid w:val="00AF74F7"/>
    <w:rsid w:val="00AF787B"/>
    <w:rsid w:val="00B0013B"/>
    <w:rsid w:val="00B00711"/>
    <w:rsid w:val="00B01816"/>
    <w:rsid w:val="00B03026"/>
    <w:rsid w:val="00B0446A"/>
    <w:rsid w:val="00B05F39"/>
    <w:rsid w:val="00B0689D"/>
    <w:rsid w:val="00B06CFE"/>
    <w:rsid w:val="00B10B6C"/>
    <w:rsid w:val="00B116FD"/>
    <w:rsid w:val="00B12EB2"/>
    <w:rsid w:val="00B1346C"/>
    <w:rsid w:val="00B14B8F"/>
    <w:rsid w:val="00B16C9A"/>
    <w:rsid w:val="00B200A0"/>
    <w:rsid w:val="00B2270B"/>
    <w:rsid w:val="00B24D53"/>
    <w:rsid w:val="00B2537E"/>
    <w:rsid w:val="00B25946"/>
    <w:rsid w:val="00B26658"/>
    <w:rsid w:val="00B30DE1"/>
    <w:rsid w:val="00B30FE5"/>
    <w:rsid w:val="00B3183D"/>
    <w:rsid w:val="00B3187B"/>
    <w:rsid w:val="00B41CEC"/>
    <w:rsid w:val="00B46D12"/>
    <w:rsid w:val="00B46DA9"/>
    <w:rsid w:val="00B50D79"/>
    <w:rsid w:val="00B5433C"/>
    <w:rsid w:val="00B54929"/>
    <w:rsid w:val="00B56504"/>
    <w:rsid w:val="00B56D61"/>
    <w:rsid w:val="00B6094E"/>
    <w:rsid w:val="00B62E38"/>
    <w:rsid w:val="00B6384C"/>
    <w:rsid w:val="00B65661"/>
    <w:rsid w:val="00B7058D"/>
    <w:rsid w:val="00B719CE"/>
    <w:rsid w:val="00B7385D"/>
    <w:rsid w:val="00B73B31"/>
    <w:rsid w:val="00B74C93"/>
    <w:rsid w:val="00B75A72"/>
    <w:rsid w:val="00B77C4B"/>
    <w:rsid w:val="00B8406F"/>
    <w:rsid w:val="00B878C8"/>
    <w:rsid w:val="00B918F5"/>
    <w:rsid w:val="00B93E78"/>
    <w:rsid w:val="00B94676"/>
    <w:rsid w:val="00B9552E"/>
    <w:rsid w:val="00BA3968"/>
    <w:rsid w:val="00BA3F64"/>
    <w:rsid w:val="00BA5148"/>
    <w:rsid w:val="00BB09A7"/>
    <w:rsid w:val="00BB25FA"/>
    <w:rsid w:val="00BC0523"/>
    <w:rsid w:val="00BC219A"/>
    <w:rsid w:val="00BC38C1"/>
    <w:rsid w:val="00BC5512"/>
    <w:rsid w:val="00BC5CF2"/>
    <w:rsid w:val="00BC6B3C"/>
    <w:rsid w:val="00BC7357"/>
    <w:rsid w:val="00BD0BF4"/>
    <w:rsid w:val="00BD5074"/>
    <w:rsid w:val="00BD5989"/>
    <w:rsid w:val="00BD5DB0"/>
    <w:rsid w:val="00BE09B0"/>
    <w:rsid w:val="00BE211C"/>
    <w:rsid w:val="00BE293A"/>
    <w:rsid w:val="00BF0D97"/>
    <w:rsid w:val="00BF28C6"/>
    <w:rsid w:val="00BF292F"/>
    <w:rsid w:val="00BF682F"/>
    <w:rsid w:val="00C018E1"/>
    <w:rsid w:val="00C01FB7"/>
    <w:rsid w:val="00C128F9"/>
    <w:rsid w:val="00C13E7D"/>
    <w:rsid w:val="00C144EA"/>
    <w:rsid w:val="00C1450B"/>
    <w:rsid w:val="00C21E23"/>
    <w:rsid w:val="00C21FBD"/>
    <w:rsid w:val="00C22FE0"/>
    <w:rsid w:val="00C237DF"/>
    <w:rsid w:val="00C24827"/>
    <w:rsid w:val="00C31A0D"/>
    <w:rsid w:val="00C35DBE"/>
    <w:rsid w:val="00C35DC0"/>
    <w:rsid w:val="00C36BD6"/>
    <w:rsid w:val="00C401C0"/>
    <w:rsid w:val="00C41385"/>
    <w:rsid w:val="00C41D06"/>
    <w:rsid w:val="00C4229F"/>
    <w:rsid w:val="00C428D7"/>
    <w:rsid w:val="00C4379C"/>
    <w:rsid w:val="00C4518C"/>
    <w:rsid w:val="00C461C5"/>
    <w:rsid w:val="00C4623A"/>
    <w:rsid w:val="00C51820"/>
    <w:rsid w:val="00C535AE"/>
    <w:rsid w:val="00C539D3"/>
    <w:rsid w:val="00C53E45"/>
    <w:rsid w:val="00C54BFD"/>
    <w:rsid w:val="00C57FB5"/>
    <w:rsid w:val="00C60F02"/>
    <w:rsid w:val="00C63C03"/>
    <w:rsid w:val="00C70217"/>
    <w:rsid w:val="00C722AB"/>
    <w:rsid w:val="00C7417C"/>
    <w:rsid w:val="00C74FAD"/>
    <w:rsid w:val="00C80581"/>
    <w:rsid w:val="00C81590"/>
    <w:rsid w:val="00C817D9"/>
    <w:rsid w:val="00C81F21"/>
    <w:rsid w:val="00C8213B"/>
    <w:rsid w:val="00C82CEE"/>
    <w:rsid w:val="00C844C3"/>
    <w:rsid w:val="00C845A0"/>
    <w:rsid w:val="00C87284"/>
    <w:rsid w:val="00C90007"/>
    <w:rsid w:val="00C9218D"/>
    <w:rsid w:val="00C96B62"/>
    <w:rsid w:val="00C97BA6"/>
    <w:rsid w:val="00CA1CE3"/>
    <w:rsid w:val="00CB02FF"/>
    <w:rsid w:val="00CB034A"/>
    <w:rsid w:val="00CB1AC7"/>
    <w:rsid w:val="00CB5553"/>
    <w:rsid w:val="00CB6684"/>
    <w:rsid w:val="00CB765E"/>
    <w:rsid w:val="00CB7720"/>
    <w:rsid w:val="00CC2B32"/>
    <w:rsid w:val="00CC2B37"/>
    <w:rsid w:val="00CC4459"/>
    <w:rsid w:val="00CC4E0F"/>
    <w:rsid w:val="00CC6484"/>
    <w:rsid w:val="00CD1DEE"/>
    <w:rsid w:val="00CD37AC"/>
    <w:rsid w:val="00CD3A97"/>
    <w:rsid w:val="00CD6C43"/>
    <w:rsid w:val="00CE15C1"/>
    <w:rsid w:val="00CF0CEB"/>
    <w:rsid w:val="00CF3637"/>
    <w:rsid w:val="00CF3918"/>
    <w:rsid w:val="00CF5B55"/>
    <w:rsid w:val="00D00ABF"/>
    <w:rsid w:val="00D05861"/>
    <w:rsid w:val="00D13497"/>
    <w:rsid w:val="00D14D54"/>
    <w:rsid w:val="00D17D6F"/>
    <w:rsid w:val="00D23345"/>
    <w:rsid w:val="00D23F52"/>
    <w:rsid w:val="00D2418A"/>
    <w:rsid w:val="00D248F6"/>
    <w:rsid w:val="00D303E1"/>
    <w:rsid w:val="00D31B49"/>
    <w:rsid w:val="00D3557A"/>
    <w:rsid w:val="00D35EBD"/>
    <w:rsid w:val="00D41D71"/>
    <w:rsid w:val="00D45A23"/>
    <w:rsid w:val="00D53BBC"/>
    <w:rsid w:val="00D54F06"/>
    <w:rsid w:val="00D5679C"/>
    <w:rsid w:val="00D6158E"/>
    <w:rsid w:val="00D641A1"/>
    <w:rsid w:val="00D6450D"/>
    <w:rsid w:val="00D6494B"/>
    <w:rsid w:val="00D66A8B"/>
    <w:rsid w:val="00D67630"/>
    <w:rsid w:val="00D70E6D"/>
    <w:rsid w:val="00D7327B"/>
    <w:rsid w:val="00D735DC"/>
    <w:rsid w:val="00D74BBA"/>
    <w:rsid w:val="00D847C3"/>
    <w:rsid w:val="00D85C41"/>
    <w:rsid w:val="00D85F2B"/>
    <w:rsid w:val="00D90A4D"/>
    <w:rsid w:val="00D93010"/>
    <w:rsid w:val="00D9438E"/>
    <w:rsid w:val="00DA0959"/>
    <w:rsid w:val="00DA4A4C"/>
    <w:rsid w:val="00DA525E"/>
    <w:rsid w:val="00DA5573"/>
    <w:rsid w:val="00DA5AE6"/>
    <w:rsid w:val="00DA68FA"/>
    <w:rsid w:val="00DA6C1E"/>
    <w:rsid w:val="00DA78A7"/>
    <w:rsid w:val="00DB0FB4"/>
    <w:rsid w:val="00DB1131"/>
    <w:rsid w:val="00DB1496"/>
    <w:rsid w:val="00DB27E6"/>
    <w:rsid w:val="00DB4311"/>
    <w:rsid w:val="00DC2C06"/>
    <w:rsid w:val="00DC35D4"/>
    <w:rsid w:val="00DC5C0C"/>
    <w:rsid w:val="00DD3D98"/>
    <w:rsid w:val="00DD4662"/>
    <w:rsid w:val="00DD4A95"/>
    <w:rsid w:val="00DD7EB6"/>
    <w:rsid w:val="00DE0A25"/>
    <w:rsid w:val="00DE6932"/>
    <w:rsid w:val="00DF46EB"/>
    <w:rsid w:val="00DF7784"/>
    <w:rsid w:val="00E009A0"/>
    <w:rsid w:val="00E00E05"/>
    <w:rsid w:val="00E03D56"/>
    <w:rsid w:val="00E11366"/>
    <w:rsid w:val="00E119A8"/>
    <w:rsid w:val="00E11DE3"/>
    <w:rsid w:val="00E15039"/>
    <w:rsid w:val="00E17629"/>
    <w:rsid w:val="00E200A0"/>
    <w:rsid w:val="00E20901"/>
    <w:rsid w:val="00E2156A"/>
    <w:rsid w:val="00E240E4"/>
    <w:rsid w:val="00E2699B"/>
    <w:rsid w:val="00E2799F"/>
    <w:rsid w:val="00E32D5F"/>
    <w:rsid w:val="00E41A41"/>
    <w:rsid w:val="00E42A63"/>
    <w:rsid w:val="00E4346E"/>
    <w:rsid w:val="00E44C01"/>
    <w:rsid w:val="00E47082"/>
    <w:rsid w:val="00E50BBC"/>
    <w:rsid w:val="00E50F2B"/>
    <w:rsid w:val="00E56791"/>
    <w:rsid w:val="00E57B71"/>
    <w:rsid w:val="00E60584"/>
    <w:rsid w:val="00E62B16"/>
    <w:rsid w:val="00E6742B"/>
    <w:rsid w:val="00E676A0"/>
    <w:rsid w:val="00E71F41"/>
    <w:rsid w:val="00E74428"/>
    <w:rsid w:val="00E752D2"/>
    <w:rsid w:val="00E759D9"/>
    <w:rsid w:val="00E76693"/>
    <w:rsid w:val="00E76A9B"/>
    <w:rsid w:val="00E77B19"/>
    <w:rsid w:val="00E817DD"/>
    <w:rsid w:val="00E83306"/>
    <w:rsid w:val="00E839FB"/>
    <w:rsid w:val="00E85C86"/>
    <w:rsid w:val="00E8640A"/>
    <w:rsid w:val="00E9644C"/>
    <w:rsid w:val="00E9695A"/>
    <w:rsid w:val="00E979B0"/>
    <w:rsid w:val="00EA0D5C"/>
    <w:rsid w:val="00EA3B2D"/>
    <w:rsid w:val="00EA5598"/>
    <w:rsid w:val="00EA6BC8"/>
    <w:rsid w:val="00EA6F6C"/>
    <w:rsid w:val="00EA7D11"/>
    <w:rsid w:val="00EB05B1"/>
    <w:rsid w:val="00EB0F0C"/>
    <w:rsid w:val="00EB3235"/>
    <w:rsid w:val="00EB3B9C"/>
    <w:rsid w:val="00EB4157"/>
    <w:rsid w:val="00EB46E1"/>
    <w:rsid w:val="00EB52EF"/>
    <w:rsid w:val="00EC2AD6"/>
    <w:rsid w:val="00EC537A"/>
    <w:rsid w:val="00EC6B56"/>
    <w:rsid w:val="00EC7AF7"/>
    <w:rsid w:val="00EC7DFB"/>
    <w:rsid w:val="00ED2FF4"/>
    <w:rsid w:val="00ED49E0"/>
    <w:rsid w:val="00ED56DD"/>
    <w:rsid w:val="00ED6DB3"/>
    <w:rsid w:val="00EE04D2"/>
    <w:rsid w:val="00EE09A8"/>
    <w:rsid w:val="00EE20A5"/>
    <w:rsid w:val="00EE5B8E"/>
    <w:rsid w:val="00EE5CD0"/>
    <w:rsid w:val="00EF0162"/>
    <w:rsid w:val="00EF5CEB"/>
    <w:rsid w:val="00F04BE7"/>
    <w:rsid w:val="00F125BC"/>
    <w:rsid w:val="00F12AE1"/>
    <w:rsid w:val="00F12C53"/>
    <w:rsid w:val="00F14E85"/>
    <w:rsid w:val="00F1634E"/>
    <w:rsid w:val="00F204D6"/>
    <w:rsid w:val="00F21E4A"/>
    <w:rsid w:val="00F234B7"/>
    <w:rsid w:val="00F23804"/>
    <w:rsid w:val="00F2639C"/>
    <w:rsid w:val="00F263E2"/>
    <w:rsid w:val="00F27C2A"/>
    <w:rsid w:val="00F30FEA"/>
    <w:rsid w:val="00F33DD9"/>
    <w:rsid w:val="00F34A3D"/>
    <w:rsid w:val="00F3527E"/>
    <w:rsid w:val="00F353CC"/>
    <w:rsid w:val="00F36CF5"/>
    <w:rsid w:val="00F40B10"/>
    <w:rsid w:val="00F41A1A"/>
    <w:rsid w:val="00F42C01"/>
    <w:rsid w:val="00F45B8B"/>
    <w:rsid w:val="00F46151"/>
    <w:rsid w:val="00F47492"/>
    <w:rsid w:val="00F51AAA"/>
    <w:rsid w:val="00F5396C"/>
    <w:rsid w:val="00F55596"/>
    <w:rsid w:val="00F56D6D"/>
    <w:rsid w:val="00F60A29"/>
    <w:rsid w:val="00F63144"/>
    <w:rsid w:val="00F664A3"/>
    <w:rsid w:val="00F713FF"/>
    <w:rsid w:val="00F71D2E"/>
    <w:rsid w:val="00F720A6"/>
    <w:rsid w:val="00F83DB5"/>
    <w:rsid w:val="00F85861"/>
    <w:rsid w:val="00F860BF"/>
    <w:rsid w:val="00F9383E"/>
    <w:rsid w:val="00FA63C6"/>
    <w:rsid w:val="00FA70A6"/>
    <w:rsid w:val="00FA74EA"/>
    <w:rsid w:val="00FA7BE0"/>
    <w:rsid w:val="00FB5F17"/>
    <w:rsid w:val="00FB7D0F"/>
    <w:rsid w:val="00FC016E"/>
    <w:rsid w:val="00FC1ED6"/>
    <w:rsid w:val="00FC3BF6"/>
    <w:rsid w:val="00FC5464"/>
    <w:rsid w:val="00FC5C4A"/>
    <w:rsid w:val="00FD051F"/>
    <w:rsid w:val="00FD1010"/>
    <w:rsid w:val="00FD538B"/>
    <w:rsid w:val="00FD5C08"/>
    <w:rsid w:val="00FD5C72"/>
    <w:rsid w:val="00FE0685"/>
    <w:rsid w:val="00FE54D8"/>
    <w:rsid w:val="00FE5C7F"/>
    <w:rsid w:val="00FE6843"/>
    <w:rsid w:val="00FF3471"/>
    <w:rsid w:val="00FF5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F221"/>
  <w15:chartTrackingRefBased/>
  <w15:docId w15:val="{21EF9419-20AE-4252-9190-22DF62C8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64"/>
    <w:pPr>
      <w:autoSpaceDE w:val="0"/>
      <w:autoSpaceDN w:val="0"/>
      <w:adjustRightInd w:val="0"/>
      <w:spacing w:after="0" w:line="240" w:lineRule="auto"/>
    </w:pPr>
    <w:rPr>
      <w:rFonts w:ascii="Garamond" w:hAnsi="Garamond"/>
      <w:sz w:val="24"/>
      <w:szCs w:val="24"/>
    </w:rPr>
  </w:style>
  <w:style w:type="paragraph" w:styleId="Heading1">
    <w:name w:val="heading 1"/>
    <w:basedOn w:val="Normal"/>
    <w:next w:val="Normal"/>
    <w:link w:val="Heading1Char"/>
    <w:uiPriority w:val="9"/>
    <w:qFormat/>
    <w:rsid w:val="009A02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2FB"/>
    <w:pPr>
      <w:outlineLvl w:val="1"/>
    </w:pPr>
    <w:rPr>
      <w:b/>
    </w:rPr>
  </w:style>
  <w:style w:type="paragraph" w:styleId="Heading3">
    <w:name w:val="heading 3"/>
    <w:basedOn w:val="Normal"/>
    <w:next w:val="Normal"/>
    <w:link w:val="Heading3Char"/>
    <w:uiPriority w:val="9"/>
    <w:unhideWhenUsed/>
    <w:qFormat/>
    <w:rsid w:val="00394EF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2FB"/>
    <w:rPr>
      <w:rFonts w:ascii="Garamond" w:hAnsi="Garamond"/>
      <w:b/>
    </w:rPr>
  </w:style>
  <w:style w:type="paragraph" w:styleId="ListParagraph">
    <w:name w:val="List Paragraph"/>
    <w:basedOn w:val="Normal"/>
    <w:uiPriority w:val="34"/>
    <w:qFormat/>
    <w:rsid w:val="00896B65"/>
    <w:pPr>
      <w:ind w:left="720"/>
      <w:contextualSpacing/>
    </w:pPr>
  </w:style>
  <w:style w:type="paragraph" w:styleId="Header">
    <w:name w:val="header"/>
    <w:basedOn w:val="Normal"/>
    <w:link w:val="HeaderChar"/>
    <w:uiPriority w:val="99"/>
    <w:unhideWhenUsed/>
    <w:rsid w:val="00E8640A"/>
    <w:pPr>
      <w:tabs>
        <w:tab w:val="center" w:pos="4513"/>
        <w:tab w:val="right" w:pos="9026"/>
      </w:tabs>
    </w:pPr>
  </w:style>
  <w:style w:type="character" w:customStyle="1" w:styleId="HeaderChar">
    <w:name w:val="Header Char"/>
    <w:basedOn w:val="DefaultParagraphFont"/>
    <w:link w:val="Header"/>
    <w:uiPriority w:val="99"/>
    <w:rsid w:val="00E8640A"/>
  </w:style>
  <w:style w:type="paragraph" w:styleId="Footer">
    <w:name w:val="footer"/>
    <w:basedOn w:val="Normal"/>
    <w:link w:val="FooterChar"/>
    <w:uiPriority w:val="99"/>
    <w:unhideWhenUsed/>
    <w:rsid w:val="00E8640A"/>
    <w:pPr>
      <w:tabs>
        <w:tab w:val="center" w:pos="4513"/>
        <w:tab w:val="right" w:pos="9026"/>
      </w:tabs>
    </w:pPr>
  </w:style>
  <w:style w:type="character" w:customStyle="1" w:styleId="FooterChar">
    <w:name w:val="Footer Char"/>
    <w:basedOn w:val="DefaultParagraphFont"/>
    <w:link w:val="Footer"/>
    <w:uiPriority w:val="99"/>
    <w:rsid w:val="00E8640A"/>
  </w:style>
  <w:style w:type="paragraph" w:styleId="FootnoteText">
    <w:name w:val="footnote text"/>
    <w:basedOn w:val="Normal"/>
    <w:link w:val="FootnoteTextChar"/>
    <w:uiPriority w:val="99"/>
    <w:unhideWhenUsed/>
    <w:rsid w:val="00C018E1"/>
    <w:rPr>
      <w:sz w:val="20"/>
      <w:szCs w:val="20"/>
    </w:rPr>
  </w:style>
  <w:style w:type="character" w:customStyle="1" w:styleId="FootnoteTextChar">
    <w:name w:val="Footnote Text Char"/>
    <w:basedOn w:val="DefaultParagraphFont"/>
    <w:link w:val="FootnoteText"/>
    <w:uiPriority w:val="99"/>
    <w:rsid w:val="00C018E1"/>
    <w:rPr>
      <w:sz w:val="20"/>
      <w:szCs w:val="20"/>
    </w:rPr>
  </w:style>
  <w:style w:type="character" w:styleId="FootnoteReference">
    <w:name w:val="footnote reference"/>
    <w:basedOn w:val="DefaultParagraphFont"/>
    <w:uiPriority w:val="99"/>
    <w:semiHidden/>
    <w:unhideWhenUsed/>
    <w:rsid w:val="00C018E1"/>
    <w:rPr>
      <w:vertAlign w:val="superscript"/>
    </w:rPr>
  </w:style>
  <w:style w:type="character" w:customStyle="1" w:styleId="Heading1Char">
    <w:name w:val="Heading 1 Char"/>
    <w:basedOn w:val="DefaultParagraphFont"/>
    <w:link w:val="Heading1"/>
    <w:uiPriority w:val="9"/>
    <w:rsid w:val="009A02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94EF4"/>
    <w:rPr>
      <w:rFonts w:ascii="Garamond" w:hAnsi="Garamond"/>
      <w:b/>
      <w:sz w:val="24"/>
      <w:szCs w:val="24"/>
    </w:rPr>
  </w:style>
  <w:style w:type="character" w:styleId="CommentReference">
    <w:name w:val="annotation reference"/>
    <w:basedOn w:val="DefaultParagraphFont"/>
    <w:uiPriority w:val="99"/>
    <w:semiHidden/>
    <w:unhideWhenUsed/>
    <w:rsid w:val="00AD3746"/>
    <w:rPr>
      <w:sz w:val="16"/>
      <w:szCs w:val="16"/>
    </w:rPr>
  </w:style>
  <w:style w:type="paragraph" w:styleId="CommentText">
    <w:name w:val="annotation text"/>
    <w:basedOn w:val="Normal"/>
    <w:link w:val="CommentTextChar"/>
    <w:uiPriority w:val="99"/>
    <w:unhideWhenUsed/>
    <w:rsid w:val="00AD3746"/>
    <w:rPr>
      <w:sz w:val="20"/>
      <w:szCs w:val="20"/>
    </w:rPr>
  </w:style>
  <w:style w:type="character" w:customStyle="1" w:styleId="CommentTextChar">
    <w:name w:val="Comment Text Char"/>
    <w:basedOn w:val="DefaultParagraphFont"/>
    <w:link w:val="CommentText"/>
    <w:uiPriority w:val="99"/>
    <w:rsid w:val="00AD3746"/>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D3746"/>
    <w:rPr>
      <w:b/>
      <w:bCs/>
    </w:rPr>
  </w:style>
  <w:style w:type="character" w:customStyle="1" w:styleId="CommentSubjectChar">
    <w:name w:val="Comment Subject Char"/>
    <w:basedOn w:val="CommentTextChar"/>
    <w:link w:val="CommentSubject"/>
    <w:uiPriority w:val="99"/>
    <w:semiHidden/>
    <w:rsid w:val="00AD3746"/>
    <w:rPr>
      <w:rFonts w:ascii="Garamond" w:hAnsi="Garamond"/>
      <w:b/>
      <w:bCs/>
      <w:sz w:val="20"/>
      <w:szCs w:val="20"/>
    </w:rPr>
  </w:style>
  <w:style w:type="paragraph" w:styleId="BalloonText">
    <w:name w:val="Balloon Text"/>
    <w:basedOn w:val="Normal"/>
    <w:link w:val="BalloonTextChar"/>
    <w:uiPriority w:val="99"/>
    <w:semiHidden/>
    <w:unhideWhenUsed/>
    <w:rsid w:val="00AD3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46"/>
    <w:rPr>
      <w:rFonts w:ascii="Segoe UI" w:hAnsi="Segoe UI" w:cs="Segoe UI"/>
      <w:sz w:val="18"/>
      <w:szCs w:val="18"/>
    </w:rPr>
  </w:style>
  <w:style w:type="character" w:styleId="Hyperlink">
    <w:name w:val="Hyperlink"/>
    <w:basedOn w:val="DefaultParagraphFont"/>
    <w:uiPriority w:val="99"/>
    <w:unhideWhenUsed/>
    <w:rsid w:val="006C1349"/>
    <w:rPr>
      <w:color w:val="0000FF"/>
      <w:u w:val="single"/>
    </w:rPr>
  </w:style>
  <w:style w:type="paragraph" w:styleId="Revision">
    <w:name w:val="Revision"/>
    <w:hidden/>
    <w:uiPriority w:val="99"/>
    <w:semiHidden/>
    <w:rsid w:val="00C144EA"/>
    <w:pPr>
      <w:spacing w:after="0" w:line="240" w:lineRule="auto"/>
    </w:pPr>
    <w:rPr>
      <w:rFonts w:ascii="Garamond" w:hAnsi="Garamond"/>
      <w:sz w:val="24"/>
      <w:szCs w:val="24"/>
    </w:rPr>
  </w:style>
  <w:style w:type="character" w:styleId="FollowedHyperlink">
    <w:name w:val="FollowedHyperlink"/>
    <w:basedOn w:val="DefaultParagraphFont"/>
    <w:uiPriority w:val="99"/>
    <w:semiHidden/>
    <w:unhideWhenUsed/>
    <w:rsid w:val="00030F4D"/>
    <w:rPr>
      <w:color w:val="954F72" w:themeColor="followedHyperlink"/>
      <w:u w:val="single"/>
    </w:rPr>
  </w:style>
  <w:style w:type="character" w:styleId="UnresolvedMention">
    <w:name w:val="Unresolved Mention"/>
    <w:basedOn w:val="DefaultParagraphFont"/>
    <w:uiPriority w:val="99"/>
    <w:semiHidden/>
    <w:unhideWhenUsed/>
    <w:rsid w:val="00937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6336">
      <w:bodyDiv w:val="1"/>
      <w:marLeft w:val="0"/>
      <w:marRight w:val="0"/>
      <w:marTop w:val="0"/>
      <w:marBottom w:val="0"/>
      <w:divBdr>
        <w:top w:val="none" w:sz="0" w:space="0" w:color="auto"/>
        <w:left w:val="none" w:sz="0" w:space="0" w:color="auto"/>
        <w:bottom w:val="none" w:sz="0" w:space="0" w:color="auto"/>
        <w:right w:val="none" w:sz="0" w:space="0" w:color="auto"/>
      </w:divBdr>
    </w:div>
    <w:div w:id="116225208">
      <w:bodyDiv w:val="1"/>
      <w:marLeft w:val="0"/>
      <w:marRight w:val="0"/>
      <w:marTop w:val="0"/>
      <w:marBottom w:val="0"/>
      <w:divBdr>
        <w:top w:val="none" w:sz="0" w:space="0" w:color="auto"/>
        <w:left w:val="none" w:sz="0" w:space="0" w:color="auto"/>
        <w:bottom w:val="none" w:sz="0" w:space="0" w:color="auto"/>
        <w:right w:val="none" w:sz="0" w:space="0" w:color="auto"/>
      </w:divBdr>
    </w:div>
    <w:div w:id="177013222">
      <w:bodyDiv w:val="1"/>
      <w:marLeft w:val="0"/>
      <w:marRight w:val="0"/>
      <w:marTop w:val="0"/>
      <w:marBottom w:val="0"/>
      <w:divBdr>
        <w:top w:val="none" w:sz="0" w:space="0" w:color="auto"/>
        <w:left w:val="none" w:sz="0" w:space="0" w:color="auto"/>
        <w:bottom w:val="none" w:sz="0" w:space="0" w:color="auto"/>
        <w:right w:val="none" w:sz="0" w:space="0" w:color="auto"/>
      </w:divBdr>
    </w:div>
    <w:div w:id="279385559">
      <w:bodyDiv w:val="1"/>
      <w:marLeft w:val="0"/>
      <w:marRight w:val="0"/>
      <w:marTop w:val="0"/>
      <w:marBottom w:val="0"/>
      <w:divBdr>
        <w:top w:val="none" w:sz="0" w:space="0" w:color="auto"/>
        <w:left w:val="none" w:sz="0" w:space="0" w:color="auto"/>
        <w:bottom w:val="none" w:sz="0" w:space="0" w:color="auto"/>
        <w:right w:val="none" w:sz="0" w:space="0" w:color="auto"/>
      </w:divBdr>
    </w:div>
    <w:div w:id="379212867">
      <w:bodyDiv w:val="1"/>
      <w:marLeft w:val="0"/>
      <w:marRight w:val="0"/>
      <w:marTop w:val="0"/>
      <w:marBottom w:val="0"/>
      <w:divBdr>
        <w:top w:val="none" w:sz="0" w:space="0" w:color="auto"/>
        <w:left w:val="none" w:sz="0" w:space="0" w:color="auto"/>
        <w:bottom w:val="none" w:sz="0" w:space="0" w:color="auto"/>
        <w:right w:val="none" w:sz="0" w:space="0" w:color="auto"/>
      </w:divBdr>
    </w:div>
    <w:div w:id="533925621">
      <w:bodyDiv w:val="1"/>
      <w:marLeft w:val="0"/>
      <w:marRight w:val="0"/>
      <w:marTop w:val="0"/>
      <w:marBottom w:val="0"/>
      <w:divBdr>
        <w:top w:val="none" w:sz="0" w:space="0" w:color="auto"/>
        <w:left w:val="none" w:sz="0" w:space="0" w:color="auto"/>
        <w:bottom w:val="none" w:sz="0" w:space="0" w:color="auto"/>
        <w:right w:val="none" w:sz="0" w:space="0" w:color="auto"/>
      </w:divBdr>
    </w:div>
    <w:div w:id="653067068">
      <w:bodyDiv w:val="1"/>
      <w:marLeft w:val="0"/>
      <w:marRight w:val="0"/>
      <w:marTop w:val="0"/>
      <w:marBottom w:val="0"/>
      <w:divBdr>
        <w:top w:val="none" w:sz="0" w:space="0" w:color="auto"/>
        <w:left w:val="none" w:sz="0" w:space="0" w:color="auto"/>
        <w:bottom w:val="none" w:sz="0" w:space="0" w:color="auto"/>
        <w:right w:val="none" w:sz="0" w:space="0" w:color="auto"/>
      </w:divBdr>
    </w:div>
    <w:div w:id="659117070">
      <w:bodyDiv w:val="1"/>
      <w:marLeft w:val="0"/>
      <w:marRight w:val="0"/>
      <w:marTop w:val="0"/>
      <w:marBottom w:val="0"/>
      <w:divBdr>
        <w:top w:val="none" w:sz="0" w:space="0" w:color="auto"/>
        <w:left w:val="none" w:sz="0" w:space="0" w:color="auto"/>
        <w:bottom w:val="none" w:sz="0" w:space="0" w:color="auto"/>
        <w:right w:val="none" w:sz="0" w:space="0" w:color="auto"/>
      </w:divBdr>
    </w:div>
    <w:div w:id="698897231">
      <w:bodyDiv w:val="1"/>
      <w:marLeft w:val="0"/>
      <w:marRight w:val="0"/>
      <w:marTop w:val="0"/>
      <w:marBottom w:val="0"/>
      <w:divBdr>
        <w:top w:val="none" w:sz="0" w:space="0" w:color="auto"/>
        <w:left w:val="none" w:sz="0" w:space="0" w:color="auto"/>
        <w:bottom w:val="none" w:sz="0" w:space="0" w:color="auto"/>
        <w:right w:val="none" w:sz="0" w:space="0" w:color="auto"/>
      </w:divBdr>
    </w:div>
    <w:div w:id="732503040">
      <w:bodyDiv w:val="1"/>
      <w:marLeft w:val="0"/>
      <w:marRight w:val="0"/>
      <w:marTop w:val="0"/>
      <w:marBottom w:val="0"/>
      <w:divBdr>
        <w:top w:val="none" w:sz="0" w:space="0" w:color="auto"/>
        <w:left w:val="none" w:sz="0" w:space="0" w:color="auto"/>
        <w:bottom w:val="none" w:sz="0" w:space="0" w:color="auto"/>
        <w:right w:val="none" w:sz="0" w:space="0" w:color="auto"/>
      </w:divBdr>
    </w:div>
    <w:div w:id="775373555">
      <w:bodyDiv w:val="1"/>
      <w:marLeft w:val="0"/>
      <w:marRight w:val="0"/>
      <w:marTop w:val="0"/>
      <w:marBottom w:val="0"/>
      <w:divBdr>
        <w:top w:val="none" w:sz="0" w:space="0" w:color="auto"/>
        <w:left w:val="none" w:sz="0" w:space="0" w:color="auto"/>
        <w:bottom w:val="none" w:sz="0" w:space="0" w:color="auto"/>
        <w:right w:val="none" w:sz="0" w:space="0" w:color="auto"/>
      </w:divBdr>
    </w:div>
    <w:div w:id="777335339">
      <w:bodyDiv w:val="1"/>
      <w:marLeft w:val="0"/>
      <w:marRight w:val="0"/>
      <w:marTop w:val="0"/>
      <w:marBottom w:val="0"/>
      <w:divBdr>
        <w:top w:val="none" w:sz="0" w:space="0" w:color="auto"/>
        <w:left w:val="none" w:sz="0" w:space="0" w:color="auto"/>
        <w:bottom w:val="none" w:sz="0" w:space="0" w:color="auto"/>
        <w:right w:val="none" w:sz="0" w:space="0" w:color="auto"/>
      </w:divBdr>
    </w:div>
    <w:div w:id="792987577">
      <w:bodyDiv w:val="1"/>
      <w:marLeft w:val="0"/>
      <w:marRight w:val="0"/>
      <w:marTop w:val="0"/>
      <w:marBottom w:val="0"/>
      <w:divBdr>
        <w:top w:val="none" w:sz="0" w:space="0" w:color="auto"/>
        <w:left w:val="none" w:sz="0" w:space="0" w:color="auto"/>
        <w:bottom w:val="none" w:sz="0" w:space="0" w:color="auto"/>
        <w:right w:val="none" w:sz="0" w:space="0" w:color="auto"/>
      </w:divBdr>
    </w:div>
    <w:div w:id="970096500">
      <w:bodyDiv w:val="1"/>
      <w:marLeft w:val="0"/>
      <w:marRight w:val="0"/>
      <w:marTop w:val="0"/>
      <w:marBottom w:val="0"/>
      <w:divBdr>
        <w:top w:val="none" w:sz="0" w:space="0" w:color="auto"/>
        <w:left w:val="none" w:sz="0" w:space="0" w:color="auto"/>
        <w:bottom w:val="none" w:sz="0" w:space="0" w:color="auto"/>
        <w:right w:val="none" w:sz="0" w:space="0" w:color="auto"/>
      </w:divBdr>
    </w:div>
    <w:div w:id="1023945564">
      <w:bodyDiv w:val="1"/>
      <w:marLeft w:val="0"/>
      <w:marRight w:val="0"/>
      <w:marTop w:val="0"/>
      <w:marBottom w:val="0"/>
      <w:divBdr>
        <w:top w:val="none" w:sz="0" w:space="0" w:color="auto"/>
        <w:left w:val="none" w:sz="0" w:space="0" w:color="auto"/>
        <w:bottom w:val="none" w:sz="0" w:space="0" w:color="auto"/>
        <w:right w:val="none" w:sz="0" w:space="0" w:color="auto"/>
      </w:divBdr>
      <w:divsChild>
        <w:div w:id="1712613066">
          <w:marLeft w:val="0"/>
          <w:marRight w:val="0"/>
          <w:marTop w:val="0"/>
          <w:marBottom w:val="0"/>
          <w:divBdr>
            <w:top w:val="none" w:sz="0" w:space="0" w:color="auto"/>
            <w:left w:val="none" w:sz="0" w:space="0" w:color="auto"/>
            <w:bottom w:val="none" w:sz="0" w:space="0" w:color="auto"/>
            <w:right w:val="none" w:sz="0" w:space="0" w:color="auto"/>
          </w:divBdr>
          <w:divsChild>
            <w:div w:id="585040865">
              <w:marLeft w:val="0"/>
              <w:marRight w:val="0"/>
              <w:marTop w:val="0"/>
              <w:marBottom w:val="0"/>
              <w:divBdr>
                <w:top w:val="none" w:sz="0" w:space="0" w:color="auto"/>
                <w:left w:val="none" w:sz="0" w:space="0" w:color="auto"/>
                <w:bottom w:val="none" w:sz="0" w:space="0" w:color="auto"/>
                <w:right w:val="none" w:sz="0" w:space="0" w:color="auto"/>
              </w:divBdr>
              <w:divsChild>
                <w:div w:id="390465486">
                  <w:marLeft w:val="0"/>
                  <w:marRight w:val="0"/>
                  <w:marTop w:val="0"/>
                  <w:marBottom w:val="0"/>
                  <w:divBdr>
                    <w:top w:val="none" w:sz="0" w:space="0" w:color="auto"/>
                    <w:left w:val="none" w:sz="0" w:space="0" w:color="auto"/>
                    <w:bottom w:val="none" w:sz="0" w:space="0" w:color="auto"/>
                    <w:right w:val="none" w:sz="0" w:space="0" w:color="auto"/>
                  </w:divBdr>
                </w:div>
                <w:div w:id="1476684206">
                  <w:marLeft w:val="0"/>
                  <w:marRight w:val="0"/>
                  <w:marTop w:val="0"/>
                  <w:marBottom w:val="0"/>
                  <w:divBdr>
                    <w:top w:val="none" w:sz="0" w:space="0" w:color="auto"/>
                    <w:left w:val="none" w:sz="0" w:space="0" w:color="auto"/>
                    <w:bottom w:val="none" w:sz="0" w:space="0" w:color="auto"/>
                    <w:right w:val="none" w:sz="0" w:space="0" w:color="auto"/>
                  </w:divBdr>
                  <w:divsChild>
                    <w:div w:id="1331325508">
                      <w:marLeft w:val="0"/>
                      <w:marRight w:val="240"/>
                      <w:marTop w:val="0"/>
                      <w:marBottom w:val="240"/>
                      <w:divBdr>
                        <w:top w:val="single" w:sz="6" w:space="0" w:color="DCDCDC"/>
                        <w:left w:val="single" w:sz="6" w:space="0" w:color="DCDCDC"/>
                        <w:bottom w:val="single" w:sz="6" w:space="0" w:color="DCDCDC"/>
                        <w:right w:val="single" w:sz="6" w:space="0" w:color="DCDCDC"/>
                      </w:divBdr>
                    </w:div>
                  </w:divsChild>
                </w:div>
                <w:div w:id="1403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8894">
          <w:marLeft w:val="0"/>
          <w:marRight w:val="0"/>
          <w:marTop w:val="0"/>
          <w:marBottom w:val="120"/>
          <w:divBdr>
            <w:top w:val="none" w:sz="0" w:space="0" w:color="auto"/>
            <w:left w:val="none" w:sz="0" w:space="0" w:color="auto"/>
            <w:bottom w:val="single" w:sz="12" w:space="9" w:color="EBEBEB"/>
            <w:right w:val="none" w:sz="0" w:space="0" w:color="auto"/>
          </w:divBdr>
          <w:divsChild>
            <w:div w:id="105975996">
              <w:marLeft w:val="0"/>
              <w:marRight w:val="0"/>
              <w:marTop w:val="0"/>
              <w:marBottom w:val="0"/>
              <w:divBdr>
                <w:top w:val="none" w:sz="0" w:space="0" w:color="auto"/>
                <w:left w:val="none" w:sz="0" w:space="0" w:color="auto"/>
                <w:bottom w:val="none" w:sz="0" w:space="0" w:color="auto"/>
                <w:right w:val="none" w:sz="0" w:space="0" w:color="auto"/>
              </w:divBdr>
            </w:div>
            <w:div w:id="681736437">
              <w:marLeft w:val="0"/>
              <w:marRight w:val="0"/>
              <w:marTop w:val="100"/>
              <w:marBottom w:val="100"/>
              <w:divBdr>
                <w:top w:val="none" w:sz="0" w:space="0" w:color="auto"/>
                <w:left w:val="none" w:sz="0" w:space="0" w:color="auto"/>
                <w:bottom w:val="none" w:sz="0" w:space="0" w:color="auto"/>
                <w:right w:val="none" w:sz="0" w:space="0" w:color="auto"/>
              </w:divBdr>
              <w:divsChild>
                <w:div w:id="469711903">
                  <w:marLeft w:val="0"/>
                  <w:marRight w:val="0"/>
                  <w:marTop w:val="0"/>
                  <w:marBottom w:val="0"/>
                  <w:divBdr>
                    <w:top w:val="none" w:sz="0" w:space="0" w:color="auto"/>
                    <w:left w:val="none" w:sz="0" w:space="0" w:color="auto"/>
                    <w:bottom w:val="none" w:sz="0" w:space="0" w:color="auto"/>
                    <w:right w:val="none" w:sz="0" w:space="0" w:color="auto"/>
                  </w:divBdr>
                </w:div>
                <w:div w:id="251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397">
          <w:marLeft w:val="0"/>
          <w:marRight w:val="0"/>
          <w:marTop w:val="0"/>
          <w:marBottom w:val="120"/>
          <w:divBdr>
            <w:top w:val="none" w:sz="0" w:space="0" w:color="auto"/>
            <w:left w:val="none" w:sz="0" w:space="0" w:color="auto"/>
            <w:bottom w:val="none" w:sz="0" w:space="0" w:color="auto"/>
            <w:right w:val="none" w:sz="0" w:space="0" w:color="auto"/>
          </w:divBdr>
          <w:divsChild>
            <w:div w:id="1787771196">
              <w:marLeft w:val="0"/>
              <w:marRight w:val="0"/>
              <w:marTop w:val="0"/>
              <w:marBottom w:val="0"/>
              <w:divBdr>
                <w:top w:val="none" w:sz="0" w:space="0" w:color="auto"/>
                <w:left w:val="none" w:sz="0" w:space="0" w:color="auto"/>
                <w:bottom w:val="none" w:sz="0" w:space="0" w:color="auto"/>
                <w:right w:val="none" w:sz="0" w:space="0" w:color="auto"/>
              </w:divBdr>
              <w:divsChild>
                <w:div w:id="726882033">
                  <w:marLeft w:val="0"/>
                  <w:marRight w:val="0"/>
                  <w:marTop w:val="0"/>
                  <w:marBottom w:val="0"/>
                  <w:divBdr>
                    <w:top w:val="none" w:sz="0" w:space="0" w:color="auto"/>
                    <w:left w:val="none" w:sz="0" w:space="0" w:color="auto"/>
                    <w:bottom w:val="none" w:sz="0" w:space="0" w:color="auto"/>
                    <w:right w:val="none" w:sz="0" w:space="0" w:color="auto"/>
                  </w:divBdr>
                  <w:divsChild>
                    <w:div w:id="1964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2394">
          <w:marLeft w:val="0"/>
          <w:marRight w:val="0"/>
          <w:marTop w:val="0"/>
          <w:marBottom w:val="0"/>
          <w:divBdr>
            <w:top w:val="none" w:sz="0" w:space="0" w:color="auto"/>
            <w:left w:val="none" w:sz="0" w:space="0" w:color="auto"/>
            <w:bottom w:val="none" w:sz="0" w:space="0" w:color="auto"/>
            <w:right w:val="none" w:sz="0" w:space="0" w:color="auto"/>
          </w:divBdr>
        </w:div>
      </w:divsChild>
    </w:div>
    <w:div w:id="1062096386">
      <w:bodyDiv w:val="1"/>
      <w:marLeft w:val="0"/>
      <w:marRight w:val="0"/>
      <w:marTop w:val="0"/>
      <w:marBottom w:val="0"/>
      <w:divBdr>
        <w:top w:val="none" w:sz="0" w:space="0" w:color="auto"/>
        <w:left w:val="none" w:sz="0" w:space="0" w:color="auto"/>
        <w:bottom w:val="none" w:sz="0" w:space="0" w:color="auto"/>
        <w:right w:val="none" w:sz="0" w:space="0" w:color="auto"/>
      </w:divBdr>
    </w:div>
    <w:div w:id="1102536232">
      <w:bodyDiv w:val="1"/>
      <w:marLeft w:val="0"/>
      <w:marRight w:val="0"/>
      <w:marTop w:val="0"/>
      <w:marBottom w:val="0"/>
      <w:divBdr>
        <w:top w:val="none" w:sz="0" w:space="0" w:color="auto"/>
        <w:left w:val="none" w:sz="0" w:space="0" w:color="auto"/>
        <w:bottom w:val="none" w:sz="0" w:space="0" w:color="auto"/>
        <w:right w:val="none" w:sz="0" w:space="0" w:color="auto"/>
      </w:divBdr>
    </w:div>
    <w:div w:id="1170177604">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233852977">
      <w:bodyDiv w:val="1"/>
      <w:marLeft w:val="0"/>
      <w:marRight w:val="0"/>
      <w:marTop w:val="0"/>
      <w:marBottom w:val="0"/>
      <w:divBdr>
        <w:top w:val="none" w:sz="0" w:space="0" w:color="auto"/>
        <w:left w:val="none" w:sz="0" w:space="0" w:color="auto"/>
        <w:bottom w:val="none" w:sz="0" w:space="0" w:color="auto"/>
        <w:right w:val="none" w:sz="0" w:space="0" w:color="auto"/>
      </w:divBdr>
    </w:div>
    <w:div w:id="1242056751">
      <w:bodyDiv w:val="1"/>
      <w:marLeft w:val="0"/>
      <w:marRight w:val="0"/>
      <w:marTop w:val="0"/>
      <w:marBottom w:val="0"/>
      <w:divBdr>
        <w:top w:val="none" w:sz="0" w:space="0" w:color="auto"/>
        <w:left w:val="none" w:sz="0" w:space="0" w:color="auto"/>
        <w:bottom w:val="none" w:sz="0" w:space="0" w:color="auto"/>
        <w:right w:val="none" w:sz="0" w:space="0" w:color="auto"/>
      </w:divBdr>
    </w:div>
    <w:div w:id="1290357897">
      <w:bodyDiv w:val="1"/>
      <w:marLeft w:val="0"/>
      <w:marRight w:val="0"/>
      <w:marTop w:val="0"/>
      <w:marBottom w:val="0"/>
      <w:divBdr>
        <w:top w:val="none" w:sz="0" w:space="0" w:color="auto"/>
        <w:left w:val="none" w:sz="0" w:space="0" w:color="auto"/>
        <w:bottom w:val="none" w:sz="0" w:space="0" w:color="auto"/>
        <w:right w:val="none" w:sz="0" w:space="0" w:color="auto"/>
      </w:divBdr>
    </w:div>
    <w:div w:id="1450776538">
      <w:bodyDiv w:val="1"/>
      <w:marLeft w:val="0"/>
      <w:marRight w:val="0"/>
      <w:marTop w:val="0"/>
      <w:marBottom w:val="0"/>
      <w:divBdr>
        <w:top w:val="none" w:sz="0" w:space="0" w:color="auto"/>
        <w:left w:val="none" w:sz="0" w:space="0" w:color="auto"/>
        <w:bottom w:val="none" w:sz="0" w:space="0" w:color="auto"/>
        <w:right w:val="none" w:sz="0" w:space="0" w:color="auto"/>
      </w:divBdr>
    </w:div>
    <w:div w:id="1473988678">
      <w:bodyDiv w:val="1"/>
      <w:marLeft w:val="0"/>
      <w:marRight w:val="0"/>
      <w:marTop w:val="0"/>
      <w:marBottom w:val="0"/>
      <w:divBdr>
        <w:top w:val="none" w:sz="0" w:space="0" w:color="auto"/>
        <w:left w:val="none" w:sz="0" w:space="0" w:color="auto"/>
        <w:bottom w:val="none" w:sz="0" w:space="0" w:color="auto"/>
        <w:right w:val="none" w:sz="0" w:space="0" w:color="auto"/>
      </w:divBdr>
    </w:div>
    <w:div w:id="1612589880">
      <w:bodyDiv w:val="1"/>
      <w:marLeft w:val="0"/>
      <w:marRight w:val="0"/>
      <w:marTop w:val="0"/>
      <w:marBottom w:val="0"/>
      <w:divBdr>
        <w:top w:val="none" w:sz="0" w:space="0" w:color="auto"/>
        <w:left w:val="none" w:sz="0" w:space="0" w:color="auto"/>
        <w:bottom w:val="none" w:sz="0" w:space="0" w:color="auto"/>
        <w:right w:val="none" w:sz="0" w:space="0" w:color="auto"/>
      </w:divBdr>
    </w:div>
    <w:div w:id="17907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da.org.au/wpcontent/uploads/The_heroin_reversal_drug_naloxone_FIN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jp.com.au/news/intranasal-naloxone-now-available-in-australia" TargetMode="External"/><Relationship Id="rId4" Type="http://schemas.openxmlformats.org/officeDocument/2006/relationships/settings" Target="settings.xml"/><Relationship Id="rId9" Type="http://schemas.openxmlformats.org/officeDocument/2006/relationships/hyperlink" Target="https://doi.org/10.1016/j.drugpo.2019.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2D65-4746-4984-884B-E4EE94E9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9729</Words>
  <Characters>55458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65057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Farrugia</dc:creator>
  <cp:keywords/>
  <dc:description/>
  <cp:lastModifiedBy>Renae Fomiatti</cp:lastModifiedBy>
  <cp:revision>3</cp:revision>
  <cp:lastPrinted>2019-12-12T03:35:00Z</cp:lastPrinted>
  <dcterms:created xsi:type="dcterms:W3CDTF">2019-12-20T02:30:00Z</dcterms:created>
  <dcterms:modified xsi:type="dcterms:W3CDTF">2019-12-20T02:30:00Z</dcterms:modified>
</cp:coreProperties>
</file>