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00B4" w14:textId="5F753E67" w:rsidR="00D006F5" w:rsidRPr="00C82BBD" w:rsidRDefault="00D006F5" w:rsidP="00C82BBD">
      <w:pPr>
        <w:pStyle w:val="Heading2"/>
        <w:spacing w:line="480" w:lineRule="auto"/>
        <w:rPr>
          <w:rFonts w:ascii="Garamond" w:hAnsi="Garamond"/>
          <w:b/>
          <w:sz w:val="22"/>
          <w:szCs w:val="22"/>
        </w:rPr>
      </w:pPr>
      <w:r w:rsidRPr="00C82BBD">
        <w:rPr>
          <w:rFonts w:ascii="Garamond" w:hAnsi="Garamond"/>
          <w:sz w:val="22"/>
          <w:szCs w:val="22"/>
        </w:rPr>
        <w:t>Take-home naloxone and the politics of care</w:t>
      </w:r>
    </w:p>
    <w:p w14:paraId="344907F0" w14:textId="77777777" w:rsidR="00C9235D" w:rsidRPr="00C9235D" w:rsidRDefault="00C9235D" w:rsidP="00C9235D">
      <w:pPr>
        <w:autoSpaceDE w:val="0"/>
        <w:autoSpaceDN w:val="0"/>
        <w:adjustRightInd w:val="0"/>
        <w:spacing w:after="0" w:line="240" w:lineRule="auto"/>
        <w:rPr>
          <w:rFonts w:ascii="Garamond" w:hAnsi="Garamond" w:cs="Garamond"/>
          <w:color w:val="000000"/>
          <w:sz w:val="24"/>
          <w:szCs w:val="24"/>
          <w:lang w:val="en-AU"/>
        </w:rPr>
      </w:pPr>
    </w:p>
    <w:p w14:paraId="22CABC47" w14:textId="286C27BD" w:rsidR="00FA2140" w:rsidRPr="005F6A00" w:rsidRDefault="00C9235D" w:rsidP="00C9235D">
      <w:pPr>
        <w:autoSpaceDE w:val="0"/>
        <w:autoSpaceDN w:val="0"/>
        <w:adjustRightInd w:val="0"/>
        <w:spacing w:after="0" w:line="480" w:lineRule="auto"/>
        <w:rPr>
          <w:rFonts w:ascii="Garamond" w:hAnsi="Garamond" w:cs="Garamond"/>
          <w:lang w:val="en-AU"/>
        </w:rPr>
      </w:pPr>
      <w:r w:rsidRPr="005F6A00">
        <w:rPr>
          <w:rFonts w:ascii="Garamond" w:hAnsi="Garamond" w:cs="Garamond"/>
          <w:lang w:val="en-AU"/>
        </w:rPr>
        <w:t>Farrugia, A., Fraser, S., Dwyer, R., Fomiatti, R., Neale, J., Dietze, P. &amp; Strang, J.</w:t>
      </w:r>
    </w:p>
    <w:p w14:paraId="583D4B82" w14:textId="395E6588" w:rsidR="005F6A00" w:rsidRPr="005F6A00" w:rsidRDefault="005F6A00" w:rsidP="00C9235D">
      <w:pPr>
        <w:autoSpaceDE w:val="0"/>
        <w:autoSpaceDN w:val="0"/>
        <w:adjustRightInd w:val="0"/>
        <w:spacing w:after="0" w:line="480" w:lineRule="auto"/>
        <w:rPr>
          <w:rFonts w:ascii="Garamond" w:hAnsi="Garamond"/>
        </w:rPr>
      </w:pPr>
      <w:r w:rsidRPr="005F6A00">
        <w:rPr>
          <w:rFonts w:ascii="Garamond" w:hAnsi="Garamond" w:cs="Garamond"/>
          <w:lang w:val="en-AU"/>
        </w:rPr>
        <w:t xml:space="preserve">DOI: </w:t>
      </w:r>
      <w:hyperlink r:id="rId8" w:history="1">
        <w:r w:rsidRPr="005F6A00">
          <w:rPr>
            <w:rStyle w:val="Hyperlink"/>
            <w:rFonts w:ascii="Garamond" w:hAnsi="Garamond" w:cs="Arial"/>
            <w:color w:val="auto"/>
            <w:u w:val="none"/>
            <w:shd w:val="clear" w:color="auto" w:fill="FFFFFF"/>
          </w:rPr>
          <w:t>10.1111/1467-9566.12848</w:t>
        </w:r>
      </w:hyperlink>
    </w:p>
    <w:p w14:paraId="05F748A3" w14:textId="06D4FE15" w:rsidR="00D006F5" w:rsidRPr="00C82BBD" w:rsidRDefault="00D006F5" w:rsidP="00C82BBD">
      <w:pPr>
        <w:autoSpaceDE w:val="0"/>
        <w:autoSpaceDN w:val="0"/>
        <w:adjustRightInd w:val="0"/>
        <w:spacing w:after="0" w:line="480" w:lineRule="auto"/>
        <w:rPr>
          <w:rFonts w:ascii="Garamond" w:hAnsi="Garamond"/>
          <w:b/>
        </w:rPr>
      </w:pPr>
      <w:r w:rsidRPr="00C82BBD">
        <w:rPr>
          <w:rFonts w:ascii="Garamond" w:hAnsi="Garamond"/>
          <w:b/>
        </w:rPr>
        <w:t>Abstract</w:t>
      </w:r>
    </w:p>
    <w:p w14:paraId="7B4676C9" w14:textId="77777777" w:rsidR="00FA2140" w:rsidRPr="00C82BBD" w:rsidRDefault="00FA2140" w:rsidP="00C82BBD">
      <w:pPr>
        <w:autoSpaceDE w:val="0"/>
        <w:autoSpaceDN w:val="0"/>
        <w:adjustRightInd w:val="0"/>
        <w:spacing w:after="0" w:line="480" w:lineRule="auto"/>
        <w:rPr>
          <w:rFonts w:ascii="Garamond" w:hAnsi="Garamond"/>
          <w:b/>
        </w:rPr>
      </w:pPr>
    </w:p>
    <w:p w14:paraId="4558662F" w14:textId="74A21C5E" w:rsidR="008A1BCF" w:rsidRPr="00C82BBD" w:rsidRDefault="001E2BD5" w:rsidP="00C82BBD">
      <w:pPr>
        <w:spacing w:line="480" w:lineRule="auto"/>
        <w:rPr>
          <w:rFonts w:ascii="Garamond" w:hAnsi="Garamond"/>
        </w:rPr>
      </w:pPr>
      <w:r w:rsidRPr="00C82BBD">
        <w:rPr>
          <w:rFonts w:ascii="Garamond" w:hAnsi="Garamond"/>
        </w:rPr>
        <w:t>‘</w:t>
      </w:r>
      <w:r w:rsidR="00294A5A" w:rsidRPr="00C82BBD">
        <w:rPr>
          <w:rFonts w:ascii="Garamond" w:hAnsi="Garamond"/>
        </w:rPr>
        <w:t>T</w:t>
      </w:r>
      <w:r w:rsidRPr="00C82BBD">
        <w:rPr>
          <w:rFonts w:ascii="Garamond" w:hAnsi="Garamond"/>
        </w:rPr>
        <w:t xml:space="preserve">ake-home naloxone’ </w:t>
      </w:r>
      <w:r w:rsidR="00483774" w:rsidRPr="00C82BBD">
        <w:rPr>
          <w:rFonts w:ascii="Garamond" w:hAnsi="Garamond"/>
        </w:rPr>
        <w:t>refers to</w:t>
      </w:r>
      <w:r w:rsidR="009B1C0F" w:rsidRPr="00C82BBD">
        <w:rPr>
          <w:rFonts w:ascii="Garamond" w:hAnsi="Garamond"/>
        </w:rPr>
        <w:t xml:space="preserve"> </w:t>
      </w:r>
      <w:r w:rsidR="00EF3BCE" w:rsidRPr="00C82BBD">
        <w:rPr>
          <w:rFonts w:ascii="Garamond" w:hAnsi="Garamond"/>
        </w:rPr>
        <w:t xml:space="preserve">a </w:t>
      </w:r>
      <w:r w:rsidR="009B1C0F" w:rsidRPr="00C82BBD">
        <w:rPr>
          <w:rFonts w:ascii="Garamond" w:hAnsi="Garamond"/>
        </w:rPr>
        <w:t>life-saving</w:t>
      </w:r>
      <w:r w:rsidR="00483774" w:rsidRPr="00C82BBD">
        <w:rPr>
          <w:rFonts w:ascii="Garamond" w:hAnsi="Garamond"/>
        </w:rPr>
        <w:t xml:space="preserve"> intervention in which </w:t>
      </w:r>
      <w:r w:rsidR="00691123" w:rsidRPr="00C82BBD">
        <w:rPr>
          <w:rFonts w:ascii="Garamond" w:hAnsi="Garamond"/>
        </w:rPr>
        <w:t>a drug (</w:t>
      </w:r>
      <w:r w:rsidRPr="00C82BBD">
        <w:rPr>
          <w:rFonts w:ascii="Garamond" w:hAnsi="Garamond"/>
        </w:rPr>
        <w:t>naloxone</w:t>
      </w:r>
      <w:r w:rsidR="00691123" w:rsidRPr="00C82BBD">
        <w:rPr>
          <w:rFonts w:ascii="Garamond" w:hAnsi="Garamond"/>
        </w:rPr>
        <w:t>)</w:t>
      </w:r>
      <w:r w:rsidRPr="00C82BBD">
        <w:rPr>
          <w:rFonts w:ascii="Garamond" w:hAnsi="Garamond"/>
        </w:rPr>
        <w:t xml:space="preserve"> </w:t>
      </w:r>
      <w:r w:rsidR="00483774" w:rsidRPr="00C82BBD">
        <w:rPr>
          <w:rFonts w:ascii="Garamond" w:hAnsi="Garamond"/>
        </w:rPr>
        <w:t xml:space="preserve">is </w:t>
      </w:r>
      <w:r w:rsidR="009B1C0F" w:rsidRPr="00C82BBD">
        <w:rPr>
          <w:rFonts w:ascii="Garamond" w:hAnsi="Garamond"/>
        </w:rPr>
        <w:t>made available to</w:t>
      </w:r>
      <w:r w:rsidR="00483774" w:rsidRPr="00C82BBD">
        <w:rPr>
          <w:rFonts w:ascii="Garamond" w:hAnsi="Garamond"/>
        </w:rPr>
        <w:t xml:space="preserve"> </w:t>
      </w:r>
      <w:r w:rsidRPr="00C82BBD">
        <w:rPr>
          <w:rFonts w:ascii="Garamond" w:hAnsi="Garamond"/>
        </w:rPr>
        <w:t xml:space="preserve">non-medically trained </w:t>
      </w:r>
      <w:r w:rsidR="00483774" w:rsidRPr="00C82BBD">
        <w:rPr>
          <w:rFonts w:ascii="Garamond" w:hAnsi="Garamond"/>
        </w:rPr>
        <w:t>pe</w:t>
      </w:r>
      <w:r w:rsidR="009B1C0F" w:rsidRPr="00C82BBD">
        <w:rPr>
          <w:rFonts w:ascii="Garamond" w:hAnsi="Garamond"/>
        </w:rPr>
        <w:t>ople</w:t>
      </w:r>
      <w:r w:rsidR="00483774" w:rsidRPr="00C82BBD">
        <w:rPr>
          <w:rFonts w:ascii="Garamond" w:hAnsi="Garamond"/>
        </w:rPr>
        <w:t xml:space="preserve"> </w:t>
      </w:r>
      <w:r w:rsidR="00120043" w:rsidRPr="00C82BBD">
        <w:rPr>
          <w:rFonts w:ascii="Garamond" w:hAnsi="Garamond"/>
        </w:rPr>
        <w:t xml:space="preserve">for administration to other people </w:t>
      </w:r>
      <w:r w:rsidR="00483774" w:rsidRPr="00C82BBD">
        <w:rPr>
          <w:rFonts w:ascii="Garamond" w:hAnsi="Garamond"/>
        </w:rPr>
        <w:t>experiencing</w:t>
      </w:r>
      <w:r w:rsidRPr="00C82BBD">
        <w:rPr>
          <w:rFonts w:ascii="Garamond" w:hAnsi="Garamond"/>
        </w:rPr>
        <w:t xml:space="preserve"> an </w:t>
      </w:r>
      <w:r w:rsidR="00691123" w:rsidRPr="00C82BBD">
        <w:rPr>
          <w:rFonts w:ascii="Garamond" w:hAnsi="Garamond"/>
        </w:rPr>
        <w:t xml:space="preserve">opioid </w:t>
      </w:r>
      <w:r w:rsidRPr="00C82BBD">
        <w:rPr>
          <w:rFonts w:ascii="Garamond" w:hAnsi="Garamond"/>
        </w:rPr>
        <w:t>overdose.</w:t>
      </w:r>
      <w:r w:rsidR="000C6DDF" w:rsidRPr="00C82BBD">
        <w:rPr>
          <w:rFonts w:ascii="Garamond" w:hAnsi="Garamond"/>
        </w:rPr>
        <w:t xml:space="preserve"> In Australia, </w:t>
      </w:r>
      <w:r w:rsidR="000E1A0A" w:rsidRPr="00C82BBD">
        <w:rPr>
          <w:rFonts w:ascii="Garamond" w:hAnsi="Garamond"/>
        </w:rPr>
        <w:t xml:space="preserve">it </w:t>
      </w:r>
      <w:r w:rsidR="000C6DDF" w:rsidRPr="00C82BBD">
        <w:rPr>
          <w:rFonts w:ascii="Garamond" w:hAnsi="Garamond"/>
        </w:rPr>
        <w:t xml:space="preserve">has not been taken up as widely as would be </w:t>
      </w:r>
      <w:r w:rsidR="00EF3BCE" w:rsidRPr="00C82BBD">
        <w:rPr>
          <w:rFonts w:ascii="Garamond" w:hAnsi="Garamond"/>
        </w:rPr>
        <w:t>expected</w:t>
      </w:r>
      <w:r w:rsidR="0077628B" w:rsidRPr="00C82BBD">
        <w:rPr>
          <w:rFonts w:ascii="Garamond" w:hAnsi="Garamond"/>
        </w:rPr>
        <w:t>,</w:t>
      </w:r>
      <w:r w:rsidR="000C6DDF" w:rsidRPr="00C82BBD">
        <w:rPr>
          <w:rFonts w:ascii="Garamond" w:hAnsi="Garamond"/>
        </w:rPr>
        <w:t xml:space="preserve"> given its life</w:t>
      </w:r>
      <w:r w:rsidR="00AB1D36" w:rsidRPr="00C82BBD">
        <w:rPr>
          <w:rFonts w:ascii="Garamond" w:hAnsi="Garamond"/>
        </w:rPr>
        <w:t>-</w:t>
      </w:r>
      <w:r w:rsidR="000C6DDF" w:rsidRPr="00C82BBD">
        <w:rPr>
          <w:rFonts w:ascii="Garamond" w:hAnsi="Garamond"/>
        </w:rPr>
        <w:t>saving potential.</w:t>
      </w:r>
      <w:r w:rsidRPr="00C82BBD">
        <w:rPr>
          <w:rFonts w:ascii="Garamond" w:hAnsi="Garamond"/>
        </w:rPr>
        <w:t xml:space="preserve"> </w:t>
      </w:r>
      <w:r w:rsidR="00AE25CF" w:rsidRPr="00C82BBD">
        <w:rPr>
          <w:rFonts w:ascii="Garamond" w:hAnsi="Garamond"/>
        </w:rPr>
        <w:t>W</w:t>
      </w:r>
      <w:r w:rsidR="008A1BCF" w:rsidRPr="00C82BBD">
        <w:rPr>
          <w:rFonts w:ascii="Garamond" w:hAnsi="Garamond"/>
        </w:rPr>
        <w:t xml:space="preserve">e </w:t>
      </w:r>
      <w:r w:rsidR="00691123" w:rsidRPr="00C82BBD">
        <w:rPr>
          <w:rFonts w:ascii="Garamond" w:hAnsi="Garamond"/>
        </w:rPr>
        <w:t xml:space="preserve">consider the actions of </w:t>
      </w:r>
      <w:r w:rsidR="009B1C0F" w:rsidRPr="00C82BBD">
        <w:rPr>
          <w:rFonts w:ascii="Garamond" w:hAnsi="Garamond"/>
        </w:rPr>
        <w:t>take-home naloxone</w:t>
      </w:r>
      <w:r w:rsidR="00691123" w:rsidRPr="00C82BBD">
        <w:rPr>
          <w:rFonts w:ascii="Garamond" w:hAnsi="Garamond"/>
        </w:rPr>
        <w:t xml:space="preserve">, </w:t>
      </w:r>
      <w:r w:rsidR="00EF3BCE" w:rsidRPr="00C82BBD">
        <w:rPr>
          <w:rFonts w:ascii="Garamond" w:hAnsi="Garamond"/>
        </w:rPr>
        <w:t>focusing</w:t>
      </w:r>
      <w:r w:rsidR="00691123" w:rsidRPr="00C82BBD">
        <w:rPr>
          <w:rFonts w:ascii="Garamond" w:hAnsi="Garamond"/>
        </w:rPr>
        <w:t xml:space="preserve"> on </w:t>
      </w:r>
      <w:r w:rsidR="008A1BCF" w:rsidRPr="00C82BBD">
        <w:rPr>
          <w:rFonts w:ascii="Garamond" w:hAnsi="Garamond"/>
        </w:rPr>
        <w:t xml:space="preserve">how </w:t>
      </w:r>
      <w:r w:rsidR="005F3D35" w:rsidRPr="00C82BBD">
        <w:rPr>
          <w:rFonts w:ascii="Garamond" w:hAnsi="Garamond"/>
        </w:rPr>
        <w:t>care relations</w:t>
      </w:r>
      <w:r w:rsidR="008A1BCF" w:rsidRPr="00C82BBD">
        <w:rPr>
          <w:rFonts w:ascii="Garamond" w:hAnsi="Garamond"/>
        </w:rPr>
        <w:t xml:space="preserve"> shape </w:t>
      </w:r>
      <w:r w:rsidR="00691123" w:rsidRPr="00C82BBD">
        <w:rPr>
          <w:rFonts w:ascii="Garamond" w:hAnsi="Garamond"/>
        </w:rPr>
        <w:t xml:space="preserve">its </w:t>
      </w:r>
      <w:r w:rsidR="008A1BCF" w:rsidRPr="00C82BBD">
        <w:rPr>
          <w:rFonts w:ascii="Garamond" w:hAnsi="Garamond"/>
        </w:rPr>
        <w:t>uses a</w:t>
      </w:r>
      <w:r w:rsidRPr="00C82BBD">
        <w:rPr>
          <w:rFonts w:ascii="Garamond" w:hAnsi="Garamond"/>
        </w:rPr>
        <w:t>nd effects</w:t>
      </w:r>
      <w:r w:rsidR="008A1BCF" w:rsidRPr="00C82BBD">
        <w:rPr>
          <w:rFonts w:ascii="Garamond" w:hAnsi="Garamond"/>
        </w:rPr>
        <w:t xml:space="preserve">. </w:t>
      </w:r>
      <w:proofErr w:type="spellStart"/>
      <w:r w:rsidR="00184C12" w:rsidRPr="00C82BBD">
        <w:rPr>
          <w:rFonts w:ascii="Garamond" w:hAnsi="Garamond"/>
        </w:rPr>
        <w:t>Mobilising</w:t>
      </w:r>
      <w:proofErr w:type="spellEnd"/>
      <w:r w:rsidR="008A1BCF" w:rsidRPr="00C82BBD">
        <w:rPr>
          <w:rFonts w:ascii="Garamond" w:hAnsi="Garamond"/>
        </w:rPr>
        <w:t xml:space="preserve"> Science and Technology Studies</w:t>
      </w:r>
      <w:r w:rsidR="00C42506" w:rsidRPr="00C82BBD">
        <w:rPr>
          <w:rFonts w:ascii="Garamond" w:hAnsi="Garamond"/>
        </w:rPr>
        <w:t xml:space="preserve"> insights</w:t>
      </w:r>
      <w:r w:rsidR="000E1A0A" w:rsidRPr="00C82BBD">
        <w:rPr>
          <w:rFonts w:ascii="Garamond" w:hAnsi="Garamond"/>
        </w:rPr>
        <w:t>,</w:t>
      </w:r>
      <w:r w:rsidR="008A1BCF" w:rsidRPr="00C82BBD">
        <w:rPr>
          <w:rFonts w:ascii="Garamond" w:hAnsi="Garamond"/>
        </w:rPr>
        <w:t xml:space="preserve"> we suggest that</w:t>
      </w:r>
      <w:r w:rsidR="009B1C0F" w:rsidRPr="00C82BBD">
        <w:rPr>
          <w:rFonts w:ascii="Garamond" w:hAnsi="Garamond"/>
        </w:rPr>
        <w:t xml:space="preserve"> the uses and effects of</w:t>
      </w:r>
      <w:r w:rsidR="008A1BCF" w:rsidRPr="00C82BBD">
        <w:rPr>
          <w:rFonts w:ascii="Garamond" w:hAnsi="Garamond"/>
        </w:rPr>
        <w:t xml:space="preserve"> naloxone </w:t>
      </w:r>
      <w:r w:rsidR="009B1C0F" w:rsidRPr="00C82BBD">
        <w:rPr>
          <w:rFonts w:ascii="Garamond" w:hAnsi="Garamond"/>
        </w:rPr>
        <w:t xml:space="preserve">are </w:t>
      </w:r>
      <w:r w:rsidR="008A1BCF" w:rsidRPr="00C82BBD">
        <w:rPr>
          <w:rFonts w:ascii="Garamond" w:hAnsi="Garamond"/>
        </w:rPr>
        <w:t>co-produced within social relations and, therefore,</w:t>
      </w:r>
      <w:r w:rsidR="009B1C0F" w:rsidRPr="00C82BBD">
        <w:rPr>
          <w:rFonts w:ascii="Garamond" w:hAnsi="Garamond"/>
        </w:rPr>
        <w:t xml:space="preserve"> this </w:t>
      </w:r>
      <w:r w:rsidR="00AE25CF" w:rsidRPr="00C82BBD">
        <w:rPr>
          <w:rFonts w:ascii="Garamond" w:hAnsi="Garamond"/>
        </w:rPr>
        <w:t xml:space="preserve">initiative </w:t>
      </w:r>
      <w:r w:rsidR="008A1BCF" w:rsidRPr="00C82BBD">
        <w:rPr>
          <w:rFonts w:ascii="Garamond" w:hAnsi="Garamond"/>
        </w:rPr>
        <w:t xml:space="preserve">‘affords’ </w:t>
      </w:r>
      <w:r w:rsidR="009B1C0F" w:rsidRPr="00C82BBD">
        <w:rPr>
          <w:rFonts w:ascii="Garamond" w:hAnsi="Garamond"/>
        </w:rPr>
        <w:t>multiple</w:t>
      </w:r>
      <w:r w:rsidR="008A1BCF" w:rsidRPr="00C82BBD">
        <w:rPr>
          <w:rFonts w:ascii="Garamond" w:hAnsi="Garamond"/>
        </w:rPr>
        <w:t xml:space="preserve"> outcomes</w:t>
      </w:r>
      <w:r w:rsidR="000E1A0A" w:rsidRPr="00C82BBD">
        <w:rPr>
          <w:rFonts w:ascii="Garamond" w:hAnsi="Garamond"/>
        </w:rPr>
        <w:t xml:space="preserve">. </w:t>
      </w:r>
      <w:r w:rsidR="00294A5A" w:rsidRPr="00C82BBD">
        <w:rPr>
          <w:rFonts w:ascii="Garamond" w:hAnsi="Garamond"/>
        </w:rPr>
        <w:t>W</w:t>
      </w:r>
      <w:r w:rsidR="009B1C0F" w:rsidRPr="00C82BBD">
        <w:rPr>
          <w:rFonts w:ascii="Garamond" w:hAnsi="Garamond"/>
        </w:rPr>
        <w:t>e argue that the</w:t>
      </w:r>
      <w:r w:rsidR="00AE25CF" w:rsidRPr="00C82BBD">
        <w:rPr>
          <w:rFonts w:ascii="Garamond" w:hAnsi="Garamond"/>
        </w:rPr>
        <w:t>se</w:t>
      </w:r>
      <w:r w:rsidR="009B1C0F" w:rsidRPr="00C82BBD">
        <w:rPr>
          <w:rFonts w:ascii="Garamond" w:hAnsi="Garamond"/>
        </w:rPr>
        <w:t xml:space="preserve"> affordances are shaped by</w:t>
      </w:r>
      <w:r w:rsidR="00691123" w:rsidRPr="00C82BBD">
        <w:rPr>
          <w:rFonts w:ascii="Garamond" w:hAnsi="Garamond"/>
        </w:rPr>
        <w:t xml:space="preserve"> </w:t>
      </w:r>
      <w:r w:rsidR="003324F7">
        <w:rPr>
          <w:rFonts w:ascii="Garamond" w:hAnsi="Garamond"/>
        </w:rPr>
        <w:t>a</w:t>
      </w:r>
      <w:r w:rsidR="003324F7" w:rsidRPr="00C82BBD">
        <w:rPr>
          <w:rFonts w:ascii="Garamond" w:hAnsi="Garamond"/>
        </w:rPr>
        <w:t xml:space="preserve"> </w:t>
      </w:r>
      <w:r w:rsidR="00691123" w:rsidRPr="00C82BBD">
        <w:rPr>
          <w:rFonts w:ascii="Garamond" w:hAnsi="Garamond"/>
        </w:rPr>
        <w:t>politics of care</w:t>
      </w:r>
      <w:r w:rsidR="00AB1D36" w:rsidRPr="00C82BBD">
        <w:rPr>
          <w:rFonts w:ascii="Garamond" w:hAnsi="Garamond"/>
        </w:rPr>
        <w:t>, and that these politics relate to uptake</w:t>
      </w:r>
      <w:r w:rsidR="00691123" w:rsidRPr="00C82BBD">
        <w:rPr>
          <w:rFonts w:ascii="Garamond" w:hAnsi="Garamond"/>
        </w:rPr>
        <w:t xml:space="preserve">. </w:t>
      </w:r>
      <w:r w:rsidR="00870D4A" w:rsidRPr="00C82BBD">
        <w:rPr>
          <w:rFonts w:ascii="Garamond" w:hAnsi="Garamond"/>
        </w:rPr>
        <w:t>W</w:t>
      </w:r>
      <w:r w:rsidR="008A1BCF" w:rsidRPr="00C82BBD">
        <w:rPr>
          <w:rFonts w:ascii="Garamond" w:hAnsi="Garamond"/>
        </w:rPr>
        <w:t xml:space="preserve">e </w:t>
      </w:r>
      <w:r w:rsidR="00870D4A" w:rsidRPr="00C82BBD">
        <w:rPr>
          <w:rFonts w:ascii="Garamond" w:hAnsi="Garamond"/>
          <w:lang w:val="en-AU"/>
        </w:rPr>
        <w:t>analyse</w:t>
      </w:r>
      <w:r w:rsidR="00870D4A" w:rsidRPr="00C82BBD">
        <w:rPr>
          <w:rFonts w:ascii="Garamond" w:hAnsi="Garamond"/>
        </w:rPr>
        <w:t xml:space="preserve"> </w:t>
      </w:r>
      <w:r w:rsidR="008A1BCF" w:rsidRPr="00C82BBD">
        <w:rPr>
          <w:rFonts w:ascii="Garamond" w:hAnsi="Garamond"/>
        </w:rPr>
        <w:t xml:space="preserve">two </w:t>
      </w:r>
      <w:r w:rsidR="000A1EDA" w:rsidRPr="00C82BBD">
        <w:rPr>
          <w:rFonts w:ascii="Garamond" w:hAnsi="Garamond"/>
        </w:rPr>
        <w:t xml:space="preserve">complementary </w:t>
      </w:r>
      <w:r w:rsidR="008A1BCF" w:rsidRPr="00C82BBD">
        <w:rPr>
          <w:rFonts w:ascii="Garamond" w:hAnsi="Garamond"/>
        </w:rPr>
        <w:t>case studies</w:t>
      </w:r>
      <w:r w:rsidR="00691123" w:rsidRPr="00C82BBD">
        <w:rPr>
          <w:rFonts w:ascii="Garamond" w:hAnsi="Garamond"/>
        </w:rPr>
        <w:t xml:space="preserve">, drawn from </w:t>
      </w:r>
      <w:r w:rsidR="00483774" w:rsidRPr="00C82BBD">
        <w:rPr>
          <w:rFonts w:ascii="Garamond" w:hAnsi="Garamond"/>
        </w:rPr>
        <w:t>an</w:t>
      </w:r>
      <w:r w:rsidR="00691123" w:rsidRPr="00C82BBD">
        <w:rPr>
          <w:rFonts w:ascii="Garamond" w:hAnsi="Garamond"/>
        </w:rPr>
        <w:t xml:space="preserve"> interview-based project, in which opioid consumers </w:t>
      </w:r>
      <w:r w:rsidR="00C42506" w:rsidRPr="00C82BBD">
        <w:rPr>
          <w:rFonts w:ascii="Garamond" w:hAnsi="Garamond"/>
        </w:rPr>
        <w:t>discussed</w:t>
      </w:r>
      <w:r w:rsidR="00691123" w:rsidRPr="00C82BBD">
        <w:rPr>
          <w:rFonts w:ascii="Garamond" w:hAnsi="Garamond"/>
        </w:rPr>
        <w:t xml:space="preserve"> take-home naloxone and its uses.</w:t>
      </w:r>
      <w:r w:rsidR="008A1BCF" w:rsidRPr="00C82BBD">
        <w:rPr>
          <w:rFonts w:ascii="Garamond" w:hAnsi="Garamond"/>
        </w:rPr>
        <w:t xml:space="preserve"> </w:t>
      </w:r>
      <w:r w:rsidR="00691123" w:rsidRPr="00C82BBD">
        <w:rPr>
          <w:rFonts w:ascii="Garamond" w:hAnsi="Garamond"/>
        </w:rPr>
        <w:t xml:space="preserve">Our analysis maps the ways take-home naloxone can afford </w:t>
      </w:r>
      <w:r w:rsidR="008A1BCF" w:rsidRPr="00C82BBD">
        <w:rPr>
          <w:rFonts w:ascii="Garamond" w:hAnsi="Garamond"/>
        </w:rPr>
        <w:t xml:space="preserve">(1) a regime of care within an intimate partnership </w:t>
      </w:r>
      <w:r w:rsidR="00691123" w:rsidRPr="00C82BBD">
        <w:rPr>
          <w:rFonts w:ascii="Garamond" w:hAnsi="Garamond"/>
        </w:rPr>
        <w:t>(</w:t>
      </w:r>
      <w:r w:rsidR="008A1BCF" w:rsidRPr="00C82BBD">
        <w:rPr>
          <w:rFonts w:ascii="Garamond" w:hAnsi="Garamond"/>
        </w:rPr>
        <w:t>allow</w:t>
      </w:r>
      <w:r w:rsidR="00294A5A" w:rsidRPr="00C82BBD">
        <w:rPr>
          <w:rFonts w:ascii="Garamond" w:hAnsi="Garamond"/>
        </w:rPr>
        <w:t>ing</w:t>
      </w:r>
      <w:r w:rsidR="008A1BCF" w:rsidRPr="00C82BBD">
        <w:rPr>
          <w:rFonts w:ascii="Garamond" w:hAnsi="Garamond"/>
        </w:rPr>
        <w:t xml:space="preserve"> a terminally ill man to </w:t>
      </w:r>
      <w:r w:rsidR="00294A5A" w:rsidRPr="00C82BBD">
        <w:rPr>
          <w:rFonts w:ascii="Garamond" w:hAnsi="Garamond"/>
        </w:rPr>
        <w:t xml:space="preserve">more </w:t>
      </w:r>
      <w:r w:rsidR="008A1BCF" w:rsidRPr="00C82BBD">
        <w:rPr>
          <w:rFonts w:ascii="Garamond" w:hAnsi="Garamond"/>
        </w:rPr>
        <w:t>safely consume opioids</w:t>
      </w:r>
      <w:r w:rsidR="00691123" w:rsidRPr="00C82BBD">
        <w:rPr>
          <w:rFonts w:ascii="Garamond" w:hAnsi="Garamond"/>
        </w:rPr>
        <w:t>)</w:t>
      </w:r>
      <w:r w:rsidR="008A1BCF" w:rsidRPr="00C82BBD">
        <w:rPr>
          <w:rFonts w:ascii="Garamond" w:hAnsi="Garamond"/>
        </w:rPr>
        <w:t xml:space="preserve"> and (2) a political process </w:t>
      </w:r>
      <w:r w:rsidR="00DB37FC" w:rsidRPr="00C82BBD">
        <w:rPr>
          <w:rFonts w:ascii="Garamond" w:hAnsi="Garamond"/>
        </w:rPr>
        <w:t>of care (</w:t>
      </w:r>
      <w:r w:rsidR="008A1BCF" w:rsidRPr="00C82BBD">
        <w:rPr>
          <w:rFonts w:ascii="Garamond" w:hAnsi="Garamond"/>
        </w:rPr>
        <w:t xml:space="preserve">in which </w:t>
      </w:r>
      <w:r w:rsidR="00691123" w:rsidRPr="00C82BBD">
        <w:rPr>
          <w:rFonts w:ascii="Garamond" w:hAnsi="Garamond"/>
        </w:rPr>
        <w:t xml:space="preserve">a </w:t>
      </w:r>
      <w:r w:rsidR="008A1BCF" w:rsidRPr="00C82BBD">
        <w:rPr>
          <w:rFonts w:ascii="Garamond" w:hAnsi="Garamond"/>
        </w:rPr>
        <w:t xml:space="preserve">consumer takes care of </w:t>
      </w:r>
      <w:r w:rsidR="00691123" w:rsidRPr="00C82BBD">
        <w:rPr>
          <w:rFonts w:ascii="Garamond" w:hAnsi="Garamond"/>
        </w:rPr>
        <w:t xml:space="preserve">others treated with the medication by administering it </w:t>
      </w:r>
      <w:r w:rsidR="008A1BCF" w:rsidRPr="00C82BBD">
        <w:rPr>
          <w:rFonts w:ascii="Garamond" w:hAnsi="Garamond"/>
        </w:rPr>
        <w:t>‘gently’</w:t>
      </w:r>
      <w:r w:rsidR="00DB37FC" w:rsidRPr="00C82BBD">
        <w:rPr>
          <w:rFonts w:ascii="Garamond" w:hAnsi="Garamond"/>
        </w:rPr>
        <w:t>)</w:t>
      </w:r>
      <w:r w:rsidR="008A1BCF" w:rsidRPr="00C82BBD">
        <w:rPr>
          <w:rFonts w:ascii="Garamond" w:hAnsi="Garamond"/>
        </w:rPr>
        <w:t xml:space="preserve">. </w:t>
      </w:r>
      <w:r w:rsidR="008A1BCF" w:rsidRPr="00C82BBD">
        <w:rPr>
          <w:rFonts w:ascii="Garamond" w:hAnsi="Garamond" w:cs="Arial"/>
          <w:shd w:val="clear" w:color="auto" w:fill="FFFFFF"/>
        </w:rPr>
        <w:t xml:space="preserve">We </w:t>
      </w:r>
      <w:r w:rsidRPr="00C82BBD">
        <w:rPr>
          <w:rFonts w:ascii="Garamond" w:hAnsi="Garamond" w:cs="Arial"/>
          <w:shd w:val="clear" w:color="auto" w:fill="FFFFFF"/>
        </w:rPr>
        <w:t xml:space="preserve">conclude by exploring the </w:t>
      </w:r>
      <w:r w:rsidRPr="00C82BBD">
        <w:rPr>
          <w:rFonts w:ascii="Garamond" w:hAnsi="Garamond"/>
        </w:rPr>
        <w:t>political affordances of a politics of care approach for the uptake of take-home naloxone</w:t>
      </w:r>
      <w:r w:rsidR="004432EA" w:rsidRPr="00C82BBD">
        <w:rPr>
          <w:rFonts w:ascii="Garamond" w:hAnsi="Garamond"/>
        </w:rPr>
        <w:t xml:space="preserve">. </w:t>
      </w:r>
    </w:p>
    <w:p w14:paraId="0541B35F" w14:textId="1B06FEE4" w:rsidR="00C10DDB" w:rsidRPr="00C82BBD" w:rsidRDefault="00C10DDB" w:rsidP="00C82BBD">
      <w:pPr>
        <w:spacing w:line="480" w:lineRule="auto"/>
        <w:rPr>
          <w:rFonts w:ascii="Garamond" w:hAnsi="Garamond"/>
        </w:rPr>
      </w:pPr>
      <w:r w:rsidRPr="00C82BBD">
        <w:rPr>
          <w:rFonts w:ascii="Garamond" w:hAnsi="Garamond"/>
          <w:b/>
        </w:rPr>
        <w:t xml:space="preserve">Keywords: </w:t>
      </w:r>
      <w:r w:rsidRPr="00C82BBD">
        <w:rPr>
          <w:rFonts w:ascii="Garamond" w:hAnsi="Garamond"/>
        </w:rPr>
        <w:t>Take-home naloxone, opioid overdose, care, Science and Technology Studies</w:t>
      </w:r>
    </w:p>
    <w:p w14:paraId="6FC33564" w14:textId="77777777" w:rsidR="00DA1EDB" w:rsidRPr="00C82BBD" w:rsidRDefault="00DA1EDB" w:rsidP="00C82BBD">
      <w:pPr>
        <w:autoSpaceDE w:val="0"/>
        <w:autoSpaceDN w:val="0"/>
        <w:adjustRightInd w:val="0"/>
        <w:spacing w:after="0" w:line="480" w:lineRule="auto"/>
        <w:rPr>
          <w:rFonts w:ascii="Garamond" w:hAnsi="Garamond"/>
          <w:b/>
        </w:rPr>
      </w:pPr>
    </w:p>
    <w:p w14:paraId="6640ED33" w14:textId="5A057255" w:rsidR="00756FE0" w:rsidRPr="00C82BBD" w:rsidRDefault="00756FE0" w:rsidP="00C82BBD">
      <w:pPr>
        <w:autoSpaceDE w:val="0"/>
        <w:autoSpaceDN w:val="0"/>
        <w:adjustRightInd w:val="0"/>
        <w:spacing w:after="0" w:line="480" w:lineRule="auto"/>
        <w:rPr>
          <w:rFonts w:ascii="Garamond" w:hAnsi="Garamond"/>
          <w:b/>
        </w:rPr>
      </w:pPr>
      <w:r w:rsidRPr="00C82BBD">
        <w:rPr>
          <w:rFonts w:ascii="Garamond" w:hAnsi="Garamond"/>
          <w:b/>
        </w:rPr>
        <w:t>Introduction</w:t>
      </w:r>
    </w:p>
    <w:p w14:paraId="068E0A90" w14:textId="0B971D4D" w:rsidR="007350C3" w:rsidRPr="00C82BBD" w:rsidRDefault="00EF3BCE" w:rsidP="00C82BBD">
      <w:pPr>
        <w:autoSpaceDE w:val="0"/>
        <w:autoSpaceDN w:val="0"/>
        <w:adjustRightInd w:val="0"/>
        <w:spacing w:after="0" w:line="480" w:lineRule="auto"/>
        <w:rPr>
          <w:rFonts w:ascii="Garamond" w:hAnsi="Garamond"/>
        </w:rPr>
      </w:pPr>
      <w:r w:rsidRPr="00C82BBD">
        <w:rPr>
          <w:rFonts w:ascii="Garamond" w:hAnsi="Garamond"/>
        </w:rPr>
        <w:t>In recent years, o</w:t>
      </w:r>
      <w:r w:rsidR="00232B0F" w:rsidRPr="00C82BBD">
        <w:rPr>
          <w:rFonts w:ascii="Garamond" w:hAnsi="Garamond"/>
        </w:rPr>
        <w:t>pioid overdose deaths</w:t>
      </w:r>
      <w:r w:rsidR="003F6DD9" w:rsidRPr="00C82BBD">
        <w:rPr>
          <w:rFonts w:ascii="Garamond" w:hAnsi="Garamond"/>
        </w:rPr>
        <w:t xml:space="preserve"> </w:t>
      </w:r>
      <w:r w:rsidR="00232B0F" w:rsidRPr="00C82BBD">
        <w:rPr>
          <w:rFonts w:ascii="Garamond" w:hAnsi="Garamond"/>
        </w:rPr>
        <w:t>ha</w:t>
      </w:r>
      <w:r w:rsidR="00EE6EE2" w:rsidRPr="00C82BBD">
        <w:rPr>
          <w:rFonts w:ascii="Garamond" w:hAnsi="Garamond"/>
        </w:rPr>
        <w:t>ve</w:t>
      </w:r>
      <w:r w:rsidR="00232B0F" w:rsidRPr="00C82BBD">
        <w:rPr>
          <w:rFonts w:ascii="Garamond" w:hAnsi="Garamond"/>
        </w:rPr>
        <w:t xml:space="preserve"> </w:t>
      </w:r>
      <w:r w:rsidR="001E2BD5" w:rsidRPr="00C82BBD">
        <w:rPr>
          <w:rFonts w:ascii="Garamond" w:hAnsi="Garamond"/>
        </w:rPr>
        <w:t>escalated</w:t>
      </w:r>
      <w:r w:rsidR="00232B0F" w:rsidRPr="00C82BBD">
        <w:rPr>
          <w:rFonts w:ascii="Garamond" w:hAnsi="Garamond"/>
        </w:rPr>
        <w:t xml:space="preserve"> </w:t>
      </w:r>
      <w:r w:rsidR="00EE6EE2" w:rsidRPr="00C82BBD">
        <w:rPr>
          <w:rFonts w:ascii="Garamond" w:hAnsi="Garamond"/>
        </w:rPr>
        <w:t xml:space="preserve">in </w:t>
      </w:r>
      <w:r w:rsidRPr="00C82BBD">
        <w:rPr>
          <w:rFonts w:ascii="Garamond" w:hAnsi="Garamond"/>
        </w:rPr>
        <w:t>Australia and around the world</w:t>
      </w:r>
      <w:r w:rsidR="00751D31" w:rsidRPr="00C82BBD">
        <w:rPr>
          <w:rFonts w:ascii="Garamond" w:hAnsi="Garamond"/>
        </w:rPr>
        <w:t xml:space="preserve"> (</w:t>
      </w:r>
      <w:r w:rsidR="00751D31" w:rsidRPr="00C82BBD">
        <w:rPr>
          <w:rFonts w:ascii="Garamond" w:hAnsi="Garamond" w:cs="Arial"/>
        </w:rPr>
        <w:t>Roxburgh et al. 2017)</w:t>
      </w:r>
      <w:r w:rsidR="00EE6EE2" w:rsidRPr="00C82BBD">
        <w:rPr>
          <w:rFonts w:ascii="Garamond" w:hAnsi="Garamond"/>
        </w:rPr>
        <w:t xml:space="preserve">. This has prompted new </w:t>
      </w:r>
      <w:r w:rsidR="00232B0F" w:rsidRPr="00C82BBD">
        <w:rPr>
          <w:rFonts w:ascii="Garamond" w:hAnsi="Garamond"/>
        </w:rPr>
        <w:t>interest in the provision of the opioid antagonist naloxone as a ‘take-home’ medicine for people who consume opioids</w:t>
      </w:r>
      <w:r w:rsidR="00751D31" w:rsidRPr="00C82BBD">
        <w:rPr>
          <w:rFonts w:ascii="Garamond" w:hAnsi="Garamond"/>
        </w:rPr>
        <w:t xml:space="preserve"> (</w:t>
      </w:r>
      <w:r w:rsidR="00751D31" w:rsidRPr="00C82BBD">
        <w:rPr>
          <w:rFonts w:ascii="Garamond" w:hAnsi="Garamond" w:cs="AdvP7B6C"/>
          <w:lang w:val="en-AU"/>
        </w:rPr>
        <w:t>McDonald, Campbell &amp; Strang 2017)</w:t>
      </w:r>
      <w:r w:rsidR="00232B0F" w:rsidRPr="00C82BBD">
        <w:rPr>
          <w:rFonts w:ascii="Garamond" w:hAnsi="Garamond"/>
        </w:rPr>
        <w:t>.</w:t>
      </w:r>
      <w:r w:rsidR="00902CB9" w:rsidRPr="00C82BBD">
        <w:rPr>
          <w:rFonts w:ascii="Garamond" w:hAnsi="Garamond"/>
        </w:rPr>
        <w:t xml:space="preserve"> Put simply, take-home naloxone </w:t>
      </w:r>
      <w:r w:rsidRPr="00C82BBD">
        <w:rPr>
          <w:rFonts w:ascii="Garamond" w:hAnsi="Garamond"/>
        </w:rPr>
        <w:t>programs</w:t>
      </w:r>
      <w:r w:rsidR="00902CB9" w:rsidRPr="00C82BBD">
        <w:rPr>
          <w:rFonts w:ascii="Garamond" w:hAnsi="Garamond"/>
        </w:rPr>
        <w:t xml:space="preserve"> seek to make available naloxone products </w:t>
      </w:r>
      <w:r w:rsidRPr="00C82BBD">
        <w:rPr>
          <w:rFonts w:ascii="Garamond" w:hAnsi="Garamond"/>
        </w:rPr>
        <w:t>to</w:t>
      </w:r>
      <w:r w:rsidR="00902CB9" w:rsidRPr="00C82BBD">
        <w:rPr>
          <w:rFonts w:ascii="Garamond" w:hAnsi="Garamond"/>
        </w:rPr>
        <w:t xml:space="preserve"> non-medically trained people to administer to people experiencing an opioid overdose.</w:t>
      </w:r>
      <w:r w:rsidR="00232B0F" w:rsidRPr="00C82BBD">
        <w:rPr>
          <w:rFonts w:ascii="Garamond" w:hAnsi="Garamond"/>
        </w:rPr>
        <w:t xml:space="preserve"> While </w:t>
      </w:r>
      <w:r w:rsidR="007B3FBC" w:rsidRPr="00C82BBD">
        <w:rPr>
          <w:rFonts w:ascii="Garamond" w:hAnsi="Garamond"/>
        </w:rPr>
        <w:t>research indicating</w:t>
      </w:r>
      <w:r w:rsidR="00232B0F" w:rsidRPr="00C82BBD">
        <w:rPr>
          <w:rFonts w:ascii="Garamond" w:hAnsi="Garamond"/>
        </w:rPr>
        <w:t xml:space="preserve"> the effectiveness of take-home naloxone to save lives continues to build, </w:t>
      </w:r>
      <w:r w:rsidR="00257AB1" w:rsidRPr="00C82BBD">
        <w:rPr>
          <w:rFonts w:ascii="Garamond" w:hAnsi="Garamond"/>
        </w:rPr>
        <w:t xml:space="preserve">uptake and diffusion of these programs remains </w:t>
      </w:r>
      <w:r w:rsidR="00257AB1" w:rsidRPr="00C82BBD">
        <w:rPr>
          <w:rFonts w:ascii="Garamond" w:hAnsi="Garamond"/>
        </w:rPr>
        <w:lastRenderedPageBreak/>
        <w:t>limited. Reasons for this are currently being researched (</w:t>
      </w:r>
      <w:r w:rsidR="00AE25CF" w:rsidRPr="00C82BBD">
        <w:rPr>
          <w:rFonts w:ascii="Garamond" w:hAnsi="Garamond"/>
        </w:rPr>
        <w:t>Black et al. 2017</w:t>
      </w:r>
      <w:r w:rsidR="00257AB1" w:rsidRPr="00C82BBD">
        <w:rPr>
          <w:rFonts w:ascii="Garamond" w:hAnsi="Garamond"/>
        </w:rPr>
        <w:t>) and one area needing further examination is</w:t>
      </w:r>
      <w:r w:rsidR="00232B0F" w:rsidRPr="00C82BBD">
        <w:rPr>
          <w:rFonts w:ascii="Garamond" w:hAnsi="Garamond"/>
        </w:rPr>
        <w:t xml:space="preserve"> </w:t>
      </w:r>
      <w:r w:rsidR="005F3D35" w:rsidRPr="00C82BBD">
        <w:rPr>
          <w:rFonts w:ascii="Garamond" w:hAnsi="Garamond"/>
        </w:rPr>
        <w:t>how it shapes and is shaped by social relations</w:t>
      </w:r>
      <w:r w:rsidR="00232B0F" w:rsidRPr="00C82BBD">
        <w:rPr>
          <w:rFonts w:ascii="Garamond" w:hAnsi="Garamond"/>
        </w:rPr>
        <w:t>.</w:t>
      </w:r>
      <w:r w:rsidR="00257AB1" w:rsidRPr="00C82BBD">
        <w:rPr>
          <w:rFonts w:ascii="Garamond" w:hAnsi="Garamond"/>
        </w:rPr>
        <w:t xml:space="preserve"> In this article w</w:t>
      </w:r>
      <w:r w:rsidR="000E1A0A" w:rsidRPr="00C82BBD">
        <w:rPr>
          <w:rFonts w:ascii="Garamond" w:hAnsi="Garamond"/>
        </w:rPr>
        <w:t xml:space="preserve">e ask, do the social dimensions of take-home naloxone bear on its diffusion and uptake, and if so how? </w:t>
      </w:r>
      <w:r w:rsidR="007B3FBC" w:rsidRPr="00C82BBD">
        <w:rPr>
          <w:rFonts w:ascii="Garamond" w:hAnsi="Garamond"/>
        </w:rPr>
        <w:t>Drawing on a</w:t>
      </w:r>
      <w:r w:rsidR="00BE32CE" w:rsidRPr="00C82BBD">
        <w:rPr>
          <w:rFonts w:ascii="Garamond" w:hAnsi="Garamond"/>
        </w:rPr>
        <w:t>n interview-based</w:t>
      </w:r>
      <w:r w:rsidR="007B3FBC" w:rsidRPr="00C82BBD">
        <w:rPr>
          <w:rFonts w:ascii="Garamond" w:hAnsi="Garamond"/>
        </w:rPr>
        <w:t xml:space="preserve"> project that explores the reasons for</w:t>
      </w:r>
      <w:r w:rsidR="000E1A0A" w:rsidRPr="00C82BBD">
        <w:rPr>
          <w:rFonts w:ascii="Garamond" w:hAnsi="Garamond"/>
        </w:rPr>
        <w:t xml:space="preserve"> the</w:t>
      </w:r>
      <w:r w:rsidR="007B3FBC" w:rsidRPr="00C82BBD">
        <w:rPr>
          <w:rFonts w:ascii="Garamond" w:hAnsi="Garamond"/>
        </w:rPr>
        <w:t xml:space="preserve"> </w:t>
      </w:r>
      <w:r w:rsidR="000E1A0A" w:rsidRPr="00C82BBD">
        <w:rPr>
          <w:rFonts w:ascii="Garamond" w:hAnsi="Garamond"/>
        </w:rPr>
        <w:t>inertia around take-home naloxone</w:t>
      </w:r>
      <w:r w:rsidR="007B3FBC" w:rsidRPr="00C82BBD">
        <w:rPr>
          <w:rFonts w:ascii="Garamond" w:hAnsi="Garamond"/>
        </w:rPr>
        <w:t xml:space="preserve">, we </w:t>
      </w:r>
      <w:r w:rsidR="00232B0F" w:rsidRPr="00C82BBD">
        <w:rPr>
          <w:rFonts w:ascii="Garamond" w:hAnsi="Garamond"/>
        </w:rPr>
        <w:t xml:space="preserve">identify what, following Martin, Myers and </w:t>
      </w:r>
      <w:proofErr w:type="spellStart"/>
      <w:r w:rsidR="00232B0F" w:rsidRPr="00C82BBD">
        <w:rPr>
          <w:rFonts w:ascii="Garamond" w:hAnsi="Garamond"/>
        </w:rPr>
        <w:t>Viseu</w:t>
      </w:r>
      <w:proofErr w:type="spellEnd"/>
      <w:r w:rsidR="00232B0F" w:rsidRPr="00C82BBD">
        <w:rPr>
          <w:rFonts w:ascii="Garamond" w:hAnsi="Garamond"/>
        </w:rPr>
        <w:t xml:space="preserve"> (2015), we call </w:t>
      </w:r>
      <w:r w:rsidR="007350C3" w:rsidRPr="00C82BBD">
        <w:rPr>
          <w:rFonts w:ascii="Garamond" w:hAnsi="Garamond"/>
        </w:rPr>
        <w:t>a</w:t>
      </w:r>
      <w:r w:rsidR="00232B0F" w:rsidRPr="00C82BBD">
        <w:rPr>
          <w:rFonts w:ascii="Garamond" w:hAnsi="Garamond"/>
        </w:rPr>
        <w:t xml:space="preserve"> complex politics of care. We explore two case studies</w:t>
      </w:r>
      <w:r w:rsidR="007F545A" w:rsidRPr="00C82BBD">
        <w:rPr>
          <w:rFonts w:ascii="Garamond" w:hAnsi="Garamond"/>
        </w:rPr>
        <w:t xml:space="preserve"> of</w:t>
      </w:r>
      <w:r w:rsidR="00232B0F" w:rsidRPr="00C82BBD">
        <w:rPr>
          <w:rFonts w:ascii="Garamond" w:hAnsi="Garamond"/>
        </w:rPr>
        <w:t xml:space="preserve"> opioid consumption and overdose and </w:t>
      </w:r>
      <w:proofErr w:type="spellStart"/>
      <w:r w:rsidR="00232B0F" w:rsidRPr="00C82BBD">
        <w:rPr>
          <w:rFonts w:ascii="Garamond" w:hAnsi="Garamond"/>
        </w:rPr>
        <w:t>analyse</w:t>
      </w:r>
      <w:proofErr w:type="spellEnd"/>
      <w:r w:rsidR="00232B0F" w:rsidRPr="00C82BBD">
        <w:rPr>
          <w:rFonts w:ascii="Garamond" w:hAnsi="Garamond"/>
        </w:rPr>
        <w:t xml:space="preserve"> </w:t>
      </w:r>
      <w:r w:rsidR="00BE32CE" w:rsidRPr="00C82BBD">
        <w:rPr>
          <w:rFonts w:ascii="Garamond" w:hAnsi="Garamond"/>
        </w:rPr>
        <w:t>the ways</w:t>
      </w:r>
      <w:r w:rsidR="00C52F09" w:rsidRPr="00C82BBD">
        <w:rPr>
          <w:rFonts w:ascii="Garamond" w:hAnsi="Garamond"/>
        </w:rPr>
        <w:t xml:space="preserve"> in which</w:t>
      </w:r>
      <w:r w:rsidR="00BE32CE" w:rsidRPr="00C82BBD">
        <w:rPr>
          <w:rFonts w:ascii="Garamond" w:hAnsi="Garamond"/>
        </w:rPr>
        <w:t xml:space="preserve">, in these accounts, </w:t>
      </w:r>
      <w:r w:rsidR="00232B0F" w:rsidRPr="00C82BBD">
        <w:rPr>
          <w:rFonts w:ascii="Garamond" w:hAnsi="Garamond"/>
        </w:rPr>
        <w:t>take-home naloxone shapes and is shaped by relations of care.</w:t>
      </w:r>
    </w:p>
    <w:p w14:paraId="0901DA2D" w14:textId="77777777" w:rsidR="007350C3" w:rsidRPr="00C82BBD" w:rsidRDefault="007350C3" w:rsidP="00C82BBD">
      <w:pPr>
        <w:autoSpaceDE w:val="0"/>
        <w:autoSpaceDN w:val="0"/>
        <w:adjustRightInd w:val="0"/>
        <w:spacing w:after="0" w:line="480" w:lineRule="auto"/>
        <w:rPr>
          <w:rFonts w:ascii="Garamond" w:hAnsi="Garamond"/>
        </w:rPr>
      </w:pPr>
    </w:p>
    <w:p w14:paraId="3C286973" w14:textId="3C29A7EA" w:rsidR="00851138" w:rsidRPr="00C82BBD" w:rsidRDefault="00232B0F" w:rsidP="00C82BBD">
      <w:pPr>
        <w:autoSpaceDE w:val="0"/>
        <w:autoSpaceDN w:val="0"/>
        <w:adjustRightInd w:val="0"/>
        <w:spacing w:after="0" w:line="480" w:lineRule="auto"/>
        <w:rPr>
          <w:rFonts w:ascii="Garamond" w:hAnsi="Garamond"/>
        </w:rPr>
      </w:pPr>
      <w:r w:rsidRPr="00C82BBD">
        <w:rPr>
          <w:rFonts w:ascii="Garamond" w:hAnsi="Garamond"/>
        </w:rPr>
        <w:t xml:space="preserve">To approach these caring uses of naloxone, we draw on Science and Technology </w:t>
      </w:r>
      <w:r w:rsidR="00D21EE2" w:rsidRPr="00C82BBD">
        <w:rPr>
          <w:rFonts w:ascii="Garamond" w:hAnsi="Garamond"/>
        </w:rPr>
        <w:t>S</w:t>
      </w:r>
      <w:r w:rsidRPr="00C82BBD">
        <w:rPr>
          <w:rFonts w:ascii="Garamond" w:hAnsi="Garamond"/>
        </w:rPr>
        <w:t>tudies</w:t>
      </w:r>
      <w:r w:rsidR="00DE3F59" w:rsidRPr="00C82BBD">
        <w:rPr>
          <w:rFonts w:ascii="Garamond" w:hAnsi="Garamond"/>
        </w:rPr>
        <w:t xml:space="preserve">, </w:t>
      </w:r>
      <w:r w:rsidR="000E1A0A" w:rsidRPr="00C82BBD">
        <w:rPr>
          <w:rFonts w:ascii="Garamond" w:hAnsi="Garamond"/>
        </w:rPr>
        <w:t xml:space="preserve">in particular, </w:t>
      </w:r>
      <w:r w:rsidR="007F545A" w:rsidRPr="00C82BBD">
        <w:rPr>
          <w:rFonts w:ascii="Garamond" w:hAnsi="Garamond"/>
        </w:rPr>
        <w:t>Bruno Latour</w:t>
      </w:r>
      <w:r w:rsidR="00DE3F59" w:rsidRPr="00C82BBD">
        <w:rPr>
          <w:rFonts w:ascii="Garamond" w:hAnsi="Garamond"/>
        </w:rPr>
        <w:t xml:space="preserve">’s </w:t>
      </w:r>
      <w:r w:rsidR="007F545A" w:rsidRPr="00C82BBD">
        <w:rPr>
          <w:rFonts w:ascii="Garamond" w:hAnsi="Garamond"/>
        </w:rPr>
        <w:t xml:space="preserve">(2002) </w:t>
      </w:r>
      <w:r w:rsidR="00DE3F59" w:rsidRPr="00C82BBD">
        <w:rPr>
          <w:rFonts w:ascii="Garamond" w:hAnsi="Garamond"/>
        </w:rPr>
        <w:t xml:space="preserve">suggestion </w:t>
      </w:r>
      <w:r w:rsidRPr="00C82BBD">
        <w:rPr>
          <w:rFonts w:ascii="Garamond" w:hAnsi="Garamond"/>
        </w:rPr>
        <w:t xml:space="preserve">that </w:t>
      </w:r>
      <w:r w:rsidR="009C54F9" w:rsidRPr="00C82BBD">
        <w:rPr>
          <w:rFonts w:ascii="Garamond" w:hAnsi="Garamond"/>
        </w:rPr>
        <w:t xml:space="preserve">all </w:t>
      </w:r>
      <w:r w:rsidRPr="00C82BBD">
        <w:rPr>
          <w:rFonts w:ascii="Garamond" w:hAnsi="Garamond"/>
        </w:rPr>
        <w:t xml:space="preserve">technologies </w:t>
      </w:r>
      <w:r w:rsidR="00DE3F59" w:rsidRPr="00C82BBD">
        <w:rPr>
          <w:rFonts w:ascii="Garamond" w:hAnsi="Garamond"/>
        </w:rPr>
        <w:t>(</w:t>
      </w:r>
      <w:r w:rsidR="009C54F9" w:rsidRPr="00C82BBD">
        <w:rPr>
          <w:rFonts w:ascii="Garamond" w:hAnsi="Garamond"/>
        </w:rPr>
        <w:t>such as</w:t>
      </w:r>
      <w:r w:rsidRPr="00C82BBD">
        <w:rPr>
          <w:rFonts w:ascii="Garamond" w:hAnsi="Garamond"/>
        </w:rPr>
        <w:t xml:space="preserve"> take-home naloxone</w:t>
      </w:r>
      <w:r w:rsidR="00DE3F59" w:rsidRPr="00C82BBD">
        <w:rPr>
          <w:rFonts w:ascii="Garamond" w:hAnsi="Garamond"/>
        </w:rPr>
        <w:t>)</w:t>
      </w:r>
      <w:r w:rsidRPr="00C82BBD">
        <w:rPr>
          <w:rFonts w:ascii="Garamond" w:hAnsi="Garamond"/>
        </w:rPr>
        <w:t xml:space="preserve"> are co-produced within social relations and, </w:t>
      </w:r>
      <w:r w:rsidR="009C54F9" w:rsidRPr="00C82BBD">
        <w:rPr>
          <w:rFonts w:ascii="Garamond" w:hAnsi="Garamond"/>
        </w:rPr>
        <w:t>that these complex relations mean they cannot determine how they are used but rather</w:t>
      </w:r>
      <w:r w:rsidRPr="00C82BBD">
        <w:rPr>
          <w:rFonts w:ascii="Garamond" w:hAnsi="Garamond"/>
        </w:rPr>
        <w:t xml:space="preserve"> ‘afford</w:t>
      </w:r>
      <w:r w:rsidR="00C02251" w:rsidRPr="00C82BBD">
        <w:rPr>
          <w:rFonts w:ascii="Garamond" w:hAnsi="Garamond"/>
        </w:rPr>
        <w:t>’ multiple possibilities</w:t>
      </w:r>
      <w:r w:rsidR="009C54F9" w:rsidRPr="00C82BBD">
        <w:rPr>
          <w:rFonts w:ascii="Garamond" w:hAnsi="Garamond"/>
        </w:rPr>
        <w:t xml:space="preserve"> of use</w:t>
      </w:r>
      <w:r w:rsidRPr="00C82BBD">
        <w:rPr>
          <w:rFonts w:ascii="Garamond" w:hAnsi="Garamond"/>
        </w:rPr>
        <w:t>.</w:t>
      </w:r>
      <w:r w:rsidR="00DE3F59" w:rsidRPr="00C82BBD">
        <w:rPr>
          <w:rFonts w:ascii="Garamond" w:hAnsi="Garamond"/>
        </w:rPr>
        <w:t xml:space="preserve"> Building on this, we also draw on the work of Annemarie Mol (2008</w:t>
      </w:r>
      <w:r w:rsidR="000C6DDF" w:rsidRPr="00C82BBD">
        <w:rPr>
          <w:rFonts w:ascii="Garamond" w:hAnsi="Garamond"/>
        </w:rPr>
        <w:t xml:space="preserve">) </w:t>
      </w:r>
      <w:r w:rsidR="00DB37FC" w:rsidRPr="00C82BBD">
        <w:rPr>
          <w:rFonts w:ascii="Garamond" w:hAnsi="Garamond"/>
        </w:rPr>
        <w:t xml:space="preserve">to </w:t>
      </w:r>
      <w:r w:rsidR="000C6DDF" w:rsidRPr="00C82BBD">
        <w:rPr>
          <w:rFonts w:ascii="Garamond" w:hAnsi="Garamond"/>
        </w:rPr>
        <w:t>approach take-home naloxone as</w:t>
      </w:r>
      <w:r w:rsidR="000C7A91" w:rsidRPr="00C82BBD">
        <w:rPr>
          <w:rFonts w:ascii="Garamond" w:hAnsi="Garamond"/>
        </w:rPr>
        <w:t xml:space="preserve"> implicated in</w:t>
      </w:r>
      <w:r w:rsidR="000C6DDF" w:rsidRPr="00C82BBD">
        <w:rPr>
          <w:rFonts w:ascii="Garamond" w:hAnsi="Garamond"/>
        </w:rPr>
        <w:t xml:space="preserve"> a</w:t>
      </w:r>
      <w:r w:rsidR="007370DC">
        <w:rPr>
          <w:rFonts w:ascii="Garamond" w:hAnsi="Garamond"/>
        </w:rPr>
        <w:t xml:space="preserve"> </w:t>
      </w:r>
      <w:r w:rsidR="000C6DDF" w:rsidRPr="00C82BBD">
        <w:rPr>
          <w:rFonts w:ascii="Garamond" w:hAnsi="Garamond"/>
        </w:rPr>
        <w:t>politics of care</w:t>
      </w:r>
      <w:r w:rsidR="000E1A0A" w:rsidRPr="00C82BBD">
        <w:rPr>
          <w:rFonts w:ascii="Garamond" w:hAnsi="Garamond"/>
        </w:rPr>
        <w:t>.</w:t>
      </w:r>
      <w:r w:rsidR="000C6DDF" w:rsidRPr="00C82BBD" w:rsidDel="00734EF9">
        <w:rPr>
          <w:rFonts w:ascii="Garamond" w:hAnsi="Garamond"/>
        </w:rPr>
        <w:t xml:space="preserve"> </w:t>
      </w:r>
      <w:r w:rsidR="00734EF9" w:rsidRPr="00C82BBD">
        <w:rPr>
          <w:rFonts w:ascii="Garamond" w:hAnsi="Garamond"/>
        </w:rPr>
        <w:t xml:space="preserve">Given </w:t>
      </w:r>
      <w:r w:rsidR="007F545A" w:rsidRPr="00C82BBD">
        <w:rPr>
          <w:rFonts w:ascii="Garamond" w:hAnsi="Garamond"/>
        </w:rPr>
        <w:t xml:space="preserve">the </w:t>
      </w:r>
      <w:proofErr w:type="spellStart"/>
      <w:r w:rsidR="007F545A" w:rsidRPr="00C82BBD">
        <w:rPr>
          <w:rFonts w:ascii="Garamond" w:hAnsi="Garamond"/>
        </w:rPr>
        <w:t>marginalisation</w:t>
      </w:r>
      <w:proofErr w:type="spellEnd"/>
      <w:r w:rsidR="007F545A" w:rsidRPr="00C82BBD">
        <w:rPr>
          <w:rFonts w:ascii="Garamond" w:hAnsi="Garamond"/>
        </w:rPr>
        <w:t xml:space="preserve"> and </w:t>
      </w:r>
      <w:proofErr w:type="spellStart"/>
      <w:r w:rsidR="007F545A" w:rsidRPr="00C82BBD">
        <w:rPr>
          <w:rFonts w:ascii="Garamond" w:hAnsi="Garamond"/>
        </w:rPr>
        <w:t>sitgmatisation</w:t>
      </w:r>
      <w:proofErr w:type="spellEnd"/>
      <w:r w:rsidR="007F545A" w:rsidRPr="00C82BBD">
        <w:rPr>
          <w:rFonts w:ascii="Garamond" w:hAnsi="Garamond"/>
        </w:rPr>
        <w:t xml:space="preserve"> of </w:t>
      </w:r>
      <w:r w:rsidR="00E649C9">
        <w:rPr>
          <w:rFonts w:ascii="Garamond" w:hAnsi="Garamond"/>
        </w:rPr>
        <w:t>many</w:t>
      </w:r>
      <w:r w:rsidR="00E74AF0" w:rsidRPr="00C82BBD">
        <w:rPr>
          <w:rFonts w:ascii="Garamond" w:hAnsi="Garamond"/>
        </w:rPr>
        <w:t xml:space="preserve"> </w:t>
      </w:r>
      <w:r w:rsidR="007F545A" w:rsidRPr="00C82BBD">
        <w:rPr>
          <w:rFonts w:ascii="Garamond" w:hAnsi="Garamond"/>
        </w:rPr>
        <w:t>people who consume opioids, we argue that these</w:t>
      </w:r>
      <w:r w:rsidRPr="00C82BBD">
        <w:rPr>
          <w:rFonts w:ascii="Garamond" w:hAnsi="Garamond"/>
        </w:rPr>
        <w:t xml:space="preserve"> affordances and the politics of care</w:t>
      </w:r>
      <w:r w:rsidR="000E1A0A" w:rsidRPr="00C82BBD">
        <w:rPr>
          <w:rFonts w:ascii="Garamond" w:hAnsi="Garamond"/>
        </w:rPr>
        <w:t xml:space="preserve"> in which</w:t>
      </w:r>
      <w:r w:rsidRPr="00C82BBD">
        <w:rPr>
          <w:rFonts w:ascii="Garamond" w:hAnsi="Garamond"/>
        </w:rPr>
        <w:t xml:space="preserve"> they are i</w:t>
      </w:r>
      <w:r w:rsidR="000E1A0A" w:rsidRPr="00C82BBD">
        <w:rPr>
          <w:rFonts w:ascii="Garamond" w:hAnsi="Garamond"/>
        </w:rPr>
        <w:t xml:space="preserve">mmersed </w:t>
      </w:r>
      <w:r w:rsidRPr="00C82BBD">
        <w:rPr>
          <w:rFonts w:ascii="Garamond" w:hAnsi="Garamond"/>
        </w:rPr>
        <w:t xml:space="preserve">need to be </w:t>
      </w:r>
      <w:r w:rsidR="00BE32CE" w:rsidRPr="00C82BBD">
        <w:rPr>
          <w:rFonts w:ascii="Garamond" w:hAnsi="Garamond"/>
        </w:rPr>
        <w:t xml:space="preserve">understood </w:t>
      </w:r>
      <w:r w:rsidRPr="00C82BBD">
        <w:rPr>
          <w:rFonts w:ascii="Garamond" w:hAnsi="Garamond"/>
        </w:rPr>
        <w:t>within the power relations that co-produce</w:t>
      </w:r>
      <w:r w:rsidR="007F545A" w:rsidRPr="00C82BBD">
        <w:rPr>
          <w:rFonts w:ascii="Garamond" w:hAnsi="Garamond"/>
        </w:rPr>
        <w:t xml:space="preserve"> </w:t>
      </w:r>
      <w:r w:rsidR="00BE32CE" w:rsidRPr="00C82BBD">
        <w:rPr>
          <w:rFonts w:ascii="Garamond" w:hAnsi="Garamond"/>
        </w:rPr>
        <w:t xml:space="preserve">both </w:t>
      </w:r>
      <w:r w:rsidR="007F545A" w:rsidRPr="00C82BBD">
        <w:rPr>
          <w:rFonts w:ascii="Garamond" w:hAnsi="Garamond"/>
        </w:rPr>
        <w:t>overdose and</w:t>
      </w:r>
      <w:r w:rsidRPr="00C82BBD">
        <w:rPr>
          <w:rFonts w:ascii="Garamond" w:hAnsi="Garamond"/>
        </w:rPr>
        <w:t xml:space="preserve"> </w:t>
      </w:r>
      <w:r w:rsidR="007F545A" w:rsidRPr="00C82BBD">
        <w:rPr>
          <w:rFonts w:ascii="Garamond" w:hAnsi="Garamond"/>
        </w:rPr>
        <w:t>notions of care</w:t>
      </w:r>
      <w:r w:rsidR="000E1A0A" w:rsidRPr="00C82BBD">
        <w:rPr>
          <w:rFonts w:ascii="Garamond" w:hAnsi="Garamond"/>
        </w:rPr>
        <w:t xml:space="preserve"> themselves</w:t>
      </w:r>
      <w:r w:rsidRPr="00C82BBD">
        <w:rPr>
          <w:rFonts w:ascii="Garamond" w:hAnsi="Garamond"/>
        </w:rPr>
        <w:t>.</w:t>
      </w:r>
      <w:r w:rsidR="007F545A" w:rsidRPr="00C82BBD">
        <w:rPr>
          <w:rFonts w:ascii="Garamond" w:hAnsi="Garamond"/>
        </w:rPr>
        <w:t xml:space="preserve"> The affordances we explore suggest that</w:t>
      </w:r>
      <w:r w:rsidR="00C02251" w:rsidRPr="00C82BBD">
        <w:rPr>
          <w:rFonts w:ascii="Garamond" w:hAnsi="Garamond"/>
        </w:rPr>
        <w:t xml:space="preserve"> </w:t>
      </w:r>
      <w:r w:rsidR="007F545A" w:rsidRPr="00C82BBD">
        <w:rPr>
          <w:rFonts w:ascii="Garamond" w:hAnsi="Garamond"/>
        </w:rPr>
        <w:t>take-home naloxone</w:t>
      </w:r>
      <w:r w:rsidR="009C54F9" w:rsidRPr="00C82BBD">
        <w:rPr>
          <w:rFonts w:ascii="Garamond" w:hAnsi="Garamond"/>
        </w:rPr>
        <w:t xml:space="preserve"> programs</w:t>
      </w:r>
      <w:r w:rsidR="007F545A" w:rsidRPr="00C82BBD">
        <w:rPr>
          <w:rFonts w:ascii="Garamond" w:hAnsi="Garamond"/>
        </w:rPr>
        <w:t xml:space="preserve"> </w:t>
      </w:r>
      <w:r w:rsidR="00C02251" w:rsidRPr="00C82BBD">
        <w:rPr>
          <w:rFonts w:ascii="Garamond" w:hAnsi="Garamond"/>
        </w:rPr>
        <w:t>offer more than an</w:t>
      </w:r>
      <w:r w:rsidR="007F545A" w:rsidRPr="00C82BBD">
        <w:rPr>
          <w:rFonts w:ascii="Garamond" w:hAnsi="Garamond"/>
        </w:rPr>
        <w:t xml:space="preserve"> ‘emergency medicine’</w:t>
      </w:r>
      <w:r w:rsidR="00A31181" w:rsidRPr="00C82BBD">
        <w:rPr>
          <w:rFonts w:ascii="Garamond" w:hAnsi="Garamond"/>
        </w:rPr>
        <w:t xml:space="preserve"> or tool solely</w:t>
      </w:r>
      <w:r w:rsidR="00C02251" w:rsidRPr="00C82BBD">
        <w:rPr>
          <w:rFonts w:ascii="Garamond" w:hAnsi="Garamond"/>
        </w:rPr>
        <w:t xml:space="preserve"> for use in overdose emergences</w:t>
      </w:r>
      <w:r w:rsidR="00117C56" w:rsidRPr="00C82BBD">
        <w:rPr>
          <w:rFonts w:ascii="Garamond" w:hAnsi="Garamond"/>
        </w:rPr>
        <w:t xml:space="preserve"> (as it is usually framed)</w:t>
      </w:r>
      <w:r w:rsidR="00BE32CE" w:rsidRPr="00C82BBD">
        <w:rPr>
          <w:rFonts w:ascii="Garamond" w:hAnsi="Garamond"/>
        </w:rPr>
        <w:t xml:space="preserve">. Shaped by the </w:t>
      </w:r>
      <w:r w:rsidR="007F545A" w:rsidRPr="00C82BBD">
        <w:rPr>
          <w:rFonts w:ascii="Garamond" w:hAnsi="Garamond"/>
        </w:rPr>
        <w:t>desire to care for the recipient beyond immediate revival</w:t>
      </w:r>
      <w:r w:rsidR="00BE32CE" w:rsidRPr="00C82BBD">
        <w:rPr>
          <w:rFonts w:ascii="Garamond" w:hAnsi="Garamond"/>
        </w:rPr>
        <w:t xml:space="preserve">, </w:t>
      </w:r>
      <w:r w:rsidR="00C02251" w:rsidRPr="00C82BBD">
        <w:rPr>
          <w:rFonts w:ascii="Garamond" w:hAnsi="Garamond"/>
        </w:rPr>
        <w:t>take-home naloxone</w:t>
      </w:r>
      <w:r w:rsidR="00E74AF0" w:rsidRPr="00C82BBD">
        <w:rPr>
          <w:rFonts w:ascii="Garamond" w:hAnsi="Garamond"/>
        </w:rPr>
        <w:t xml:space="preserve"> </w:t>
      </w:r>
      <w:r w:rsidR="00BE32CE" w:rsidRPr="00C82BBD">
        <w:rPr>
          <w:rFonts w:ascii="Garamond" w:hAnsi="Garamond"/>
        </w:rPr>
        <w:t>uptake</w:t>
      </w:r>
      <w:r w:rsidR="009C54F9" w:rsidRPr="00C82BBD">
        <w:rPr>
          <w:rFonts w:ascii="Garamond" w:hAnsi="Garamond"/>
        </w:rPr>
        <w:t xml:space="preserve"> needs to be understood using more </w:t>
      </w:r>
      <w:r w:rsidR="00BE32CE" w:rsidRPr="00C82BBD">
        <w:rPr>
          <w:rFonts w:ascii="Garamond" w:hAnsi="Garamond"/>
        </w:rPr>
        <w:t>complex questions than are usually asked about it</w:t>
      </w:r>
      <w:r w:rsidR="009C54F9" w:rsidRPr="00C82BBD">
        <w:rPr>
          <w:rFonts w:ascii="Garamond" w:hAnsi="Garamond"/>
        </w:rPr>
        <w:t xml:space="preserve"> (common questions include, for example, </w:t>
      </w:r>
      <w:r w:rsidR="00C02251" w:rsidRPr="00C82BBD">
        <w:rPr>
          <w:rFonts w:ascii="Garamond" w:hAnsi="Garamond"/>
        </w:rPr>
        <w:t>how many administration kits have been distributed and used</w:t>
      </w:r>
      <w:r w:rsidR="005E17DA" w:rsidRPr="00C82BBD">
        <w:rPr>
          <w:rFonts w:ascii="Garamond" w:hAnsi="Garamond"/>
        </w:rPr>
        <w:t>)</w:t>
      </w:r>
      <w:r w:rsidR="007F545A" w:rsidRPr="00C82BBD">
        <w:rPr>
          <w:rFonts w:ascii="Garamond" w:hAnsi="Garamond"/>
        </w:rPr>
        <w:t xml:space="preserve">. </w:t>
      </w:r>
      <w:r w:rsidR="00BE32CE" w:rsidRPr="00C82BBD">
        <w:rPr>
          <w:rFonts w:ascii="Garamond" w:hAnsi="Garamond"/>
        </w:rPr>
        <w:t xml:space="preserve">The first case study </w:t>
      </w:r>
      <w:r w:rsidR="005E17DA" w:rsidRPr="00C82BBD">
        <w:rPr>
          <w:rFonts w:ascii="Garamond" w:hAnsi="Garamond"/>
        </w:rPr>
        <w:t xml:space="preserve">presented here </w:t>
      </w:r>
      <w:r w:rsidR="00BE32CE" w:rsidRPr="00C82BBD">
        <w:rPr>
          <w:rFonts w:ascii="Garamond" w:hAnsi="Garamond"/>
        </w:rPr>
        <w:t>explores an account in which</w:t>
      </w:r>
      <w:r w:rsidR="00512713" w:rsidRPr="00C82BBD">
        <w:rPr>
          <w:rFonts w:ascii="Garamond" w:hAnsi="Garamond"/>
        </w:rPr>
        <w:t xml:space="preserve"> take-home naloxone affords a regime of care within an intimate partnership to allow a terminally ill man to</w:t>
      </w:r>
      <w:r w:rsidR="003F445B" w:rsidRPr="00C82BBD">
        <w:rPr>
          <w:rFonts w:ascii="Garamond" w:hAnsi="Garamond"/>
        </w:rPr>
        <w:t xml:space="preserve"> continue to</w:t>
      </w:r>
      <w:r w:rsidR="00512713" w:rsidRPr="00C82BBD">
        <w:rPr>
          <w:rFonts w:ascii="Garamond" w:hAnsi="Garamond"/>
        </w:rPr>
        <w:t xml:space="preserve"> consume opioids</w:t>
      </w:r>
      <w:r w:rsidR="00BE32CE" w:rsidRPr="00C82BBD">
        <w:rPr>
          <w:rFonts w:ascii="Garamond" w:hAnsi="Garamond"/>
        </w:rPr>
        <w:t xml:space="preserve"> </w:t>
      </w:r>
      <w:r w:rsidR="003F445B" w:rsidRPr="00C82BBD">
        <w:rPr>
          <w:rFonts w:ascii="Garamond" w:hAnsi="Garamond"/>
        </w:rPr>
        <w:t>in a context where his dose</w:t>
      </w:r>
      <w:r w:rsidR="00A31181" w:rsidRPr="00C82BBD">
        <w:rPr>
          <w:rFonts w:ascii="Garamond" w:hAnsi="Garamond"/>
        </w:rPr>
        <w:t xml:space="preserve"> and chance of overdose</w:t>
      </w:r>
      <w:r w:rsidR="003F445B" w:rsidRPr="00C82BBD">
        <w:rPr>
          <w:rFonts w:ascii="Garamond" w:hAnsi="Garamond"/>
        </w:rPr>
        <w:t xml:space="preserve"> has become relatively high</w:t>
      </w:r>
      <w:r w:rsidR="00512713" w:rsidRPr="00C82BBD">
        <w:rPr>
          <w:rFonts w:ascii="Garamond" w:hAnsi="Garamond"/>
        </w:rPr>
        <w:t xml:space="preserve">. </w:t>
      </w:r>
      <w:r w:rsidR="00BE32CE" w:rsidRPr="00C82BBD">
        <w:rPr>
          <w:rFonts w:ascii="Garamond" w:hAnsi="Garamond"/>
        </w:rPr>
        <w:t>The second case study explores</w:t>
      </w:r>
      <w:r w:rsidR="00512713" w:rsidRPr="00C82BBD">
        <w:rPr>
          <w:rFonts w:ascii="Garamond" w:hAnsi="Garamond"/>
        </w:rPr>
        <w:t xml:space="preserve"> </w:t>
      </w:r>
      <w:r w:rsidR="00BE32CE" w:rsidRPr="00C82BBD">
        <w:rPr>
          <w:rFonts w:ascii="Garamond" w:hAnsi="Garamond"/>
        </w:rPr>
        <w:t xml:space="preserve">an account in which the administration of take-home naloxone entails a </w:t>
      </w:r>
      <w:r w:rsidR="00512713" w:rsidRPr="00C82BBD">
        <w:rPr>
          <w:rFonts w:ascii="Garamond" w:hAnsi="Garamond"/>
        </w:rPr>
        <w:t>political</w:t>
      </w:r>
      <w:r w:rsidR="00DE3F59" w:rsidRPr="00C82BBD">
        <w:rPr>
          <w:rFonts w:ascii="Garamond" w:hAnsi="Garamond"/>
        </w:rPr>
        <w:t>ly inflected</w:t>
      </w:r>
      <w:r w:rsidR="00512713" w:rsidRPr="00C82BBD">
        <w:rPr>
          <w:rFonts w:ascii="Garamond" w:hAnsi="Garamond"/>
        </w:rPr>
        <w:t xml:space="preserve"> process </w:t>
      </w:r>
      <w:r w:rsidR="00DE3F59" w:rsidRPr="00C82BBD">
        <w:rPr>
          <w:rFonts w:ascii="Garamond" w:hAnsi="Garamond"/>
        </w:rPr>
        <w:t>of care</w:t>
      </w:r>
      <w:r w:rsidR="005E17DA" w:rsidRPr="00C82BBD">
        <w:rPr>
          <w:rFonts w:ascii="Garamond" w:hAnsi="Garamond"/>
        </w:rPr>
        <w:t>.</w:t>
      </w:r>
      <w:r w:rsidR="00DE3F59" w:rsidRPr="00C82BBD">
        <w:rPr>
          <w:rFonts w:ascii="Garamond" w:hAnsi="Garamond"/>
        </w:rPr>
        <w:t xml:space="preserve"> </w:t>
      </w:r>
      <w:r w:rsidR="005E17DA" w:rsidRPr="00C82BBD">
        <w:rPr>
          <w:rFonts w:ascii="Garamond" w:hAnsi="Garamond"/>
        </w:rPr>
        <w:t>In this process</w:t>
      </w:r>
      <w:r w:rsidR="00512713" w:rsidRPr="00C82BBD">
        <w:rPr>
          <w:rFonts w:ascii="Garamond" w:hAnsi="Garamond"/>
        </w:rPr>
        <w:t xml:space="preserve"> </w:t>
      </w:r>
      <w:r w:rsidR="00DE3F59" w:rsidRPr="00C82BBD">
        <w:rPr>
          <w:rFonts w:ascii="Garamond" w:hAnsi="Garamond"/>
        </w:rPr>
        <w:t xml:space="preserve">the </w:t>
      </w:r>
      <w:r w:rsidR="00512713" w:rsidRPr="00C82BBD">
        <w:rPr>
          <w:rFonts w:ascii="Garamond" w:hAnsi="Garamond"/>
        </w:rPr>
        <w:t xml:space="preserve">participant </w:t>
      </w:r>
      <w:r w:rsidR="00DE3F59" w:rsidRPr="00C82BBD">
        <w:rPr>
          <w:rFonts w:ascii="Garamond" w:hAnsi="Garamond"/>
        </w:rPr>
        <w:t>adopts a</w:t>
      </w:r>
      <w:r w:rsidR="005E17DA" w:rsidRPr="00C82BBD">
        <w:rPr>
          <w:rFonts w:ascii="Garamond" w:hAnsi="Garamond"/>
        </w:rPr>
        <w:t>n especially</w:t>
      </w:r>
      <w:r w:rsidR="00DE3F59" w:rsidRPr="00C82BBD">
        <w:rPr>
          <w:rFonts w:ascii="Garamond" w:hAnsi="Garamond"/>
        </w:rPr>
        <w:t xml:space="preserve"> cautious</w:t>
      </w:r>
      <w:r w:rsidR="005E17DA" w:rsidRPr="00C82BBD">
        <w:rPr>
          <w:rFonts w:ascii="Garamond" w:hAnsi="Garamond"/>
        </w:rPr>
        <w:t xml:space="preserve"> or</w:t>
      </w:r>
      <w:r w:rsidR="00512713" w:rsidRPr="00C82BBD">
        <w:rPr>
          <w:rFonts w:ascii="Garamond" w:hAnsi="Garamond"/>
        </w:rPr>
        <w:t xml:space="preserve"> ‘gentl</w:t>
      </w:r>
      <w:r w:rsidR="00DE3F59" w:rsidRPr="00C82BBD">
        <w:rPr>
          <w:rFonts w:ascii="Garamond" w:hAnsi="Garamond"/>
        </w:rPr>
        <w:t>e</w:t>
      </w:r>
      <w:r w:rsidR="00512713" w:rsidRPr="00C82BBD">
        <w:rPr>
          <w:rFonts w:ascii="Garamond" w:hAnsi="Garamond"/>
        </w:rPr>
        <w:t xml:space="preserve">’ </w:t>
      </w:r>
      <w:r w:rsidR="00DE3F59" w:rsidRPr="00C82BBD">
        <w:rPr>
          <w:rFonts w:ascii="Garamond" w:hAnsi="Garamond"/>
        </w:rPr>
        <w:t>dosing approach</w:t>
      </w:r>
      <w:r w:rsidR="00117C56" w:rsidRPr="00C82BBD">
        <w:rPr>
          <w:rFonts w:ascii="Garamond" w:hAnsi="Garamond"/>
        </w:rPr>
        <w:t xml:space="preserve"> </w:t>
      </w:r>
      <w:r w:rsidR="005E17DA" w:rsidRPr="00C82BBD">
        <w:rPr>
          <w:rFonts w:ascii="Garamond" w:hAnsi="Garamond"/>
        </w:rPr>
        <w:t>with which he</w:t>
      </w:r>
      <w:r w:rsidR="00D362B1" w:rsidRPr="00C82BBD">
        <w:rPr>
          <w:rFonts w:ascii="Garamond" w:hAnsi="Garamond"/>
        </w:rPr>
        <w:t xml:space="preserve"> </w:t>
      </w:r>
      <w:r w:rsidR="00A31181" w:rsidRPr="00C82BBD">
        <w:rPr>
          <w:rFonts w:ascii="Garamond" w:hAnsi="Garamond"/>
        </w:rPr>
        <w:t>hope</w:t>
      </w:r>
      <w:r w:rsidR="005E17DA" w:rsidRPr="00C82BBD">
        <w:rPr>
          <w:rFonts w:ascii="Garamond" w:hAnsi="Garamond"/>
        </w:rPr>
        <w:t>s</w:t>
      </w:r>
      <w:r w:rsidR="00A31181" w:rsidRPr="00C82BBD">
        <w:rPr>
          <w:rFonts w:ascii="Garamond" w:hAnsi="Garamond"/>
        </w:rPr>
        <w:t xml:space="preserve"> to</w:t>
      </w:r>
      <w:r w:rsidR="00D362B1" w:rsidRPr="00C82BBD">
        <w:rPr>
          <w:rFonts w:ascii="Garamond" w:hAnsi="Garamond"/>
        </w:rPr>
        <w:t xml:space="preserve"> </w:t>
      </w:r>
      <w:r w:rsidR="00117C56" w:rsidRPr="00C82BBD">
        <w:rPr>
          <w:rFonts w:ascii="Garamond" w:hAnsi="Garamond"/>
        </w:rPr>
        <w:t>avoid producing unnecessary painful withdrawal symptoms</w:t>
      </w:r>
      <w:r w:rsidR="00512713" w:rsidRPr="00C82BBD">
        <w:rPr>
          <w:rFonts w:ascii="Garamond" w:hAnsi="Garamond"/>
        </w:rPr>
        <w:t>.</w:t>
      </w:r>
      <w:r w:rsidR="008000EA" w:rsidRPr="00C82BBD">
        <w:rPr>
          <w:rFonts w:ascii="Garamond" w:hAnsi="Garamond"/>
        </w:rPr>
        <w:t xml:space="preserve"> </w:t>
      </w:r>
      <w:r w:rsidR="003324F7">
        <w:rPr>
          <w:rFonts w:ascii="Garamond" w:hAnsi="Garamond"/>
        </w:rPr>
        <w:t xml:space="preserve">Together, these case studies highlight an emergent politics of care that takes shape through take-home naloxone practices. Through our analysis we develop a </w:t>
      </w:r>
      <w:r w:rsidR="000C7A91" w:rsidRPr="00C82BBD">
        <w:rPr>
          <w:rFonts w:ascii="Garamond" w:hAnsi="Garamond"/>
        </w:rPr>
        <w:t xml:space="preserve">politics of care </w:t>
      </w:r>
      <w:r w:rsidR="008000EA" w:rsidRPr="00C82BBD">
        <w:rPr>
          <w:rFonts w:ascii="Garamond" w:hAnsi="Garamond"/>
        </w:rPr>
        <w:t>approach</w:t>
      </w:r>
      <w:r w:rsidR="00330A2E" w:rsidRPr="00C82BBD">
        <w:rPr>
          <w:rFonts w:ascii="Garamond" w:hAnsi="Garamond"/>
        </w:rPr>
        <w:t xml:space="preserve"> </w:t>
      </w:r>
      <w:r w:rsidR="003324F7">
        <w:rPr>
          <w:rFonts w:ascii="Garamond" w:hAnsi="Garamond"/>
        </w:rPr>
        <w:t>to this initiative which</w:t>
      </w:r>
      <w:r w:rsidR="000C7A91" w:rsidRPr="00C82BBD">
        <w:rPr>
          <w:rFonts w:ascii="Garamond" w:hAnsi="Garamond"/>
        </w:rPr>
        <w:t xml:space="preserve"> </w:t>
      </w:r>
      <w:r w:rsidR="00117C56" w:rsidRPr="00C82BBD">
        <w:rPr>
          <w:rFonts w:ascii="Garamond" w:hAnsi="Garamond"/>
        </w:rPr>
        <w:lastRenderedPageBreak/>
        <w:t xml:space="preserve">allows </w:t>
      </w:r>
      <w:r w:rsidR="00DE3F59" w:rsidRPr="00C82BBD">
        <w:rPr>
          <w:rFonts w:ascii="Garamond" w:hAnsi="Garamond"/>
        </w:rPr>
        <w:t>new perspective</w:t>
      </w:r>
      <w:r w:rsidR="00117C56" w:rsidRPr="00C82BBD">
        <w:rPr>
          <w:rFonts w:ascii="Garamond" w:hAnsi="Garamond"/>
        </w:rPr>
        <w:t>s</w:t>
      </w:r>
      <w:r w:rsidR="00DE3F59" w:rsidRPr="00C82BBD">
        <w:rPr>
          <w:rFonts w:ascii="Garamond" w:hAnsi="Garamond"/>
        </w:rPr>
        <w:t xml:space="preserve"> on </w:t>
      </w:r>
      <w:r w:rsidR="005E17DA" w:rsidRPr="00C82BBD">
        <w:rPr>
          <w:rFonts w:ascii="Garamond" w:hAnsi="Garamond"/>
        </w:rPr>
        <w:t>naloxone</w:t>
      </w:r>
      <w:r w:rsidR="00DE3F59" w:rsidRPr="00C82BBD">
        <w:rPr>
          <w:rFonts w:ascii="Garamond" w:hAnsi="Garamond"/>
        </w:rPr>
        <w:t xml:space="preserve"> and </w:t>
      </w:r>
      <w:r w:rsidR="00D362B1" w:rsidRPr="00C82BBD">
        <w:rPr>
          <w:rFonts w:ascii="Garamond" w:hAnsi="Garamond"/>
        </w:rPr>
        <w:t xml:space="preserve">the </w:t>
      </w:r>
      <w:r w:rsidR="00DE3F59" w:rsidRPr="00C82BBD">
        <w:rPr>
          <w:rFonts w:ascii="Garamond" w:hAnsi="Garamond"/>
        </w:rPr>
        <w:t>uptake</w:t>
      </w:r>
      <w:r w:rsidR="00D362B1" w:rsidRPr="00C82BBD">
        <w:rPr>
          <w:rFonts w:ascii="Garamond" w:hAnsi="Garamond"/>
        </w:rPr>
        <w:t xml:space="preserve"> of </w:t>
      </w:r>
      <w:r w:rsidR="005E17DA" w:rsidRPr="00C82BBD">
        <w:rPr>
          <w:rFonts w:ascii="Garamond" w:hAnsi="Garamond"/>
        </w:rPr>
        <w:t>take-home programs</w:t>
      </w:r>
      <w:r w:rsidR="009C235C">
        <w:rPr>
          <w:rFonts w:ascii="Garamond" w:hAnsi="Garamond"/>
        </w:rPr>
        <w:t xml:space="preserve"> specifically</w:t>
      </w:r>
      <w:r w:rsidR="00DE3F59" w:rsidRPr="00C82BBD">
        <w:rPr>
          <w:rFonts w:ascii="Garamond" w:hAnsi="Garamond"/>
        </w:rPr>
        <w:t xml:space="preserve">. In </w:t>
      </w:r>
      <w:proofErr w:type="spellStart"/>
      <w:r w:rsidR="00DE3F59" w:rsidRPr="00C82BBD">
        <w:rPr>
          <w:rFonts w:ascii="Garamond" w:hAnsi="Garamond"/>
        </w:rPr>
        <w:t>emphasising</w:t>
      </w:r>
      <w:proofErr w:type="spellEnd"/>
      <w:r w:rsidR="00DE3F59" w:rsidRPr="00C82BBD">
        <w:rPr>
          <w:rFonts w:ascii="Garamond" w:hAnsi="Garamond"/>
        </w:rPr>
        <w:t xml:space="preserve"> the social relations of care, this approach can</w:t>
      </w:r>
      <w:r w:rsidR="00512713" w:rsidRPr="00C82BBD">
        <w:rPr>
          <w:rFonts w:ascii="Garamond" w:hAnsi="Garamond"/>
        </w:rPr>
        <w:t xml:space="preserve"> </w:t>
      </w:r>
      <w:r w:rsidR="00DE3F59" w:rsidRPr="00C82BBD">
        <w:rPr>
          <w:rFonts w:ascii="Garamond" w:hAnsi="Garamond"/>
        </w:rPr>
        <w:t>illuminate the</w:t>
      </w:r>
      <w:r w:rsidR="00512713" w:rsidRPr="00C82BBD">
        <w:rPr>
          <w:rFonts w:ascii="Garamond" w:hAnsi="Garamond"/>
        </w:rPr>
        <w:t xml:space="preserve"> </w:t>
      </w:r>
      <w:proofErr w:type="spellStart"/>
      <w:r w:rsidR="00512713" w:rsidRPr="00C82BBD">
        <w:rPr>
          <w:rFonts w:ascii="Garamond" w:hAnsi="Garamond"/>
        </w:rPr>
        <w:t>destigmatising</w:t>
      </w:r>
      <w:proofErr w:type="spellEnd"/>
      <w:r w:rsidR="00512713" w:rsidRPr="00C82BBD">
        <w:rPr>
          <w:rFonts w:ascii="Garamond" w:hAnsi="Garamond"/>
        </w:rPr>
        <w:t xml:space="preserve"> </w:t>
      </w:r>
      <w:r w:rsidR="00DE3F59" w:rsidRPr="00C82BBD">
        <w:rPr>
          <w:rFonts w:ascii="Garamond" w:hAnsi="Garamond"/>
        </w:rPr>
        <w:t>potential of the</w:t>
      </w:r>
      <w:r w:rsidR="005E17DA" w:rsidRPr="00C82BBD">
        <w:rPr>
          <w:rFonts w:ascii="Garamond" w:hAnsi="Garamond"/>
        </w:rPr>
        <w:t>se programs</w:t>
      </w:r>
      <w:r w:rsidR="00330A2E" w:rsidRPr="00C82BBD">
        <w:rPr>
          <w:rFonts w:ascii="Garamond" w:hAnsi="Garamond"/>
        </w:rPr>
        <w:t>,</w:t>
      </w:r>
      <w:r w:rsidR="00C30CA4" w:rsidRPr="00C82BBD">
        <w:rPr>
          <w:rFonts w:ascii="Garamond" w:hAnsi="Garamond"/>
        </w:rPr>
        <w:t xml:space="preserve"> and</w:t>
      </w:r>
      <w:r w:rsidR="00330A2E" w:rsidRPr="00C82BBD">
        <w:rPr>
          <w:rFonts w:ascii="Garamond" w:hAnsi="Garamond"/>
        </w:rPr>
        <w:t xml:space="preserve"> contribute to the development of delivery</w:t>
      </w:r>
      <w:r w:rsidR="00DE3F59" w:rsidRPr="00C82BBD">
        <w:rPr>
          <w:rFonts w:ascii="Garamond" w:hAnsi="Garamond"/>
        </w:rPr>
        <w:t xml:space="preserve"> </w:t>
      </w:r>
      <w:r w:rsidR="00117C56" w:rsidRPr="00C82BBD">
        <w:rPr>
          <w:rFonts w:ascii="Garamond" w:hAnsi="Garamond"/>
        </w:rPr>
        <w:t>strategies</w:t>
      </w:r>
      <w:r w:rsidR="00330A2E" w:rsidRPr="00C82BBD">
        <w:rPr>
          <w:rFonts w:ascii="Garamond" w:hAnsi="Garamond"/>
        </w:rPr>
        <w:t xml:space="preserve"> that reduce unnecessary discomfort</w:t>
      </w:r>
      <w:r w:rsidR="00C30CA4" w:rsidRPr="00C82BBD">
        <w:rPr>
          <w:rFonts w:ascii="Garamond" w:hAnsi="Garamond"/>
        </w:rPr>
        <w:t>.</w:t>
      </w:r>
      <w:r w:rsidR="00117C56" w:rsidRPr="00C82BBD">
        <w:rPr>
          <w:rFonts w:ascii="Garamond" w:hAnsi="Garamond"/>
        </w:rPr>
        <w:t xml:space="preserve"> In doing this, </w:t>
      </w:r>
      <w:r w:rsidR="00D362B1" w:rsidRPr="00C82BBD">
        <w:rPr>
          <w:rFonts w:ascii="Garamond" w:hAnsi="Garamond"/>
        </w:rPr>
        <w:t xml:space="preserve">the approach </w:t>
      </w:r>
      <w:r w:rsidR="00117C56" w:rsidRPr="00C82BBD">
        <w:rPr>
          <w:rFonts w:ascii="Garamond" w:hAnsi="Garamond"/>
        </w:rPr>
        <w:t>can also</w:t>
      </w:r>
      <w:r w:rsidR="00330A2E" w:rsidRPr="00C82BBD">
        <w:rPr>
          <w:rFonts w:ascii="Garamond" w:hAnsi="Garamond"/>
        </w:rPr>
        <w:t xml:space="preserve"> </w:t>
      </w:r>
      <w:r w:rsidR="00C30CA4" w:rsidRPr="00C82BBD">
        <w:rPr>
          <w:rFonts w:ascii="Garamond" w:hAnsi="Garamond"/>
        </w:rPr>
        <w:t xml:space="preserve">provide a more ethically considered basis for encouraging uptake, in that it </w:t>
      </w:r>
      <w:r w:rsidR="00330A2E" w:rsidRPr="00C82BBD">
        <w:rPr>
          <w:rFonts w:ascii="Garamond" w:hAnsi="Garamond"/>
        </w:rPr>
        <w:t>ensur</w:t>
      </w:r>
      <w:r w:rsidR="00117C56" w:rsidRPr="00C82BBD">
        <w:rPr>
          <w:rFonts w:ascii="Garamond" w:hAnsi="Garamond"/>
        </w:rPr>
        <w:t>e</w:t>
      </w:r>
      <w:r w:rsidR="00C30CA4" w:rsidRPr="00C82BBD">
        <w:rPr>
          <w:rFonts w:ascii="Garamond" w:hAnsi="Garamond"/>
        </w:rPr>
        <w:t>s</w:t>
      </w:r>
      <w:r w:rsidR="00330A2E" w:rsidRPr="00C82BBD">
        <w:rPr>
          <w:rFonts w:ascii="Garamond" w:hAnsi="Garamond"/>
        </w:rPr>
        <w:t xml:space="preserve"> that</w:t>
      </w:r>
      <w:r w:rsidR="00C30CA4" w:rsidRPr="00C82BBD">
        <w:rPr>
          <w:rFonts w:ascii="Garamond" w:hAnsi="Garamond"/>
        </w:rPr>
        <w:t xml:space="preserve"> opioid</w:t>
      </w:r>
      <w:r w:rsidR="00330A2E" w:rsidRPr="00C82BBD">
        <w:rPr>
          <w:rFonts w:ascii="Garamond" w:hAnsi="Garamond"/>
        </w:rPr>
        <w:t xml:space="preserve"> overdose</w:t>
      </w:r>
      <w:r w:rsidR="00C30CA4" w:rsidRPr="00C82BBD">
        <w:rPr>
          <w:rFonts w:ascii="Garamond" w:hAnsi="Garamond"/>
        </w:rPr>
        <w:t xml:space="preserve"> and related</w:t>
      </w:r>
      <w:r w:rsidR="00330A2E" w:rsidRPr="00C82BBD">
        <w:rPr>
          <w:rFonts w:ascii="Garamond" w:hAnsi="Garamond"/>
        </w:rPr>
        <w:t xml:space="preserve"> deaths</w:t>
      </w:r>
      <w:r w:rsidR="00C30CA4" w:rsidRPr="00C82BBD">
        <w:rPr>
          <w:rFonts w:ascii="Garamond" w:hAnsi="Garamond"/>
        </w:rPr>
        <w:t>, to which people who consume opioids are enjoined to respond,</w:t>
      </w:r>
      <w:r w:rsidR="00330A2E" w:rsidRPr="00C82BBD">
        <w:rPr>
          <w:rFonts w:ascii="Garamond" w:hAnsi="Garamond"/>
        </w:rPr>
        <w:t xml:space="preserve"> are not abstracted from the broader social</w:t>
      </w:r>
      <w:r w:rsidR="00C30CA4" w:rsidRPr="00C82BBD">
        <w:rPr>
          <w:rFonts w:ascii="Garamond" w:hAnsi="Garamond"/>
        </w:rPr>
        <w:t xml:space="preserve"> and political</w:t>
      </w:r>
      <w:r w:rsidR="00330A2E" w:rsidRPr="00C82BBD">
        <w:rPr>
          <w:rFonts w:ascii="Garamond" w:hAnsi="Garamond"/>
        </w:rPr>
        <w:t xml:space="preserve"> </w:t>
      </w:r>
      <w:r w:rsidR="0008665E" w:rsidRPr="00C82BBD">
        <w:rPr>
          <w:rFonts w:ascii="Garamond" w:hAnsi="Garamond"/>
        </w:rPr>
        <w:t>arrangements</w:t>
      </w:r>
      <w:r w:rsidR="00330A2E" w:rsidRPr="00C82BBD">
        <w:rPr>
          <w:rFonts w:ascii="Garamond" w:hAnsi="Garamond"/>
        </w:rPr>
        <w:t xml:space="preserve"> that </w:t>
      </w:r>
      <w:r w:rsidR="00117C56" w:rsidRPr="00C82BBD">
        <w:rPr>
          <w:rFonts w:ascii="Garamond" w:hAnsi="Garamond"/>
        </w:rPr>
        <w:t>co-</w:t>
      </w:r>
      <w:r w:rsidR="00C30CA4" w:rsidRPr="00C82BBD">
        <w:rPr>
          <w:rFonts w:ascii="Garamond" w:hAnsi="Garamond"/>
        </w:rPr>
        <w:t>produce them.</w:t>
      </w:r>
    </w:p>
    <w:p w14:paraId="63D8AFB7" w14:textId="77777777" w:rsidR="00756FE0" w:rsidRPr="00C82BBD" w:rsidRDefault="00756FE0" w:rsidP="00C82BBD">
      <w:pPr>
        <w:autoSpaceDE w:val="0"/>
        <w:autoSpaceDN w:val="0"/>
        <w:adjustRightInd w:val="0"/>
        <w:spacing w:after="0" w:line="480" w:lineRule="auto"/>
        <w:rPr>
          <w:rFonts w:ascii="Garamond" w:hAnsi="Garamond"/>
          <w:b/>
        </w:rPr>
      </w:pPr>
    </w:p>
    <w:p w14:paraId="79056560" w14:textId="62359175" w:rsidR="0096043D" w:rsidRPr="00C82BBD" w:rsidRDefault="0096043D" w:rsidP="00C82BBD">
      <w:pPr>
        <w:autoSpaceDE w:val="0"/>
        <w:autoSpaceDN w:val="0"/>
        <w:adjustRightInd w:val="0"/>
        <w:spacing w:after="0" w:line="480" w:lineRule="auto"/>
        <w:rPr>
          <w:rFonts w:ascii="Garamond" w:hAnsi="Garamond"/>
          <w:b/>
        </w:rPr>
      </w:pPr>
      <w:r w:rsidRPr="00C82BBD">
        <w:rPr>
          <w:rFonts w:ascii="Garamond" w:hAnsi="Garamond"/>
          <w:b/>
        </w:rPr>
        <w:t>Background</w:t>
      </w:r>
    </w:p>
    <w:p w14:paraId="45AFC6F9" w14:textId="04447F9E" w:rsidR="00C23EB1" w:rsidRPr="00C82BBD" w:rsidRDefault="00CD3351" w:rsidP="00C82BBD">
      <w:pPr>
        <w:autoSpaceDE w:val="0"/>
        <w:autoSpaceDN w:val="0"/>
        <w:adjustRightInd w:val="0"/>
        <w:spacing w:after="0" w:line="480" w:lineRule="auto"/>
        <w:rPr>
          <w:rFonts w:ascii="Garamond" w:hAnsi="Garamond" w:cs="Arial"/>
        </w:rPr>
      </w:pPr>
      <w:r w:rsidRPr="00C07218">
        <w:rPr>
          <w:rFonts w:ascii="Garamond" w:hAnsi="Garamond" w:cs="Arial"/>
        </w:rPr>
        <w:t>R</w:t>
      </w:r>
      <w:r w:rsidR="00C23EB1" w:rsidRPr="00C07218">
        <w:rPr>
          <w:rFonts w:ascii="Garamond" w:hAnsi="Garamond" w:cs="Arial"/>
        </w:rPr>
        <w:t>eflecting</w:t>
      </w:r>
      <w:r w:rsidR="00C23EB1" w:rsidRPr="00C07218">
        <w:rPr>
          <w:rFonts w:ascii="Garamond" w:hAnsi="Garamond" w:cs="Arial"/>
          <w:sz w:val="24"/>
        </w:rPr>
        <w:t xml:space="preserve"> </w:t>
      </w:r>
      <w:r w:rsidR="00C23EB1" w:rsidRPr="00C07218">
        <w:rPr>
          <w:rFonts w:ascii="Garamond" w:hAnsi="Garamond" w:cs="Arial"/>
        </w:rPr>
        <w:t xml:space="preserve">worldwide trends, Australia has seen increases in the consumption of </w:t>
      </w:r>
      <w:r w:rsidR="00184C12" w:rsidRPr="00C07218">
        <w:rPr>
          <w:rFonts w:ascii="Garamond" w:hAnsi="Garamond" w:cs="Arial"/>
        </w:rPr>
        <w:t xml:space="preserve">opioids (AIHW </w:t>
      </w:r>
      <w:r w:rsidR="00C23EB1" w:rsidRPr="00C07218">
        <w:rPr>
          <w:rFonts w:ascii="Garamond" w:hAnsi="Garamond" w:cs="Arial"/>
        </w:rPr>
        <w:t>2017</w:t>
      </w:r>
      <w:r w:rsidR="00C23EB1" w:rsidRPr="00C07218">
        <w:rPr>
          <w:rFonts w:ascii="Garamond" w:hAnsi="Garamond" w:cs="Arial"/>
          <w:noProof/>
        </w:rPr>
        <w:t>). The major</w:t>
      </w:r>
      <w:r w:rsidR="00D362B1" w:rsidRPr="00C07218">
        <w:rPr>
          <w:rFonts w:ascii="Garamond" w:hAnsi="Garamond" w:cs="Arial"/>
          <w:noProof/>
        </w:rPr>
        <w:t>i</w:t>
      </w:r>
      <w:r w:rsidR="00C23EB1" w:rsidRPr="00C07218">
        <w:rPr>
          <w:rFonts w:ascii="Garamond" w:hAnsi="Garamond" w:cs="Arial"/>
          <w:noProof/>
        </w:rPr>
        <w:t xml:space="preserve">ty of those who inject drugs in Australia report </w:t>
      </w:r>
      <w:r w:rsidR="00D362B1" w:rsidRPr="00C07218">
        <w:rPr>
          <w:rFonts w:ascii="Garamond" w:hAnsi="Garamond" w:cs="Arial"/>
          <w:noProof/>
        </w:rPr>
        <w:t xml:space="preserve">recent (last six months) </w:t>
      </w:r>
      <w:r w:rsidR="00C23EB1" w:rsidRPr="00C07218">
        <w:rPr>
          <w:rFonts w:ascii="Garamond" w:hAnsi="Garamond" w:cs="Arial"/>
          <w:noProof/>
        </w:rPr>
        <w:t>consumption of heroin: 5</w:t>
      </w:r>
      <w:r w:rsidR="00037C3D" w:rsidRPr="00C07218">
        <w:rPr>
          <w:rFonts w:ascii="Garamond" w:hAnsi="Garamond" w:cs="Arial"/>
          <w:noProof/>
        </w:rPr>
        <w:t>7</w:t>
      </w:r>
      <w:r w:rsidR="00C23EB1" w:rsidRPr="00C07218">
        <w:rPr>
          <w:rFonts w:ascii="Garamond" w:hAnsi="Garamond" w:cs="Arial"/>
          <w:noProof/>
        </w:rPr>
        <w:t xml:space="preserve"> per cent nationally</w:t>
      </w:r>
      <w:r w:rsidR="003F445B" w:rsidRPr="00C07218">
        <w:rPr>
          <w:rFonts w:ascii="Garamond" w:hAnsi="Garamond" w:cs="Arial"/>
          <w:noProof/>
        </w:rPr>
        <w:t xml:space="preserve">, </w:t>
      </w:r>
      <w:r w:rsidR="00C23EB1" w:rsidRPr="00C07218">
        <w:rPr>
          <w:rFonts w:ascii="Garamond" w:hAnsi="Garamond" w:cs="Arial"/>
          <w:noProof/>
        </w:rPr>
        <w:t>while i</w:t>
      </w:r>
      <w:r w:rsidR="00C23EB1" w:rsidRPr="00C07218">
        <w:rPr>
          <w:rFonts w:ascii="Garamond" w:hAnsi="Garamond" w:cs="Arial"/>
        </w:rPr>
        <w:t xml:space="preserve">n New South Wales and Victoria, Australia’s two most populous states, </w:t>
      </w:r>
      <w:r w:rsidR="00037C3D" w:rsidRPr="00C07218">
        <w:rPr>
          <w:rFonts w:ascii="Garamond" w:hAnsi="Garamond" w:cs="Arial"/>
        </w:rPr>
        <w:t xml:space="preserve">80 </w:t>
      </w:r>
      <w:r w:rsidR="00C23EB1" w:rsidRPr="00C07218">
        <w:rPr>
          <w:rFonts w:ascii="Garamond" w:hAnsi="Garamond" w:cs="Arial"/>
        </w:rPr>
        <w:t xml:space="preserve">per cent </w:t>
      </w:r>
      <w:r w:rsidR="00037C3D" w:rsidRPr="00C07218">
        <w:rPr>
          <w:rFonts w:ascii="Garamond" w:hAnsi="Garamond" w:cs="Arial"/>
        </w:rPr>
        <w:t xml:space="preserve">in each state </w:t>
      </w:r>
      <w:r w:rsidR="00C23EB1" w:rsidRPr="00C07218">
        <w:rPr>
          <w:rFonts w:ascii="Garamond" w:hAnsi="Garamond" w:cs="Arial"/>
        </w:rPr>
        <w:t xml:space="preserve">report </w:t>
      </w:r>
      <w:r w:rsidR="00D362B1" w:rsidRPr="00C07218">
        <w:rPr>
          <w:rFonts w:ascii="Garamond" w:hAnsi="Garamond" w:cs="Arial"/>
        </w:rPr>
        <w:t xml:space="preserve">recent </w:t>
      </w:r>
      <w:r w:rsidR="00C23EB1" w:rsidRPr="00C07218">
        <w:rPr>
          <w:rFonts w:ascii="Garamond" w:hAnsi="Garamond" w:cs="Arial"/>
        </w:rPr>
        <w:t>heroin consumption (</w:t>
      </w:r>
      <w:r w:rsidR="00037C3D" w:rsidRPr="00C07218">
        <w:rPr>
          <w:rFonts w:ascii="Garamond" w:hAnsi="Garamond" w:cs="Arial"/>
        </w:rPr>
        <w:t>Karlsson &amp; Burns 2018</w:t>
      </w:r>
      <w:r w:rsidR="005E36B2" w:rsidRPr="00C07218">
        <w:rPr>
          <w:rFonts w:ascii="Garamond" w:hAnsi="Garamond" w:cs="Arial"/>
        </w:rPr>
        <w:t>:</w:t>
      </w:r>
      <w:r w:rsidR="00037C3D" w:rsidRPr="00C07218">
        <w:rPr>
          <w:rFonts w:ascii="Garamond" w:hAnsi="Garamond" w:cs="Arial"/>
        </w:rPr>
        <w:t xml:space="preserve"> 16</w:t>
      </w:r>
      <w:r w:rsidR="00C23EB1" w:rsidRPr="00C07218">
        <w:rPr>
          <w:rFonts w:ascii="Garamond" w:hAnsi="Garamond" w:cs="Arial"/>
        </w:rPr>
        <w:t xml:space="preserve">). </w:t>
      </w:r>
      <w:r w:rsidR="009060BE" w:rsidRPr="00C07218">
        <w:rPr>
          <w:rFonts w:ascii="Garamond" w:hAnsi="Garamond" w:cs="Arial"/>
        </w:rPr>
        <w:t>Recent</w:t>
      </w:r>
      <w:r w:rsidR="007B21C3" w:rsidRPr="00C07218">
        <w:rPr>
          <w:rFonts w:ascii="Garamond" w:hAnsi="Garamond" w:cs="Arial"/>
        </w:rPr>
        <w:t xml:space="preserve"> Australian</w:t>
      </w:r>
      <w:r w:rsidR="009060BE" w:rsidRPr="00C07218">
        <w:rPr>
          <w:rFonts w:ascii="Garamond" w:hAnsi="Garamond" w:cs="Arial"/>
        </w:rPr>
        <w:t xml:space="preserve"> research identified 8547 opioid overdose deaths during the period 2001-2012</w:t>
      </w:r>
      <w:r w:rsidR="005E17DA" w:rsidRPr="00C07218">
        <w:rPr>
          <w:rFonts w:ascii="Garamond" w:hAnsi="Garamond" w:cs="Arial"/>
        </w:rPr>
        <w:t>,</w:t>
      </w:r>
      <w:r w:rsidR="009060BE" w:rsidRPr="00C07218">
        <w:rPr>
          <w:rFonts w:ascii="Garamond" w:hAnsi="Garamond" w:cs="Arial"/>
        </w:rPr>
        <w:t xml:space="preserve"> with heroin overdose deaths rates remaining steady while pharmaceutical overdose deaths increased by 1.6 times (Roxburgh et al. 2017)</w:t>
      </w:r>
      <w:r w:rsidR="00756FE0" w:rsidRPr="00C07218">
        <w:rPr>
          <w:rFonts w:ascii="Garamond" w:hAnsi="Garamond" w:cs="Arial"/>
        </w:rPr>
        <w:t xml:space="preserve">. </w:t>
      </w:r>
      <w:r w:rsidR="00C10DDB" w:rsidRPr="00C07218">
        <w:rPr>
          <w:rFonts w:ascii="Garamond" w:hAnsi="Garamond" w:cs="Arial"/>
        </w:rPr>
        <w:t>Over time</w:t>
      </w:r>
      <w:r w:rsidR="00C10DDB" w:rsidRPr="00C82BBD">
        <w:rPr>
          <w:rFonts w:ascii="Garamond" w:hAnsi="Garamond" w:cs="Arial"/>
        </w:rPr>
        <w:t xml:space="preserve"> o</w:t>
      </w:r>
      <w:r w:rsidR="007B21C3" w:rsidRPr="00C82BBD">
        <w:rPr>
          <w:rFonts w:ascii="Garamond" w:hAnsi="Garamond" w:cs="Arial"/>
        </w:rPr>
        <w:t>pioid overdoses have prompted a number of responses such as education and training activities for opioid consumers on how to respond to overdose.</w:t>
      </w:r>
      <w:r w:rsidR="00107E50" w:rsidRPr="00C82BBD">
        <w:rPr>
          <w:rFonts w:ascii="Garamond" w:hAnsi="Garamond" w:cs="Arial"/>
        </w:rPr>
        <w:t xml:space="preserve"> The supply of naloxone to people who </w:t>
      </w:r>
      <w:r w:rsidR="008F55EE" w:rsidRPr="00C82BBD">
        <w:rPr>
          <w:rFonts w:ascii="Garamond" w:hAnsi="Garamond" w:cs="Arial"/>
        </w:rPr>
        <w:t xml:space="preserve">may </w:t>
      </w:r>
      <w:r w:rsidR="005E17DA" w:rsidRPr="00C82BBD">
        <w:rPr>
          <w:rFonts w:ascii="Garamond" w:hAnsi="Garamond" w:cs="Arial"/>
        </w:rPr>
        <w:t xml:space="preserve">find themselves </w:t>
      </w:r>
      <w:r w:rsidR="00A31181" w:rsidRPr="00C82BBD">
        <w:rPr>
          <w:rFonts w:ascii="Garamond" w:hAnsi="Garamond" w:cs="Arial"/>
        </w:rPr>
        <w:t>present at an opioid overdose</w:t>
      </w:r>
      <w:r w:rsidR="008F55EE" w:rsidRPr="00C82BBD">
        <w:rPr>
          <w:rFonts w:ascii="Garamond" w:hAnsi="Garamond" w:cs="Arial"/>
        </w:rPr>
        <w:t xml:space="preserve"> is</w:t>
      </w:r>
      <w:r w:rsidR="00107E50" w:rsidRPr="00C82BBD">
        <w:rPr>
          <w:rFonts w:ascii="Garamond" w:hAnsi="Garamond" w:cs="Arial"/>
        </w:rPr>
        <w:t>, in Australia</w:t>
      </w:r>
      <w:r w:rsidR="000B1FB9" w:rsidRPr="00C82BBD">
        <w:rPr>
          <w:rFonts w:ascii="Garamond" w:hAnsi="Garamond" w:cs="Arial"/>
        </w:rPr>
        <w:t xml:space="preserve"> and many other countries</w:t>
      </w:r>
      <w:r w:rsidR="00107E50" w:rsidRPr="00C82BBD">
        <w:rPr>
          <w:rFonts w:ascii="Garamond" w:hAnsi="Garamond" w:cs="Arial"/>
        </w:rPr>
        <w:t>, a</w:t>
      </w:r>
      <w:r w:rsidR="00756FE0" w:rsidRPr="00C82BBD">
        <w:rPr>
          <w:rFonts w:ascii="Garamond" w:hAnsi="Garamond" w:cs="Arial"/>
        </w:rPr>
        <w:t>nother</w:t>
      </w:r>
      <w:r w:rsidR="00107E50" w:rsidRPr="00C82BBD">
        <w:rPr>
          <w:rFonts w:ascii="Garamond" w:hAnsi="Garamond" w:cs="Arial"/>
        </w:rPr>
        <w:t xml:space="preserve"> strategy </w:t>
      </w:r>
      <w:r w:rsidR="00756FE0" w:rsidRPr="00C82BBD">
        <w:rPr>
          <w:rFonts w:ascii="Garamond" w:hAnsi="Garamond" w:cs="Arial"/>
        </w:rPr>
        <w:t>aimed at reducing lives lost to</w:t>
      </w:r>
      <w:r w:rsidR="00107E50" w:rsidRPr="00C82BBD">
        <w:rPr>
          <w:rFonts w:ascii="Garamond" w:hAnsi="Garamond" w:cs="Arial"/>
        </w:rPr>
        <w:t xml:space="preserve"> overdose.</w:t>
      </w:r>
    </w:p>
    <w:p w14:paraId="037126E9" w14:textId="77777777" w:rsidR="007B21C3" w:rsidRPr="00C82BBD" w:rsidRDefault="007B21C3" w:rsidP="00C82BBD">
      <w:pPr>
        <w:autoSpaceDE w:val="0"/>
        <w:autoSpaceDN w:val="0"/>
        <w:adjustRightInd w:val="0"/>
        <w:spacing w:after="0" w:line="480" w:lineRule="auto"/>
        <w:rPr>
          <w:rFonts w:ascii="Garamond" w:hAnsi="Garamond" w:cs="Arial"/>
        </w:rPr>
      </w:pPr>
    </w:p>
    <w:p w14:paraId="1844D552" w14:textId="7C4A2ADD" w:rsidR="009B72C4" w:rsidRPr="00C82BBD" w:rsidRDefault="00107E50" w:rsidP="00C82BBD">
      <w:pPr>
        <w:autoSpaceDE w:val="0"/>
        <w:autoSpaceDN w:val="0"/>
        <w:adjustRightInd w:val="0"/>
        <w:spacing w:after="0" w:line="480" w:lineRule="auto"/>
        <w:rPr>
          <w:rFonts w:ascii="Garamond" w:hAnsi="Garamond" w:cs="Times New Roman"/>
        </w:rPr>
      </w:pPr>
      <w:r w:rsidRPr="00C82BBD">
        <w:rPr>
          <w:rFonts w:ascii="Garamond" w:hAnsi="Garamond" w:cs="AdvP7B6C"/>
          <w:lang w:val="en-AU"/>
        </w:rPr>
        <w:t xml:space="preserve">Naloxone has been successfully used in emergency </w:t>
      </w:r>
      <w:r w:rsidR="003F445B" w:rsidRPr="00C82BBD">
        <w:rPr>
          <w:rFonts w:ascii="Garamond" w:hAnsi="Garamond" w:cs="AdvP7B6C"/>
          <w:lang w:val="en-AU"/>
        </w:rPr>
        <w:t xml:space="preserve">settings </w:t>
      </w:r>
      <w:r w:rsidRPr="00C82BBD">
        <w:rPr>
          <w:rFonts w:ascii="Garamond" w:hAnsi="Garamond" w:cs="AdvP7B6C"/>
          <w:lang w:val="en-AU"/>
        </w:rPr>
        <w:t>for over 40 years (Lenton et al. 2015)</w:t>
      </w:r>
      <w:r w:rsidR="005E17DA" w:rsidRPr="00C82BBD">
        <w:rPr>
          <w:rFonts w:ascii="Garamond" w:hAnsi="Garamond" w:cs="AdvP7B6C"/>
          <w:lang w:val="en-AU"/>
        </w:rPr>
        <w:t>. This success has</w:t>
      </w:r>
      <w:r w:rsidRPr="00C82BBD">
        <w:rPr>
          <w:rFonts w:ascii="Garamond" w:hAnsi="Garamond" w:cs="AdvP7B6C"/>
          <w:lang w:val="en-AU"/>
        </w:rPr>
        <w:t xml:space="preserve"> </w:t>
      </w:r>
      <w:r w:rsidR="00BF1924" w:rsidRPr="00C82BBD">
        <w:rPr>
          <w:rFonts w:ascii="Garamond" w:hAnsi="Garamond" w:cs="AdvP7B6C"/>
          <w:lang w:val="en-AU"/>
        </w:rPr>
        <w:t xml:space="preserve">prompted </w:t>
      </w:r>
      <w:r w:rsidRPr="00C82BBD">
        <w:rPr>
          <w:rFonts w:ascii="Garamond" w:hAnsi="Garamond" w:cs="AdvP7B6C"/>
          <w:lang w:val="en-AU"/>
        </w:rPr>
        <w:t>researchers in a number of countries such as the U</w:t>
      </w:r>
      <w:r w:rsidR="00756FE0" w:rsidRPr="00C82BBD">
        <w:rPr>
          <w:rFonts w:ascii="Garamond" w:hAnsi="Garamond" w:cs="AdvP7B6C"/>
          <w:lang w:val="en-AU"/>
        </w:rPr>
        <w:t>nited Kingdom</w:t>
      </w:r>
      <w:r w:rsidRPr="00C82BBD">
        <w:rPr>
          <w:rFonts w:ascii="Garamond" w:hAnsi="Garamond" w:cs="AdvP7B6C"/>
          <w:lang w:val="en-AU"/>
        </w:rPr>
        <w:t xml:space="preserve">, Australia and the </w:t>
      </w:r>
      <w:r w:rsidR="00756FE0" w:rsidRPr="00C82BBD">
        <w:rPr>
          <w:rFonts w:ascii="Garamond" w:hAnsi="Garamond" w:cs="AdvP7B6C"/>
          <w:lang w:val="en-AU"/>
        </w:rPr>
        <w:t>United States</w:t>
      </w:r>
      <w:r w:rsidRPr="00C82BBD">
        <w:rPr>
          <w:rFonts w:ascii="Garamond" w:hAnsi="Garamond" w:cs="AdvP7B6C"/>
          <w:lang w:val="en-AU"/>
        </w:rPr>
        <w:t xml:space="preserve"> to argue that it should be made available to non</w:t>
      </w:r>
      <w:r w:rsidR="003F445B" w:rsidRPr="00C82BBD">
        <w:rPr>
          <w:rFonts w:ascii="Garamond" w:hAnsi="Garamond" w:cs="AdvP7B6C"/>
          <w:lang w:val="en-AU"/>
        </w:rPr>
        <w:t>-</w:t>
      </w:r>
      <w:r w:rsidRPr="00C82BBD">
        <w:rPr>
          <w:rFonts w:ascii="Garamond" w:hAnsi="Garamond" w:cs="AdvP7B6C"/>
          <w:lang w:val="en-AU"/>
        </w:rPr>
        <w:t>medica</w:t>
      </w:r>
      <w:r w:rsidR="003F445B" w:rsidRPr="00C82BBD">
        <w:rPr>
          <w:rFonts w:ascii="Garamond" w:hAnsi="Garamond" w:cs="AdvP7B6C"/>
          <w:lang w:val="en-AU"/>
        </w:rPr>
        <w:t>l</w:t>
      </w:r>
      <w:r w:rsidRPr="00C82BBD">
        <w:rPr>
          <w:rFonts w:ascii="Garamond" w:hAnsi="Garamond" w:cs="AdvP7B6C"/>
          <w:lang w:val="en-AU"/>
        </w:rPr>
        <w:t xml:space="preserve">ly trained people </w:t>
      </w:r>
      <w:r w:rsidR="003F445B" w:rsidRPr="00C82BBD">
        <w:rPr>
          <w:rFonts w:ascii="Garamond" w:hAnsi="Garamond" w:cs="AdvP7B6C"/>
          <w:lang w:val="en-AU"/>
        </w:rPr>
        <w:t>as well</w:t>
      </w:r>
      <w:r w:rsidRPr="00C82BBD">
        <w:rPr>
          <w:rFonts w:ascii="Garamond" w:hAnsi="Garamond" w:cs="AdvP7B6C"/>
          <w:lang w:val="en-AU"/>
        </w:rPr>
        <w:t xml:space="preserve"> (Strang &amp; Farrell</w:t>
      </w:r>
      <w:r w:rsidR="00184C12" w:rsidRPr="00C82BBD">
        <w:rPr>
          <w:rFonts w:ascii="Garamond" w:hAnsi="Garamond" w:cs="AdvP7B6C"/>
          <w:lang w:val="en-AU"/>
        </w:rPr>
        <w:t xml:space="preserve"> </w:t>
      </w:r>
      <w:r w:rsidRPr="00C82BBD">
        <w:rPr>
          <w:rFonts w:ascii="Garamond" w:hAnsi="Garamond" w:cs="AdvP7B6C"/>
          <w:lang w:val="en-AU"/>
        </w:rPr>
        <w:t>1992</w:t>
      </w:r>
      <w:r w:rsidR="00184C12" w:rsidRPr="00C82BBD">
        <w:rPr>
          <w:rFonts w:ascii="Garamond" w:hAnsi="Garamond" w:cs="AdvP7B6C"/>
          <w:lang w:val="en-AU"/>
        </w:rPr>
        <w:t xml:space="preserve">, </w:t>
      </w:r>
      <w:r w:rsidRPr="00C82BBD">
        <w:rPr>
          <w:rFonts w:ascii="Garamond" w:hAnsi="Garamond" w:cs="AdvP7B6C"/>
          <w:lang w:val="en-AU"/>
        </w:rPr>
        <w:t>Darke &amp;</w:t>
      </w:r>
      <w:r w:rsidR="008A1BCF" w:rsidRPr="00C82BBD">
        <w:rPr>
          <w:rFonts w:ascii="Garamond" w:hAnsi="Garamond" w:cs="AdvP7B6C"/>
          <w:lang w:val="en-AU"/>
        </w:rPr>
        <w:t xml:space="preserve"> Hall 1997</w:t>
      </w:r>
      <w:r w:rsidR="00184C12" w:rsidRPr="00C82BBD">
        <w:rPr>
          <w:rFonts w:ascii="Garamond" w:hAnsi="Garamond" w:cs="AdvP7B6C"/>
          <w:lang w:val="en-AU"/>
        </w:rPr>
        <w:t>,</w:t>
      </w:r>
      <w:r w:rsidR="008A1BCF" w:rsidRPr="00C82BBD">
        <w:rPr>
          <w:rFonts w:ascii="Garamond" w:hAnsi="Garamond" w:cs="AdvP7B6C"/>
          <w:lang w:val="en-AU"/>
        </w:rPr>
        <w:t xml:space="preserve"> McDonald, Campbell</w:t>
      </w:r>
      <w:r w:rsidRPr="00C82BBD">
        <w:rPr>
          <w:rFonts w:ascii="Garamond" w:hAnsi="Garamond" w:cs="AdvP7B6C"/>
          <w:lang w:val="en-AU"/>
        </w:rPr>
        <w:t xml:space="preserve"> &amp; Strang 2017). </w:t>
      </w:r>
      <w:r w:rsidR="00415928">
        <w:rPr>
          <w:rFonts w:ascii="Garamond" w:hAnsi="Garamond" w:cs="AdvP7B6C"/>
          <w:lang w:val="en-AU"/>
        </w:rPr>
        <w:t xml:space="preserve">While </w:t>
      </w:r>
      <w:r w:rsidR="00E073AB" w:rsidRPr="00C82BBD">
        <w:rPr>
          <w:rFonts w:ascii="Garamond" w:hAnsi="Garamond" w:cs="AdvP7B6C"/>
          <w:lang w:val="en-AU"/>
        </w:rPr>
        <w:t>t</w:t>
      </w:r>
      <w:r w:rsidRPr="00C82BBD">
        <w:rPr>
          <w:rFonts w:ascii="Garamond" w:hAnsi="Garamond" w:cs="AdvP7B6C"/>
          <w:lang w:val="en-AU"/>
        </w:rPr>
        <w:t xml:space="preserve">ake-home naloxone programs </w:t>
      </w:r>
      <w:r w:rsidR="00E073AB" w:rsidRPr="00C82BBD">
        <w:rPr>
          <w:rFonts w:ascii="Garamond" w:hAnsi="Garamond" w:cs="AdvP7B6C"/>
          <w:lang w:val="en-AU"/>
        </w:rPr>
        <w:t>have been slowly emerging in a number of countries</w:t>
      </w:r>
      <w:r w:rsidR="00415928">
        <w:rPr>
          <w:rFonts w:ascii="Garamond" w:hAnsi="Garamond" w:cs="AdvP7B6C"/>
          <w:lang w:val="en-AU"/>
        </w:rPr>
        <w:t xml:space="preserve"> s</w:t>
      </w:r>
      <w:r w:rsidR="00415928" w:rsidRPr="00C82BBD">
        <w:rPr>
          <w:rFonts w:ascii="Garamond" w:hAnsi="Garamond" w:cs="AdvP7B6C"/>
          <w:lang w:val="en-AU"/>
        </w:rPr>
        <w:t>ince the late 1990s</w:t>
      </w:r>
      <w:r w:rsidR="00E073AB" w:rsidRPr="00C82BBD">
        <w:rPr>
          <w:rFonts w:ascii="Garamond" w:hAnsi="Garamond" w:cs="AdvP7B6C"/>
          <w:lang w:val="en-AU"/>
        </w:rPr>
        <w:t xml:space="preserve"> (McDonald, Campbell &amp; Strang 2017)</w:t>
      </w:r>
      <w:r w:rsidR="00415928">
        <w:rPr>
          <w:rFonts w:ascii="Garamond" w:hAnsi="Garamond" w:cs="AdvP7B6C"/>
          <w:lang w:val="en-AU"/>
        </w:rPr>
        <w:t>,</w:t>
      </w:r>
      <w:r w:rsidR="00E073AB" w:rsidRPr="00C82BBD">
        <w:rPr>
          <w:rFonts w:ascii="Garamond" w:hAnsi="Garamond" w:cs="AdvP7B6C"/>
          <w:lang w:val="en-AU"/>
        </w:rPr>
        <w:t xml:space="preserve"> </w:t>
      </w:r>
      <w:r w:rsidR="00415928">
        <w:rPr>
          <w:rFonts w:ascii="Garamond" w:hAnsi="Garamond" w:cs="AdvP7B6C"/>
          <w:lang w:val="en-AU"/>
        </w:rPr>
        <w:t>i</w:t>
      </w:r>
      <w:r w:rsidR="00D76553" w:rsidRPr="00C82BBD">
        <w:rPr>
          <w:rFonts w:ascii="Garamond" w:hAnsi="Garamond" w:cs="AdvP7B6C"/>
          <w:lang w:val="en-AU"/>
        </w:rPr>
        <w:t xml:space="preserve">t was only in 2012 that the first take-home naloxone program was initiated in Australia (Lenton et al. 2015). </w:t>
      </w:r>
      <w:r w:rsidR="004C5492" w:rsidRPr="00C82BBD">
        <w:rPr>
          <w:rFonts w:ascii="Garamond" w:hAnsi="Garamond" w:cs="AdvP7B6C"/>
          <w:lang w:val="en-AU"/>
        </w:rPr>
        <w:t>As of early 2018, p</w:t>
      </w:r>
      <w:r w:rsidR="00D76553" w:rsidRPr="00C82BBD">
        <w:rPr>
          <w:rFonts w:ascii="Garamond" w:hAnsi="Garamond" w:cs="AdvP7B6C"/>
          <w:lang w:val="en-AU"/>
        </w:rPr>
        <w:t>rograms of various scale</w:t>
      </w:r>
      <w:r w:rsidR="003F445B" w:rsidRPr="00C82BBD">
        <w:rPr>
          <w:rFonts w:ascii="Garamond" w:hAnsi="Garamond" w:cs="AdvP7B6C"/>
          <w:lang w:val="en-AU"/>
        </w:rPr>
        <w:t>s</w:t>
      </w:r>
      <w:r w:rsidR="00D76553" w:rsidRPr="00C82BBD">
        <w:rPr>
          <w:rFonts w:ascii="Garamond" w:hAnsi="Garamond" w:cs="AdvP7B6C"/>
          <w:lang w:val="en-AU"/>
        </w:rPr>
        <w:t xml:space="preserve"> </w:t>
      </w:r>
      <w:r w:rsidR="004C5492" w:rsidRPr="00C82BBD">
        <w:rPr>
          <w:rFonts w:ascii="Garamond" w:hAnsi="Garamond" w:cs="AdvP7B6C"/>
          <w:lang w:val="en-AU"/>
        </w:rPr>
        <w:t>had been</w:t>
      </w:r>
      <w:r w:rsidR="00D76553" w:rsidRPr="00C82BBD">
        <w:rPr>
          <w:rFonts w:ascii="Garamond" w:hAnsi="Garamond" w:cs="AdvP7B6C"/>
          <w:lang w:val="en-AU"/>
        </w:rPr>
        <w:t xml:space="preserve"> established in all but t</w:t>
      </w:r>
      <w:r w:rsidR="009E0C36" w:rsidRPr="00C82BBD">
        <w:rPr>
          <w:rFonts w:ascii="Garamond" w:hAnsi="Garamond" w:cs="AdvP7B6C"/>
          <w:lang w:val="en-AU"/>
        </w:rPr>
        <w:t>hree</w:t>
      </w:r>
      <w:r w:rsidR="00D76553" w:rsidRPr="00C82BBD">
        <w:rPr>
          <w:rFonts w:ascii="Garamond" w:hAnsi="Garamond" w:cs="AdvP7B6C"/>
          <w:lang w:val="en-AU"/>
        </w:rPr>
        <w:t xml:space="preserve"> Australia</w:t>
      </w:r>
      <w:r w:rsidR="008F55EE" w:rsidRPr="00C82BBD">
        <w:rPr>
          <w:rFonts w:ascii="Garamond" w:hAnsi="Garamond" w:cs="AdvP7B6C"/>
          <w:lang w:val="en-AU"/>
        </w:rPr>
        <w:t>n</w:t>
      </w:r>
      <w:r w:rsidR="00D76553" w:rsidRPr="00C82BBD">
        <w:rPr>
          <w:rFonts w:ascii="Garamond" w:hAnsi="Garamond" w:cs="AdvP7B6C"/>
          <w:lang w:val="en-AU"/>
        </w:rPr>
        <w:t xml:space="preserve"> jurisdictions (</w:t>
      </w:r>
      <w:r w:rsidR="009E0C36" w:rsidRPr="00C82BBD">
        <w:rPr>
          <w:rFonts w:ascii="Garamond" w:hAnsi="Garamond" w:cs="AdvP7B6C"/>
          <w:lang w:val="en-AU"/>
        </w:rPr>
        <w:t>Dwyer, Olsen, et al. 2018</w:t>
      </w:r>
      <w:r w:rsidR="00D76553" w:rsidRPr="00C82BBD">
        <w:rPr>
          <w:rFonts w:ascii="Garamond" w:hAnsi="Garamond" w:cs="AdvP7B6C"/>
          <w:lang w:val="en-AU"/>
        </w:rPr>
        <w:t>). Importantly, the scheduling of naloxone in Australia has recently changed from prescription</w:t>
      </w:r>
      <w:r w:rsidR="00DD706A" w:rsidRPr="00C82BBD">
        <w:rPr>
          <w:rFonts w:ascii="Garamond" w:hAnsi="Garamond" w:cs="AdvP7B6C"/>
          <w:lang w:val="en-AU"/>
        </w:rPr>
        <w:t>-</w:t>
      </w:r>
      <w:r w:rsidR="00D76553" w:rsidRPr="00C82BBD">
        <w:rPr>
          <w:rFonts w:ascii="Garamond" w:hAnsi="Garamond" w:cs="AdvP7B6C"/>
          <w:lang w:val="en-AU"/>
        </w:rPr>
        <w:t xml:space="preserve">only to pharmacist-provided over-the-counter access </w:t>
      </w:r>
      <w:r w:rsidR="008A1BCF" w:rsidRPr="00C82BBD">
        <w:rPr>
          <w:rFonts w:ascii="Garamond" w:hAnsi="Garamond" w:cs="AdvP7B6C"/>
          <w:lang w:val="en-AU"/>
        </w:rPr>
        <w:t xml:space="preserve">(Lenton, </w:t>
      </w:r>
      <w:r w:rsidR="008A1BCF" w:rsidRPr="00C82BBD">
        <w:rPr>
          <w:rFonts w:ascii="Garamond" w:hAnsi="Garamond" w:cs="AdvP7B6C"/>
          <w:lang w:val="en-AU"/>
        </w:rPr>
        <w:lastRenderedPageBreak/>
        <w:t>Dietze</w:t>
      </w:r>
      <w:r w:rsidR="00D76553" w:rsidRPr="00C82BBD">
        <w:rPr>
          <w:rFonts w:ascii="Garamond" w:hAnsi="Garamond" w:cs="AdvP7B6C"/>
          <w:lang w:val="en-AU"/>
        </w:rPr>
        <w:t xml:space="preserve"> &amp; Jauncey 2016).</w:t>
      </w:r>
      <w:r w:rsidR="009B72C4" w:rsidRPr="00C82BBD">
        <w:rPr>
          <w:rFonts w:ascii="Garamond" w:hAnsi="Garamond" w:cs="AdvP7B6C"/>
          <w:lang w:val="en-AU"/>
        </w:rPr>
        <w:t xml:space="preserve"> </w:t>
      </w:r>
      <w:r w:rsidR="00BF1924" w:rsidRPr="00C82BBD">
        <w:rPr>
          <w:rFonts w:ascii="Garamond" w:hAnsi="Garamond" w:cs="AdvP7B6C"/>
          <w:lang w:val="en-AU"/>
        </w:rPr>
        <w:t>Also, s</w:t>
      </w:r>
      <w:r w:rsidR="00DD706A" w:rsidRPr="00C82BBD">
        <w:rPr>
          <w:rFonts w:ascii="Garamond" w:hAnsi="Garamond" w:cs="AdvP7B6C"/>
          <w:lang w:val="en-AU"/>
        </w:rPr>
        <w:t xml:space="preserve">ince </w:t>
      </w:r>
      <w:r w:rsidR="009B72C4" w:rsidRPr="00C82BBD">
        <w:rPr>
          <w:rFonts w:ascii="Garamond" w:hAnsi="Garamond" w:cs="AdvP7B6C"/>
          <w:lang w:val="en-AU"/>
        </w:rPr>
        <w:t xml:space="preserve">programs first commenced in Australia, </w:t>
      </w:r>
      <w:r w:rsidR="00DD706A" w:rsidRPr="00C82BBD">
        <w:rPr>
          <w:rFonts w:ascii="Garamond" w:hAnsi="Garamond" w:cs="AdvP7B6C"/>
          <w:lang w:val="en-AU"/>
        </w:rPr>
        <w:t xml:space="preserve">the </w:t>
      </w:r>
      <w:r w:rsidR="009B72C4" w:rsidRPr="00C82BBD">
        <w:rPr>
          <w:rFonts w:ascii="Garamond" w:hAnsi="Garamond" w:cs="AdvP7B6C"/>
          <w:lang w:val="en-AU"/>
        </w:rPr>
        <w:t xml:space="preserve">naloxone </w:t>
      </w:r>
      <w:r w:rsidR="00DD706A" w:rsidRPr="00C82BBD">
        <w:rPr>
          <w:rFonts w:ascii="Garamond" w:hAnsi="Garamond" w:cs="AdvP7B6C"/>
          <w:lang w:val="en-AU"/>
        </w:rPr>
        <w:t xml:space="preserve">provided </w:t>
      </w:r>
      <w:r w:rsidR="00BF1924" w:rsidRPr="00C82BBD">
        <w:rPr>
          <w:rFonts w:ascii="Garamond" w:hAnsi="Garamond" w:cs="AdvP7B6C"/>
          <w:lang w:val="en-AU"/>
        </w:rPr>
        <w:t xml:space="preserve">has been </w:t>
      </w:r>
      <w:r w:rsidR="00DD706A" w:rsidRPr="00C82BBD">
        <w:rPr>
          <w:rFonts w:ascii="Garamond" w:hAnsi="Garamond" w:cs="AdvP7B6C"/>
          <w:lang w:val="en-AU"/>
        </w:rPr>
        <w:t>packaged</w:t>
      </w:r>
      <w:r w:rsidR="009B72C4" w:rsidRPr="00C82BBD">
        <w:rPr>
          <w:rFonts w:ascii="Garamond" w:hAnsi="Garamond" w:cs="AdvP7B6C"/>
          <w:lang w:val="en-AU"/>
        </w:rPr>
        <w:t xml:space="preserve"> </w:t>
      </w:r>
      <w:r w:rsidR="00DD706A" w:rsidRPr="00C82BBD">
        <w:rPr>
          <w:rFonts w:ascii="Garamond" w:hAnsi="Garamond" w:cs="AdvP7B6C"/>
          <w:lang w:val="en-AU"/>
        </w:rPr>
        <w:t>in different ways, and is now supplied in a multi-dose syringe.</w:t>
      </w:r>
      <w:r w:rsidR="009B72C4" w:rsidRPr="00C82BBD">
        <w:rPr>
          <w:rFonts w:ascii="Garamond" w:hAnsi="Garamond" w:cs="AdvP7B6C"/>
          <w:lang w:val="en-AU"/>
        </w:rPr>
        <w:t xml:space="preserve"> </w:t>
      </w:r>
      <w:r w:rsidR="003C0744" w:rsidRPr="00C82BBD">
        <w:rPr>
          <w:rFonts w:ascii="Garamond" w:hAnsi="Garamond" w:cs="AdvP7B6C"/>
          <w:lang w:val="en-AU"/>
        </w:rPr>
        <w:t>An intranasal naloxone product, available overseas, is not yet available in Australia (Dwyer</w:t>
      </w:r>
      <w:r w:rsidR="000051A9" w:rsidRPr="00C82BBD">
        <w:rPr>
          <w:rFonts w:ascii="Garamond" w:hAnsi="Garamond" w:cs="AdvP7B6C"/>
          <w:lang w:val="en-AU"/>
        </w:rPr>
        <w:t>, Olsen</w:t>
      </w:r>
      <w:r w:rsidR="003C0744" w:rsidRPr="00C82BBD">
        <w:rPr>
          <w:rFonts w:ascii="Garamond" w:hAnsi="Garamond" w:cs="AdvP7B6C"/>
          <w:lang w:val="en-AU"/>
        </w:rPr>
        <w:t xml:space="preserve"> et al. 2018).</w:t>
      </w:r>
    </w:p>
    <w:p w14:paraId="41892DF2" w14:textId="77777777" w:rsidR="003C0744" w:rsidRPr="00C82BBD" w:rsidRDefault="003C0744" w:rsidP="00C82BBD">
      <w:pPr>
        <w:autoSpaceDE w:val="0"/>
        <w:autoSpaceDN w:val="0"/>
        <w:adjustRightInd w:val="0"/>
        <w:spacing w:after="0" w:line="480" w:lineRule="auto"/>
        <w:rPr>
          <w:rFonts w:ascii="Garamond" w:hAnsi="Garamond" w:cs="AdvP7B6C"/>
          <w:lang w:val="en-AU"/>
        </w:rPr>
      </w:pPr>
    </w:p>
    <w:p w14:paraId="55E685C9" w14:textId="574E0ED5" w:rsidR="00614FDD" w:rsidRPr="00C82BBD" w:rsidRDefault="003F445B" w:rsidP="00C82BBD">
      <w:pPr>
        <w:autoSpaceDE w:val="0"/>
        <w:autoSpaceDN w:val="0"/>
        <w:adjustRightInd w:val="0"/>
        <w:spacing w:after="0" w:line="480" w:lineRule="auto"/>
        <w:rPr>
          <w:rFonts w:ascii="Garamond" w:hAnsi="Garamond"/>
        </w:rPr>
      </w:pPr>
      <w:r w:rsidRPr="00C82BBD">
        <w:rPr>
          <w:rFonts w:ascii="Garamond" w:hAnsi="Garamond" w:cs="Arial"/>
          <w:noProof/>
        </w:rPr>
        <w:t>W</w:t>
      </w:r>
      <w:r w:rsidR="00614FDD" w:rsidRPr="00C82BBD">
        <w:rPr>
          <w:rFonts w:ascii="Garamond" w:hAnsi="Garamond" w:cs="Arial"/>
          <w:noProof/>
        </w:rPr>
        <w:t xml:space="preserve">hile take-home naloxone </w:t>
      </w:r>
      <w:r w:rsidR="004F605A" w:rsidRPr="00C82BBD">
        <w:rPr>
          <w:rFonts w:ascii="Garamond" w:hAnsi="Garamond" w:cs="Arial"/>
          <w:noProof/>
        </w:rPr>
        <w:t>schemes are gradually being introduced</w:t>
      </w:r>
      <w:r w:rsidR="00614FDD" w:rsidRPr="00C82BBD">
        <w:rPr>
          <w:rFonts w:ascii="Garamond" w:hAnsi="Garamond" w:cs="Arial"/>
          <w:noProof/>
        </w:rPr>
        <w:t xml:space="preserve"> in Australia, uptake remains largely confined to</w:t>
      </w:r>
      <w:r w:rsidR="004F605A" w:rsidRPr="00C82BBD">
        <w:rPr>
          <w:rFonts w:ascii="Garamond" w:hAnsi="Garamond" w:cs="Arial"/>
          <w:noProof/>
        </w:rPr>
        <w:t xml:space="preserve"> clients of</w:t>
      </w:r>
      <w:r w:rsidR="00614FDD" w:rsidRPr="00C82BBD">
        <w:rPr>
          <w:rFonts w:ascii="Garamond" w:hAnsi="Garamond" w:cs="Arial"/>
          <w:noProof/>
        </w:rPr>
        <w:t xml:space="preserve"> harm reduction services targeting people who inject drugs. </w:t>
      </w:r>
      <w:r w:rsidR="004F5913" w:rsidRPr="00C82BBD">
        <w:rPr>
          <w:rFonts w:ascii="Garamond" w:hAnsi="Garamond"/>
        </w:rPr>
        <w:t>Although research suggests that people who consume opioids are often willing to participate in overdose response training and administer naloxone during an overdose (e.g.</w:t>
      </w:r>
      <w:r w:rsidR="00352939" w:rsidRPr="00C82BBD">
        <w:rPr>
          <w:rFonts w:ascii="Garamond" w:hAnsi="Garamond"/>
        </w:rPr>
        <w:t xml:space="preserve"> </w:t>
      </w:r>
      <w:proofErr w:type="spellStart"/>
      <w:r w:rsidR="004F5913" w:rsidRPr="00C82BBD">
        <w:rPr>
          <w:rFonts w:ascii="Garamond" w:hAnsi="Garamond"/>
        </w:rPr>
        <w:t>Lagu</w:t>
      </w:r>
      <w:proofErr w:type="spellEnd"/>
      <w:r w:rsidR="004F5913" w:rsidRPr="00C82BBD">
        <w:rPr>
          <w:rFonts w:ascii="Garamond" w:hAnsi="Garamond"/>
        </w:rPr>
        <w:t>, Anderson &amp; Stein 2006</w:t>
      </w:r>
      <w:r w:rsidR="00184C12" w:rsidRPr="00C82BBD">
        <w:rPr>
          <w:rFonts w:ascii="Garamond" w:hAnsi="Garamond"/>
        </w:rPr>
        <w:t>,</w:t>
      </w:r>
      <w:r w:rsidR="004F5913" w:rsidRPr="00C82BBD">
        <w:rPr>
          <w:rFonts w:ascii="Garamond" w:hAnsi="Garamond"/>
        </w:rPr>
        <w:t xml:space="preserve"> </w:t>
      </w:r>
      <w:proofErr w:type="spellStart"/>
      <w:r w:rsidR="004F5913" w:rsidRPr="00C82BBD">
        <w:rPr>
          <w:rFonts w:ascii="Garamond" w:hAnsi="Garamond"/>
        </w:rPr>
        <w:t>Lankenau</w:t>
      </w:r>
      <w:proofErr w:type="spellEnd"/>
      <w:r w:rsidR="004F5913" w:rsidRPr="00C82BBD">
        <w:rPr>
          <w:rFonts w:ascii="Garamond" w:hAnsi="Garamond"/>
        </w:rPr>
        <w:t xml:space="preserve"> et al. 2013)</w:t>
      </w:r>
      <w:r w:rsidR="00756FE0" w:rsidRPr="00C82BBD">
        <w:rPr>
          <w:rFonts w:ascii="Garamond" w:hAnsi="Garamond"/>
        </w:rPr>
        <w:t>, knowledge of its availability and uptake</w:t>
      </w:r>
      <w:r w:rsidR="00614FDD" w:rsidRPr="00C82BBD">
        <w:rPr>
          <w:rFonts w:ascii="Garamond" w:hAnsi="Garamond"/>
        </w:rPr>
        <w:t xml:space="preserve"> by the primary targets</w:t>
      </w:r>
      <w:r w:rsidR="00F5786F" w:rsidRPr="00C82BBD">
        <w:rPr>
          <w:rFonts w:ascii="Garamond" w:hAnsi="Garamond"/>
        </w:rPr>
        <w:t xml:space="preserve"> of the </w:t>
      </w:r>
      <w:r w:rsidR="004C5492" w:rsidRPr="00C82BBD">
        <w:rPr>
          <w:rFonts w:ascii="Garamond" w:hAnsi="Garamond"/>
        </w:rPr>
        <w:t>current strateg</w:t>
      </w:r>
      <w:r w:rsidR="00DD706A" w:rsidRPr="00C82BBD">
        <w:rPr>
          <w:rFonts w:ascii="Garamond" w:hAnsi="Garamond"/>
        </w:rPr>
        <w:t>ies</w:t>
      </w:r>
      <w:r w:rsidR="00614FDD" w:rsidRPr="00C82BBD">
        <w:rPr>
          <w:rFonts w:ascii="Garamond" w:hAnsi="Garamond"/>
        </w:rPr>
        <w:t>, people who inject opioids</w:t>
      </w:r>
      <w:r w:rsidR="00DD706A" w:rsidRPr="00C82BBD">
        <w:rPr>
          <w:rFonts w:ascii="Garamond" w:hAnsi="Garamond"/>
        </w:rPr>
        <w:t xml:space="preserve">, </w:t>
      </w:r>
      <w:r w:rsidR="00614FDD" w:rsidRPr="00C82BBD">
        <w:rPr>
          <w:rFonts w:ascii="Garamond" w:hAnsi="Garamond"/>
        </w:rPr>
        <w:t>remains</w:t>
      </w:r>
      <w:r w:rsidR="00926D92" w:rsidRPr="00C82BBD">
        <w:rPr>
          <w:rFonts w:ascii="Garamond" w:hAnsi="Garamond"/>
        </w:rPr>
        <w:t xml:space="preserve"> patchy</w:t>
      </w:r>
      <w:r w:rsidR="00614FDD" w:rsidRPr="00C82BBD">
        <w:rPr>
          <w:rFonts w:ascii="Garamond" w:hAnsi="Garamond"/>
        </w:rPr>
        <w:t xml:space="preserve"> (</w:t>
      </w:r>
      <w:r w:rsidR="0091183F" w:rsidRPr="00C82BBD">
        <w:rPr>
          <w:rFonts w:ascii="Garamond" w:hAnsi="Garamond"/>
        </w:rPr>
        <w:t>Dietze et al. 2017)</w:t>
      </w:r>
      <w:r w:rsidR="00A344CC" w:rsidRPr="00C82BBD">
        <w:rPr>
          <w:rFonts w:ascii="Garamond" w:hAnsi="Garamond"/>
        </w:rPr>
        <w:t>.</w:t>
      </w:r>
    </w:p>
    <w:p w14:paraId="0375127F" w14:textId="77777777" w:rsidR="004F5913" w:rsidRPr="00C82BBD" w:rsidRDefault="004F5913" w:rsidP="00C82BBD">
      <w:pPr>
        <w:autoSpaceDE w:val="0"/>
        <w:autoSpaceDN w:val="0"/>
        <w:adjustRightInd w:val="0"/>
        <w:spacing w:after="0" w:line="480" w:lineRule="auto"/>
        <w:rPr>
          <w:rFonts w:ascii="Garamond" w:hAnsi="Garamond" w:cs="Arial"/>
          <w:b/>
        </w:rPr>
      </w:pPr>
    </w:p>
    <w:p w14:paraId="717353B4" w14:textId="77777777" w:rsidR="003F445B" w:rsidRPr="00C82BBD" w:rsidRDefault="003F445B" w:rsidP="00C82BBD">
      <w:pPr>
        <w:autoSpaceDE w:val="0"/>
        <w:autoSpaceDN w:val="0"/>
        <w:adjustRightInd w:val="0"/>
        <w:spacing w:after="0" w:line="480" w:lineRule="auto"/>
        <w:rPr>
          <w:rFonts w:ascii="Garamond" w:hAnsi="Garamond" w:cs="AdvP7B6C"/>
          <w:b/>
          <w:lang w:val="en-AU"/>
        </w:rPr>
      </w:pPr>
      <w:r w:rsidRPr="00C82BBD">
        <w:rPr>
          <w:rFonts w:ascii="Garamond" w:hAnsi="Garamond" w:cs="AdvP7B6C"/>
          <w:b/>
          <w:lang w:val="en-AU"/>
        </w:rPr>
        <w:t>Literature review</w:t>
      </w:r>
    </w:p>
    <w:p w14:paraId="108FA32B" w14:textId="77777777" w:rsidR="003F445B" w:rsidRPr="00C82BBD" w:rsidRDefault="003F445B" w:rsidP="00C82BBD">
      <w:pPr>
        <w:autoSpaceDE w:val="0"/>
        <w:autoSpaceDN w:val="0"/>
        <w:adjustRightInd w:val="0"/>
        <w:spacing w:after="0" w:line="480" w:lineRule="auto"/>
        <w:rPr>
          <w:rFonts w:ascii="Garamond" w:hAnsi="Garamond" w:cs="Arial"/>
          <w:b/>
        </w:rPr>
      </w:pPr>
    </w:p>
    <w:p w14:paraId="35AF7C6D" w14:textId="53C32E7E" w:rsidR="00FA2140" w:rsidRPr="00C82BBD" w:rsidRDefault="00F657BA" w:rsidP="00C82BBD">
      <w:pPr>
        <w:autoSpaceDE w:val="0"/>
        <w:autoSpaceDN w:val="0"/>
        <w:adjustRightInd w:val="0"/>
        <w:spacing w:after="0" w:line="480" w:lineRule="auto"/>
        <w:rPr>
          <w:rFonts w:ascii="Garamond" w:hAnsi="Garamond" w:cs="AdvP7B6C"/>
          <w:lang w:val="en-AU"/>
        </w:rPr>
      </w:pPr>
      <w:r w:rsidRPr="00C82BBD">
        <w:rPr>
          <w:rFonts w:ascii="Garamond" w:hAnsi="Garamond" w:cs="Arial"/>
        </w:rPr>
        <w:t xml:space="preserve">Research suggests that </w:t>
      </w:r>
      <w:r w:rsidR="003F445B" w:rsidRPr="00C82BBD">
        <w:rPr>
          <w:rFonts w:ascii="Garamond" w:hAnsi="Garamond" w:cs="Arial"/>
        </w:rPr>
        <w:t xml:space="preserve">many </w:t>
      </w:r>
      <w:r w:rsidRPr="00C82BBD">
        <w:rPr>
          <w:rFonts w:ascii="Garamond" w:hAnsi="Garamond" w:cs="Arial"/>
        </w:rPr>
        <w:t xml:space="preserve">opioid consumers </w:t>
      </w:r>
      <w:r w:rsidR="003F445B" w:rsidRPr="00C82BBD">
        <w:rPr>
          <w:rFonts w:ascii="Garamond" w:hAnsi="Garamond" w:cs="Arial"/>
        </w:rPr>
        <w:t xml:space="preserve">who </w:t>
      </w:r>
      <w:r w:rsidRPr="00C82BBD">
        <w:rPr>
          <w:rFonts w:ascii="Garamond" w:hAnsi="Garamond" w:cs="Arial"/>
        </w:rPr>
        <w:t>are awa</w:t>
      </w:r>
      <w:r w:rsidR="00C52796" w:rsidRPr="00C82BBD">
        <w:rPr>
          <w:rFonts w:ascii="Garamond" w:hAnsi="Garamond" w:cs="Arial"/>
        </w:rPr>
        <w:t>re</w:t>
      </w:r>
      <w:r w:rsidRPr="00C82BBD">
        <w:rPr>
          <w:rFonts w:ascii="Garamond" w:hAnsi="Garamond" w:cs="Arial"/>
        </w:rPr>
        <w:t xml:space="preserve"> of the availability of take-home naloxone choose not to access it (</w:t>
      </w:r>
      <w:r w:rsidRPr="00C82BBD">
        <w:rPr>
          <w:rFonts w:ascii="Garamond" w:hAnsi="Garamond" w:cs="AdvP7B6C"/>
          <w:lang w:val="en-AU"/>
        </w:rPr>
        <w:t xml:space="preserve">Dietze et al. 2015). </w:t>
      </w:r>
      <w:r w:rsidR="003F445B" w:rsidRPr="00C82BBD">
        <w:rPr>
          <w:rFonts w:ascii="Garamond" w:hAnsi="Garamond" w:cs="Arial"/>
        </w:rPr>
        <w:t>I</w:t>
      </w:r>
      <w:r w:rsidR="00B12D44" w:rsidRPr="00C82BBD">
        <w:rPr>
          <w:rFonts w:ascii="Garamond" w:hAnsi="Garamond" w:cs="Arial"/>
        </w:rPr>
        <w:t>nvestigati</w:t>
      </w:r>
      <w:r w:rsidR="003F445B" w:rsidRPr="00C82BBD">
        <w:rPr>
          <w:rFonts w:ascii="Garamond" w:hAnsi="Garamond" w:cs="Arial"/>
        </w:rPr>
        <w:t>ons into</w:t>
      </w:r>
      <w:r w:rsidR="00B12D44" w:rsidRPr="00C82BBD">
        <w:rPr>
          <w:rFonts w:ascii="Garamond" w:hAnsi="Garamond" w:cs="Arial"/>
        </w:rPr>
        <w:t xml:space="preserve"> this dynamic </w:t>
      </w:r>
      <w:r w:rsidR="003F445B" w:rsidRPr="00C82BBD">
        <w:rPr>
          <w:rFonts w:ascii="Garamond" w:hAnsi="Garamond" w:cs="Arial"/>
        </w:rPr>
        <w:t xml:space="preserve">have </w:t>
      </w:r>
      <w:r w:rsidR="00B12D44" w:rsidRPr="00C82BBD">
        <w:rPr>
          <w:rFonts w:ascii="Garamond" w:hAnsi="Garamond" w:cs="Arial"/>
        </w:rPr>
        <w:t>identif</w:t>
      </w:r>
      <w:r w:rsidR="003F445B" w:rsidRPr="00C82BBD">
        <w:rPr>
          <w:rFonts w:ascii="Garamond" w:hAnsi="Garamond" w:cs="Arial"/>
        </w:rPr>
        <w:t>ied</w:t>
      </w:r>
      <w:r w:rsidR="00B12D44" w:rsidRPr="00C82BBD">
        <w:rPr>
          <w:rFonts w:ascii="Garamond" w:hAnsi="Garamond" w:cs="Arial"/>
        </w:rPr>
        <w:t xml:space="preserve"> a number of barriers</w:t>
      </w:r>
      <w:r w:rsidR="005F0571" w:rsidRPr="00C82BBD">
        <w:rPr>
          <w:rFonts w:ascii="Garamond" w:hAnsi="Garamond" w:cs="Arial"/>
        </w:rPr>
        <w:t>, including p</w:t>
      </w:r>
      <w:r w:rsidR="004F5913" w:rsidRPr="00C82BBD">
        <w:rPr>
          <w:rFonts w:ascii="Garamond" w:hAnsi="Garamond" w:cs="Arial"/>
        </w:rPr>
        <w:t>ractical impediments such as the expense of over-the-counter purchasing (Dwyer, Fraser &amp; Dietze 2016)</w:t>
      </w:r>
      <w:r w:rsidR="00C52796" w:rsidRPr="00C82BBD">
        <w:rPr>
          <w:rFonts w:ascii="Garamond" w:hAnsi="Garamond" w:cs="Arial"/>
        </w:rPr>
        <w:t xml:space="preserve"> and </w:t>
      </w:r>
      <w:r w:rsidR="00926D92" w:rsidRPr="00C82BBD">
        <w:rPr>
          <w:rFonts w:ascii="Garamond" w:hAnsi="Garamond" w:cs="Arial"/>
        </w:rPr>
        <w:t>time and funding</w:t>
      </w:r>
      <w:r w:rsidR="00C52796" w:rsidRPr="00C82BBD">
        <w:rPr>
          <w:rFonts w:ascii="Garamond" w:hAnsi="Garamond" w:cs="Arial"/>
        </w:rPr>
        <w:t xml:space="preserve"> constraints </w:t>
      </w:r>
      <w:r w:rsidR="005F0571" w:rsidRPr="00C82BBD">
        <w:rPr>
          <w:rFonts w:ascii="Garamond" w:hAnsi="Garamond" w:cs="Arial"/>
        </w:rPr>
        <w:t>on relevant</w:t>
      </w:r>
      <w:r w:rsidR="00C52796" w:rsidRPr="00C82BBD">
        <w:rPr>
          <w:rFonts w:ascii="Garamond" w:hAnsi="Garamond" w:cs="Arial"/>
        </w:rPr>
        <w:t xml:space="preserve"> alcohol and other drug services</w:t>
      </w:r>
      <w:r w:rsidR="00031211" w:rsidRPr="00C82BBD">
        <w:rPr>
          <w:rFonts w:ascii="Garamond" w:hAnsi="Garamond" w:cs="Arial"/>
        </w:rPr>
        <w:t xml:space="preserve"> </w:t>
      </w:r>
      <w:r w:rsidR="00C52796" w:rsidRPr="00C82BBD">
        <w:rPr>
          <w:rFonts w:ascii="Garamond" w:hAnsi="Garamond" w:cs="Arial"/>
        </w:rPr>
        <w:t>(Dwyer, Fraser &amp; Dietze 2016)</w:t>
      </w:r>
      <w:r w:rsidRPr="00C82BBD">
        <w:rPr>
          <w:rFonts w:ascii="Garamond" w:hAnsi="Garamond" w:cs="Arial"/>
        </w:rPr>
        <w:t xml:space="preserve">. Other reasons </w:t>
      </w:r>
      <w:r w:rsidR="005F0571" w:rsidRPr="00C82BBD">
        <w:rPr>
          <w:rFonts w:ascii="Garamond" w:hAnsi="Garamond" w:cs="Arial"/>
        </w:rPr>
        <w:t xml:space="preserve">identified </w:t>
      </w:r>
      <w:r w:rsidRPr="00C82BBD">
        <w:rPr>
          <w:rFonts w:ascii="Garamond" w:hAnsi="Garamond" w:cs="Arial"/>
        </w:rPr>
        <w:t>include the fear of police involvement in an overdose (</w:t>
      </w:r>
      <w:proofErr w:type="spellStart"/>
      <w:r w:rsidRPr="00C82BBD">
        <w:rPr>
          <w:rFonts w:ascii="Garamond" w:hAnsi="Garamond" w:cs="AdvP7B6C"/>
          <w:lang w:val="en-AU"/>
        </w:rPr>
        <w:t>Lagu</w:t>
      </w:r>
      <w:proofErr w:type="spellEnd"/>
      <w:r w:rsidRPr="00C82BBD">
        <w:rPr>
          <w:rFonts w:ascii="Garamond" w:hAnsi="Garamond" w:cs="AdvP7B6C"/>
          <w:lang w:val="en-AU"/>
        </w:rPr>
        <w:t xml:space="preserve"> et al. 2006</w:t>
      </w:r>
      <w:r w:rsidR="00184C12" w:rsidRPr="00C82BBD">
        <w:rPr>
          <w:rFonts w:ascii="Garamond" w:hAnsi="Garamond" w:cs="AdvP7B6C"/>
          <w:lang w:val="en-AU"/>
        </w:rPr>
        <w:t>,</w:t>
      </w:r>
      <w:r w:rsidRPr="00C82BBD">
        <w:rPr>
          <w:rFonts w:ascii="Garamond" w:hAnsi="Garamond" w:cs="AdvP7B6C"/>
          <w:lang w:val="en-AU"/>
        </w:rPr>
        <w:t xml:space="preserve"> Wright et al. 2006), </w:t>
      </w:r>
      <w:r w:rsidR="0089568F" w:rsidRPr="00C82BBD">
        <w:rPr>
          <w:rFonts w:ascii="Garamond" w:hAnsi="Garamond" w:cs="AdvP7B6C"/>
          <w:lang w:val="en-AU"/>
        </w:rPr>
        <w:t xml:space="preserve">burdensome </w:t>
      </w:r>
      <w:r w:rsidRPr="00C82BBD">
        <w:rPr>
          <w:rFonts w:ascii="Garamond" w:hAnsi="Garamond" w:cs="AdvP7B6C"/>
          <w:lang w:val="en-AU"/>
        </w:rPr>
        <w:t>feeling</w:t>
      </w:r>
      <w:r w:rsidR="005F0571" w:rsidRPr="00C82BBD">
        <w:rPr>
          <w:rFonts w:ascii="Garamond" w:hAnsi="Garamond" w:cs="AdvP7B6C"/>
          <w:lang w:val="en-AU"/>
        </w:rPr>
        <w:t>s</w:t>
      </w:r>
      <w:r w:rsidRPr="00C82BBD">
        <w:rPr>
          <w:rFonts w:ascii="Garamond" w:hAnsi="Garamond" w:cs="AdvP7B6C"/>
          <w:lang w:val="en-AU"/>
        </w:rPr>
        <w:t xml:space="preserve"> </w:t>
      </w:r>
      <w:r w:rsidR="005F0571" w:rsidRPr="00C82BBD">
        <w:rPr>
          <w:rFonts w:ascii="Garamond" w:hAnsi="Garamond" w:cs="AdvP7B6C"/>
          <w:lang w:val="en-AU"/>
        </w:rPr>
        <w:t>of</w:t>
      </w:r>
      <w:r w:rsidRPr="00C82BBD">
        <w:rPr>
          <w:rFonts w:ascii="Garamond" w:hAnsi="Garamond" w:cs="AdvP7B6C"/>
          <w:lang w:val="en-AU"/>
        </w:rPr>
        <w:t xml:space="preserve"> responsibility to administer naloxone in distressing overdose events (Neale &amp; Strang 2015) and </w:t>
      </w:r>
      <w:r w:rsidR="007074D1" w:rsidRPr="00C82BBD">
        <w:rPr>
          <w:rFonts w:ascii="Garamond" w:hAnsi="Garamond" w:cs="AdvP7B6C"/>
          <w:lang w:val="en-AU"/>
        </w:rPr>
        <w:t xml:space="preserve">limited </w:t>
      </w:r>
      <w:r w:rsidR="005F0571" w:rsidRPr="00C82BBD">
        <w:rPr>
          <w:rFonts w:ascii="Garamond" w:hAnsi="Garamond" w:cs="AdvP7B6C"/>
          <w:lang w:val="en-AU"/>
        </w:rPr>
        <w:t xml:space="preserve">supply options </w:t>
      </w:r>
      <w:r w:rsidR="00031211" w:rsidRPr="00C82BBD">
        <w:rPr>
          <w:rFonts w:ascii="Garamond" w:hAnsi="Garamond" w:cs="AdvP7B6C"/>
          <w:lang w:val="en-AU"/>
        </w:rPr>
        <w:t>(McLean 2016). Finally,</w:t>
      </w:r>
      <w:r w:rsidR="00FF36EF" w:rsidRPr="00C82BBD">
        <w:rPr>
          <w:rFonts w:ascii="Garamond" w:hAnsi="Garamond" w:cs="AdvP7B6C"/>
          <w:lang w:val="en-AU"/>
        </w:rPr>
        <w:t xml:space="preserve"> </w:t>
      </w:r>
      <w:r w:rsidR="00DD706A" w:rsidRPr="00C82BBD">
        <w:rPr>
          <w:rFonts w:ascii="Garamond" w:hAnsi="Garamond" w:cs="AdvP7B6C"/>
          <w:lang w:val="en-AU"/>
        </w:rPr>
        <w:t xml:space="preserve">perceptions of </w:t>
      </w:r>
      <w:r w:rsidR="004F605A" w:rsidRPr="00C82BBD">
        <w:rPr>
          <w:rFonts w:ascii="Garamond" w:hAnsi="Garamond" w:cs="AdvP7B6C"/>
          <w:lang w:val="en-AU"/>
        </w:rPr>
        <w:t xml:space="preserve">naloxone’s </w:t>
      </w:r>
      <w:r w:rsidR="00FF36EF" w:rsidRPr="00C82BBD">
        <w:rPr>
          <w:rFonts w:ascii="Garamond" w:hAnsi="Garamond" w:cs="AdvP7B6C"/>
          <w:lang w:val="en-AU"/>
        </w:rPr>
        <w:t xml:space="preserve">capacity to stimulate uncomfortable and painful withdrawal symptoms </w:t>
      </w:r>
      <w:r w:rsidR="005F0571" w:rsidRPr="00C82BBD">
        <w:rPr>
          <w:rFonts w:ascii="Garamond" w:hAnsi="Garamond" w:cs="AdvP7B6C"/>
          <w:lang w:val="en-AU"/>
        </w:rPr>
        <w:t xml:space="preserve">can render </w:t>
      </w:r>
      <w:r w:rsidR="00E073AB" w:rsidRPr="00C82BBD">
        <w:rPr>
          <w:rFonts w:ascii="Garamond" w:hAnsi="Garamond" w:cs="AdvP7B6C"/>
          <w:lang w:val="en-AU"/>
        </w:rPr>
        <w:t xml:space="preserve">opioid consumers </w:t>
      </w:r>
      <w:r w:rsidR="005F0571" w:rsidRPr="00C82BBD">
        <w:rPr>
          <w:rFonts w:ascii="Garamond" w:hAnsi="Garamond" w:cs="AdvP7B6C"/>
          <w:lang w:val="en-AU"/>
        </w:rPr>
        <w:t>reluctant to administer</w:t>
      </w:r>
      <w:r w:rsidR="00E073AB" w:rsidRPr="00C82BBD">
        <w:rPr>
          <w:rFonts w:ascii="Garamond" w:hAnsi="Garamond" w:cs="AdvP7B6C"/>
          <w:lang w:val="en-AU"/>
        </w:rPr>
        <w:t xml:space="preserve"> or be administered with</w:t>
      </w:r>
      <w:r w:rsidR="006335E2" w:rsidRPr="00C82BBD">
        <w:rPr>
          <w:rFonts w:ascii="Garamond" w:hAnsi="Garamond" w:cs="AdvP7B6C"/>
          <w:lang w:val="en-AU"/>
        </w:rPr>
        <w:t xml:space="preserve"> </w:t>
      </w:r>
      <w:r w:rsidR="005F0571" w:rsidRPr="00C82BBD">
        <w:rPr>
          <w:rFonts w:ascii="Garamond" w:hAnsi="Garamond" w:cs="AdvP7B6C"/>
          <w:lang w:val="en-AU"/>
        </w:rPr>
        <w:t>it</w:t>
      </w:r>
      <w:r w:rsidR="00FF36EF" w:rsidRPr="00C82BBD">
        <w:rPr>
          <w:rFonts w:ascii="Garamond" w:hAnsi="Garamond" w:cs="AdvP7B6C"/>
          <w:lang w:val="en-AU"/>
        </w:rPr>
        <w:t xml:space="preserve"> (Neale &amp; Strang 2015).</w:t>
      </w:r>
      <w:r w:rsidR="00C52796" w:rsidRPr="00C82BBD">
        <w:rPr>
          <w:rFonts w:ascii="Garamond" w:hAnsi="Garamond" w:cs="AdvP7B6C"/>
          <w:lang w:val="en-AU"/>
        </w:rPr>
        <w:t xml:space="preserve"> Th</w:t>
      </w:r>
      <w:r w:rsidR="005F0571" w:rsidRPr="00C82BBD">
        <w:rPr>
          <w:rFonts w:ascii="Garamond" w:hAnsi="Garamond" w:cs="AdvP7B6C"/>
          <w:lang w:val="en-AU"/>
        </w:rPr>
        <w:t>e latter concern indicates</w:t>
      </w:r>
      <w:r w:rsidR="004D27DA" w:rsidRPr="00C82BBD">
        <w:rPr>
          <w:rFonts w:ascii="Garamond" w:hAnsi="Garamond" w:cs="AdvP7B6C"/>
          <w:lang w:val="en-AU"/>
        </w:rPr>
        <w:t xml:space="preserve"> </w:t>
      </w:r>
      <w:r w:rsidR="005F0571" w:rsidRPr="00C82BBD">
        <w:rPr>
          <w:rFonts w:ascii="Garamond" w:hAnsi="Garamond" w:cs="AdvP7B6C"/>
          <w:lang w:val="en-AU"/>
        </w:rPr>
        <w:t xml:space="preserve">that </w:t>
      </w:r>
      <w:r w:rsidR="00C52796" w:rsidRPr="00C82BBD">
        <w:rPr>
          <w:rFonts w:ascii="Garamond" w:hAnsi="Garamond" w:cs="AdvP7B6C"/>
          <w:lang w:val="en-AU"/>
        </w:rPr>
        <w:t>negative experience</w:t>
      </w:r>
      <w:r w:rsidR="005F0571" w:rsidRPr="00C82BBD">
        <w:rPr>
          <w:rFonts w:ascii="Garamond" w:hAnsi="Garamond" w:cs="AdvP7B6C"/>
          <w:lang w:val="en-AU"/>
        </w:rPr>
        <w:t>s</w:t>
      </w:r>
      <w:r w:rsidR="00C52796" w:rsidRPr="00C82BBD">
        <w:rPr>
          <w:rFonts w:ascii="Garamond" w:hAnsi="Garamond" w:cs="AdvP7B6C"/>
          <w:lang w:val="en-AU"/>
        </w:rPr>
        <w:t xml:space="preserve"> of being administered naloxone</w:t>
      </w:r>
      <w:r w:rsidR="005F0571" w:rsidRPr="00C82BBD">
        <w:rPr>
          <w:rFonts w:ascii="Garamond" w:hAnsi="Garamond" w:cs="AdvP7B6C"/>
          <w:lang w:val="en-AU"/>
        </w:rPr>
        <w:t xml:space="preserve">, whether </w:t>
      </w:r>
      <w:r w:rsidR="00C52796" w:rsidRPr="00C82BBD">
        <w:rPr>
          <w:rFonts w:ascii="Garamond" w:hAnsi="Garamond" w:cs="AdvP7B6C"/>
          <w:lang w:val="en-AU"/>
        </w:rPr>
        <w:t xml:space="preserve">in a healthcare setting or </w:t>
      </w:r>
      <w:r w:rsidR="005F0571" w:rsidRPr="00C82BBD">
        <w:rPr>
          <w:rFonts w:ascii="Garamond" w:hAnsi="Garamond" w:cs="AdvP7B6C"/>
          <w:lang w:val="en-AU"/>
        </w:rPr>
        <w:t xml:space="preserve">elsewhere, </w:t>
      </w:r>
      <w:r w:rsidR="00C52796" w:rsidRPr="00C82BBD">
        <w:rPr>
          <w:rFonts w:ascii="Garamond" w:hAnsi="Garamond" w:cs="AdvP7B6C"/>
          <w:lang w:val="en-AU"/>
        </w:rPr>
        <w:t>may reduce desire to access the drug in the future</w:t>
      </w:r>
      <w:r w:rsidR="00877AD6" w:rsidRPr="00C82BBD">
        <w:rPr>
          <w:rFonts w:ascii="Garamond" w:hAnsi="Garamond" w:cs="AdvP7B6C"/>
          <w:lang w:val="en-AU"/>
        </w:rPr>
        <w:t xml:space="preserve"> (Neale &amp; Strang 2015)</w:t>
      </w:r>
      <w:r w:rsidR="00C52796" w:rsidRPr="00C82BBD">
        <w:rPr>
          <w:rFonts w:ascii="Garamond" w:hAnsi="Garamond" w:cs="AdvP7B6C"/>
          <w:lang w:val="en-AU"/>
        </w:rPr>
        <w:t>.</w:t>
      </w:r>
    </w:p>
    <w:p w14:paraId="2F486328" w14:textId="77777777" w:rsidR="00FA2140" w:rsidRPr="00C82BBD" w:rsidRDefault="00FA2140" w:rsidP="00C82BBD">
      <w:pPr>
        <w:autoSpaceDE w:val="0"/>
        <w:autoSpaceDN w:val="0"/>
        <w:adjustRightInd w:val="0"/>
        <w:spacing w:after="0" w:line="480" w:lineRule="auto"/>
        <w:rPr>
          <w:rFonts w:ascii="Garamond" w:hAnsi="Garamond" w:cs="AdvP7B6C"/>
          <w:lang w:val="en-AU"/>
        </w:rPr>
      </w:pPr>
    </w:p>
    <w:p w14:paraId="39A5847B" w14:textId="0657CA53" w:rsidR="00541C19" w:rsidRPr="00C82BBD" w:rsidRDefault="00A629A6" w:rsidP="00C82BBD">
      <w:pPr>
        <w:autoSpaceDE w:val="0"/>
        <w:autoSpaceDN w:val="0"/>
        <w:adjustRightInd w:val="0"/>
        <w:spacing w:after="0" w:line="480" w:lineRule="auto"/>
        <w:rPr>
          <w:rFonts w:ascii="Garamond" w:hAnsi="Garamond" w:cs="Arial"/>
        </w:rPr>
      </w:pPr>
      <w:r w:rsidRPr="00C82BBD">
        <w:rPr>
          <w:rFonts w:ascii="Garamond" w:hAnsi="Garamond" w:cs="Arial"/>
        </w:rPr>
        <w:t>P</w:t>
      </w:r>
      <w:r w:rsidR="00727AB0" w:rsidRPr="00C82BBD">
        <w:rPr>
          <w:rFonts w:ascii="Garamond" w:hAnsi="Garamond" w:cs="Arial"/>
        </w:rPr>
        <w:t>erhaps</w:t>
      </w:r>
      <w:r w:rsidRPr="00C82BBD">
        <w:rPr>
          <w:rFonts w:ascii="Garamond" w:hAnsi="Garamond" w:cs="Arial"/>
        </w:rPr>
        <w:t xml:space="preserve"> due to </w:t>
      </w:r>
      <w:r w:rsidR="005F0571" w:rsidRPr="00C82BBD">
        <w:rPr>
          <w:rFonts w:ascii="Garamond" w:hAnsi="Garamond" w:cs="Arial"/>
        </w:rPr>
        <w:t>the emphasis in this area of inquiry on</w:t>
      </w:r>
      <w:r w:rsidRPr="00C82BBD">
        <w:rPr>
          <w:rFonts w:ascii="Garamond" w:hAnsi="Garamond" w:cs="Arial"/>
        </w:rPr>
        <w:t xml:space="preserve"> quantitative public health research approaches, research on take-home naloxone very rarely ask</w:t>
      </w:r>
      <w:r w:rsidR="004465E7" w:rsidRPr="00C82BBD">
        <w:rPr>
          <w:rFonts w:ascii="Garamond" w:hAnsi="Garamond" w:cs="Arial"/>
        </w:rPr>
        <w:t>s</w:t>
      </w:r>
      <w:r w:rsidRPr="00C82BBD">
        <w:rPr>
          <w:rFonts w:ascii="Garamond" w:hAnsi="Garamond" w:cs="Arial"/>
        </w:rPr>
        <w:t xml:space="preserve"> broader </w:t>
      </w:r>
      <w:r w:rsidR="00727AB0" w:rsidRPr="00C82BBD">
        <w:rPr>
          <w:rFonts w:ascii="Garamond" w:hAnsi="Garamond" w:cs="Arial"/>
        </w:rPr>
        <w:t xml:space="preserve">sociological questions of </w:t>
      </w:r>
      <w:r w:rsidRPr="00C82BBD">
        <w:rPr>
          <w:rFonts w:ascii="Garamond" w:hAnsi="Garamond" w:cs="Arial"/>
        </w:rPr>
        <w:t xml:space="preserve">the intervention </w:t>
      </w:r>
      <w:r w:rsidRPr="00C82BBD">
        <w:rPr>
          <w:rFonts w:ascii="Garamond" w:hAnsi="Garamond" w:cs="Arial"/>
        </w:rPr>
        <w:lastRenderedPageBreak/>
        <w:t>(</w:t>
      </w:r>
      <w:r w:rsidR="008A1BCF" w:rsidRPr="00C82BBD">
        <w:rPr>
          <w:rFonts w:ascii="Garamond" w:hAnsi="Garamond" w:cs="Arial"/>
        </w:rPr>
        <w:t>Farrugia, Fraser</w:t>
      </w:r>
      <w:r w:rsidRPr="00C82BBD">
        <w:rPr>
          <w:rFonts w:ascii="Garamond" w:hAnsi="Garamond" w:cs="Arial"/>
        </w:rPr>
        <w:t xml:space="preserve"> &amp; Dwyer 2017). </w:t>
      </w:r>
      <w:r w:rsidR="00727AB0" w:rsidRPr="00C82BBD">
        <w:rPr>
          <w:rFonts w:ascii="Garamond" w:hAnsi="Garamond" w:cs="Arial"/>
        </w:rPr>
        <w:t>That is, t</w:t>
      </w:r>
      <w:r w:rsidRPr="00C82BBD">
        <w:rPr>
          <w:rFonts w:ascii="Garamond" w:hAnsi="Garamond" w:cs="Arial"/>
        </w:rPr>
        <w:t>he socially produced nature of opioid overdose and how take-home naloxone operates within wider public health policies and interventions are issues rarely addr</w:t>
      </w:r>
      <w:r w:rsidR="00812A8C" w:rsidRPr="00C82BBD">
        <w:rPr>
          <w:rFonts w:ascii="Garamond" w:hAnsi="Garamond" w:cs="Arial"/>
        </w:rPr>
        <w:t>essed in this area of research</w:t>
      </w:r>
      <w:r w:rsidR="00FE20F2" w:rsidRPr="00C82BBD">
        <w:rPr>
          <w:rFonts w:ascii="Garamond" w:hAnsi="Garamond" w:cs="Arial"/>
        </w:rPr>
        <w:t>. A</w:t>
      </w:r>
      <w:r w:rsidR="005F0571" w:rsidRPr="00C82BBD">
        <w:rPr>
          <w:rFonts w:ascii="Garamond" w:hAnsi="Garamond" w:cs="Arial"/>
        </w:rPr>
        <w:t xml:space="preserve"> n</w:t>
      </w:r>
      <w:r w:rsidR="00926D92" w:rsidRPr="00C82BBD">
        <w:rPr>
          <w:rFonts w:ascii="Garamond" w:hAnsi="Garamond" w:cs="Arial"/>
        </w:rPr>
        <w:t>otable exception</w:t>
      </w:r>
      <w:r w:rsidR="00FE20F2" w:rsidRPr="00C82BBD">
        <w:rPr>
          <w:rFonts w:ascii="Garamond" w:hAnsi="Garamond" w:cs="Arial"/>
        </w:rPr>
        <w:t xml:space="preserve"> here is </w:t>
      </w:r>
      <w:r w:rsidR="00D85BDF" w:rsidRPr="00C82BBD">
        <w:rPr>
          <w:rFonts w:ascii="Garamond" w:hAnsi="Garamond" w:cs="Arial"/>
        </w:rPr>
        <w:t>Faulkner-</w:t>
      </w:r>
      <w:proofErr w:type="spellStart"/>
      <w:r w:rsidR="00D85BDF" w:rsidRPr="00C82BBD">
        <w:rPr>
          <w:rFonts w:ascii="Garamond" w:hAnsi="Garamond" w:cs="Arial"/>
        </w:rPr>
        <w:t>Gurstein</w:t>
      </w:r>
      <w:r w:rsidR="00812A8C" w:rsidRPr="00C82BBD">
        <w:rPr>
          <w:rFonts w:ascii="Garamond" w:hAnsi="Garamond" w:cs="Arial"/>
        </w:rPr>
        <w:t>’s</w:t>
      </w:r>
      <w:proofErr w:type="spellEnd"/>
      <w:r w:rsidR="00D85BDF" w:rsidRPr="00C82BBD">
        <w:rPr>
          <w:rFonts w:ascii="Garamond" w:hAnsi="Garamond" w:cs="Arial"/>
        </w:rPr>
        <w:t xml:space="preserve"> (2017) </w:t>
      </w:r>
      <w:r w:rsidR="005F0571" w:rsidRPr="00C82BBD">
        <w:rPr>
          <w:rFonts w:ascii="Garamond" w:hAnsi="Garamond" w:cs="Arial"/>
        </w:rPr>
        <w:t>article in which</w:t>
      </w:r>
      <w:r w:rsidR="00926D92" w:rsidRPr="00C82BBD">
        <w:rPr>
          <w:rFonts w:ascii="Garamond" w:hAnsi="Garamond" w:cs="Arial"/>
        </w:rPr>
        <w:t xml:space="preserve"> s</w:t>
      </w:r>
      <w:r w:rsidR="00812A8C" w:rsidRPr="00C82BBD">
        <w:rPr>
          <w:rFonts w:ascii="Garamond" w:hAnsi="Garamond" w:cs="Arial"/>
        </w:rPr>
        <w:t xml:space="preserve">he </w:t>
      </w:r>
      <w:r w:rsidR="00D85BDF" w:rsidRPr="00C82BBD">
        <w:rPr>
          <w:rFonts w:ascii="Garamond" w:hAnsi="Garamond" w:cs="Arial"/>
        </w:rPr>
        <w:t>argues that</w:t>
      </w:r>
      <w:r w:rsidR="00FE20F2" w:rsidRPr="00C82BBD">
        <w:rPr>
          <w:rFonts w:ascii="Garamond" w:hAnsi="Garamond" w:cs="Arial"/>
        </w:rPr>
        <w:t>,</w:t>
      </w:r>
      <w:r w:rsidR="00D85BDF" w:rsidRPr="00C82BBD">
        <w:rPr>
          <w:rFonts w:ascii="Garamond" w:hAnsi="Garamond" w:cs="Arial"/>
        </w:rPr>
        <w:t xml:space="preserve"> </w:t>
      </w:r>
      <w:r w:rsidR="00926D92" w:rsidRPr="00C82BBD">
        <w:rPr>
          <w:rFonts w:ascii="Garamond" w:hAnsi="Garamond" w:cs="Arial"/>
        </w:rPr>
        <w:t>by harnessing</w:t>
      </w:r>
      <w:r w:rsidR="00D85BDF" w:rsidRPr="00C82BBD">
        <w:rPr>
          <w:rFonts w:ascii="Garamond" w:hAnsi="Garamond" w:cs="Arial"/>
        </w:rPr>
        <w:t xml:space="preserve"> social networks of people who consume opioids</w:t>
      </w:r>
      <w:r w:rsidR="00FE20F2" w:rsidRPr="00C82BBD">
        <w:rPr>
          <w:rFonts w:ascii="Garamond" w:hAnsi="Garamond" w:cs="Arial"/>
        </w:rPr>
        <w:t>,</w:t>
      </w:r>
      <w:r w:rsidR="00D85BDF" w:rsidRPr="00C82BBD">
        <w:rPr>
          <w:rFonts w:ascii="Garamond" w:hAnsi="Garamond" w:cs="Arial"/>
        </w:rPr>
        <w:t xml:space="preserve"> </w:t>
      </w:r>
      <w:r w:rsidR="00926D92" w:rsidRPr="00C82BBD">
        <w:rPr>
          <w:rFonts w:ascii="Garamond" w:hAnsi="Garamond" w:cs="Arial"/>
        </w:rPr>
        <w:t xml:space="preserve">this intervention </w:t>
      </w:r>
      <w:r w:rsidR="00FE20F2" w:rsidRPr="00C82BBD">
        <w:rPr>
          <w:rFonts w:ascii="Garamond" w:hAnsi="Garamond" w:cs="Arial"/>
        </w:rPr>
        <w:t xml:space="preserve">has the </w:t>
      </w:r>
      <w:r w:rsidR="00541C19" w:rsidRPr="00C82BBD">
        <w:rPr>
          <w:rFonts w:ascii="Garamond" w:hAnsi="Garamond" w:cs="Arial"/>
        </w:rPr>
        <w:t>scope</w:t>
      </w:r>
      <w:r w:rsidR="00FE20F2" w:rsidRPr="00C82BBD">
        <w:rPr>
          <w:rFonts w:ascii="Garamond" w:hAnsi="Garamond" w:cs="Arial"/>
        </w:rPr>
        <w:t xml:space="preserve"> to </w:t>
      </w:r>
      <w:r w:rsidR="00727AB0" w:rsidRPr="00C82BBD">
        <w:rPr>
          <w:rFonts w:ascii="Garamond" w:hAnsi="Garamond" w:cs="Arial"/>
        </w:rPr>
        <w:t xml:space="preserve">constitute </w:t>
      </w:r>
      <w:r w:rsidR="00926D92" w:rsidRPr="00C82BBD">
        <w:rPr>
          <w:rFonts w:ascii="Garamond" w:hAnsi="Garamond" w:cs="Arial"/>
        </w:rPr>
        <w:t>the</w:t>
      </w:r>
      <w:r w:rsidR="005F0571" w:rsidRPr="00C82BBD">
        <w:rPr>
          <w:rFonts w:ascii="Garamond" w:hAnsi="Garamond" w:cs="Arial"/>
        </w:rPr>
        <w:t>ir</w:t>
      </w:r>
      <w:r w:rsidR="00926D92" w:rsidRPr="00C82BBD">
        <w:rPr>
          <w:rFonts w:ascii="Garamond" w:hAnsi="Garamond" w:cs="Arial"/>
        </w:rPr>
        <w:t xml:space="preserve"> relationships</w:t>
      </w:r>
      <w:r w:rsidR="00FE20F2" w:rsidRPr="00C82BBD">
        <w:rPr>
          <w:rFonts w:ascii="Garamond" w:hAnsi="Garamond" w:cs="Arial"/>
        </w:rPr>
        <w:t xml:space="preserve"> </w:t>
      </w:r>
      <w:r w:rsidR="00926D92" w:rsidRPr="00C82BBD">
        <w:rPr>
          <w:rFonts w:ascii="Garamond" w:hAnsi="Garamond" w:cs="Arial"/>
        </w:rPr>
        <w:t xml:space="preserve">as </w:t>
      </w:r>
      <w:r w:rsidR="00F62934" w:rsidRPr="00C82BBD">
        <w:rPr>
          <w:rFonts w:ascii="Garamond" w:hAnsi="Garamond" w:cs="Arial"/>
        </w:rPr>
        <w:t>potentially health producing and protecti</w:t>
      </w:r>
      <w:r w:rsidR="005F0571" w:rsidRPr="00C82BBD">
        <w:rPr>
          <w:rFonts w:ascii="Garamond" w:hAnsi="Garamond" w:cs="Arial"/>
        </w:rPr>
        <w:t>ve</w:t>
      </w:r>
      <w:r w:rsidR="00926D92" w:rsidRPr="00C82BBD">
        <w:rPr>
          <w:rFonts w:ascii="Garamond" w:hAnsi="Garamond" w:cs="Arial"/>
        </w:rPr>
        <w:t xml:space="preserve">. </w:t>
      </w:r>
      <w:r w:rsidR="00FE20F2" w:rsidRPr="00C82BBD">
        <w:rPr>
          <w:rFonts w:ascii="Garamond" w:hAnsi="Garamond" w:cs="Arial"/>
        </w:rPr>
        <w:t>While t</w:t>
      </w:r>
      <w:r w:rsidR="001312A1" w:rsidRPr="00C82BBD">
        <w:rPr>
          <w:rFonts w:ascii="Garamond" w:hAnsi="Garamond" w:cs="Arial"/>
        </w:rPr>
        <w:t>h</w:t>
      </w:r>
      <w:r w:rsidR="00FE20F2" w:rsidRPr="00C82BBD">
        <w:rPr>
          <w:rFonts w:ascii="Garamond" w:hAnsi="Garamond" w:cs="Arial"/>
        </w:rPr>
        <w:t>e</w:t>
      </w:r>
      <w:r w:rsidR="001312A1" w:rsidRPr="00C82BBD">
        <w:rPr>
          <w:rFonts w:ascii="Garamond" w:hAnsi="Garamond" w:cs="Arial"/>
        </w:rPr>
        <w:t xml:space="preserve"> dynamic </w:t>
      </w:r>
      <w:r w:rsidR="00FE20F2" w:rsidRPr="00C82BBD">
        <w:rPr>
          <w:rFonts w:ascii="Garamond" w:hAnsi="Garamond" w:cs="Arial"/>
        </w:rPr>
        <w:t>Faulkner-</w:t>
      </w:r>
      <w:proofErr w:type="spellStart"/>
      <w:r w:rsidR="00FE20F2" w:rsidRPr="00C82BBD">
        <w:rPr>
          <w:rFonts w:ascii="Garamond" w:hAnsi="Garamond" w:cs="Arial"/>
        </w:rPr>
        <w:t>Gurstein</w:t>
      </w:r>
      <w:proofErr w:type="spellEnd"/>
      <w:r w:rsidR="00FE20F2" w:rsidRPr="00C82BBD">
        <w:rPr>
          <w:rFonts w:ascii="Garamond" w:hAnsi="Garamond" w:cs="Arial"/>
        </w:rPr>
        <w:t xml:space="preserve"> (2017) identifies could be said </w:t>
      </w:r>
      <w:r w:rsidR="001312A1" w:rsidRPr="00C82BBD">
        <w:rPr>
          <w:rFonts w:ascii="Garamond" w:hAnsi="Garamond" w:cs="Arial"/>
        </w:rPr>
        <w:t>to reposition people who consume opioids with positive social identities</w:t>
      </w:r>
      <w:r w:rsidR="00FE20F2" w:rsidRPr="00C82BBD">
        <w:rPr>
          <w:rFonts w:ascii="Garamond" w:hAnsi="Garamond" w:cs="Arial"/>
        </w:rPr>
        <w:t>,</w:t>
      </w:r>
      <w:r w:rsidR="001312A1" w:rsidRPr="00C82BBD">
        <w:rPr>
          <w:rFonts w:ascii="Garamond" w:hAnsi="Garamond" w:cs="Arial"/>
        </w:rPr>
        <w:t xml:space="preserve"> and potentially alleviate stigma (</w:t>
      </w:r>
      <w:r w:rsidR="00FE20F2" w:rsidRPr="00C82BBD">
        <w:rPr>
          <w:rFonts w:ascii="Garamond" w:hAnsi="Garamond" w:cs="Arial"/>
        </w:rPr>
        <w:t xml:space="preserve">see also </w:t>
      </w:r>
      <w:r w:rsidR="001312A1" w:rsidRPr="00C82BBD">
        <w:rPr>
          <w:rFonts w:ascii="Garamond" w:hAnsi="Garamond" w:cs="Arial"/>
        </w:rPr>
        <w:t xml:space="preserve">Buchman, </w:t>
      </w:r>
      <w:proofErr w:type="spellStart"/>
      <w:r w:rsidR="001312A1" w:rsidRPr="00C82BBD">
        <w:rPr>
          <w:rFonts w:ascii="Garamond" w:hAnsi="Garamond" w:cs="Arial"/>
        </w:rPr>
        <w:t>Leece</w:t>
      </w:r>
      <w:proofErr w:type="spellEnd"/>
      <w:r w:rsidR="001312A1" w:rsidRPr="00C82BBD">
        <w:rPr>
          <w:rFonts w:ascii="Garamond" w:hAnsi="Garamond" w:cs="Arial"/>
        </w:rPr>
        <w:t xml:space="preserve"> &amp; Orkin 2017)</w:t>
      </w:r>
      <w:r w:rsidR="00FE20F2" w:rsidRPr="00C82BBD">
        <w:rPr>
          <w:rFonts w:ascii="Garamond" w:hAnsi="Garamond" w:cs="Arial"/>
        </w:rPr>
        <w:t>,</w:t>
      </w:r>
      <w:r w:rsidR="00F62934" w:rsidRPr="00C82BBD">
        <w:rPr>
          <w:rFonts w:ascii="Garamond" w:hAnsi="Garamond" w:cs="Arial"/>
        </w:rPr>
        <w:t xml:space="preserve"> take-home naloxone programs</w:t>
      </w:r>
      <w:r w:rsidR="00FE20F2" w:rsidRPr="00C82BBD">
        <w:rPr>
          <w:rFonts w:ascii="Garamond" w:hAnsi="Garamond" w:cs="Arial"/>
        </w:rPr>
        <w:t xml:space="preserve"> are also open to criticism as</w:t>
      </w:r>
      <w:r w:rsidR="00812A8C" w:rsidRPr="00C82BBD">
        <w:rPr>
          <w:rFonts w:ascii="Garamond" w:hAnsi="Garamond" w:cs="Arial"/>
        </w:rPr>
        <w:t xml:space="preserve"> </w:t>
      </w:r>
      <w:proofErr w:type="spellStart"/>
      <w:r w:rsidR="00812A8C" w:rsidRPr="00C82BBD">
        <w:rPr>
          <w:rFonts w:ascii="Garamond" w:hAnsi="Garamond" w:cs="Arial"/>
        </w:rPr>
        <w:t>responsibilis</w:t>
      </w:r>
      <w:r w:rsidR="00FE20F2" w:rsidRPr="00C82BBD">
        <w:rPr>
          <w:rFonts w:ascii="Garamond" w:hAnsi="Garamond" w:cs="Arial"/>
        </w:rPr>
        <w:t>ing</w:t>
      </w:r>
      <w:proofErr w:type="spellEnd"/>
      <w:r w:rsidR="00812A8C" w:rsidRPr="00C82BBD">
        <w:rPr>
          <w:rFonts w:ascii="Garamond" w:hAnsi="Garamond" w:cs="Arial"/>
        </w:rPr>
        <w:t xml:space="preserve"> </w:t>
      </w:r>
      <w:r w:rsidR="00FE20F2" w:rsidRPr="00C82BBD">
        <w:rPr>
          <w:rFonts w:ascii="Garamond" w:hAnsi="Garamond" w:cs="Arial"/>
        </w:rPr>
        <w:t xml:space="preserve">the </w:t>
      </w:r>
      <w:proofErr w:type="spellStart"/>
      <w:r w:rsidR="00812A8C" w:rsidRPr="00C82BBD">
        <w:rPr>
          <w:rFonts w:ascii="Garamond" w:hAnsi="Garamond" w:cs="Arial"/>
        </w:rPr>
        <w:t>marginalis</w:t>
      </w:r>
      <w:r w:rsidR="00F62934" w:rsidRPr="00C82BBD">
        <w:rPr>
          <w:rFonts w:ascii="Garamond" w:hAnsi="Garamond" w:cs="Arial"/>
        </w:rPr>
        <w:t>ed</w:t>
      </w:r>
      <w:proofErr w:type="spellEnd"/>
      <w:r w:rsidR="00F62934" w:rsidRPr="00C82BBD">
        <w:rPr>
          <w:rFonts w:ascii="Garamond" w:hAnsi="Garamond" w:cs="Arial"/>
        </w:rPr>
        <w:t xml:space="preserve"> for</w:t>
      </w:r>
      <w:r w:rsidR="00FE20F2" w:rsidRPr="00C82BBD">
        <w:rPr>
          <w:rFonts w:ascii="Garamond" w:hAnsi="Garamond" w:cs="Arial"/>
        </w:rPr>
        <w:t xml:space="preserve"> combatting harms exacerbated</w:t>
      </w:r>
      <w:r w:rsidR="00926D92" w:rsidRPr="00C82BBD">
        <w:rPr>
          <w:rFonts w:ascii="Garamond" w:hAnsi="Garamond" w:cs="Arial"/>
        </w:rPr>
        <w:t xml:space="preserve">, if not produced, </w:t>
      </w:r>
      <w:r w:rsidR="00727AB0" w:rsidRPr="00C82BBD">
        <w:rPr>
          <w:rFonts w:ascii="Garamond" w:hAnsi="Garamond" w:cs="Arial"/>
        </w:rPr>
        <w:t xml:space="preserve">by </w:t>
      </w:r>
      <w:r w:rsidR="00F62934" w:rsidRPr="00C82BBD">
        <w:rPr>
          <w:rFonts w:ascii="Garamond" w:hAnsi="Garamond" w:cs="Arial"/>
        </w:rPr>
        <w:t>structural inequality and prohibitionist drug policies</w:t>
      </w:r>
      <w:r w:rsidR="008A1BCF" w:rsidRPr="00C82BBD">
        <w:rPr>
          <w:rFonts w:ascii="Garamond" w:hAnsi="Garamond" w:cs="Arial"/>
        </w:rPr>
        <w:t xml:space="preserve"> (Farrugia, Fraser</w:t>
      </w:r>
      <w:r w:rsidR="00031211" w:rsidRPr="00C82BBD">
        <w:rPr>
          <w:rFonts w:ascii="Garamond" w:hAnsi="Garamond" w:cs="Arial"/>
        </w:rPr>
        <w:t xml:space="preserve"> &amp; Dwyer 2017</w:t>
      </w:r>
      <w:r w:rsidR="00186E58" w:rsidRPr="00C82BBD">
        <w:rPr>
          <w:rFonts w:ascii="Garamond" w:hAnsi="Garamond" w:cs="Arial"/>
        </w:rPr>
        <w:t>, Buchman et al 2018</w:t>
      </w:r>
      <w:r w:rsidR="00031211" w:rsidRPr="00C82BBD">
        <w:rPr>
          <w:rFonts w:ascii="Garamond" w:hAnsi="Garamond" w:cs="Arial"/>
        </w:rPr>
        <w:t>)</w:t>
      </w:r>
      <w:r w:rsidR="00F62934" w:rsidRPr="00C82BBD">
        <w:rPr>
          <w:rFonts w:ascii="Garamond" w:hAnsi="Garamond" w:cs="Arial"/>
        </w:rPr>
        <w:t xml:space="preserve">. That is, the </w:t>
      </w:r>
      <w:r w:rsidR="00812A8C" w:rsidRPr="00C82BBD">
        <w:rPr>
          <w:rFonts w:ascii="Garamond" w:hAnsi="Garamond" w:cs="Arial"/>
        </w:rPr>
        <w:t>intervention</w:t>
      </w:r>
      <w:r w:rsidR="00F62934" w:rsidRPr="00C82BBD">
        <w:rPr>
          <w:rFonts w:ascii="Garamond" w:hAnsi="Garamond" w:cs="Arial"/>
        </w:rPr>
        <w:t xml:space="preserve"> does </w:t>
      </w:r>
      <w:r w:rsidR="00812A8C" w:rsidRPr="00C82BBD">
        <w:rPr>
          <w:rFonts w:ascii="Garamond" w:hAnsi="Garamond" w:cs="Arial"/>
        </w:rPr>
        <w:t>little</w:t>
      </w:r>
      <w:r w:rsidR="00F62934" w:rsidRPr="00C82BBD">
        <w:rPr>
          <w:rFonts w:ascii="Garamond" w:hAnsi="Garamond" w:cs="Arial"/>
        </w:rPr>
        <w:t xml:space="preserve"> to address the social production of ov</w:t>
      </w:r>
      <w:r w:rsidR="00727AB0" w:rsidRPr="00C82BBD">
        <w:rPr>
          <w:rFonts w:ascii="Garamond" w:hAnsi="Garamond" w:cs="Arial"/>
        </w:rPr>
        <w:t>erdose to begin wit</w:t>
      </w:r>
      <w:r w:rsidR="00FE20F2" w:rsidRPr="00C82BBD">
        <w:rPr>
          <w:rFonts w:ascii="Garamond" w:hAnsi="Garamond" w:cs="Arial"/>
        </w:rPr>
        <w:t>h</w:t>
      </w:r>
      <w:r w:rsidR="00DA2315" w:rsidRPr="00C82BBD">
        <w:rPr>
          <w:rFonts w:ascii="Garamond" w:hAnsi="Garamond" w:cs="Arial"/>
        </w:rPr>
        <w:t xml:space="preserve"> and has limited potential without other interventions to address political-economic issues that shape the contexts in which the </w:t>
      </w:r>
      <w:r w:rsidR="006335E2" w:rsidRPr="00C82BBD">
        <w:rPr>
          <w:rFonts w:ascii="Garamond" w:hAnsi="Garamond" w:cs="Arial"/>
        </w:rPr>
        <w:t xml:space="preserve">take-home naloxone </w:t>
      </w:r>
      <w:r w:rsidR="00DA2315" w:rsidRPr="00C82BBD">
        <w:rPr>
          <w:rFonts w:ascii="Garamond" w:hAnsi="Garamond" w:cs="Arial"/>
        </w:rPr>
        <w:t xml:space="preserve">is made available (McLean 2016). </w:t>
      </w:r>
      <w:r w:rsidR="00727AB0" w:rsidRPr="00C82BBD">
        <w:rPr>
          <w:rFonts w:ascii="Garamond" w:hAnsi="Garamond" w:cs="Arial"/>
          <w:lang w:val="en-AU"/>
        </w:rPr>
        <w:t>Th</w:t>
      </w:r>
      <w:r w:rsidR="006335E2" w:rsidRPr="00C82BBD">
        <w:rPr>
          <w:rFonts w:ascii="Garamond" w:hAnsi="Garamond" w:cs="Arial"/>
          <w:lang w:val="en-AU"/>
        </w:rPr>
        <w:t>e</w:t>
      </w:r>
      <w:r w:rsidR="00727AB0" w:rsidRPr="00C82BBD">
        <w:rPr>
          <w:rFonts w:ascii="Garamond" w:hAnsi="Garamond" w:cs="Arial"/>
          <w:lang w:val="en-AU"/>
        </w:rPr>
        <w:t xml:space="preserve"> small corpus of</w:t>
      </w:r>
      <w:r w:rsidR="006335E2" w:rsidRPr="00C82BBD">
        <w:rPr>
          <w:rFonts w:ascii="Garamond" w:hAnsi="Garamond" w:cs="Arial"/>
          <w:lang w:val="en-AU"/>
        </w:rPr>
        <w:t xml:space="preserve"> studies discussed</w:t>
      </w:r>
      <w:r w:rsidR="00DD706A" w:rsidRPr="00C82BBD">
        <w:rPr>
          <w:rFonts w:ascii="Garamond" w:hAnsi="Garamond" w:cs="Arial"/>
          <w:lang w:val="en-AU"/>
        </w:rPr>
        <w:t xml:space="preserve"> above</w:t>
      </w:r>
      <w:r w:rsidR="00727AB0" w:rsidRPr="00C82BBD">
        <w:rPr>
          <w:rFonts w:ascii="Garamond" w:hAnsi="Garamond" w:cs="Arial"/>
          <w:lang w:val="en-AU"/>
        </w:rPr>
        <w:t xml:space="preserve"> emphasises the importance of social relations </w:t>
      </w:r>
      <w:r w:rsidR="00FE20F2" w:rsidRPr="00C82BBD">
        <w:rPr>
          <w:rFonts w:ascii="Garamond" w:hAnsi="Garamond" w:cs="Arial"/>
          <w:lang w:val="en-AU"/>
        </w:rPr>
        <w:t xml:space="preserve">in </w:t>
      </w:r>
      <w:r w:rsidR="00727AB0" w:rsidRPr="00C82BBD">
        <w:rPr>
          <w:rFonts w:ascii="Garamond" w:hAnsi="Garamond" w:cs="Arial"/>
          <w:lang w:val="en-AU"/>
        </w:rPr>
        <w:t>shap</w:t>
      </w:r>
      <w:r w:rsidR="00FE20F2" w:rsidRPr="00C82BBD">
        <w:rPr>
          <w:rFonts w:ascii="Garamond" w:hAnsi="Garamond" w:cs="Arial"/>
          <w:lang w:val="en-AU"/>
        </w:rPr>
        <w:t>ing</w:t>
      </w:r>
      <w:r w:rsidR="00727AB0" w:rsidRPr="00C82BBD">
        <w:rPr>
          <w:rFonts w:ascii="Garamond" w:hAnsi="Garamond" w:cs="Arial"/>
          <w:lang w:val="en-AU"/>
        </w:rPr>
        <w:t xml:space="preserve"> </w:t>
      </w:r>
      <w:r w:rsidR="00FE20F2" w:rsidRPr="00C82BBD">
        <w:rPr>
          <w:rFonts w:ascii="Garamond" w:hAnsi="Garamond" w:cs="Arial"/>
          <w:lang w:val="en-AU"/>
        </w:rPr>
        <w:t xml:space="preserve">take-home naloxone </w:t>
      </w:r>
      <w:r w:rsidR="00DD706A" w:rsidRPr="00C82BBD">
        <w:rPr>
          <w:rFonts w:ascii="Garamond" w:hAnsi="Garamond" w:cs="Arial"/>
          <w:lang w:val="en-AU"/>
        </w:rPr>
        <w:t>programs</w:t>
      </w:r>
      <w:r w:rsidR="00FE20F2" w:rsidRPr="00C82BBD">
        <w:rPr>
          <w:rFonts w:ascii="Garamond" w:hAnsi="Garamond" w:cs="Arial"/>
          <w:lang w:val="en-AU"/>
        </w:rPr>
        <w:t>, pointing to key are</w:t>
      </w:r>
      <w:r w:rsidR="00541C19" w:rsidRPr="00C82BBD">
        <w:rPr>
          <w:rFonts w:ascii="Garamond" w:hAnsi="Garamond" w:cs="Arial"/>
          <w:lang w:val="en-AU"/>
        </w:rPr>
        <w:t>a</w:t>
      </w:r>
      <w:r w:rsidR="00FE20F2" w:rsidRPr="00C82BBD">
        <w:rPr>
          <w:rFonts w:ascii="Garamond" w:hAnsi="Garamond" w:cs="Arial"/>
          <w:lang w:val="en-AU"/>
        </w:rPr>
        <w:t xml:space="preserve">s for consideration. </w:t>
      </w:r>
      <w:r w:rsidR="001E69CF" w:rsidRPr="00C82BBD">
        <w:rPr>
          <w:rFonts w:ascii="Garamond" w:hAnsi="Garamond" w:cs="Arial"/>
          <w:lang w:val="en-AU"/>
        </w:rPr>
        <w:t>However, f</w:t>
      </w:r>
      <w:r w:rsidR="00FE20F2" w:rsidRPr="00C82BBD">
        <w:rPr>
          <w:rFonts w:ascii="Garamond" w:hAnsi="Garamond" w:cs="Arial"/>
          <w:lang w:val="en-AU"/>
        </w:rPr>
        <w:t>urther exploration of</w:t>
      </w:r>
      <w:r w:rsidR="00DF23C6" w:rsidRPr="00C82BBD">
        <w:rPr>
          <w:rFonts w:ascii="Garamond" w:hAnsi="Garamond" w:cs="Arial"/>
          <w:lang w:val="en-AU"/>
        </w:rPr>
        <w:t xml:space="preserve"> how the technology shapes and is re-shaped by </w:t>
      </w:r>
      <w:r w:rsidR="00FE20F2" w:rsidRPr="00C82BBD">
        <w:rPr>
          <w:rFonts w:ascii="Garamond" w:hAnsi="Garamond" w:cs="Arial"/>
          <w:lang w:val="en-AU"/>
        </w:rPr>
        <w:t>social</w:t>
      </w:r>
      <w:r w:rsidR="00DF23C6" w:rsidRPr="00C82BBD">
        <w:rPr>
          <w:rFonts w:ascii="Garamond" w:hAnsi="Garamond" w:cs="Arial"/>
          <w:lang w:val="en-AU"/>
        </w:rPr>
        <w:t xml:space="preserve"> relationships</w:t>
      </w:r>
      <w:r w:rsidR="00541C19" w:rsidRPr="00C82BBD">
        <w:rPr>
          <w:rFonts w:ascii="Garamond" w:hAnsi="Garamond" w:cs="Arial"/>
          <w:lang w:val="en-AU"/>
        </w:rPr>
        <w:t xml:space="preserve"> is required, especially in relation to its political implications.</w:t>
      </w:r>
    </w:p>
    <w:p w14:paraId="1DD842AB" w14:textId="77777777" w:rsidR="00541C19" w:rsidRPr="00C82BBD" w:rsidRDefault="00541C19" w:rsidP="00C82BBD">
      <w:pPr>
        <w:autoSpaceDE w:val="0"/>
        <w:autoSpaceDN w:val="0"/>
        <w:adjustRightInd w:val="0"/>
        <w:spacing w:after="0" w:line="480" w:lineRule="auto"/>
        <w:rPr>
          <w:rFonts w:ascii="Garamond" w:hAnsi="Garamond" w:cs="AdvP7B6C"/>
          <w:lang w:val="en-AU"/>
        </w:rPr>
      </w:pPr>
    </w:p>
    <w:p w14:paraId="29F2898E" w14:textId="11E85938" w:rsidR="00425724" w:rsidRDefault="00541C19" w:rsidP="009C235C">
      <w:pPr>
        <w:autoSpaceDE w:val="0"/>
        <w:autoSpaceDN w:val="0"/>
        <w:adjustRightInd w:val="0"/>
        <w:spacing w:after="0" w:line="480" w:lineRule="auto"/>
        <w:rPr>
          <w:rFonts w:ascii="Garamond" w:hAnsi="Garamond" w:cs="Arial"/>
          <w:lang w:val="en-AU"/>
        </w:rPr>
      </w:pPr>
      <w:r w:rsidRPr="00C82BBD">
        <w:rPr>
          <w:rFonts w:ascii="Garamond" w:hAnsi="Garamond" w:cs="Arial"/>
        </w:rPr>
        <w:t>Making a different but equally socially oriented point, Neale and Strang (2015) argue that unless naloxone is</w:t>
      </w:r>
      <w:r w:rsidRPr="00C82BBD">
        <w:rPr>
          <w:rFonts w:ascii="Garamond" w:hAnsi="Garamond" w:cs="Arial"/>
          <w:lang w:val="en-AU"/>
        </w:rPr>
        <w:t xml:space="preserve"> administered with a high level of care and concern,</w:t>
      </w:r>
      <w:r w:rsidR="00A10871" w:rsidRPr="00C82BBD">
        <w:rPr>
          <w:rFonts w:ascii="Garamond" w:hAnsi="Garamond" w:cs="Arial"/>
          <w:lang w:val="en-AU"/>
        </w:rPr>
        <w:t xml:space="preserve"> issues such as excessive dosing can ‘</w:t>
      </w:r>
      <w:r w:rsidR="00A10871" w:rsidRPr="00C82BBD">
        <w:rPr>
          <w:rFonts w:ascii="Garamond" w:hAnsi="Garamond" w:cs="AdvTTc7ad1622"/>
          <w:lang w:val="en-AU"/>
        </w:rPr>
        <w:t>result in reputational damage to the emergency services and their resuscitation efforts, such that […] naloxone is transformed from a life-saving medication delivered by caring practitioners into a painful and withdrawal-precipitating punishment administered by a hostile work-force’ (1649).</w:t>
      </w:r>
      <w:r w:rsidR="0089568F" w:rsidRPr="00C82BBD">
        <w:rPr>
          <w:rFonts w:ascii="Garamond" w:hAnsi="Garamond" w:cs="AdvTTc7ad1622"/>
          <w:lang w:val="en-AU"/>
        </w:rPr>
        <w:t xml:space="preserve"> Importantly, such </w:t>
      </w:r>
      <w:r w:rsidR="00DD706A" w:rsidRPr="00C82BBD">
        <w:rPr>
          <w:rFonts w:ascii="Garamond" w:hAnsi="Garamond" w:cs="AdvTTc7ad1622"/>
          <w:lang w:val="en-AU"/>
        </w:rPr>
        <w:t>effects</w:t>
      </w:r>
      <w:r w:rsidR="0089568F" w:rsidRPr="00C82BBD">
        <w:rPr>
          <w:rFonts w:ascii="Garamond" w:hAnsi="Garamond" w:cs="AdvTTc7ad1622"/>
          <w:lang w:val="en-AU"/>
        </w:rPr>
        <w:t xml:space="preserve"> can shape future practices in ways that</w:t>
      </w:r>
      <w:r w:rsidR="00A67A6E" w:rsidRPr="00C82BBD">
        <w:rPr>
          <w:rFonts w:ascii="Garamond" w:hAnsi="Garamond" w:cs="AdvTTc7ad1622"/>
          <w:lang w:val="en-AU"/>
        </w:rPr>
        <w:t xml:space="preserve"> </w:t>
      </w:r>
      <w:r w:rsidR="0089568F" w:rsidRPr="00C82BBD">
        <w:rPr>
          <w:rFonts w:ascii="Garamond" w:hAnsi="Garamond" w:cs="AdvTTc7ad1622"/>
          <w:lang w:val="en-AU"/>
        </w:rPr>
        <w:t xml:space="preserve">increase the dangers </w:t>
      </w:r>
      <w:r w:rsidR="00DD706A" w:rsidRPr="00C82BBD">
        <w:rPr>
          <w:rFonts w:ascii="Garamond" w:hAnsi="Garamond" w:cs="AdvTTc7ad1622"/>
          <w:lang w:val="en-AU"/>
        </w:rPr>
        <w:t>relating to</w:t>
      </w:r>
      <w:r w:rsidR="0089568F" w:rsidRPr="00C82BBD">
        <w:rPr>
          <w:rFonts w:ascii="Garamond" w:hAnsi="Garamond" w:cs="AdvTTc7ad1622"/>
          <w:lang w:val="en-AU"/>
        </w:rPr>
        <w:t xml:space="preserve"> opioid overdose (Strang et al. 2017).</w:t>
      </w:r>
    </w:p>
    <w:p w14:paraId="43D552F5" w14:textId="1C674B2E" w:rsidR="004465E7" w:rsidRPr="00A15925" w:rsidRDefault="00541C19" w:rsidP="009C235C">
      <w:pPr>
        <w:spacing w:line="480" w:lineRule="auto"/>
        <w:rPr>
          <w:lang w:eastAsia="en-AU"/>
        </w:rPr>
      </w:pPr>
      <w:r w:rsidRPr="00C82BBD">
        <w:rPr>
          <w:rFonts w:ascii="Garamond" w:hAnsi="Garamond" w:cs="Arial"/>
          <w:lang w:val="en-AU"/>
        </w:rPr>
        <w:t>Such questions of care have been identified as highly relevant to the success or otherwise of health measures</w:t>
      </w:r>
      <w:r w:rsidR="009C235C">
        <w:rPr>
          <w:rFonts w:ascii="Garamond" w:hAnsi="Garamond" w:cs="Arial"/>
          <w:lang w:val="en-AU"/>
        </w:rPr>
        <w:t xml:space="preserve"> (</w:t>
      </w:r>
      <w:r w:rsidR="009C235C">
        <w:rPr>
          <w:rFonts w:ascii="Garamond" w:hAnsi="Garamond"/>
        </w:rPr>
        <w:t>Buse, Martin &amp; Nettleton 2018</w:t>
      </w:r>
      <w:r w:rsidR="009C235C">
        <w:t xml:space="preserve">, </w:t>
      </w:r>
      <w:r w:rsidR="009C235C">
        <w:rPr>
          <w:rFonts w:ascii="Garamond" w:hAnsi="Garamond"/>
        </w:rPr>
        <w:t>Gill, Singleton &amp; Waterton, 2017)</w:t>
      </w:r>
      <w:r w:rsidRPr="00C82BBD">
        <w:rPr>
          <w:rFonts w:ascii="Garamond" w:hAnsi="Garamond" w:cs="Arial"/>
          <w:lang w:val="en-AU"/>
        </w:rPr>
        <w:t>, and r</w:t>
      </w:r>
      <w:r w:rsidR="00031211" w:rsidRPr="00C82BBD">
        <w:rPr>
          <w:rFonts w:ascii="Garamond" w:hAnsi="Garamond" w:cs="Arial"/>
          <w:lang w:val="en-AU"/>
        </w:rPr>
        <w:t>esearchers have begun</w:t>
      </w:r>
      <w:r w:rsidR="00C27E33" w:rsidRPr="00C82BBD">
        <w:rPr>
          <w:rFonts w:ascii="Garamond" w:hAnsi="Garamond" w:cs="Arial"/>
          <w:lang w:val="en-AU"/>
        </w:rPr>
        <w:t xml:space="preserve"> exploring the </w:t>
      </w:r>
      <w:r w:rsidR="00B4433E" w:rsidRPr="00C82BBD">
        <w:rPr>
          <w:rFonts w:ascii="Garamond" w:hAnsi="Garamond" w:cs="Arial"/>
          <w:lang w:val="en-AU"/>
        </w:rPr>
        <w:t>benefits</w:t>
      </w:r>
      <w:r w:rsidR="00C27E33" w:rsidRPr="00C82BBD">
        <w:rPr>
          <w:rFonts w:ascii="Garamond" w:hAnsi="Garamond" w:cs="Arial"/>
          <w:lang w:val="en-AU"/>
        </w:rPr>
        <w:t xml:space="preserve"> of focussing on care in alcohol and other drug research, policy and practice. </w:t>
      </w:r>
      <w:r w:rsidR="00821A6F" w:rsidRPr="00C82BBD">
        <w:rPr>
          <w:rFonts w:ascii="Garamond" w:hAnsi="Garamond" w:cs="Arial"/>
          <w:lang w:val="en-AU"/>
        </w:rPr>
        <w:t>Race (2008)</w:t>
      </w:r>
      <w:r w:rsidR="003A3AFA" w:rsidRPr="00C82BBD">
        <w:rPr>
          <w:rFonts w:ascii="Garamond" w:hAnsi="Garamond" w:cs="Arial"/>
          <w:lang w:val="en-AU"/>
        </w:rPr>
        <w:t>,</w:t>
      </w:r>
      <w:r w:rsidR="00821A6F" w:rsidRPr="00C82BBD">
        <w:rPr>
          <w:rFonts w:ascii="Garamond" w:hAnsi="Garamond" w:cs="Arial"/>
          <w:lang w:val="en-AU"/>
        </w:rPr>
        <w:t xml:space="preserve"> for example, argues that </w:t>
      </w:r>
      <w:r w:rsidR="003A3AFA" w:rsidRPr="00C82BBD">
        <w:rPr>
          <w:rFonts w:ascii="Garamond" w:hAnsi="Garamond" w:cs="Arial"/>
          <w:lang w:val="en-AU"/>
        </w:rPr>
        <w:t xml:space="preserve">prioritising the </w:t>
      </w:r>
      <w:r w:rsidR="00C27E33" w:rsidRPr="00C82BBD">
        <w:rPr>
          <w:rFonts w:ascii="Garamond" w:hAnsi="Garamond" w:cs="Arial"/>
          <w:lang w:val="en-AU"/>
        </w:rPr>
        <w:t xml:space="preserve">non-normative </w:t>
      </w:r>
      <w:r w:rsidR="00821A6F" w:rsidRPr="00C82BBD">
        <w:rPr>
          <w:rFonts w:ascii="Garamond" w:hAnsi="Garamond" w:cs="Arial"/>
          <w:lang w:val="en-AU"/>
        </w:rPr>
        <w:t>modes of care</w:t>
      </w:r>
      <w:r w:rsidR="00B4433E" w:rsidRPr="00C82BBD">
        <w:rPr>
          <w:rFonts w:ascii="Garamond" w:hAnsi="Garamond" w:cs="Arial"/>
          <w:lang w:val="en-AU"/>
        </w:rPr>
        <w:t xml:space="preserve"> already</w:t>
      </w:r>
      <w:r w:rsidR="00821A6F" w:rsidRPr="00C82BBD">
        <w:rPr>
          <w:rFonts w:ascii="Garamond" w:hAnsi="Garamond" w:cs="Arial"/>
          <w:lang w:val="en-AU"/>
        </w:rPr>
        <w:t xml:space="preserve"> </w:t>
      </w:r>
      <w:r w:rsidR="00C27E33" w:rsidRPr="00C82BBD">
        <w:rPr>
          <w:rFonts w:ascii="Garamond" w:hAnsi="Garamond" w:cs="Arial"/>
          <w:lang w:val="en-AU"/>
        </w:rPr>
        <w:t>practi</w:t>
      </w:r>
      <w:r w:rsidR="003A3AFA" w:rsidRPr="00C82BBD">
        <w:rPr>
          <w:rFonts w:ascii="Garamond" w:hAnsi="Garamond" w:cs="Arial"/>
          <w:lang w:val="en-AU"/>
        </w:rPr>
        <w:t>s</w:t>
      </w:r>
      <w:r w:rsidR="00C27E33" w:rsidRPr="00C82BBD">
        <w:rPr>
          <w:rFonts w:ascii="Garamond" w:hAnsi="Garamond" w:cs="Arial"/>
          <w:lang w:val="en-AU"/>
        </w:rPr>
        <w:t>ed by</w:t>
      </w:r>
      <w:r w:rsidR="00821A6F" w:rsidRPr="00C82BBD">
        <w:rPr>
          <w:rFonts w:ascii="Garamond" w:hAnsi="Garamond" w:cs="Arial"/>
          <w:lang w:val="en-AU"/>
        </w:rPr>
        <w:t xml:space="preserve"> people who consume drugs</w:t>
      </w:r>
      <w:r w:rsidR="001E69CF" w:rsidRPr="00C82BBD">
        <w:rPr>
          <w:rFonts w:ascii="Garamond" w:hAnsi="Garamond" w:cs="Arial"/>
          <w:lang w:val="en-AU"/>
        </w:rPr>
        <w:t xml:space="preserve"> has significant harm reducing potential</w:t>
      </w:r>
      <w:r w:rsidR="00C27E33" w:rsidRPr="00C82BBD">
        <w:rPr>
          <w:rFonts w:ascii="Garamond" w:hAnsi="Garamond" w:cs="Arial"/>
          <w:lang w:val="en-AU"/>
        </w:rPr>
        <w:t>. Similarly</w:t>
      </w:r>
      <w:r w:rsidR="00FE0D2F" w:rsidRPr="00C82BBD">
        <w:rPr>
          <w:rFonts w:ascii="Garamond" w:hAnsi="Garamond" w:cs="Arial"/>
          <w:lang w:val="en-AU"/>
        </w:rPr>
        <w:t xml:space="preserve">, research on injecting practices </w:t>
      </w:r>
      <w:r w:rsidR="00FE0D2F" w:rsidRPr="00C82BBD">
        <w:rPr>
          <w:rFonts w:ascii="Garamond" w:hAnsi="Garamond" w:cs="Arial"/>
          <w:lang w:val="en-AU"/>
        </w:rPr>
        <w:lastRenderedPageBreak/>
        <w:t>within inti</w:t>
      </w:r>
      <w:r w:rsidR="00B4433E" w:rsidRPr="00C82BBD">
        <w:rPr>
          <w:rFonts w:ascii="Garamond" w:hAnsi="Garamond" w:cs="Arial"/>
          <w:lang w:val="en-AU"/>
        </w:rPr>
        <w:t>mate relationships emphasises how</w:t>
      </w:r>
      <w:r w:rsidR="00FE0D2F" w:rsidRPr="00C82BBD">
        <w:rPr>
          <w:rFonts w:ascii="Garamond" w:hAnsi="Garamond" w:cs="Arial"/>
          <w:lang w:val="en-AU"/>
        </w:rPr>
        <w:t xml:space="preserve"> practices of care shape </w:t>
      </w:r>
      <w:r w:rsidR="00B4433E" w:rsidRPr="00C82BBD">
        <w:rPr>
          <w:rFonts w:ascii="Garamond" w:hAnsi="Garamond" w:cs="Arial"/>
          <w:lang w:val="en-AU"/>
        </w:rPr>
        <w:t xml:space="preserve">the </w:t>
      </w:r>
      <w:r w:rsidR="00FE0D2F" w:rsidRPr="00C82BBD">
        <w:rPr>
          <w:rFonts w:ascii="Garamond" w:hAnsi="Garamond" w:cs="Arial"/>
          <w:lang w:val="en-AU"/>
        </w:rPr>
        <w:t>shar</w:t>
      </w:r>
      <w:r w:rsidR="00B4433E" w:rsidRPr="00C82BBD">
        <w:rPr>
          <w:rFonts w:ascii="Garamond" w:hAnsi="Garamond" w:cs="Arial"/>
          <w:lang w:val="en-AU"/>
        </w:rPr>
        <w:t>ing of</w:t>
      </w:r>
      <w:r w:rsidR="00FE0D2F" w:rsidRPr="00C82BBD">
        <w:rPr>
          <w:rFonts w:ascii="Garamond" w:hAnsi="Garamond" w:cs="Arial"/>
          <w:lang w:val="en-AU"/>
        </w:rPr>
        <w:t xml:space="preserve"> injecting </w:t>
      </w:r>
      <w:r w:rsidR="00FE0D2F" w:rsidRPr="00A15925">
        <w:rPr>
          <w:rFonts w:ascii="Garamond" w:hAnsi="Garamond" w:cs="Arial"/>
          <w:lang w:val="en-AU"/>
        </w:rPr>
        <w:t>equipment (Fraser, Rance &amp; Treloar 2016).</w:t>
      </w:r>
      <w:r w:rsidR="00246FC6" w:rsidRPr="00A15925">
        <w:rPr>
          <w:rFonts w:ascii="Garamond" w:hAnsi="Garamond" w:cs="Arial"/>
          <w:lang w:val="en-AU"/>
        </w:rPr>
        <w:t xml:space="preserve"> </w:t>
      </w:r>
      <w:r w:rsidR="00425724" w:rsidRPr="00A15925">
        <w:rPr>
          <w:rFonts w:ascii="Garamond" w:hAnsi="Garamond" w:cs="Arial"/>
          <w:lang w:val="en-AU"/>
        </w:rPr>
        <w:t xml:space="preserve">Other researchers explore </w:t>
      </w:r>
      <w:r w:rsidR="00A15925">
        <w:rPr>
          <w:rFonts w:ascii="Garamond" w:hAnsi="Garamond" w:cs="Arial"/>
          <w:lang w:val="en-AU"/>
        </w:rPr>
        <w:t xml:space="preserve">care in alcohol and other drug service provision. For example, </w:t>
      </w:r>
      <w:r w:rsidR="00A15925" w:rsidRPr="00A15925">
        <w:rPr>
          <w:rFonts w:ascii="Garamond" w:hAnsi="Garamond" w:cs="Arial"/>
          <w:lang w:val="en-AU"/>
        </w:rPr>
        <w:t>Leppo &amp; Per</w:t>
      </w:r>
      <w:proofErr w:type="spellStart"/>
      <w:r w:rsidR="00A15925" w:rsidRPr="00A15925">
        <w:rPr>
          <w:rFonts w:ascii="Garamond" w:hAnsi="Garamond"/>
          <w:bdr w:val="none" w:sz="0" w:space="0" w:color="auto" w:frame="1"/>
          <w:lang w:eastAsia="en-AU"/>
        </w:rPr>
        <w:t>ä</w:t>
      </w:r>
      <w:r w:rsidR="00A15925" w:rsidRPr="00A15925">
        <w:rPr>
          <w:rFonts w:ascii="Garamond" w:hAnsi="Garamond"/>
          <w:lang w:eastAsia="en-AU"/>
        </w:rPr>
        <w:t>la</w:t>
      </w:r>
      <w:proofErr w:type="spellEnd"/>
      <w:r w:rsidR="00A15925" w:rsidRPr="00A15925">
        <w:rPr>
          <w:rFonts w:ascii="Garamond" w:hAnsi="Garamond"/>
          <w:lang w:eastAsia="en-AU"/>
        </w:rPr>
        <w:t xml:space="preserve"> </w:t>
      </w:r>
      <w:r w:rsidR="00A15925">
        <w:rPr>
          <w:rFonts w:ascii="Garamond" w:hAnsi="Garamond"/>
          <w:lang w:eastAsia="en-AU"/>
        </w:rPr>
        <w:t>(</w:t>
      </w:r>
      <w:r w:rsidR="00A15925" w:rsidRPr="00A15925">
        <w:rPr>
          <w:rFonts w:ascii="Garamond" w:hAnsi="Garamond"/>
          <w:lang w:eastAsia="en-AU"/>
        </w:rPr>
        <w:t>2017</w:t>
      </w:r>
      <w:r w:rsidR="00A15925">
        <w:rPr>
          <w:rFonts w:ascii="Garamond" w:hAnsi="Garamond"/>
          <w:lang w:eastAsia="en-AU"/>
        </w:rPr>
        <w:t xml:space="preserve">) </w:t>
      </w:r>
      <w:proofErr w:type="spellStart"/>
      <w:r w:rsidR="00A15925">
        <w:rPr>
          <w:rFonts w:ascii="Garamond" w:hAnsi="Garamond"/>
          <w:lang w:eastAsia="en-AU"/>
        </w:rPr>
        <w:t>analyse</w:t>
      </w:r>
      <w:proofErr w:type="spellEnd"/>
      <w:r w:rsidR="00A15925">
        <w:rPr>
          <w:rFonts w:ascii="Garamond" w:hAnsi="Garamond"/>
          <w:lang w:eastAsia="en-AU"/>
        </w:rPr>
        <w:t xml:space="preserve"> the</w:t>
      </w:r>
      <w:r w:rsidR="00A15925">
        <w:rPr>
          <w:rFonts w:ascii="Garamond" w:hAnsi="Garamond" w:cs="Arial"/>
          <w:lang w:val="en-AU"/>
        </w:rPr>
        <w:t xml:space="preserve"> relational production of</w:t>
      </w:r>
      <w:r w:rsidR="00A15925" w:rsidRPr="00A15925">
        <w:rPr>
          <w:rFonts w:ascii="Garamond" w:hAnsi="Garamond" w:cs="Arial"/>
          <w:lang w:val="en-AU"/>
        </w:rPr>
        <w:t xml:space="preserve"> care practices in opioid substitution treatment and how they may be restricted by austere funding arrangements</w:t>
      </w:r>
      <w:r w:rsidR="00035023">
        <w:rPr>
          <w:rFonts w:ascii="Garamond" w:hAnsi="Garamond" w:cs="Arial"/>
          <w:lang w:val="en-AU"/>
        </w:rPr>
        <w:t>,</w:t>
      </w:r>
      <w:r w:rsidR="00A15925">
        <w:rPr>
          <w:rFonts w:ascii="Garamond" w:hAnsi="Garamond" w:cs="Arial"/>
          <w:lang w:val="en-AU"/>
        </w:rPr>
        <w:t xml:space="preserve"> while </w:t>
      </w:r>
      <w:r w:rsidR="00A15925" w:rsidRPr="00A15925">
        <w:rPr>
          <w:rFonts w:ascii="Garamond" w:hAnsi="Garamond" w:cs="Arial"/>
          <w:lang w:val="en-AU"/>
        </w:rPr>
        <w:t>Per</w:t>
      </w:r>
      <w:proofErr w:type="spellStart"/>
      <w:r w:rsidR="00A15925" w:rsidRPr="00A15925">
        <w:rPr>
          <w:rFonts w:ascii="Garamond" w:hAnsi="Garamond"/>
          <w:bdr w:val="none" w:sz="0" w:space="0" w:color="auto" w:frame="1"/>
          <w:lang w:eastAsia="en-AU"/>
        </w:rPr>
        <w:t>ä</w:t>
      </w:r>
      <w:r w:rsidR="00A15925" w:rsidRPr="00A15925">
        <w:rPr>
          <w:rFonts w:ascii="Garamond" w:hAnsi="Garamond"/>
          <w:lang w:eastAsia="en-AU"/>
        </w:rPr>
        <w:t>la</w:t>
      </w:r>
      <w:proofErr w:type="spellEnd"/>
      <w:r w:rsidR="00A15925">
        <w:rPr>
          <w:rFonts w:ascii="Garamond" w:hAnsi="Garamond"/>
          <w:lang w:eastAsia="en-AU"/>
        </w:rPr>
        <w:t xml:space="preserve"> (2015) argues </w:t>
      </w:r>
      <w:r w:rsidR="00E629AF">
        <w:rPr>
          <w:rFonts w:ascii="Garamond" w:hAnsi="Garamond"/>
          <w:lang w:eastAsia="en-AU"/>
        </w:rPr>
        <w:t xml:space="preserve">that </w:t>
      </w:r>
      <w:r w:rsidR="00A15925">
        <w:rPr>
          <w:rFonts w:ascii="Garamond" w:hAnsi="Garamond"/>
          <w:lang w:eastAsia="en-AU"/>
        </w:rPr>
        <w:t xml:space="preserve">particular </w:t>
      </w:r>
      <w:r w:rsidR="00E629AF">
        <w:rPr>
          <w:rFonts w:ascii="Garamond" w:hAnsi="Garamond"/>
          <w:lang w:eastAsia="en-AU"/>
        </w:rPr>
        <w:t>treatment approaches and practices</w:t>
      </w:r>
      <w:r w:rsidR="00A15925">
        <w:rPr>
          <w:rFonts w:ascii="Garamond" w:hAnsi="Garamond"/>
          <w:lang w:eastAsia="en-AU"/>
        </w:rPr>
        <w:t xml:space="preserve"> can </w:t>
      </w:r>
      <w:r w:rsidR="007B5864">
        <w:rPr>
          <w:rFonts w:ascii="Garamond" w:hAnsi="Garamond"/>
          <w:lang w:eastAsia="en-AU"/>
        </w:rPr>
        <w:t>offer</w:t>
      </w:r>
      <w:r w:rsidR="00A15925">
        <w:rPr>
          <w:rFonts w:ascii="Garamond" w:hAnsi="Garamond"/>
          <w:lang w:eastAsia="en-AU"/>
        </w:rPr>
        <w:t xml:space="preserve"> people who consume drugs important forms of self-care.</w:t>
      </w:r>
      <w:r w:rsidR="00A15925">
        <w:rPr>
          <w:rFonts w:ascii="Garamond" w:hAnsi="Garamond" w:cs="Arial"/>
          <w:lang w:val="en-AU"/>
        </w:rPr>
        <w:t xml:space="preserve"> Researchers have also begun to </w:t>
      </w:r>
      <w:r w:rsidR="00811A80" w:rsidRPr="00A15925">
        <w:rPr>
          <w:rFonts w:ascii="Garamond" w:hAnsi="Garamond" w:cs="Arial"/>
          <w:lang w:val="en-AU"/>
        </w:rPr>
        <w:t>explore the implications of a focus on</w:t>
      </w:r>
      <w:r w:rsidR="00246FC6" w:rsidRPr="00A15925">
        <w:rPr>
          <w:rFonts w:ascii="Garamond" w:hAnsi="Garamond" w:cs="Arial"/>
          <w:lang w:val="en-AU"/>
        </w:rPr>
        <w:t xml:space="preserve"> care for </w:t>
      </w:r>
      <w:r w:rsidR="00811A80" w:rsidRPr="00A15925">
        <w:rPr>
          <w:rFonts w:ascii="Garamond" w:hAnsi="Garamond" w:cs="Arial"/>
          <w:lang w:val="en-AU"/>
        </w:rPr>
        <w:t xml:space="preserve">alcohol and other drug </w:t>
      </w:r>
      <w:r w:rsidR="00246FC6" w:rsidRPr="00A15925">
        <w:rPr>
          <w:rFonts w:ascii="Garamond" w:hAnsi="Garamond" w:cs="Arial"/>
          <w:lang w:val="en-AU"/>
        </w:rPr>
        <w:t>policy</w:t>
      </w:r>
      <w:r w:rsidR="001E69CF" w:rsidRPr="00A15925">
        <w:rPr>
          <w:rFonts w:ascii="Garamond" w:hAnsi="Garamond" w:cs="Arial"/>
          <w:lang w:val="en-AU"/>
        </w:rPr>
        <w:t xml:space="preserve"> (e.g. Duff</w:t>
      </w:r>
      <w:r w:rsidR="001E69CF" w:rsidRPr="00C82BBD">
        <w:rPr>
          <w:rFonts w:ascii="Garamond" w:hAnsi="Garamond" w:cs="Arial"/>
          <w:lang w:val="en-AU"/>
        </w:rPr>
        <w:t xml:space="preserve"> 2015, Denn</w:t>
      </w:r>
      <w:r w:rsidR="00970345" w:rsidRPr="00C82BBD">
        <w:rPr>
          <w:rFonts w:ascii="Garamond" w:hAnsi="Garamond" w:cs="Arial"/>
          <w:lang w:val="en-AU"/>
        </w:rPr>
        <w:t>i</w:t>
      </w:r>
      <w:r w:rsidR="001E69CF" w:rsidRPr="00C82BBD">
        <w:rPr>
          <w:rFonts w:ascii="Garamond" w:hAnsi="Garamond" w:cs="Arial"/>
          <w:lang w:val="en-AU"/>
        </w:rPr>
        <w:t>s &amp; Farrugia 2017)</w:t>
      </w:r>
      <w:r w:rsidR="00FE0D2F" w:rsidRPr="00C82BBD">
        <w:rPr>
          <w:rFonts w:ascii="Garamond" w:hAnsi="Garamond" w:cs="Arial"/>
          <w:lang w:val="en-AU"/>
        </w:rPr>
        <w:t xml:space="preserve">. </w:t>
      </w:r>
      <w:r w:rsidR="00246FC6" w:rsidRPr="00C82BBD">
        <w:rPr>
          <w:rFonts w:ascii="Garamond" w:hAnsi="Garamond" w:cs="Arial"/>
          <w:lang w:val="en-AU"/>
        </w:rPr>
        <w:t xml:space="preserve">Importantly, the emergence of care in this area of research </w:t>
      </w:r>
      <w:r w:rsidR="003A3AFA" w:rsidRPr="00C82BBD">
        <w:rPr>
          <w:rFonts w:ascii="Garamond" w:hAnsi="Garamond" w:cs="Arial"/>
          <w:lang w:val="en-AU"/>
        </w:rPr>
        <w:t>has also attracted scepticism</w:t>
      </w:r>
      <w:r w:rsidR="00246FC6" w:rsidRPr="00C82BBD">
        <w:rPr>
          <w:rFonts w:ascii="Garamond" w:hAnsi="Garamond" w:cs="Arial"/>
          <w:lang w:val="en-AU"/>
        </w:rPr>
        <w:t>.</w:t>
      </w:r>
      <w:r w:rsidR="00B4433E" w:rsidRPr="00C82BBD">
        <w:rPr>
          <w:rFonts w:ascii="Garamond" w:hAnsi="Garamond" w:cs="Arial"/>
          <w:lang w:val="en-AU"/>
        </w:rPr>
        <w:t xml:space="preserve"> </w:t>
      </w:r>
      <w:r w:rsidR="00EE6EE2" w:rsidRPr="00C82BBD">
        <w:rPr>
          <w:rFonts w:ascii="Garamond" w:hAnsi="Garamond" w:cs="Arial"/>
          <w:lang w:val="en-AU"/>
        </w:rPr>
        <w:t xml:space="preserve">For example, </w:t>
      </w:r>
      <w:proofErr w:type="spellStart"/>
      <w:r w:rsidR="00B4433E" w:rsidRPr="00C82BBD">
        <w:rPr>
          <w:rFonts w:ascii="Garamond" w:hAnsi="Garamond" w:cs="Arial"/>
          <w:lang w:val="en-AU"/>
        </w:rPr>
        <w:t>Sybylla</w:t>
      </w:r>
      <w:proofErr w:type="spellEnd"/>
      <w:r w:rsidR="00B4433E" w:rsidRPr="00C82BBD">
        <w:rPr>
          <w:rFonts w:ascii="Garamond" w:hAnsi="Garamond" w:cs="Arial"/>
          <w:lang w:val="en-AU"/>
        </w:rPr>
        <w:t xml:space="preserve"> (2001) </w:t>
      </w:r>
      <w:r w:rsidR="003A3AFA" w:rsidRPr="00C82BBD">
        <w:rPr>
          <w:rFonts w:ascii="Garamond" w:hAnsi="Garamond" w:cs="Arial"/>
          <w:lang w:val="en-AU"/>
        </w:rPr>
        <w:t>identifies</w:t>
      </w:r>
      <w:r w:rsidR="00B4433E" w:rsidRPr="00C82BBD">
        <w:rPr>
          <w:rFonts w:ascii="Garamond" w:hAnsi="Garamond" w:cs="Arial"/>
          <w:lang w:val="en-AU"/>
        </w:rPr>
        <w:t xml:space="preserve"> </w:t>
      </w:r>
      <w:r w:rsidR="00811A80" w:rsidRPr="00C82BBD">
        <w:rPr>
          <w:rFonts w:ascii="Garamond" w:hAnsi="Garamond" w:cs="Arial"/>
          <w:lang w:val="en-AU"/>
        </w:rPr>
        <w:t>a disempowering</w:t>
      </w:r>
      <w:r w:rsidR="0041742C" w:rsidRPr="00C82BBD">
        <w:rPr>
          <w:rFonts w:ascii="Garamond" w:hAnsi="Garamond" w:cs="Arial"/>
          <w:lang w:val="en-AU"/>
        </w:rPr>
        <w:t xml:space="preserve"> normali</w:t>
      </w:r>
      <w:r w:rsidR="00DD706A" w:rsidRPr="00C82BBD">
        <w:rPr>
          <w:rFonts w:ascii="Garamond" w:hAnsi="Garamond" w:cs="Arial"/>
          <w:lang w:val="en-AU"/>
        </w:rPr>
        <w:t>s</w:t>
      </w:r>
      <w:r w:rsidR="0041742C" w:rsidRPr="00C82BBD">
        <w:rPr>
          <w:rFonts w:ascii="Garamond" w:hAnsi="Garamond" w:cs="Arial"/>
          <w:lang w:val="en-AU"/>
        </w:rPr>
        <w:t>ing and</w:t>
      </w:r>
      <w:r w:rsidR="00811A80" w:rsidRPr="00C82BBD">
        <w:rPr>
          <w:rFonts w:ascii="Garamond" w:hAnsi="Garamond" w:cs="Arial"/>
          <w:lang w:val="en-AU"/>
        </w:rPr>
        <w:t xml:space="preserve"> paternalistic logic at work in </w:t>
      </w:r>
      <w:r w:rsidR="003A3AFA" w:rsidRPr="00C82BBD">
        <w:rPr>
          <w:rFonts w:ascii="Garamond" w:hAnsi="Garamond" w:cs="Arial"/>
          <w:lang w:val="en-AU"/>
        </w:rPr>
        <w:t xml:space="preserve">care-oriented </w:t>
      </w:r>
      <w:r w:rsidR="00811A80" w:rsidRPr="00C82BBD">
        <w:rPr>
          <w:rFonts w:ascii="Garamond" w:hAnsi="Garamond" w:cs="Arial"/>
          <w:lang w:val="en-AU"/>
        </w:rPr>
        <w:t xml:space="preserve">policy and treatment for </w:t>
      </w:r>
      <w:r w:rsidR="003A3AFA" w:rsidRPr="00C82BBD">
        <w:rPr>
          <w:rFonts w:ascii="Garamond" w:hAnsi="Garamond" w:cs="Arial"/>
          <w:lang w:val="en-AU"/>
        </w:rPr>
        <w:t xml:space="preserve">women </w:t>
      </w:r>
      <w:r w:rsidR="00811A80" w:rsidRPr="00C82BBD">
        <w:rPr>
          <w:rFonts w:ascii="Garamond" w:hAnsi="Garamond" w:cs="Arial"/>
          <w:lang w:val="en-AU"/>
        </w:rPr>
        <w:t>consuming drugs while pregnant</w:t>
      </w:r>
      <w:r w:rsidR="00B4433E" w:rsidRPr="00C82BBD">
        <w:rPr>
          <w:rFonts w:ascii="Garamond" w:hAnsi="Garamond" w:cs="Arial"/>
          <w:lang w:val="en-AU"/>
        </w:rPr>
        <w:t>.</w:t>
      </w:r>
      <w:r w:rsidR="00246FC6" w:rsidRPr="00C82BBD">
        <w:rPr>
          <w:rFonts w:ascii="Garamond" w:hAnsi="Garamond" w:cs="Arial"/>
          <w:lang w:val="en-AU"/>
        </w:rPr>
        <w:t xml:space="preserve"> </w:t>
      </w:r>
      <w:r w:rsidR="00EE6EE2" w:rsidRPr="00C82BBD">
        <w:rPr>
          <w:rFonts w:ascii="Garamond" w:hAnsi="Garamond" w:cs="Arial"/>
          <w:lang w:val="en-AU"/>
        </w:rPr>
        <w:t>Critical approaches to care are essential to</w:t>
      </w:r>
      <w:r w:rsidR="00A55448" w:rsidRPr="00C82BBD">
        <w:rPr>
          <w:rFonts w:ascii="Garamond" w:hAnsi="Garamond" w:cs="Arial"/>
          <w:lang w:val="en-AU"/>
        </w:rPr>
        <w:t xml:space="preserve"> analysis of take-home naloxone, the subjects of which often face stigma</w:t>
      </w:r>
      <w:r w:rsidR="009A375F" w:rsidRPr="00C82BBD">
        <w:rPr>
          <w:rFonts w:ascii="Garamond" w:hAnsi="Garamond" w:cs="Arial"/>
          <w:lang w:val="en-AU"/>
        </w:rPr>
        <w:t xml:space="preserve">, </w:t>
      </w:r>
      <w:r w:rsidR="00A55448" w:rsidRPr="00C82BBD">
        <w:rPr>
          <w:rFonts w:ascii="Garamond" w:hAnsi="Garamond" w:cs="Arial"/>
          <w:lang w:val="en-AU"/>
        </w:rPr>
        <w:t>marginalisation</w:t>
      </w:r>
      <w:r w:rsidR="009A375F" w:rsidRPr="00C82BBD">
        <w:rPr>
          <w:rFonts w:ascii="Garamond" w:hAnsi="Garamond" w:cs="Arial"/>
          <w:lang w:val="en-AU"/>
        </w:rPr>
        <w:t xml:space="preserve"> and other forms of disadvantage</w:t>
      </w:r>
      <w:r w:rsidR="00AA776B" w:rsidRPr="00C82BBD">
        <w:rPr>
          <w:rFonts w:ascii="Garamond" w:hAnsi="Garamond" w:cs="Arial"/>
          <w:lang w:val="en-AU"/>
        </w:rPr>
        <w:t xml:space="preserve"> (</w:t>
      </w:r>
      <w:r w:rsidR="00736716" w:rsidRPr="00C82BBD">
        <w:rPr>
          <w:rFonts w:ascii="Garamond" w:hAnsi="Garamond" w:cs="Arial"/>
          <w:lang w:val="en-AU"/>
        </w:rPr>
        <w:t>Fraser et al. 2017</w:t>
      </w:r>
      <w:r w:rsidR="00184C12" w:rsidRPr="00C82BBD">
        <w:rPr>
          <w:rFonts w:ascii="Garamond" w:hAnsi="Garamond" w:cs="Arial"/>
          <w:lang w:val="en-AU"/>
        </w:rPr>
        <w:t>,</w:t>
      </w:r>
      <w:r w:rsidR="00736716" w:rsidRPr="00C82BBD">
        <w:rPr>
          <w:rFonts w:ascii="Garamond" w:hAnsi="Garamond" w:cs="Arial"/>
          <w:lang w:val="en-AU"/>
        </w:rPr>
        <w:t xml:space="preserve"> </w:t>
      </w:r>
      <w:r w:rsidR="009A375F" w:rsidRPr="00C82BBD">
        <w:rPr>
          <w:rFonts w:ascii="Garamond" w:hAnsi="Garamond"/>
        </w:rPr>
        <w:t>Ritter</w:t>
      </w:r>
      <w:r w:rsidR="00072C72">
        <w:rPr>
          <w:rFonts w:ascii="Garamond" w:hAnsi="Garamond"/>
        </w:rPr>
        <w:t xml:space="preserve"> et al.</w:t>
      </w:r>
      <w:r w:rsidR="009A375F" w:rsidRPr="00C82BBD">
        <w:rPr>
          <w:rFonts w:ascii="Garamond" w:hAnsi="Garamond"/>
        </w:rPr>
        <w:t xml:space="preserve"> 2011</w:t>
      </w:r>
      <w:r w:rsidR="00AA776B" w:rsidRPr="00C82BBD">
        <w:rPr>
          <w:rFonts w:ascii="Garamond" w:hAnsi="Garamond" w:cs="Arial"/>
          <w:lang w:val="en-AU"/>
        </w:rPr>
        <w:t>)</w:t>
      </w:r>
      <w:r w:rsidR="00EE6EE2" w:rsidRPr="00C82BBD">
        <w:rPr>
          <w:rFonts w:ascii="Garamond" w:hAnsi="Garamond" w:cs="Arial"/>
          <w:lang w:val="en-AU"/>
        </w:rPr>
        <w:t xml:space="preserve">. As such their </w:t>
      </w:r>
      <w:r w:rsidR="00EE6EE2" w:rsidRPr="00C82BBD">
        <w:rPr>
          <w:rFonts w:ascii="Garamond" w:hAnsi="Garamond"/>
        </w:rPr>
        <w:t>rights are routinely violated and denied in many settings</w:t>
      </w:r>
      <w:r w:rsidR="00EE6EE2" w:rsidRPr="00C82BBD">
        <w:rPr>
          <w:rFonts w:ascii="Garamond" w:hAnsi="Garamond" w:cs="Arial"/>
          <w:lang w:val="en-AU"/>
        </w:rPr>
        <w:t xml:space="preserve">, and they may </w:t>
      </w:r>
      <w:r w:rsidR="00503E0D" w:rsidRPr="00C82BBD">
        <w:rPr>
          <w:rFonts w:ascii="Garamond" w:hAnsi="Garamond" w:cs="Arial"/>
          <w:lang w:val="en-AU"/>
        </w:rPr>
        <w:t>be subject to paternalistic health policies</w:t>
      </w:r>
      <w:r w:rsidR="00F431F8" w:rsidRPr="00C82BBD">
        <w:rPr>
          <w:rFonts w:ascii="Garamond" w:hAnsi="Garamond" w:cs="Arial"/>
          <w:lang w:val="en-AU"/>
        </w:rPr>
        <w:t xml:space="preserve"> and treatment regimes</w:t>
      </w:r>
      <w:r w:rsidR="00503E0D" w:rsidRPr="00C82BBD">
        <w:rPr>
          <w:rFonts w:ascii="Garamond" w:hAnsi="Garamond"/>
        </w:rPr>
        <w:t>.</w:t>
      </w:r>
      <w:r w:rsidR="00425724">
        <w:rPr>
          <w:rFonts w:ascii="Garamond" w:hAnsi="Garamond"/>
        </w:rPr>
        <w:t xml:space="preserve"> </w:t>
      </w:r>
      <w:r w:rsidR="009C235C">
        <w:rPr>
          <w:rFonts w:ascii="Garamond" w:hAnsi="Garamond"/>
        </w:rPr>
        <w:t>While sociological research on care continues to build, t</w:t>
      </w:r>
      <w:r w:rsidR="00425724">
        <w:rPr>
          <w:rFonts w:ascii="Garamond" w:hAnsi="Garamond"/>
        </w:rPr>
        <w:t>o date</w:t>
      </w:r>
      <w:r w:rsidR="009C235C">
        <w:rPr>
          <w:rFonts w:ascii="Garamond" w:hAnsi="Garamond"/>
        </w:rPr>
        <w:t>,</w:t>
      </w:r>
      <w:r w:rsidR="00425724">
        <w:rPr>
          <w:rFonts w:ascii="Garamond" w:hAnsi="Garamond"/>
        </w:rPr>
        <w:t xml:space="preserve"> these explorations of</w:t>
      </w:r>
      <w:r w:rsidR="00503E0D" w:rsidRPr="00C82BBD">
        <w:rPr>
          <w:rFonts w:ascii="Garamond" w:hAnsi="Garamond"/>
        </w:rPr>
        <w:t xml:space="preserve"> </w:t>
      </w:r>
      <w:r w:rsidR="00425724">
        <w:rPr>
          <w:rFonts w:ascii="Garamond" w:hAnsi="Garamond"/>
        </w:rPr>
        <w:t>care and their political implications have not informed take-home naloxone research.</w:t>
      </w:r>
    </w:p>
    <w:p w14:paraId="015F2593" w14:textId="77777777" w:rsidR="00CD3351" w:rsidRPr="00C82BBD" w:rsidRDefault="00CD3351" w:rsidP="00E629AF">
      <w:pPr>
        <w:autoSpaceDE w:val="0"/>
        <w:autoSpaceDN w:val="0"/>
        <w:adjustRightInd w:val="0"/>
        <w:spacing w:line="480" w:lineRule="auto"/>
        <w:rPr>
          <w:rFonts w:ascii="Garamond" w:hAnsi="Garamond" w:cs="Arial"/>
          <w:lang w:val="en-AU"/>
        </w:rPr>
      </w:pPr>
    </w:p>
    <w:p w14:paraId="2CE6CF61" w14:textId="41BBDF47" w:rsidR="00A269B7" w:rsidRPr="00C82BBD" w:rsidRDefault="003740C6" w:rsidP="00C82BBD">
      <w:pPr>
        <w:autoSpaceDE w:val="0"/>
        <w:autoSpaceDN w:val="0"/>
        <w:adjustRightInd w:val="0"/>
        <w:spacing w:line="480" w:lineRule="auto"/>
        <w:rPr>
          <w:rFonts w:ascii="Garamond" w:hAnsi="Garamond" w:cs="Arial"/>
          <w:lang w:val="en-AU"/>
        </w:rPr>
      </w:pPr>
      <w:r w:rsidRPr="00C82BBD">
        <w:rPr>
          <w:rFonts w:ascii="Garamond" w:hAnsi="Garamond" w:cs="Arial"/>
          <w:lang w:val="en-AU"/>
        </w:rPr>
        <w:t xml:space="preserve">In sum, </w:t>
      </w:r>
      <w:r w:rsidR="00A269B7" w:rsidRPr="00C82BBD">
        <w:rPr>
          <w:rFonts w:ascii="Garamond" w:hAnsi="Garamond" w:cs="Arial"/>
          <w:lang w:val="en-AU"/>
        </w:rPr>
        <w:t>available critical social science literature points to the importance of analysing the social relationships</w:t>
      </w:r>
      <w:r w:rsidRPr="00C82BBD">
        <w:rPr>
          <w:rFonts w:ascii="Garamond" w:hAnsi="Garamond" w:cs="Arial"/>
          <w:lang w:val="en-AU"/>
        </w:rPr>
        <w:t xml:space="preserve"> in which</w:t>
      </w:r>
      <w:r w:rsidR="00A269B7" w:rsidRPr="00C82BBD">
        <w:rPr>
          <w:rFonts w:ascii="Garamond" w:hAnsi="Garamond" w:cs="Arial"/>
          <w:lang w:val="en-AU"/>
        </w:rPr>
        <w:t xml:space="preserve"> take-home naloxone is immersed. Our article </w:t>
      </w:r>
      <w:r w:rsidR="00736716" w:rsidRPr="00C82BBD">
        <w:rPr>
          <w:rFonts w:ascii="Garamond" w:hAnsi="Garamond" w:cs="Arial"/>
          <w:lang w:val="en-AU"/>
        </w:rPr>
        <w:t>contributes to</w:t>
      </w:r>
      <w:r w:rsidR="00A269B7" w:rsidRPr="00C82BBD">
        <w:rPr>
          <w:rFonts w:ascii="Garamond" w:hAnsi="Garamond" w:cs="Arial"/>
          <w:lang w:val="en-AU"/>
        </w:rPr>
        <w:t xml:space="preserve"> this area of research in three ways: (1) </w:t>
      </w:r>
      <w:r w:rsidRPr="00C82BBD">
        <w:rPr>
          <w:rFonts w:ascii="Garamond" w:hAnsi="Garamond" w:cs="Arial"/>
          <w:lang w:val="en-AU"/>
        </w:rPr>
        <w:t>it</w:t>
      </w:r>
      <w:r w:rsidR="00A269B7" w:rsidRPr="00C82BBD">
        <w:rPr>
          <w:rFonts w:ascii="Garamond" w:hAnsi="Garamond" w:cs="Arial"/>
          <w:lang w:val="en-AU"/>
        </w:rPr>
        <w:t xml:space="preserve"> build</w:t>
      </w:r>
      <w:r w:rsidRPr="00C82BBD">
        <w:rPr>
          <w:rFonts w:ascii="Garamond" w:hAnsi="Garamond" w:cs="Arial"/>
          <w:lang w:val="en-AU"/>
        </w:rPr>
        <w:t>s</w:t>
      </w:r>
      <w:r w:rsidR="00A269B7" w:rsidRPr="00C82BBD">
        <w:rPr>
          <w:rFonts w:ascii="Garamond" w:hAnsi="Garamond" w:cs="Arial"/>
          <w:lang w:val="en-AU"/>
        </w:rPr>
        <w:t xml:space="preserve"> on public health research by analysing in-depth how interpersonal relations shape the use and meanings of take-home naloxone</w:t>
      </w:r>
      <w:r w:rsidR="0089568F" w:rsidRPr="00C82BBD">
        <w:rPr>
          <w:rFonts w:ascii="Garamond" w:hAnsi="Garamond" w:cs="Arial"/>
          <w:lang w:val="en-AU"/>
        </w:rPr>
        <w:t xml:space="preserve"> technology</w:t>
      </w:r>
      <w:r w:rsidR="00A269B7" w:rsidRPr="00C82BBD">
        <w:rPr>
          <w:rFonts w:ascii="Garamond" w:hAnsi="Garamond" w:cs="Arial"/>
          <w:lang w:val="en-AU"/>
        </w:rPr>
        <w:t xml:space="preserve">, (2) </w:t>
      </w:r>
      <w:r w:rsidRPr="00C82BBD">
        <w:rPr>
          <w:rFonts w:ascii="Garamond" w:hAnsi="Garamond" w:cs="Arial"/>
          <w:lang w:val="en-AU"/>
        </w:rPr>
        <w:t>it</w:t>
      </w:r>
      <w:r w:rsidR="00A269B7" w:rsidRPr="00C82BBD">
        <w:rPr>
          <w:rFonts w:ascii="Garamond" w:hAnsi="Garamond" w:cs="Arial"/>
          <w:lang w:val="en-AU"/>
        </w:rPr>
        <w:t xml:space="preserve"> build</w:t>
      </w:r>
      <w:r w:rsidRPr="00C82BBD">
        <w:rPr>
          <w:rFonts w:ascii="Garamond" w:hAnsi="Garamond" w:cs="Arial"/>
          <w:lang w:val="en-AU"/>
        </w:rPr>
        <w:t>s</w:t>
      </w:r>
      <w:r w:rsidR="00A269B7" w:rsidRPr="00C82BBD">
        <w:rPr>
          <w:rFonts w:ascii="Garamond" w:hAnsi="Garamond" w:cs="Arial"/>
          <w:lang w:val="en-AU"/>
        </w:rPr>
        <w:t xml:space="preserve"> on sociological research by investigating how the technology of take-home naloxone re-constitutes the social relationships </w:t>
      </w:r>
      <w:r w:rsidR="007350C3" w:rsidRPr="00C82BBD">
        <w:rPr>
          <w:rFonts w:ascii="Garamond" w:hAnsi="Garamond" w:cs="Arial"/>
          <w:lang w:val="en-AU"/>
        </w:rPr>
        <w:t>of which it is a part</w:t>
      </w:r>
      <w:r w:rsidR="00E94081" w:rsidRPr="00C82BBD">
        <w:rPr>
          <w:rFonts w:ascii="Garamond" w:hAnsi="Garamond" w:cs="Arial"/>
          <w:lang w:val="en-AU"/>
        </w:rPr>
        <w:t xml:space="preserve">, and (3) </w:t>
      </w:r>
      <w:r w:rsidRPr="00C82BBD">
        <w:rPr>
          <w:rFonts w:ascii="Garamond" w:hAnsi="Garamond" w:cs="Arial"/>
          <w:lang w:val="en-AU"/>
        </w:rPr>
        <w:t>it</w:t>
      </w:r>
      <w:r w:rsidR="00A269B7" w:rsidRPr="00C82BBD">
        <w:rPr>
          <w:rFonts w:ascii="Garamond" w:hAnsi="Garamond" w:cs="Arial"/>
          <w:lang w:val="en-AU"/>
        </w:rPr>
        <w:t xml:space="preserve"> </w:t>
      </w:r>
      <w:r w:rsidR="00851138" w:rsidRPr="00C82BBD">
        <w:rPr>
          <w:rFonts w:ascii="Garamond" w:hAnsi="Garamond" w:cs="Arial"/>
          <w:lang w:val="en-AU"/>
        </w:rPr>
        <w:t>broaden</w:t>
      </w:r>
      <w:r w:rsidRPr="00C82BBD">
        <w:rPr>
          <w:rFonts w:ascii="Garamond" w:hAnsi="Garamond" w:cs="Arial"/>
          <w:lang w:val="en-AU"/>
        </w:rPr>
        <w:t>s</w:t>
      </w:r>
      <w:r w:rsidR="00851138" w:rsidRPr="00C82BBD">
        <w:rPr>
          <w:rFonts w:ascii="Garamond" w:hAnsi="Garamond" w:cs="Arial"/>
          <w:lang w:val="en-AU"/>
        </w:rPr>
        <w:t xml:space="preserve"> conceptualisations of the </w:t>
      </w:r>
      <w:r w:rsidR="009C235C" w:rsidRPr="00C82BBD">
        <w:rPr>
          <w:rFonts w:ascii="Garamond" w:hAnsi="Garamond" w:cs="Arial"/>
          <w:lang w:val="en-AU"/>
        </w:rPr>
        <w:t>in</w:t>
      </w:r>
      <w:r w:rsidR="009C235C">
        <w:rPr>
          <w:rFonts w:ascii="Garamond" w:hAnsi="Garamond" w:cs="Arial"/>
          <w:lang w:val="en-AU"/>
        </w:rPr>
        <w:t>itiative</w:t>
      </w:r>
      <w:r w:rsidR="009C235C" w:rsidRPr="00C82BBD">
        <w:rPr>
          <w:rFonts w:ascii="Garamond" w:hAnsi="Garamond" w:cs="Arial"/>
          <w:lang w:val="en-AU"/>
        </w:rPr>
        <w:t xml:space="preserve"> </w:t>
      </w:r>
      <w:r w:rsidR="00851138" w:rsidRPr="00C82BBD">
        <w:rPr>
          <w:rFonts w:ascii="Garamond" w:hAnsi="Garamond" w:cs="Arial"/>
          <w:lang w:val="en-AU"/>
        </w:rPr>
        <w:t>and what it achieves</w:t>
      </w:r>
      <w:r w:rsidRPr="00C82BBD">
        <w:rPr>
          <w:rFonts w:ascii="Garamond" w:hAnsi="Garamond" w:cs="Arial"/>
          <w:lang w:val="en-AU"/>
        </w:rPr>
        <w:t xml:space="preserve"> by focussing on reciprocal relations of care between people who access it</w:t>
      </w:r>
      <w:r w:rsidR="00A344CC" w:rsidRPr="00C82BBD">
        <w:rPr>
          <w:rFonts w:ascii="Garamond" w:hAnsi="Garamond" w:cs="Arial"/>
          <w:lang w:val="en-AU"/>
        </w:rPr>
        <w:t>.</w:t>
      </w:r>
    </w:p>
    <w:p w14:paraId="5B10E568" w14:textId="77777777" w:rsidR="004A6303" w:rsidRPr="00C82BBD" w:rsidRDefault="004A6303" w:rsidP="00C82BBD">
      <w:pPr>
        <w:autoSpaceDE w:val="0"/>
        <w:autoSpaceDN w:val="0"/>
        <w:adjustRightInd w:val="0"/>
        <w:spacing w:line="480" w:lineRule="auto"/>
        <w:rPr>
          <w:rFonts w:ascii="Garamond" w:hAnsi="Garamond" w:cs="Arial"/>
          <w:lang w:val="en-AU"/>
        </w:rPr>
      </w:pPr>
    </w:p>
    <w:p w14:paraId="34849C40" w14:textId="4297B9FA" w:rsidR="0096043D" w:rsidRPr="00C82BBD" w:rsidRDefault="00CD3351" w:rsidP="00C82BBD">
      <w:pPr>
        <w:spacing w:line="480" w:lineRule="auto"/>
        <w:rPr>
          <w:rFonts w:ascii="Garamond" w:hAnsi="Garamond"/>
          <w:b/>
        </w:rPr>
      </w:pPr>
      <w:r w:rsidRPr="00C82BBD">
        <w:rPr>
          <w:rFonts w:ascii="Garamond" w:hAnsi="Garamond"/>
          <w:b/>
        </w:rPr>
        <w:t xml:space="preserve">A politics of care approach </w:t>
      </w:r>
    </w:p>
    <w:p w14:paraId="15F1FC04" w14:textId="689596AF" w:rsidR="0096043D" w:rsidRPr="00C82BBD" w:rsidRDefault="0096043D" w:rsidP="00C82BBD">
      <w:pPr>
        <w:spacing w:line="480" w:lineRule="auto"/>
        <w:rPr>
          <w:rFonts w:ascii="Garamond" w:hAnsi="Garamond"/>
        </w:rPr>
      </w:pPr>
      <w:r w:rsidRPr="00C82BBD">
        <w:rPr>
          <w:rFonts w:ascii="Garamond" w:hAnsi="Garamond"/>
        </w:rPr>
        <w:t xml:space="preserve">Our analysis of </w:t>
      </w:r>
      <w:r w:rsidR="0041742C" w:rsidRPr="00C82BBD">
        <w:rPr>
          <w:rFonts w:ascii="Garamond" w:hAnsi="Garamond"/>
        </w:rPr>
        <w:t xml:space="preserve">the </w:t>
      </w:r>
      <w:r w:rsidRPr="00C82BBD">
        <w:rPr>
          <w:rFonts w:ascii="Garamond" w:hAnsi="Garamond"/>
        </w:rPr>
        <w:t>interpersonal relations of care</w:t>
      </w:r>
      <w:r w:rsidR="0041742C" w:rsidRPr="00C82BBD">
        <w:rPr>
          <w:rFonts w:ascii="Garamond" w:hAnsi="Garamond"/>
        </w:rPr>
        <w:t xml:space="preserve"> implicated in take-home naloxone</w:t>
      </w:r>
      <w:r w:rsidR="00877AD6" w:rsidRPr="00C82BBD">
        <w:rPr>
          <w:rFonts w:ascii="Garamond" w:hAnsi="Garamond"/>
        </w:rPr>
        <w:t xml:space="preserve"> provision and administration</w:t>
      </w:r>
      <w:r w:rsidRPr="00C82BBD">
        <w:rPr>
          <w:rFonts w:ascii="Garamond" w:hAnsi="Garamond"/>
        </w:rPr>
        <w:t xml:space="preserve"> necessitates a conceptual orientation that accounts for the co-productive relationship </w:t>
      </w:r>
      <w:r w:rsidRPr="00C82BBD">
        <w:rPr>
          <w:rFonts w:ascii="Garamond" w:hAnsi="Garamond"/>
        </w:rPr>
        <w:lastRenderedPageBreak/>
        <w:t xml:space="preserve">between people, society and technology. To this end, we draw on recent work in Science and Technology Studies (STS) </w:t>
      </w:r>
      <w:r w:rsidR="00CF3536" w:rsidRPr="00C82BBD">
        <w:rPr>
          <w:rFonts w:ascii="Garamond" w:hAnsi="Garamond"/>
        </w:rPr>
        <w:t xml:space="preserve">that has </w:t>
      </w:r>
      <w:r w:rsidR="00E178B9" w:rsidRPr="00C82BBD">
        <w:rPr>
          <w:rFonts w:ascii="Garamond" w:hAnsi="Garamond"/>
        </w:rPr>
        <w:t>prov</w:t>
      </w:r>
      <w:r w:rsidR="00CF3536" w:rsidRPr="00C82BBD">
        <w:rPr>
          <w:rFonts w:ascii="Garamond" w:hAnsi="Garamond"/>
        </w:rPr>
        <w:t>ed</w:t>
      </w:r>
      <w:r w:rsidR="00E178B9" w:rsidRPr="00C82BBD">
        <w:rPr>
          <w:rFonts w:ascii="Garamond" w:hAnsi="Garamond"/>
        </w:rPr>
        <w:t xml:space="preserve"> particularly useful for alcohol and other drug researchers</w:t>
      </w:r>
      <w:r w:rsidR="00CF3536" w:rsidRPr="00C82BBD">
        <w:rPr>
          <w:rFonts w:ascii="Garamond" w:hAnsi="Garamond"/>
        </w:rPr>
        <w:t>,</w:t>
      </w:r>
      <w:r w:rsidR="007A7E38" w:rsidRPr="00C82BBD">
        <w:rPr>
          <w:rFonts w:ascii="Garamond" w:hAnsi="Garamond"/>
        </w:rPr>
        <w:t xml:space="preserve"> </w:t>
      </w:r>
      <w:r w:rsidR="00A64885" w:rsidRPr="00C82BBD">
        <w:rPr>
          <w:rFonts w:ascii="Garamond" w:hAnsi="Garamond"/>
        </w:rPr>
        <w:t xml:space="preserve">including those focused on </w:t>
      </w:r>
      <w:r w:rsidR="00736716" w:rsidRPr="00C82BBD">
        <w:rPr>
          <w:rFonts w:ascii="Garamond" w:hAnsi="Garamond"/>
        </w:rPr>
        <w:t>drug injection technologies</w:t>
      </w:r>
      <w:r w:rsidR="00E178B9" w:rsidRPr="00C82BBD">
        <w:rPr>
          <w:rFonts w:ascii="Garamond" w:hAnsi="Garamond"/>
        </w:rPr>
        <w:t xml:space="preserve"> (</w:t>
      </w:r>
      <w:r w:rsidR="007A7E38" w:rsidRPr="00C82BBD">
        <w:rPr>
          <w:rFonts w:ascii="Garamond" w:hAnsi="Garamond"/>
        </w:rPr>
        <w:t>Fraser 2013</w:t>
      </w:r>
      <w:r w:rsidR="00184C12" w:rsidRPr="00C82BBD">
        <w:rPr>
          <w:rFonts w:ascii="Garamond" w:hAnsi="Garamond"/>
        </w:rPr>
        <w:t>,</w:t>
      </w:r>
      <w:r w:rsidR="007A7E38" w:rsidRPr="00C82BBD">
        <w:rPr>
          <w:rFonts w:ascii="Garamond" w:hAnsi="Garamond"/>
        </w:rPr>
        <w:t xml:space="preserve"> Vitellone 2017</w:t>
      </w:r>
      <w:r w:rsidR="00E178B9" w:rsidRPr="00C82BBD">
        <w:rPr>
          <w:rFonts w:ascii="Garamond" w:hAnsi="Garamond"/>
        </w:rPr>
        <w:t>)</w:t>
      </w:r>
      <w:r w:rsidR="00FB732C" w:rsidRPr="00C82BBD">
        <w:rPr>
          <w:rFonts w:ascii="Garamond" w:hAnsi="Garamond"/>
        </w:rPr>
        <w:t xml:space="preserve">. </w:t>
      </w:r>
      <w:r w:rsidR="00206885" w:rsidRPr="00C82BBD">
        <w:rPr>
          <w:rFonts w:ascii="Garamond" w:hAnsi="Garamond"/>
        </w:rPr>
        <w:t xml:space="preserve">STS </w:t>
      </w:r>
      <w:r w:rsidR="00CF3536" w:rsidRPr="00C82BBD">
        <w:rPr>
          <w:rFonts w:ascii="Garamond" w:hAnsi="Garamond"/>
        </w:rPr>
        <w:t>offers some key thinking on</w:t>
      </w:r>
      <w:r w:rsidR="00E178B9" w:rsidRPr="00C82BBD">
        <w:rPr>
          <w:rFonts w:ascii="Garamond" w:hAnsi="Garamond"/>
        </w:rPr>
        <w:t xml:space="preserve"> questions of care (e.g. </w:t>
      </w:r>
      <w:r w:rsidR="003146F9">
        <w:rPr>
          <w:rFonts w:ascii="Garamond" w:hAnsi="Garamond"/>
        </w:rPr>
        <w:t xml:space="preserve">Buse, Martin &amp; Nettleton 2018, </w:t>
      </w:r>
      <w:r w:rsidR="000E34DF">
        <w:rPr>
          <w:rFonts w:ascii="Garamond" w:hAnsi="Garamond"/>
        </w:rPr>
        <w:t xml:space="preserve">Latimer 2018, </w:t>
      </w:r>
      <w:r w:rsidR="00E178B9" w:rsidRPr="00C82BBD">
        <w:rPr>
          <w:rFonts w:ascii="Garamond" w:hAnsi="Garamond"/>
        </w:rPr>
        <w:t>Mol 2008</w:t>
      </w:r>
      <w:r w:rsidR="00184C12" w:rsidRPr="00C82BBD">
        <w:rPr>
          <w:rFonts w:ascii="Garamond" w:hAnsi="Garamond"/>
        </w:rPr>
        <w:t>,</w:t>
      </w:r>
      <w:r w:rsidR="00E178B9" w:rsidRPr="00C82BBD">
        <w:rPr>
          <w:rFonts w:ascii="Garamond" w:hAnsi="Garamond"/>
        </w:rPr>
        <w:t xml:space="preserve"> Puig de la </w:t>
      </w:r>
      <w:proofErr w:type="spellStart"/>
      <w:r w:rsidR="00E178B9" w:rsidRPr="00C82BBD">
        <w:rPr>
          <w:rFonts w:ascii="Garamond" w:hAnsi="Garamond"/>
        </w:rPr>
        <w:t>Bellacasa</w:t>
      </w:r>
      <w:proofErr w:type="spellEnd"/>
      <w:r w:rsidR="00E178B9" w:rsidRPr="00C82BBD">
        <w:rPr>
          <w:rFonts w:ascii="Garamond" w:hAnsi="Garamond"/>
        </w:rPr>
        <w:t xml:space="preserve"> 2017)</w:t>
      </w:r>
      <w:r w:rsidR="00206885" w:rsidRPr="00C82BBD">
        <w:rPr>
          <w:rFonts w:ascii="Garamond" w:hAnsi="Garamond"/>
        </w:rPr>
        <w:t xml:space="preserve">, </w:t>
      </w:r>
      <w:r w:rsidR="00CF3536" w:rsidRPr="00C82BBD">
        <w:rPr>
          <w:rFonts w:ascii="Garamond" w:hAnsi="Garamond"/>
        </w:rPr>
        <w:t>and the potential of this work</w:t>
      </w:r>
      <w:r w:rsidR="0076156D" w:rsidRPr="00C82BBD">
        <w:rPr>
          <w:rFonts w:ascii="Garamond" w:hAnsi="Garamond"/>
        </w:rPr>
        <w:t xml:space="preserve"> for alcohol and other drug research</w:t>
      </w:r>
      <w:r w:rsidR="00CF3536" w:rsidRPr="00C82BBD">
        <w:rPr>
          <w:rFonts w:ascii="Garamond" w:hAnsi="Garamond"/>
        </w:rPr>
        <w:t xml:space="preserve"> has only recently begun to be mined</w:t>
      </w:r>
      <w:r w:rsidR="00206885" w:rsidRPr="00C82BBD">
        <w:rPr>
          <w:rFonts w:ascii="Garamond" w:hAnsi="Garamond"/>
        </w:rPr>
        <w:t xml:space="preserve"> (</w:t>
      </w:r>
      <w:r w:rsidR="000B1FB9" w:rsidRPr="00C82BBD">
        <w:rPr>
          <w:rFonts w:ascii="Garamond" w:hAnsi="Garamond"/>
        </w:rPr>
        <w:t>see</w:t>
      </w:r>
      <w:r w:rsidR="00206885" w:rsidRPr="00C82BBD">
        <w:rPr>
          <w:rFonts w:ascii="Garamond" w:hAnsi="Garamond"/>
        </w:rPr>
        <w:t xml:space="preserve"> Dennis &amp; Farrugia 2017)</w:t>
      </w:r>
      <w:r w:rsidR="00A344CC" w:rsidRPr="00C82BBD">
        <w:rPr>
          <w:rFonts w:ascii="Garamond" w:hAnsi="Garamond"/>
        </w:rPr>
        <w:t>.</w:t>
      </w:r>
    </w:p>
    <w:p w14:paraId="1DB664DB" w14:textId="77777777" w:rsidR="00CD3351" w:rsidRPr="00C82BBD" w:rsidRDefault="00CD3351" w:rsidP="00C82BBD">
      <w:pPr>
        <w:spacing w:line="480" w:lineRule="auto"/>
        <w:rPr>
          <w:rFonts w:ascii="Garamond" w:hAnsi="Garamond"/>
        </w:rPr>
      </w:pPr>
    </w:p>
    <w:p w14:paraId="5E2B82BA" w14:textId="6A2B13BA" w:rsidR="00357912" w:rsidRPr="00C82BBD" w:rsidRDefault="009960DC" w:rsidP="00C82BBD">
      <w:pPr>
        <w:spacing w:line="480" w:lineRule="auto"/>
        <w:rPr>
          <w:rFonts w:ascii="Garamond" w:hAnsi="Garamond"/>
        </w:rPr>
      </w:pPr>
      <w:r w:rsidRPr="00C82BBD">
        <w:rPr>
          <w:rFonts w:ascii="Garamond" w:hAnsi="Garamond"/>
        </w:rPr>
        <w:t xml:space="preserve">STS </w:t>
      </w:r>
      <w:r w:rsidR="00CF3536" w:rsidRPr="00C82BBD">
        <w:rPr>
          <w:rFonts w:ascii="Garamond" w:hAnsi="Garamond"/>
        </w:rPr>
        <w:t xml:space="preserve">offers </w:t>
      </w:r>
      <w:r w:rsidRPr="00C82BBD">
        <w:rPr>
          <w:rFonts w:ascii="Garamond" w:hAnsi="Garamond"/>
        </w:rPr>
        <w:t>a relational and performative approach in which the world does not pre-exist the practices traditionally thought to ‘discover’ it</w:t>
      </w:r>
      <w:r w:rsidR="002E71E7" w:rsidRPr="00C82BBD">
        <w:rPr>
          <w:rFonts w:ascii="Garamond" w:hAnsi="Garamond"/>
        </w:rPr>
        <w:t>,</w:t>
      </w:r>
      <w:r w:rsidRPr="00C82BBD">
        <w:rPr>
          <w:rFonts w:ascii="Garamond" w:hAnsi="Garamond"/>
        </w:rPr>
        <w:t xml:space="preserve"> but</w:t>
      </w:r>
      <w:r w:rsidR="00CF3536" w:rsidRPr="00C82BBD">
        <w:rPr>
          <w:rFonts w:ascii="Garamond" w:hAnsi="Garamond"/>
        </w:rPr>
        <w:t xml:space="preserve"> instead</w:t>
      </w:r>
      <w:r w:rsidRPr="00C82BBD">
        <w:rPr>
          <w:rFonts w:ascii="Garamond" w:hAnsi="Garamond"/>
        </w:rPr>
        <w:t xml:space="preserve"> is made or articulated in</w:t>
      </w:r>
      <w:r w:rsidR="00CF3536" w:rsidRPr="00C82BBD">
        <w:rPr>
          <w:rFonts w:ascii="Garamond" w:hAnsi="Garamond"/>
        </w:rPr>
        <w:t xml:space="preserve"> and through those practices, that is, in and through</w:t>
      </w:r>
      <w:r w:rsidRPr="00C82BBD">
        <w:rPr>
          <w:rFonts w:ascii="Garamond" w:hAnsi="Garamond"/>
        </w:rPr>
        <w:t xml:space="preserve"> specific relations between humans,</w:t>
      </w:r>
      <w:r w:rsidR="00CF3536" w:rsidRPr="00C82BBD">
        <w:rPr>
          <w:rFonts w:ascii="Garamond" w:hAnsi="Garamond"/>
        </w:rPr>
        <w:t xml:space="preserve"> non-human living beings,</w:t>
      </w:r>
      <w:r w:rsidRPr="00C82BBD">
        <w:rPr>
          <w:rFonts w:ascii="Garamond" w:hAnsi="Garamond"/>
        </w:rPr>
        <w:t xml:space="preserve"> ideas and technolog</w:t>
      </w:r>
      <w:r w:rsidR="00CF3536" w:rsidRPr="00C82BBD">
        <w:rPr>
          <w:rFonts w:ascii="Garamond" w:hAnsi="Garamond"/>
        </w:rPr>
        <w:t>ies</w:t>
      </w:r>
      <w:r w:rsidRPr="00C82BBD">
        <w:rPr>
          <w:rFonts w:ascii="Garamond" w:hAnsi="Garamond"/>
        </w:rPr>
        <w:t xml:space="preserve"> (Law 2004). </w:t>
      </w:r>
      <w:r w:rsidR="003719A8" w:rsidRPr="00C82BBD">
        <w:rPr>
          <w:rFonts w:ascii="Garamond" w:hAnsi="Garamond"/>
        </w:rPr>
        <w:t xml:space="preserve">As explored by </w:t>
      </w:r>
      <w:r w:rsidRPr="00C82BBD">
        <w:rPr>
          <w:rFonts w:ascii="Garamond" w:hAnsi="Garamond"/>
        </w:rPr>
        <w:t xml:space="preserve">Martin, </w:t>
      </w:r>
      <w:r w:rsidR="00466317" w:rsidRPr="00C82BBD">
        <w:rPr>
          <w:rFonts w:ascii="Garamond" w:hAnsi="Garamond"/>
        </w:rPr>
        <w:t xml:space="preserve">Myers and </w:t>
      </w:r>
      <w:proofErr w:type="spellStart"/>
      <w:r w:rsidR="00466317" w:rsidRPr="00C82BBD">
        <w:rPr>
          <w:rFonts w:ascii="Garamond" w:hAnsi="Garamond"/>
        </w:rPr>
        <w:t>Viseu</w:t>
      </w:r>
      <w:proofErr w:type="spellEnd"/>
      <w:r w:rsidR="00466317" w:rsidRPr="00C82BBD">
        <w:rPr>
          <w:rFonts w:ascii="Garamond" w:hAnsi="Garamond"/>
        </w:rPr>
        <w:t xml:space="preserve"> </w:t>
      </w:r>
      <w:r w:rsidR="00F638E6" w:rsidRPr="00C82BBD">
        <w:rPr>
          <w:rFonts w:ascii="Garamond" w:hAnsi="Garamond"/>
        </w:rPr>
        <w:t>(2015)</w:t>
      </w:r>
      <w:r w:rsidR="00CF3536" w:rsidRPr="00C82BBD">
        <w:rPr>
          <w:rFonts w:ascii="Garamond" w:hAnsi="Garamond"/>
        </w:rPr>
        <w:t>,</w:t>
      </w:r>
      <w:r w:rsidR="00F638E6" w:rsidRPr="00C82BBD">
        <w:rPr>
          <w:rFonts w:ascii="Garamond" w:hAnsi="Garamond"/>
        </w:rPr>
        <w:t xml:space="preserve"> </w:t>
      </w:r>
      <w:r w:rsidR="003719A8" w:rsidRPr="00C82BBD">
        <w:rPr>
          <w:rFonts w:ascii="Garamond" w:hAnsi="Garamond"/>
        </w:rPr>
        <w:t>when care is put to work in STS</w:t>
      </w:r>
      <w:r w:rsidR="00CF3536" w:rsidRPr="00C82BBD">
        <w:rPr>
          <w:rFonts w:ascii="Garamond" w:hAnsi="Garamond"/>
        </w:rPr>
        <w:t>-</w:t>
      </w:r>
      <w:r w:rsidR="003719A8" w:rsidRPr="00C82BBD">
        <w:rPr>
          <w:rFonts w:ascii="Garamond" w:hAnsi="Garamond"/>
        </w:rPr>
        <w:t xml:space="preserve">orientated research it produces two </w:t>
      </w:r>
      <w:r w:rsidR="00736716" w:rsidRPr="00C82BBD">
        <w:rPr>
          <w:rFonts w:ascii="Garamond" w:hAnsi="Garamond"/>
        </w:rPr>
        <w:t>mutually implicated ‘</w:t>
      </w:r>
      <w:r w:rsidR="00357912" w:rsidRPr="00C82BBD">
        <w:rPr>
          <w:rFonts w:ascii="Garamond" w:hAnsi="Garamond"/>
        </w:rPr>
        <w:t>layers of care</w:t>
      </w:r>
      <w:r w:rsidR="00736716" w:rsidRPr="00C82BBD">
        <w:rPr>
          <w:rFonts w:ascii="Garamond" w:hAnsi="Garamond"/>
        </w:rPr>
        <w:t>’</w:t>
      </w:r>
      <w:r w:rsidR="00357912" w:rsidRPr="00C82BBD">
        <w:rPr>
          <w:rFonts w:ascii="Garamond" w:hAnsi="Garamond"/>
        </w:rPr>
        <w:t>:</w:t>
      </w:r>
    </w:p>
    <w:p w14:paraId="35AD2C32" w14:textId="336346B7" w:rsidR="00CF3536" w:rsidRPr="00C82BBD" w:rsidRDefault="00CF3536" w:rsidP="00C82BBD">
      <w:pPr>
        <w:pStyle w:val="ListParagraph"/>
        <w:numPr>
          <w:ilvl w:val="0"/>
          <w:numId w:val="7"/>
        </w:numPr>
        <w:spacing w:line="480" w:lineRule="auto"/>
        <w:rPr>
          <w:rFonts w:ascii="Garamond" w:hAnsi="Garamond"/>
          <w:sz w:val="22"/>
          <w:szCs w:val="22"/>
        </w:rPr>
      </w:pPr>
      <w:r w:rsidRPr="00C82BBD">
        <w:rPr>
          <w:rFonts w:ascii="Garamond" w:hAnsi="Garamond"/>
          <w:sz w:val="22"/>
          <w:szCs w:val="22"/>
        </w:rPr>
        <w:t>‘</w:t>
      </w:r>
      <w:r w:rsidR="007A7E38" w:rsidRPr="00C82BBD">
        <w:rPr>
          <w:rFonts w:ascii="Garamond" w:hAnsi="Garamond"/>
          <w:sz w:val="22"/>
          <w:szCs w:val="22"/>
        </w:rPr>
        <w:t>t</w:t>
      </w:r>
      <w:r w:rsidR="00357912" w:rsidRPr="00C82BBD">
        <w:rPr>
          <w:rFonts w:ascii="Garamond" w:hAnsi="Garamond"/>
          <w:sz w:val="22"/>
          <w:szCs w:val="22"/>
        </w:rPr>
        <w:t xml:space="preserve">hat which we, as STS scholars, teachers, and feminists enact in </w:t>
      </w:r>
      <w:r w:rsidR="00357912" w:rsidRPr="00C82BBD">
        <w:rPr>
          <w:rFonts w:ascii="Garamond" w:hAnsi="Garamond"/>
          <w:i/>
          <w:iCs/>
          <w:sz w:val="22"/>
          <w:szCs w:val="22"/>
        </w:rPr>
        <w:t xml:space="preserve">our relations with </w:t>
      </w:r>
      <w:r w:rsidR="00357912" w:rsidRPr="00C82BBD">
        <w:rPr>
          <w:rFonts w:ascii="Garamond" w:hAnsi="Garamond"/>
          <w:sz w:val="22"/>
          <w:szCs w:val="22"/>
        </w:rPr>
        <w:t>the worlds we study</w:t>
      </w:r>
      <w:r w:rsidRPr="00C82BBD">
        <w:rPr>
          <w:rFonts w:ascii="Garamond" w:hAnsi="Garamond"/>
          <w:sz w:val="22"/>
          <w:szCs w:val="22"/>
        </w:rPr>
        <w:t>’</w:t>
      </w:r>
      <w:r w:rsidR="00357912" w:rsidRPr="00C82BBD">
        <w:rPr>
          <w:rFonts w:ascii="Garamond" w:hAnsi="Garamond"/>
          <w:sz w:val="22"/>
          <w:szCs w:val="22"/>
        </w:rPr>
        <w:t xml:space="preserve">, and </w:t>
      </w:r>
    </w:p>
    <w:p w14:paraId="0E34BBBF" w14:textId="04A62239" w:rsidR="00C42506" w:rsidRPr="007B5864" w:rsidRDefault="00CF3536" w:rsidP="00C82BBD">
      <w:pPr>
        <w:pStyle w:val="ListParagraph"/>
        <w:numPr>
          <w:ilvl w:val="0"/>
          <w:numId w:val="7"/>
        </w:numPr>
        <w:spacing w:line="480" w:lineRule="auto"/>
        <w:rPr>
          <w:rFonts w:ascii="Garamond" w:hAnsi="Garamond"/>
          <w:sz w:val="22"/>
          <w:szCs w:val="22"/>
        </w:rPr>
      </w:pPr>
      <w:r w:rsidRPr="00C82BBD">
        <w:rPr>
          <w:rFonts w:ascii="Garamond" w:hAnsi="Garamond"/>
          <w:sz w:val="22"/>
          <w:szCs w:val="22"/>
        </w:rPr>
        <w:t>‘</w:t>
      </w:r>
      <w:r w:rsidR="00357912" w:rsidRPr="00C82BBD">
        <w:rPr>
          <w:rFonts w:ascii="Garamond" w:hAnsi="Garamond"/>
          <w:sz w:val="22"/>
          <w:szCs w:val="22"/>
        </w:rPr>
        <w:t xml:space="preserve">that which </w:t>
      </w:r>
      <w:r w:rsidR="00357912" w:rsidRPr="00C82BBD">
        <w:rPr>
          <w:rFonts w:ascii="Garamond" w:hAnsi="Garamond"/>
          <w:i/>
          <w:iCs/>
          <w:sz w:val="22"/>
          <w:szCs w:val="22"/>
        </w:rPr>
        <w:t xml:space="preserve">circulates among the actors </w:t>
      </w:r>
      <w:r w:rsidR="00357912" w:rsidRPr="00C82BBD">
        <w:rPr>
          <w:rFonts w:ascii="Garamond" w:hAnsi="Garamond"/>
          <w:sz w:val="22"/>
          <w:szCs w:val="22"/>
        </w:rPr>
        <w:t xml:space="preserve">in the technoscientific worlds we encounter through </w:t>
      </w:r>
      <w:r w:rsidR="00357912" w:rsidRPr="007B5864">
        <w:rPr>
          <w:rFonts w:ascii="Garamond" w:hAnsi="Garamond"/>
          <w:sz w:val="22"/>
          <w:szCs w:val="22"/>
        </w:rPr>
        <w:t>our studies</w:t>
      </w:r>
      <w:r w:rsidR="00736829" w:rsidRPr="007B5864">
        <w:rPr>
          <w:rFonts w:ascii="Garamond" w:hAnsi="Garamond"/>
          <w:sz w:val="22"/>
          <w:szCs w:val="22"/>
        </w:rPr>
        <w:t>.</w:t>
      </w:r>
      <w:r w:rsidRPr="007B5864">
        <w:rPr>
          <w:rFonts w:ascii="Garamond" w:hAnsi="Garamond"/>
          <w:sz w:val="22"/>
          <w:szCs w:val="22"/>
        </w:rPr>
        <w:t>’</w:t>
      </w:r>
      <w:r w:rsidR="00357912" w:rsidRPr="007B5864">
        <w:rPr>
          <w:rFonts w:ascii="Garamond" w:hAnsi="Garamond"/>
          <w:sz w:val="22"/>
          <w:szCs w:val="22"/>
        </w:rPr>
        <w:t xml:space="preserve"> (</w:t>
      </w:r>
      <w:r w:rsidR="00736716" w:rsidRPr="007B5864">
        <w:rPr>
          <w:rFonts w:ascii="Garamond" w:hAnsi="Garamond"/>
          <w:sz w:val="22"/>
          <w:szCs w:val="22"/>
        </w:rPr>
        <w:t xml:space="preserve">original emphasis, </w:t>
      </w:r>
      <w:r w:rsidR="00357912" w:rsidRPr="007B5864">
        <w:rPr>
          <w:rFonts w:ascii="Garamond" w:hAnsi="Garamond"/>
          <w:sz w:val="22"/>
          <w:szCs w:val="22"/>
        </w:rPr>
        <w:t>626)</w:t>
      </w:r>
    </w:p>
    <w:p w14:paraId="598DDDBA" w14:textId="3031822A" w:rsidR="00747516" w:rsidRPr="00C82BBD" w:rsidRDefault="00983EA3" w:rsidP="00C82BBD">
      <w:pPr>
        <w:spacing w:line="480" w:lineRule="auto"/>
        <w:rPr>
          <w:rFonts w:ascii="Garamond" w:hAnsi="Garamond"/>
        </w:rPr>
      </w:pPr>
      <w:r w:rsidRPr="007B5864">
        <w:rPr>
          <w:rFonts w:ascii="Garamond" w:hAnsi="Garamond"/>
        </w:rPr>
        <w:t xml:space="preserve">This suggests that alcohol and other drug research necessarily </w:t>
      </w:r>
      <w:proofErr w:type="spellStart"/>
      <w:r w:rsidRPr="007B5864">
        <w:rPr>
          <w:rFonts w:ascii="Garamond" w:hAnsi="Garamond"/>
        </w:rPr>
        <w:t>operationalises</w:t>
      </w:r>
      <w:proofErr w:type="spellEnd"/>
      <w:r w:rsidRPr="007B5864">
        <w:rPr>
          <w:rFonts w:ascii="Garamond" w:hAnsi="Garamond"/>
        </w:rPr>
        <w:t xml:space="preserve"> particular notions of care an</w:t>
      </w:r>
      <w:r w:rsidRPr="00C07218">
        <w:rPr>
          <w:rFonts w:ascii="Garamond" w:hAnsi="Garamond"/>
        </w:rPr>
        <w:t>d</w:t>
      </w:r>
      <w:r w:rsidR="00B561F3" w:rsidRPr="00C07218">
        <w:rPr>
          <w:rFonts w:ascii="Garamond" w:hAnsi="Garamond"/>
        </w:rPr>
        <w:t>,</w:t>
      </w:r>
      <w:r w:rsidRPr="00C07218">
        <w:rPr>
          <w:rFonts w:ascii="Garamond" w:hAnsi="Garamond"/>
        </w:rPr>
        <w:t xml:space="preserve"> as</w:t>
      </w:r>
      <w:r w:rsidRPr="007B5864">
        <w:rPr>
          <w:rFonts w:ascii="Garamond" w:hAnsi="Garamond"/>
        </w:rPr>
        <w:t xml:space="preserve"> such, this research is an unavoidably political act. Following this formulation, we can say that our research </w:t>
      </w:r>
      <w:proofErr w:type="spellStart"/>
      <w:r w:rsidRPr="007B5864">
        <w:rPr>
          <w:rFonts w:ascii="Garamond" w:hAnsi="Garamond"/>
        </w:rPr>
        <w:t>operationalises</w:t>
      </w:r>
      <w:proofErr w:type="spellEnd"/>
      <w:r w:rsidRPr="007B5864">
        <w:rPr>
          <w:rFonts w:ascii="Garamond" w:hAnsi="Garamond"/>
        </w:rPr>
        <w:t xml:space="preserve"> certain kinds of care in its practice (point 1), and it also works to identify and </w:t>
      </w:r>
      <w:proofErr w:type="spellStart"/>
      <w:r w:rsidRPr="007B5864">
        <w:rPr>
          <w:rFonts w:ascii="Garamond" w:hAnsi="Garamond"/>
        </w:rPr>
        <w:t>analyse</w:t>
      </w:r>
      <w:proofErr w:type="spellEnd"/>
      <w:r w:rsidRPr="007B5864">
        <w:rPr>
          <w:rFonts w:ascii="Garamond" w:hAnsi="Garamond"/>
        </w:rPr>
        <w:t xml:space="preserve"> the practices of care at work in the field of study (point 2). In both these ways, research is a practice that works to </w:t>
      </w:r>
      <w:proofErr w:type="spellStart"/>
      <w:r w:rsidRPr="007B5864">
        <w:rPr>
          <w:rFonts w:ascii="Garamond" w:hAnsi="Garamond"/>
        </w:rPr>
        <w:t>emphasise</w:t>
      </w:r>
      <w:proofErr w:type="spellEnd"/>
      <w:r w:rsidRPr="007B5864">
        <w:rPr>
          <w:rFonts w:ascii="Garamond" w:hAnsi="Garamond"/>
        </w:rPr>
        <w:t xml:space="preserve"> some political possibilities and </w:t>
      </w:r>
      <w:r w:rsidR="00C07218">
        <w:rPr>
          <w:rFonts w:ascii="Garamond" w:hAnsi="Garamond"/>
        </w:rPr>
        <w:t>not</w:t>
      </w:r>
      <w:r w:rsidRPr="007B5864">
        <w:rPr>
          <w:rFonts w:ascii="Garamond" w:hAnsi="Garamond"/>
        </w:rPr>
        <w:t xml:space="preserve"> others. While i</w:t>
      </w:r>
      <w:r w:rsidR="005C1BC2" w:rsidRPr="007B5864">
        <w:rPr>
          <w:rFonts w:ascii="Garamond" w:hAnsi="Garamond"/>
        </w:rPr>
        <w:t>t</w:t>
      </w:r>
      <w:r w:rsidR="00357912" w:rsidRPr="007B5864">
        <w:rPr>
          <w:rFonts w:ascii="Garamond" w:hAnsi="Garamond"/>
        </w:rPr>
        <w:t xml:space="preserve"> is the forms of care </w:t>
      </w:r>
      <w:r w:rsidR="005C1BC2" w:rsidRPr="007370DC">
        <w:rPr>
          <w:rFonts w:ascii="Garamond" w:hAnsi="Garamond"/>
        </w:rPr>
        <w:t xml:space="preserve">identified in point 2 (those </w:t>
      </w:r>
      <w:r w:rsidR="00357912" w:rsidRPr="007370DC">
        <w:rPr>
          <w:rFonts w:ascii="Garamond" w:hAnsi="Garamond"/>
        </w:rPr>
        <w:t>that circulate within</w:t>
      </w:r>
      <w:r w:rsidR="00747516" w:rsidRPr="007370DC">
        <w:rPr>
          <w:rFonts w:ascii="Garamond" w:hAnsi="Garamond"/>
        </w:rPr>
        <w:t>,</w:t>
      </w:r>
      <w:r w:rsidR="00357912" w:rsidRPr="007370DC">
        <w:rPr>
          <w:rFonts w:ascii="Garamond" w:hAnsi="Garamond"/>
        </w:rPr>
        <w:t xml:space="preserve"> and emerge from</w:t>
      </w:r>
      <w:r w:rsidR="00747516" w:rsidRPr="007370DC">
        <w:rPr>
          <w:rFonts w:ascii="Garamond" w:hAnsi="Garamond"/>
        </w:rPr>
        <w:t>,</w:t>
      </w:r>
      <w:r w:rsidR="00357912" w:rsidRPr="007370DC">
        <w:rPr>
          <w:rFonts w:ascii="Garamond" w:hAnsi="Garamond"/>
        </w:rPr>
        <w:t xml:space="preserve"> take-home naloxone administration</w:t>
      </w:r>
      <w:r w:rsidR="00747516" w:rsidRPr="007B5864">
        <w:rPr>
          <w:rFonts w:ascii="Garamond" w:hAnsi="Garamond"/>
        </w:rPr>
        <w:t xml:space="preserve"> practices</w:t>
      </w:r>
      <w:r w:rsidR="005C1BC2" w:rsidRPr="007B5864">
        <w:rPr>
          <w:rFonts w:ascii="Garamond" w:hAnsi="Garamond"/>
        </w:rPr>
        <w:t>)</w:t>
      </w:r>
      <w:r w:rsidR="00357912" w:rsidRPr="007B5864">
        <w:rPr>
          <w:rFonts w:ascii="Garamond" w:hAnsi="Garamond"/>
        </w:rPr>
        <w:t xml:space="preserve"> </w:t>
      </w:r>
      <w:r w:rsidR="005C1BC2" w:rsidRPr="007B5864">
        <w:rPr>
          <w:rFonts w:ascii="Garamond" w:hAnsi="Garamond"/>
        </w:rPr>
        <w:t xml:space="preserve">to which </w:t>
      </w:r>
      <w:r w:rsidRPr="007B5864">
        <w:rPr>
          <w:rFonts w:ascii="Garamond" w:hAnsi="Garamond"/>
        </w:rPr>
        <w:t>we most explicitly</w:t>
      </w:r>
      <w:r w:rsidR="00357912" w:rsidRPr="007B5864">
        <w:rPr>
          <w:rFonts w:ascii="Garamond" w:hAnsi="Garamond"/>
        </w:rPr>
        <w:t xml:space="preserve"> </w:t>
      </w:r>
      <w:r w:rsidR="005C1BC2" w:rsidRPr="007B5864">
        <w:rPr>
          <w:rFonts w:ascii="Garamond" w:hAnsi="Garamond"/>
        </w:rPr>
        <w:t xml:space="preserve">attend in </w:t>
      </w:r>
      <w:r w:rsidRPr="007B5864">
        <w:rPr>
          <w:rFonts w:ascii="Garamond" w:hAnsi="Garamond"/>
        </w:rPr>
        <w:t>our analysis, these two forms are</w:t>
      </w:r>
      <w:r>
        <w:rPr>
          <w:rFonts w:ascii="Garamond" w:hAnsi="Garamond"/>
        </w:rPr>
        <w:t xml:space="preserve"> care are thoroughly mutually implicated</w:t>
      </w:r>
      <w:r w:rsidR="00357912" w:rsidRPr="00C82BBD">
        <w:rPr>
          <w:rFonts w:ascii="Garamond" w:hAnsi="Garamond"/>
        </w:rPr>
        <w:t>.</w:t>
      </w:r>
      <w:r w:rsidR="00801C71" w:rsidRPr="00C82BBD">
        <w:rPr>
          <w:rFonts w:ascii="Garamond" w:hAnsi="Garamond"/>
        </w:rPr>
        <w:t xml:space="preserve"> We focus on these</w:t>
      </w:r>
      <w:r>
        <w:rPr>
          <w:rFonts w:ascii="Garamond" w:hAnsi="Garamond"/>
        </w:rPr>
        <w:t xml:space="preserve"> forms of care</w:t>
      </w:r>
      <w:r w:rsidR="00801C71" w:rsidRPr="00C82BBD">
        <w:rPr>
          <w:rFonts w:ascii="Garamond" w:hAnsi="Garamond"/>
        </w:rPr>
        <w:t xml:space="preserve"> for the ways they contrast with </w:t>
      </w:r>
      <w:r w:rsidR="00DD706A" w:rsidRPr="00C82BBD">
        <w:rPr>
          <w:rFonts w:ascii="Garamond" w:hAnsi="Garamond"/>
        </w:rPr>
        <w:t xml:space="preserve">conventional </w:t>
      </w:r>
      <w:r w:rsidR="00801C71" w:rsidRPr="00C82BBD">
        <w:rPr>
          <w:rFonts w:ascii="Garamond" w:hAnsi="Garamond"/>
        </w:rPr>
        <w:t>accounts of take-home naloxone</w:t>
      </w:r>
      <w:r w:rsidR="0041742C" w:rsidRPr="00C82BBD">
        <w:rPr>
          <w:rFonts w:ascii="Garamond" w:hAnsi="Garamond"/>
        </w:rPr>
        <w:t xml:space="preserve"> provision</w:t>
      </w:r>
      <w:r w:rsidR="00801C71" w:rsidRPr="00C82BBD">
        <w:rPr>
          <w:rFonts w:ascii="Garamond" w:hAnsi="Garamond"/>
        </w:rPr>
        <w:t xml:space="preserve"> as </w:t>
      </w:r>
      <w:r w:rsidR="005C1BC2" w:rsidRPr="00C82BBD">
        <w:rPr>
          <w:rFonts w:ascii="Garamond" w:hAnsi="Garamond"/>
        </w:rPr>
        <w:t>simply</w:t>
      </w:r>
      <w:r w:rsidR="00736829" w:rsidRPr="00C82BBD">
        <w:rPr>
          <w:rFonts w:ascii="Garamond" w:hAnsi="Garamond"/>
        </w:rPr>
        <w:t xml:space="preserve"> </w:t>
      </w:r>
      <w:r w:rsidR="0041742C" w:rsidRPr="00C82BBD">
        <w:rPr>
          <w:rFonts w:ascii="Garamond" w:hAnsi="Garamond"/>
        </w:rPr>
        <w:t>focused on providing an</w:t>
      </w:r>
      <w:r w:rsidR="00801C71" w:rsidRPr="00C82BBD">
        <w:rPr>
          <w:rFonts w:ascii="Garamond" w:hAnsi="Garamond"/>
        </w:rPr>
        <w:t xml:space="preserve"> emergency technology</w:t>
      </w:r>
      <w:r w:rsidR="005C1BC2" w:rsidRPr="00C82BBD">
        <w:rPr>
          <w:rFonts w:ascii="Garamond" w:hAnsi="Garamond"/>
        </w:rPr>
        <w:t xml:space="preserve"> whose </w:t>
      </w:r>
      <w:r w:rsidR="0041742C" w:rsidRPr="00C82BBD">
        <w:rPr>
          <w:rFonts w:ascii="Garamond" w:hAnsi="Garamond"/>
        </w:rPr>
        <w:t xml:space="preserve">only </w:t>
      </w:r>
      <w:r w:rsidR="005C1BC2" w:rsidRPr="00C82BBD">
        <w:rPr>
          <w:rFonts w:ascii="Garamond" w:hAnsi="Garamond"/>
        </w:rPr>
        <w:t>role is</w:t>
      </w:r>
      <w:r w:rsidR="00801C71" w:rsidRPr="00C82BBD">
        <w:rPr>
          <w:rFonts w:ascii="Garamond" w:hAnsi="Garamond"/>
        </w:rPr>
        <w:t xml:space="preserve"> to reverse respiratory depression. As we will argue, for some it is much more than this</w:t>
      </w:r>
      <w:r w:rsidR="005C1BC2" w:rsidRPr="00C82BBD">
        <w:rPr>
          <w:rFonts w:ascii="Garamond" w:hAnsi="Garamond"/>
        </w:rPr>
        <w:t>,</w:t>
      </w:r>
      <w:r w:rsidR="00801C71" w:rsidRPr="00C82BBD">
        <w:rPr>
          <w:rFonts w:ascii="Garamond" w:hAnsi="Garamond"/>
        </w:rPr>
        <w:t xml:space="preserve"> and </w:t>
      </w:r>
      <w:r w:rsidR="00F71BF8" w:rsidRPr="00C82BBD">
        <w:rPr>
          <w:rFonts w:ascii="Garamond" w:hAnsi="Garamond"/>
        </w:rPr>
        <w:t>affords other possibilities</w:t>
      </w:r>
      <w:r w:rsidR="00801C71" w:rsidRPr="00C82BBD">
        <w:rPr>
          <w:rFonts w:ascii="Garamond" w:hAnsi="Garamond"/>
        </w:rPr>
        <w:t xml:space="preserve">. The production of specific forms of care is one </w:t>
      </w:r>
      <w:r w:rsidR="00F71BF8" w:rsidRPr="00C82BBD">
        <w:rPr>
          <w:rFonts w:ascii="Garamond" w:hAnsi="Garamond"/>
        </w:rPr>
        <w:t>possibility</w:t>
      </w:r>
      <w:r w:rsidR="00801C71" w:rsidRPr="00C82BBD">
        <w:rPr>
          <w:rFonts w:ascii="Garamond" w:hAnsi="Garamond"/>
        </w:rPr>
        <w:t xml:space="preserve"> that emerges in </w:t>
      </w:r>
      <w:r w:rsidR="00801C71" w:rsidRPr="00C82BBD">
        <w:rPr>
          <w:rFonts w:ascii="Garamond" w:hAnsi="Garamond"/>
        </w:rPr>
        <w:lastRenderedPageBreak/>
        <w:t>the</w:t>
      </w:r>
      <w:r w:rsidR="003719A8" w:rsidRPr="00C82BBD">
        <w:rPr>
          <w:rFonts w:ascii="Garamond" w:hAnsi="Garamond"/>
        </w:rPr>
        <w:t xml:space="preserve"> accounts of take-home naloxone administration that</w:t>
      </w:r>
      <w:r w:rsidR="00801C71" w:rsidRPr="00C82BBD">
        <w:rPr>
          <w:rFonts w:ascii="Garamond" w:hAnsi="Garamond"/>
        </w:rPr>
        <w:t xml:space="preserve"> appear below</w:t>
      </w:r>
      <w:r w:rsidR="003719A8" w:rsidRPr="00C82BBD">
        <w:rPr>
          <w:rFonts w:ascii="Garamond" w:hAnsi="Garamond"/>
        </w:rPr>
        <w:t xml:space="preserve">. </w:t>
      </w:r>
      <w:r w:rsidR="005C1BC2" w:rsidRPr="00C82BBD">
        <w:rPr>
          <w:rFonts w:ascii="Garamond" w:hAnsi="Garamond"/>
        </w:rPr>
        <w:t>In our analysis we consider</w:t>
      </w:r>
      <w:r w:rsidR="00747516" w:rsidRPr="00C82BBD">
        <w:rPr>
          <w:rFonts w:ascii="Garamond" w:hAnsi="Garamond"/>
        </w:rPr>
        <w:t xml:space="preserve"> how care is made and re-made in ways not generally accounted for in traditional approach</w:t>
      </w:r>
      <w:r w:rsidR="00736829" w:rsidRPr="00C82BBD">
        <w:rPr>
          <w:rFonts w:ascii="Garamond" w:hAnsi="Garamond"/>
        </w:rPr>
        <w:t>es</w:t>
      </w:r>
      <w:r w:rsidR="00747516" w:rsidRPr="00C82BBD">
        <w:rPr>
          <w:rFonts w:ascii="Garamond" w:hAnsi="Garamond"/>
        </w:rPr>
        <w:t xml:space="preserve"> to naloxone administration</w:t>
      </w:r>
      <w:r w:rsidR="005C1BC2" w:rsidRPr="00C82BBD">
        <w:rPr>
          <w:rFonts w:ascii="Garamond" w:hAnsi="Garamond"/>
        </w:rPr>
        <w:t>, the aim being to enrich understandings of this technological field to better inform questions about uptake and diffusion.</w:t>
      </w:r>
    </w:p>
    <w:p w14:paraId="59D5BADB" w14:textId="77777777" w:rsidR="004A6303" w:rsidRPr="00C82BBD" w:rsidRDefault="004A6303" w:rsidP="00C82BBD">
      <w:pPr>
        <w:spacing w:line="480" w:lineRule="auto"/>
        <w:rPr>
          <w:rFonts w:ascii="Garamond" w:hAnsi="Garamond"/>
        </w:rPr>
      </w:pPr>
    </w:p>
    <w:p w14:paraId="20C599CE" w14:textId="79B17EA7" w:rsidR="00FA2140" w:rsidRPr="00C82BBD" w:rsidRDefault="001550E0" w:rsidP="00C82BBD">
      <w:pPr>
        <w:spacing w:line="480" w:lineRule="auto"/>
        <w:rPr>
          <w:rFonts w:ascii="Garamond" w:hAnsi="Garamond"/>
        </w:rPr>
      </w:pPr>
      <w:r w:rsidRPr="00C82BBD">
        <w:rPr>
          <w:rFonts w:ascii="Garamond" w:hAnsi="Garamond"/>
        </w:rPr>
        <w:t xml:space="preserve">Given </w:t>
      </w:r>
      <w:r w:rsidR="00736829" w:rsidRPr="00C82BBD">
        <w:rPr>
          <w:rFonts w:ascii="Garamond" w:hAnsi="Garamond"/>
        </w:rPr>
        <w:t xml:space="preserve">the central importance of </w:t>
      </w:r>
      <w:r w:rsidR="00081B47" w:rsidRPr="00C82BBD">
        <w:rPr>
          <w:rFonts w:ascii="Garamond" w:hAnsi="Garamond"/>
        </w:rPr>
        <w:t>equipment</w:t>
      </w:r>
      <w:r w:rsidR="0041742C" w:rsidRPr="00C82BBD">
        <w:rPr>
          <w:rFonts w:ascii="Garamond" w:hAnsi="Garamond"/>
        </w:rPr>
        <w:t>, such as the needle, syringe and the naloxone itself,</w:t>
      </w:r>
      <w:r w:rsidR="00081B47" w:rsidRPr="00C82BBD">
        <w:rPr>
          <w:rFonts w:ascii="Garamond" w:hAnsi="Garamond"/>
        </w:rPr>
        <w:t xml:space="preserve"> </w:t>
      </w:r>
      <w:r w:rsidR="0017202B" w:rsidRPr="00C82BBD">
        <w:rPr>
          <w:rFonts w:ascii="Garamond" w:hAnsi="Garamond"/>
        </w:rPr>
        <w:t xml:space="preserve">to </w:t>
      </w:r>
      <w:r w:rsidR="00081B47" w:rsidRPr="00C82BBD">
        <w:rPr>
          <w:rFonts w:ascii="Garamond" w:hAnsi="Garamond"/>
        </w:rPr>
        <w:t>this intervention</w:t>
      </w:r>
      <w:r w:rsidR="00736829" w:rsidRPr="00C82BBD">
        <w:rPr>
          <w:rFonts w:ascii="Garamond" w:hAnsi="Garamond"/>
        </w:rPr>
        <w:t xml:space="preserve">, we ask how we can account for the role of technology in the forms of care </w:t>
      </w:r>
      <w:r w:rsidR="00117303" w:rsidRPr="00C82BBD">
        <w:rPr>
          <w:rFonts w:ascii="Garamond" w:hAnsi="Garamond"/>
        </w:rPr>
        <w:t>generated</w:t>
      </w:r>
      <w:r w:rsidR="00736829" w:rsidRPr="00C82BBD">
        <w:rPr>
          <w:rFonts w:ascii="Garamond" w:hAnsi="Garamond"/>
        </w:rPr>
        <w:t xml:space="preserve"> through </w:t>
      </w:r>
      <w:r w:rsidR="00081B47" w:rsidRPr="00C82BBD">
        <w:rPr>
          <w:rFonts w:ascii="Garamond" w:hAnsi="Garamond"/>
        </w:rPr>
        <w:t>overdose responses</w:t>
      </w:r>
      <w:r w:rsidR="00736829" w:rsidRPr="00C82BBD">
        <w:rPr>
          <w:rFonts w:ascii="Garamond" w:hAnsi="Garamond"/>
        </w:rPr>
        <w:t xml:space="preserve">. In a 2002 article, Bruno Latour </w:t>
      </w:r>
      <w:r w:rsidR="005C3532" w:rsidRPr="00C82BBD">
        <w:rPr>
          <w:rFonts w:ascii="Garamond" w:hAnsi="Garamond"/>
        </w:rPr>
        <w:t>argues that within social science</w:t>
      </w:r>
      <w:r w:rsidR="00FE31AC" w:rsidRPr="00C82BBD">
        <w:rPr>
          <w:rFonts w:ascii="Garamond" w:hAnsi="Garamond"/>
        </w:rPr>
        <w:t xml:space="preserve"> research, </w:t>
      </w:r>
      <w:r w:rsidR="005C3532" w:rsidRPr="00C82BBD">
        <w:rPr>
          <w:rFonts w:ascii="Garamond" w:hAnsi="Garamond"/>
        </w:rPr>
        <w:t xml:space="preserve">technologies are generally approached in one of two ways: (1) as neutral objects for enacting human will or (2) as </w:t>
      </w:r>
      <w:r w:rsidR="00030152" w:rsidRPr="00C82BBD">
        <w:rPr>
          <w:rFonts w:ascii="Garamond" w:hAnsi="Garamond"/>
        </w:rPr>
        <w:t>objects with fixed meaning</w:t>
      </w:r>
      <w:r w:rsidR="00FE31AC" w:rsidRPr="00C82BBD">
        <w:rPr>
          <w:rFonts w:ascii="Garamond" w:hAnsi="Garamond"/>
        </w:rPr>
        <w:t xml:space="preserve"> which determine the</w:t>
      </w:r>
      <w:r w:rsidR="00736829" w:rsidRPr="00C82BBD">
        <w:rPr>
          <w:rFonts w:ascii="Garamond" w:hAnsi="Garamond"/>
        </w:rPr>
        <w:t>ir possible</w:t>
      </w:r>
      <w:r w:rsidR="00FE31AC" w:rsidRPr="00C82BBD">
        <w:rPr>
          <w:rFonts w:ascii="Garamond" w:hAnsi="Garamond"/>
        </w:rPr>
        <w:t xml:space="preserve"> use and are</w:t>
      </w:r>
      <w:r w:rsidR="00030152" w:rsidRPr="00C82BBD">
        <w:rPr>
          <w:rFonts w:ascii="Garamond" w:hAnsi="Garamond"/>
        </w:rPr>
        <w:t xml:space="preserve"> therefore reliably able to reproduce particular</w:t>
      </w:r>
      <w:r w:rsidR="00736829" w:rsidRPr="00C82BBD">
        <w:rPr>
          <w:rFonts w:ascii="Garamond" w:hAnsi="Garamond"/>
        </w:rPr>
        <w:t xml:space="preserve"> expectations</w:t>
      </w:r>
      <w:r w:rsidRPr="00C82BBD">
        <w:rPr>
          <w:rFonts w:ascii="Garamond" w:hAnsi="Garamond"/>
        </w:rPr>
        <w:t xml:space="preserve"> (see Fraser </w:t>
      </w:r>
      <w:r w:rsidR="008E63A3" w:rsidRPr="00C82BBD">
        <w:rPr>
          <w:rFonts w:ascii="Garamond" w:hAnsi="Garamond"/>
        </w:rPr>
        <w:t>2013</w:t>
      </w:r>
      <w:r w:rsidRPr="00C82BBD">
        <w:rPr>
          <w:rFonts w:ascii="Garamond" w:hAnsi="Garamond"/>
        </w:rPr>
        <w:t>)</w:t>
      </w:r>
      <w:r w:rsidR="005C3532" w:rsidRPr="00C82BBD">
        <w:rPr>
          <w:rFonts w:ascii="Garamond" w:hAnsi="Garamond"/>
        </w:rPr>
        <w:t xml:space="preserve">. </w:t>
      </w:r>
      <w:r w:rsidR="00F71BF8" w:rsidRPr="00C82BBD">
        <w:rPr>
          <w:rFonts w:ascii="Garamond" w:hAnsi="Garamond"/>
        </w:rPr>
        <w:t xml:space="preserve">Moving beyond these </w:t>
      </w:r>
      <w:r w:rsidRPr="00C82BBD">
        <w:rPr>
          <w:rFonts w:ascii="Garamond" w:hAnsi="Garamond"/>
        </w:rPr>
        <w:t>alternatives</w:t>
      </w:r>
      <w:r w:rsidR="00F71BF8" w:rsidRPr="00C82BBD">
        <w:rPr>
          <w:rFonts w:ascii="Garamond" w:hAnsi="Garamond"/>
        </w:rPr>
        <w:t>, Latour</w:t>
      </w:r>
      <w:r w:rsidR="005C3532" w:rsidRPr="00C82BBD">
        <w:rPr>
          <w:rFonts w:ascii="Garamond" w:hAnsi="Garamond"/>
        </w:rPr>
        <w:t xml:space="preserve"> argues that technologies and humans are unavoidably co-mingled. Subjects do not merely use tools or master objects, rather, the relationships between technologies and people produce specific ‘affordances’ – non-determining possibilities for actions and</w:t>
      </w:r>
      <w:r w:rsidR="0020159A" w:rsidRPr="00C82BBD">
        <w:rPr>
          <w:rFonts w:ascii="Garamond" w:hAnsi="Garamond"/>
        </w:rPr>
        <w:t xml:space="preserve"> possible</w:t>
      </w:r>
      <w:r w:rsidR="005C3532" w:rsidRPr="00C82BBD">
        <w:rPr>
          <w:rFonts w:ascii="Garamond" w:hAnsi="Garamond"/>
        </w:rPr>
        <w:t xml:space="preserve"> subject positions</w:t>
      </w:r>
      <w:r w:rsidRPr="00C82BBD">
        <w:rPr>
          <w:rFonts w:ascii="Garamond" w:hAnsi="Garamond"/>
        </w:rPr>
        <w:t>:</w:t>
      </w:r>
    </w:p>
    <w:p w14:paraId="477F3E25" w14:textId="394F2AEE" w:rsidR="00995BAC" w:rsidRPr="00C82BBD" w:rsidRDefault="005C3532" w:rsidP="00C82BBD">
      <w:pPr>
        <w:spacing w:line="480" w:lineRule="auto"/>
        <w:ind w:left="720"/>
        <w:rPr>
          <w:rFonts w:ascii="Garamond" w:hAnsi="Garamond"/>
          <w:lang w:val="en-AU"/>
        </w:rPr>
      </w:pPr>
      <w:r w:rsidRPr="00C82BBD">
        <w:rPr>
          <w:rFonts w:ascii="Garamond" w:hAnsi="Garamond"/>
          <w:lang w:val="en-AU"/>
        </w:rPr>
        <w:t>Technologies bombard human beings with a ceaseless offer of previously unheard-of positions – engagements, suggestions, allowances […] Generalizing the notion of affordance, we could say that the quasi-subjects which we all are become such thanks to the quasi-objects which populate our universe with minor ghostly beings similar to us and whose programmes of action we may or may not adopt. (Latour 2002</w:t>
      </w:r>
      <w:r w:rsidR="006758A5" w:rsidRPr="00C82BBD">
        <w:rPr>
          <w:rFonts w:ascii="Garamond" w:hAnsi="Garamond"/>
          <w:lang w:val="en-AU"/>
        </w:rPr>
        <w:t>:</w:t>
      </w:r>
      <w:r w:rsidRPr="00C82BBD">
        <w:rPr>
          <w:rFonts w:ascii="Garamond" w:hAnsi="Garamond"/>
          <w:lang w:val="en-AU"/>
        </w:rPr>
        <w:t xml:space="preserve"> 252-253)</w:t>
      </w:r>
    </w:p>
    <w:p w14:paraId="28F58AFE" w14:textId="2A4D1967" w:rsidR="0017202B" w:rsidRPr="00C82BBD" w:rsidRDefault="00C82BBD" w:rsidP="00C82BBD">
      <w:pPr>
        <w:spacing w:line="480" w:lineRule="auto"/>
        <w:rPr>
          <w:rFonts w:ascii="Garamond" w:hAnsi="Garamond"/>
          <w:lang w:val="en-AU"/>
        </w:rPr>
      </w:pPr>
      <w:r>
        <w:rPr>
          <w:rFonts w:ascii="Garamond" w:hAnsi="Garamond"/>
          <w:lang w:val="en-AU"/>
        </w:rPr>
        <w:t>In other research</w:t>
      </w:r>
      <w:r w:rsidR="00683A70" w:rsidRPr="00C82BBD">
        <w:rPr>
          <w:rFonts w:ascii="Garamond" w:hAnsi="Garamond"/>
          <w:lang w:val="en-AU"/>
        </w:rPr>
        <w:t>,</w:t>
      </w:r>
      <w:r w:rsidR="0020159A" w:rsidRPr="00C82BBD">
        <w:rPr>
          <w:rFonts w:ascii="Garamond" w:hAnsi="Garamond"/>
          <w:lang w:val="en-AU"/>
        </w:rPr>
        <w:t xml:space="preserve"> the notion of affordance </w:t>
      </w:r>
      <w:r w:rsidR="00683A70" w:rsidRPr="00C82BBD">
        <w:rPr>
          <w:rFonts w:ascii="Garamond" w:hAnsi="Garamond"/>
          <w:lang w:val="en-AU"/>
        </w:rPr>
        <w:t xml:space="preserve">is put </w:t>
      </w:r>
      <w:r w:rsidR="0020159A" w:rsidRPr="00C82BBD">
        <w:rPr>
          <w:rFonts w:ascii="Garamond" w:hAnsi="Garamond"/>
          <w:lang w:val="en-AU"/>
        </w:rPr>
        <w:t xml:space="preserve">to work on the related topic of injection </w:t>
      </w:r>
      <w:proofErr w:type="spellStart"/>
      <w:r w:rsidR="0020159A" w:rsidRPr="00C82BBD">
        <w:rPr>
          <w:rFonts w:ascii="Garamond" w:hAnsi="Garamond"/>
          <w:lang w:val="en-AU"/>
        </w:rPr>
        <w:t>fitpacks</w:t>
      </w:r>
      <w:proofErr w:type="spellEnd"/>
      <w:r w:rsidR="00F747AC" w:rsidRPr="00C82BBD">
        <w:rPr>
          <w:rFonts w:ascii="Garamond" w:hAnsi="Garamond"/>
          <w:lang w:val="en-AU"/>
        </w:rPr>
        <w:t xml:space="preserve"> (injecting equipment)</w:t>
      </w:r>
      <w:r>
        <w:rPr>
          <w:rFonts w:ascii="Garamond" w:hAnsi="Garamond"/>
          <w:lang w:val="en-AU"/>
        </w:rPr>
        <w:t xml:space="preserve"> (Fraser 2013)</w:t>
      </w:r>
      <w:r w:rsidR="00683A70" w:rsidRPr="00C82BBD">
        <w:rPr>
          <w:rFonts w:ascii="Garamond" w:hAnsi="Garamond"/>
          <w:lang w:val="en-AU"/>
        </w:rPr>
        <w:t>. The article argues that</w:t>
      </w:r>
      <w:r w:rsidR="0020159A" w:rsidRPr="00C82BBD">
        <w:rPr>
          <w:rFonts w:ascii="Garamond" w:hAnsi="Garamond"/>
          <w:lang w:val="en-AU"/>
        </w:rPr>
        <w:t xml:space="preserve"> </w:t>
      </w:r>
      <w:r w:rsidR="00F71BF8" w:rsidRPr="00C82BBD">
        <w:rPr>
          <w:rFonts w:ascii="Garamond" w:hAnsi="Garamond"/>
          <w:lang w:val="en-AU"/>
        </w:rPr>
        <w:t xml:space="preserve">as a technology </w:t>
      </w:r>
      <w:proofErr w:type="spellStart"/>
      <w:r w:rsidR="0020159A" w:rsidRPr="00C82BBD">
        <w:rPr>
          <w:rFonts w:ascii="Garamond" w:hAnsi="Garamond"/>
          <w:lang w:val="en-AU"/>
        </w:rPr>
        <w:t>fitpacks</w:t>
      </w:r>
      <w:proofErr w:type="spellEnd"/>
      <w:r w:rsidR="0020159A" w:rsidRPr="00C82BBD">
        <w:rPr>
          <w:rFonts w:ascii="Garamond" w:hAnsi="Garamond"/>
          <w:lang w:val="en-AU"/>
        </w:rPr>
        <w:t xml:space="preserve"> offer</w:t>
      </w:r>
      <w:r w:rsidR="003719A8" w:rsidRPr="00C82BBD">
        <w:rPr>
          <w:rFonts w:ascii="Garamond" w:hAnsi="Garamond"/>
          <w:lang w:val="en-AU"/>
        </w:rPr>
        <w:t xml:space="preserve"> a</w:t>
      </w:r>
      <w:r w:rsidR="0023486E" w:rsidRPr="00C82BBD">
        <w:rPr>
          <w:rFonts w:ascii="Garamond" w:hAnsi="Garamond"/>
          <w:lang w:val="en-AU"/>
        </w:rPr>
        <w:t>ffordances</w:t>
      </w:r>
      <w:r w:rsidR="00683A70" w:rsidRPr="00C82BBD">
        <w:rPr>
          <w:rFonts w:ascii="Garamond" w:hAnsi="Garamond"/>
          <w:lang w:val="en-AU"/>
        </w:rPr>
        <w:t xml:space="preserve">, that is, </w:t>
      </w:r>
      <w:r w:rsidR="0095474E" w:rsidRPr="00C82BBD">
        <w:rPr>
          <w:rFonts w:ascii="Garamond" w:hAnsi="Garamond"/>
          <w:lang w:val="en-AU"/>
        </w:rPr>
        <w:t>capacities and possibilities at once</w:t>
      </w:r>
      <w:r w:rsidR="00312C7F" w:rsidRPr="00C82BBD">
        <w:rPr>
          <w:rFonts w:ascii="Garamond" w:hAnsi="Garamond"/>
          <w:lang w:val="en-AU"/>
        </w:rPr>
        <w:t xml:space="preserve"> (also see Fraser et al. 2017 for outcomes of this approach)</w:t>
      </w:r>
      <w:r w:rsidR="0095474E" w:rsidRPr="00C82BBD">
        <w:rPr>
          <w:rFonts w:ascii="Garamond" w:hAnsi="Garamond"/>
          <w:lang w:val="en-AU"/>
        </w:rPr>
        <w:t>.</w:t>
      </w:r>
      <w:r w:rsidR="0020159A" w:rsidRPr="00C82BBD">
        <w:rPr>
          <w:rFonts w:ascii="Garamond" w:hAnsi="Garamond"/>
          <w:lang w:val="en-AU"/>
        </w:rPr>
        <w:t xml:space="preserve"> Importantly for</w:t>
      </w:r>
      <w:r w:rsidR="0095474E" w:rsidRPr="00C82BBD">
        <w:rPr>
          <w:rFonts w:ascii="Garamond" w:hAnsi="Garamond"/>
          <w:lang w:val="en-AU"/>
        </w:rPr>
        <w:t xml:space="preserve"> Latour, if technolog</w:t>
      </w:r>
      <w:r w:rsidR="00683A70" w:rsidRPr="00C82BBD">
        <w:rPr>
          <w:rFonts w:ascii="Garamond" w:hAnsi="Garamond"/>
          <w:lang w:val="en-AU"/>
        </w:rPr>
        <w:t>ies</w:t>
      </w:r>
      <w:r w:rsidR="0095474E" w:rsidRPr="00C82BBD">
        <w:rPr>
          <w:rFonts w:ascii="Garamond" w:hAnsi="Garamond"/>
          <w:lang w:val="en-AU"/>
        </w:rPr>
        <w:t xml:space="preserve"> </w:t>
      </w:r>
      <w:r w:rsidR="00683A70" w:rsidRPr="00C82BBD">
        <w:rPr>
          <w:rFonts w:ascii="Garamond" w:hAnsi="Garamond"/>
          <w:lang w:val="en-AU"/>
        </w:rPr>
        <w:t xml:space="preserve">inform </w:t>
      </w:r>
      <w:r w:rsidR="0095474E" w:rsidRPr="00C82BBD">
        <w:rPr>
          <w:rFonts w:ascii="Garamond" w:hAnsi="Garamond"/>
          <w:lang w:val="en-AU"/>
        </w:rPr>
        <w:t xml:space="preserve">action, create affordances and </w:t>
      </w:r>
      <w:r w:rsidR="00683A70" w:rsidRPr="00C82BBD">
        <w:rPr>
          <w:rFonts w:ascii="Garamond" w:hAnsi="Garamond"/>
          <w:lang w:val="en-AU"/>
        </w:rPr>
        <w:t xml:space="preserve">modulate </w:t>
      </w:r>
      <w:r w:rsidR="0095474E" w:rsidRPr="00C82BBD">
        <w:rPr>
          <w:rFonts w:ascii="Garamond" w:hAnsi="Garamond"/>
          <w:lang w:val="en-AU"/>
        </w:rPr>
        <w:t xml:space="preserve">intentions and aspirations, </w:t>
      </w:r>
      <w:r w:rsidR="00312C7F" w:rsidRPr="00C82BBD">
        <w:rPr>
          <w:rFonts w:ascii="Garamond" w:hAnsi="Garamond"/>
          <w:lang w:val="en-AU"/>
        </w:rPr>
        <w:t>they are</w:t>
      </w:r>
      <w:r w:rsidR="0095474E" w:rsidRPr="00C82BBD">
        <w:rPr>
          <w:rFonts w:ascii="Garamond" w:hAnsi="Garamond"/>
          <w:lang w:val="en-AU"/>
        </w:rPr>
        <w:t xml:space="preserve"> necessarily intertwined with </w:t>
      </w:r>
      <w:r w:rsidR="00683A70" w:rsidRPr="00C82BBD">
        <w:rPr>
          <w:rFonts w:ascii="Garamond" w:hAnsi="Garamond"/>
          <w:lang w:val="en-AU"/>
        </w:rPr>
        <w:t>what he terms ‘</w:t>
      </w:r>
      <w:r w:rsidR="0095474E" w:rsidRPr="00C82BBD">
        <w:rPr>
          <w:rFonts w:ascii="Garamond" w:hAnsi="Garamond"/>
          <w:lang w:val="en-AU"/>
        </w:rPr>
        <w:t>morality</w:t>
      </w:r>
      <w:r w:rsidR="00683A70" w:rsidRPr="00C82BBD">
        <w:rPr>
          <w:rFonts w:ascii="Garamond" w:hAnsi="Garamond"/>
          <w:lang w:val="en-AU"/>
        </w:rPr>
        <w:t>’</w:t>
      </w:r>
      <w:r w:rsidR="0095474E" w:rsidRPr="00C82BBD">
        <w:rPr>
          <w:rFonts w:ascii="Garamond" w:hAnsi="Garamond"/>
          <w:lang w:val="en-AU"/>
        </w:rPr>
        <w:t xml:space="preserve"> and</w:t>
      </w:r>
      <w:r w:rsidR="00312C7F" w:rsidRPr="00C82BBD">
        <w:rPr>
          <w:rFonts w:ascii="Garamond" w:hAnsi="Garamond"/>
          <w:lang w:val="en-AU"/>
        </w:rPr>
        <w:t xml:space="preserve"> are</w:t>
      </w:r>
      <w:r w:rsidR="00683A70" w:rsidRPr="00C82BBD">
        <w:rPr>
          <w:rFonts w:ascii="Garamond" w:hAnsi="Garamond"/>
          <w:lang w:val="en-AU"/>
        </w:rPr>
        <w:t xml:space="preserve"> therefore </w:t>
      </w:r>
      <w:r w:rsidR="0095474E" w:rsidRPr="00C82BBD">
        <w:rPr>
          <w:rFonts w:ascii="Garamond" w:hAnsi="Garamond"/>
          <w:lang w:val="en-AU"/>
        </w:rPr>
        <w:t xml:space="preserve">active in </w:t>
      </w:r>
      <w:r w:rsidR="00503E0D" w:rsidRPr="00C82BBD">
        <w:rPr>
          <w:rFonts w:ascii="Garamond" w:hAnsi="Garamond"/>
          <w:lang w:val="en-AU"/>
        </w:rPr>
        <w:t>social relations</w:t>
      </w:r>
      <w:r w:rsidR="0095474E" w:rsidRPr="00C82BBD">
        <w:rPr>
          <w:rFonts w:ascii="Garamond" w:hAnsi="Garamond"/>
          <w:lang w:val="en-AU"/>
        </w:rPr>
        <w:t xml:space="preserve"> and </w:t>
      </w:r>
      <w:r w:rsidR="00683A70" w:rsidRPr="00C82BBD">
        <w:rPr>
          <w:rFonts w:ascii="Garamond" w:hAnsi="Garamond"/>
          <w:lang w:val="en-AU"/>
        </w:rPr>
        <w:t>social events and practices</w:t>
      </w:r>
      <w:r w:rsidR="0095474E" w:rsidRPr="00C82BBD">
        <w:rPr>
          <w:rFonts w:ascii="Garamond" w:hAnsi="Garamond"/>
          <w:lang w:val="en-AU"/>
        </w:rPr>
        <w:t xml:space="preserve">. </w:t>
      </w:r>
      <w:r w:rsidR="00433BA2" w:rsidRPr="00C82BBD">
        <w:rPr>
          <w:rFonts w:ascii="Garamond" w:hAnsi="Garamond"/>
          <w:lang w:val="en-AU"/>
        </w:rPr>
        <w:t xml:space="preserve">In </w:t>
      </w:r>
      <w:r w:rsidR="0017202B" w:rsidRPr="00C82BBD">
        <w:rPr>
          <w:rFonts w:ascii="Garamond" w:hAnsi="Garamond"/>
          <w:lang w:val="en-AU"/>
        </w:rPr>
        <w:t>the</w:t>
      </w:r>
      <w:r w:rsidR="00433BA2" w:rsidRPr="00C82BBD">
        <w:rPr>
          <w:rFonts w:ascii="Garamond" w:hAnsi="Garamond"/>
          <w:lang w:val="en-AU"/>
        </w:rPr>
        <w:t xml:space="preserve"> approach</w:t>
      </w:r>
      <w:r w:rsidR="0017202B" w:rsidRPr="00C82BBD">
        <w:rPr>
          <w:rFonts w:ascii="Garamond" w:hAnsi="Garamond"/>
          <w:lang w:val="en-AU"/>
        </w:rPr>
        <w:t xml:space="preserve"> we take here</w:t>
      </w:r>
      <w:r w:rsidR="00433BA2" w:rsidRPr="00C82BBD">
        <w:rPr>
          <w:rFonts w:ascii="Garamond" w:hAnsi="Garamond"/>
          <w:lang w:val="en-AU"/>
        </w:rPr>
        <w:t xml:space="preserve">, </w:t>
      </w:r>
      <w:r w:rsidR="0095474E" w:rsidRPr="00C82BBD">
        <w:rPr>
          <w:rFonts w:ascii="Garamond" w:hAnsi="Garamond"/>
          <w:lang w:val="en-AU"/>
        </w:rPr>
        <w:t>take-home naloxone</w:t>
      </w:r>
      <w:r w:rsidR="006D7520" w:rsidRPr="00C82BBD">
        <w:rPr>
          <w:rFonts w:ascii="Garamond" w:hAnsi="Garamond"/>
          <w:lang w:val="en-AU"/>
        </w:rPr>
        <w:t xml:space="preserve"> </w:t>
      </w:r>
      <w:r w:rsidR="00433BA2" w:rsidRPr="00C82BBD">
        <w:rPr>
          <w:rFonts w:ascii="Garamond" w:hAnsi="Garamond"/>
          <w:lang w:val="en-AU"/>
        </w:rPr>
        <w:t xml:space="preserve">initiatives do not simply make available a neutral naloxone technology that is then taken home and </w:t>
      </w:r>
      <w:r w:rsidR="0017202B" w:rsidRPr="00C82BBD">
        <w:rPr>
          <w:rFonts w:ascii="Garamond" w:hAnsi="Garamond"/>
          <w:lang w:val="en-AU"/>
        </w:rPr>
        <w:t>stored</w:t>
      </w:r>
      <w:r w:rsidR="00683A70" w:rsidRPr="00C82BBD">
        <w:rPr>
          <w:rFonts w:ascii="Garamond" w:hAnsi="Garamond"/>
          <w:lang w:val="en-AU"/>
        </w:rPr>
        <w:t xml:space="preserve"> </w:t>
      </w:r>
      <w:r w:rsidR="00503E0D" w:rsidRPr="00C82BBD">
        <w:rPr>
          <w:rFonts w:ascii="Garamond" w:hAnsi="Garamond"/>
          <w:lang w:val="en-AU"/>
        </w:rPr>
        <w:t>solely</w:t>
      </w:r>
      <w:r w:rsidR="0095474E" w:rsidRPr="00C82BBD">
        <w:rPr>
          <w:rFonts w:ascii="Garamond" w:hAnsi="Garamond"/>
          <w:lang w:val="en-AU"/>
        </w:rPr>
        <w:t xml:space="preserve"> </w:t>
      </w:r>
      <w:r w:rsidR="00A67A6E" w:rsidRPr="00C82BBD">
        <w:rPr>
          <w:rFonts w:ascii="Garamond" w:hAnsi="Garamond"/>
          <w:lang w:val="en-AU"/>
        </w:rPr>
        <w:t>for emergency</w:t>
      </w:r>
      <w:r w:rsidR="00683A70" w:rsidRPr="00C82BBD">
        <w:rPr>
          <w:rFonts w:ascii="Garamond" w:hAnsi="Garamond"/>
          <w:lang w:val="en-AU"/>
        </w:rPr>
        <w:t xml:space="preserve"> </w:t>
      </w:r>
      <w:r w:rsidR="0095474E" w:rsidRPr="00C82BBD">
        <w:rPr>
          <w:rFonts w:ascii="Garamond" w:hAnsi="Garamond"/>
          <w:lang w:val="en-AU"/>
        </w:rPr>
        <w:t>revers</w:t>
      </w:r>
      <w:r w:rsidR="00A67A6E" w:rsidRPr="00C82BBD">
        <w:rPr>
          <w:rFonts w:ascii="Garamond" w:hAnsi="Garamond"/>
          <w:lang w:val="en-AU"/>
        </w:rPr>
        <w:t>al of</w:t>
      </w:r>
      <w:r w:rsidR="00683A70" w:rsidRPr="00C82BBD">
        <w:rPr>
          <w:rFonts w:ascii="Garamond" w:hAnsi="Garamond"/>
          <w:lang w:val="en-AU"/>
        </w:rPr>
        <w:t xml:space="preserve"> opioid-induced </w:t>
      </w:r>
      <w:r w:rsidR="0095474E" w:rsidRPr="00C82BBD">
        <w:rPr>
          <w:rFonts w:ascii="Garamond" w:hAnsi="Garamond"/>
          <w:lang w:val="en-AU"/>
        </w:rPr>
        <w:t>respiratory depression</w:t>
      </w:r>
      <w:r w:rsidR="00312C7F" w:rsidRPr="00C82BBD">
        <w:rPr>
          <w:rFonts w:ascii="Garamond" w:hAnsi="Garamond"/>
          <w:lang w:val="en-AU"/>
        </w:rPr>
        <w:t>.</w:t>
      </w:r>
      <w:r w:rsidR="00433BA2" w:rsidRPr="00C82BBD">
        <w:rPr>
          <w:rFonts w:ascii="Garamond" w:hAnsi="Garamond"/>
          <w:lang w:val="en-AU"/>
        </w:rPr>
        <w:t xml:space="preserve"> Rather</w:t>
      </w:r>
      <w:r w:rsidR="0017202B" w:rsidRPr="00C82BBD">
        <w:rPr>
          <w:rFonts w:ascii="Garamond" w:hAnsi="Garamond"/>
          <w:lang w:val="en-AU"/>
        </w:rPr>
        <w:t>,</w:t>
      </w:r>
      <w:r w:rsidR="00433BA2" w:rsidRPr="00C82BBD">
        <w:rPr>
          <w:rFonts w:ascii="Garamond" w:hAnsi="Garamond"/>
          <w:lang w:val="en-AU"/>
        </w:rPr>
        <w:t xml:space="preserve"> take-home naloxone </w:t>
      </w:r>
      <w:r w:rsidR="0017202B" w:rsidRPr="00C82BBD">
        <w:rPr>
          <w:rFonts w:ascii="Garamond" w:hAnsi="Garamond"/>
          <w:lang w:val="en-AU"/>
        </w:rPr>
        <w:t>programs</w:t>
      </w:r>
      <w:r w:rsidR="00433BA2" w:rsidRPr="00C82BBD">
        <w:rPr>
          <w:rFonts w:ascii="Garamond" w:hAnsi="Garamond"/>
          <w:lang w:val="en-AU"/>
        </w:rPr>
        <w:t xml:space="preserve"> </w:t>
      </w:r>
      <w:r w:rsidR="0017202B" w:rsidRPr="00C82BBD">
        <w:rPr>
          <w:rFonts w:ascii="Garamond" w:hAnsi="Garamond"/>
          <w:lang w:val="en-AU"/>
        </w:rPr>
        <w:lastRenderedPageBreak/>
        <w:t>create</w:t>
      </w:r>
      <w:r w:rsidR="00312C7F" w:rsidRPr="00C82BBD">
        <w:rPr>
          <w:rFonts w:ascii="Garamond" w:hAnsi="Garamond"/>
          <w:lang w:val="en-AU"/>
        </w:rPr>
        <w:t xml:space="preserve"> </w:t>
      </w:r>
      <w:r w:rsidR="0095474E" w:rsidRPr="00C82BBD">
        <w:rPr>
          <w:rFonts w:ascii="Garamond" w:hAnsi="Garamond"/>
          <w:lang w:val="en-AU"/>
        </w:rPr>
        <w:t>an active technology</w:t>
      </w:r>
      <w:r w:rsidR="00033064" w:rsidRPr="00C82BBD">
        <w:rPr>
          <w:rFonts w:ascii="Garamond" w:hAnsi="Garamond"/>
          <w:lang w:val="en-AU"/>
        </w:rPr>
        <w:t xml:space="preserve"> that produces particular affo</w:t>
      </w:r>
      <w:r w:rsidR="00F71BF8" w:rsidRPr="00C82BBD">
        <w:rPr>
          <w:rFonts w:ascii="Garamond" w:hAnsi="Garamond"/>
          <w:lang w:val="en-AU"/>
        </w:rPr>
        <w:t>rdan</w:t>
      </w:r>
      <w:r w:rsidR="00033064" w:rsidRPr="00C82BBD">
        <w:rPr>
          <w:rFonts w:ascii="Garamond" w:hAnsi="Garamond"/>
          <w:lang w:val="en-AU"/>
        </w:rPr>
        <w:t>ces</w:t>
      </w:r>
      <w:r w:rsidR="00683A70" w:rsidRPr="00C82BBD">
        <w:rPr>
          <w:rFonts w:ascii="Garamond" w:hAnsi="Garamond"/>
          <w:lang w:val="en-AU"/>
        </w:rPr>
        <w:t>, and these shape and are shaped by our</w:t>
      </w:r>
      <w:r w:rsidR="0095474E" w:rsidRPr="00C82BBD">
        <w:rPr>
          <w:rFonts w:ascii="Garamond" w:hAnsi="Garamond"/>
          <w:lang w:val="en-AU"/>
        </w:rPr>
        <w:t xml:space="preserve"> </w:t>
      </w:r>
      <w:r w:rsidR="00085CA9" w:rsidRPr="00C82BBD">
        <w:rPr>
          <w:rFonts w:ascii="Garamond" w:hAnsi="Garamond"/>
          <w:lang w:val="en-AU"/>
        </w:rPr>
        <w:t xml:space="preserve">ethical and political </w:t>
      </w:r>
      <w:r w:rsidR="0095474E" w:rsidRPr="00C82BBD">
        <w:rPr>
          <w:rFonts w:ascii="Garamond" w:hAnsi="Garamond"/>
          <w:lang w:val="en-AU"/>
        </w:rPr>
        <w:t>landscape</w:t>
      </w:r>
      <w:r w:rsidR="00683A70" w:rsidRPr="00C82BBD">
        <w:rPr>
          <w:rFonts w:ascii="Garamond" w:hAnsi="Garamond"/>
          <w:lang w:val="en-AU"/>
        </w:rPr>
        <w:t xml:space="preserve">, including </w:t>
      </w:r>
      <w:r w:rsidR="0095474E" w:rsidRPr="00C82BBD">
        <w:rPr>
          <w:rFonts w:ascii="Garamond" w:hAnsi="Garamond"/>
          <w:lang w:val="en-AU"/>
        </w:rPr>
        <w:t>possibilities for care</w:t>
      </w:r>
      <w:r w:rsidR="00433BA2" w:rsidRPr="00C82BBD">
        <w:rPr>
          <w:rFonts w:ascii="Garamond" w:hAnsi="Garamond"/>
          <w:lang w:val="en-AU"/>
        </w:rPr>
        <w:t xml:space="preserve"> </w:t>
      </w:r>
      <w:r w:rsidR="0017202B" w:rsidRPr="00C82BBD">
        <w:rPr>
          <w:rFonts w:ascii="Garamond" w:hAnsi="Garamond"/>
          <w:lang w:val="en-AU"/>
        </w:rPr>
        <w:t>that</w:t>
      </w:r>
      <w:r w:rsidR="00433BA2" w:rsidRPr="00C82BBD">
        <w:rPr>
          <w:rFonts w:ascii="Garamond" w:hAnsi="Garamond"/>
          <w:lang w:val="en-AU"/>
        </w:rPr>
        <w:t xml:space="preserve"> bear on the question of uptake</w:t>
      </w:r>
      <w:r w:rsidR="0095474E" w:rsidRPr="00C82BBD">
        <w:rPr>
          <w:rFonts w:ascii="Garamond" w:hAnsi="Garamond"/>
          <w:lang w:val="en-AU"/>
        </w:rPr>
        <w:t>.</w:t>
      </w:r>
      <w:r w:rsidR="00033064" w:rsidRPr="00C82BBD">
        <w:rPr>
          <w:rFonts w:ascii="Garamond" w:hAnsi="Garamond"/>
          <w:lang w:val="en-AU"/>
        </w:rPr>
        <w:t xml:space="preserve"> For example, if naloxone is not administered with the right care it can produce distressing withdrawal sensations and although</w:t>
      </w:r>
      <w:r w:rsidR="003719A8" w:rsidRPr="00C82BBD">
        <w:rPr>
          <w:rFonts w:ascii="Garamond" w:hAnsi="Garamond"/>
          <w:lang w:val="en-AU"/>
        </w:rPr>
        <w:t xml:space="preserve"> it</w:t>
      </w:r>
      <w:r w:rsidR="00033064" w:rsidRPr="00C82BBD">
        <w:rPr>
          <w:rFonts w:ascii="Garamond" w:hAnsi="Garamond"/>
          <w:lang w:val="en-AU"/>
        </w:rPr>
        <w:t xml:space="preserve"> affords the capacity to save a life, it also affords the capacity to </w:t>
      </w:r>
      <w:r w:rsidR="00117303" w:rsidRPr="00C82BBD">
        <w:rPr>
          <w:rFonts w:ascii="Garamond" w:hAnsi="Garamond"/>
          <w:lang w:val="en-AU"/>
        </w:rPr>
        <w:t xml:space="preserve">shock, </w:t>
      </w:r>
      <w:r w:rsidR="00660D41" w:rsidRPr="00C82BBD">
        <w:rPr>
          <w:rFonts w:ascii="Garamond" w:hAnsi="Garamond"/>
          <w:lang w:val="en-AU"/>
        </w:rPr>
        <w:t xml:space="preserve">withdraw pleasure and even </w:t>
      </w:r>
      <w:r w:rsidR="00033064" w:rsidRPr="00C82BBD">
        <w:rPr>
          <w:rFonts w:ascii="Garamond" w:hAnsi="Garamond"/>
          <w:lang w:val="en-AU"/>
        </w:rPr>
        <w:t>punish (Neale &amp; Strang 2015).</w:t>
      </w:r>
      <w:r w:rsidR="00433BA2" w:rsidRPr="00C82BBD">
        <w:rPr>
          <w:rFonts w:ascii="Garamond" w:hAnsi="Garamond"/>
          <w:lang w:val="en-AU"/>
        </w:rPr>
        <w:t xml:space="preserve"> In this sense, the naloxone provided through </w:t>
      </w:r>
      <w:r w:rsidR="0017202B" w:rsidRPr="00C82BBD">
        <w:rPr>
          <w:rFonts w:ascii="Garamond" w:hAnsi="Garamond"/>
          <w:lang w:val="en-AU"/>
        </w:rPr>
        <w:t>such programs</w:t>
      </w:r>
      <w:r w:rsidR="00433BA2" w:rsidRPr="00C82BBD">
        <w:rPr>
          <w:rFonts w:ascii="Garamond" w:hAnsi="Garamond"/>
          <w:lang w:val="en-AU"/>
        </w:rPr>
        <w:t xml:space="preserve"> </w:t>
      </w:r>
      <w:r w:rsidR="0017202B" w:rsidRPr="00C82BBD">
        <w:rPr>
          <w:rFonts w:ascii="Garamond" w:hAnsi="Garamond"/>
          <w:lang w:val="en-AU"/>
        </w:rPr>
        <w:t>creates</w:t>
      </w:r>
      <w:r w:rsidR="00A67A6E" w:rsidRPr="00C82BBD">
        <w:rPr>
          <w:rFonts w:ascii="Garamond" w:hAnsi="Garamond"/>
          <w:lang w:val="en-AU"/>
        </w:rPr>
        <w:t xml:space="preserve"> affordances distinct</w:t>
      </w:r>
      <w:r w:rsidR="00433BA2" w:rsidRPr="00C82BBD">
        <w:rPr>
          <w:rFonts w:ascii="Garamond" w:hAnsi="Garamond"/>
          <w:lang w:val="en-AU"/>
        </w:rPr>
        <w:t xml:space="preserve"> from the naloxone administered in a hospital or other health setting. As such</w:t>
      </w:r>
      <w:r w:rsidR="0017202B" w:rsidRPr="00C82BBD">
        <w:rPr>
          <w:rFonts w:ascii="Garamond" w:hAnsi="Garamond"/>
          <w:lang w:val="en-AU"/>
        </w:rPr>
        <w:t>, our references</w:t>
      </w:r>
      <w:r w:rsidR="00433BA2" w:rsidRPr="00C82BBD">
        <w:rPr>
          <w:rFonts w:ascii="Garamond" w:hAnsi="Garamond"/>
          <w:lang w:val="en-AU"/>
        </w:rPr>
        <w:t xml:space="preserve"> to ‘take-home naloxone’ </w:t>
      </w:r>
      <w:r w:rsidR="00041395" w:rsidRPr="00C82BBD">
        <w:rPr>
          <w:rFonts w:ascii="Garamond" w:hAnsi="Garamond"/>
          <w:lang w:val="en-AU"/>
        </w:rPr>
        <w:t>relate</w:t>
      </w:r>
      <w:r w:rsidR="0017202B" w:rsidRPr="00C82BBD">
        <w:rPr>
          <w:rFonts w:ascii="Garamond" w:hAnsi="Garamond"/>
          <w:lang w:val="en-AU"/>
        </w:rPr>
        <w:t xml:space="preserve"> to</w:t>
      </w:r>
      <w:r w:rsidR="00433BA2" w:rsidRPr="00C82BBD">
        <w:rPr>
          <w:rFonts w:ascii="Garamond" w:hAnsi="Garamond"/>
          <w:lang w:val="en-AU"/>
        </w:rPr>
        <w:t xml:space="preserve"> the affordances </w:t>
      </w:r>
      <w:r w:rsidR="0017202B" w:rsidRPr="00C82BBD">
        <w:rPr>
          <w:rFonts w:ascii="Garamond" w:hAnsi="Garamond"/>
          <w:lang w:val="en-AU"/>
        </w:rPr>
        <w:t>enacted through the combination of drug, equipment, setti</w:t>
      </w:r>
      <w:r w:rsidR="00041395" w:rsidRPr="00C82BBD">
        <w:rPr>
          <w:rFonts w:ascii="Garamond" w:hAnsi="Garamond"/>
          <w:lang w:val="en-AU"/>
        </w:rPr>
        <w:t>ng and public health injunction</w:t>
      </w:r>
      <w:r w:rsidR="0017202B" w:rsidRPr="00C82BBD">
        <w:rPr>
          <w:rFonts w:ascii="Garamond" w:hAnsi="Garamond"/>
          <w:lang w:val="en-AU"/>
        </w:rPr>
        <w:t xml:space="preserve">, rather than </w:t>
      </w:r>
      <w:r w:rsidR="00041395" w:rsidRPr="00C82BBD">
        <w:rPr>
          <w:rFonts w:ascii="Garamond" w:hAnsi="Garamond"/>
          <w:lang w:val="en-AU"/>
        </w:rPr>
        <w:t>to</w:t>
      </w:r>
      <w:r w:rsidR="0017202B" w:rsidRPr="00C82BBD">
        <w:rPr>
          <w:rFonts w:ascii="Garamond" w:hAnsi="Garamond"/>
          <w:lang w:val="en-AU"/>
        </w:rPr>
        <w:t xml:space="preserve"> the effect of the</w:t>
      </w:r>
      <w:r w:rsidR="00433BA2" w:rsidRPr="00C82BBD">
        <w:rPr>
          <w:rFonts w:ascii="Garamond" w:hAnsi="Garamond"/>
          <w:lang w:val="en-AU"/>
        </w:rPr>
        <w:t xml:space="preserve"> drug naloxone </w:t>
      </w:r>
      <w:r w:rsidR="0017202B" w:rsidRPr="00C82BBD">
        <w:rPr>
          <w:rFonts w:ascii="Garamond" w:hAnsi="Garamond"/>
          <w:lang w:val="en-AU"/>
        </w:rPr>
        <w:t>alone</w:t>
      </w:r>
      <w:r w:rsidR="00433BA2" w:rsidRPr="00C82BBD">
        <w:rPr>
          <w:rFonts w:ascii="Garamond" w:hAnsi="Garamond"/>
          <w:lang w:val="en-AU"/>
        </w:rPr>
        <w:t>.</w:t>
      </w:r>
      <w:r w:rsidR="00033064" w:rsidRPr="00C82BBD">
        <w:rPr>
          <w:rFonts w:ascii="Garamond" w:hAnsi="Garamond"/>
          <w:lang w:val="en-AU"/>
        </w:rPr>
        <w:t xml:space="preserve"> </w:t>
      </w:r>
    </w:p>
    <w:p w14:paraId="217DC67F" w14:textId="77777777" w:rsidR="0017202B" w:rsidRPr="00C82BBD" w:rsidRDefault="0017202B" w:rsidP="00C82BBD">
      <w:pPr>
        <w:spacing w:line="480" w:lineRule="auto"/>
        <w:rPr>
          <w:rFonts w:ascii="Garamond" w:hAnsi="Garamond"/>
          <w:lang w:val="en-AU"/>
        </w:rPr>
      </w:pPr>
    </w:p>
    <w:p w14:paraId="01865F29" w14:textId="1E109E99" w:rsidR="00FA2140" w:rsidRPr="00C82BBD" w:rsidRDefault="00033064" w:rsidP="00C82BBD">
      <w:pPr>
        <w:spacing w:line="480" w:lineRule="auto"/>
        <w:rPr>
          <w:rFonts w:ascii="Garamond" w:hAnsi="Garamond"/>
          <w:lang w:val="en-AU"/>
        </w:rPr>
      </w:pPr>
      <w:r w:rsidRPr="00C82BBD">
        <w:rPr>
          <w:rFonts w:ascii="Garamond" w:hAnsi="Garamond"/>
          <w:lang w:val="en-AU"/>
        </w:rPr>
        <w:t xml:space="preserve">In her exploration of </w:t>
      </w:r>
      <w:r w:rsidR="00312C7F" w:rsidRPr="00C82BBD">
        <w:rPr>
          <w:rFonts w:ascii="Garamond" w:hAnsi="Garamond"/>
          <w:lang w:val="en-AU"/>
        </w:rPr>
        <w:t xml:space="preserve">a different medication, </w:t>
      </w:r>
      <w:r w:rsidRPr="00C82BBD">
        <w:rPr>
          <w:rFonts w:ascii="Garamond" w:hAnsi="Garamond"/>
          <w:lang w:val="en-AU"/>
        </w:rPr>
        <w:t xml:space="preserve">insulin, Mol (2008) </w:t>
      </w:r>
      <w:r w:rsidR="00660D41" w:rsidRPr="00C82BBD">
        <w:rPr>
          <w:rFonts w:ascii="Garamond" w:hAnsi="Garamond"/>
          <w:lang w:val="en-AU"/>
        </w:rPr>
        <w:t>considers</w:t>
      </w:r>
      <w:r w:rsidRPr="00C82BBD">
        <w:rPr>
          <w:rFonts w:ascii="Garamond" w:hAnsi="Garamond"/>
          <w:lang w:val="en-AU"/>
        </w:rPr>
        <w:t xml:space="preserve"> how technolog</w:t>
      </w:r>
      <w:r w:rsidR="00041395" w:rsidRPr="00C82BBD">
        <w:rPr>
          <w:rFonts w:ascii="Garamond" w:hAnsi="Garamond"/>
          <w:lang w:val="en-AU"/>
        </w:rPr>
        <w:t>ies</w:t>
      </w:r>
      <w:r w:rsidRPr="00C82BBD">
        <w:rPr>
          <w:rFonts w:ascii="Garamond" w:hAnsi="Garamond"/>
          <w:lang w:val="en-AU"/>
        </w:rPr>
        <w:t xml:space="preserve"> shape moral landscape</w:t>
      </w:r>
      <w:r w:rsidR="00660D41" w:rsidRPr="00C82BBD">
        <w:rPr>
          <w:rFonts w:ascii="Garamond" w:hAnsi="Garamond"/>
          <w:lang w:val="en-AU"/>
        </w:rPr>
        <w:t>s</w:t>
      </w:r>
      <w:r w:rsidRPr="00C82BBD">
        <w:rPr>
          <w:rFonts w:ascii="Garamond" w:hAnsi="Garamond"/>
          <w:lang w:val="en-AU"/>
        </w:rPr>
        <w:t xml:space="preserve"> of care</w:t>
      </w:r>
      <w:r w:rsidR="0031581E" w:rsidRPr="00C82BBD">
        <w:rPr>
          <w:rFonts w:ascii="Garamond" w:hAnsi="Garamond"/>
          <w:lang w:val="en-AU"/>
        </w:rPr>
        <w:t>:</w:t>
      </w:r>
    </w:p>
    <w:p w14:paraId="21145A91" w14:textId="0735293B" w:rsidR="00033064" w:rsidRPr="00C82BBD" w:rsidRDefault="00033064" w:rsidP="00C82BBD">
      <w:pPr>
        <w:spacing w:line="480" w:lineRule="auto"/>
        <w:ind w:left="720"/>
        <w:rPr>
          <w:rFonts w:ascii="Garamond" w:hAnsi="Garamond"/>
        </w:rPr>
      </w:pPr>
      <w:r w:rsidRPr="00C82BBD">
        <w:rPr>
          <w:rFonts w:ascii="Garamond" w:hAnsi="Garamond"/>
        </w:rPr>
        <w:t>Nowadays, if you happen to have diabetes and refuse to inject insulin, this amounts to committing suicide. As a result of manufacturing insulin, ‘not injecting’ has become a lethal act, and hence a moral activity […] Technologies […] shift both the practical and the moral frameworks of our existence. (89-90)</w:t>
      </w:r>
    </w:p>
    <w:p w14:paraId="090363F2" w14:textId="58DBA1BB" w:rsidR="003719A8" w:rsidRPr="00C82BBD" w:rsidRDefault="00042D01" w:rsidP="00C82BBD">
      <w:pPr>
        <w:spacing w:line="480" w:lineRule="auto"/>
        <w:rPr>
          <w:rFonts w:ascii="Garamond" w:hAnsi="Garamond"/>
        </w:rPr>
      </w:pPr>
      <w:r w:rsidRPr="00C82BBD">
        <w:rPr>
          <w:rFonts w:ascii="Garamond" w:hAnsi="Garamond"/>
        </w:rPr>
        <w:t xml:space="preserve">By affording the capacity to manage diabetes, the commercial manufacture of insulin </w:t>
      </w:r>
      <w:r w:rsidR="00660D41" w:rsidRPr="00C82BBD">
        <w:rPr>
          <w:rFonts w:ascii="Garamond" w:hAnsi="Garamond"/>
        </w:rPr>
        <w:t>also affords particular</w:t>
      </w:r>
      <w:r w:rsidRPr="00C82BBD">
        <w:rPr>
          <w:rFonts w:ascii="Garamond" w:hAnsi="Garamond"/>
        </w:rPr>
        <w:t xml:space="preserve"> moral landscape</w:t>
      </w:r>
      <w:r w:rsidR="00660D41" w:rsidRPr="00C82BBD">
        <w:rPr>
          <w:rFonts w:ascii="Garamond" w:hAnsi="Garamond"/>
        </w:rPr>
        <w:t>s</w:t>
      </w:r>
      <w:r w:rsidRPr="00C82BBD">
        <w:rPr>
          <w:rFonts w:ascii="Garamond" w:hAnsi="Garamond"/>
        </w:rPr>
        <w:t xml:space="preserve"> and possibilities of care</w:t>
      </w:r>
      <w:r w:rsidR="00312C7F" w:rsidRPr="00C82BBD">
        <w:rPr>
          <w:rFonts w:ascii="Garamond" w:hAnsi="Garamond"/>
        </w:rPr>
        <w:t>, as well as particular subjects of care</w:t>
      </w:r>
      <w:r w:rsidRPr="00C82BBD">
        <w:rPr>
          <w:rFonts w:ascii="Garamond" w:hAnsi="Garamond"/>
        </w:rPr>
        <w:t>.</w:t>
      </w:r>
      <w:r w:rsidR="003719A8" w:rsidRPr="00C82BBD">
        <w:rPr>
          <w:rFonts w:ascii="Garamond" w:hAnsi="Garamond"/>
        </w:rPr>
        <w:t xml:space="preserve"> </w:t>
      </w:r>
      <w:r w:rsidR="00312C7F" w:rsidRPr="00C82BBD">
        <w:rPr>
          <w:rFonts w:ascii="Garamond" w:hAnsi="Garamond"/>
        </w:rPr>
        <w:t>A</w:t>
      </w:r>
      <w:r w:rsidR="00350455" w:rsidRPr="00C82BBD">
        <w:rPr>
          <w:rFonts w:ascii="Garamond" w:hAnsi="Garamond"/>
        </w:rPr>
        <w:t>s with</w:t>
      </w:r>
      <w:r w:rsidR="00CA759E" w:rsidRPr="00C82BBD">
        <w:rPr>
          <w:rFonts w:ascii="Garamond" w:hAnsi="Garamond"/>
        </w:rPr>
        <w:t xml:space="preserve"> </w:t>
      </w:r>
      <w:r w:rsidR="008A5535" w:rsidRPr="00C82BBD">
        <w:rPr>
          <w:rFonts w:ascii="Garamond" w:hAnsi="Garamond"/>
        </w:rPr>
        <w:t xml:space="preserve">the targets of </w:t>
      </w:r>
      <w:r w:rsidR="007350C3" w:rsidRPr="00C82BBD">
        <w:rPr>
          <w:rFonts w:ascii="Garamond" w:hAnsi="Garamond"/>
        </w:rPr>
        <w:t xml:space="preserve">public health interventions for diabetes such as the manufacture and supply of </w:t>
      </w:r>
      <w:r w:rsidR="00CA759E" w:rsidRPr="00C82BBD">
        <w:rPr>
          <w:rFonts w:ascii="Garamond" w:hAnsi="Garamond"/>
        </w:rPr>
        <w:t xml:space="preserve">insulin, </w:t>
      </w:r>
      <w:r w:rsidR="004E0741" w:rsidRPr="00C82BBD">
        <w:rPr>
          <w:rFonts w:ascii="Garamond" w:hAnsi="Garamond"/>
        </w:rPr>
        <w:t xml:space="preserve">the targets of take-home naloxone interventions are also </w:t>
      </w:r>
      <w:proofErr w:type="spellStart"/>
      <w:r w:rsidRPr="00C82BBD">
        <w:rPr>
          <w:rFonts w:ascii="Garamond" w:hAnsi="Garamond"/>
        </w:rPr>
        <w:t>respo</w:t>
      </w:r>
      <w:r w:rsidR="00350455" w:rsidRPr="00C82BBD">
        <w:rPr>
          <w:rFonts w:ascii="Garamond" w:hAnsi="Garamond"/>
        </w:rPr>
        <w:t>n</w:t>
      </w:r>
      <w:r w:rsidRPr="00C82BBD">
        <w:rPr>
          <w:rFonts w:ascii="Garamond" w:hAnsi="Garamond"/>
        </w:rPr>
        <w:t>sibilised</w:t>
      </w:r>
      <w:proofErr w:type="spellEnd"/>
      <w:r w:rsidRPr="00C82BBD">
        <w:rPr>
          <w:rFonts w:ascii="Garamond" w:hAnsi="Garamond"/>
        </w:rPr>
        <w:t xml:space="preserve"> to save lives</w:t>
      </w:r>
      <w:r w:rsidR="004E0741" w:rsidRPr="00C82BBD">
        <w:rPr>
          <w:rFonts w:ascii="Garamond" w:hAnsi="Garamond"/>
        </w:rPr>
        <w:t xml:space="preserve">. </w:t>
      </w:r>
      <w:r w:rsidR="00350455" w:rsidRPr="00C82BBD">
        <w:rPr>
          <w:rFonts w:ascii="Garamond" w:hAnsi="Garamond"/>
        </w:rPr>
        <w:t xml:space="preserve">Given these significant effects, </w:t>
      </w:r>
      <w:r w:rsidR="004E0741" w:rsidRPr="00C82BBD">
        <w:rPr>
          <w:rFonts w:ascii="Garamond" w:hAnsi="Garamond"/>
        </w:rPr>
        <w:t xml:space="preserve">questions need to be asked about </w:t>
      </w:r>
      <w:r w:rsidR="00350455" w:rsidRPr="00C82BBD">
        <w:rPr>
          <w:rFonts w:ascii="Garamond" w:hAnsi="Garamond"/>
        </w:rPr>
        <w:t xml:space="preserve">naloxone provision, including </w:t>
      </w:r>
      <w:r w:rsidR="004E0741" w:rsidRPr="00C82BBD">
        <w:rPr>
          <w:rFonts w:ascii="Garamond" w:hAnsi="Garamond"/>
        </w:rPr>
        <w:t xml:space="preserve">what other resources are provided to those asked to take </w:t>
      </w:r>
      <w:r w:rsidR="00350455" w:rsidRPr="00C82BBD">
        <w:rPr>
          <w:rFonts w:ascii="Garamond" w:hAnsi="Garamond"/>
        </w:rPr>
        <w:t>it up</w:t>
      </w:r>
      <w:r w:rsidR="00DE67F3" w:rsidRPr="00C82BBD">
        <w:rPr>
          <w:rFonts w:ascii="Garamond" w:hAnsi="Garamond"/>
        </w:rPr>
        <w:t>,</w:t>
      </w:r>
      <w:r w:rsidR="006D7520" w:rsidRPr="00C82BBD">
        <w:rPr>
          <w:rFonts w:ascii="Garamond" w:hAnsi="Garamond"/>
        </w:rPr>
        <w:t xml:space="preserve"> or </w:t>
      </w:r>
      <w:r w:rsidR="00DE67F3" w:rsidRPr="00C82BBD">
        <w:rPr>
          <w:rFonts w:ascii="Garamond" w:hAnsi="Garamond"/>
        </w:rPr>
        <w:t>what</w:t>
      </w:r>
      <w:r w:rsidR="006D7520" w:rsidRPr="00C82BBD">
        <w:rPr>
          <w:rFonts w:ascii="Garamond" w:hAnsi="Garamond"/>
        </w:rPr>
        <w:t xml:space="preserve"> risk</w:t>
      </w:r>
      <w:r w:rsidR="00DE67F3" w:rsidRPr="00C82BBD">
        <w:rPr>
          <w:rFonts w:ascii="Garamond" w:hAnsi="Garamond"/>
        </w:rPr>
        <w:t>s</w:t>
      </w:r>
      <w:r w:rsidR="006D7520" w:rsidRPr="00C82BBD">
        <w:rPr>
          <w:rFonts w:ascii="Garamond" w:hAnsi="Garamond"/>
        </w:rPr>
        <w:t xml:space="preserve"> of sanction</w:t>
      </w:r>
      <w:r w:rsidR="00DE67F3" w:rsidRPr="00C82BBD">
        <w:rPr>
          <w:rFonts w:ascii="Garamond" w:hAnsi="Garamond"/>
        </w:rPr>
        <w:t xml:space="preserve"> accompany</w:t>
      </w:r>
      <w:r w:rsidR="006D7520" w:rsidRPr="00C82BBD">
        <w:rPr>
          <w:rFonts w:ascii="Garamond" w:hAnsi="Garamond"/>
        </w:rPr>
        <w:t xml:space="preserve"> those unable to revive the person even after administration</w:t>
      </w:r>
      <w:r w:rsidR="00350455" w:rsidRPr="00C82BBD">
        <w:rPr>
          <w:rFonts w:ascii="Garamond" w:hAnsi="Garamond"/>
        </w:rPr>
        <w:t xml:space="preserve"> </w:t>
      </w:r>
      <w:r w:rsidRPr="00C82BBD">
        <w:rPr>
          <w:rFonts w:ascii="Garamond" w:hAnsi="Garamond"/>
        </w:rPr>
        <w:t>(Farrugia, Fraser &amp; Dwyer 2017).</w:t>
      </w:r>
    </w:p>
    <w:p w14:paraId="40BE2672" w14:textId="77777777" w:rsidR="004A6303" w:rsidRPr="00C82BBD" w:rsidRDefault="004A6303" w:rsidP="00C82BBD">
      <w:pPr>
        <w:spacing w:line="480" w:lineRule="auto"/>
        <w:rPr>
          <w:rFonts w:ascii="Garamond" w:hAnsi="Garamond"/>
        </w:rPr>
      </w:pPr>
    </w:p>
    <w:p w14:paraId="381A13E7" w14:textId="18F91477" w:rsidR="00FA2140" w:rsidRPr="00C82BBD" w:rsidRDefault="00801392" w:rsidP="00C82BBD">
      <w:pPr>
        <w:spacing w:line="480" w:lineRule="auto"/>
        <w:rPr>
          <w:rFonts w:ascii="Garamond" w:hAnsi="Garamond"/>
        </w:rPr>
      </w:pPr>
      <w:r w:rsidRPr="00C82BBD">
        <w:rPr>
          <w:rFonts w:ascii="Garamond" w:hAnsi="Garamond"/>
        </w:rPr>
        <w:t xml:space="preserve">Like </w:t>
      </w:r>
      <w:r w:rsidR="0020159A" w:rsidRPr="00C82BBD">
        <w:rPr>
          <w:rFonts w:ascii="Garamond" w:hAnsi="Garamond"/>
        </w:rPr>
        <w:t xml:space="preserve">the </w:t>
      </w:r>
      <w:r w:rsidRPr="00C82BBD">
        <w:rPr>
          <w:rFonts w:ascii="Garamond" w:hAnsi="Garamond"/>
        </w:rPr>
        <w:t xml:space="preserve">technologies </w:t>
      </w:r>
      <w:r w:rsidR="0020159A" w:rsidRPr="00C82BBD">
        <w:rPr>
          <w:rFonts w:ascii="Garamond" w:hAnsi="Garamond"/>
        </w:rPr>
        <w:t>implicated in care</w:t>
      </w:r>
      <w:r w:rsidRPr="00C82BBD">
        <w:rPr>
          <w:rFonts w:ascii="Garamond" w:hAnsi="Garamond"/>
        </w:rPr>
        <w:t>, the concept of care</w:t>
      </w:r>
      <w:r w:rsidR="0020159A" w:rsidRPr="00C82BBD">
        <w:rPr>
          <w:rFonts w:ascii="Garamond" w:hAnsi="Garamond"/>
        </w:rPr>
        <w:t xml:space="preserve"> itself</w:t>
      </w:r>
      <w:r w:rsidRPr="00C82BBD">
        <w:rPr>
          <w:rFonts w:ascii="Garamond" w:hAnsi="Garamond"/>
        </w:rPr>
        <w:t xml:space="preserve"> is not a straightforward</w:t>
      </w:r>
      <w:r w:rsidR="0020159A" w:rsidRPr="00C82BBD">
        <w:rPr>
          <w:rFonts w:ascii="Garamond" w:hAnsi="Garamond"/>
        </w:rPr>
        <w:t>.</w:t>
      </w:r>
      <w:r w:rsidRPr="00C82BBD">
        <w:rPr>
          <w:rFonts w:ascii="Garamond" w:hAnsi="Garamond"/>
        </w:rPr>
        <w:t xml:space="preserve"> </w:t>
      </w:r>
      <w:r w:rsidR="0020159A" w:rsidRPr="00C82BBD">
        <w:rPr>
          <w:rFonts w:ascii="Garamond" w:hAnsi="Garamond"/>
        </w:rPr>
        <w:t>W</w:t>
      </w:r>
      <w:r w:rsidRPr="00C82BBD">
        <w:rPr>
          <w:rFonts w:ascii="Garamond" w:hAnsi="Garamond"/>
        </w:rPr>
        <w:t xml:space="preserve">hat it means to care and be cared for </w:t>
      </w:r>
      <w:r w:rsidR="00350455" w:rsidRPr="00C82BBD">
        <w:rPr>
          <w:rFonts w:ascii="Garamond" w:hAnsi="Garamond"/>
        </w:rPr>
        <w:t xml:space="preserve">is </w:t>
      </w:r>
      <w:r w:rsidR="00AF438C" w:rsidRPr="00C82BBD">
        <w:rPr>
          <w:rFonts w:ascii="Garamond" w:hAnsi="Garamond"/>
        </w:rPr>
        <w:t>shaped</w:t>
      </w:r>
      <w:r w:rsidRPr="00C82BBD">
        <w:rPr>
          <w:rFonts w:ascii="Garamond" w:hAnsi="Garamond"/>
        </w:rPr>
        <w:t xml:space="preserve"> by political commitments </w:t>
      </w:r>
      <w:r w:rsidR="00135DC3" w:rsidRPr="00C82BBD">
        <w:rPr>
          <w:rFonts w:ascii="Garamond" w:hAnsi="Garamond"/>
        </w:rPr>
        <w:t>which</w:t>
      </w:r>
      <w:r w:rsidRPr="00C82BBD">
        <w:rPr>
          <w:rFonts w:ascii="Garamond" w:hAnsi="Garamond"/>
        </w:rPr>
        <w:t xml:space="preserve"> produce specific forms of intervention</w:t>
      </w:r>
      <w:r w:rsidR="00E57288" w:rsidRPr="00C82BBD">
        <w:rPr>
          <w:rFonts w:ascii="Garamond" w:hAnsi="Garamond"/>
        </w:rPr>
        <w:t xml:space="preserve"> </w:t>
      </w:r>
      <w:r w:rsidR="00E57288" w:rsidRPr="00C82BBD">
        <w:rPr>
          <w:rFonts w:ascii="Garamond" w:hAnsi="Garamond"/>
        </w:rPr>
        <w:lastRenderedPageBreak/>
        <w:t>and obligation</w:t>
      </w:r>
      <w:r w:rsidR="00350455" w:rsidRPr="00C82BBD">
        <w:rPr>
          <w:rFonts w:ascii="Garamond" w:hAnsi="Garamond"/>
        </w:rPr>
        <w:t>, and these</w:t>
      </w:r>
      <w:r w:rsidRPr="00C82BBD">
        <w:rPr>
          <w:rFonts w:ascii="Garamond" w:hAnsi="Garamond"/>
        </w:rPr>
        <w:t xml:space="preserve"> may be </w:t>
      </w:r>
      <w:r w:rsidR="00350455" w:rsidRPr="00C82BBD">
        <w:rPr>
          <w:rFonts w:ascii="Garamond" w:hAnsi="Garamond"/>
        </w:rPr>
        <w:t xml:space="preserve">experienced as </w:t>
      </w:r>
      <w:r w:rsidRPr="00C82BBD">
        <w:rPr>
          <w:rFonts w:ascii="Garamond" w:hAnsi="Garamond"/>
        </w:rPr>
        <w:t xml:space="preserve">caring </w:t>
      </w:r>
      <w:r w:rsidR="00350455" w:rsidRPr="00C82BBD">
        <w:rPr>
          <w:rFonts w:ascii="Garamond" w:hAnsi="Garamond"/>
        </w:rPr>
        <w:t xml:space="preserve">by </w:t>
      </w:r>
      <w:r w:rsidRPr="00C82BBD">
        <w:rPr>
          <w:rFonts w:ascii="Garamond" w:hAnsi="Garamond"/>
        </w:rPr>
        <w:t>some but unwanted or uncaring by others</w:t>
      </w:r>
      <w:r w:rsidR="009C235C">
        <w:rPr>
          <w:rFonts w:ascii="Garamond" w:hAnsi="Garamond"/>
        </w:rPr>
        <w:t xml:space="preserve"> (Singleton &amp; </w:t>
      </w:r>
      <w:proofErr w:type="spellStart"/>
      <w:r w:rsidR="009C235C">
        <w:rPr>
          <w:rFonts w:ascii="Garamond" w:hAnsi="Garamond"/>
        </w:rPr>
        <w:t>Mee</w:t>
      </w:r>
      <w:proofErr w:type="spellEnd"/>
      <w:r w:rsidR="009C235C">
        <w:rPr>
          <w:rFonts w:ascii="Garamond" w:hAnsi="Garamond"/>
        </w:rPr>
        <w:t xml:space="preserve"> 2017)</w:t>
      </w:r>
      <w:r w:rsidRPr="00C82BBD">
        <w:rPr>
          <w:rFonts w:ascii="Garamond" w:hAnsi="Garamond"/>
        </w:rPr>
        <w:t>. These issues, implicated in all</w:t>
      </w:r>
      <w:r w:rsidR="0020159A" w:rsidRPr="00C82BBD">
        <w:rPr>
          <w:rFonts w:ascii="Garamond" w:hAnsi="Garamond"/>
        </w:rPr>
        <w:t xml:space="preserve"> attempts to care</w:t>
      </w:r>
      <w:r w:rsidR="00CD25FF" w:rsidRPr="00C82BBD">
        <w:rPr>
          <w:rFonts w:ascii="Garamond" w:hAnsi="Garamond"/>
        </w:rPr>
        <w:t>,</w:t>
      </w:r>
      <w:r w:rsidR="0020159A" w:rsidRPr="00C82BBD">
        <w:rPr>
          <w:rFonts w:ascii="Garamond" w:hAnsi="Garamond"/>
        </w:rPr>
        <w:t xml:space="preserve"> and </w:t>
      </w:r>
      <w:r w:rsidR="00CD25FF" w:rsidRPr="00C82BBD">
        <w:rPr>
          <w:rFonts w:ascii="Garamond" w:hAnsi="Garamond"/>
        </w:rPr>
        <w:t xml:space="preserve">in all </w:t>
      </w:r>
      <w:r w:rsidR="0020159A" w:rsidRPr="00C82BBD">
        <w:rPr>
          <w:rFonts w:ascii="Garamond" w:hAnsi="Garamond"/>
        </w:rPr>
        <w:t>research on it</w:t>
      </w:r>
      <w:r w:rsidRPr="00C82BBD">
        <w:rPr>
          <w:rFonts w:ascii="Garamond" w:hAnsi="Garamond"/>
        </w:rPr>
        <w:t xml:space="preserve">, mean we need to </w:t>
      </w:r>
      <w:proofErr w:type="spellStart"/>
      <w:r w:rsidRPr="00C82BBD">
        <w:rPr>
          <w:rFonts w:ascii="Garamond" w:hAnsi="Garamond"/>
        </w:rPr>
        <w:t>analyse</w:t>
      </w:r>
      <w:proofErr w:type="spellEnd"/>
      <w:r w:rsidRPr="00C82BBD">
        <w:rPr>
          <w:rFonts w:ascii="Garamond" w:hAnsi="Garamond"/>
        </w:rPr>
        <w:t xml:space="preserve"> not only what we perceive as acts of care but the ‘conditions of possibility of care’ that frame them (Martin, Myers &amp; </w:t>
      </w:r>
      <w:proofErr w:type="spellStart"/>
      <w:r w:rsidRPr="00C82BBD">
        <w:rPr>
          <w:rFonts w:ascii="Garamond" w:hAnsi="Garamond"/>
        </w:rPr>
        <w:t>Viseu</w:t>
      </w:r>
      <w:proofErr w:type="spellEnd"/>
      <w:r w:rsidRPr="00C82BBD">
        <w:rPr>
          <w:rFonts w:ascii="Garamond" w:hAnsi="Garamond"/>
        </w:rPr>
        <w:t xml:space="preserve"> 2015). </w:t>
      </w:r>
      <w:r w:rsidR="00AF438C" w:rsidRPr="00C82BBD">
        <w:rPr>
          <w:rFonts w:ascii="Garamond" w:hAnsi="Garamond"/>
        </w:rPr>
        <w:t xml:space="preserve">In </w:t>
      </w:r>
      <w:proofErr w:type="spellStart"/>
      <w:r w:rsidR="00AF438C" w:rsidRPr="00C82BBD">
        <w:rPr>
          <w:rFonts w:ascii="Garamond" w:hAnsi="Garamond"/>
        </w:rPr>
        <w:t>analysing</w:t>
      </w:r>
      <w:proofErr w:type="spellEnd"/>
      <w:r w:rsidR="00AF438C" w:rsidRPr="00C82BBD">
        <w:rPr>
          <w:rFonts w:ascii="Garamond" w:hAnsi="Garamond"/>
        </w:rPr>
        <w:t xml:space="preserve"> modes and technologies of care and the conditions of possibility </w:t>
      </w:r>
      <w:r w:rsidR="007350C3" w:rsidRPr="00C82BBD">
        <w:rPr>
          <w:rFonts w:ascii="Garamond" w:hAnsi="Garamond"/>
        </w:rPr>
        <w:t xml:space="preserve">within which </w:t>
      </w:r>
      <w:r w:rsidR="00AF438C" w:rsidRPr="00C82BBD">
        <w:rPr>
          <w:rFonts w:ascii="Garamond" w:hAnsi="Garamond"/>
        </w:rPr>
        <w:t xml:space="preserve">they emerge, we unavoidably take part in a politics of care that </w:t>
      </w:r>
      <w:r w:rsidR="00CD25FF" w:rsidRPr="00C82BBD">
        <w:rPr>
          <w:rFonts w:ascii="Garamond" w:hAnsi="Garamond"/>
        </w:rPr>
        <w:t xml:space="preserve">includes and attends to </w:t>
      </w:r>
      <w:r w:rsidR="00AF438C" w:rsidRPr="00C82BBD">
        <w:rPr>
          <w:rFonts w:ascii="Garamond" w:hAnsi="Garamond"/>
        </w:rPr>
        <w:t xml:space="preserve">some lives and practices </w:t>
      </w:r>
      <w:r w:rsidR="00CD25FF" w:rsidRPr="00C82BBD">
        <w:rPr>
          <w:rFonts w:ascii="Garamond" w:hAnsi="Garamond"/>
        </w:rPr>
        <w:t xml:space="preserve">and neglects, ignores or excludes </w:t>
      </w:r>
      <w:r w:rsidR="00AF438C" w:rsidRPr="00C82BBD">
        <w:rPr>
          <w:rFonts w:ascii="Garamond" w:hAnsi="Garamond"/>
        </w:rPr>
        <w:t>others.</w:t>
      </w:r>
    </w:p>
    <w:p w14:paraId="16A0F66B" w14:textId="4CF125B2" w:rsidR="00FA2140" w:rsidRPr="00C82BBD" w:rsidRDefault="00AF438C" w:rsidP="00C82BBD">
      <w:pPr>
        <w:spacing w:line="480" w:lineRule="auto"/>
        <w:ind w:left="720"/>
        <w:rPr>
          <w:rFonts w:ascii="Garamond" w:hAnsi="Garamond"/>
        </w:rPr>
      </w:pPr>
      <w:r w:rsidRPr="00C82BBD">
        <w:rPr>
          <w:rFonts w:ascii="Garamond" w:hAnsi="Garamond"/>
        </w:rPr>
        <w:t>Care is a selective mode of attention: it circumscribes and cherishes some things, lives, or phenomena as its objects. In the process, it excludes others. Practices of care are always shot through with asymmetrical power relations: who has the power to car</w:t>
      </w:r>
      <w:r w:rsidR="00CA759E" w:rsidRPr="00C82BBD">
        <w:rPr>
          <w:rFonts w:ascii="Garamond" w:hAnsi="Garamond"/>
        </w:rPr>
        <w:t xml:space="preserve">e? (Martin, Myers &amp; </w:t>
      </w:r>
      <w:proofErr w:type="spellStart"/>
      <w:r w:rsidR="00CA759E" w:rsidRPr="00C82BBD">
        <w:rPr>
          <w:rFonts w:ascii="Garamond" w:hAnsi="Garamond"/>
        </w:rPr>
        <w:t>Viseu</w:t>
      </w:r>
      <w:proofErr w:type="spellEnd"/>
      <w:r w:rsidR="00CA759E" w:rsidRPr="00C82BBD">
        <w:rPr>
          <w:rFonts w:ascii="Garamond" w:hAnsi="Garamond"/>
        </w:rPr>
        <w:t xml:space="preserve"> 2015</w:t>
      </w:r>
      <w:r w:rsidR="006758A5" w:rsidRPr="00C82BBD">
        <w:rPr>
          <w:rFonts w:ascii="Garamond" w:hAnsi="Garamond"/>
        </w:rPr>
        <w:t>:</w:t>
      </w:r>
      <w:r w:rsidR="00CA759E" w:rsidRPr="00C82BBD">
        <w:rPr>
          <w:rFonts w:ascii="Garamond" w:hAnsi="Garamond"/>
        </w:rPr>
        <w:t xml:space="preserve"> </w:t>
      </w:r>
      <w:r w:rsidRPr="00C82BBD">
        <w:rPr>
          <w:rFonts w:ascii="Garamond" w:hAnsi="Garamond"/>
        </w:rPr>
        <w:t>627)</w:t>
      </w:r>
    </w:p>
    <w:p w14:paraId="35621575" w14:textId="3F2B3EF3" w:rsidR="00135DC3" w:rsidRPr="00C82BBD" w:rsidRDefault="00AF438C" w:rsidP="00C82BBD">
      <w:pPr>
        <w:spacing w:line="480" w:lineRule="auto"/>
        <w:rPr>
          <w:rFonts w:ascii="Garamond" w:hAnsi="Garamond"/>
        </w:rPr>
      </w:pPr>
      <w:r w:rsidRPr="00C82BBD">
        <w:rPr>
          <w:rFonts w:ascii="Garamond" w:hAnsi="Garamond"/>
        </w:rPr>
        <w:t xml:space="preserve">The implication of care </w:t>
      </w:r>
      <w:r w:rsidR="00CA759E" w:rsidRPr="00C82BBD">
        <w:rPr>
          <w:rFonts w:ascii="Garamond" w:hAnsi="Garamond"/>
        </w:rPr>
        <w:t xml:space="preserve">and </w:t>
      </w:r>
      <w:r w:rsidRPr="00C82BBD">
        <w:rPr>
          <w:rFonts w:ascii="Garamond" w:hAnsi="Garamond"/>
        </w:rPr>
        <w:t xml:space="preserve">power lead Martin, Myers and </w:t>
      </w:r>
      <w:proofErr w:type="spellStart"/>
      <w:r w:rsidRPr="00C82BBD">
        <w:rPr>
          <w:rFonts w:ascii="Garamond" w:hAnsi="Garamond"/>
        </w:rPr>
        <w:t>Viseu</w:t>
      </w:r>
      <w:proofErr w:type="spellEnd"/>
      <w:r w:rsidRPr="00C82BBD">
        <w:rPr>
          <w:rFonts w:ascii="Garamond" w:hAnsi="Garamond"/>
        </w:rPr>
        <w:t xml:space="preserve"> (2015) to </w:t>
      </w:r>
      <w:proofErr w:type="spellStart"/>
      <w:r w:rsidRPr="00C82BBD">
        <w:rPr>
          <w:rFonts w:ascii="Garamond" w:hAnsi="Garamond"/>
        </w:rPr>
        <w:t>theorise</w:t>
      </w:r>
      <w:proofErr w:type="spellEnd"/>
      <w:r w:rsidRPr="00C82BBD">
        <w:rPr>
          <w:rFonts w:ascii="Garamond" w:hAnsi="Garamond"/>
        </w:rPr>
        <w:t xml:space="preserve"> a notion of ‘critical care’</w:t>
      </w:r>
      <w:r w:rsidR="00CD25FF" w:rsidRPr="00C82BBD">
        <w:rPr>
          <w:rFonts w:ascii="Garamond" w:hAnsi="Garamond"/>
        </w:rPr>
        <w:t>,</w:t>
      </w:r>
      <w:r w:rsidR="001E2088" w:rsidRPr="00C82BBD">
        <w:rPr>
          <w:rFonts w:ascii="Garamond" w:hAnsi="Garamond"/>
        </w:rPr>
        <w:t xml:space="preserve"> </w:t>
      </w:r>
      <w:r w:rsidR="00503E0D" w:rsidRPr="00C82BBD">
        <w:rPr>
          <w:rFonts w:ascii="Garamond" w:hAnsi="Garamond"/>
        </w:rPr>
        <w:t>call</w:t>
      </w:r>
      <w:r w:rsidR="00CD25FF" w:rsidRPr="00C82BBD">
        <w:rPr>
          <w:rFonts w:ascii="Garamond" w:hAnsi="Garamond"/>
        </w:rPr>
        <w:t xml:space="preserve">ing </w:t>
      </w:r>
      <w:r w:rsidR="00503E0D" w:rsidRPr="00C82BBD">
        <w:rPr>
          <w:rFonts w:ascii="Garamond" w:hAnsi="Garamond"/>
        </w:rPr>
        <w:t xml:space="preserve">on </w:t>
      </w:r>
      <w:r w:rsidR="001E2088" w:rsidRPr="00C82BBD">
        <w:rPr>
          <w:rFonts w:ascii="Garamond" w:hAnsi="Garamond"/>
        </w:rPr>
        <w:t>STS researchers to ask political and ethical questions of the realities of care they enact in their research</w:t>
      </w:r>
      <w:r w:rsidRPr="00C82BBD">
        <w:rPr>
          <w:rFonts w:ascii="Garamond" w:hAnsi="Garamond"/>
        </w:rPr>
        <w:t xml:space="preserve">. </w:t>
      </w:r>
      <w:r w:rsidR="00CD25FF" w:rsidRPr="00C82BBD">
        <w:rPr>
          <w:rFonts w:ascii="Garamond" w:hAnsi="Garamond"/>
        </w:rPr>
        <w:t>Despite its benevolent tone, c</w:t>
      </w:r>
      <w:r w:rsidR="00040F04" w:rsidRPr="00C82BBD">
        <w:rPr>
          <w:rFonts w:ascii="Garamond" w:hAnsi="Garamond"/>
        </w:rPr>
        <w:t>are is not an innocent discourse</w:t>
      </w:r>
      <w:r w:rsidR="00CD25FF" w:rsidRPr="00C82BBD">
        <w:rPr>
          <w:rFonts w:ascii="Garamond" w:hAnsi="Garamond"/>
        </w:rPr>
        <w:t>,</w:t>
      </w:r>
      <w:r w:rsidR="00040F04" w:rsidRPr="00C82BBD">
        <w:rPr>
          <w:rFonts w:ascii="Garamond" w:hAnsi="Garamond"/>
        </w:rPr>
        <w:t xml:space="preserve"> and research on care must not </w:t>
      </w:r>
      <w:r w:rsidR="00CD25FF" w:rsidRPr="00C82BBD">
        <w:rPr>
          <w:rFonts w:ascii="Garamond" w:hAnsi="Garamond"/>
        </w:rPr>
        <w:t xml:space="preserve">obscure or </w:t>
      </w:r>
      <w:r w:rsidR="00040F04" w:rsidRPr="00C82BBD">
        <w:rPr>
          <w:rFonts w:ascii="Garamond" w:hAnsi="Garamond"/>
        </w:rPr>
        <w:t>conceal the ethics and politics of attempts to care (e.g. Murphy 2015</w:t>
      </w:r>
      <w:r w:rsidR="00040F04" w:rsidRPr="00C82BBD">
        <w:rPr>
          <w:rFonts w:ascii="Garamond" w:hAnsi="Garamond" w:cs="Arial"/>
          <w:lang w:val="en-AU"/>
        </w:rPr>
        <w:t>).</w:t>
      </w:r>
      <w:r w:rsidRPr="00C82BBD">
        <w:rPr>
          <w:rFonts w:ascii="Garamond" w:hAnsi="Garamond" w:cs="Arial"/>
          <w:lang w:val="en-AU"/>
        </w:rPr>
        <w:t xml:space="preserve"> </w:t>
      </w:r>
      <w:r w:rsidR="00040F04" w:rsidRPr="00C82BBD">
        <w:rPr>
          <w:rFonts w:ascii="Garamond" w:hAnsi="Garamond"/>
        </w:rPr>
        <w:t>Those who administer naloxone participate in critically important practices of care that directly save lives</w:t>
      </w:r>
      <w:r w:rsidR="00CD25FF" w:rsidRPr="00C82BBD">
        <w:rPr>
          <w:rFonts w:ascii="Garamond" w:hAnsi="Garamond"/>
        </w:rPr>
        <w:t>,</w:t>
      </w:r>
      <w:r w:rsidR="00040F04" w:rsidRPr="00C82BBD">
        <w:rPr>
          <w:rFonts w:ascii="Garamond" w:hAnsi="Garamond"/>
        </w:rPr>
        <w:t xml:space="preserve"> yet they often</w:t>
      </w:r>
      <w:r w:rsidR="00CD25FF" w:rsidRPr="00C82BBD">
        <w:rPr>
          <w:rFonts w:ascii="Garamond" w:hAnsi="Garamond"/>
        </w:rPr>
        <w:t xml:space="preserve"> face discrimination and material deprivation and fulfill this role</w:t>
      </w:r>
      <w:r w:rsidR="00040F04" w:rsidRPr="00C82BBD">
        <w:rPr>
          <w:rFonts w:ascii="Garamond" w:hAnsi="Garamond"/>
        </w:rPr>
        <w:t xml:space="preserve"> with</w:t>
      </w:r>
      <w:r w:rsidR="00CD25FF" w:rsidRPr="00C82BBD">
        <w:rPr>
          <w:rFonts w:ascii="Garamond" w:hAnsi="Garamond"/>
        </w:rPr>
        <w:t xml:space="preserve"> very</w:t>
      </w:r>
      <w:r w:rsidR="00040F04" w:rsidRPr="00C82BBD">
        <w:rPr>
          <w:rFonts w:ascii="Garamond" w:hAnsi="Garamond"/>
        </w:rPr>
        <w:t xml:space="preserve"> limited resources.</w:t>
      </w:r>
      <w:r w:rsidR="00E8211D" w:rsidRPr="00C82BBD">
        <w:rPr>
          <w:rFonts w:ascii="Garamond" w:hAnsi="Garamond"/>
        </w:rPr>
        <w:t xml:space="preserve"> Importantly, they may also face </w:t>
      </w:r>
      <w:r w:rsidR="00DE67F3" w:rsidRPr="00C82BBD">
        <w:rPr>
          <w:rFonts w:ascii="Garamond" w:hAnsi="Garamond"/>
        </w:rPr>
        <w:t>poor experiences through</w:t>
      </w:r>
      <w:r w:rsidR="00E8211D" w:rsidRPr="00C82BBD">
        <w:rPr>
          <w:rFonts w:ascii="Garamond" w:hAnsi="Garamond"/>
        </w:rPr>
        <w:t xml:space="preserve"> their</w:t>
      </w:r>
      <w:r w:rsidR="007C7C29" w:rsidRPr="00C82BBD">
        <w:rPr>
          <w:rFonts w:ascii="Garamond" w:hAnsi="Garamond"/>
        </w:rPr>
        <w:t xml:space="preserve"> attempts to</w:t>
      </w:r>
      <w:r w:rsidR="00E8211D" w:rsidRPr="00C82BBD">
        <w:rPr>
          <w:rFonts w:ascii="Garamond" w:hAnsi="Garamond"/>
        </w:rPr>
        <w:t xml:space="preserve"> care</w:t>
      </w:r>
      <w:r w:rsidR="007C7C29" w:rsidRPr="00C82BBD">
        <w:rPr>
          <w:rFonts w:ascii="Garamond" w:hAnsi="Garamond"/>
        </w:rPr>
        <w:t>,</w:t>
      </w:r>
      <w:r w:rsidR="00E8211D" w:rsidRPr="00C82BBD">
        <w:rPr>
          <w:rFonts w:ascii="Garamond" w:hAnsi="Garamond"/>
        </w:rPr>
        <w:t xml:space="preserve"> such as</w:t>
      </w:r>
      <w:r w:rsidR="00DE67F3" w:rsidRPr="00C82BBD">
        <w:rPr>
          <w:rFonts w:ascii="Garamond" w:hAnsi="Garamond"/>
        </w:rPr>
        <w:t xml:space="preserve"> negative</w:t>
      </w:r>
      <w:r w:rsidR="00E8211D" w:rsidRPr="00C82BBD">
        <w:rPr>
          <w:rFonts w:ascii="Garamond" w:hAnsi="Garamond"/>
        </w:rPr>
        <w:t xml:space="preserve"> interactions with police</w:t>
      </w:r>
      <w:r w:rsidR="00DE67F3" w:rsidRPr="00C82BBD">
        <w:rPr>
          <w:rFonts w:ascii="Garamond" w:hAnsi="Garamond"/>
        </w:rPr>
        <w:t xml:space="preserve"> or</w:t>
      </w:r>
      <w:r w:rsidR="00E8211D" w:rsidRPr="00C82BBD">
        <w:rPr>
          <w:rFonts w:ascii="Garamond" w:hAnsi="Garamond"/>
        </w:rPr>
        <w:t xml:space="preserve"> paramedics and conflict with the person</w:t>
      </w:r>
      <w:r w:rsidR="007C7C29" w:rsidRPr="00C82BBD">
        <w:rPr>
          <w:rFonts w:ascii="Garamond" w:hAnsi="Garamond"/>
        </w:rPr>
        <w:t xml:space="preserve"> who has </w:t>
      </w:r>
      <w:r w:rsidR="00DE67F3" w:rsidRPr="00C82BBD">
        <w:rPr>
          <w:rFonts w:ascii="Garamond" w:hAnsi="Garamond"/>
        </w:rPr>
        <w:t>received the</w:t>
      </w:r>
      <w:r w:rsidR="00E8211D" w:rsidRPr="00C82BBD">
        <w:rPr>
          <w:rFonts w:ascii="Garamond" w:hAnsi="Garamond"/>
        </w:rPr>
        <w:t xml:space="preserve"> naloxone</w:t>
      </w:r>
      <w:r w:rsidR="002E1CA2" w:rsidRPr="00C82BBD">
        <w:rPr>
          <w:rFonts w:ascii="Garamond" w:hAnsi="Garamond"/>
        </w:rPr>
        <w:t xml:space="preserve"> (Black et al. 2017)</w:t>
      </w:r>
      <w:r w:rsidR="00E8211D" w:rsidRPr="00C82BBD">
        <w:rPr>
          <w:rFonts w:ascii="Garamond" w:hAnsi="Garamond"/>
        </w:rPr>
        <w:t>.</w:t>
      </w:r>
      <w:r w:rsidR="00040F04" w:rsidRPr="00C82BBD">
        <w:rPr>
          <w:rFonts w:ascii="Garamond" w:hAnsi="Garamond"/>
        </w:rPr>
        <w:t xml:space="preserve"> </w:t>
      </w:r>
      <w:r w:rsidR="00135DC3" w:rsidRPr="00C82BBD">
        <w:rPr>
          <w:rFonts w:ascii="Garamond" w:hAnsi="Garamond"/>
        </w:rPr>
        <w:t xml:space="preserve">This is why we </w:t>
      </w:r>
      <w:proofErr w:type="spellStart"/>
      <w:r w:rsidR="00040F04" w:rsidRPr="00C82BBD">
        <w:rPr>
          <w:rFonts w:ascii="Garamond" w:hAnsi="Garamond"/>
        </w:rPr>
        <w:t>emphasise</w:t>
      </w:r>
      <w:proofErr w:type="spellEnd"/>
      <w:r w:rsidR="00135DC3" w:rsidRPr="00C82BBD">
        <w:rPr>
          <w:rFonts w:ascii="Garamond" w:hAnsi="Garamond"/>
        </w:rPr>
        <w:t xml:space="preserve"> the politics of care</w:t>
      </w:r>
      <w:r w:rsidRPr="00C82BBD">
        <w:rPr>
          <w:rFonts w:ascii="Garamond" w:hAnsi="Garamond"/>
        </w:rPr>
        <w:t xml:space="preserve"> </w:t>
      </w:r>
      <w:r w:rsidR="00040F04" w:rsidRPr="00C82BBD">
        <w:rPr>
          <w:rFonts w:ascii="Garamond" w:hAnsi="Garamond"/>
        </w:rPr>
        <w:t>here</w:t>
      </w:r>
      <w:r w:rsidR="00CD25FF" w:rsidRPr="00C82BBD">
        <w:rPr>
          <w:rFonts w:ascii="Garamond" w:hAnsi="Garamond"/>
        </w:rPr>
        <w:t>,</w:t>
      </w:r>
      <w:r w:rsidR="00040F04" w:rsidRPr="00C82BBD">
        <w:rPr>
          <w:rFonts w:ascii="Garamond" w:hAnsi="Garamond"/>
        </w:rPr>
        <w:t xml:space="preserve"> and seek to </w:t>
      </w:r>
      <w:r w:rsidR="00135DC3" w:rsidRPr="00C82BBD">
        <w:rPr>
          <w:rFonts w:ascii="Garamond" w:hAnsi="Garamond"/>
        </w:rPr>
        <w:t xml:space="preserve">stress </w:t>
      </w:r>
      <w:r w:rsidR="00040F04" w:rsidRPr="00C82BBD">
        <w:rPr>
          <w:rFonts w:ascii="Garamond" w:hAnsi="Garamond"/>
        </w:rPr>
        <w:t>the importance of</w:t>
      </w:r>
      <w:r w:rsidR="00135DC3" w:rsidRPr="00C82BBD">
        <w:rPr>
          <w:rFonts w:ascii="Garamond" w:hAnsi="Garamond"/>
        </w:rPr>
        <w:t xml:space="preserve"> practices of care produced in administration </w:t>
      </w:r>
      <w:r w:rsidR="0089568F" w:rsidRPr="00C82BBD">
        <w:rPr>
          <w:rFonts w:ascii="Garamond" w:hAnsi="Garamond"/>
        </w:rPr>
        <w:t xml:space="preserve">events </w:t>
      </w:r>
      <w:r w:rsidR="00040F04" w:rsidRPr="00C82BBD">
        <w:rPr>
          <w:rFonts w:ascii="Garamond" w:hAnsi="Garamond"/>
        </w:rPr>
        <w:t>while also</w:t>
      </w:r>
      <w:r w:rsidR="00135DC3" w:rsidRPr="00C82BBD">
        <w:rPr>
          <w:rFonts w:ascii="Garamond" w:hAnsi="Garamond"/>
        </w:rPr>
        <w:t xml:space="preserve"> seek</w:t>
      </w:r>
      <w:r w:rsidR="00040F04" w:rsidRPr="00C82BBD">
        <w:rPr>
          <w:rFonts w:ascii="Garamond" w:hAnsi="Garamond"/>
        </w:rPr>
        <w:t>ing</w:t>
      </w:r>
      <w:r w:rsidR="00135DC3" w:rsidRPr="00C82BBD">
        <w:rPr>
          <w:rFonts w:ascii="Garamond" w:hAnsi="Garamond"/>
        </w:rPr>
        <w:t xml:space="preserve"> to hold the unevenly distributed possibilities of care at the front of an analysis of overdose responses.</w:t>
      </w:r>
      <w:r w:rsidR="00040F04" w:rsidRPr="00C82BBD">
        <w:rPr>
          <w:rFonts w:ascii="Garamond" w:hAnsi="Garamond"/>
        </w:rPr>
        <w:t xml:space="preserve"> </w:t>
      </w:r>
      <w:r w:rsidR="00CD25FF" w:rsidRPr="00C82BBD">
        <w:rPr>
          <w:rFonts w:ascii="Garamond" w:hAnsi="Garamond"/>
        </w:rPr>
        <w:t>Perhaps most strikingly for the politics of care in relation to take-home naloxone,</w:t>
      </w:r>
      <w:r w:rsidR="00135DC3" w:rsidRPr="00C82BBD">
        <w:rPr>
          <w:rFonts w:ascii="Garamond" w:hAnsi="Garamond"/>
        </w:rPr>
        <w:t xml:space="preserve"> as our analysis will explore, people who consume opi</w:t>
      </w:r>
      <w:r w:rsidR="00040F04" w:rsidRPr="00C82BBD">
        <w:rPr>
          <w:rFonts w:ascii="Garamond" w:hAnsi="Garamond"/>
        </w:rPr>
        <w:t xml:space="preserve">oids are routinely </w:t>
      </w:r>
      <w:proofErr w:type="spellStart"/>
      <w:r w:rsidR="00040F04" w:rsidRPr="00C82BBD">
        <w:rPr>
          <w:rFonts w:ascii="Garamond" w:hAnsi="Garamond"/>
        </w:rPr>
        <w:t>stigmatis</w:t>
      </w:r>
      <w:r w:rsidR="00135DC3" w:rsidRPr="00C82BBD">
        <w:rPr>
          <w:rFonts w:ascii="Garamond" w:hAnsi="Garamond"/>
        </w:rPr>
        <w:t>ed</w:t>
      </w:r>
      <w:proofErr w:type="spellEnd"/>
      <w:r w:rsidR="00135DC3" w:rsidRPr="00C82BBD">
        <w:rPr>
          <w:rFonts w:ascii="Garamond" w:hAnsi="Garamond"/>
        </w:rPr>
        <w:t xml:space="preserve"> as careless and uncaring </w:t>
      </w:r>
      <w:r w:rsidR="00503E0D" w:rsidRPr="00C82BBD">
        <w:rPr>
          <w:rFonts w:ascii="Garamond" w:hAnsi="Garamond"/>
        </w:rPr>
        <w:t>(Taylor 2008)</w:t>
      </w:r>
      <w:r w:rsidR="00135DC3" w:rsidRPr="00C82BBD">
        <w:rPr>
          <w:rFonts w:ascii="Garamond" w:hAnsi="Garamond"/>
        </w:rPr>
        <w:t xml:space="preserve">, </w:t>
      </w:r>
      <w:r w:rsidR="00CD25FF" w:rsidRPr="00C82BBD">
        <w:rPr>
          <w:rFonts w:ascii="Garamond" w:hAnsi="Garamond"/>
        </w:rPr>
        <w:t xml:space="preserve">yet </w:t>
      </w:r>
      <w:r w:rsidR="00503E0D" w:rsidRPr="00C82BBD">
        <w:rPr>
          <w:rFonts w:ascii="Garamond" w:hAnsi="Garamond"/>
        </w:rPr>
        <w:t xml:space="preserve">they </w:t>
      </w:r>
      <w:r w:rsidR="00135DC3" w:rsidRPr="00C82BBD">
        <w:rPr>
          <w:rFonts w:ascii="Garamond" w:hAnsi="Garamond"/>
        </w:rPr>
        <w:t>enact forms of care</w:t>
      </w:r>
      <w:r w:rsidR="00CD25FF" w:rsidRPr="00C82BBD">
        <w:rPr>
          <w:rFonts w:ascii="Garamond" w:hAnsi="Garamond"/>
        </w:rPr>
        <w:t xml:space="preserve"> from which many others baulk,</w:t>
      </w:r>
      <w:r w:rsidR="00135DC3" w:rsidRPr="00C82BBD">
        <w:rPr>
          <w:rFonts w:ascii="Garamond" w:hAnsi="Garamond"/>
        </w:rPr>
        <w:t xml:space="preserve"> </w:t>
      </w:r>
      <w:r w:rsidR="00CD25FF" w:rsidRPr="00C82BBD">
        <w:rPr>
          <w:rFonts w:ascii="Garamond" w:hAnsi="Garamond"/>
        </w:rPr>
        <w:t xml:space="preserve">under </w:t>
      </w:r>
      <w:r w:rsidR="00135DC3" w:rsidRPr="00C82BBD">
        <w:rPr>
          <w:rFonts w:ascii="Garamond" w:hAnsi="Garamond"/>
        </w:rPr>
        <w:t>very restricted conditions of possibility.</w:t>
      </w:r>
      <w:r w:rsidR="003E0358" w:rsidRPr="00C82BBD">
        <w:rPr>
          <w:rFonts w:ascii="Garamond" w:hAnsi="Garamond"/>
        </w:rPr>
        <w:t xml:space="preserve"> Mindful of the politics of care, we approach take-home naloxone as contingently</w:t>
      </w:r>
      <w:r w:rsidR="00135DC3" w:rsidRPr="00C82BBD">
        <w:rPr>
          <w:rFonts w:ascii="Garamond" w:hAnsi="Garamond"/>
        </w:rPr>
        <w:t xml:space="preserve"> co-produc</w:t>
      </w:r>
      <w:r w:rsidR="003E0358" w:rsidRPr="00C82BBD">
        <w:rPr>
          <w:rFonts w:ascii="Garamond" w:hAnsi="Garamond"/>
        </w:rPr>
        <w:t>ing</w:t>
      </w:r>
      <w:r w:rsidR="00135DC3" w:rsidRPr="00C82BBD">
        <w:rPr>
          <w:rFonts w:ascii="Garamond" w:hAnsi="Garamond"/>
        </w:rPr>
        <w:t xml:space="preserve"> different capacities for, and subjects of, care.</w:t>
      </w:r>
      <w:r w:rsidR="003E0358" w:rsidRPr="00C82BBD">
        <w:rPr>
          <w:rFonts w:ascii="Garamond" w:hAnsi="Garamond"/>
        </w:rPr>
        <w:t xml:space="preserve"> These all bear on when, how</w:t>
      </w:r>
      <w:r w:rsidR="00E8211D" w:rsidRPr="00C82BBD">
        <w:rPr>
          <w:rFonts w:ascii="Garamond" w:hAnsi="Garamond"/>
        </w:rPr>
        <w:t>,</w:t>
      </w:r>
      <w:r w:rsidR="003E0358" w:rsidRPr="00C82BBD">
        <w:rPr>
          <w:rFonts w:ascii="Garamond" w:hAnsi="Garamond"/>
        </w:rPr>
        <w:t xml:space="preserve"> why</w:t>
      </w:r>
      <w:r w:rsidR="00E8211D" w:rsidRPr="00C82BBD">
        <w:rPr>
          <w:rFonts w:ascii="Garamond" w:hAnsi="Garamond"/>
        </w:rPr>
        <w:t xml:space="preserve"> and in what ways</w:t>
      </w:r>
      <w:r w:rsidR="003E0358" w:rsidRPr="00C82BBD">
        <w:rPr>
          <w:rFonts w:ascii="Garamond" w:hAnsi="Garamond"/>
        </w:rPr>
        <w:t xml:space="preserve"> the technology is dis</w:t>
      </w:r>
      <w:r w:rsidR="00A344CC" w:rsidRPr="00C82BBD">
        <w:rPr>
          <w:rFonts w:ascii="Garamond" w:hAnsi="Garamond"/>
        </w:rPr>
        <w:t>tributed, taken up and applied.</w:t>
      </w:r>
    </w:p>
    <w:p w14:paraId="47CD78EE" w14:textId="77777777" w:rsidR="004A6303" w:rsidRPr="00C82BBD" w:rsidRDefault="004A6303" w:rsidP="00C82BBD">
      <w:pPr>
        <w:pStyle w:val="CommentText"/>
        <w:spacing w:line="480" w:lineRule="auto"/>
        <w:rPr>
          <w:rFonts w:ascii="Garamond" w:hAnsi="Garamond"/>
          <w:sz w:val="22"/>
          <w:szCs w:val="22"/>
        </w:rPr>
      </w:pPr>
    </w:p>
    <w:p w14:paraId="6DD0C5E9" w14:textId="0687EC10" w:rsidR="00AF438C" w:rsidRPr="00C82BBD" w:rsidRDefault="004715ED" w:rsidP="00C82BBD">
      <w:pPr>
        <w:spacing w:line="480" w:lineRule="auto"/>
        <w:rPr>
          <w:rFonts w:ascii="Garamond" w:hAnsi="Garamond"/>
          <w:b/>
        </w:rPr>
      </w:pPr>
      <w:r w:rsidRPr="00C82BBD">
        <w:rPr>
          <w:rFonts w:ascii="Garamond" w:hAnsi="Garamond"/>
          <w:b/>
        </w:rPr>
        <w:t>Method</w:t>
      </w:r>
    </w:p>
    <w:p w14:paraId="4866D3CE" w14:textId="461A1805" w:rsidR="00287633" w:rsidRPr="00C82BBD" w:rsidRDefault="00287633" w:rsidP="00C82BBD">
      <w:pPr>
        <w:autoSpaceDE w:val="0"/>
        <w:autoSpaceDN w:val="0"/>
        <w:adjustRightInd w:val="0"/>
        <w:spacing w:after="0" w:line="480" w:lineRule="auto"/>
        <w:rPr>
          <w:rFonts w:ascii="Garamond" w:hAnsi="Garamond"/>
        </w:rPr>
      </w:pPr>
      <w:r w:rsidRPr="00C82BBD">
        <w:rPr>
          <w:rFonts w:ascii="Garamond" w:hAnsi="Garamond"/>
        </w:rPr>
        <w:t xml:space="preserve">This article draws on </w:t>
      </w:r>
      <w:r w:rsidR="00087C2B" w:rsidRPr="00C82BBD">
        <w:rPr>
          <w:rFonts w:ascii="Garamond" w:hAnsi="Garamond"/>
        </w:rPr>
        <w:t xml:space="preserve">data collected for </w:t>
      </w:r>
      <w:r w:rsidRPr="00C82BBD">
        <w:rPr>
          <w:rFonts w:ascii="Garamond" w:hAnsi="Garamond"/>
        </w:rPr>
        <w:t xml:space="preserve">a qualitative research project </w:t>
      </w:r>
      <w:r w:rsidR="003257B4" w:rsidRPr="00C82BBD">
        <w:rPr>
          <w:rFonts w:ascii="Garamond" w:hAnsi="Garamond"/>
        </w:rPr>
        <w:t>on take-home naloxone. D</w:t>
      </w:r>
      <w:r w:rsidRPr="00C82BBD">
        <w:rPr>
          <w:rFonts w:ascii="Garamond" w:hAnsi="Garamond"/>
        </w:rPr>
        <w:t xml:space="preserve">esigned to </w:t>
      </w:r>
      <w:r w:rsidR="00087C2B" w:rsidRPr="00C82BBD">
        <w:rPr>
          <w:rFonts w:ascii="Garamond" w:hAnsi="Garamond"/>
        </w:rPr>
        <w:t xml:space="preserve">gather </w:t>
      </w:r>
      <w:r w:rsidRPr="00C82BBD">
        <w:rPr>
          <w:rFonts w:ascii="Garamond" w:hAnsi="Garamond"/>
        </w:rPr>
        <w:t xml:space="preserve">in-depth </w:t>
      </w:r>
      <w:r w:rsidR="003257B4" w:rsidRPr="00C82BBD">
        <w:rPr>
          <w:rFonts w:ascii="Garamond" w:hAnsi="Garamond"/>
        </w:rPr>
        <w:t xml:space="preserve">perspectives </w:t>
      </w:r>
      <w:r w:rsidR="00087C2B" w:rsidRPr="00C82BBD">
        <w:rPr>
          <w:rFonts w:ascii="Garamond" w:hAnsi="Garamond"/>
        </w:rPr>
        <w:t xml:space="preserve">on the meanings of </w:t>
      </w:r>
      <w:r w:rsidR="005A0AED" w:rsidRPr="00C82BBD">
        <w:rPr>
          <w:rFonts w:ascii="Garamond" w:hAnsi="Garamond"/>
        </w:rPr>
        <w:t xml:space="preserve">take-home naloxone </w:t>
      </w:r>
      <w:r w:rsidR="00087C2B" w:rsidRPr="00C82BBD">
        <w:rPr>
          <w:rFonts w:ascii="Garamond" w:hAnsi="Garamond"/>
        </w:rPr>
        <w:t>for opioid</w:t>
      </w:r>
      <w:r w:rsidR="00B45CD3" w:rsidRPr="00C82BBD">
        <w:rPr>
          <w:rFonts w:ascii="Garamond" w:hAnsi="Garamond"/>
        </w:rPr>
        <w:t xml:space="preserve"> consumers </w:t>
      </w:r>
      <w:r w:rsidR="00087C2B" w:rsidRPr="00C82BBD">
        <w:rPr>
          <w:rFonts w:ascii="Garamond" w:hAnsi="Garamond"/>
        </w:rPr>
        <w:t>and health professionals</w:t>
      </w:r>
      <w:r w:rsidR="009A6B13" w:rsidRPr="00C82BBD">
        <w:rPr>
          <w:rStyle w:val="EndnoteReference"/>
          <w:rFonts w:ascii="Garamond" w:hAnsi="Garamond"/>
        </w:rPr>
        <w:endnoteReference w:id="1"/>
      </w:r>
      <w:r w:rsidR="00087C2B" w:rsidRPr="00C82BBD">
        <w:rPr>
          <w:rFonts w:ascii="Garamond" w:hAnsi="Garamond"/>
        </w:rPr>
        <w:t xml:space="preserve">, </w:t>
      </w:r>
      <w:r w:rsidR="003257B4" w:rsidRPr="00C82BBD">
        <w:rPr>
          <w:rFonts w:ascii="Garamond" w:hAnsi="Garamond"/>
        </w:rPr>
        <w:t>it will</w:t>
      </w:r>
      <w:r w:rsidR="00087C2B" w:rsidRPr="00C82BBD">
        <w:rPr>
          <w:rFonts w:ascii="Garamond" w:hAnsi="Garamond"/>
        </w:rPr>
        <w:t xml:space="preserve"> shed light on impediments to scale-up, including the role of stigma. </w:t>
      </w:r>
      <w:r w:rsidR="002D3ECE" w:rsidRPr="00C82BBD">
        <w:rPr>
          <w:rFonts w:ascii="Garamond" w:hAnsi="Garamond"/>
        </w:rPr>
        <w:t xml:space="preserve">The </w:t>
      </w:r>
      <w:r w:rsidR="006765A6" w:rsidRPr="00C82BBD">
        <w:rPr>
          <w:rFonts w:ascii="Garamond" w:hAnsi="Garamond"/>
        </w:rPr>
        <w:t xml:space="preserve">study used a </w:t>
      </w:r>
      <w:r w:rsidR="00087C2B" w:rsidRPr="00C82BBD">
        <w:rPr>
          <w:rFonts w:ascii="Garamond" w:hAnsi="Garamond"/>
        </w:rPr>
        <w:t xml:space="preserve">purposive </w:t>
      </w:r>
      <w:r w:rsidR="003257B4" w:rsidRPr="00C82BBD">
        <w:rPr>
          <w:rFonts w:ascii="Garamond" w:hAnsi="Garamond"/>
        </w:rPr>
        <w:t xml:space="preserve">data collection </w:t>
      </w:r>
      <w:r w:rsidR="00087C2B" w:rsidRPr="00C82BBD">
        <w:rPr>
          <w:rFonts w:ascii="Garamond" w:hAnsi="Garamond"/>
        </w:rPr>
        <w:t>strategy</w:t>
      </w:r>
      <w:r w:rsidR="006765A6" w:rsidRPr="00C82BBD">
        <w:rPr>
          <w:rFonts w:ascii="Garamond" w:hAnsi="Garamond"/>
        </w:rPr>
        <w:t xml:space="preserve"> to recruit and interview </w:t>
      </w:r>
      <w:r w:rsidR="0061209D" w:rsidRPr="00C82BBD">
        <w:rPr>
          <w:rFonts w:ascii="Garamond" w:hAnsi="Garamond"/>
        </w:rPr>
        <w:t xml:space="preserve">46 </w:t>
      </w:r>
      <w:r w:rsidR="006765A6" w:rsidRPr="00C82BBD">
        <w:rPr>
          <w:rFonts w:ascii="Garamond" w:hAnsi="Garamond"/>
        </w:rPr>
        <w:t xml:space="preserve">opioid consumers across the Australian states of New South Wales and Victoria. </w:t>
      </w:r>
      <w:r w:rsidR="003257B4" w:rsidRPr="00C82BBD">
        <w:rPr>
          <w:rFonts w:ascii="Garamond" w:hAnsi="Garamond"/>
        </w:rPr>
        <w:t>Prospective participants</w:t>
      </w:r>
      <w:r w:rsidR="00B45CD3" w:rsidRPr="00C82BBD">
        <w:rPr>
          <w:rFonts w:ascii="Garamond" w:hAnsi="Garamond"/>
        </w:rPr>
        <w:t xml:space="preserve"> were screened to ensure variation between types of opioids consumed (including for chronic pain), experience with take-home naloxone, gender, age, ethnicity, socio-economic background. </w:t>
      </w:r>
      <w:r w:rsidR="008305DD" w:rsidRPr="00C82BBD">
        <w:rPr>
          <w:rFonts w:ascii="Garamond" w:hAnsi="Garamond"/>
        </w:rPr>
        <w:t xml:space="preserve">All participants provided informed written consent. </w:t>
      </w:r>
      <w:r w:rsidR="007C7C29" w:rsidRPr="00C82BBD">
        <w:rPr>
          <w:rFonts w:ascii="Garamond" w:hAnsi="Garamond"/>
        </w:rPr>
        <w:t>The first and fourth author conducted</w:t>
      </w:r>
      <w:r w:rsidR="008305DD" w:rsidRPr="00C82BBD">
        <w:rPr>
          <w:rFonts w:ascii="Garamond" w:hAnsi="Garamond"/>
        </w:rPr>
        <w:t xml:space="preserve"> in-depth semi-structured interviews</w:t>
      </w:r>
      <w:r w:rsidR="007C7C29" w:rsidRPr="00C82BBD">
        <w:rPr>
          <w:rFonts w:ascii="Garamond" w:hAnsi="Garamond"/>
        </w:rPr>
        <w:t xml:space="preserve"> that</w:t>
      </w:r>
      <w:r w:rsidR="008305DD" w:rsidRPr="00C82BBD">
        <w:rPr>
          <w:rFonts w:ascii="Garamond" w:hAnsi="Garamond"/>
        </w:rPr>
        <w:t xml:space="preserve"> explored </w:t>
      </w:r>
      <w:r w:rsidR="007C7C29" w:rsidRPr="00C82BBD">
        <w:rPr>
          <w:rFonts w:ascii="Garamond" w:hAnsi="Garamond"/>
        </w:rPr>
        <w:t>participants</w:t>
      </w:r>
      <w:r w:rsidR="00877B76" w:rsidRPr="00C82BBD">
        <w:rPr>
          <w:rFonts w:ascii="Garamond" w:hAnsi="Garamond"/>
        </w:rPr>
        <w:t>’</w:t>
      </w:r>
      <w:r w:rsidR="007C7C29" w:rsidRPr="00C82BBD">
        <w:rPr>
          <w:rFonts w:ascii="Garamond" w:hAnsi="Garamond"/>
        </w:rPr>
        <w:t xml:space="preserve"> </w:t>
      </w:r>
      <w:r w:rsidR="008305DD" w:rsidRPr="00C82BBD">
        <w:rPr>
          <w:rFonts w:ascii="Garamond" w:hAnsi="Garamond"/>
        </w:rPr>
        <w:t xml:space="preserve">experiences of opioid consumption and overdose, awareness of, and experience with, take-home naloxone, access to take-home naloxone, experience with, and opinions of, overdose response training and </w:t>
      </w:r>
      <w:r w:rsidR="000B3FBF" w:rsidRPr="00C82BBD">
        <w:rPr>
          <w:rFonts w:ascii="Garamond" w:hAnsi="Garamond"/>
        </w:rPr>
        <w:t xml:space="preserve">different </w:t>
      </w:r>
      <w:r w:rsidR="008305DD" w:rsidRPr="00C82BBD">
        <w:rPr>
          <w:rFonts w:ascii="Garamond" w:hAnsi="Garamond"/>
        </w:rPr>
        <w:t>take-home naloxone</w:t>
      </w:r>
      <w:r w:rsidR="00E8211D" w:rsidRPr="00C82BBD">
        <w:rPr>
          <w:rFonts w:ascii="Garamond" w:hAnsi="Garamond"/>
        </w:rPr>
        <w:t xml:space="preserve"> products (</w:t>
      </w:r>
      <w:r w:rsidR="000B3FBF" w:rsidRPr="00C82BBD">
        <w:rPr>
          <w:rFonts w:ascii="Garamond" w:hAnsi="Garamond"/>
        </w:rPr>
        <w:t>e.g.</w:t>
      </w:r>
      <w:r w:rsidR="00E8211D" w:rsidRPr="00C82BBD">
        <w:rPr>
          <w:rFonts w:ascii="Garamond" w:hAnsi="Garamond"/>
        </w:rPr>
        <w:t xml:space="preserve"> intranasal or intramuscular administration equipment)</w:t>
      </w:r>
      <w:r w:rsidR="008305DD" w:rsidRPr="00C82BBD">
        <w:rPr>
          <w:rFonts w:ascii="Garamond" w:hAnsi="Garamond"/>
        </w:rPr>
        <w:t xml:space="preserve">. </w:t>
      </w:r>
      <w:r w:rsidR="00F60608" w:rsidRPr="00C82BBD">
        <w:rPr>
          <w:rFonts w:ascii="Garamond" w:hAnsi="Garamond"/>
        </w:rPr>
        <w:t xml:space="preserve">Interviews were </w:t>
      </w:r>
      <w:r w:rsidR="00F56A1C" w:rsidRPr="00C82BBD">
        <w:rPr>
          <w:rFonts w:ascii="Garamond" w:hAnsi="Garamond"/>
        </w:rPr>
        <w:t xml:space="preserve">conducted </w:t>
      </w:r>
      <w:r w:rsidR="00034C99" w:rsidRPr="00C82BBD">
        <w:rPr>
          <w:rFonts w:ascii="Garamond" w:hAnsi="Garamond"/>
        </w:rPr>
        <w:t>in private rooms of alcohol and other drug services, university offices or public places such as libraries and cafes</w:t>
      </w:r>
      <w:r w:rsidR="00F56A1C" w:rsidRPr="00C82BBD">
        <w:rPr>
          <w:rFonts w:ascii="Garamond" w:hAnsi="Garamond"/>
        </w:rPr>
        <w:t xml:space="preserve">. They were </w:t>
      </w:r>
      <w:r w:rsidR="00F60608" w:rsidRPr="00C82BBD">
        <w:rPr>
          <w:rFonts w:ascii="Garamond" w:hAnsi="Garamond"/>
        </w:rPr>
        <w:t>digitally recorded and participants were reimbursed AUD</w:t>
      </w:r>
      <w:r w:rsidR="00F56A1C" w:rsidRPr="00C82BBD">
        <w:rPr>
          <w:rFonts w:ascii="Garamond" w:hAnsi="Garamond"/>
        </w:rPr>
        <w:t>50</w:t>
      </w:r>
      <w:r w:rsidR="00F60608" w:rsidRPr="00C82BBD">
        <w:rPr>
          <w:rFonts w:ascii="Garamond" w:hAnsi="Garamond"/>
        </w:rPr>
        <w:t xml:space="preserve"> </w:t>
      </w:r>
      <w:r w:rsidR="00F56A1C" w:rsidRPr="00C82BBD">
        <w:rPr>
          <w:rFonts w:ascii="Garamond" w:hAnsi="Garamond"/>
        </w:rPr>
        <w:t>in recognition of th</w:t>
      </w:r>
      <w:r w:rsidR="00F60608" w:rsidRPr="00C82BBD">
        <w:rPr>
          <w:rFonts w:ascii="Garamond" w:hAnsi="Garamond"/>
        </w:rPr>
        <w:t>eir time</w:t>
      </w:r>
      <w:r w:rsidR="00F56A1C" w:rsidRPr="00C82BBD">
        <w:rPr>
          <w:rFonts w:ascii="Garamond" w:hAnsi="Garamond"/>
        </w:rPr>
        <w:t xml:space="preserve"> and contribution to the research</w:t>
      </w:r>
      <w:r w:rsidR="00F60608" w:rsidRPr="00C82BBD">
        <w:rPr>
          <w:rFonts w:ascii="Garamond" w:hAnsi="Garamond"/>
        </w:rPr>
        <w:t xml:space="preserve">. </w:t>
      </w:r>
      <w:r w:rsidR="002F19C9" w:rsidRPr="00C82BBD">
        <w:rPr>
          <w:rFonts w:ascii="Garamond" w:hAnsi="Garamond"/>
        </w:rPr>
        <w:t>All i</w:t>
      </w:r>
      <w:r w:rsidR="006B54D1" w:rsidRPr="00C82BBD">
        <w:rPr>
          <w:rFonts w:ascii="Garamond" w:hAnsi="Garamond"/>
        </w:rPr>
        <w:t>nterview recording</w:t>
      </w:r>
      <w:r w:rsidR="00676428" w:rsidRPr="00C82BBD">
        <w:rPr>
          <w:rFonts w:ascii="Garamond" w:hAnsi="Garamond"/>
        </w:rPr>
        <w:t>s</w:t>
      </w:r>
      <w:r w:rsidR="006B54D1" w:rsidRPr="00C82BBD">
        <w:rPr>
          <w:rFonts w:ascii="Garamond" w:hAnsi="Garamond"/>
        </w:rPr>
        <w:t xml:space="preserve"> were transcribed verbatim and the transcripts imported into QSR </w:t>
      </w:r>
      <w:proofErr w:type="spellStart"/>
      <w:r w:rsidR="006B54D1" w:rsidRPr="00C82BBD">
        <w:rPr>
          <w:rFonts w:ascii="Garamond" w:hAnsi="Garamond"/>
        </w:rPr>
        <w:t>Nvivo</w:t>
      </w:r>
      <w:proofErr w:type="spellEnd"/>
      <w:r w:rsidR="006B54D1" w:rsidRPr="00C82BBD">
        <w:rPr>
          <w:rFonts w:ascii="Garamond" w:hAnsi="Garamond"/>
        </w:rPr>
        <w:t xml:space="preserve"> 11 for data management and coding.</w:t>
      </w:r>
    </w:p>
    <w:p w14:paraId="31161BF7" w14:textId="77777777" w:rsidR="003257B4" w:rsidRPr="00C82BBD" w:rsidRDefault="003257B4" w:rsidP="00C82BBD">
      <w:pPr>
        <w:autoSpaceDE w:val="0"/>
        <w:autoSpaceDN w:val="0"/>
        <w:adjustRightInd w:val="0"/>
        <w:spacing w:after="0" w:line="480" w:lineRule="auto"/>
        <w:rPr>
          <w:rFonts w:ascii="Garamond" w:hAnsi="Garamond"/>
        </w:rPr>
      </w:pPr>
    </w:p>
    <w:p w14:paraId="77D842BB" w14:textId="41B753C9" w:rsidR="006765A6" w:rsidRPr="00C82BBD" w:rsidRDefault="003257B4" w:rsidP="00C82BBD">
      <w:pPr>
        <w:spacing w:line="480" w:lineRule="auto"/>
        <w:rPr>
          <w:rFonts w:ascii="Garamond" w:hAnsi="Garamond" w:cs="Times New Roman"/>
        </w:rPr>
      </w:pPr>
      <w:r w:rsidRPr="00C82BBD">
        <w:rPr>
          <w:rFonts w:ascii="Garamond" w:hAnsi="Garamond"/>
        </w:rPr>
        <w:t>The study was approved by Curtin University’s Human Research Ethics Committee (</w:t>
      </w:r>
      <w:r w:rsidRPr="00C82BBD">
        <w:rPr>
          <w:rFonts w:ascii="Garamond" w:hAnsi="Garamond" w:cs="Times New Roman"/>
          <w:bCs/>
          <w:lang w:val="en-AU"/>
        </w:rPr>
        <w:t>HRE2017-0168</w:t>
      </w:r>
      <w:r w:rsidRPr="00C82BBD">
        <w:rPr>
          <w:rFonts w:ascii="Garamond" w:hAnsi="Garamond"/>
        </w:rPr>
        <w:t>/2017).</w:t>
      </w:r>
    </w:p>
    <w:p w14:paraId="247543D0" w14:textId="77777777" w:rsidR="003257B4" w:rsidRPr="00C82BBD" w:rsidRDefault="003257B4" w:rsidP="00C82BBD">
      <w:pPr>
        <w:spacing w:line="480" w:lineRule="auto"/>
        <w:rPr>
          <w:rFonts w:ascii="Garamond" w:hAnsi="Garamond" w:cs="Times New Roman"/>
        </w:rPr>
      </w:pPr>
    </w:p>
    <w:p w14:paraId="510F25C2" w14:textId="66AB8DCA" w:rsidR="00566558" w:rsidRPr="00C82BBD" w:rsidRDefault="00DE514E" w:rsidP="00C82BBD">
      <w:pPr>
        <w:autoSpaceDE w:val="0"/>
        <w:autoSpaceDN w:val="0"/>
        <w:adjustRightInd w:val="0"/>
        <w:spacing w:after="0" w:line="480" w:lineRule="auto"/>
        <w:rPr>
          <w:rFonts w:ascii="Garamond" w:hAnsi="Garamond" w:cs="AdvPS6F00"/>
        </w:rPr>
      </w:pPr>
      <w:r w:rsidRPr="00C82BBD">
        <w:rPr>
          <w:rFonts w:ascii="Garamond" w:hAnsi="Garamond"/>
        </w:rPr>
        <w:t>The analysis conducted for this article has been approached using a case study method</w:t>
      </w:r>
      <w:r w:rsidR="00072C72">
        <w:rPr>
          <w:rFonts w:ascii="Garamond" w:hAnsi="Garamond"/>
        </w:rPr>
        <w:t xml:space="preserve">, </w:t>
      </w:r>
      <w:r w:rsidR="00526C36" w:rsidRPr="00C82BBD">
        <w:rPr>
          <w:rFonts w:ascii="Garamond" w:hAnsi="Garamond"/>
        </w:rPr>
        <w:t>a method</w:t>
      </w:r>
      <w:r w:rsidR="00C630AC" w:rsidRPr="00C82BBD">
        <w:rPr>
          <w:rFonts w:ascii="Garamond" w:hAnsi="Garamond"/>
        </w:rPr>
        <w:t xml:space="preserve"> </w:t>
      </w:r>
      <w:r w:rsidR="00B9780C" w:rsidRPr="00C82BBD">
        <w:rPr>
          <w:rFonts w:ascii="Garamond" w:hAnsi="Garamond"/>
        </w:rPr>
        <w:t>about which</w:t>
      </w:r>
      <w:r w:rsidR="007A53AE" w:rsidRPr="00C82BBD">
        <w:rPr>
          <w:rFonts w:ascii="Garamond" w:hAnsi="Garamond"/>
        </w:rPr>
        <w:t xml:space="preserve"> </w:t>
      </w:r>
      <w:r w:rsidR="00072C72">
        <w:rPr>
          <w:rFonts w:ascii="Garamond" w:hAnsi="Garamond" w:cs="Times-Roman"/>
        </w:rPr>
        <w:t>STS</w:t>
      </w:r>
      <w:r w:rsidRPr="00C82BBD">
        <w:rPr>
          <w:rFonts w:ascii="Garamond" w:hAnsi="Garamond" w:cs="Times-Roman"/>
        </w:rPr>
        <w:t xml:space="preserve"> has much to say. </w:t>
      </w:r>
      <w:r w:rsidR="00072C72">
        <w:rPr>
          <w:rFonts w:ascii="Garamond" w:hAnsi="Garamond" w:cs="Times-Roman"/>
        </w:rPr>
        <w:t>We</w:t>
      </w:r>
      <w:r w:rsidRPr="00C82BBD">
        <w:rPr>
          <w:rFonts w:ascii="Garamond" w:hAnsi="Garamond" w:cs="Times-Roman"/>
        </w:rPr>
        <w:t xml:space="preserve"> </w:t>
      </w:r>
      <w:r w:rsidR="003D797C" w:rsidRPr="00C82BBD">
        <w:rPr>
          <w:rFonts w:ascii="Garamond" w:hAnsi="Garamond" w:cs="Times-Roman"/>
        </w:rPr>
        <w:t>draw on</w:t>
      </w:r>
      <w:r w:rsidRPr="00C82BBD">
        <w:rPr>
          <w:rFonts w:ascii="Garamond" w:hAnsi="Garamond" w:cs="Times-Roman"/>
        </w:rPr>
        <w:t xml:space="preserve"> Mol and Law’s (2002)</w:t>
      </w:r>
      <w:r w:rsidR="003D797C" w:rsidRPr="00C82BBD">
        <w:rPr>
          <w:rFonts w:ascii="Garamond" w:hAnsi="Garamond" w:cs="Times-Roman"/>
        </w:rPr>
        <w:t xml:space="preserve"> argument that cases are productive because they can offer ‘partially translatable’ insights emerging from their ability to </w:t>
      </w:r>
      <w:proofErr w:type="spellStart"/>
      <w:r w:rsidR="003D797C" w:rsidRPr="00C82BBD">
        <w:rPr>
          <w:rFonts w:ascii="Garamond" w:hAnsi="Garamond" w:cs="Times-Roman"/>
        </w:rPr>
        <w:t>sensitise</w:t>
      </w:r>
      <w:proofErr w:type="spellEnd"/>
      <w:r w:rsidR="003D797C" w:rsidRPr="00C82BBD">
        <w:rPr>
          <w:rFonts w:ascii="Garamond" w:hAnsi="Garamond" w:cs="Times-Roman"/>
        </w:rPr>
        <w:t xml:space="preserve"> us to previously </w:t>
      </w:r>
      <w:proofErr w:type="spellStart"/>
      <w:r w:rsidR="003D797C" w:rsidRPr="00C82BBD">
        <w:rPr>
          <w:rFonts w:ascii="Garamond" w:hAnsi="Garamond" w:cs="Times-Roman"/>
        </w:rPr>
        <w:t>unrecognised</w:t>
      </w:r>
      <w:proofErr w:type="spellEnd"/>
      <w:r w:rsidR="003D797C" w:rsidRPr="00C82BBD">
        <w:rPr>
          <w:rFonts w:ascii="Garamond" w:hAnsi="Garamond" w:cs="Times-Roman"/>
        </w:rPr>
        <w:t xml:space="preserve"> events and situations</w:t>
      </w:r>
      <w:r w:rsidRPr="00C82BBD">
        <w:rPr>
          <w:rFonts w:ascii="Garamond" w:hAnsi="Garamond" w:cs="Times-Roman"/>
        </w:rPr>
        <w:t xml:space="preserve"> (see Fraser </w:t>
      </w:r>
      <w:r w:rsidR="00114F52" w:rsidRPr="00C82BBD">
        <w:rPr>
          <w:rFonts w:ascii="Garamond" w:hAnsi="Garamond" w:cs="Times-Roman"/>
        </w:rPr>
        <w:t>&amp;</w:t>
      </w:r>
      <w:r w:rsidRPr="00C82BBD">
        <w:rPr>
          <w:rFonts w:ascii="Garamond" w:hAnsi="Garamond" w:cs="Times-Roman"/>
        </w:rPr>
        <w:t xml:space="preserve"> Seear 2011, for more on this approach)</w:t>
      </w:r>
      <w:r w:rsidR="003D797C" w:rsidRPr="00C82BBD">
        <w:rPr>
          <w:rFonts w:ascii="Garamond" w:hAnsi="Garamond" w:cs="Times-Roman"/>
        </w:rPr>
        <w:t>.</w:t>
      </w:r>
      <w:r w:rsidR="001C6A98">
        <w:rPr>
          <w:rFonts w:ascii="Garamond" w:hAnsi="Garamond" w:cs="Times-Roman"/>
        </w:rPr>
        <w:t xml:space="preserve"> In this way, while our primary goal is </w:t>
      </w:r>
      <w:r w:rsidR="00CD1978">
        <w:rPr>
          <w:rFonts w:ascii="Garamond" w:hAnsi="Garamond" w:cs="Times-Roman"/>
        </w:rPr>
        <w:t xml:space="preserve">to offer </w:t>
      </w:r>
      <w:r w:rsidR="001C6A98">
        <w:rPr>
          <w:rFonts w:ascii="Garamond" w:hAnsi="Garamond" w:cs="Times-Roman"/>
        </w:rPr>
        <w:t xml:space="preserve">deeper insight into the expectations, experiences and relations co-produced by take-home naloxone, the forms of care and responsibility emerging with it can act as a </w:t>
      </w:r>
      <w:r w:rsidR="001C6A98">
        <w:rPr>
          <w:rFonts w:ascii="Garamond" w:hAnsi="Garamond" w:cs="Times-Roman"/>
        </w:rPr>
        <w:lastRenderedPageBreak/>
        <w:t>case for analysis of other health initiatives (</w:t>
      </w:r>
      <w:r w:rsidR="001C6A98" w:rsidRPr="00C82BBD">
        <w:rPr>
          <w:rFonts w:ascii="Garamond" w:hAnsi="Garamond" w:cs="Times-Roman"/>
        </w:rPr>
        <w:t>Fraser &amp; Seear 2011</w:t>
      </w:r>
      <w:r w:rsidR="001C6A98">
        <w:rPr>
          <w:rFonts w:ascii="Garamond" w:hAnsi="Garamond" w:cs="Times-Roman"/>
        </w:rPr>
        <w:t>).</w:t>
      </w:r>
      <w:r w:rsidR="003D797C" w:rsidRPr="00C82BBD">
        <w:rPr>
          <w:rFonts w:ascii="Garamond" w:hAnsi="Garamond" w:cs="Times-Roman"/>
        </w:rPr>
        <w:t xml:space="preserve"> </w:t>
      </w:r>
      <w:r w:rsidR="00B9780C" w:rsidRPr="00C82BBD">
        <w:rPr>
          <w:rFonts w:ascii="Garamond" w:hAnsi="Garamond"/>
        </w:rPr>
        <w:t xml:space="preserve">In choosing the two cases presented in this article we </w:t>
      </w:r>
      <w:r w:rsidR="00B561F3">
        <w:rPr>
          <w:rFonts w:ascii="Garamond" w:hAnsi="Garamond"/>
        </w:rPr>
        <w:t xml:space="preserve">focused on </w:t>
      </w:r>
      <w:r w:rsidR="00B9780C" w:rsidRPr="00C82BBD">
        <w:rPr>
          <w:rFonts w:ascii="Garamond" w:hAnsi="Garamond"/>
        </w:rPr>
        <w:t>those offering rich detail and nuanced ways of discussing the different sets of interpersonal relations implicated in events of administration.</w:t>
      </w:r>
      <w:r w:rsidR="009E4487">
        <w:rPr>
          <w:rFonts w:ascii="Garamond" w:hAnsi="Garamond"/>
        </w:rPr>
        <w:t xml:space="preserve"> </w:t>
      </w:r>
      <w:r w:rsidR="00B561F3">
        <w:rPr>
          <w:rFonts w:ascii="Garamond" w:hAnsi="Garamond"/>
        </w:rPr>
        <w:t>In this respect they were selected for their potential utility for in-depth analysis. Importantly, while this article focuses on these two cases, discussions of c</w:t>
      </w:r>
      <w:r w:rsidR="009E4487">
        <w:rPr>
          <w:rFonts w:ascii="Garamond" w:hAnsi="Garamond"/>
        </w:rPr>
        <w:t xml:space="preserve">are practices were </w:t>
      </w:r>
      <w:r w:rsidR="00B561F3">
        <w:rPr>
          <w:rFonts w:ascii="Garamond" w:hAnsi="Garamond"/>
        </w:rPr>
        <w:t xml:space="preserve">common in the interview data. </w:t>
      </w:r>
      <w:r w:rsidR="009E4487">
        <w:rPr>
          <w:rFonts w:ascii="Garamond" w:hAnsi="Garamond"/>
        </w:rPr>
        <w:t>Our encounters with these two cases moved us</w:t>
      </w:r>
      <w:r w:rsidR="00F92AE2">
        <w:rPr>
          <w:rFonts w:ascii="Garamond" w:hAnsi="Garamond"/>
        </w:rPr>
        <w:t xml:space="preserve"> to position care as a focus for our analysis of take-home naloxone (Martin, Myers &amp; </w:t>
      </w:r>
      <w:proofErr w:type="spellStart"/>
      <w:r w:rsidR="00F92AE2">
        <w:rPr>
          <w:rFonts w:ascii="Garamond" w:hAnsi="Garamond"/>
        </w:rPr>
        <w:t>Viseu</w:t>
      </w:r>
      <w:proofErr w:type="spellEnd"/>
      <w:r w:rsidR="00F92AE2">
        <w:rPr>
          <w:rFonts w:ascii="Garamond" w:hAnsi="Garamond"/>
        </w:rPr>
        <w:t>, 2015).</w:t>
      </w:r>
      <w:r w:rsidR="00B9780C" w:rsidRPr="00C82BBD">
        <w:rPr>
          <w:rFonts w:ascii="Garamond" w:hAnsi="Garamond"/>
        </w:rPr>
        <w:t xml:space="preserve"> Both case studies </w:t>
      </w:r>
      <w:proofErr w:type="spellStart"/>
      <w:r w:rsidR="00B9780C" w:rsidRPr="00C82BBD">
        <w:rPr>
          <w:rFonts w:ascii="Garamond" w:hAnsi="Garamond"/>
        </w:rPr>
        <w:t>emphasise</w:t>
      </w:r>
      <w:proofErr w:type="spellEnd"/>
      <w:r w:rsidR="00B9780C" w:rsidRPr="00C82BBD">
        <w:rPr>
          <w:rFonts w:ascii="Garamond" w:hAnsi="Garamond"/>
        </w:rPr>
        <w:t xml:space="preserve"> the multiple affordances created by take-home naloxone interventions, shed light on </w:t>
      </w:r>
      <w:r w:rsidR="001A46A2" w:rsidRPr="00C82BBD">
        <w:rPr>
          <w:rFonts w:ascii="Garamond" w:hAnsi="Garamond"/>
        </w:rPr>
        <w:t>relevant previously unexamined aspects,</w:t>
      </w:r>
      <w:r w:rsidR="00B9780C" w:rsidRPr="00C82BBD">
        <w:rPr>
          <w:rFonts w:ascii="Garamond" w:hAnsi="Garamond"/>
        </w:rPr>
        <w:t xml:space="preserve"> and help us to rethink assumptions.</w:t>
      </w:r>
      <w:r w:rsidR="001A46A2" w:rsidRPr="00C82BBD">
        <w:rPr>
          <w:rFonts w:ascii="Garamond" w:hAnsi="Garamond"/>
        </w:rPr>
        <w:t xml:space="preserve"> </w:t>
      </w:r>
      <w:r w:rsidRPr="00C82BBD">
        <w:rPr>
          <w:rFonts w:ascii="Garamond" w:hAnsi="Garamond" w:cs="AdvPS6F00"/>
        </w:rPr>
        <w:t xml:space="preserve">As we will </w:t>
      </w:r>
      <w:r w:rsidR="00034C99" w:rsidRPr="00C82BBD">
        <w:rPr>
          <w:rFonts w:ascii="Garamond" w:hAnsi="Garamond" w:cs="AdvPS6F00"/>
        </w:rPr>
        <w:t xml:space="preserve">argue </w:t>
      </w:r>
      <w:r w:rsidRPr="00C82BBD">
        <w:rPr>
          <w:rFonts w:ascii="Garamond" w:hAnsi="Garamond" w:cs="AdvPS6F00"/>
        </w:rPr>
        <w:t>in the analysis that follows, focusing on the cases presented here allows us to</w:t>
      </w:r>
      <w:r w:rsidR="00566558" w:rsidRPr="00C82BBD">
        <w:rPr>
          <w:rFonts w:ascii="Garamond" w:hAnsi="Garamond" w:cs="AdvPS6F00"/>
        </w:rPr>
        <w:t>:</w:t>
      </w:r>
      <w:r w:rsidRPr="00C82BBD">
        <w:rPr>
          <w:rFonts w:ascii="Garamond" w:hAnsi="Garamond" w:cs="AdvPS6F00"/>
        </w:rPr>
        <w:t xml:space="preserve"> </w:t>
      </w:r>
    </w:p>
    <w:p w14:paraId="368DBF0A" w14:textId="4500E60F" w:rsidR="00566558" w:rsidRPr="00C82BBD" w:rsidRDefault="00DE514E" w:rsidP="00C82BBD">
      <w:pPr>
        <w:pStyle w:val="ListParagraph"/>
        <w:numPr>
          <w:ilvl w:val="0"/>
          <w:numId w:val="6"/>
        </w:numPr>
        <w:autoSpaceDE w:val="0"/>
        <w:autoSpaceDN w:val="0"/>
        <w:adjustRightInd w:val="0"/>
        <w:spacing w:line="480" w:lineRule="auto"/>
        <w:rPr>
          <w:rFonts w:ascii="Garamond" w:hAnsi="Garamond" w:cs="AdvPS6F00"/>
          <w:sz w:val="22"/>
          <w:szCs w:val="22"/>
        </w:rPr>
      </w:pPr>
      <w:r w:rsidRPr="00C82BBD">
        <w:rPr>
          <w:rFonts w:ascii="Garamond" w:hAnsi="Garamond" w:cs="AdvPS6F00"/>
          <w:sz w:val="22"/>
          <w:szCs w:val="22"/>
        </w:rPr>
        <w:t>become sensitised to the particular operations and dynamics of care that give meaning to take</w:t>
      </w:r>
      <w:r w:rsidR="00566558" w:rsidRPr="00C82BBD">
        <w:rPr>
          <w:rFonts w:ascii="Garamond" w:hAnsi="Garamond" w:cs="AdvPS6F00"/>
          <w:sz w:val="22"/>
          <w:szCs w:val="22"/>
        </w:rPr>
        <w:t>-home naloxone use;</w:t>
      </w:r>
    </w:p>
    <w:p w14:paraId="4E8CCB5D" w14:textId="74E792FE" w:rsidR="00566558" w:rsidRPr="00C82BBD" w:rsidRDefault="00DE514E" w:rsidP="00C82BBD">
      <w:pPr>
        <w:pStyle w:val="ListParagraph"/>
        <w:numPr>
          <w:ilvl w:val="0"/>
          <w:numId w:val="6"/>
        </w:numPr>
        <w:autoSpaceDE w:val="0"/>
        <w:autoSpaceDN w:val="0"/>
        <w:adjustRightInd w:val="0"/>
        <w:spacing w:line="480" w:lineRule="auto"/>
        <w:rPr>
          <w:rFonts w:ascii="Garamond" w:hAnsi="Garamond" w:cs="AdvPS6F00"/>
          <w:sz w:val="22"/>
          <w:szCs w:val="22"/>
        </w:rPr>
      </w:pPr>
      <w:r w:rsidRPr="00C82BBD">
        <w:rPr>
          <w:rFonts w:ascii="Garamond" w:hAnsi="Garamond" w:cs="AdvPS6F00"/>
          <w:sz w:val="22"/>
          <w:szCs w:val="22"/>
        </w:rPr>
        <w:t xml:space="preserve">consider how issues of care </w:t>
      </w:r>
      <w:r w:rsidR="00566558" w:rsidRPr="00C82BBD">
        <w:rPr>
          <w:rFonts w:ascii="Garamond" w:hAnsi="Garamond" w:cs="AdvPS6F00"/>
          <w:sz w:val="22"/>
          <w:szCs w:val="22"/>
        </w:rPr>
        <w:t xml:space="preserve">of the kind </w:t>
      </w:r>
      <w:r w:rsidRPr="00C82BBD">
        <w:rPr>
          <w:rFonts w:ascii="Garamond" w:hAnsi="Garamond" w:cs="AdvPS6F00"/>
          <w:sz w:val="22"/>
          <w:szCs w:val="22"/>
        </w:rPr>
        <w:t xml:space="preserve">illustrated here might be translatable, if partially, to broader questions about uptake </w:t>
      </w:r>
      <w:r w:rsidR="00566558" w:rsidRPr="00C82BBD">
        <w:rPr>
          <w:rFonts w:ascii="Garamond" w:hAnsi="Garamond" w:cs="AdvPS6F00"/>
          <w:sz w:val="22"/>
          <w:szCs w:val="22"/>
        </w:rPr>
        <w:t>and diffusion of the technology;</w:t>
      </w:r>
      <w:r w:rsidRPr="00C82BBD">
        <w:rPr>
          <w:rFonts w:ascii="Garamond" w:hAnsi="Garamond" w:cs="AdvPS6F00"/>
          <w:sz w:val="22"/>
          <w:szCs w:val="22"/>
        </w:rPr>
        <w:t xml:space="preserve"> </w:t>
      </w:r>
    </w:p>
    <w:p w14:paraId="01CCAC0B" w14:textId="3F3D30ED" w:rsidR="00566558" w:rsidRPr="00C82BBD" w:rsidRDefault="00DE514E" w:rsidP="00C82BBD">
      <w:pPr>
        <w:pStyle w:val="ListParagraph"/>
        <w:numPr>
          <w:ilvl w:val="0"/>
          <w:numId w:val="6"/>
        </w:numPr>
        <w:autoSpaceDE w:val="0"/>
        <w:autoSpaceDN w:val="0"/>
        <w:adjustRightInd w:val="0"/>
        <w:spacing w:line="480" w:lineRule="auto"/>
        <w:rPr>
          <w:rFonts w:ascii="Garamond" w:hAnsi="Garamond" w:cs="AdvPS6F00"/>
          <w:sz w:val="22"/>
          <w:szCs w:val="22"/>
        </w:rPr>
      </w:pPr>
      <w:r w:rsidRPr="00C82BBD">
        <w:rPr>
          <w:rFonts w:ascii="Garamond" w:hAnsi="Garamond" w:cs="AdvPS6F00"/>
          <w:sz w:val="22"/>
          <w:szCs w:val="22"/>
        </w:rPr>
        <w:t>rethink assumptions and expectations about people who consume heroin and their relationship to caring, and</w:t>
      </w:r>
      <w:r w:rsidR="00566558" w:rsidRPr="00C82BBD">
        <w:rPr>
          <w:rFonts w:ascii="Garamond" w:hAnsi="Garamond" w:cs="AdvPS6F00"/>
          <w:sz w:val="22"/>
          <w:szCs w:val="22"/>
        </w:rPr>
        <w:t>;</w:t>
      </w:r>
    </w:p>
    <w:p w14:paraId="33950C22" w14:textId="1AB55752" w:rsidR="00DE514E" w:rsidRPr="00C82BBD" w:rsidRDefault="00566558" w:rsidP="00C82BBD">
      <w:pPr>
        <w:pStyle w:val="ListParagraph"/>
        <w:numPr>
          <w:ilvl w:val="0"/>
          <w:numId w:val="6"/>
        </w:numPr>
        <w:autoSpaceDE w:val="0"/>
        <w:autoSpaceDN w:val="0"/>
        <w:adjustRightInd w:val="0"/>
        <w:spacing w:line="480" w:lineRule="auto"/>
        <w:rPr>
          <w:rFonts w:ascii="Garamond" w:hAnsi="Garamond" w:cs="AdvPS6F00"/>
          <w:sz w:val="22"/>
          <w:szCs w:val="22"/>
        </w:rPr>
      </w:pPr>
      <w:r w:rsidRPr="00C82BBD">
        <w:rPr>
          <w:rFonts w:ascii="Garamond" w:hAnsi="Garamond" w:cs="AdvPS6F00"/>
          <w:sz w:val="22"/>
          <w:szCs w:val="22"/>
        </w:rPr>
        <w:t xml:space="preserve">shed light on </w:t>
      </w:r>
      <w:r w:rsidR="00313A8F" w:rsidRPr="00C82BBD">
        <w:rPr>
          <w:rFonts w:ascii="Garamond" w:hAnsi="Garamond" w:cs="AdvPS6F00"/>
          <w:sz w:val="22"/>
          <w:szCs w:val="22"/>
        </w:rPr>
        <w:t xml:space="preserve">critical </w:t>
      </w:r>
      <w:r w:rsidRPr="00C82BBD">
        <w:rPr>
          <w:rFonts w:ascii="Garamond" w:hAnsi="Garamond" w:cs="AdvPS6F00"/>
          <w:sz w:val="22"/>
          <w:szCs w:val="22"/>
        </w:rPr>
        <w:t>matters such as stigma and structural disadvantage.</w:t>
      </w:r>
      <w:r w:rsidR="004D27DA" w:rsidRPr="00C82BBD">
        <w:rPr>
          <w:rFonts w:ascii="Garamond" w:hAnsi="Garamond" w:cs="AdvPS6F00"/>
          <w:sz w:val="22"/>
          <w:szCs w:val="22"/>
        </w:rPr>
        <w:t xml:space="preserve"> </w:t>
      </w:r>
    </w:p>
    <w:p w14:paraId="18EEFBE6" w14:textId="77777777" w:rsidR="00CA759E" w:rsidRPr="00C82BBD" w:rsidRDefault="00CA759E" w:rsidP="00C82BBD">
      <w:pPr>
        <w:spacing w:after="0" w:line="480" w:lineRule="auto"/>
        <w:rPr>
          <w:rFonts w:ascii="Garamond" w:hAnsi="Garamond"/>
          <w:b/>
        </w:rPr>
      </w:pPr>
    </w:p>
    <w:p w14:paraId="6A5A3218" w14:textId="77777777" w:rsidR="00B9780C" w:rsidRPr="00C82BBD" w:rsidRDefault="00B9780C" w:rsidP="00C82BBD">
      <w:pPr>
        <w:spacing w:after="0" w:line="480" w:lineRule="auto"/>
        <w:rPr>
          <w:rFonts w:ascii="Garamond" w:hAnsi="Garamond"/>
          <w:b/>
        </w:rPr>
      </w:pPr>
    </w:p>
    <w:p w14:paraId="539C4D70" w14:textId="17E39F77" w:rsidR="00D500CC" w:rsidRPr="00C82BBD" w:rsidRDefault="00D500CC" w:rsidP="00C82BBD">
      <w:pPr>
        <w:spacing w:line="480" w:lineRule="auto"/>
        <w:rPr>
          <w:rFonts w:ascii="Garamond" w:hAnsi="Garamond"/>
          <w:b/>
        </w:rPr>
      </w:pPr>
      <w:r w:rsidRPr="00C82BBD">
        <w:rPr>
          <w:rFonts w:ascii="Garamond" w:hAnsi="Garamond"/>
          <w:b/>
        </w:rPr>
        <w:t>Analysis</w:t>
      </w:r>
    </w:p>
    <w:p w14:paraId="7C38C59C" w14:textId="66D2945E" w:rsidR="00374156" w:rsidRPr="00C82BBD" w:rsidRDefault="00374156" w:rsidP="00C82BBD">
      <w:pPr>
        <w:spacing w:line="480" w:lineRule="auto"/>
        <w:rPr>
          <w:rFonts w:ascii="Garamond" w:hAnsi="Garamond"/>
        </w:rPr>
      </w:pPr>
      <w:r w:rsidRPr="00C82BBD">
        <w:rPr>
          <w:rFonts w:ascii="Garamond" w:hAnsi="Garamond"/>
        </w:rPr>
        <w:t xml:space="preserve">In what follows we explore two specific cases in which take-home naloxone emerges not only as an emergency medicine for </w:t>
      </w:r>
      <w:r w:rsidR="006432D3" w:rsidRPr="00C82BBD">
        <w:rPr>
          <w:rFonts w:ascii="Garamond" w:hAnsi="Garamond"/>
        </w:rPr>
        <w:t xml:space="preserve">opioid </w:t>
      </w:r>
      <w:r w:rsidRPr="00C82BBD">
        <w:rPr>
          <w:rFonts w:ascii="Garamond" w:hAnsi="Garamond"/>
        </w:rPr>
        <w:t xml:space="preserve">overdose but a technology shaped by a mode of attention to ensuring recipients are properly cared for beyond the immediate reversal of overdose. First, we </w:t>
      </w:r>
      <w:proofErr w:type="spellStart"/>
      <w:r w:rsidRPr="00C82BBD">
        <w:rPr>
          <w:rFonts w:ascii="Garamond" w:hAnsi="Garamond"/>
        </w:rPr>
        <w:t>analyse</w:t>
      </w:r>
      <w:proofErr w:type="spellEnd"/>
      <w:r w:rsidRPr="00C82BBD">
        <w:rPr>
          <w:rFonts w:ascii="Garamond" w:hAnsi="Garamond"/>
        </w:rPr>
        <w:t xml:space="preserve"> how </w:t>
      </w:r>
      <w:r w:rsidR="006432D3" w:rsidRPr="00C82BBD">
        <w:rPr>
          <w:rFonts w:ascii="Garamond" w:hAnsi="Garamond"/>
        </w:rPr>
        <w:t xml:space="preserve">the technology </w:t>
      </w:r>
      <w:r w:rsidRPr="00C82BBD">
        <w:rPr>
          <w:rFonts w:ascii="Garamond" w:hAnsi="Garamond"/>
        </w:rPr>
        <w:t xml:space="preserve">emerges in and affords a regime of care </w:t>
      </w:r>
      <w:r w:rsidR="006432D3" w:rsidRPr="00C82BBD">
        <w:rPr>
          <w:rFonts w:ascii="Garamond" w:hAnsi="Garamond"/>
        </w:rPr>
        <w:t>designed</w:t>
      </w:r>
      <w:r w:rsidRPr="00C82BBD">
        <w:rPr>
          <w:rFonts w:ascii="Garamond" w:hAnsi="Garamond"/>
        </w:rPr>
        <w:t xml:space="preserve"> to allow a terminally ill man to consume opioids</w:t>
      </w:r>
      <w:r w:rsidR="00AE2DD1" w:rsidRPr="00C82BBD">
        <w:rPr>
          <w:rFonts w:ascii="Garamond" w:hAnsi="Garamond"/>
        </w:rPr>
        <w:t xml:space="preserve"> and reduce the likelihood of fatal overdose</w:t>
      </w:r>
      <w:r w:rsidRPr="00C82BBD">
        <w:rPr>
          <w:rFonts w:ascii="Garamond" w:hAnsi="Garamond"/>
        </w:rPr>
        <w:t xml:space="preserve">. Second, we </w:t>
      </w:r>
      <w:proofErr w:type="spellStart"/>
      <w:r w:rsidRPr="00C82BBD">
        <w:rPr>
          <w:rFonts w:ascii="Garamond" w:hAnsi="Garamond"/>
        </w:rPr>
        <w:t>analyse</w:t>
      </w:r>
      <w:proofErr w:type="spellEnd"/>
      <w:r w:rsidRPr="00C82BBD">
        <w:rPr>
          <w:rFonts w:ascii="Garamond" w:hAnsi="Garamond"/>
        </w:rPr>
        <w:t xml:space="preserve"> how take-home naloxone affords an explicitly political process of administration in which one consumer </w:t>
      </w:r>
      <w:r w:rsidR="006432D3" w:rsidRPr="00C82BBD">
        <w:rPr>
          <w:rFonts w:ascii="Garamond" w:hAnsi="Garamond"/>
        </w:rPr>
        <w:t>cares for other consumers</w:t>
      </w:r>
      <w:r w:rsidRPr="00C82BBD">
        <w:rPr>
          <w:rFonts w:ascii="Garamond" w:hAnsi="Garamond"/>
        </w:rPr>
        <w:t xml:space="preserve"> </w:t>
      </w:r>
      <w:r w:rsidR="006432D3" w:rsidRPr="00C82BBD">
        <w:rPr>
          <w:rFonts w:ascii="Garamond" w:hAnsi="Garamond"/>
        </w:rPr>
        <w:t>by,</w:t>
      </w:r>
      <w:r w:rsidRPr="00C82BBD">
        <w:rPr>
          <w:rFonts w:ascii="Garamond" w:hAnsi="Garamond"/>
        </w:rPr>
        <w:t xml:space="preserve"> in his words, administering it </w:t>
      </w:r>
      <w:r w:rsidR="006432D3" w:rsidRPr="00C82BBD">
        <w:rPr>
          <w:rFonts w:ascii="Garamond" w:hAnsi="Garamond"/>
        </w:rPr>
        <w:t xml:space="preserve">‘gently’ and </w:t>
      </w:r>
      <w:r w:rsidRPr="00C82BBD">
        <w:rPr>
          <w:rFonts w:ascii="Garamond" w:hAnsi="Garamond"/>
        </w:rPr>
        <w:t>with a sensitivity for care beyond overdose reversal.</w:t>
      </w:r>
      <w:r w:rsidR="001B5500" w:rsidRPr="00C82BBD">
        <w:rPr>
          <w:rFonts w:ascii="Garamond" w:hAnsi="Garamond"/>
        </w:rPr>
        <w:t xml:space="preserve"> Together these two cases demonstrate the utility of approaching take-home naloxone through the politics of care.</w:t>
      </w:r>
    </w:p>
    <w:p w14:paraId="50903852" w14:textId="77777777" w:rsidR="004A6303" w:rsidRPr="00C82BBD" w:rsidRDefault="004A6303" w:rsidP="00C82BBD">
      <w:pPr>
        <w:spacing w:line="480" w:lineRule="auto"/>
        <w:rPr>
          <w:rFonts w:ascii="Garamond" w:hAnsi="Garamond"/>
        </w:rPr>
      </w:pPr>
    </w:p>
    <w:p w14:paraId="7F065278" w14:textId="621CBC2B" w:rsidR="00374156" w:rsidRPr="00C82BBD" w:rsidRDefault="00313A8F" w:rsidP="00C82BBD">
      <w:pPr>
        <w:spacing w:line="480" w:lineRule="auto"/>
        <w:rPr>
          <w:rFonts w:ascii="Garamond" w:hAnsi="Garamond"/>
          <w:i/>
          <w:lang w:val="en-AU"/>
        </w:rPr>
      </w:pPr>
      <w:r w:rsidRPr="00C82BBD">
        <w:rPr>
          <w:rFonts w:ascii="Garamond" w:hAnsi="Garamond"/>
          <w:bCs/>
          <w:i/>
          <w:iCs/>
          <w:lang w:val="en-AU"/>
        </w:rPr>
        <w:lastRenderedPageBreak/>
        <w:t xml:space="preserve">Case study 1, </w:t>
      </w:r>
      <w:r w:rsidR="00374156" w:rsidRPr="00C82BBD">
        <w:rPr>
          <w:rFonts w:ascii="Garamond" w:hAnsi="Garamond"/>
          <w:bCs/>
          <w:i/>
          <w:iCs/>
          <w:lang w:val="en-AU"/>
        </w:rPr>
        <w:t xml:space="preserve">Gabrielle: </w:t>
      </w:r>
      <w:r w:rsidR="008128C4" w:rsidRPr="00C82BBD">
        <w:rPr>
          <w:rFonts w:ascii="Garamond" w:hAnsi="Garamond"/>
          <w:bCs/>
          <w:i/>
          <w:iCs/>
          <w:lang w:val="en-AU"/>
        </w:rPr>
        <w:t>C</w:t>
      </w:r>
      <w:r w:rsidR="006432D3" w:rsidRPr="00C82BBD">
        <w:rPr>
          <w:rFonts w:ascii="Garamond" w:hAnsi="Garamond"/>
          <w:bCs/>
          <w:i/>
          <w:iCs/>
          <w:lang w:val="en-AU"/>
        </w:rPr>
        <w:t>aring</w:t>
      </w:r>
      <w:r w:rsidR="008128C4" w:rsidRPr="00C82BBD">
        <w:rPr>
          <w:rFonts w:ascii="Garamond" w:hAnsi="Garamond"/>
          <w:bCs/>
          <w:i/>
          <w:iCs/>
          <w:lang w:val="en-AU"/>
        </w:rPr>
        <w:t>, choice and intimacy</w:t>
      </w:r>
    </w:p>
    <w:p w14:paraId="15F7EA4E" w14:textId="7A6F0E50" w:rsidR="003E2BD9" w:rsidRPr="00C82BBD" w:rsidRDefault="00133D29" w:rsidP="00C82BBD">
      <w:pPr>
        <w:spacing w:line="480" w:lineRule="auto"/>
        <w:rPr>
          <w:rFonts w:ascii="Garamond" w:hAnsi="Garamond"/>
        </w:rPr>
      </w:pPr>
      <w:r w:rsidRPr="00C82BBD">
        <w:rPr>
          <w:rFonts w:ascii="Garamond" w:hAnsi="Garamond"/>
        </w:rPr>
        <w:t xml:space="preserve">Our first case study </w:t>
      </w:r>
      <w:r w:rsidR="008128C4" w:rsidRPr="00C82BBD">
        <w:rPr>
          <w:rFonts w:ascii="Garamond" w:hAnsi="Garamond"/>
        </w:rPr>
        <w:t>emerges</w:t>
      </w:r>
      <w:r w:rsidRPr="00C82BBD">
        <w:rPr>
          <w:rFonts w:ascii="Garamond" w:hAnsi="Garamond"/>
        </w:rPr>
        <w:t xml:space="preserve"> from Gabrielle</w:t>
      </w:r>
      <w:r w:rsidR="008128C4" w:rsidRPr="00C82BBD">
        <w:rPr>
          <w:rFonts w:ascii="Garamond" w:hAnsi="Garamond"/>
        </w:rPr>
        <w:t>’s</w:t>
      </w:r>
      <w:r w:rsidR="009A6B13" w:rsidRPr="00C82BBD">
        <w:rPr>
          <w:rStyle w:val="EndnoteReference"/>
          <w:rFonts w:ascii="Garamond" w:hAnsi="Garamond"/>
        </w:rPr>
        <w:endnoteReference w:id="2"/>
      </w:r>
      <w:r w:rsidR="008128C4" w:rsidRPr="00C82BBD">
        <w:rPr>
          <w:rFonts w:ascii="Garamond" w:hAnsi="Garamond"/>
        </w:rPr>
        <w:t xml:space="preserve"> </w:t>
      </w:r>
      <w:r w:rsidRPr="00C82BBD">
        <w:rPr>
          <w:rFonts w:ascii="Garamond" w:hAnsi="Garamond"/>
        </w:rPr>
        <w:t xml:space="preserve">account of administering naloxone </w:t>
      </w:r>
      <w:r w:rsidR="006432D3" w:rsidRPr="00C82BBD">
        <w:rPr>
          <w:rFonts w:ascii="Garamond" w:hAnsi="Garamond"/>
        </w:rPr>
        <w:t xml:space="preserve">to </w:t>
      </w:r>
      <w:r w:rsidRPr="00C82BBD">
        <w:rPr>
          <w:rFonts w:ascii="Garamond" w:hAnsi="Garamond"/>
        </w:rPr>
        <w:t>her partner</w:t>
      </w:r>
      <w:r w:rsidR="00C66350" w:rsidRPr="00C82BBD">
        <w:rPr>
          <w:rFonts w:ascii="Garamond" w:hAnsi="Garamond"/>
        </w:rPr>
        <w:t>, Jeremy</w:t>
      </w:r>
      <w:r w:rsidRPr="00C82BBD">
        <w:rPr>
          <w:rFonts w:ascii="Garamond" w:hAnsi="Garamond"/>
        </w:rPr>
        <w:t xml:space="preserve">. Gabrielle is </w:t>
      </w:r>
      <w:r w:rsidR="006432D3" w:rsidRPr="00C82BBD">
        <w:rPr>
          <w:rFonts w:ascii="Garamond" w:hAnsi="Garamond"/>
        </w:rPr>
        <w:t xml:space="preserve">a </w:t>
      </w:r>
      <w:r w:rsidRPr="00C82BBD">
        <w:rPr>
          <w:rFonts w:ascii="Garamond" w:hAnsi="Garamond"/>
        </w:rPr>
        <w:t>48</w:t>
      </w:r>
      <w:r w:rsidR="006432D3" w:rsidRPr="00C82BBD">
        <w:rPr>
          <w:rFonts w:ascii="Garamond" w:hAnsi="Garamond"/>
        </w:rPr>
        <w:t>-year-old</w:t>
      </w:r>
      <w:r w:rsidRPr="00C82BBD">
        <w:rPr>
          <w:rFonts w:ascii="Garamond" w:hAnsi="Garamond"/>
        </w:rPr>
        <w:t xml:space="preserve"> nurse</w:t>
      </w:r>
      <w:r w:rsidR="00085CA9" w:rsidRPr="00C82BBD">
        <w:rPr>
          <w:rFonts w:ascii="Garamond" w:hAnsi="Garamond"/>
        </w:rPr>
        <w:t xml:space="preserve"> living in Melbourne, Victoria</w:t>
      </w:r>
      <w:r w:rsidR="006432D3" w:rsidRPr="00C82BBD">
        <w:rPr>
          <w:rFonts w:ascii="Garamond" w:hAnsi="Garamond"/>
        </w:rPr>
        <w:t>. S</w:t>
      </w:r>
      <w:r w:rsidRPr="00C82BBD">
        <w:rPr>
          <w:rFonts w:ascii="Garamond" w:hAnsi="Garamond"/>
        </w:rPr>
        <w:t>he began consuming</w:t>
      </w:r>
      <w:r w:rsidR="00A064F3" w:rsidRPr="00C82BBD">
        <w:rPr>
          <w:rFonts w:ascii="Garamond" w:hAnsi="Garamond"/>
        </w:rPr>
        <w:t xml:space="preserve"> heroin</w:t>
      </w:r>
      <w:r w:rsidRPr="00C82BBD">
        <w:rPr>
          <w:rFonts w:ascii="Garamond" w:hAnsi="Garamond"/>
        </w:rPr>
        <w:t xml:space="preserve"> when she was 15</w:t>
      </w:r>
      <w:r w:rsidR="006758A5" w:rsidRPr="00C82BBD">
        <w:rPr>
          <w:rFonts w:ascii="Garamond" w:hAnsi="Garamond"/>
        </w:rPr>
        <w:t xml:space="preserve"> years old</w:t>
      </w:r>
      <w:r w:rsidRPr="00C82BBD">
        <w:rPr>
          <w:rFonts w:ascii="Garamond" w:hAnsi="Garamond"/>
        </w:rPr>
        <w:t xml:space="preserve">, then </w:t>
      </w:r>
      <w:r w:rsidR="006432D3" w:rsidRPr="00C82BBD">
        <w:rPr>
          <w:rFonts w:ascii="Garamond" w:hAnsi="Garamond"/>
        </w:rPr>
        <w:t xml:space="preserve">largely </w:t>
      </w:r>
      <w:r w:rsidRPr="00C82BBD">
        <w:rPr>
          <w:rFonts w:ascii="Garamond" w:hAnsi="Garamond"/>
        </w:rPr>
        <w:t xml:space="preserve">stopped in her </w:t>
      </w:r>
      <w:r w:rsidR="00A064F3" w:rsidRPr="00C82BBD">
        <w:rPr>
          <w:rFonts w:ascii="Garamond" w:hAnsi="Garamond"/>
        </w:rPr>
        <w:t>late</w:t>
      </w:r>
      <w:r w:rsidRPr="00C82BBD">
        <w:rPr>
          <w:rFonts w:ascii="Garamond" w:hAnsi="Garamond"/>
        </w:rPr>
        <w:t>-30s</w:t>
      </w:r>
      <w:r w:rsidR="006432D3" w:rsidRPr="00C82BBD">
        <w:rPr>
          <w:rFonts w:ascii="Garamond" w:hAnsi="Garamond"/>
        </w:rPr>
        <w:t xml:space="preserve">, only </w:t>
      </w:r>
      <w:r w:rsidR="00FC6358" w:rsidRPr="00C82BBD">
        <w:rPr>
          <w:rFonts w:ascii="Garamond" w:hAnsi="Garamond"/>
        </w:rPr>
        <w:t>beg</w:t>
      </w:r>
      <w:r w:rsidR="006432D3" w:rsidRPr="00C82BBD">
        <w:rPr>
          <w:rFonts w:ascii="Garamond" w:hAnsi="Garamond"/>
        </w:rPr>
        <w:t>in</w:t>
      </w:r>
      <w:r w:rsidR="00FC6358" w:rsidRPr="00C82BBD">
        <w:rPr>
          <w:rFonts w:ascii="Garamond" w:hAnsi="Garamond"/>
        </w:rPr>
        <w:t>n</w:t>
      </w:r>
      <w:r w:rsidR="006432D3" w:rsidRPr="00C82BBD">
        <w:rPr>
          <w:rFonts w:ascii="Garamond" w:hAnsi="Garamond"/>
        </w:rPr>
        <w:t>ing</w:t>
      </w:r>
      <w:r w:rsidR="00FC6358" w:rsidRPr="00C82BBD">
        <w:rPr>
          <w:rFonts w:ascii="Garamond" w:hAnsi="Garamond"/>
        </w:rPr>
        <w:t xml:space="preserve"> again</w:t>
      </w:r>
      <w:r w:rsidR="00237C03" w:rsidRPr="00C82BBD">
        <w:rPr>
          <w:rFonts w:ascii="Garamond" w:hAnsi="Garamond"/>
        </w:rPr>
        <w:t xml:space="preserve"> seven</w:t>
      </w:r>
      <w:r w:rsidRPr="00C82BBD">
        <w:rPr>
          <w:rFonts w:ascii="Garamond" w:hAnsi="Garamond"/>
        </w:rPr>
        <w:t xml:space="preserve"> months prior to our interview in 2017. </w:t>
      </w:r>
      <w:r w:rsidR="006432D3" w:rsidRPr="00C82BBD">
        <w:rPr>
          <w:rFonts w:ascii="Garamond" w:hAnsi="Garamond"/>
        </w:rPr>
        <w:t xml:space="preserve">Alongside the </w:t>
      </w:r>
      <w:r w:rsidR="00A064F3" w:rsidRPr="00C82BBD">
        <w:rPr>
          <w:rFonts w:ascii="Garamond" w:hAnsi="Garamond"/>
        </w:rPr>
        <w:t xml:space="preserve">heroin </w:t>
      </w:r>
      <w:r w:rsidR="006432D3" w:rsidRPr="00C82BBD">
        <w:rPr>
          <w:rFonts w:ascii="Garamond" w:hAnsi="Garamond"/>
        </w:rPr>
        <w:t>she consumes weekly, Gabrielle is also on methadone maintenance treatment</w:t>
      </w:r>
      <w:r w:rsidRPr="00C82BBD">
        <w:rPr>
          <w:rFonts w:ascii="Garamond" w:hAnsi="Garamond"/>
        </w:rPr>
        <w:t>.</w:t>
      </w:r>
      <w:r w:rsidR="0023463B" w:rsidRPr="00C82BBD">
        <w:rPr>
          <w:rFonts w:ascii="Garamond" w:hAnsi="Garamond"/>
        </w:rPr>
        <w:t xml:space="preserve"> Gabrielle has administered take-home naloxone </w:t>
      </w:r>
      <w:r w:rsidR="006432D3" w:rsidRPr="00C82BBD">
        <w:rPr>
          <w:rFonts w:ascii="Garamond" w:hAnsi="Garamond"/>
        </w:rPr>
        <w:t xml:space="preserve">many </w:t>
      </w:r>
      <w:r w:rsidR="00CA759E" w:rsidRPr="00C82BBD">
        <w:rPr>
          <w:rFonts w:ascii="Garamond" w:hAnsi="Garamond"/>
        </w:rPr>
        <w:t>times</w:t>
      </w:r>
      <w:r w:rsidR="0023463B" w:rsidRPr="00C82BBD">
        <w:rPr>
          <w:rFonts w:ascii="Garamond" w:hAnsi="Garamond"/>
        </w:rPr>
        <w:t xml:space="preserve">, </w:t>
      </w:r>
      <w:r w:rsidR="006432D3" w:rsidRPr="00C82BBD">
        <w:rPr>
          <w:rFonts w:ascii="Garamond" w:hAnsi="Garamond"/>
        </w:rPr>
        <w:t xml:space="preserve">but </w:t>
      </w:r>
      <w:r w:rsidR="0023463B" w:rsidRPr="00C82BBD">
        <w:rPr>
          <w:rFonts w:ascii="Garamond" w:hAnsi="Garamond"/>
        </w:rPr>
        <w:t xml:space="preserve">it is </w:t>
      </w:r>
      <w:r w:rsidR="006432D3" w:rsidRPr="00C82BBD">
        <w:rPr>
          <w:rFonts w:ascii="Garamond" w:hAnsi="Garamond"/>
        </w:rPr>
        <w:t xml:space="preserve">her description of giving it to </w:t>
      </w:r>
      <w:r w:rsidR="00C66350" w:rsidRPr="00C82BBD">
        <w:rPr>
          <w:rFonts w:ascii="Garamond" w:hAnsi="Garamond"/>
        </w:rPr>
        <w:t>Jeremy</w:t>
      </w:r>
      <w:r w:rsidR="0023463B" w:rsidRPr="00C82BBD">
        <w:rPr>
          <w:rFonts w:ascii="Garamond" w:hAnsi="Garamond"/>
        </w:rPr>
        <w:t xml:space="preserve"> that we </w:t>
      </w:r>
      <w:r w:rsidR="00237C03" w:rsidRPr="00C82BBD">
        <w:rPr>
          <w:rFonts w:ascii="Garamond" w:hAnsi="Garamond"/>
        </w:rPr>
        <w:t>explore here</w:t>
      </w:r>
      <w:r w:rsidR="0023463B" w:rsidRPr="00C82BBD">
        <w:rPr>
          <w:rFonts w:ascii="Garamond" w:hAnsi="Garamond"/>
        </w:rPr>
        <w:t xml:space="preserve">. </w:t>
      </w:r>
      <w:r w:rsidR="00C66350" w:rsidRPr="00C82BBD">
        <w:rPr>
          <w:rFonts w:ascii="Garamond" w:hAnsi="Garamond"/>
        </w:rPr>
        <w:t>Jeremy</w:t>
      </w:r>
      <w:r w:rsidR="0023463B" w:rsidRPr="00C82BBD">
        <w:rPr>
          <w:rFonts w:ascii="Garamond" w:hAnsi="Garamond"/>
        </w:rPr>
        <w:t xml:space="preserve"> </w:t>
      </w:r>
      <w:r w:rsidR="006432D3" w:rsidRPr="00C82BBD">
        <w:rPr>
          <w:rFonts w:ascii="Garamond" w:hAnsi="Garamond"/>
        </w:rPr>
        <w:t>i</w:t>
      </w:r>
      <w:r w:rsidR="009679FE" w:rsidRPr="00C82BBD">
        <w:rPr>
          <w:rFonts w:ascii="Garamond" w:hAnsi="Garamond"/>
        </w:rPr>
        <w:t>s</w:t>
      </w:r>
      <w:r w:rsidR="006432D3" w:rsidRPr="00C82BBD">
        <w:rPr>
          <w:rFonts w:ascii="Garamond" w:hAnsi="Garamond"/>
        </w:rPr>
        <w:t xml:space="preserve"> terminally ill with </w:t>
      </w:r>
      <w:r w:rsidR="00A064F3" w:rsidRPr="00C82BBD">
        <w:rPr>
          <w:rFonts w:ascii="Garamond" w:hAnsi="Garamond"/>
        </w:rPr>
        <w:t>cancer</w:t>
      </w:r>
      <w:r w:rsidR="006432D3" w:rsidRPr="00C82BBD">
        <w:rPr>
          <w:rFonts w:ascii="Garamond" w:hAnsi="Garamond"/>
        </w:rPr>
        <w:t xml:space="preserve">. He </w:t>
      </w:r>
      <w:r w:rsidR="0023463B" w:rsidRPr="00C82BBD">
        <w:rPr>
          <w:rFonts w:ascii="Garamond" w:hAnsi="Garamond"/>
        </w:rPr>
        <w:t xml:space="preserve">also consumes </w:t>
      </w:r>
      <w:r w:rsidR="00A064F3" w:rsidRPr="00C82BBD">
        <w:rPr>
          <w:rFonts w:ascii="Garamond" w:hAnsi="Garamond"/>
        </w:rPr>
        <w:t xml:space="preserve">heroin </w:t>
      </w:r>
      <w:r w:rsidR="006432D3" w:rsidRPr="00C82BBD">
        <w:rPr>
          <w:rFonts w:ascii="Garamond" w:hAnsi="Garamond"/>
        </w:rPr>
        <w:t xml:space="preserve">and, as she explains, his illness magnifies the </w:t>
      </w:r>
      <w:r w:rsidR="0023463B" w:rsidRPr="00C82BBD">
        <w:rPr>
          <w:rFonts w:ascii="Garamond" w:hAnsi="Garamond"/>
        </w:rPr>
        <w:t>intoxicating effects</w:t>
      </w:r>
      <w:r w:rsidR="002034BE" w:rsidRPr="00C82BBD">
        <w:rPr>
          <w:rFonts w:ascii="Garamond" w:hAnsi="Garamond"/>
        </w:rPr>
        <w:t xml:space="preserve"> and</w:t>
      </w:r>
      <w:r w:rsidR="001C0D19" w:rsidRPr="00C82BBD">
        <w:rPr>
          <w:rFonts w:ascii="Garamond" w:hAnsi="Garamond"/>
        </w:rPr>
        <w:t xml:space="preserve"> risk of overdose, something </w:t>
      </w:r>
      <w:r w:rsidR="00034C99" w:rsidRPr="00C82BBD">
        <w:rPr>
          <w:rFonts w:ascii="Garamond" w:hAnsi="Garamond"/>
        </w:rPr>
        <w:t xml:space="preserve">of which </w:t>
      </w:r>
      <w:r w:rsidR="001C0D19" w:rsidRPr="00C82BBD">
        <w:rPr>
          <w:rFonts w:ascii="Garamond" w:hAnsi="Garamond"/>
        </w:rPr>
        <w:t>Gabrielle is acutely aware.</w:t>
      </w:r>
      <w:r w:rsidR="003E2BD9" w:rsidRPr="00C82BBD">
        <w:rPr>
          <w:rFonts w:ascii="Garamond" w:hAnsi="Garamond"/>
        </w:rPr>
        <w:t xml:space="preserve"> Importantly for our analysis</w:t>
      </w:r>
      <w:r w:rsidR="006432D3" w:rsidRPr="00C82BBD">
        <w:rPr>
          <w:rFonts w:ascii="Garamond" w:hAnsi="Garamond"/>
        </w:rPr>
        <w:t>,</w:t>
      </w:r>
      <w:r w:rsidR="003E2BD9" w:rsidRPr="00C82BBD">
        <w:rPr>
          <w:rFonts w:ascii="Garamond" w:hAnsi="Garamond"/>
        </w:rPr>
        <w:t xml:space="preserve"> Gabrielle</w:t>
      </w:r>
      <w:r w:rsidR="006432D3" w:rsidRPr="00C82BBD">
        <w:rPr>
          <w:rFonts w:ascii="Garamond" w:hAnsi="Garamond"/>
        </w:rPr>
        <w:t xml:space="preserve"> explains that </w:t>
      </w:r>
      <w:r w:rsidR="00C66350" w:rsidRPr="00C82BBD">
        <w:rPr>
          <w:rFonts w:ascii="Garamond" w:hAnsi="Garamond"/>
        </w:rPr>
        <w:t>Jeremy</w:t>
      </w:r>
      <w:r w:rsidR="003E2BD9" w:rsidRPr="00C82BBD">
        <w:rPr>
          <w:rFonts w:ascii="Garamond" w:hAnsi="Garamond"/>
        </w:rPr>
        <w:t xml:space="preserve">’s </w:t>
      </w:r>
      <w:r w:rsidR="006432D3" w:rsidRPr="00C82BBD">
        <w:rPr>
          <w:rFonts w:ascii="Garamond" w:hAnsi="Garamond"/>
        </w:rPr>
        <w:t>health status</w:t>
      </w:r>
      <w:r w:rsidR="003E2BD9" w:rsidRPr="00C82BBD">
        <w:rPr>
          <w:rFonts w:ascii="Garamond" w:hAnsi="Garamond"/>
        </w:rPr>
        <w:t xml:space="preserve"> makes him ambivalent about </w:t>
      </w:r>
      <w:r w:rsidR="001B1DDA" w:rsidRPr="00C82BBD">
        <w:rPr>
          <w:rFonts w:ascii="Garamond" w:hAnsi="Garamond"/>
        </w:rPr>
        <w:t xml:space="preserve">revival from </w:t>
      </w:r>
      <w:r w:rsidR="003E2BD9" w:rsidRPr="00C82BBD">
        <w:rPr>
          <w:rFonts w:ascii="Garamond" w:hAnsi="Garamond"/>
        </w:rPr>
        <w:t>overdose. This</w:t>
      </w:r>
      <w:r w:rsidR="006432D3" w:rsidRPr="00C82BBD">
        <w:rPr>
          <w:rFonts w:ascii="Garamond" w:hAnsi="Garamond"/>
        </w:rPr>
        <w:t xml:space="preserve"> set of circumstances creates</w:t>
      </w:r>
      <w:r w:rsidR="003E2BD9" w:rsidRPr="00C82BBD">
        <w:rPr>
          <w:rFonts w:ascii="Garamond" w:hAnsi="Garamond"/>
        </w:rPr>
        <w:t xml:space="preserve"> a complex</w:t>
      </w:r>
      <w:r w:rsidR="001B1DDA" w:rsidRPr="00C82BBD">
        <w:rPr>
          <w:rFonts w:ascii="Garamond" w:hAnsi="Garamond"/>
        </w:rPr>
        <w:t xml:space="preserve"> interpersonal</w:t>
      </w:r>
      <w:r w:rsidR="003E2BD9" w:rsidRPr="00C82BBD">
        <w:rPr>
          <w:rFonts w:ascii="Garamond" w:hAnsi="Garamond"/>
        </w:rPr>
        <w:t xml:space="preserve"> arrangement</w:t>
      </w:r>
      <w:r w:rsidR="006432D3" w:rsidRPr="00C82BBD">
        <w:rPr>
          <w:rFonts w:ascii="Garamond" w:hAnsi="Garamond"/>
        </w:rPr>
        <w:t xml:space="preserve"> around </w:t>
      </w:r>
      <w:r w:rsidR="00405DE8" w:rsidRPr="00C82BBD">
        <w:rPr>
          <w:rFonts w:ascii="Garamond" w:hAnsi="Garamond"/>
        </w:rPr>
        <w:t>a</w:t>
      </w:r>
      <w:r w:rsidR="003E2BD9" w:rsidRPr="00C82BBD">
        <w:rPr>
          <w:rFonts w:ascii="Garamond" w:hAnsi="Garamond"/>
        </w:rPr>
        <w:t xml:space="preserve"> technology </w:t>
      </w:r>
      <w:r w:rsidR="00405DE8" w:rsidRPr="00C82BBD">
        <w:rPr>
          <w:rFonts w:ascii="Garamond" w:hAnsi="Garamond"/>
        </w:rPr>
        <w:t xml:space="preserve">nominally intended for the straightforward purpose of reversing </w:t>
      </w:r>
      <w:r w:rsidR="003E2BD9" w:rsidRPr="00C82BBD">
        <w:rPr>
          <w:rFonts w:ascii="Garamond" w:hAnsi="Garamond"/>
        </w:rPr>
        <w:t xml:space="preserve">overdose. </w:t>
      </w:r>
      <w:r w:rsidR="00405DE8" w:rsidRPr="00C82BBD">
        <w:rPr>
          <w:rFonts w:ascii="Garamond" w:hAnsi="Garamond"/>
        </w:rPr>
        <w:t xml:space="preserve">As </w:t>
      </w:r>
      <w:r w:rsidR="003E2BD9" w:rsidRPr="00C82BBD">
        <w:rPr>
          <w:rFonts w:ascii="Garamond" w:hAnsi="Garamond"/>
        </w:rPr>
        <w:t xml:space="preserve">Gabrielle </w:t>
      </w:r>
      <w:r w:rsidR="00405DE8" w:rsidRPr="00C82BBD">
        <w:rPr>
          <w:rFonts w:ascii="Garamond" w:hAnsi="Garamond"/>
        </w:rPr>
        <w:t>explains</w:t>
      </w:r>
      <w:r w:rsidR="003E2BD9" w:rsidRPr="00C82BBD">
        <w:rPr>
          <w:rFonts w:ascii="Garamond" w:hAnsi="Garamond"/>
        </w:rPr>
        <w:t>:</w:t>
      </w:r>
    </w:p>
    <w:p w14:paraId="0A5EADA3" w14:textId="19221E4D" w:rsidR="00FA2140" w:rsidRPr="00C82BBD" w:rsidRDefault="003E2BD9" w:rsidP="00C82BBD">
      <w:pPr>
        <w:spacing w:line="480" w:lineRule="auto"/>
        <w:ind w:left="720"/>
        <w:rPr>
          <w:rFonts w:ascii="Garamond" w:hAnsi="Garamond"/>
          <w:lang w:val="en-AU"/>
        </w:rPr>
      </w:pPr>
      <w:proofErr w:type="gramStart"/>
      <w:r w:rsidRPr="00C82BBD">
        <w:rPr>
          <w:rFonts w:ascii="Garamond" w:hAnsi="Garamond"/>
          <w:lang w:val="en-AU"/>
        </w:rPr>
        <w:t>I’ve</w:t>
      </w:r>
      <w:proofErr w:type="gramEnd"/>
      <w:r w:rsidRPr="00C82BBD">
        <w:rPr>
          <w:rFonts w:ascii="Garamond" w:hAnsi="Garamond"/>
          <w:lang w:val="en-AU"/>
        </w:rPr>
        <w:t xml:space="preserve"> got a living will from him, which he specifically states, not to be brought back [if he overdoses] […] We’ve talked about it and made decisions, like a commitment to each other. So if he did [overdose], like if his heart stops and he has stopped breathing, I don’t know if I could do it, but I’m not supposed to bring him back.</w:t>
      </w:r>
    </w:p>
    <w:p w14:paraId="6262A0CF" w14:textId="2744B84B" w:rsidR="00FC6358" w:rsidRPr="00C82BBD" w:rsidRDefault="00C66350" w:rsidP="00C82BBD">
      <w:pPr>
        <w:spacing w:line="480" w:lineRule="auto"/>
        <w:rPr>
          <w:rFonts w:ascii="Garamond" w:hAnsi="Garamond"/>
        </w:rPr>
      </w:pPr>
      <w:r w:rsidRPr="00C82BBD">
        <w:rPr>
          <w:rFonts w:ascii="Garamond" w:hAnsi="Garamond"/>
        </w:rPr>
        <w:t xml:space="preserve">Jeremy’s </w:t>
      </w:r>
      <w:r w:rsidR="00FC6358" w:rsidRPr="00C82BBD">
        <w:rPr>
          <w:rFonts w:ascii="Garamond" w:hAnsi="Garamond"/>
        </w:rPr>
        <w:t>living will</w:t>
      </w:r>
      <w:r w:rsidR="00405DE8" w:rsidRPr="00C82BBD">
        <w:rPr>
          <w:rFonts w:ascii="Garamond" w:hAnsi="Garamond"/>
        </w:rPr>
        <w:t>,</w:t>
      </w:r>
      <w:r w:rsidR="00FC6358" w:rsidRPr="00C82BBD">
        <w:rPr>
          <w:rFonts w:ascii="Garamond" w:hAnsi="Garamond"/>
        </w:rPr>
        <w:t xml:space="preserve"> and </w:t>
      </w:r>
      <w:r w:rsidR="00405DE8" w:rsidRPr="00C82BBD">
        <w:rPr>
          <w:rFonts w:ascii="Garamond" w:hAnsi="Garamond"/>
        </w:rPr>
        <w:t xml:space="preserve">Gabrielle’s </w:t>
      </w:r>
      <w:r w:rsidR="00FC6358" w:rsidRPr="00C82BBD">
        <w:rPr>
          <w:rFonts w:ascii="Garamond" w:hAnsi="Garamond"/>
        </w:rPr>
        <w:t xml:space="preserve">role </w:t>
      </w:r>
      <w:r w:rsidR="00405DE8" w:rsidRPr="00C82BBD">
        <w:rPr>
          <w:rFonts w:ascii="Garamond" w:hAnsi="Garamond"/>
        </w:rPr>
        <w:t xml:space="preserve">in </w:t>
      </w:r>
      <w:r w:rsidR="00FC6358" w:rsidRPr="00C82BBD">
        <w:rPr>
          <w:rFonts w:ascii="Garamond" w:hAnsi="Garamond"/>
        </w:rPr>
        <w:t xml:space="preserve">caring for </w:t>
      </w:r>
      <w:r w:rsidR="00405DE8" w:rsidRPr="00C82BBD">
        <w:rPr>
          <w:rFonts w:ascii="Garamond" w:hAnsi="Garamond"/>
        </w:rPr>
        <w:t>him</w:t>
      </w:r>
      <w:r w:rsidR="00FC6358" w:rsidRPr="00C82BBD">
        <w:rPr>
          <w:rFonts w:ascii="Garamond" w:hAnsi="Garamond"/>
        </w:rPr>
        <w:t xml:space="preserve"> within their intimate relationship </w:t>
      </w:r>
      <w:r w:rsidR="00405DE8" w:rsidRPr="00C82BBD">
        <w:rPr>
          <w:rFonts w:ascii="Garamond" w:hAnsi="Garamond"/>
        </w:rPr>
        <w:t xml:space="preserve">directly </w:t>
      </w:r>
      <w:r w:rsidR="00FC6358" w:rsidRPr="00C82BBD">
        <w:rPr>
          <w:rFonts w:ascii="Garamond" w:hAnsi="Garamond"/>
        </w:rPr>
        <w:t xml:space="preserve">shapes the meaning and </w:t>
      </w:r>
      <w:r w:rsidR="00405DE8" w:rsidRPr="00C82BBD">
        <w:rPr>
          <w:rFonts w:ascii="Garamond" w:hAnsi="Garamond"/>
        </w:rPr>
        <w:t xml:space="preserve">action </w:t>
      </w:r>
      <w:r w:rsidR="00FC6358" w:rsidRPr="00C82BBD">
        <w:rPr>
          <w:rFonts w:ascii="Garamond" w:hAnsi="Garamond"/>
        </w:rPr>
        <w:t>of take-home naloxone</w:t>
      </w:r>
      <w:r w:rsidR="00405DE8" w:rsidRPr="00C82BBD">
        <w:rPr>
          <w:rFonts w:ascii="Garamond" w:hAnsi="Garamond"/>
        </w:rPr>
        <w:t>;</w:t>
      </w:r>
      <w:r w:rsidR="00FC6358" w:rsidRPr="00C82BBD">
        <w:rPr>
          <w:rFonts w:ascii="Garamond" w:hAnsi="Garamond"/>
        </w:rPr>
        <w:t xml:space="preserve"> how Gabrielle administers it, why and to what ends.</w:t>
      </w:r>
    </w:p>
    <w:p w14:paraId="1DFCC5A3" w14:textId="561FD7C3" w:rsidR="00482DB1" w:rsidRPr="00C82BBD" w:rsidRDefault="00FC6358" w:rsidP="00C82BBD">
      <w:pPr>
        <w:spacing w:line="480" w:lineRule="auto"/>
        <w:ind w:left="720"/>
        <w:rPr>
          <w:rFonts w:ascii="Garamond" w:hAnsi="Garamond"/>
        </w:rPr>
      </w:pPr>
      <w:r w:rsidRPr="00C82BBD">
        <w:rPr>
          <w:rFonts w:ascii="Garamond" w:hAnsi="Garamond"/>
        </w:rPr>
        <w:t>With my partner, sometimes he gets very, very intoxicated by it [heroin] and he’ll start forgetting to breathe so [that’s] … when I give him Narcan</w:t>
      </w:r>
      <w:r w:rsidR="009A6B13" w:rsidRPr="00C82BBD">
        <w:rPr>
          <w:rStyle w:val="EndnoteReference"/>
          <w:rFonts w:ascii="Garamond" w:hAnsi="Garamond"/>
        </w:rPr>
        <w:endnoteReference w:id="3"/>
      </w:r>
      <w:r w:rsidR="00405DE8" w:rsidRPr="00C82BBD">
        <w:rPr>
          <w:rFonts w:ascii="Garamond" w:hAnsi="Garamond"/>
        </w:rPr>
        <w:t>.</w:t>
      </w:r>
      <w:r w:rsidRPr="00C82BBD">
        <w:rPr>
          <w:rFonts w:ascii="Garamond" w:hAnsi="Garamond"/>
        </w:rPr>
        <w:t xml:space="preserve"> I don’t always give him a full ampoule,</w:t>
      </w:r>
      <w:r w:rsidR="00405DE8" w:rsidRPr="00C82BBD">
        <w:rPr>
          <w:rFonts w:ascii="Garamond" w:hAnsi="Garamond"/>
        </w:rPr>
        <w:t xml:space="preserve"> [and]</w:t>
      </w:r>
      <w:r w:rsidRPr="00C82BBD">
        <w:rPr>
          <w:rFonts w:ascii="Garamond" w:hAnsi="Garamond"/>
        </w:rPr>
        <w:t xml:space="preserve"> I don’t wait until he’s stopped breathing</w:t>
      </w:r>
      <w:r w:rsidR="00421CD3" w:rsidRPr="00C82BBD">
        <w:rPr>
          <w:rFonts w:ascii="Garamond" w:hAnsi="Garamond"/>
        </w:rPr>
        <w:t xml:space="preserve"> [completely]</w:t>
      </w:r>
      <w:r w:rsidRPr="00C82BBD">
        <w:rPr>
          <w:rFonts w:ascii="Garamond" w:hAnsi="Garamond"/>
        </w:rPr>
        <w:t>. Sometimes I’m just trying to reverse the opiate effects, so I give him a third of an ampoule and that brings him out of it enough for me not to worry about him not breathing. So I don’t wait for the overdose in his case. […] I’d hate for something […] to happen and me not hear it and be in the bath and come out to him being in a full</w:t>
      </w:r>
      <w:r w:rsidR="00405DE8" w:rsidRPr="00C82BBD">
        <w:rPr>
          <w:rFonts w:ascii="Garamond" w:hAnsi="Garamond"/>
        </w:rPr>
        <w:t>-</w:t>
      </w:r>
      <w:r w:rsidRPr="00C82BBD">
        <w:rPr>
          <w:rFonts w:ascii="Garamond" w:hAnsi="Garamond"/>
        </w:rPr>
        <w:t>blown overdose, so sometimes it’s safer to reverse the effects of the opiate before it becomes a major problem.</w:t>
      </w:r>
    </w:p>
    <w:p w14:paraId="5843A84B" w14:textId="3405BBAB" w:rsidR="00FA2140" w:rsidRPr="00C82BBD" w:rsidRDefault="00405DE8" w:rsidP="00C82BBD">
      <w:pPr>
        <w:spacing w:line="480" w:lineRule="auto"/>
        <w:rPr>
          <w:rFonts w:ascii="Garamond" w:hAnsi="Garamond"/>
        </w:rPr>
      </w:pPr>
      <w:r w:rsidRPr="00C82BBD">
        <w:rPr>
          <w:rFonts w:ascii="Garamond" w:hAnsi="Garamond"/>
        </w:rPr>
        <w:lastRenderedPageBreak/>
        <w:t xml:space="preserve">Here </w:t>
      </w:r>
      <w:r w:rsidR="00FC6358" w:rsidRPr="00C82BBD">
        <w:rPr>
          <w:rFonts w:ascii="Garamond" w:hAnsi="Garamond"/>
        </w:rPr>
        <w:t>Gabrielle describe</w:t>
      </w:r>
      <w:r w:rsidR="00037A5C" w:rsidRPr="00C82BBD">
        <w:rPr>
          <w:rFonts w:ascii="Garamond" w:hAnsi="Garamond"/>
        </w:rPr>
        <w:t>s</w:t>
      </w:r>
      <w:r w:rsidR="00FC6358" w:rsidRPr="00C82BBD">
        <w:rPr>
          <w:rFonts w:ascii="Garamond" w:hAnsi="Garamond"/>
        </w:rPr>
        <w:t xml:space="preserve"> </w:t>
      </w:r>
      <w:r w:rsidRPr="00C82BBD">
        <w:rPr>
          <w:rFonts w:ascii="Garamond" w:hAnsi="Garamond"/>
        </w:rPr>
        <w:t xml:space="preserve">using </w:t>
      </w:r>
      <w:r w:rsidR="00FC6358" w:rsidRPr="00C82BBD">
        <w:rPr>
          <w:rFonts w:ascii="Garamond" w:hAnsi="Garamond"/>
        </w:rPr>
        <w:t xml:space="preserve">naloxone </w:t>
      </w:r>
      <w:r w:rsidRPr="00C82BBD">
        <w:rPr>
          <w:rFonts w:ascii="Garamond" w:hAnsi="Garamond"/>
        </w:rPr>
        <w:t>in a way</w:t>
      </w:r>
      <w:r w:rsidR="00FC6358" w:rsidRPr="00C82BBD">
        <w:rPr>
          <w:rFonts w:ascii="Garamond" w:hAnsi="Garamond"/>
        </w:rPr>
        <w:t xml:space="preserve"> quite distinct from its </w:t>
      </w:r>
      <w:r w:rsidRPr="00C82BBD">
        <w:rPr>
          <w:rFonts w:ascii="Garamond" w:hAnsi="Garamond"/>
        </w:rPr>
        <w:t>intended use</w:t>
      </w:r>
      <w:r w:rsidR="00FC6358" w:rsidRPr="00C82BBD">
        <w:rPr>
          <w:rFonts w:ascii="Garamond" w:hAnsi="Garamond"/>
        </w:rPr>
        <w:t xml:space="preserve"> as an emergency medicine</w:t>
      </w:r>
      <w:r w:rsidR="00421CD3" w:rsidRPr="00C82BBD">
        <w:rPr>
          <w:rFonts w:ascii="Garamond" w:hAnsi="Garamond"/>
        </w:rPr>
        <w:t xml:space="preserve"> and is except</w:t>
      </w:r>
      <w:r w:rsidR="00365C65" w:rsidRPr="00C82BBD">
        <w:rPr>
          <w:rFonts w:ascii="Garamond" w:hAnsi="Garamond"/>
        </w:rPr>
        <w:t>ional</w:t>
      </w:r>
      <w:r w:rsidR="007D7A34" w:rsidRPr="00C82BBD">
        <w:rPr>
          <w:rFonts w:ascii="Garamond" w:hAnsi="Garamond"/>
        </w:rPr>
        <w:t xml:space="preserve"> in our interviews which generally offered accounts of</w:t>
      </w:r>
      <w:r w:rsidRPr="00C82BBD">
        <w:rPr>
          <w:rFonts w:ascii="Garamond" w:hAnsi="Garamond"/>
        </w:rPr>
        <w:t xml:space="preserve"> administ</w:t>
      </w:r>
      <w:r w:rsidR="007D7A34" w:rsidRPr="00C82BBD">
        <w:rPr>
          <w:rFonts w:ascii="Garamond" w:hAnsi="Garamond"/>
        </w:rPr>
        <w:t xml:space="preserve">ration </w:t>
      </w:r>
      <w:r w:rsidRPr="00C82BBD">
        <w:rPr>
          <w:rFonts w:ascii="Garamond" w:hAnsi="Garamond"/>
        </w:rPr>
        <w:t>simply to reverse an overdose</w:t>
      </w:r>
      <w:r w:rsidR="00754A65" w:rsidRPr="00C82BBD">
        <w:rPr>
          <w:rFonts w:ascii="Garamond" w:hAnsi="Garamond"/>
        </w:rPr>
        <w:t>, indeed, Gabrielle recounted such experiences herself. However, w</w:t>
      </w:r>
      <w:r w:rsidR="00FC6358" w:rsidRPr="00C82BBD">
        <w:rPr>
          <w:rFonts w:ascii="Garamond" w:hAnsi="Garamond"/>
        </w:rPr>
        <w:t xml:space="preserve">ithin </w:t>
      </w:r>
      <w:r w:rsidRPr="00C82BBD">
        <w:rPr>
          <w:rFonts w:ascii="Garamond" w:hAnsi="Garamond"/>
        </w:rPr>
        <w:t xml:space="preserve">the </w:t>
      </w:r>
      <w:r w:rsidR="00FC6358" w:rsidRPr="00C82BBD">
        <w:rPr>
          <w:rFonts w:ascii="Garamond" w:hAnsi="Garamond"/>
        </w:rPr>
        <w:t>interrelationship of care</w:t>
      </w:r>
      <w:r w:rsidRPr="00C82BBD">
        <w:rPr>
          <w:rFonts w:ascii="Garamond" w:hAnsi="Garamond"/>
        </w:rPr>
        <w:t xml:space="preserve"> between Gabrielle and </w:t>
      </w:r>
      <w:r w:rsidR="00754A65" w:rsidRPr="00C82BBD">
        <w:rPr>
          <w:rFonts w:ascii="Garamond" w:hAnsi="Garamond"/>
        </w:rPr>
        <w:t>Jeremy</w:t>
      </w:r>
      <w:r w:rsidR="00FC6358" w:rsidRPr="00C82BBD">
        <w:rPr>
          <w:rFonts w:ascii="Garamond" w:hAnsi="Garamond"/>
        </w:rPr>
        <w:t xml:space="preserve">, naloxone </w:t>
      </w:r>
      <w:r w:rsidRPr="00C82BBD">
        <w:rPr>
          <w:rFonts w:ascii="Garamond" w:hAnsi="Garamond"/>
        </w:rPr>
        <w:t xml:space="preserve">has </w:t>
      </w:r>
      <w:r w:rsidR="00FC6358" w:rsidRPr="00C82BBD">
        <w:rPr>
          <w:rFonts w:ascii="Garamond" w:hAnsi="Garamond"/>
        </w:rPr>
        <w:t xml:space="preserve">affordances that it </w:t>
      </w:r>
      <w:r w:rsidRPr="00C82BBD">
        <w:rPr>
          <w:rFonts w:ascii="Garamond" w:hAnsi="Garamond"/>
        </w:rPr>
        <w:t xml:space="preserve">otherwise </w:t>
      </w:r>
      <w:r w:rsidR="00FC6358" w:rsidRPr="00C82BBD">
        <w:rPr>
          <w:rFonts w:ascii="Garamond" w:hAnsi="Garamond"/>
        </w:rPr>
        <w:t xml:space="preserve">may not </w:t>
      </w:r>
      <w:r w:rsidR="00CE30FA" w:rsidRPr="00C82BBD">
        <w:rPr>
          <w:rFonts w:ascii="Garamond" w:hAnsi="Garamond"/>
        </w:rPr>
        <w:t xml:space="preserve">have </w:t>
      </w:r>
      <w:r w:rsidR="00FC6358" w:rsidRPr="00C82BBD">
        <w:rPr>
          <w:rFonts w:ascii="Garamond" w:hAnsi="Garamond"/>
        </w:rPr>
        <w:t xml:space="preserve">if, </w:t>
      </w:r>
      <w:r w:rsidR="00CE30FA" w:rsidRPr="00C82BBD">
        <w:rPr>
          <w:rFonts w:ascii="Garamond" w:hAnsi="Garamond"/>
        </w:rPr>
        <w:t xml:space="preserve">for example, </w:t>
      </w:r>
      <w:r w:rsidR="00FC6358" w:rsidRPr="00C82BBD">
        <w:rPr>
          <w:rFonts w:ascii="Garamond" w:hAnsi="Garamond"/>
        </w:rPr>
        <w:t xml:space="preserve">as we will explore below, Gabrielle </w:t>
      </w:r>
      <w:r w:rsidRPr="00C82BBD">
        <w:rPr>
          <w:rFonts w:ascii="Garamond" w:hAnsi="Garamond"/>
        </w:rPr>
        <w:t xml:space="preserve">were </w:t>
      </w:r>
      <w:r w:rsidR="00FC6358" w:rsidRPr="00C82BBD">
        <w:rPr>
          <w:rFonts w:ascii="Garamond" w:hAnsi="Garamond"/>
        </w:rPr>
        <w:t xml:space="preserve">attending the overdose of a person she did not know. </w:t>
      </w:r>
      <w:r w:rsidR="00421CD3" w:rsidRPr="00C82BBD">
        <w:rPr>
          <w:rFonts w:ascii="Garamond" w:hAnsi="Garamond"/>
        </w:rPr>
        <w:t>Gabrielle administers a small amount of naloxone when she notices</w:t>
      </w:r>
      <w:r w:rsidR="00AE2DD1" w:rsidRPr="00C82BBD">
        <w:rPr>
          <w:rFonts w:ascii="Garamond" w:hAnsi="Garamond"/>
        </w:rPr>
        <w:t xml:space="preserve"> what she considers to be</w:t>
      </w:r>
      <w:r w:rsidR="00421CD3" w:rsidRPr="00C82BBD">
        <w:rPr>
          <w:rFonts w:ascii="Garamond" w:hAnsi="Garamond"/>
        </w:rPr>
        <w:t xml:space="preserve"> initial signs of an overdose (Jeremy ‘forgetting to breath</w:t>
      </w:r>
      <w:r w:rsidR="00597E75" w:rsidRPr="00C82BBD">
        <w:rPr>
          <w:rFonts w:ascii="Garamond" w:hAnsi="Garamond"/>
        </w:rPr>
        <w:t>e’) before other symptoms may occur such as loss of consciousness</w:t>
      </w:r>
      <w:r w:rsidR="00726B7E" w:rsidRPr="00C82BBD">
        <w:rPr>
          <w:rFonts w:ascii="Garamond" w:hAnsi="Garamond"/>
        </w:rPr>
        <w:t xml:space="preserve"> or were Jeremy’s heart to stop beating</w:t>
      </w:r>
      <w:r w:rsidR="00597E75" w:rsidRPr="00C82BBD">
        <w:rPr>
          <w:rFonts w:ascii="Garamond" w:hAnsi="Garamond"/>
        </w:rPr>
        <w:t xml:space="preserve">. </w:t>
      </w:r>
      <w:r w:rsidR="00CF3E74" w:rsidRPr="00C82BBD">
        <w:rPr>
          <w:rFonts w:ascii="Garamond" w:hAnsi="Garamond"/>
        </w:rPr>
        <w:t xml:space="preserve">Here, </w:t>
      </w:r>
      <w:r w:rsidRPr="00C82BBD">
        <w:rPr>
          <w:rFonts w:ascii="Garamond" w:hAnsi="Garamond"/>
        </w:rPr>
        <w:t xml:space="preserve">Gabrielle engages with </w:t>
      </w:r>
      <w:r w:rsidR="00FC6358" w:rsidRPr="00C82BBD">
        <w:rPr>
          <w:rFonts w:ascii="Garamond" w:hAnsi="Garamond"/>
        </w:rPr>
        <w:t>naloxone</w:t>
      </w:r>
      <w:r w:rsidRPr="00C82BBD">
        <w:rPr>
          <w:rFonts w:ascii="Garamond" w:hAnsi="Garamond"/>
        </w:rPr>
        <w:t xml:space="preserve">’s ability to </w:t>
      </w:r>
      <w:r w:rsidR="00FC6358" w:rsidRPr="00C82BBD">
        <w:rPr>
          <w:rFonts w:ascii="Garamond" w:hAnsi="Garamond"/>
        </w:rPr>
        <w:t xml:space="preserve">mediate </w:t>
      </w:r>
      <w:r w:rsidRPr="00C82BBD">
        <w:rPr>
          <w:rFonts w:ascii="Garamond" w:hAnsi="Garamond"/>
        </w:rPr>
        <w:t>the relationship between heroin dose and s</w:t>
      </w:r>
      <w:r w:rsidR="00FC6358" w:rsidRPr="00C82BBD">
        <w:rPr>
          <w:rFonts w:ascii="Garamond" w:hAnsi="Garamond"/>
        </w:rPr>
        <w:t>afety</w:t>
      </w:r>
      <w:r w:rsidR="00CE30FA" w:rsidRPr="00C82BBD">
        <w:rPr>
          <w:rFonts w:ascii="Garamond" w:hAnsi="Garamond"/>
        </w:rPr>
        <w:t>, that is, to modulate</w:t>
      </w:r>
      <w:r w:rsidR="00FC6358" w:rsidRPr="00C82BBD">
        <w:rPr>
          <w:rFonts w:ascii="Garamond" w:hAnsi="Garamond"/>
        </w:rPr>
        <w:t xml:space="preserve"> the intoxicating</w:t>
      </w:r>
      <w:r w:rsidR="007350C3" w:rsidRPr="00C82BBD">
        <w:rPr>
          <w:rFonts w:ascii="Garamond" w:hAnsi="Garamond"/>
        </w:rPr>
        <w:t xml:space="preserve"> and analgesic</w:t>
      </w:r>
      <w:r w:rsidR="00FC6358" w:rsidRPr="00C82BBD">
        <w:rPr>
          <w:rFonts w:ascii="Garamond" w:hAnsi="Garamond"/>
        </w:rPr>
        <w:t xml:space="preserve"> effects of heroin and ensure that her partner does not </w:t>
      </w:r>
      <w:r w:rsidR="001B1DDA" w:rsidRPr="00C82BBD">
        <w:rPr>
          <w:rFonts w:ascii="Garamond" w:hAnsi="Garamond"/>
        </w:rPr>
        <w:t>reach</w:t>
      </w:r>
      <w:r w:rsidR="00FC6358" w:rsidRPr="00C82BBD">
        <w:rPr>
          <w:rFonts w:ascii="Garamond" w:hAnsi="Garamond"/>
        </w:rPr>
        <w:t xml:space="preserve"> the point </w:t>
      </w:r>
      <w:r w:rsidR="00CE30FA" w:rsidRPr="00C82BBD">
        <w:rPr>
          <w:rFonts w:ascii="Garamond" w:hAnsi="Garamond"/>
        </w:rPr>
        <w:t>of</w:t>
      </w:r>
      <w:r w:rsidR="00597E75" w:rsidRPr="00C82BBD">
        <w:rPr>
          <w:rFonts w:ascii="Garamond" w:hAnsi="Garamond"/>
        </w:rPr>
        <w:t xml:space="preserve"> losing consciousness</w:t>
      </w:r>
      <w:r w:rsidR="00FC6358" w:rsidRPr="00C82BBD">
        <w:rPr>
          <w:rFonts w:ascii="Garamond" w:hAnsi="Garamond"/>
        </w:rPr>
        <w:t>.</w:t>
      </w:r>
      <w:r w:rsidR="00037A5C" w:rsidRPr="00C82BBD">
        <w:rPr>
          <w:rFonts w:ascii="Garamond" w:hAnsi="Garamond"/>
        </w:rPr>
        <w:t xml:space="preserve"> In this way, take-home naloxone </w:t>
      </w:r>
      <w:r w:rsidR="001B1DDA" w:rsidRPr="00C82BBD">
        <w:rPr>
          <w:rFonts w:ascii="Garamond" w:hAnsi="Garamond"/>
        </w:rPr>
        <w:t xml:space="preserve">is a </w:t>
      </w:r>
      <w:r w:rsidR="00506C08" w:rsidRPr="00C82BBD">
        <w:rPr>
          <w:rFonts w:ascii="Garamond" w:hAnsi="Garamond"/>
        </w:rPr>
        <w:t>significant</w:t>
      </w:r>
      <w:r w:rsidR="001B1DDA" w:rsidRPr="00C82BBD">
        <w:rPr>
          <w:rFonts w:ascii="Garamond" w:hAnsi="Garamond"/>
        </w:rPr>
        <w:t xml:space="preserve"> technology </w:t>
      </w:r>
      <w:r w:rsidR="00CE30FA" w:rsidRPr="00C82BBD">
        <w:rPr>
          <w:rFonts w:ascii="Garamond" w:hAnsi="Garamond"/>
        </w:rPr>
        <w:t>for</w:t>
      </w:r>
      <w:r w:rsidR="00037A5C" w:rsidRPr="00C82BBD">
        <w:rPr>
          <w:rFonts w:ascii="Garamond" w:hAnsi="Garamond"/>
        </w:rPr>
        <w:t xml:space="preserve"> Gabrielle’s partner</w:t>
      </w:r>
      <w:r w:rsidR="00CE30FA" w:rsidRPr="00C82BBD">
        <w:rPr>
          <w:rFonts w:ascii="Garamond" w:hAnsi="Garamond"/>
        </w:rPr>
        <w:t xml:space="preserve"> care</w:t>
      </w:r>
      <w:r w:rsidR="00037A5C" w:rsidRPr="00C82BBD">
        <w:rPr>
          <w:rFonts w:ascii="Garamond" w:hAnsi="Garamond"/>
        </w:rPr>
        <w:t xml:space="preserve">. </w:t>
      </w:r>
      <w:r w:rsidR="00CE30FA" w:rsidRPr="00C82BBD">
        <w:rPr>
          <w:rFonts w:ascii="Garamond" w:hAnsi="Garamond"/>
        </w:rPr>
        <w:t xml:space="preserve">Importantly, the role naloxone plays here is a qualitative one. Unlike common binary accounts of naloxone’s effects, which tend to </w:t>
      </w:r>
      <w:proofErr w:type="spellStart"/>
      <w:r w:rsidR="00CE30FA" w:rsidRPr="00C82BBD">
        <w:rPr>
          <w:rFonts w:ascii="Garamond" w:hAnsi="Garamond"/>
        </w:rPr>
        <w:t>emphasise</w:t>
      </w:r>
      <w:proofErr w:type="spellEnd"/>
      <w:r w:rsidR="00CE30FA" w:rsidRPr="00C82BBD">
        <w:rPr>
          <w:rFonts w:ascii="Garamond" w:hAnsi="Garamond"/>
        </w:rPr>
        <w:t xml:space="preserve"> two states, overdose and revival, Gabrielle’s engagement with naloxone</w:t>
      </w:r>
      <w:r w:rsidR="00764CEF" w:rsidRPr="00C82BBD">
        <w:rPr>
          <w:rFonts w:ascii="Garamond" w:hAnsi="Garamond"/>
        </w:rPr>
        <w:t xml:space="preserve"> as a form of care constitutes it as a tool for titrating intoxication:</w:t>
      </w:r>
    </w:p>
    <w:p w14:paraId="6ECD625E" w14:textId="42F8291D" w:rsidR="00FA2140" w:rsidRPr="00C82BBD" w:rsidRDefault="00037A5C" w:rsidP="00C82BBD">
      <w:pPr>
        <w:spacing w:line="480" w:lineRule="auto"/>
        <w:ind w:left="720"/>
        <w:rPr>
          <w:rFonts w:ascii="Garamond" w:hAnsi="Garamond"/>
        </w:rPr>
      </w:pPr>
      <w:r w:rsidRPr="00C82BBD">
        <w:rPr>
          <w:rFonts w:ascii="Garamond" w:hAnsi="Garamond"/>
        </w:rPr>
        <w:t>I’m not using a full ampoule, because […] he’s using heroin to enjoy it and I don’t want to completely reverse it</w:t>
      </w:r>
      <w:r w:rsidR="00A654EF" w:rsidRPr="00C82BBD">
        <w:rPr>
          <w:rFonts w:ascii="Garamond" w:hAnsi="Garamond"/>
        </w:rPr>
        <w:t xml:space="preserve"> […]</w:t>
      </w:r>
      <w:r w:rsidRPr="00C82BBD">
        <w:rPr>
          <w:rFonts w:ascii="Garamond" w:hAnsi="Garamond"/>
        </w:rPr>
        <w:t xml:space="preserve"> I just need to take the edge off it and straighten him up a </w:t>
      </w:r>
      <w:r w:rsidR="00CE30FA" w:rsidRPr="00C82BBD">
        <w:rPr>
          <w:rFonts w:ascii="Garamond" w:hAnsi="Garamond"/>
        </w:rPr>
        <w:t xml:space="preserve">bit </w:t>
      </w:r>
      <w:r w:rsidRPr="00C82BBD">
        <w:rPr>
          <w:rFonts w:ascii="Garamond" w:hAnsi="Garamond"/>
        </w:rPr>
        <w:t>[then] he goes back to a level of being stoned, but not quite as stoned as he was before</w:t>
      </w:r>
      <w:r w:rsidR="00CE30FA" w:rsidRPr="00C82BBD">
        <w:rPr>
          <w:rFonts w:ascii="Garamond" w:hAnsi="Garamond"/>
        </w:rPr>
        <w:t>. A</w:t>
      </w:r>
      <w:r w:rsidRPr="00C82BBD">
        <w:rPr>
          <w:rFonts w:ascii="Garamond" w:hAnsi="Garamond"/>
        </w:rPr>
        <w:t>nd then I can relax.</w:t>
      </w:r>
    </w:p>
    <w:p w14:paraId="011B6A13" w14:textId="6C96C0E9" w:rsidR="00FA2140" w:rsidRPr="00C82BBD" w:rsidRDefault="00764CEF" w:rsidP="00C82BBD">
      <w:pPr>
        <w:spacing w:line="480" w:lineRule="auto"/>
        <w:rPr>
          <w:rFonts w:ascii="Garamond" w:hAnsi="Garamond"/>
        </w:rPr>
      </w:pPr>
      <w:r w:rsidRPr="00C82BBD">
        <w:rPr>
          <w:rFonts w:ascii="Garamond" w:hAnsi="Garamond"/>
        </w:rPr>
        <w:t xml:space="preserve">Via naloxone, </w:t>
      </w:r>
      <w:r w:rsidR="000F5124" w:rsidRPr="00C82BBD">
        <w:rPr>
          <w:rFonts w:ascii="Garamond" w:hAnsi="Garamond"/>
        </w:rPr>
        <w:t xml:space="preserve">Gabrielle is able to pay careful attention to </w:t>
      </w:r>
      <w:r w:rsidR="00597E75" w:rsidRPr="00C82BBD">
        <w:rPr>
          <w:rFonts w:ascii="Garamond" w:hAnsi="Garamond"/>
        </w:rPr>
        <w:t>Jeremy</w:t>
      </w:r>
      <w:r w:rsidRPr="00C82BBD">
        <w:rPr>
          <w:rFonts w:ascii="Garamond" w:hAnsi="Garamond"/>
        </w:rPr>
        <w:t>’s</w:t>
      </w:r>
      <w:r w:rsidR="000F5124" w:rsidRPr="00C82BBD">
        <w:rPr>
          <w:rFonts w:ascii="Garamond" w:hAnsi="Garamond"/>
        </w:rPr>
        <w:t xml:space="preserve"> </w:t>
      </w:r>
      <w:r w:rsidRPr="00C82BBD">
        <w:rPr>
          <w:rFonts w:ascii="Garamond" w:hAnsi="Garamond"/>
        </w:rPr>
        <w:t>bodily state</w:t>
      </w:r>
      <w:r w:rsidR="000F5124" w:rsidRPr="00C82BBD">
        <w:rPr>
          <w:rFonts w:ascii="Garamond" w:hAnsi="Garamond"/>
        </w:rPr>
        <w:t>, h</w:t>
      </w:r>
      <w:r w:rsidRPr="00C82BBD">
        <w:rPr>
          <w:rFonts w:ascii="Garamond" w:hAnsi="Garamond"/>
        </w:rPr>
        <w:t>i</w:t>
      </w:r>
      <w:r w:rsidR="000F5124" w:rsidRPr="00C82BBD">
        <w:rPr>
          <w:rFonts w:ascii="Garamond" w:hAnsi="Garamond"/>
        </w:rPr>
        <w:t xml:space="preserve">s </w:t>
      </w:r>
      <w:r w:rsidRPr="00C82BBD">
        <w:rPr>
          <w:rFonts w:ascii="Garamond" w:hAnsi="Garamond"/>
        </w:rPr>
        <w:t xml:space="preserve">level of </w:t>
      </w:r>
      <w:r w:rsidR="000F5124" w:rsidRPr="00C82BBD">
        <w:rPr>
          <w:rFonts w:ascii="Garamond" w:hAnsi="Garamond"/>
        </w:rPr>
        <w:t xml:space="preserve">intoxication and </w:t>
      </w:r>
      <w:r w:rsidRPr="00C82BBD">
        <w:rPr>
          <w:rFonts w:ascii="Garamond" w:hAnsi="Garamond"/>
        </w:rPr>
        <w:t xml:space="preserve">his </w:t>
      </w:r>
      <w:r w:rsidR="000F5124" w:rsidRPr="00C82BBD">
        <w:rPr>
          <w:rFonts w:ascii="Garamond" w:hAnsi="Garamond"/>
        </w:rPr>
        <w:t>health</w:t>
      </w:r>
      <w:r w:rsidR="002374AA" w:rsidRPr="00C82BBD">
        <w:rPr>
          <w:rFonts w:ascii="Garamond" w:hAnsi="Garamond"/>
        </w:rPr>
        <w:t>. S</w:t>
      </w:r>
      <w:r w:rsidR="000F5124" w:rsidRPr="00C82BBD">
        <w:rPr>
          <w:rFonts w:ascii="Garamond" w:hAnsi="Garamond"/>
        </w:rPr>
        <w:t xml:space="preserve">he articulates a very careful and caring process that requires a mode of attention </w:t>
      </w:r>
      <w:r w:rsidR="002374AA" w:rsidRPr="00C82BBD">
        <w:rPr>
          <w:rFonts w:ascii="Garamond" w:hAnsi="Garamond"/>
        </w:rPr>
        <w:t>reliant on a complex of elements including</w:t>
      </w:r>
      <w:r w:rsidR="00503E0D" w:rsidRPr="00C82BBD">
        <w:rPr>
          <w:rFonts w:ascii="Garamond" w:hAnsi="Garamond"/>
        </w:rPr>
        <w:t xml:space="preserve">, among other </w:t>
      </w:r>
      <w:r w:rsidR="002374AA" w:rsidRPr="00C82BBD">
        <w:rPr>
          <w:rFonts w:ascii="Garamond" w:hAnsi="Garamond"/>
        </w:rPr>
        <w:t>things</w:t>
      </w:r>
      <w:r w:rsidR="00503E0D" w:rsidRPr="00C82BBD">
        <w:rPr>
          <w:rFonts w:ascii="Garamond" w:hAnsi="Garamond"/>
        </w:rPr>
        <w:t xml:space="preserve">, </w:t>
      </w:r>
      <w:r w:rsidR="000F5124" w:rsidRPr="00C82BBD">
        <w:rPr>
          <w:rFonts w:ascii="Garamond" w:hAnsi="Garamond"/>
        </w:rPr>
        <w:t>their intimate relationship, their living arrangement and access to</w:t>
      </w:r>
      <w:r w:rsidR="002374AA" w:rsidRPr="00C82BBD">
        <w:rPr>
          <w:rFonts w:ascii="Garamond" w:hAnsi="Garamond"/>
        </w:rPr>
        <w:t xml:space="preserve"> and particular use of</w:t>
      </w:r>
      <w:r w:rsidR="000F5124" w:rsidRPr="00C82BBD">
        <w:rPr>
          <w:rFonts w:ascii="Garamond" w:hAnsi="Garamond"/>
        </w:rPr>
        <w:t xml:space="preserve"> take-home naloxone. Importantly, Gabrielle explains that </w:t>
      </w:r>
      <w:r w:rsidR="00B961C5" w:rsidRPr="00C82BBD">
        <w:rPr>
          <w:rFonts w:ascii="Garamond" w:hAnsi="Garamond"/>
        </w:rPr>
        <w:t>the care she takes in</w:t>
      </w:r>
      <w:r w:rsidR="000F5124" w:rsidRPr="00C82BBD">
        <w:rPr>
          <w:rFonts w:ascii="Garamond" w:hAnsi="Garamond"/>
        </w:rPr>
        <w:t xml:space="preserve"> us</w:t>
      </w:r>
      <w:r w:rsidR="00B961C5" w:rsidRPr="00C82BBD">
        <w:rPr>
          <w:rFonts w:ascii="Garamond" w:hAnsi="Garamond"/>
        </w:rPr>
        <w:t>ing</w:t>
      </w:r>
      <w:r w:rsidR="000F5124" w:rsidRPr="00C82BBD">
        <w:rPr>
          <w:rFonts w:ascii="Garamond" w:hAnsi="Garamond"/>
        </w:rPr>
        <w:t xml:space="preserve"> naloxone in this way </w:t>
      </w:r>
      <w:r w:rsidR="00B961C5" w:rsidRPr="00C82BBD">
        <w:rPr>
          <w:rFonts w:ascii="Garamond" w:hAnsi="Garamond"/>
        </w:rPr>
        <w:t xml:space="preserve">arises </w:t>
      </w:r>
      <w:r w:rsidR="000F5124" w:rsidRPr="00C82BBD">
        <w:rPr>
          <w:rFonts w:ascii="Garamond" w:hAnsi="Garamond"/>
        </w:rPr>
        <w:t xml:space="preserve">partly </w:t>
      </w:r>
      <w:r w:rsidR="00B961C5" w:rsidRPr="00C82BBD">
        <w:rPr>
          <w:rFonts w:ascii="Garamond" w:hAnsi="Garamond"/>
        </w:rPr>
        <w:t>from a strong wish to avoid</w:t>
      </w:r>
      <w:r w:rsidR="000F5124" w:rsidRPr="00C82BBD">
        <w:rPr>
          <w:rFonts w:ascii="Garamond" w:hAnsi="Garamond"/>
        </w:rPr>
        <w:t xml:space="preserve"> </w:t>
      </w:r>
      <w:r w:rsidR="00B961C5" w:rsidRPr="00C82BBD">
        <w:rPr>
          <w:rFonts w:ascii="Garamond" w:hAnsi="Garamond"/>
        </w:rPr>
        <w:t>having to decide between</w:t>
      </w:r>
      <w:r w:rsidR="000F5124" w:rsidRPr="00C82BBD">
        <w:rPr>
          <w:rFonts w:ascii="Garamond" w:hAnsi="Garamond"/>
        </w:rPr>
        <w:t xml:space="preserve"> break</w:t>
      </w:r>
      <w:r w:rsidR="00B961C5" w:rsidRPr="00C82BBD">
        <w:rPr>
          <w:rFonts w:ascii="Garamond" w:hAnsi="Garamond"/>
        </w:rPr>
        <w:t>ing</w:t>
      </w:r>
      <w:r w:rsidR="000F5124" w:rsidRPr="00C82BBD">
        <w:rPr>
          <w:rFonts w:ascii="Garamond" w:hAnsi="Garamond"/>
        </w:rPr>
        <w:t xml:space="preserve"> her agreement with </w:t>
      </w:r>
      <w:r w:rsidR="00C66350" w:rsidRPr="00C82BBD">
        <w:rPr>
          <w:rFonts w:ascii="Garamond" w:hAnsi="Garamond"/>
        </w:rPr>
        <w:t>Jeremy</w:t>
      </w:r>
      <w:r w:rsidR="000F5124" w:rsidRPr="00C82BBD">
        <w:rPr>
          <w:rFonts w:ascii="Garamond" w:hAnsi="Garamond"/>
        </w:rPr>
        <w:t xml:space="preserve"> or let</w:t>
      </w:r>
      <w:r w:rsidR="00B961C5" w:rsidRPr="00C82BBD">
        <w:rPr>
          <w:rFonts w:ascii="Garamond" w:hAnsi="Garamond"/>
        </w:rPr>
        <w:t>ting him die.</w:t>
      </w:r>
    </w:p>
    <w:p w14:paraId="3B04B424" w14:textId="2AA2867E" w:rsidR="00424347" w:rsidRPr="00C82BBD" w:rsidRDefault="000F5124" w:rsidP="00C82BBD">
      <w:pPr>
        <w:spacing w:line="480" w:lineRule="auto"/>
        <w:ind w:left="720"/>
        <w:rPr>
          <w:rFonts w:ascii="Garamond" w:hAnsi="Garamond"/>
          <w:lang w:val="en-AU"/>
        </w:rPr>
      </w:pPr>
      <w:r w:rsidRPr="00C82BBD">
        <w:rPr>
          <w:rFonts w:ascii="Garamond" w:hAnsi="Garamond"/>
          <w:lang w:val="en-AU"/>
        </w:rPr>
        <w:t>I don’t want to be in that position where I’m making a decision to bring hi</w:t>
      </w:r>
      <w:r w:rsidR="00237C03" w:rsidRPr="00C82BBD">
        <w:rPr>
          <w:rFonts w:ascii="Garamond" w:hAnsi="Garamond"/>
          <w:lang w:val="en-AU"/>
        </w:rPr>
        <w:t xml:space="preserve">m back or not to bring him back […] </w:t>
      </w:r>
      <w:r w:rsidRPr="00C82BBD">
        <w:rPr>
          <w:rFonts w:ascii="Garamond" w:hAnsi="Garamond"/>
          <w:lang w:val="en-AU"/>
        </w:rPr>
        <w:t xml:space="preserve">I have administered Narcan to him just […] before a complete overdose, because </w:t>
      </w:r>
      <w:r w:rsidRPr="00C82BBD">
        <w:rPr>
          <w:rFonts w:ascii="Garamond" w:hAnsi="Garamond"/>
          <w:lang w:val="en-AU"/>
        </w:rPr>
        <w:lastRenderedPageBreak/>
        <w:t>then I’m not breaking my word to him. Like I haven’t reversed his death, I’ve just stopped him dying</w:t>
      </w:r>
      <w:r w:rsidR="009824D5" w:rsidRPr="00C82BBD">
        <w:rPr>
          <w:rFonts w:ascii="Garamond" w:hAnsi="Garamond"/>
          <w:lang w:val="en-AU"/>
        </w:rPr>
        <w:t xml:space="preserve"> […]</w:t>
      </w:r>
      <w:r w:rsidRPr="00C82BBD">
        <w:rPr>
          <w:rFonts w:ascii="Garamond" w:hAnsi="Garamond"/>
          <w:lang w:val="en-AU"/>
        </w:rPr>
        <w:t xml:space="preserve"> </w:t>
      </w:r>
      <w:r w:rsidR="009824D5" w:rsidRPr="00C82BBD">
        <w:rPr>
          <w:rFonts w:ascii="Garamond" w:hAnsi="Garamond"/>
          <w:lang w:val="en-AU"/>
        </w:rPr>
        <w:t>I</w:t>
      </w:r>
      <w:r w:rsidRPr="00C82BBD">
        <w:rPr>
          <w:rFonts w:ascii="Garamond" w:hAnsi="Garamond"/>
          <w:lang w:val="en-AU"/>
        </w:rPr>
        <w:t>t is a big distinction and he’s okay with that.</w:t>
      </w:r>
    </w:p>
    <w:p w14:paraId="02051BCA" w14:textId="45DEA07B" w:rsidR="000809FF" w:rsidRPr="00C82BBD" w:rsidRDefault="00B961C5" w:rsidP="00C82BBD">
      <w:pPr>
        <w:spacing w:line="480" w:lineRule="auto"/>
        <w:rPr>
          <w:rFonts w:ascii="Garamond" w:hAnsi="Garamond"/>
        </w:rPr>
      </w:pPr>
      <w:r w:rsidRPr="00C82BBD">
        <w:rPr>
          <w:rFonts w:ascii="Garamond" w:hAnsi="Garamond"/>
        </w:rPr>
        <w:t>Following</w:t>
      </w:r>
      <w:r w:rsidR="000809FF" w:rsidRPr="00C82BBD">
        <w:rPr>
          <w:rFonts w:ascii="Garamond" w:hAnsi="Garamond"/>
        </w:rPr>
        <w:t xml:space="preserve"> Mol (2008) and Latour (2002),</w:t>
      </w:r>
      <w:r w:rsidRPr="00C82BBD">
        <w:rPr>
          <w:rFonts w:ascii="Garamond" w:hAnsi="Garamond"/>
        </w:rPr>
        <w:t xml:space="preserve"> we can argue that</w:t>
      </w:r>
      <w:r w:rsidR="000809FF" w:rsidRPr="00C82BBD">
        <w:rPr>
          <w:rFonts w:ascii="Garamond" w:hAnsi="Garamond"/>
        </w:rPr>
        <w:t xml:space="preserve"> the technology of take-home naloxone has </w:t>
      </w:r>
      <w:r w:rsidRPr="00C82BBD">
        <w:rPr>
          <w:rFonts w:ascii="Garamond" w:hAnsi="Garamond"/>
        </w:rPr>
        <w:t xml:space="preserve">afforded </w:t>
      </w:r>
      <w:r w:rsidR="000809FF" w:rsidRPr="00C82BBD">
        <w:rPr>
          <w:rFonts w:ascii="Garamond" w:hAnsi="Garamond"/>
        </w:rPr>
        <w:t>change</w:t>
      </w:r>
      <w:r w:rsidRPr="00C82BBD">
        <w:rPr>
          <w:rFonts w:ascii="Garamond" w:hAnsi="Garamond"/>
        </w:rPr>
        <w:t xml:space="preserve"> in</w:t>
      </w:r>
      <w:r w:rsidR="000809FF" w:rsidRPr="00C82BBD">
        <w:rPr>
          <w:rFonts w:ascii="Garamond" w:hAnsi="Garamond"/>
        </w:rPr>
        <w:t xml:space="preserve"> Gabrielle’s </w:t>
      </w:r>
      <w:r w:rsidR="00085CA9" w:rsidRPr="00C82BBD">
        <w:rPr>
          <w:rFonts w:ascii="Garamond" w:hAnsi="Garamond"/>
        </w:rPr>
        <w:t xml:space="preserve">ethical </w:t>
      </w:r>
      <w:r w:rsidR="000809FF" w:rsidRPr="00C82BBD">
        <w:rPr>
          <w:rFonts w:ascii="Garamond" w:hAnsi="Garamond"/>
        </w:rPr>
        <w:t>landscape and the conditions of possibility of care within her relationship.</w:t>
      </w:r>
      <w:r w:rsidR="00597E75" w:rsidRPr="00C82BBD">
        <w:rPr>
          <w:rFonts w:ascii="Garamond" w:hAnsi="Garamond"/>
        </w:rPr>
        <w:t xml:space="preserve"> The affordances of take-home naloxone allow for a distinction between </w:t>
      </w:r>
      <w:r w:rsidR="00627AB1" w:rsidRPr="00C82BBD">
        <w:rPr>
          <w:rFonts w:ascii="Garamond" w:hAnsi="Garamond"/>
        </w:rPr>
        <w:t>a ‘complete overdose’ (if Jeremy was to lose consciousness) and stopping death (ensuring Jeremy’s breathing remains steady)</w:t>
      </w:r>
      <w:r w:rsidR="00726B7E" w:rsidRPr="00C82BBD">
        <w:rPr>
          <w:rFonts w:ascii="Garamond" w:hAnsi="Garamond"/>
        </w:rPr>
        <w:t xml:space="preserve"> to be negotiated within their relationship</w:t>
      </w:r>
      <w:r w:rsidR="00627AB1" w:rsidRPr="00C82BBD">
        <w:rPr>
          <w:rFonts w:ascii="Garamond" w:hAnsi="Garamond"/>
        </w:rPr>
        <w:t>.</w:t>
      </w:r>
      <w:r w:rsidR="000809FF" w:rsidRPr="00C82BBD">
        <w:rPr>
          <w:rFonts w:ascii="Garamond" w:hAnsi="Garamond"/>
        </w:rPr>
        <w:t xml:space="preserve"> Gabrielle pays careful attention to her partner’s state of intoxication</w:t>
      </w:r>
      <w:r w:rsidRPr="00C82BBD">
        <w:rPr>
          <w:rFonts w:ascii="Garamond" w:hAnsi="Garamond"/>
        </w:rPr>
        <w:t xml:space="preserve">, actively </w:t>
      </w:r>
      <w:r w:rsidR="000809FF" w:rsidRPr="00C82BBD">
        <w:rPr>
          <w:rFonts w:ascii="Garamond" w:hAnsi="Garamond"/>
        </w:rPr>
        <w:t>mediat</w:t>
      </w:r>
      <w:r w:rsidRPr="00C82BBD">
        <w:rPr>
          <w:rFonts w:ascii="Garamond" w:hAnsi="Garamond"/>
        </w:rPr>
        <w:t>ing</w:t>
      </w:r>
      <w:r w:rsidR="000809FF" w:rsidRPr="00C82BBD">
        <w:rPr>
          <w:rFonts w:ascii="Garamond" w:hAnsi="Garamond"/>
        </w:rPr>
        <w:t xml:space="preserve"> the effects of </w:t>
      </w:r>
      <w:r w:rsidRPr="00C82BBD">
        <w:rPr>
          <w:rFonts w:ascii="Garamond" w:hAnsi="Garamond"/>
        </w:rPr>
        <w:t xml:space="preserve">the </w:t>
      </w:r>
      <w:r w:rsidR="000809FF" w:rsidRPr="00C82BBD">
        <w:rPr>
          <w:rFonts w:ascii="Garamond" w:hAnsi="Garamond"/>
        </w:rPr>
        <w:t xml:space="preserve">heroin </w:t>
      </w:r>
      <w:r w:rsidRPr="00C82BBD">
        <w:rPr>
          <w:rFonts w:ascii="Garamond" w:hAnsi="Garamond"/>
        </w:rPr>
        <w:t xml:space="preserve">he </w:t>
      </w:r>
      <w:r w:rsidR="00A654EF" w:rsidRPr="00C82BBD">
        <w:rPr>
          <w:rFonts w:ascii="Garamond" w:hAnsi="Garamond"/>
        </w:rPr>
        <w:t>consumes</w:t>
      </w:r>
      <w:r w:rsidRPr="00C82BBD">
        <w:rPr>
          <w:rFonts w:ascii="Garamond" w:hAnsi="Garamond"/>
        </w:rPr>
        <w:t xml:space="preserve"> </w:t>
      </w:r>
      <w:r w:rsidR="000809FF" w:rsidRPr="00C82BBD">
        <w:rPr>
          <w:rFonts w:ascii="Garamond" w:hAnsi="Garamond"/>
        </w:rPr>
        <w:t>to ensure his safety</w:t>
      </w:r>
      <w:r w:rsidRPr="00C82BBD">
        <w:rPr>
          <w:rFonts w:ascii="Garamond" w:hAnsi="Garamond"/>
        </w:rPr>
        <w:t>. T</w:t>
      </w:r>
      <w:r w:rsidR="000809FF" w:rsidRPr="00C82BBD">
        <w:rPr>
          <w:rFonts w:ascii="Garamond" w:hAnsi="Garamond"/>
        </w:rPr>
        <w:t>his allow</w:t>
      </w:r>
      <w:r w:rsidR="00503E0D" w:rsidRPr="00C82BBD">
        <w:rPr>
          <w:rFonts w:ascii="Garamond" w:hAnsi="Garamond"/>
        </w:rPr>
        <w:t>s</w:t>
      </w:r>
      <w:r w:rsidR="000809FF" w:rsidRPr="00C82BBD">
        <w:rPr>
          <w:rFonts w:ascii="Garamond" w:hAnsi="Garamond"/>
        </w:rPr>
        <w:t xml:space="preserve"> him the pleasures of heroin consumption but also ensure</w:t>
      </w:r>
      <w:r w:rsidR="00503E0D" w:rsidRPr="00C82BBD">
        <w:rPr>
          <w:rFonts w:ascii="Garamond" w:hAnsi="Garamond"/>
        </w:rPr>
        <w:t>s</w:t>
      </w:r>
      <w:r w:rsidR="000809FF" w:rsidRPr="00C82BBD">
        <w:rPr>
          <w:rFonts w:ascii="Garamond" w:hAnsi="Garamond"/>
        </w:rPr>
        <w:t xml:space="preserve"> that Gabrielle </w:t>
      </w:r>
      <w:r w:rsidRPr="00C82BBD">
        <w:rPr>
          <w:rFonts w:ascii="Garamond" w:hAnsi="Garamond"/>
        </w:rPr>
        <w:t>does not have to make a</w:t>
      </w:r>
      <w:r w:rsidR="000809FF" w:rsidRPr="00C82BBD">
        <w:rPr>
          <w:rFonts w:ascii="Garamond" w:hAnsi="Garamond"/>
        </w:rPr>
        <w:t xml:space="preserve"> very difficult choice. Gabrielle’s </w:t>
      </w:r>
      <w:r w:rsidRPr="00C82BBD">
        <w:rPr>
          <w:rFonts w:ascii="Garamond" w:hAnsi="Garamond"/>
        </w:rPr>
        <w:t xml:space="preserve">account illuminates the ways in which </w:t>
      </w:r>
      <w:r w:rsidR="000809FF" w:rsidRPr="00C82BBD">
        <w:rPr>
          <w:rFonts w:ascii="Garamond" w:hAnsi="Garamond"/>
        </w:rPr>
        <w:t>naloxone</w:t>
      </w:r>
      <w:r w:rsidR="002E52C0" w:rsidRPr="00C82BBD">
        <w:rPr>
          <w:rFonts w:ascii="Garamond" w:hAnsi="Garamond"/>
        </w:rPr>
        <w:t xml:space="preserve"> access</w:t>
      </w:r>
      <w:r w:rsidR="000809FF" w:rsidRPr="00C82BBD">
        <w:rPr>
          <w:rFonts w:ascii="Garamond" w:hAnsi="Garamond"/>
        </w:rPr>
        <w:t xml:space="preserve"> affords a specific regime of care</w:t>
      </w:r>
      <w:r w:rsidRPr="00C82BBD">
        <w:rPr>
          <w:rFonts w:ascii="Garamond" w:hAnsi="Garamond"/>
        </w:rPr>
        <w:t>,</w:t>
      </w:r>
      <w:r w:rsidR="000809FF" w:rsidRPr="00C82BBD">
        <w:rPr>
          <w:rFonts w:ascii="Garamond" w:hAnsi="Garamond"/>
        </w:rPr>
        <w:t xml:space="preserve"> </w:t>
      </w:r>
      <w:r w:rsidRPr="00C82BBD">
        <w:rPr>
          <w:rFonts w:ascii="Garamond" w:hAnsi="Garamond"/>
        </w:rPr>
        <w:t xml:space="preserve">as well as the ways in which the </w:t>
      </w:r>
      <w:r w:rsidR="000809FF" w:rsidRPr="00C82BBD">
        <w:rPr>
          <w:rFonts w:ascii="Garamond" w:hAnsi="Garamond"/>
        </w:rPr>
        <w:t>technology itself, what it does and is used for</w:t>
      </w:r>
      <w:r w:rsidRPr="00C82BBD">
        <w:rPr>
          <w:rFonts w:ascii="Garamond" w:hAnsi="Garamond"/>
        </w:rPr>
        <w:t>,</w:t>
      </w:r>
      <w:r w:rsidR="000809FF" w:rsidRPr="00C82BBD">
        <w:rPr>
          <w:rFonts w:ascii="Garamond" w:hAnsi="Garamond"/>
        </w:rPr>
        <w:t xml:space="preserve"> also takes shape within these specific caring conditions of possibility. </w:t>
      </w:r>
      <w:r w:rsidR="001B1DDA" w:rsidRPr="00C82BBD">
        <w:rPr>
          <w:rFonts w:ascii="Garamond" w:hAnsi="Garamond"/>
        </w:rPr>
        <w:t xml:space="preserve">The </w:t>
      </w:r>
      <w:proofErr w:type="spellStart"/>
      <w:r w:rsidR="001B1DDA" w:rsidRPr="00C82BBD">
        <w:rPr>
          <w:rFonts w:ascii="Garamond" w:hAnsi="Garamond"/>
        </w:rPr>
        <w:t>subjectif</w:t>
      </w:r>
      <w:r w:rsidRPr="00C82BBD">
        <w:rPr>
          <w:rFonts w:ascii="Garamond" w:hAnsi="Garamond"/>
        </w:rPr>
        <w:t>y</w:t>
      </w:r>
      <w:r w:rsidR="001B1DDA" w:rsidRPr="00C82BBD">
        <w:rPr>
          <w:rFonts w:ascii="Garamond" w:hAnsi="Garamond"/>
        </w:rPr>
        <w:t>ing</w:t>
      </w:r>
      <w:proofErr w:type="spellEnd"/>
      <w:r w:rsidR="001B1DDA" w:rsidRPr="00C82BBD">
        <w:rPr>
          <w:rFonts w:ascii="Garamond" w:hAnsi="Garamond"/>
        </w:rPr>
        <w:t xml:space="preserve"> </w:t>
      </w:r>
      <w:r w:rsidR="00424347" w:rsidRPr="00C82BBD">
        <w:rPr>
          <w:rFonts w:ascii="Garamond" w:hAnsi="Garamond"/>
        </w:rPr>
        <w:t>effects</w:t>
      </w:r>
      <w:r w:rsidR="001B1DDA" w:rsidRPr="00C82BBD">
        <w:rPr>
          <w:rFonts w:ascii="Garamond" w:hAnsi="Garamond"/>
        </w:rPr>
        <w:t xml:space="preserve"> of take-home naloxone are also evident here. </w:t>
      </w:r>
      <w:r w:rsidR="00503E0D" w:rsidRPr="00C82BBD">
        <w:rPr>
          <w:rFonts w:ascii="Garamond" w:hAnsi="Garamond"/>
        </w:rPr>
        <w:t>T</w:t>
      </w:r>
      <w:r w:rsidR="001B1DDA" w:rsidRPr="00C82BBD">
        <w:rPr>
          <w:rFonts w:ascii="Garamond" w:hAnsi="Garamond"/>
        </w:rPr>
        <w:t xml:space="preserve">he technology </w:t>
      </w:r>
      <w:r w:rsidR="00503E0D" w:rsidRPr="00C82BBD">
        <w:rPr>
          <w:rFonts w:ascii="Garamond" w:hAnsi="Garamond"/>
        </w:rPr>
        <w:t xml:space="preserve">affords </w:t>
      </w:r>
      <w:r w:rsidR="001B1DDA" w:rsidRPr="00C82BBD">
        <w:rPr>
          <w:rFonts w:ascii="Garamond" w:hAnsi="Garamond"/>
        </w:rPr>
        <w:t>programs of action that Gabrielle may or may not adopt</w:t>
      </w:r>
      <w:r w:rsidR="00503E0D" w:rsidRPr="00C82BBD">
        <w:rPr>
          <w:rFonts w:ascii="Garamond" w:hAnsi="Garamond"/>
        </w:rPr>
        <w:t xml:space="preserve"> (Latour 2002)</w:t>
      </w:r>
      <w:r w:rsidR="00034C99" w:rsidRPr="00C82BBD">
        <w:rPr>
          <w:rFonts w:ascii="Garamond" w:hAnsi="Garamond"/>
        </w:rPr>
        <w:t xml:space="preserve"> in that there may be lasting effects</w:t>
      </w:r>
      <w:r w:rsidR="00737DD8" w:rsidRPr="00C82BBD">
        <w:rPr>
          <w:rFonts w:ascii="Garamond" w:hAnsi="Garamond"/>
        </w:rPr>
        <w:t xml:space="preserve"> for her </w:t>
      </w:r>
      <w:r w:rsidR="00034C99" w:rsidRPr="00C82BBD">
        <w:rPr>
          <w:rFonts w:ascii="Garamond" w:hAnsi="Garamond"/>
        </w:rPr>
        <w:t>were she not to administer</w:t>
      </w:r>
      <w:r w:rsidR="00AE2DD1" w:rsidRPr="00C82BBD">
        <w:rPr>
          <w:rFonts w:ascii="Garamond" w:hAnsi="Garamond"/>
        </w:rPr>
        <w:t xml:space="preserve"> (including professional and even legal </w:t>
      </w:r>
      <w:r w:rsidR="00CF3E74" w:rsidRPr="00C82BBD">
        <w:rPr>
          <w:rFonts w:ascii="Garamond" w:hAnsi="Garamond"/>
        </w:rPr>
        <w:t>issues</w:t>
      </w:r>
      <w:r w:rsidR="00AE2DD1" w:rsidRPr="00C82BBD">
        <w:rPr>
          <w:rFonts w:ascii="Garamond" w:hAnsi="Garamond"/>
        </w:rPr>
        <w:t>)</w:t>
      </w:r>
      <w:r w:rsidR="00034C99" w:rsidRPr="00C82BBD">
        <w:rPr>
          <w:rFonts w:ascii="Garamond" w:hAnsi="Garamond"/>
        </w:rPr>
        <w:t xml:space="preserve"> and lasting effects for her relationship </w:t>
      </w:r>
      <w:r w:rsidR="009824D5" w:rsidRPr="00C82BBD">
        <w:rPr>
          <w:rFonts w:ascii="Garamond" w:hAnsi="Garamond"/>
        </w:rPr>
        <w:t>when she does</w:t>
      </w:r>
      <w:r w:rsidR="00034C99" w:rsidRPr="00C82BBD">
        <w:rPr>
          <w:rFonts w:ascii="Garamond" w:hAnsi="Garamond"/>
        </w:rPr>
        <w:t>.</w:t>
      </w:r>
      <w:r w:rsidR="008128C4" w:rsidRPr="00C82BBD">
        <w:rPr>
          <w:rFonts w:ascii="Garamond" w:hAnsi="Garamond"/>
        </w:rPr>
        <w:t xml:space="preserve"> Understanding the complex relations between technology, subject</w:t>
      </w:r>
      <w:r w:rsidR="00482DB1" w:rsidRPr="00C82BBD">
        <w:rPr>
          <w:rFonts w:ascii="Garamond" w:hAnsi="Garamond"/>
        </w:rPr>
        <w:t>i</w:t>
      </w:r>
      <w:r w:rsidR="008128C4" w:rsidRPr="00C82BBD">
        <w:rPr>
          <w:rFonts w:ascii="Garamond" w:hAnsi="Garamond"/>
        </w:rPr>
        <w:t>fication and care through cases such as this one help us move closer towards understanding the complexities of why and how and under what conditions take-home naloxone might be taken up and administered and</w:t>
      </w:r>
      <w:r w:rsidR="009824D5" w:rsidRPr="00C82BBD">
        <w:rPr>
          <w:rFonts w:ascii="Garamond" w:hAnsi="Garamond"/>
        </w:rPr>
        <w:t xml:space="preserve"> those in which it might not</w:t>
      </w:r>
      <w:r w:rsidR="008128C4" w:rsidRPr="00C82BBD">
        <w:rPr>
          <w:rFonts w:ascii="Garamond" w:hAnsi="Garamond"/>
        </w:rPr>
        <w:t>.</w:t>
      </w:r>
    </w:p>
    <w:p w14:paraId="7947EC96" w14:textId="77777777" w:rsidR="00CD3351" w:rsidRPr="00C82BBD" w:rsidRDefault="00CD3351" w:rsidP="00C82BBD">
      <w:pPr>
        <w:spacing w:line="480" w:lineRule="auto"/>
        <w:rPr>
          <w:rFonts w:ascii="Garamond" w:hAnsi="Garamond"/>
        </w:rPr>
      </w:pPr>
    </w:p>
    <w:p w14:paraId="3BD2095C" w14:textId="79ECDBBF" w:rsidR="000809FF" w:rsidRPr="00C82BBD" w:rsidRDefault="00CF3E74" w:rsidP="00C82BBD">
      <w:pPr>
        <w:spacing w:line="480" w:lineRule="auto"/>
        <w:rPr>
          <w:rFonts w:ascii="Garamond" w:hAnsi="Garamond"/>
          <w:i/>
        </w:rPr>
      </w:pPr>
      <w:r w:rsidRPr="00C82BBD">
        <w:rPr>
          <w:rFonts w:ascii="Garamond" w:hAnsi="Garamond"/>
          <w:i/>
        </w:rPr>
        <w:t xml:space="preserve">Case study 2, </w:t>
      </w:r>
      <w:r w:rsidR="000809FF" w:rsidRPr="00C82BBD">
        <w:rPr>
          <w:rFonts w:ascii="Garamond" w:hAnsi="Garamond"/>
          <w:i/>
        </w:rPr>
        <w:t>Dylan: Gentle naloxone administration</w:t>
      </w:r>
    </w:p>
    <w:p w14:paraId="67DA83EF" w14:textId="62E2C3FC" w:rsidR="000809FF" w:rsidRPr="00C82BBD" w:rsidRDefault="00237C03" w:rsidP="00C82BBD">
      <w:pPr>
        <w:spacing w:line="480" w:lineRule="auto"/>
        <w:rPr>
          <w:rFonts w:ascii="Garamond" w:hAnsi="Garamond"/>
        </w:rPr>
      </w:pPr>
      <w:r w:rsidRPr="00C82BBD">
        <w:rPr>
          <w:rFonts w:ascii="Garamond" w:hAnsi="Garamond"/>
        </w:rPr>
        <w:t>Dylan</w:t>
      </w:r>
      <w:r w:rsidR="008128C4" w:rsidRPr="00C82BBD">
        <w:rPr>
          <w:rFonts w:ascii="Garamond" w:hAnsi="Garamond"/>
        </w:rPr>
        <w:t xml:space="preserve">’s account offers </w:t>
      </w:r>
      <w:r w:rsidRPr="00C82BBD">
        <w:rPr>
          <w:rFonts w:ascii="Garamond" w:hAnsi="Garamond"/>
        </w:rPr>
        <w:t xml:space="preserve">our </w:t>
      </w:r>
      <w:r w:rsidR="008B1A0B" w:rsidRPr="00C82BBD">
        <w:rPr>
          <w:rFonts w:ascii="Garamond" w:hAnsi="Garamond"/>
        </w:rPr>
        <w:t>second case</w:t>
      </w:r>
      <w:r w:rsidRPr="00C82BBD">
        <w:rPr>
          <w:rFonts w:ascii="Garamond" w:hAnsi="Garamond"/>
        </w:rPr>
        <w:t xml:space="preserve"> </w:t>
      </w:r>
      <w:r w:rsidR="008128C4" w:rsidRPr="00C82BBD">
        <w:rPr>
          <w:rFonts w:ascii="Garamond" w:hAnsi="Garamond"/>
        </w:rPr>
        <w:t xml:space="preserve">study demonstrating the </w:t>
      </w:r>
      <w:r w:rsidR="008114E1" w:rsidRPr="00C82BBD">
        <w:rPr>
          <w:rFonts w:ascii="Garamond" w:hAnsi="Garamond"/>
        </w:rPr>
        <w:t xml:space="preserve">co-production of </w:t>
      </w:r>
      <w:r w:rsidR="008B1A0B" w:rsidRPr="00C82BBD">
        <w:rPr>
          <w:rFonts w:ascii="Garamond" w:hAnsi="Garamond"/>
        </w:rPr>
        <w:t xml:space="preserve">take-home naloxone </w:t>
      </w:r>
      <w:r w:rsidR="008114E1" w:rsidRPr="00C82BBD">
        <w:rPr>
          <w:rFonts w:ascii="Garamond" w:hAnsi="Garamond"/>
        </w:rPr>
        <w:t>and</w:t>
      </w:r>
      <w:r w:rsidR="008B1A0B" w:rsidRPr="00C82BBD">
        <w:rPr>
          <w:rFonts w:ascii="Garamond" w:hAnsi="Garamond"/>
        </w:rPr>
        <w:t xml:space="preserve"> care. Dylan is </w:t>
      </w:r>
      <w:r w:rsidR="000C3232" w:rsidRPr="00C82BBD">
        <w:rPr>
          <w:rFonts w:ascii="Garamond" w:hAnsi="Garamond"/>
        </w:rPr>
        <w:t xml:space="preserve">aged </w:t>
      </w:r>
      <w:r w:rsidR="008B1A0B" w:rsidRPr="00C82BBD">
        <w:rPr>
          <w:rFonts w:ascii="Garamond" w:hAnsi="Garamond"/>
        </w:rPr>
        <w:t>33</w:t>
      </w:r>
      <w:r w:rsidR="008128C4" w:rsidRPr="00C82BBD">
        <w:rPr>
          <w:rFonts w:ascii="Garamond" w:hAnsi="Garamond"/>
        </w:rPr>
        <w:t xml:space="preserve">, </w:t>
      </w:r>
      <w:r w:rsidR="008B1A0B" w:rsidRPr="00C82BBD">
        <w:rPr>
          <w:rFonts w:ascii="Garamond" w:hAnsi="Garamond"/>
        </w:rPr>
        <w:t xml:space="preserve">currently unemployed, </w:t>
      </w:r>
      <w:r w:rsidR="008128C4" w:rsidRPr="00C82BBD">
        <w:rPr>
          <w:rFonts w:ascii="Garamond" w:hAnsi="Garamond"/>
        </w:rPr>
        <w:t xml:space="preserve">and </w:t>
      </w:r>
      <w:r w:rsidR="008B1A0B" w:rsidRPr="00C82BBD">
        <w:rPr>
          <w:rFonts w:ascii="Garamond" w:hAnsi="Garamond"/>
        </w:rPr>
        <w:t>volunteer</w:t>
      </w:r>
      <w:r w:rsidR="008128C4" w:rsidRPr="00C82BBD">
        <w:rPr>
          <w:rFonts w:ascii="Garamond" w:hAnsi="Garamond"/>
        </w:rPr>
        <w:t>ing</w:t>
      </w:r>
      <w:r w:rsidR="008B1A0B" w:rsidRPr="00C82BBD">
        <w:rPr>
          <w:rFonts w:ascii="Garamond" w:hAnsi="Garamond"/>
        </w:rPr>
        <w:t xml:space="preserve"> for a peer</w:t>
      </w:r>
      <w:r w:rsidR="008128C4" w:rsidRPr="00C82BBD">
        <w:rPr>
          <w:rFonts w:ascii="Garamond" w:hAnsi="Garamond"/>
        </w:rPr>
        <w:t>-</w:t>
      </w:r>
      <w:r w:rsidR="008B1A0B" w:rsidRPr="00C82BBD">
        <w:rPr>
          <w:rFonts w:ascii="Garamond" w:hAnsi="Garamond"/>
        </w:rPr>
        <w:t xml:space="preserve">led harm reduction </w:t>
      </w:r>
      <w:proofErr w:type="spellStart"/>
      <w:r w:rsidR="008B1A0B" w:rsidRPr="00C82BBD">
        <w:rPr>
          <w:rFonts w:ascii="Garamond" w:hAnsi="Garamond"/>
        </w:rPr>
        <w:t>organisation</w:t>
      </w:r>
      <w:proofErr w:type="spellEnd"/>
      <w:r w:rsidR="003F0E23" w:rsidRPr="00C82BBD">
        <w:rPr>
          <w:rFonts w:ascii="Garamond" w:hAnsi="Garamond"/>
        </w:rPr>
        <w:t xml:space="preserve"> in Melbourne, Victoria</w:t>
      </w:r>
      <w:r w:rsidR="008B1A0B" w:rsidRPr="00C82BBD">
        <w:rPr>
          <w:rFonts w:ascii="Garamond" w:hAnsi="Garamond"/>
        </w:rPr>
        <w:t xml:space="preserve">. </w:t>
      </w:r>
      <w:r w:rsidR="008128C4" w:rsidRPr="00C82BBD">
        <w:rPr>
          <w:rFonts w:ascii="Garamond" w:hAnsi="Garamond"/>
        </w:rPr>
        <w:t xml:space="preserve">Having </w:t>
      </w:r>
      <w:r w:rsidR="008B1A0B" w:rsidRPr="00C82BBD">
        <w:rPr>
          <w:rFonts w:ascii="Garamond" w:hAnsi="Garamond"/>
        </w:rPr>
        <w:t>s</w:t>
      </w:r>
      <w:r w:rsidRPr="00C82BBD">
        <w:rPr>
          <w:rFonts w:ascii="Garamond" w:hAnsi="Garamond"/>
        </w:rPr>
        <w:t xml:space="preserve">tarted consuming </w:t>
      </w:r>
      <w:r w:rsidR="00C66350" w:rsidRPr="00C82BBD">
        <w:rPr>
          <w:rFonts w:ascii="Garamond" w:hAnsi="Garamond"/>
        </w:rPr>
        <w:t xml:space="preserve">heroin </w:t>
      </w:r>
      <w:r w:rsidRPr="00C82BBD">
        <w:rPr>
          <w:rFonts w:ascii="Garamond" w:hAnsi="Garamond"/>
        </w:rPr>
        <w:t>about six</w:t>
      </w:r>
      <w:r w:rsidR="008B1A0B" w:rsidRPr="00C82BBD">
        <w:rPr>
          <w:rFonts w:ascii="Garamond" w:hAnsi="Garamond"/>
        </w:rPr>
        <w:t xml:space="preserve"> years prior to </w:t>
      </w:r>
      <w:r w:rsidR="00253713" w:rsidRPr="00C82BBD">
        <w:rPr>
          <w:rFonts w:ascii="Garamond" w:hAnsi="Garamond"/>
        </w:rPr>
        <w:t>his</w:t>
      </w:r>
      <w:r w:rsidR="008B1A0B" w:rsidRPr="00C82BBD">
        <w:rPr>
          <w:rFonts w:ascii="Garamond" w:hAnsi="Garamond"/>
        </w:rPr>
        <w:t xml:space="preserve"> interview</w:t>
      </w:r>
      <w:r w:rsidR="008128C4" w:rsidRPr="00C82BBD">
        <w:rPr>
          <w:rFonts w:ascii="Garamond" w:hAnsi="Garamond"/>
        </w:rPr>
        <w:t xml:space="preserve">, Dylan </w:t>
      </w:r>
      <w:r w:rsidR="00521B32" w:rsidRPr="00C82BBD">
        <w:rPr>
          <w:rFonts w:ascii="Garamond" w:hAnsi="Garamond"/>
        </w:rPr>
        <w:t>describes himself as a ‘poly drug user’</w:t>
      </w:r>
      <w:r w:rsidR="008128C4" w:rsidRPr="00C82BBD">
        <w:rPr>
          <w:rFonts w:ascii="Garamond" w:hAnsi="Garamond"/>
        </w:rPr>
        <w:t xml:space="preserve">. At present he </w:t>
      </w:r>
      <w:r w:rsidR="008B1A0B" w:rsidRPr="00C82BBD">
        <w:rPr>
          <w:rFonts w:ascii="Garamond" w:hAnsi="Garamond"/>
        </w:rPr>
        <w:t xml:space="preserve">consumes </w:t>
      </w:r>
      <w:r w:rsidR="00C66350" w:rsidRPr="00C82BBD">
        <w:rPr>
          <w:rFonts w:ascii="Garamond" w:hAnsi="Garamond"/>
        </w:rPr>
        <w:t xml:space="preserve">heroin </w:t>
      </w:r>
      <w:r w:rsidR="008B1A0B" w:rsidRPr="00C82BBD">
        <w:rPr>
          <w:rFonts w:ascii="Garamond" w:hAnsi="Garamond"/>
        </w:rPr>
        <w:t>weekly</w:t>
      </w:r>
      <w:r w:rsidR="008128C4" w:rsidRPr="00C82BBD">
        <w:rPr>
          <w:rFonts w:ascii="Garamond" w:hAnsi="Garamond"/>
        </w:rPr>
        <w:t>, usually with</w:t>
      </w:r>
      <w:r w:rsidR="008B1A0B" w:rsidRPr="00C82BBD">
        <w:rPr>
          <w:rFonts w:ascii="Garamond" w:hAnsi="Garamond"/>
        </w:rPr>
        <w:t xml:space="preserve"> friends ‘on the streets’ who sometimes offer him a ‘taste’</w:t>
      </w:r>
      <w:r w:rsidR="00034C99" w:rsidRPr="00C82BBD">
        <w:rPr>
          <w:rFonts w:ascii="Garamond" w:hAnsi="Garamond"/>
        </w:rPr>
        <w:t xml:space="preserve"> (small amount of heroin)</w:t>
      </w:r>
      <w:r w:rsidR="008B1A0B" w:rsidRPr="00C82BBD">
        <w:rPr>
          <w:rFonts w:ascii="Garamond" w:hAnsi="Garamond"/>
        </w:rPr>
        <w:t xml:space="preserve"> in exchange for fresh injecting equipment. </w:t>
      </w:r>
      <w:r w:rsidR="00521B32" w:rsidRPr="00C82BBD">
        <w:rPr>
          <w:rFonts w:ascii="Garamond" w:hAnsi="Garamond"/>
        </w:rPr>
        <w:t>Dylan</w:t>
      </w:r>
      <w:r w:rsidR="003257B4" w:rsidRPr="00C82BBD">
        <w:rPr>
          <w:rFonts w:ascii="Garamond" w:hAnsi="Garamond"/>
        </w:rPr>
        <w:t>,</w:t>
      </w:r>
      <w:r w:rsidR="00A654EF" w:rsidRPr="00C82BBD">
        <w:rPr>
          <w:rFonts w:ascii="Garamond" w:hAnsi="Garamond"/>
        </w:rPr>
        <w:t xml:space="preserve"> who</w:t>
      </w:r>
      <w:r w:rsidR="00521B32" w:rsidRPr="00C82BBD">
        <w:rPr>
          <w:rFonts w:ascii="Garamond" w:hAnsi="Garamond"/>
        </w:rPr>
        <w:t xml:space="preserve"> ha</w:t>
      </w:r>
      <w:r w:rsidR="00253713" w:rsidRPr="00C82BBD">
        <w:rPr>
          <w:rFonts w:ascii="Garamond" w:hAnsi="Garamond"/>
        </w:rPr>
        <w:t>s</w:t>
      </w:r>
      <w:r w:rsidR="00521B32" w:rsidRPr="00C82BBD">
        <w:rPr>
          <w:rFonts w:ascii="Garamond" w:hAnsi="Garamond"/>
        </w:rPr>
        <w:t xml:space="preserve"> revived people with naloxone many times</w:t>
      </w:r>
      <w:r w:rsidR="003257B4" w:rsidRPr="00C82BBD">
        <w:rPr>
          <w:rFonts w:ascii="Garamond" w:hAnsi="Garamond"/>
        </w:rPr>
        <w:t>,</w:t>
      </w:r>
      <w:r w:rsidR="00521B32" w:rsidRPr="00C82BBD">
        <w:rPr>
          <w:rFonts w:ascii="Garamond" w:hAnsi="Garamond"/>
        </w:rPr>
        <w:t xml:space="preserve"> </w:t>
      </w:r>
      <w:r w:rsidR="00253713" w:rsidRPr="00C82BBD">
        <w:rPr>
          <w:rFonts w:ascii="Garamond" w:hAnsi="Garamond"/>
        </w:rPr>
        <w:t>has</w:t>
      </w:r>
      <w:r w:rsidR="00521B32" w:rsidRPr="00C82BBD">
        <w:rPr>
          <w:rFonts w:ascii="Garamond" w:hAnsi="Garamond"/>
        </w:rPr>
        <w:t xml:space="preserve"> an explicitly political approach to take-home naloxone and harm reduction and began the interview by arguing that </w:t>
      </w:r>
      <w:r w:rsidR="00521B32" w:rsidRPr="00C82BBD">
        <w:rPr>
          <w:rFonts w:ascii="Garamond" w:hAnsi="Garamond"/>
        </w:rPr>
        <w:lastRenderedPageBreak/>
        <w:t xml:space="preserve">there was much more governments </w:t>
      </w:r>
      <w:r w:rsidR="00F324B6" w:rsidRPr="00C82BBD">
        <w:rPr>
          <w:rFonts w:ascii="Garamond" w:hAnsi="Garamond"/>
        </w:rPr>
        <w:t xml:space="preserve">could </w:t>
      </w:r>
      <w:r w:rsidR="00A654EF" w:rsidRPr="00C82BBD">
        <w:rPr>
          <w:rFonts w:ascii="Garamond" w:hAnsi="Garamond"/>
        </w:rPr>
        <w:t>do</w:t>
      </w:r>
      <w:r w:rsidR="00521B32" w:rsidRPr="00C82BBD">
        <w:rPr>
          <w:rFonts w:ascii="Garamond" w:hAnsi="Garamond"/>
        </w:rPr>
        <w:t xml:space="preserve"> to reduce </w:t>
      </w:r>
      <w:r w:rsidRPr="00C82BBD">
        <w:rPr>
          <w:rFonts w:ascii="Garamond" w:hAnsi="Garamond"/>
        </w:rPr>
        <w:t>overdose deaths</w:t>
      </w:r>
      <w:r w:rsidR="00521B32" w:rsidRPr="00C82BBD">
        <w:rPr>
          <w:rFonts w:ascii="Garamond" w:hAnsi="Garamond"/>
        </w:rPr>
        <w:t xml:space="preserve">. </w:t>
      </w:r>
      <w:r w:rsidR="00253713" w:rsidRPr="00C82BBD">
        <w:rPr>
          <w:rFonts w:ascii="Garamond" w:hAnsi="Garamond"/>
        </w:rPr>
        <w:t xml:space="preserve">Dylan was very supportive of take-home naloxone distribution, </w:t>
      </w:r>
      <w:r w:rsidR="008128C4" w:rsidRPr="00C82BBD">
        <w:rPr>
          <w:rFonts w:ascii="Garamond" w:hAnsi="Garamond"/>
        </w:rPr>
        <w:t xml:space="preserve">but was </w:t>
      </w:r>
      <w:r w:rsidR="00253713" w:rsidRPr="00C82BBD">
        <w:rPr>
          <w:rFonts w:ascii="Garamond" w:hAnsi="Garamond"/>
        </w:rPr>
        <w:t>critical of the naloxone administration practices of paramedics. According to Dylan, paramedics responding to opioid overdoses often</w:t>
      </w:r>
      <w:r w:rsidRPr="00C82BBD">
        <w:rPr>
          <w:rFonts w:ascii="Garamond" w:hAnsi="Garamond"/>
        </w:rPr>
        <w:t xml:space="preserve"> </w:t>
      </w:r>
      <w:r w:rsidR="008128C4" w:rsidRPr="00C82BBD">
        <w:rPr>
          <w:rFonts w:ascii="Garamond" w:hAnsi="Garamond"/>
        </w:rPr>
        <w:t xml:space="preserve">cause </w:t>
      </w:r>
      <w:r w:rsidRPr="00C82BBD">
        <w:rPr>
          <w:rFonts w:ascii="Garamond" w:hAnsi="Garamond"/>
        </w:rPr>
        <w:t>painful withdrawal sensations</w:t>
      </w:r>
      <w:r w:rsidR="00253713" w:rsidRPr="00C82BBD">
        <w:rPr>
          <w:rFonts w:ascii="Garamond" w:hAnsi="Garamond"/>
        </w:rPr>
        <w:t xml:space="preserve"> </w:t>
      </w:r>
      <w:r w:rsidRPr="00C82BBD">
        <w:rPr>
          <w:rFonts w:ascii="Garamond" w:hAnsi="Garamond"/>
        </w:rPr>
        <w:t xml:space="preserve">by </w:t>
      </w:r>
      <w:r w:rsidR="00253713" w:rsidRPr="00C82BBD">
        <w:rPr>
          <w:rFonts w:ascii="Garamond" w:hAnsi="Garamond"/>
        </w:rPr>
        <w:t>administer</w:t>
      </w:r>
      <w:r w:rsidRPr="00C82BBD">
        <w:rPr>
          <w:rFonts w:ascii="Garamond" w:hAnsi="Garamond"/>
        </w:rPr>
        <w:t>ing</w:t>
      </w:r>
      <w:r w:rsidR="00253713" w:rsidRPr="00C82BBD">
        <w:rPr>
          <w:rFonts w:ascii="Garamond" w:hAnsi="Garamond"/>
        </w:rPr>
        <w:t xml:space="preserve"> too much naloxone too quickly. In contrast, Dylan dr</w:t>
      </w:r>
      <w:r w:rsidR="008128C4" w:rsidRPr="00C82BBD">
        <w:rPr>
          <w:rFonts w:ascii="Garamond" w:hAnsi="Garamond"/>
        </w:rPr>
        <w:t>aws</w:t>
      </w:r>
      <w:r w:rsidR="00253713" w:rsidRPr="00C82BBD">
        <w:rPr>
          <w:rFonts w:ascii="Garamond" w:hAnsi="Garamond"/>
        </w:rPr>
        <w:t xml:space="preserve"> on strategies he </w:t>
      </w:r>
      <w:r w:rsidRPr="00C82BBD">
        <w:rPr>
          <w:rFonts w:ascii="Garamond" w:hAnsi="Garamond"/>
        </w:rPr>
        <w:t>l</w:t>
      </w:r>
      <w:r w:rsidR="00253713" w:rsidRPr="00C82BBD">
        <w:rPr>
          <w:rFonts w:ascii="Garamond" w:hAnsi="Garamond"/>
        </w:rPr>
        <w:t>earnt in overdose response training</w:t>
      </w:r>
      <w:r w:rsidR="0032741E" w:rsidRPr="00C82BBD">
        <w:rPr>
          <w:rFonts w:ascii="Garamond" w:hAnsi="Garamond"/>
        </w:rPr>
        <w:t xml:space="preserve"> conducted by a peer-run drug consumer </w:t>
      </w:r>
      <w:proofErr w:type="spellStart"/>
      <w:r w:rsidR="0032741E" w:rsidRPr="00C82BBD">
        <w:rPr>
          <w:rFonts w:ascii="Garamond" w:hAnsi="Garamond"/>
        </w:rPr>
        <w:t>organisation</w:t>
      </w:r>
      <w:proofErr w:type="spellEnd"/>
      <w:r w:rsidR="008128C4" w:rsidRPr="00C82BBD">
        <w:rPr>
          <w:rFonts w:ascii="Garamond" w:hAnsi="Garamond"/>
        </w:rPr>
        <w:t xml:space="preserve">, carefully </w:t>
      </w:r>
      <w:r w:rsidR="00F51A90" w:rsidRPr="00C82BBD">
        <w:rPr>
          <w:rFonts w:ascii="Garamond" w:hAnsi="Garamond"/>
        </w:rPr>
        <w:t xml:space="preserve">titrating the dose of naloxone to revive </w:t>
      </w:r>
      <w:r w:rsidR="008128C4" w:rsidRPr="00C82BBD">
        <w:rPr>
          <w:rFonts w:ascii="Garamond" w:hAnsi="Garamond"/>
        </w:rPr>
        <w:t>the</w:t>
      </w:r>
      <w:r w:rsidR="00F51A90" w:rsidRPr="00C82BBD">
        <w:rPr>
          <w:rFonts w:ascii="Garamond" w:hAnsi="Garamond"/>
        </w:rPr>
        <w:t xml:space="preserve"> person more </w:t>
      </w:r>
      <w:r w:rsidR="001A3B73" w:rsidRPr="00C82BBD">
        <w:rPr>
          <w:rFonts w:ascii="Garamond" w:hAnsi="Garamond"/>
        </w:rPr>
        <w:t>‘</w:t>
      </w:r>
      <w:r w:rsidR="00F51A90" w:rsidRPr="00C82BBD">
        <w:rPr>
          <w:rFonts w:ascii="Garamond" w:hAnsi="Garamond"/>
        </w:rPr>
        <w:t>gently</w:t>
      </w:r>
      <w:r w:rsidR="001A3B73" w:rsidRPr="00C82BBD">
        <w:rPr>
          <w:rFonts w:ascii="Garamond" w:hAnsi="Garamond"/>
        </w:rPr>
        <w:t>’</w:t>
      </w:r>
      <w:r w:rsidR="00A344CC" w:rsidRPr="00C82BBD">
        <w:rPr>
          <w:rFonts w:ascii="Garamond" w:hAnsi="Garamond"/>
        </w:rPr>
        <w:t>:</w:t>
      </w:r>
    </w:p>
    <w:p w14:paraId="12E22D54" w14:textId="7210BBB2" w:rsidR="00F51A90" w:rsidRPr="00C82BBD" w:rsidRDefault="00F51A90" w:rsidP="00C82BBD">
      <w:pPr>
        <w:spacing w:line="480" w:lineRule="auto"/>
        <w:ind w:left="720"/>
        <w:rPr>
          <w:rFonts w:ascii="Garamond" w:hAnsi="Garamond"/>
        </w:rPr>
      </w:pPr>
      <w:r w:rsidRPr="00C82BBD">
        <w:rPr>
          <w:rFonts w:ascii="Garamond" w:hAnsi="Garamond"/>
        </w:rPr>
        <w:t>In training, we’re taught to give one vial at a time</w:t>
      </w:r>
      <w:r w:rsidR="00A22C65" w:rsidRPr="00C82BBD">
        <w:rPr>
          <w:rFonts w:ascii="Garamond" w:hAnsi="Garamond"/>
        </w:rPr>
        <w:t>;</w:t>
      </w:r>
      <w:r w:rsidRPr="00C82BBD">
        <w:rPr>
          <w:rFonts w:ascii="Garamond" w:hAnsi="Garamond"/>
        </w:rPr>
        <w:t xml:space="preserve"> each vial being 0.4 milligrams or micrograms, I’m not sure. So we’re taught</w:t>
      </w:r>
      <w:r w:rsidR="00C66350" w:rsidRPr="00C82BBD">
        <w:rPr>
          <w:rFonts w:ascii="Garamond" w:hAnsi="Garamond"/>
        </w:rPr>
        <w:t xml:space="preserve"> to</w:t>
      </w:r>
      <w:r w:rsidRPr="00C82BBD">
        <w:rPr>
          <w:rFonts w:ascii="Garamond" w:hAnsi="Garamond"/>
        </w:rPr>
        <w:t xml:space="preserve"> give one of those every two minutes until the person responds or until medical help arrives. I’m aware that </w:t>
      </w:r>
      <w:r w:rsidR="008128C4" w:rsidRPr="00C82BBD">
        <w:rPr>
          <w:rFonts w:ascii="Garamond" w:hAnsi="Garamond"/>
        </w:rPr>
        <w:t>a</w:t>
      </w:r>
      <w:r w:rsidRPr="00C82BBD">
        <w:rPr>
          <w:rFonts w:ascii="Garamond" w:hAnsi="Garamond"/>
        </w:rPr>
        <w:t>mbulance officers give between five and six times the dose that we’re taught to give and a lot of the time it snaps people straight out of it, but it then sends them into instant withdrawal</w:t>
      </w:r>
      <w:r w:rsidR="008128C4" w:rsidRPr="00C82BBD">
        <w:rPr>
          <w:rFonts w:ascii="Garamond" w:hAnsi="Garamond"/>
        </w:rPr>
        <w:t>. T</w:t>
      </w:r>
      <w:r w:rsidRPr="00C82BBD">
        <w:rPr>
          <w:rFonts w:ascii="Garamond" w:hAnsi="Garamond"/>
        </w:rPr>
        <w:t>hey get really narky</w:t>
      </w:r>
      <w:r w:rsidR="00034C99" w:rsidRPr="00C82BBD">
        <w:rPr>
          <w:rFonts w:ascii="Garamond" w:hAnsi="Garamond"/>
        </w:rPr>
        <w:t xml:space="preserve"> [angry and frustrated]</w:t>
      </w:r>
      <w:r w:rsidRPr="00C82BBD">
        <w:rPr>
          <w:rFonts w:ascii="Garamond" w:hAnsi="Garamond"/>
        </w:rPr>
        <w:t xml:space="preserve"> […] We’re taught to try and do the gently-gently approach and I wish somebody would notify </w:t>
      </w:r>
      <w:r w:rsidR="003F0E23" w:rsidRPr="00C82BBD">
        <w:rPr>
          <w:rFonts w:ascii="Garamond" w:hAnsi="Garamond"/>
        </w:rPr>
        <w:t>Ambulance Victoria</w:t>
      </w:r>
      <w:r w:rsidRPr="00C82BBD">
        <w:rPr>
          <w:rFonts w:ascii="Garamond" w:hAnsi="Garamond"/>
        </w:rPr>
        <w:t xml:space="preserve"> that there’s a better way of reversing an opiate overdose than just jabbing people full of </w:t>
      </w:r>
      <w:r w:rsidR="00EE4ABE" w:rsidRPr="00C82BBD">
        <w:rPr>
          <w:rFonts w:ascii="Garamond" w:hAnsi="Garamond"/>
        </w:rPr>
        <w:t>n</w:t>
      </w:r>
      <w:r w:rsidRPr="00C82BBD">
        <w:rPr>
          <w:rFonts w:ascii="Garamond" w:hAnsi="Garamond"/>
        </w:rPr>
        <w:t>aloxone and sending them into withdrawal.</w:t>
      </w:r>
    </w:p>
    <w:p w14:paraId="1DA9BFA4" w14:textId="76850B25" w:rsidR="000F5124" w:rsidRPr="00C82BBD" w:rsidRDefault="001A3B73" w:rsidP="00C82BBD">
      <w:pPr>
        <w:spacing w:line="480" w:lineRule="auto"/>
        <w:rPr>
          <w:rFonts w:ascii="Garamond" w:hAnsi="Garamond"/>
        </w:rPr>
      </w:pPr>
      <w:r w:rsidRPr="00C82BBD">
        <w:rPr>
          <w:rFonts w:ascii="Garamond" w:hAnsi="Garamond"/>
        </w:rPr>
        <w:t xml:space="preserve">For Dylan, </w:t>
      </w:r>
      <w:r w:rsidR="00EE4ABE" w:rsidRPr="00C82BBD">
        <w:rPr>
          <w:rFonts w:ascii="Garamond" w:hAnsi="Garamond"/>
        </w:rPr>
        <w:t xml:space="preserve">while </w:t>
      </w:r>
      <w:r w:rsidRPr="00C82BBD">
        <w:rPr>
          <w:rFonts w:ascii="Garamond" w:hAnsi="Garamond"/>
        </w:rPr>
        <w:t>revival is the primary goal of naloxone administration</w:t>
      </w:r>
      <w:r w:rsidR="00571545" w:rsidRPr="00C82BBD">
        <w:rPr>
          <w:rFonts w:ascii="Garamond" w:hAnsi="Garamond"/>
        </w:rPr>
        <w:t xml:space="preserve"> (in this sense his account reflects </w:t>
      </w:r>
      <w:r w:rsidR="007350C3" w:rsidRPr="00C82BBD">
        <w:rPr>
          <w:rFonts w:ascii="Garamond" w:hAnsi="Garamond"/>
        </w:rPr>
        <w:t>almost all the others</w:t>
      </w:r>
      <w:r w:rsidR="002620E9" w:rsidRPr="00C82BBD">
        <w:rPr>
          <w:rFonts w:ascii="Garamond" w:hAnsi="Garamond"/>
        </w:rPr>
        <w:t xml:space="preserve"> collected in this research</w:t>
      </w:r>
      <w:r w:rsidR="00571545" w:rsidRPr="00C82BBD">
        <w:rPr>
          <w:rFonts w:ascii="Garamond" w:hAnsi="Garamond"/>
        </w:rPr>
        <w:t>)</w:t>
      </w:r>
      <w:r w:rsidRPr="00C82BBD">
        <w:rPr>
          <w:rFonts w:ascii="Garamond" w:hAnsi="Garamond"/>
        </w:rPr>
        <w:t xml:space="preserve">, </w:t>
      </w:r>
      <w:r w:rsidR="00EE4ABE" w:rsidRPr="00C82BBD">
        <w:rPr>
          <w:rFonts w:ascii="Garamond" w:hAnsi="Garamond"/>
        </w:rPr>
        <w:t xml:space="preserve">he makes an effort to </w:t>
      </w:r>
      <w:r w:rsidRPr="00C82BBD">
        <w:rPr>
          <w:rFonts w:ascii="Garamond" w:hAnsi="Garamond"/>
        </w:rPr>
        <w:t>achieve</w:t>
      </w:r>
      <w:r w:rsidR="00EE4ABE" w:rsidRPr="00C82BBD">
        <w:rPr>
          <w:rFonts w:ascii="Garamond" w:hAnsi="Garamond"/>
        </w:rPr>
        <w:t xml:space="preserve"> this</w:t>
      </w:r>
      <w:r w:rsidRPr="00C82BBD">
        <w:rPr>
          <w:rFonts w:ascii="Garamond" w:hAnsi="Garamond"/>
        </w:rPr>
        <w:t xml:space="preserve"> without </w:t>
      </w:r>
      <w:r w:rsidR="00EE4ABE" w:rsidRPr="00C82BBD">
        <w:rPr>
          <w:rFonts w:ascii="Garamond" w:hAnsi="Garamond"/>
        </w:rPr>
        <w:t xml:space="preserve">causing </w:t>
      </w:r>
      <w:r w:rsidRPr="00C82BBD">
        <w:rPr>
          <w:rFonts w:ascii="Garamond" w:hAnsi="Garamond"/>
        </w:rPr>
        <w:t>pain and discomfort</w:t>
      </w:r>
      <w:r w:rsidR="001921E3" w:rsidRPr="00C82BBD">
        <w:rPr>
          <w:rFonts w:ascii="Garamond" w:hAnsi="Garamond"/>
        </w:rPr>
        <w:t xml:space="preserve"> (e.g. using an appropriate dose and titrating)</w:t>
      </w:r>
      <w:r w:rsidRPr="00C82BBD">
        <w:rPr>
          <w:rFonts w:ascii="Garamond" w:hAnsi="Garamond"/>
        </w:rPr>
        <w:t xml:space="preserve">. </w:t>
      </w:r>
      <w:r w:rsidR="00EE4ABE" w:rsidRPr="00C82BBD">
        <w:rPr>
          <w:rFonts w:ascii="Garamond" w:hAnsi="Garamond"/>
        </w:rPr>
        <w:t>F</w:t>
      </w:r>
      <w:r w:rsidRPr="00C82BBD">
        <w:rPr>
          <w:rFonts w:ascii="Garamond" w:hAnsi="Garamond"/>
        </w:rPr>
        <w:t xml:space="preserve">or Dylan, </w:t>
      </w:r>
      <w:r w:rsidR="009D53C1" w:rsidRPr="00C82BBD">
        <w:rPr>
          <w:rFonts w:ascii="Garamond" w:hAnsi="Garamond"/>
        </w:rPr>
        <w:t xml:space="preserve">the </w:t>
      </w:r>
      <w:r w:rsidR="003704C3" w:rsidRPr="00C82BBD">
        <w:rPr>
          <w:rFonts w:ascii="Garamond" w:hAnsi="Garamond"/>
        </w:rPr>
        <w:t>frustration and distress tha</w:t>
      </w:r>
      <w:r w:rsidR="009D53C1" w:rsidRPr="00C82BBD">
        <w:rPr>
          <w:rFonts w:ascii="Garamond" w:hAnsi="Garamond"/>
        </w:rPr>
        <w:t>t</w:t>
      </w:r>
      <w:r w:rsidR="003704C3" w:rsidRPr="00C82BBD">
        <w:rPr>
          <w:rFonts w:ascii="Garamond" w:hAnsi="Garamond"/>
        </w:rPr>
        <w:t xml:space="preserve"> take-home naloxone administration</w:t>
      </w:r>
      <w:r w:rsidR="009D53C1" w:rsidRPr="00C82BBD">
        <w:rPr>
          <w:rFonts w:ascii="Garamond" w:hAnsi="Garamond"/>
        </w:rPr>
        <w:t xml:space="preserve"> can cause</w:t>
      </w:r>
      <w:r w:rsidR="003704C3" w:rsidRPr="00C82BBD">
        <w:rPr>
          <w:rFonts w:ascii="Garamond" w:hAnsi="Garamond"/>
        </w:rPr>
        <w:t xml:space="preserve"> (e.g. </w:t>
      </w:r>
      <w:proofErr w:type="spellStart"/>
      <w:r w:rsidR="003704C3" w:rsidRPr="00C82BBD">
        <w:rPr>
          <w:rFonts w:ascii="Garamond" w:hAnsi="Garamond"/>
        </w:rPr>
        <w:t>Richert</w:t>
      </w:r>
      <w:proofErr w:type="spellEnd"/>
      <w:r w:rsidR="003704C3" w:rsidRPr="00C82BBD">
        <w:rPr>
          <w:rFonts w:ascii="Garamond" w:hAnsi="Garamond"/>
        </w:rPr>
        <w:t xml:space="preserve"> 2015) </w:t>
      </w:r>
      <w:r w:rsidR="00EE4ABE" w:rsidRPr="00C82BBD">
        <w:rPr>
          <w:rFonts w:ascii="Garamond" w:hAnsi="Garamond"/>
        </w:rPr>
        <w:t xml:space="preserve">can be avoided, simply by </w:t>
      </w:r>
      <w:r w:rsidRPr="00C82BBD">
        <w:rPr>
          <w:rFonts w:ascii="Garamond" w:hAnsi="Garamond"/>
        </w:rPr>
        <w:t>administer</w:t>
      </w:r>
      <w:r w:rsidR="00EE4ABE" w:rsidRPr="00C82BBD">
        <w:rPr>
          <w:rFonts w:ascii="Garamond" w:hAnsi="Garamond"/>
        </w:rPr>
        <w:t>ing</w:t>
      </w:r>
      <w:r w:rsidRPr="00C82BBD">
        <w:rPr>
          <w:rFonts w:ascii="Garamond" w:hAnsi="Garamond"/>
        </w:rPr>
        <w:t xml:space="preserve"> naloxone with the right care</w:t>
      </w:r>
      <w:r w:rsidR="00A344CC" w:rsidRPr="00C82BBD">
        <w:rPr>
          <w:rFonts w:ascii="Garamond" w:hAnsi="Garamond"/>
        </w:rPr>
        <w:t>.</w:t>
      </w:r>
    </w:p>
    <w:p w14:paraId="574C3E30" w14:textId="77777777" w:rsidR="00CD3351" w:rsidRPr="00C82BBD" w:rsidRDefault="00CD3351" w:rsidP="00C82BBD">
      <w:pPr>
        <w:spacing w:line="480" w:lineRule="auto"/>
        <w:rPr>
          <w:rFonts w:ascii="Garamond" w:hAnsi="Garamond"/>
        </w:rPr>
      </w:pPr>
    </w:p>
    <w:p w14:paraId="3B13E4F7" w14:textId="68529804" w:rsidR="00FA2140" w:rsidRPr="00C82BBD" w:rsidRDefault="00C3086A" w:rsidP="00C82BBD">
      <w:pPr>
        <w:spacing w:line="480" w:lineRule="auto"/>
        <w:rPr>
          <w:rFonts w:ascii="Garamond" w:hAnsi="Garamond"/>
        </w:rPr>
      </w:pPr>
      <w:r w:rsidRPr="00C82BBD">
        <w:rPr>
          <w:rFonts w:ascii="Garamond" w:hAnsi="Garamond"/>
        </w:rPr>
        <w:t xml:space="preserve">To contrast his </w:t>
      </w:r>
      <w:r w:rsidR="00C95D4C" w:rsidRPr="00C82BBD">
        <w:rPr>
          <w:rFonts w:ascii="Garamond" w:hAnsi="Garamond"/>
        </w:rPr>
        <w:t xml:space="preserve">own </w:t>
      </w:r>
      <w:r w:rsidRPr="00C82BBD">
        <w:rPr>
          <w:rFonts w:ascii="Garamond" w:hAnsi="Garamond"/>
        </w:rPr>
        <w:t xml:space="preserve">administration practices with those </w:t>
      </w:r>
      <w:r w:rsidR="00FF7F24" w:rsidRPr="00C82BBD">
        <w:rPr>
          <w:rFonts w:ascii="Garamond" w:hAnsi="Garamond"/>
        </w:rPr>
        <w:t xml:space="preserve">of </w:t>
      </w:r>
      <w:r w:rsidRPr="00C82BBD">
        <w:rPr>
          <w:rFonts w:ascii="Garamond" w:hAnsi="Garamond"/>
        </w:rPr>
        <w:t>paramedics Dylan offers an</w:t>
      </w:r>
      <w:r w:rsidR="000F19ED" w:rsidRPr="00C82BBD">
        <w:rPr>
          <w:rFonts w:ascii="Garamond" w:hAnsi="Garamond"/>
        </w:rPr>
        <w:t xml:space="preserve"> account of the first time he </w:t>
      </w:r>
      <w:r w:rsidR="00EE4ABE" w:rsidRPr="00C82BBD">
        <w:rPr>
          <w:rFonts w:ascii="Garamond" w:hAnsi="Garamond"/>
        </w:rPr>
        <w:t xml:space="preserve">administered </w:t>
      </w:r>
      <w:r w:rsidR="00C95D4C" w:rsidRPr="00C82BBD">
        <w:rPr>
          <w:rFonts w:ascii="Garamond" w:hAnsi="Garamond"/>
        </w:rPr>
        <w:t>naloxone</w:t>
      </w:r>
      <w:r w:rsidR="000F19ED" w:rsidRPr="00C82BBD">
        <w:rPr>
          <w:rFonts w:ascii="Garamond" w:hAnsi="Garamond"/>
        </w:rPr>
        <w:t>:</w:t>
      </w:r>
    </w:p>
    <w:p w14:paraId="67FB9F1C" w14:textId="5FA3D155" w:rsidR="00FA2140" w:rsidRPr="00C82BBD" w:rsidRDefault="00EE4ABE" w:rsidP="00C82BBD">
      <w:pPr>
        <w:spacing w:line="480" w:lineRule="auto"/>
        <w:ind w:left="720"/>
        <w:rPr>
          <w:rFonts w:ascii="Garamond" w:hAnsi="Garamond"/>
        </w:rPr>
      </w:pPr>
      <w:r w:rsidRPr="00C82BBD">
        <w:rPr>
          <w:rFonts w:ascii="Garamond" w:hAnsi="Garamond"/>
        </w:rPr>
        <w:t>I</w:t>
      </w:r>
      <w:r w:rsidR="00C3086A" w:rsidRPr="00C82BBD">
        <w:rPr>
          <w:rFonts w:ascii="Garamond" w:hAnsi="Garamond"/>
        </w:rPr>
        <w:t>t was the gently-gently approach</w:t>
      </w:r>
      <w:r w:rsidRPr="00C82BBD">
        <w:rPr>
          <w:rFonts w:ascii="Garamond" w:hAnsi="Garamond"/>
        </w:rPr>
        <w:t>,</w:t>
      </w:r>
      <w:r w:rsidR="00C3086A" w:rsidRPr="00C82BBD">
        <w:rPr>
          <w:rFonts w:ascii="Garamond" w:hAnsi="Garamond"/>
        </w:rPr>
        <w:t xml:space="preserve"> and I was like, </w:t>
      </w:r>
      <w:r w:rsidR="00C95D4C" w:rsidRPr="00C82BBD">
        <w:rPr>
          <w:rFonts w:ascii="Garamond" w:hAnsi="Garamond"/>
        </w:rPr>
        <w:t>‘</w:t>
      </w:r>
      <w:r w:rsidR="00C3086A" w:rsidRPr="00C82BBD">
        <w:rPr>
          <w:rFonts w:ascii="Garamond" w:hAnsi="Garamond"/>
        </w:rPr>
        <w:t>Hey, I just want to let you know, you had a bit of an overdose, I’ve given you some Narcan, you’re fine now, it’ll wear off in an hour</w:t>
      </w:r>
      <w:r w:rsidRPr="00C82BBD">
        <w:rPr>
          <w:rFonts w:ascii="Garamond" w:hAnsi="Garamond"/>
        </w:rPr>
        <w:t>. J</w:t>
      </w:r>
      <w:r w:rsidR="00C3086A" w:rsidRPr="00C82BBD">
        <w:rPr>
          <w:rFonts w:ascii="Garamond" w:hAnsi="Garamond"/>
        </w:rPr>
        <w:t>ust because you feel straight now, please don’t go and buy anything [opioids] for the next hour. Just wait and let it kick back in and</w:t>
      </w:r>
      <w:r w:rsidR="00C95D4C" w:rsidRPr="00C82BBD">
        <w:rPr>
          <w:rFonts w:ascii="Garamond" w:hAnsi="Garamond"/>
        </w:rPr>
        <w:t xml:space="preserve"> see if you need anything more.’</w:t>
      </w:r>
      <w:r w:rsidRPr="00C82BBD">
        <w:rPr>
          <w:rFonts w:ascii="Garamond" w:hAnsi="Garamond"/>
        </w:rPr>
        <w:t xml:space="preserve"> [The response was:]</w:t>
      </w:r>
      <w:r w:rsidR="00C3086A" w:rsidRPr="00C82BBD">
        <w:rPr>
          <w:rFonts w:ascii="Garamond" w:hAnsi="Garamond"/>
        </w:rPr>
        <w:t xml:space="preserve"> </w:t>
      </w:r>
      <w:r w:rsidR="00C95D4C" w:rsidRPr="00C82BBD">
        <w:rPr>
          <w:rFonts w:ascii="Garamond" w:hAnsi="Garamond"/>
        </w:rPr>
        <w:t>‘</w:t>
      </w:r>
      <w:r w:rsidR="00C3086A" w:rsidRPr="00C82BBD">
        <w:rPr>
          <w:rFonts w:ascii="Garamond" w:hAnsi="Garamond"/>
        </w:rPr>
        <w:t>You did not give me Narcan</w:t>
      </w:r>
      <w:r w:rsidRPr="00C82BBD">
        <w:rPr>
          <w:rFonts w:ascii="Garamond" w:hAnsi="Garamond"/>
        </w:rPr>
        <w:t>.</w:t>
      </w:r>
      <w:r w:rsidR="00C3086A" w:rsidRPr="00C82BBD">
        <w:rPr>
          <w:rFonts w:ascii="Garamond" w:hAnsi="Garamond"/>
        </w:rPr>
        <w:t xml:space="preserve"> I don’t feel like I’ve been </w:t>
      </w:r>
      <w:proofErr w:type="spellStart"/>
      <w:r w:rsidR="00C3086A" w:rsidRPr="00C82BBD">
        <w:rPr>
          <w:rFonts w:ascii="Garamond" w:hAnsi="Garamond"/>
        </w:rPr>
        <w:t>Narcanned</w:t>
      </w:r>
      <w:proofErr w:type="spellEnd"/>
      <w:r w:rsidR="00C95D4C" w:rsidRPr="00C82BBD">
        <w:rPr>
          <w:rFonts w:ascii="Garamond" w:hAnsi="Garamond"/>
        </w:rPr>
        <w:t xml:space="preserve"> at all.’</w:t>
      </w:r>
      <w:r w:rsidR="00C3086A" w:rsidRPr="00C82BBD">
        <w:rPr>
          <w:rFonts w:ascii="Garamond" w:hAnsi="Garamond"/>
        </w:rPr>
        <w:t xml:space="preserve"> It’s like, </w:t>
      </w:r>
      <w:r w:rsidR="00C95D4C" w:rsidRPr="00C82BBD">
        <w:rPr>
          <w:rFonts w:ascii="Garamond" w:hAnsi="Garamond"/>
        </w:rPr>
        <w:t>‘</w:t>
      </w:r>
      <w:r w:rsidR="00C3086A" w:rsidRPr="00C82BBD">
        <w:rPr>
          <w:rFonts w:ascii="Garamond" w:hAnsi="Garamond"/>
        </w:rPr>
        <w:t xml:space="preserve">Darling, look at the mess </w:t>
      </w:r>
      <w:r w:rsidR="00C3086A" w:rsidRPr="00C82BBD">
        <w:rPr>
          <w:rFonts w:ascii="Garamond" w:hAnsi="Garamond"/>
        </w:rPr>
        <w:lastRenderedPageBreak/>
        <w:t>next to you on the ground, there’s broken open Narcan vials, there’s two needles with sharps tips attached. If I didn’t give you Narcan,</w:t>
      </w:r>
      <w:r w:rsidR="00C95D4C" w:rsidRPr="00C82BBD">
        <w:rPr>
          <w:rFonts w:ascii="Garamond" w:hAnsi="Garamond"/>
        </w:rPr>
        <w:t xml:space="preserve"> why is that stuff lying there?’</w:t>
      </w:r>
      <w:r w:rsidR="00C3086A" w:rsidRPr="00C82BBD">
        <w:rPr>
          <w:rFonts w:ascii="Garamond" w:hAnsi="Garamond"/>
        </w:rPr>
        <w:t xml:space="preserve"> </w:t>
      </w:r>
      <w:r w:rsidR="00C95D4C" w:rsidRPr="00C82BBD">
        <w:rPr>
          <w:rFonts w:ascii="Garamond" w:hAnsi="Garamond"/>
        </w:rPr>
        <w:t>‘</w:t>
      </w:r>
      <w:r w:rsidR="00C3086A" w:rsidRPr="00C82BBD">
        <w:rPr>
          <w:rFonts w:ascii="Garamond" w:hAnsi="Garamond"/>
        </w:rPr>
        <w:t>You’re just bullshitt</w:t>
      </w:r>
      <w:r w:rsidR="00C95D4C" w:rsidRPr="00C82BBD">
        <w:rPr>
          <w:rFonts w:ascii="Garamond" w:hAnsi="Garamond"/>
        </w:rPr>
        <w:t>ing, you didn’t give me Narcan.’</w:t>
      </w:r>
      <w:r w:rsidR="00C3086A" w:rsidRPr="00C82BBD">
        <w:rPr>
          <w:rFonts w:ascii="Garamond" w:hAnsi="Garamond"/>
        </w:rPr>
        <w:t xml:space="preserve"> </w:t>
      </w:r>
      <w:r w:rsidR="00C95D4C" w:rsidRPr="00C82BBD">
        <w:rPr>
          <w:rFonts w:ascii="Garamond" w:hAnsi="Garamond"/>
        </w:rPr>
        <w:t>‘</w:t>
      </w:r>
      <w:r w:rsidR="00C3086A" w:rsidRPr="00C82BBD">
        <w:rPr>
          <w:rFonts w:ascii="Garamond" w:hAnsi="Garamond"/>
        </w:rPr>
        <w:t>Yeah, I did, but if you choose to believe otherwise, then you’re welcome to.</w:t>
      </w:r>
      <w:r w:rsidR="00C95D4C" w:rsidRPr="00C82BBD">
        <w:rPr>
          <w:rFonts w:ascii="Garamond" w:hAnsi="Garamond"/>
        </w:rPr>
        <w:t>’</w:t>
      </w:r>
      <w:r w:rsidR="00C3086A" w:rsidRPr="00C82BBD">
        <w:rPr>
          <w:rFonts w:ascii="Garamond" w:hAnsi="Garamond"/>
        </w:rPr>
        <w:t xml:space="preserve"> And that sort of approach, like even though she didn’t believe I’d just given her something that potentially saved her life, as opposed to if I’d done what the ambulance do and broken open all five vials and given them to her all at once, I potentially could have walked away with a black eye.</w:t>
      </w:r>
    </w:p>
    <w:p w14:paraId="66D7D184" w14:textId="6AD44A40" w:rsidR="00A34320" w:rsidRPr="00C82BBD" w:rsidRDefault="002275DA" w:rsidP="00C82BBD">
      <w:pPr>
        <w:autoSpaceDE w:val="0"/>
        <w:autoSpaceDN w:val="0"/>
        <w:adjustRightInd w:val="0"/>
        <w:spacing w:after="0" w:line="480" w:lineRule="auto"/>
        <w:rPr>
          <w:rFonts w:ascii="Garamond" w:hAnsi="Garamond"/>
        </w:rPr>
      </w:pPr>
      <w:r w:rsidRPr="00C82BBD">
        <w:rPr>
          <w:rFonts w:ascii="Garamond" w:hAnsi="Garamond"/>
        </w:rPr>
        <w:t xml:space="preserve">In this set of caring relations, take-home naloxone takes shape and affords capacities and actions quite different </w:t>
      </w:r>
      <w:r w:rsidR="00EE4ABE" w:rsidRPr="00C82BBD">
        <w:rPr>
          <w:rFonts w:ascii="Garamond" w:hAnsi="Garamond"/>
        </w:rPr>
        <w:t xml:space="preserve">from those </w:t>
      </w:r>
      <w:r w:rsidRPr="00C82BBD">
        <w:rPr>
          <w:rFonts w:ascii="Garamond" w:hAnsi="Garamond"/>
        </w:rPr>
        <w:t xml:space="preserve">we </w:t>
      </w:r>
      <w:proofErr w:type="spellStart"/>
      <w:r w:rsidRPr="00C82BBD">
        <w:rPr>
          <w:rFonts w:ascii="Garamond" w:hAnsi="Garamond"/>
        </w:rPr>
        <w:t>analysed</w:t>
      </w:r>
      <w:proofErr w:type="spellEnd"/>
      <w:r w:rsidRPr="00C82BBD">
        <w:rPr>
          <w:rFonts w:ascii="Garamond" w:hAnsi="Garamond"/>
        </w:rPr>
        <w:t xml:space="preserve"> between Gabrielle and </w:t>
      </w:r>
      <w:r w:rsidR="00B53688" w:rsidRPr="00C82BBD">
        <w:rPr>
          <w:rFonts w:ascii="Garamond" w:hAnsi="Garamond"/>
        </w:rPr>
        <w:t>Jeremy</w:t>
      </w:r>
      <w:r w:rsidRPr="00C82BBD">
        <w:rPr>
          <w:rFonts w:ascii="Garamond" w:hAnsi="Garamond"/>
        </w:rPr>
        <w:t xml:space="preserve">. Here, Dylan uses naloxone in </w:t>
      </w:r>
      <w:r w:rsidR="00EE4ABE" w:rsidRPr="00C82BBD">
        <w:rPr>
          <w:rFonts w:ascii="Garamond" w:hAnsi="Garamond"/>
        </w:rPr>
        <w:t>keeping with</w:t>
      </w:r>
      <w:r w:rsidRPr="00C82BBD">
        <w:rPr>
          <w:rFonts w:ascii="Garamond" w:hAnsi="Garamond"/>
        </w:rPr>
        <w:t xml:space="preserve"> its </w:t>
      </w:r>
      <w:r w:rsidR="00EE4ABE" w:rsidRPr="00C82BBD">
        <w:rPr>
          <w:rFonts w:ascii="Garamond" w:hAnsi="Garamond"/>
        </w:rPr>
        <w:t xml:space="preserve">intended </w:t>
      </w:r>
      <w:r w:rsidRPr="00C82BBD">
        <w:rPr>
          <w:rFonts w:ascii="Garamond" w:hAnsi="Garamond"/>
        </w:rPr>
        <w:t>use as an acute emergency medicine for overdose. Yet</w:t>
      </w:r>
      <w:r w:rsidR="009D53C1" w:rsidRPr="00C82BBD">
        <w:rPr>
          <w:rFonts w:ascii="Garamond" w:hAnsi="Garamond"/>
        </w:rPr>
        <w:t>, like Gabrielle,</w:t>
      </w:r>
      <w:r w:rsidRPr="00C82BBD">
        <w:rPr>
          <w:rFonts w:ascii="Garamond" w:hAnsi="Garamond"/>
        </w:rPr>
        <w:t xml:space="preserve"> h</w:t>
      </w:r>
      <w:r w:rsidR="00EE4ABE" w:rsidRPr="00C82BBD">
        <w:rPr>
          <w:rFonts w:ascii="Garamond" w:hAnsi="Garamond"/>
        </w:rPr>
        <w:t>i</w:t>
      </w:r>
      <w:r w:rsidRPr="00C82BBD">
        <w:rPr>
          <w:rFonts w:ascii="Garamond" w:hAnsi="Garamond"/>
        </w:rPr>
        <w:t xml:space="preserve">s gently-gently approach </w:t>
      </w:r>
      <w:r w:rsidR="00C95D4C" w:rsidRPr="00C82BBD">
        <w:rPr>
          <w:rFonts w:ascii="Garamond" w:hAnsi="Garamond"/>
        </w:rPr>
        <w:t>enacts a</w:t>
      </w:r>
      <w:r w:rsidR="00EE4ABE" w:rsidRPr="00C82BBD">
        <w:rPr>
          <w:rFonts w:ascii="Garamond" w:hAnsi="Garamond"/>
        </w:rPr>
        <w:t xml:space="preserve"> much more</w:t>
      </w:r>
      <w:r w:rsidRPr="00C82BBD">
        <w:rPr>
          <w:rFonts w:ascii="Garamond" w:hAnsi="Garamond"/>
        </w:rPr>
        <w:t xml:space="preserve"> specific </w:t>
      </w:r>
      <w:r w:rsidR="00C95D4C" w:rsidRPr="00C82BBD">
        <w:rPr>
          <w:rFonts w:ascii="Garamond" w:hAnsi="Garamond"/>
        </w:rPr>
        <w:t xml:space="preserve">caring </w:t>
      </w:r>
      <w:r w:rsidRPr="00C82BBD">
        <w:rPr>
          <w:rFonts w:ascii="Garamond" w:hAnsi="Garamond"/>
        </w:rPr>
        <w:t>mode of attention</w:t>
      </w:r>
      <w:r w:rsidR="00780541" w:rsidRPr="00C82BBD">
        <w:rPr>
          <w:rFonts w:ascii="Garamond" w:hAnsi="Garamond"/>
        </w:rPr>
        <w:t xml:space="preserve"> </w:t>
      </w:r>
      <w:r w:rsidR="00600495" w:rsidRPr="00C82BBD">
        <w:rPr>
          <w:rFonts w:ascii="Garamond" w:hAnsi="Garamond"/>
        </w:rPr>
        <w:t>than</w:t>
      </w:r>
      <w:r w:rsidR="009D53C1" w:rsidRPr="00C82BBD">
        <w:rPr>
          <w:rFonts w:ascii="Garamond" w:hAnsi="Garamond"/>
        </w:rPr>
        <w:t xml:space="preserve"> s</w:t>
      </w:r>
      <w:r w:rsidR="003257B4" w:rsidRPr="00C82BBD">
        <w:rPr>
          <w:rFonts w:ascii="Garamond" w:hAnsi="Garamond"/>
        </w:rPr>
        <w:t>uggested</w:t>
      </w:r>
      <w:r w:rsidR="009D53C1" w:rsidRPr="00C82BBD">
        <w:rPr>
          <w:rFonts w:ascii="Garamond" w:hAnsi="Garamond"/>
        </w:rPr>
        <w:t xml:space="preserve"> in</w:t>
      </w:r>
      <w:r w:rsidR="00600495" w:rsidRPr="00C82BBD">
        <w:rPr>
          <w:rFonts w:ascii="Garamond" w:hAnsi="Garamond"/>
        </w:rPr>
        <w:t xml:space="preserve"> Dylan</w:t>
      </w:r>
      <w:r w:rsidR="009D53C1" w:rsidRPr="00C82BBD">
        <w:rPr>
          <w:rFonts w:ascii="Garamond" w:hAnsi="Garamond"/>
        </w:rPr>
        <w:t>’s</w:t>
      </w:r>
      <w:r w:rsidR="00600495" w:rsidRPr="00C82BBD">
        <w:rPr>
          <w:rFonts w:ascii="Garamond" w:hAnsi="Garamond"/>
        </w:rPr>
        <w:t xml:space="preserve"> description of the administration practices of paramedics</w:t>
      </w:r>
      <w:r w:rsidRPr="00C82BBD">
        <w:rPr>
          <w:rFonts w:ascii="Garamond" w:hAnsi="Garamond"/>
        </w:rPr>
        <w:t xml:space="preserve">. Rather than </w:t>
      </w:r>
      <w:r w:rsidR="004A6173" w:rsidRPr="00C82BBD">
        <w:rPr>
          <w:rFonts w:ascii="Garamond" w:hAnsi="Garamond"/>
        </w:rPr>
        <w:t>focusing</w:t>
      </w:r>
      <w:r w:rsidRPr="00C82BBD">
        <w:rPr>
          <w:rFonts w:ascii="Garamond" w:hAnsi="Garamond"/>
        </w:rPr>
        <w:t xml:space="preserve"> on revival</w:t>
      </w:r>
      <w:r w:rsidR="00EE4ABE" w:rsidRPr="00C82BBD">
        <w:rPr>
          <w:rFonts w:ascii="Garamond" w:hAnsi="Garamond"/>
        </w:rPr>
        <w:t xml:space="preserve"> alone</w:t>
      </w:r>
      <w:r w:rsidRPr="00C82BBD">
        <w:rPr>
          <w:rFonts w:ascii="Garamond" w:hAnsi="Garamond"/>
        </w:rPr>
        <w:t xml:space="preserve">, Dylan takes care to </w:t>
      </w:r>
      <w:r w:rsidR="00EE4ABE" w:rsidRPr="00C82BBD">
        <w:rPr>
          <w:rFonts w:ascii="Garamond" w:hAnsi="Garamond"/>
        </w:rPr>
        <w:t>treat</w:t>
      </w:r>
      <w:r w:rsidRPr="00C82BBD">
        <w:rPr>
          <w:rFonts w:ascii="Garamond" w:hAnsi="Garamond"/>
        </w:rPr>
        <w:t xml:space="preserve"> the person without causing undue discomfort</w:t>
      </w:r>
      <w:r w:rsidR="007D61A8" w:rsidRPr="00C82BBD">
        <w:rPr>
          <w:rFonts w:ascii="Garamond" w:hAnsi="Garamond"/>
        </w:rPr>
        <w:t xml:space="preserve">. </w:t>
      </w:r>
      <w:r w:rsidRPr="00C82BBD">
        <w:rPr>
          <w:rFonts w:ascii="Garamond" w:hAnsi="Garamond"/>
        </w:rPr>
        <w:t>The issue of discomfort is particularly important here, as</w:t>
      </w:r>
      <w:r w:rsidR="00EE4ABE" w:rsidRPr="00C82BBD">
        <w:rPr>
          <w:rFonts w:ascii="Garamond" w:hAnsi="Garamond"/>
        </w:rPr>
        <w:t xml:space="preserve"> research suggests</w:t>
      </w:r>
      <w:r w:rsidRPr="00C82BBD">
        <w:rPr>
          <w:rFonts w:ascii="Garamond" w:hAnsi="Garamond"/>
        </w:rPr>
        <w:t xml:space="preserve"> previous negative experiences of naloxone revival </w:t>
      </w:r>
      <w:r w:rsidR="008114E1" w:rsidRPr="00C82BBD">
        <w:rPr>
          <w:rFonts w:ascii="Garamond" w:hAnsi="Garamond"/>
        </w:rPr>
        <w:t>can</w:t>
      </w:r>
      <w:r w:rsidRPr="00C82BBD">
        <w:rPr>
          <w:rFonts w:ascii="Garamond" w:hAnsi="Garamond"/>
        </w:rPr>
        <w:t xml:space="preserve"> </w:t>
      </w:r>
      <w:r w:rsidR="00491B76" w:rsidRPr="00C82BBD">
        <w:rPr>
          <w:rFonts w:ascii="Garamond" w:hAnsi="Garamond"/>
        </w:rPr>
        <w:t>discourage people from both</w:t>
      </w:r>
      <w:r w:rsidRPr="00C82BBD">
        <w:rPr>
          <w:rFonts w:ascii="Garamond" w:hAnsi="Garamond"/>
        </w:rPr>
        <w:t xml:space="preserve"> </w:t>
      </w:r>
      <w:r w:rsidR="005F05FF" w:rsidRPr="00C82BBD">
        <w:rPr>
          <w:rFonts w:ascii="Garamond" w:hAnsi="Garamond"/>
        </w:rPr>
        <w:t>administer</w:t>
      </w:r>
      <w:r w:rsidR="00491B76" w:rsidRPr="00C82BBD">
        <w:rPr>
          <w:rFonts w:ascii="Garamond" w:hAnsi="Garamond"/>
        </w:rPr>
        <w:t>ing</w:t>
      </w:r>
      <w:r w:rsidRPr="00C82BBD">
        <w:rPr>
          <w:rFonts w:ascii="Garamond" w:hAnsi="Garamond"/>
        </w:rPr>
        <w:t xml:space="preserve"> naloxone </w:t>
      </w:r>
      <w:r w:rsidR="00491B76" w:rsidRPr="00C82BBD">
        <w:rPr>
          <w:rFonts w:ascii="Garamond" w:hAnsi="Garamond"/>
        </w:rPr>
        <w:t>and receiving it</w:t>
      </w:r>
      <w:r w:rsidRPr="00C82BBD">
        <w:rPr>
          <w:rFonts w:ascii="Garamond" w:hAnsi="Garamond"/>
        </w:rPr>
        <w:t xml:space="preserve"> (</w:t>
      </w:r>
      <w:r w:rsidR="008114E1" w:rsidRPr="00C82BBD">
        <w:rPr>
          <w:rFonts w:ascii="Garamond" w:hAnsi="Garamond"/>
        </w:rPr>
        <w:t>Neale &amp; Strang 2015</w:t>
      </w:r>
      <w:r w:rsidRPr="00C82BBD">
        <w:rPr>
          <w:rFonts w:ascii="Garamond" w:hAnsi="Garamond"/>
        </w:rPr>
        <w:t xml:space="preserve">). The way Dylan contrasts his own practices and those of paramedics is essential here. For Dylan, </w:t>
      </w:r>
      <w:r w:rsidR="00A654EF" w:rsidRPr="00C82BBD">
        <w:rPr>
          <w:rFonts w:ascii="Garamond" w:hAnsi="Garamond"/>
        </w:rPr>
        <w:t>i</w:t>
      </w:r>
      <w:r w:rsidR="002128A8" w:rsidRPr="00C82BBD">
        <w:rPr>
          <w:rFonts w:ascii="Garamond" w:hAnsi="Garamond"/>
        </w:rPr>
        <w:t>f</w:t>
      </w:r>
      <w:r w:rsidR="00A654EF" w:rsidRPr="00C82BBD">
        <w:rPr>
          <w:rFonts w:ascii="Garamond" w:hAnsi="Garamond"/>
        </w:rPr>
        <w:t xml:space="preserve"> </w:t>
      </w:r>
      <w:r w:rsidRPr="00C82BBD">
        <w:rPr>
          <w:rFonts w:ascii="Garamond" w:hAnsi="Garamond"/>
        </w:rPr>
        <w:t>naloxone</w:t>
      </w:r>
      <w:r w:rsidR="00A654EF" w:rsidRPr="00C82BBD">
        <w:rPr>
          <w:rFonts w:ascii="Garamond" w:hAnsi="Garamond"/>
        </w:rPr>
        <w:t xml:space="preserve"> is not</w:t>
      </w:r>
      <w:r w:rsidRPr="00C82BBD">
        <w:rPr>
          <w:rFonts w:ascii="Garamond" w:hAnsi="Garamond"/>
        </w:rPr>
        <w:t xml:space="preserve"> administered in a gentle and caring manner it may cause suffering and </w:t>
      </w:r>
      <w:r w:rsidR="00E91BD7" w:rsidRPr="00C82BBD">
        <w:rPr>
          <w:rFonts w:ascii="Garamond" w:hAnsi="Garamond"/>
        </w:rPr>
        <w:t>negative</w:t>
      </w:r>
      <w:r w:rsidRPr="00C82BBD">
        <w:rPr>
          <w:rFonts w:ascii="Garamond" w:hAnsi="Garamond"/>
        </w:rPr>
        <w:t xml:space="preserve"> interactions with emergency services</w:t>
      </w:r>
      <w:r w:rsidR="002128A8" w:rsidRPr="00C82BBD">
        <w:rPr>
          <w:rFonts w:ascii="Garamond" w:hAnsi="Garamond"/>
        </w:rPr>
        <w:t>.</w:t>
      </w:r>
      <w:r w:rsidR="00A654EF" w:rsidRPr="00C82BBD">
        <w:rPr>
          <w:rFonts w:ascii="Garamond" w:hAnsi="Garamond"/>
        </w:rPr>
        <w:t xml:space="preserve"> Importantly</w:t>
      </w:r>
      <w:r w:rsidR="00491B76" w:rsidRPr="00C82BBD">
        <w:rPr>
          <w:rFonts w:ascii="Garamond" w:hAnsi="Garamond"/>
        </w:rPr>
        <w:t>,</w:t>
      </w:r>
      <w:r w:rsidR="00A654EF" w:rsidRPr="00C82BBD">
        <w:rPr>
          <w:rFonts w:ascii="Garamond" w:hAnsi="Garamond"/>
        </w:rPr>
        <w:t xml:space="preserve"> this may</w:t>
      </w:r>
      <w:r w:rsidR="00491B76" w:rsidRPr="00C82BBD">
        <w:rPr>
          <w:rFonts w:ascii="Garamond" w:hAnsi="Garamond"/>
        </w:rPr>
        <w:t xml:space="preserve"> </w:t>
      </w:r>
      <w:r w:rsidRPr="00C82BBD">
        <w:rPr>
          <w:rFonts w:ascii="Garamond" w:hAnsi="Garamond"/>
        </w:rPr>
        <w:t xml:space="preserve">reduce the </w:t>
      </w:r>
      <w:r w:rsidR="004A6173" w:rsidRPr="00C82BBD">
        <w:rPr>
          <w:rFonts w:ascii="Garamond" w:hAnsi="Garamond"/>
        </w:rPr>
        <w:t>desire</w:t>
      </w:r>
      <w:r w:rsidRPr="00C82BBD">
        <w:rPr>
          <w:rFonts w:ascii="Garamond" w:hAnsi="Garamond"/>
        </w:rPr>
        <w:t xml:space="preserve"> to access the technology in the future. Of course, being administered with naloxone without using </w:t>
      </w:r>
      <w:r w:rsidR="004A6173" w:rsidRPr="00C82BBD">
        <w:rPr>
          <w:rFonts w:ascii="Garamond" w:hAnsi="Garamond"/>
        </w:rPr>
        <w:t>Dylan’s</w:t>
      </w:r>
      <w:r w:rsidRPr="00C82BBD">
        <w:rPr>
          <w:rFonts w:ascii="Garamond" w:hAnsi="Garamond"/>
        </w:rPr>
        <w:t xml:space="preserve"> caring gently-gently approach and therefore having one’s life saved is preferable to </w:t>
      </w:r>
      <w:r w:rsidR="00491B76" w:rsidRPr="00C82BBD">
        <w:rPr>
          <w:rFonts w:ascii="Garamond" w:hAnsi="Garamond"/>
        </w:rPr>
        <w:t>no action at all</w:t>
      </w:r>
      <w:r w:rsidRPr="00C82BBD">
        <w:rPr>
          <w:rFonts w:ascii="Garamond" w:hAnsi="Garamond"/>
        </w:rPr>
        <w:t>, but</w:t>
      </w:r>
      <w:r w:rsidR="00491B76" w:rsidRPr="00C82BBD">
        <w:rPr>
          <w:rFonts w:ascii="Garamond" w:hAnsi="Garamond"/>
        </w:rPr>
        <w:t xml:space="preserve"> Dylan’s point is that</w:t>
      </w:r>
      <w:r w:rsidRPr="00C82BBD">
        <w:rPr>
          <w:rFonts w:ascii="Garamond" w:hAnsi="Garamond"/>
        </w:rPr>
        <w:t xml:space="preserve"> </w:t>
      </w:r>
      <w:r w:rsidR="00491B76" w:rsidRPr="00C82BBD">
        <w:rPr>
          <w:rFonts w:ascii="Garamond" w:hAnsi="Garamond"/>
        </w:rPr>
        <w:t>the</w:t>
      </w:r>
      <w:r w:rsidRPr="00C82BBD">
        <w:rPr>
          <w:rFonts w:ascii="Garamond" w:hAnsi="Garamond"/>
        </w:rPr>
        <w:t xml:space="preserve"> effects</w:t>
      </w:r>
      <w:r w:rsidR="00491B76" w:rsidRPr="00C82BBD">
        <w:rPr>
          <w:rFonts w:ascii="Garamond" w:hAnsi="Garamond"/>
        </w:rPr>
        <w:t xml:space="preserve"> of careless administration can be very negative, and potentially self-defeating where increasing uptake and diffusion are wanted</w:t>
      </w:r>
      <w:r w:rsidRPr="00C82BBD">
        <w:rPr>
          <w:rFonts w:ascii="Garamond" w:hAnsi="Garamond"/>
        </w:rPr>
        <w:t>.</w:t>
      </w:r>
      <w:r w:rsidR="004A6173" w:rsidRPr="00C82BBD">
        <w:rPr>
          <w:rFonts w:ascii="Garamond" w:hAnsi="Garamond"/>
        </w:rPr>
        <w:t xml:space="preserve"> As has been identified in other research, unless naloxone is administered with the appropriate care, </w:t>
      </w:r>
      <w:r w:rsidR="00614A1A" w:rsidRPr="00C82BBD">
        <w:rPr>
          <w:rFonts w:ascii="Garamond" w:hAnsi="Garamond"/>
        </w:rPr>
        <w:t xml:space="preserve">the </w:t>
      </w:r>
      <w:r w:rsidR="00A10871" w:rsidRPr="00C82BBD">
        <w:rPr>
          <w:rFonts w:ascii="Garamond" w:hAnsi="Garamond"/>
        </w:rPr>
        <w:t>life-saving</w:t>
      </w:r>
      <w:r w:rsidR="00614A1A" w:rsidRPr="00C82BBD">
        <w:rPr>
          <w:rFonts w:ascii="Garamond" w:hAnsi="Garamond"/>
        </w:rPr>
        <w:t xml:space="preserve"> </w:t>
      </w:r>
      <w:r w:rsidR="009D53C1" w:rsidRPr="00C82BBD">
        <w:rPr>
          <w:rFonts w:ascii="Garamond" w:hAnsi="Garamond"/>
        </w:rPr>
        <w:t>affordances</w:t>
      </w:r>
      <w:r w:rsidR="00614A1A" w:rsidRPr="00C82BBD">
        <w:rPr>
          <w:rFonts w:ascii="Garamond" w:hAnsi="Garamond"/>
        </w:rPr>
        <w:t xml:space="preserve"> of naloxone administration </w:t>
      </w:r>
      <w:r w:rsidR="00C05E4F" w:rsidRPr="00C82BBD">
        <w:rPr>
          <w:rFonts w:ascii="Garamond" w:hAnsi="Garamond"/>
        </w:rPr>
        <w:t>may be needlessly experienced</w:t>
      </w:r>
      <w:r w:rsidR="00614A1A" w:rsidRPr="00C82BBD">
        <w:rPr>
          <w:rFonts w:ascii="Garamond" w:hAnsi="Garamond"/>
        </w:rPr>
        <w:t xml:space="preserve"> </w:t>
      </w:r>
      <w:r w:rsidR="00C05E4F" w:rsidRPr="00C82BBD">
        <w:rPr>
          <w:rFonts w:ascii="Garamond" w:hAnsi="Garamond"/>
        </w:rPr>
        <w:t>as</w:t>
      </w:r>
      <w:r w:rsidR="00614A1A" w:rsidRPr="00C82BBD">
        <w:rPr>
          <w:rFonts w:ascii="Garamond" w:hAnsi="Garamond"/>
        </w:rPr>
        <w:t xml:space="preserve"> </w:t>
      </w:r>
      <w:r w:rsidR="00F3011C" w:rsidRPr="00C82BBD">
        <w:rPr>
          <w:rFonts w:ascii="Garamond" w:hAnsi="Garamond"/>
        </w:rPr>
        <w:t>only</w:t>
      </w:r>
      <w:r w:rsidR="00C05E4F" w:rsidRPr="00C82BBD">
        <w:rPr>
          <w:rFonts w:ascii="Garamond" w:hAnsi="Garamond"/>
        </w:rPr>
        <w:t xml:space="preserve"> sickness, </w:t>
      </w:r>
      <w:r w:rsidR="00614A1A" w:rsidRPr="00C82BBD">
        <w:rPr>
          <w:rFonts w:ascii="Garamond" w:hAnsi="Garamond"/>
        </w:rPr>
        <w:t xml:space="preserve">shock, or punishment (Neale &amp; Strang 2015). </w:t>
      </w:r>
    </w:p>
    <w:p w14:paraId="4E644D05" w14:textId="0FBD70BE" w:rsidR="007D61A8" w:rsidRPr="00C82BBD" w:rsidRDefault="007D61A8" w:rsidP="00C82BBD">
      <w:pPr>
        <w:autoSpaceDE w:val="0"/>
        <w:autoSpaceDN w:val="0"/>
        <w:adjustRightInd w:val="0"/>
        <w:spacing w:after="0" w:line="480" w:lineRule="auto"/>
        <w:rPr>
          <w:rFonts w:ascii="Garamond" w:hAnsi="Garamond"/>
        </w:rPr>
      </w:pPr>
    </w:p>
    <w:p w14:paraId="3950B34F" w14:textId="439EB34F" w:rsidR="00FA2140" w:rsidRPr="00C82BBD" w:rsidRDefault="007D61A8" w:rsidP="00C82BBD">
      <w:pPr>
        <w:spacing w:line="480" w:lineRule="auto"/>
        <w:rPr>
          <w:rFonts w:ascii="Garamond" w:hAnsi="Garamond"/>
        </w:rPr>
      </w:pPr>
      <w:r w:rsidRPr="00C82BBD">
        <w:rPr>
          <w:rFonts w:ascii="Garamond" w:hAnsi="Garamond"/>
        </w:rPr>
        <w:t>Importantly,</w:t>
      </w:r>
      <w:r w:rsidR="00491B76" w:rsidRPr="00C82BBD">
        <w:rPr>
          <w:rFonts w:ascii="Garamond" w:hAnsi="Garamond"/>
        </w:rPr>
        <w:t xml:space="preserve"> as in Gabrielle’s case study,</w:t>
      </w:r>
      <w:r w:rsidRPr="00C82BBD">
        <w:rPr>
          <w:rFonts w:ascii="Garamond" w:hAnsi="Garamond"/>
        </w:rPr>
        <w:t xml:space="preserve"> Dylan’s </w:t>
      </w:r>
      <w:r w:rsidR="00491B76" w:rsidRPr="00C82BBD">
        <w:rPr>
          <w:rFonts w:ascii="Garamond" w:hAnsi="Garamond"/>
        </w:rPr>
        <w:t xml:space="preserve">account </w:t>
      </w:r>
      <w:r w:rsidRPr="00C82BBD">
        <w:rPr>
          <w:rFonts w:ascii="Garamond" w:hAnsi="Garamond"/>
        </w:rPr>
        <w:t xml:space="preserve">also </w:t>
      </w:r>
      <w:proofErr w:type="spellStart"/>
      <w:r w:rsidRPr="00C82BBD">
        <w:rPr>
          <w:rFonts w:ascii="Garamond" w:hAnsi="Garamond"/>
        </w:rPr>
        <w:t>emphasise</w:t>
      </w:r>
      <w:r w:rsidR="00491B76" w:rsidRPr="00C82BBD">
        <w:rPr>
          <w:rFonts w:ascii="Garamond" w:hAnsi="Garamond"/>
        </w:rPr>
        <w:t>s</w:t>
      </w:r>
      <w:proofErr w:type="spellEnd"/>
      <w:r w:rsidRPr="00C82BBD">
        <w:rPr>
          <w:rFonts w:ascii="Garamond" w:hAnsi="Garamond"/>
        </w:rPr>
        <w:t xml:space="preserve"> the </w:t>
      </w:r>
      <w:proofErr w:type="spellStart"/>
      <w:r w:rsidRPr="00C82BBD">
        <w:rPr>
          <w:rFonts w:ascii="Garamond" w:hAnsi="Garamond"/>
        </w:rPr>
        <w:t>subjectifying</w:t>
      </w:r>
      <w:proofErr w:type="spellEnd"/>
      <w:r w:rsidRPr="00C82BBD">
        <w:rPr>
          <w:rFonts w:ascii="Garamond" w:hAnsi="Garamond"/>
        </w:rPr>
        <w:t xml:space="preserve"> </w:t>
      </w:r>
      <w:r w:rsidR="00CD3351" w:rsidRPr="00C82BBD">
        <w:rPr>
          <w:rFonts w:ascii="Garamond" w:hAnsi="Garamond"/>
        </w:rPr>
        <w:t>effects</w:t>
      </w:r>
      <w:r w:rsidRPr="00C82BBD">
        <w:rPr>
          <w:rFonts w:ascii="Garamond" w:hAnsi="Garamond"/>
        </w:rPr>
        <w:t xml:space="preserve"> of human-technology affordances (Latour 2002). For example, during a separate event of successful take-</w:t>
      </w:r>
      <w:r w:rsidRPr="00C82BBD">
        <w:rPr>
          <w:rFonts w:ascii="Garamond" w:hAnsi="Garamond"/>
        </w:rPr>
        <w:lastRenderedPageBreak/>
        <w:t xml:space="preserve">home naloxone administration Dylan </w:t>
      </w:r>
      <w:r w:rsidR="00491B76" w:rsidRPr="00C82BBD">
        <w:rPr>
          <w:rFonts w:ascii="Garamond" w:hAnsi="Garamond"/>
        </w:rPr>
        <w:t>interacted</w:t>
      </w:r>
      <w:r w:rsidRPr="00C82BBD">
        <w:rPr>
          <w:rFonts w:ascii="Garamond" w:hAnsi="Garamond"/>
        </w:rPr>
        <w:t xml:space="preserve"> with paramedics. As he explains, the paramedics question</w:t>
      </w:r>
      <w:r w:rsidR="00E91BD7" w:rsidRPr="00C82BBD">
        <w:rPr>
          <w:rFonts w:ascii="Garamond" w:hAnsi="Garamond"/>
        </w:rPr>
        <w:t>ed</w:t>
      </w:r>
      <w:r w:rsidRPr="00C82BBD">
        <w:rPr>
          <w:rFonts w:ascii="Garamond" w:hAnsi="Garamond"/>
        </w:rPr>
        <w:t xml:space="preserve"> the legitimacy of his administration. </w:t>
      </w:r>
      <w:r w:rsidR="00491B76" w:rsidRPr="00C82BBD">
        <w:rPr>
          <w:rFonts w:ascii="Garamond" w:hAnsi="Garamond"/>
        </w:rPr>
        <w:t xml:space="preserve">As above, </w:t>
      </w:r>
      <w:r w:rsidRPr="00C82BBD">
        <w:rPr>
          <w:rFonts w:ascii="Garamond" w:hAnsi="Garamond"/>
        </w:rPr>
        <w:t>he recounts the events as a conversation:</w:t>
      </w:r>
    </w:p>
    <w:p w14:paraId="2823F3D8" w14:textId="246ADF8F" w:rsidR="007D61A8" w:rsidRPr="00C82BBD" w:rsidRDefault="007D61A8" w:rsidP="00C82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hanging="720"/>
        <w:rPr>
          <w:rFonts w:ascii="Garamond" w:hAnsi="Garamond" w:cs="Calibri"/>
        </w:rPr>
      </w:pPr>
      <w:r w:rsidRPr="00C82BBD">
        <w:rPr>
          <w:rFonts w:ascii="Garamond" w:hAnsi="Garamond"/>
        </w:rPr>
        <w:tab/>
      </w:r>
      <w:r w:rsidRPr="00C82BBD">
        <w:rPr>
          <w:rFonts w:ascii="Garamond" w:hAnsi="Garamond" w:cs="Calibri"/>
        </w:rPr>
        <w:t>The [paramedics</w:t>
      </w:r>
      <w:r w:rsidR="003C2FA4" w:rsidRPr="00C82BBD">
        <w:rPr>
          <w:rFonts w:ascii="Garamond" w:hAnsi="Garamond" w:cs="Calibri"/>
        </w:rPr>
        <w:t>’</w:t>
      </w:r>
      <w:r w:rsidRPr="00C82BBD">
        <w:rPr>
          <w:rFonts w:ascii="Garamond" w:hAnsi="Garamond" w:cs="Calibri"/>
        </w:rPr>
        <w:t xml:space="preserve">] first reaction was, </w:t>
      </w:r>
      <w:r w:rsidR="00E91BD7" w:rsidRPr="00C82BBD">
        <w:rPr>
          <w:rFonts w:ascii="Garamond" w:hAnsi="Garamond" w:cs="Calibri"/>
        </w:rPr>
        <w:t>‘</w:t>
      </w:r>
      <w:r w:rsidRPr="00C82BBD">
        <w:rPr>
          <w:rFonts w:ascii="Garamond" w:hAnsi="Garamond" w:cs="Calibri"/>
        </w:rPr>
        <w:t xml:space="preserve">Where’d you get the Narcan from? How’d you come across Narcan? Are you </w:t>
      </w:r>
      <w:proofErr w:type="spellStart"/>
      <w:r w:rsidRPr="00C82BBD">
        <w:rPr>
          <w:rFonts w:ascii="Garamond" w:hAnsi="Garamond" w:cs="Calibri"/>
        </w:rPr>
        <w:t>authori</w:t>
      </w:r>
      <w:r w:rsidR="00491B76" w:rsidRPr="00C82BBD">
        <w:rPr>
          <w:rFonts w:ascii="Garamond" w:hAnsi="Garamond" w:cs="Calibri"/>
        </w:rPr>
        <w:t>s</w:t>
      </w:r>
      <w:r w:rsidRPr="00C82BBD">
        <w:rPr>
          <w:rFonts w:ascii="Garamond" w:hAnsi="Garamond" w:cs="Calibri"/>
        </w:rPr>
        <w:t>ed</w:t>
      </w:r>
      <w:proofErr w:type="spellEnd"/>
      <w:r w:rsidRPr="00C82BBD">
        <w:rPr>
          <w:rFonts w:ascii="Garamond" w:hAnsi="Garamond" w:cs="Calibri"/>
        </w:rPr>
        <w:t xml:space="preserve"> to give it out? Are you an </w:t>
      </w:r>
      <w:proofErr w:type="spellStart"/>
      <w:r w:rsidRPr="00C82BBD">
        <w:rPr>
          <w:rFonts w:ascii="Garamond" w:hAnsi="Garamond" w:cs="Calibri"/>
        </w:rPr>
        <w:t>authori</w:t>
      </w:r>
      <w:r w:rsidR="00491B76" w:rsidRPr="00C82BBD">
        <w:rPr>
          <w:rFonts w:ascii="Garamond" w:hAnsi="Garamond" w:cs="Calibri"/>
        </w:rPr>
        <w:t>s</w:t>
      </w:r>
      <w:r w:rsidRPr="00C82BBD">
        <w:rPr>
          <w:rFonts w:ascii="Garamond" w:hAnsi="Garamond" w:cs="Calibri"/>
        </w:rPr>
        <w:t>ed</w:t>
      </w:r>
      <w:proofErr w:type="spellEnd"/>
      <w:r w:rsidRPr="00C82BBD">
        <w:rPr>
          <w:rFonts w:ascii="Garamond" w:hAnsi="Garamond" w:cs="Calibri"/>
        </w:rPr>
        <w:t xml:space="preserve"> administrator of Narcan?</w:t>
      </w:r>
      <w:r w:rsidR="00E91BD7" w:rsidRPr="00C82BBD">
        <w:rPr>
          <w:rFonts w:ascii="Garamond" w:hAnsi="Garamond" w:cs="Calibri"/>
        </w:rPr>
        <w:t>’</w:t>
      </w:r>
      <w:r w:rsidRPr="00C82BBD">
        <w:rPr>
          <w:rFonts w:ascii="Garamond" w:hAnsi="Garamond" w:cs="Calibri"/>
        </w:rPr>
        <w:t xml:space="preserve"> and I’m like, </w:t>
      </w:r>
      <w:r w:rsidR="00E91BD7" w:rsidRPr="00C82BBD">
        <w:rPr>
          <w:rFonts w:ascii="Garamond" w:hAnsi="Garamond" w:cs="Calibri"/>
        </w:rPr>
        <w:t>‘</w:t>
      </w:r>
      <w:r w:rsidRPr="00C82BBD">
        <w:rPr>
          <w:rFonts w:ascii="Garamond" w:hAnsi="Garamond" w:cs="Calibri"/>
        </w:rPr>
        <w:t xml:space="preserve">Yeah, and I believe half the people walking around us also carry it and are </w:t>
      </w:r>
      <w:proofErr w:type="spellStart"/>
      <w:r w:rsidRPr="00C82BBD">
        <w:rPr>
          <w:rFonts w:ascii="Garamond" w:hAnsi="Garamond" w:cs="Calibri"/>
        </w:rPr>
        <w:t>authori</w:t>
      </w:r>
      <w:r w:rsidR="00491B76" w:rsidRPr="00C82BBD">
        <w:rPr>
          <w:rFonts w:ascii="Garamond" w:hAnsi="Garamond" w:cs="Calibri"/>
        </w:rPr>
        <w:t>s</w:t>
      </w:r>
      <w:r w:rsidRPr="00C82BBD">
        <w:rPr>
          <w:rFonts w:ascii="Garamond" w:hAnsi="Garamond" w:cs="Calibri"/>
        </w:rPr>
        <w:t>ed</w:t>
      </w:r>
      <w:proofErr w:type="spellEnd"/>
      <w:r w:rsidRPr="00C82BBD">
        <w:rPr>
          <w:rFonts w:ascii="Garamond" w:hAnsi="Garamond" w:cs="Calibri"/>
        </w:rPr>
        <w:t>.</w:t>
      </w:r>
      <w:r w:rsidR="00E91BD7" w:rsidRPr="00C82BBD">
        <w:rPr>
          <w:rFonts w:ascii="Garamond" w:hAnsi="Garamond" w:cs="Calibri"/>
        </w:rPr>
        <w:t>’</w:t>
      </w:r>
      <w:r w:rsidRPr="00C82BBD">
        <w:rPr>
          <w:rFonts w:ascii="Garamond" w:hAnsi="Garamond" w:cs="Calibri"/>
        </w:rPr>
        <w:t xml:space="preserve"> </w:t>
      </w:r>
      <w:r w:rsidR="00E91BD7" w:rsidRPr="00C82BBD">
        <w:rPr>
          <w:rFonts w:ascii="Garamond" w:hAnsi="Garamond" w:cs="Calibri"/>
        </w:rPr>
        <w:t>‘</w:t>
      </w:r>
      <w:r w:rsidRPr="00C82BBD">
        <w:rPr>
          <w:rFonts w:ascii="Garamond" w:hAnsi="Garamond" w:cs="Calibri"/>
        </w:rPr>
        <w:t>By whose authority?</w:t>
      </w:r>
      <w:r w:rsidR="00E91BD7" w:rsidRPr="00C82BBD">
        <w:rPr>
          <w:rFonts w:ascii="Garamond" w:hAnsi="Garamond" w:cs="Calibri"/>
        </w:rPr>
        <w:t>’</w:t>
      </w:r>
      <w:r w:rsidRPr="00C82BBD">
        <w:rPr>
          <w:rFonts w:ascii="Garamond" w:hAnsi="Garamond" w:cs="Calibri"/>
        </w:rPr>
        <w:t xml:space="preserve"> </w:t>
      </w:r>
      <w:r w:rsidR="00E91BD7" w:rsidRPr="00C82BBD">
        <w:rPr>
          <w:rFonts w:ascii="Garamond" w:hAnsi="Garamond" w:cs="Calibri"/>
        </w:rPr>
        <w:t>‘</w:t>
      </w:r>
      <w:r w:rsidRPr="00C82BBD">
        <w:rPr>
          <w:rFonts w:ascii="Garamond" w:hAnsi="Garamond" w:cs="Calibri"/>
        </w:rPr>
        <w:t xml:space="preserve">By the authority of </w:t>
      </w:r>
      <w:r w:rsidR="00E91BD7" w:rsidRPr="00C82BBD">
        <w:rPr>
          <w:rFonts w:ascii="Garamond" w:hAnsi="Garamond" w:cs="Calibri"/>
        </w:rPr>
        <w:t>[peer</w:t>
      </w:r>
      <w:r w:rsidR="00491B76" w:rsidRPr="00C82BBD">
        <w:rPr>
          <w:rFonts w:ascii="Garamond" w:hAnsi="Garamond" w:cs="Calibri"/>
        </w:rPr>
        <w:t>-</w:t>
      </w:r>
      <w:r w:rsidR="00E91BD7" w:rsidRPr="00C82BBD">
        <w:rPr>
          <w:rFonts w:ascii="Garamond" w:hAnsi="Garamond" w:cs="Calibri"/>
        </w:rPr>
        <w:t>led harm reduction service]</w:t>
      </w:r>
      <w:r w:rsidRPr="00C82BBD">
        <w:rPr>
          <w:rFonts w:ascii="Garamond" w:hAnsi="Garamond" w:cs="Calibri"/>
        </w:rPr>
        <w:t xml:space="preserve"> and by the authority of the State Health Department as I’m listed with them as a needle and syringe program outreach worker</w:t>
      </w:r>
      <w:r w:rsidR="00E91BD7" w:rsidRPr="00C82BBD">
        <w:rPr>
          <w:rFonts w:ascii="Garamond" w:hAnsi="Garamond" w:cs="Calibri"/>
        </w:rPr>
        <w:t>’</w:t>
      </w:r>
      <w:r w:rsidR="00491B76" w:rsidRPr="00C82BBD">
        <w:rPr>
          <w:rFonts w:ascii="Garamond" w:hAnsi="Garamond" w:cs="Calibri"/>
        </w:rPr>
        <w:t>. A</w:t>
      </w:r>
      <w:r w:rsidRPr="00C82BBD">
        <w:rPr>
          <w:rFonts w:ascii="Garamond" w:hAnsi="Garamond" w:cs="Calibri"/>
        </w:rPr>
        <w:t>nd they didn’t seem to have any response for that.</w:t>
      </w:r>
    </w:p>
    <w:p w14:paraId="327E980A" w14:textId="7D247982" w:rsidR="002275DA" w:rsidRPr="00C82BBD" w:rsidRDefault="00491B76" w:rsidP="00C82BBD">
      <w:pPr>
        <w:spacing w:line="480" w:lineRule="auto"/>
        <w:rPr>
          <w:rFonts w:ascii="Garamond" w:hAnsi="Garamond"/>
        </w:rPr>
      </w:pPr>
      <w:r w:rsidRPr="00C82BBD">
        <w:rPr>
          <w:rFonts w:ascii="Garamond" w:hAnsi="Garamond"/>
        </w:rPr>
        <w:t>In this exchange we can see that h</w:t>
      </w:r>
      <w:r w:rsidR="00536F86" w:rsidRPr="00C82BBD">
        <w:rPr>
          <w:rFonts w:ascii="Garamond" w:hAnsi="Garamond"/>
        </w:rPr>
        <w:t>aving access to naloxone affords a particular subjectivity</w:t>
      </w:r>
      <w:r w:rsidRPr="00C82BBD">
        <w:rPr>
          <w:rFonts w:ascii="Garamond" w:hAnsi="Garamond"/>
        </w:rPr>
        <w:t>, one</w:t>
      </w:r>
      <w:r w:rsidR="00536F86" w:rsidRPr="00C82BBD">
        <w:rPr>
          <w:rFonts w:ascii="Garamond" w:hAnsi="Garamond"/>
        </w:rPr>
        <w:t xml:space="preserve"> in which Dylan takes on </w:t>
      </w:r>
      <w:r w:rsidRPr="00C82BBD">
        <w:rPr>
          <w:rFonts w:ascii="Garamond" w:hAnsi="Garamond"/>
        </w:rPr>
        <w:t xml:space="preserve">the </w:t>
      </w:r>
      <w:r w:rsidR="00536F86" w:rsidRPr="00C82BBD">
        <w:rPr>
          <w:rFonts w:ascii="Garamond" w:hAnsi="Garamond"/>
        </w:rPr>
        <w:t xml:space="preserve">role of life-saver, someone able to care for </w:t>
      </w:r>
      <w:r w:rsidRPr="00C82BBD">
        <w:rPr>
          <w:rFonts w:ascii="Garamond" w:hAnsi="Garamond"/>
        </w:rPr>
        <w:t>others</w:t>
      </w:r>
      <w:r w:rsidR="00536F86" w:rsidRPr="00C82BBD">
        <w:rPr>
          <w:rFonts w:ascii="Garamond" w:hAnsi="Garamond"/>
        </w:rPr>
        <w:t xml:space="preserve"> in his local community</w:t>
      </w:r>
      <w:r w:rsidRPr="00C82BBD">
        <w:rPr>
          <w:rFonts w:ascii="Garamond" w:hAnsi="Garamond"/>
        </w:rPr>
        <w:t>,</w:t>
      </w:r>
      <w:r w:rsidR="00536F86" w:rsidRPr="00C82BBD">
        <w:rPr>
          <w:rFonts w:ascii="Garamond" w:hAnsi="Garamond"/>
        </w:rPr>
        <w:t xml:space="preserve"> gently bring</w:t>
      </w:r>
      <w:r w:rsidRPr="00C82BBD">
        <w:rPr>
          <w:rFonts w:ascii="Garamond" w:hAnsi="Garamond"/>
        </w:rPr>
        <w:t>ing</w:t>
      </w:r>
      <w:r w:rsidR="00536F86" w:rsidRPr="00C82BBD">
        <w:rPr>
          <w:rFonts w:ascii="Garamond" w:hAnsi="Garamond"/>
        </w:rPr>
        <w:t xml:space="preserve"> them back from overdose.</w:t>
      </w:r>
      <w:r w:rsidR="00F3459B" w:rsidRPr="00C82BBD">
        <w:rPr>
          <w:rFonts w:ascii="Garamond" w:hAnsi="Garamond"/>
        </w:rPr>
        <w:t xml:space="preserve"> </w:t>
      </w:r>
      <w:r w:rsidR="00011E9E" w:rsidRPr="00C82BBD">
        <w:rPr>
          <w:rFonts w:ascii="Garamond" w:hAnsi="Garamond"/>
        </w:rPr>
        <w:t>While</w:t>
      </w:r>
      <w:r w:rsidR="00F3459B" w:rsidRPr="00C82BBD">
        <w:rPr>
          <w:rFonts w:ascii="Garamond" w:hAnsi="Garamond"/>
        </w:rPr>
        <w:t xml:space="preserve"> unpleasant or uncaring interactions with emergency services </w:t>
      </w:r>
      <w:r w:rsidR="00011E9E" w:rsidRPr="00C82BBD">
        <w:rPr>
          <w:rFonts w:ascii="Garamond" w:hAnsi="Garamond"/>
        </w:rPr>
        <w:t>personnel can</w:t>
      </w:r>
      <w:r w:rsidR="00F3459B" w:rsidRPr="00C82BBD">
        <w:rPr>
          <w:rFonts w:ascii="Garamond" w:hAnsi="Garamond"/>
        </w:rPr>
        <w:t xml:space="preserve"> act as deterrents to responding to overdoses, in </w:t>
      </w:r>
      <w:r w:rsidR="00011E9E" w:rsidRPr="00C82BBD">
        <w:rPr>
          <w:rFonts w:ascii="Garamond" w:hAnsi="Garamond"/>
        </w:rPr>
        <w:t>Dylan’s case</w:t>
      </w:r>
      <w:r w:rsidR="00F3459B" w:rsidRPr="00C82BBD">
        <w:rPr>
          <w:rFonts w:ascii="Garamond" w:hAnsi="Garamond"/>
        </w:rPr>
        <w:t xml:space="preserve"> access to take-home naloxone and the expertise he developed </w:t>
      </w:r>
      <w:r w:rsidR="00011E9E" w:rsidRPr="00C82BBD">
        <w:rPr>
          <w:rFonts w:ascii="Garamond" w:hAnsi="Garamond"/>
        </w:rPr>
        <w:t>via</w:t>
      </w:r>
      <w:r w:rsidR="00F3459B" w:rsidRPr="00C82BBD">
        <w:rPr>
          <w:rFonts w:ascii="Garamond" w:hAnsi="Garamond"/>
        </w:rPr>
        <w:t xml:space="preserve"> training afford </w:t>
      </w:r>
      <w:r w:rsidR="00011E9E" w:rsidRPr="00C82BBD">
        <w:rPr>
          <w:rFonts w:ascii="Garamond" w:hAnsi="Garamond"/>
        </w:rPr>
        <w:t xml:space="preserve">a degree of </w:t>
      </w:r>
      <w:r w:rsidR="00F3459B" w:rsidRPr="00C82BBD">
        <w:rPr>
          <w:rFonts w:ascii="Garamond" w:hAnsi="Garamond"/>
        </w:rPr>
        <w:t>authorit</w:t>
      </w:r>
      <w:r w:rsidR="00011E9E" w:rsidRPr="00C82BBD">
        <w:rPr>
          <w:rFonts w:ascii="Garamond" w:hAnsi="Garamond"/>
        </w:rPr>
        <w:t>y in his</w:t>
      </w:r>
      <w:r w:rsidR="00F3459B" w:rsidRPr="00C82BBD">
        <w:rPr>
          <w:rFonts w:ascii="Garamond" w:hAnsi="Garamond"/>
        </w:rPr>
        <w:t xml:space="preserve"> </w:t>
      </w:r>
      <w:r w:rsidR="00011E9E" w:rsidRPr="00C82BBD">
        <w:rPr>
          <w:rFonts w:ascii="Garamond" w:hAnsi="Garamond"/>
        </w:rPr>
        <w:t xml:space="preserve">response to </w:t>
      </w:r>
      <w:r w:rsidR="00F3459B" w:rsidRPr="00C82BBD">
        <w:rPr>
          <w:rFonts w:ascii="Garamond" w:hAnsi="Garamond"/>
        </w:rPr>
        <w:t>health professionals</w:t>
      </w:r>
      <w:r w:rsidR="00011E9E" w:rsidRPr="00C82BBD">
        <w:rPr>
          <w:rFonts w:ascii="Garamond" w:hAnsi="Garamond"/>
        </w:rPr>
        <w:t>.</w:t>
      </w:r>
      <w:r w:rsidR="00536F86" w:rsidRPr="00C82BBD">
        <w:rPr>
          <w:rFonts w:ascii="Garamond" w:hAnsi="Garamond"/>
        </w:rPr>
        <w:t xml:space="preserve"> </w:t>
      </w:r>
      <w:r w:rsidRPr="00C82BBD">
        <w:rPr>
          <w:rFonts w:ascii="Garamond" w:hAnsi="Garamond"/>
        </w:rPr>
        <w:t>U</w:t>
      </w:r>
      <w:r w:rsidR="00536F86" w:rsidRPr="00C82BBD">
        <w:rPr>
          <w:rFonts w:ascii="Garamond" w:hAnsi="Garamond"/>
        </w:rPr>
        <w:t>nable to find secure employment</w:t>
      </w:r>
      <w:r w:rsidR="008114E1" w:rsidRPr="00C82BBD">
        <w:rPr>
          <w:rFonts w:ascii="Garamond" w:hAnsi="Garamond"/>
        </w:rPr>
        <w:t>,</w:t>
      </w:r>
      <w:r w:rsidR="00536F86" w:rsidRPr="00C82BBD">
        <w:rPr>
          <w:rFonts w:ascii="Garamond" w:hAnsi="Garamond"/>
        </w:rPr>
        <w:t xml:space="preserve"> he can </w:t>
      </w:r>
      <w:r w:rsidRPr="00C82BBD">
        <w:rPr>
          <w:rFonts w:ascii="Garamond" w:hAnsi="Garamond"/>
        </w:rPr>
        <w:t xml:space="preserve">nevertheless </w:t>
      </w:r>
      <w:r w:rsidR="00536F86" w:rsidRPr="00C82BBD">
        <w:rPr>
          <w:rFonts w:ascii="Garamond" w:hAnsi="Garamond"/>
        </w:rPr>
        <w:t xml:space="preserve">enact a </w:t>
      </w:r>
      <w:proofErr w:type="spellStart"/>
      <w:r w:rsidRPr="00C82BBD">
        <w:rPr>
          <w:rFonts w:ascii="Garamond" w:hAnsi="Garamond"/>
        </w:rPr>
        <w:t>demarginalised</w:t>
      </w:r>
      <w:proofErr w:type="spellEnd"/>
      <w:r w:rsidRPr="00C82BBD">
        <w:rPr>
          <w:rFonts w:ascii="Garamond" w:hAnsi="Garamond"/>
        </w:rPr>
        <w:t xml:space="preserve"> </w:t>
      </w:r>
      <w:r w:rsidR="00536F86" w:rsidRPr="00C82BBD">
        <w:rPr>
          <w:rFonts w:ascii="Garamond" w:hAnsi="Garamond"/>
        </w:rPr>
        <w:t xml:space="preserve">subjectivity </w:t>
      </w:r>
      <w:r w:rsidRPr="00C82BBD">
        <w:rPr>
          <w:rFonts w:ascii="Garamond" w:hAnsi="Garamond"/>
        </w:rPr>
        <w:t>through his</w:t>
      </w:r>
      <w:r w:rsidR="00536F86" w:rsidRPr="00C82BBD">
        <w:rPr>
          <w:rFonts w:ascii="Garamond" w:hAnsi="Garamond"/>
        </w:rPr>
        <w:t xml:space="preserve"> important community role.</w:t>
      </w:r>
      <w:r w:rsidR="004A6303" w:rsidRPr="00C82BBD">
        <w:rPr>
          <w:rFonts w:ascii="Garamond" w:hAnsi="Garamond"/>
        </w:rPr>
        <w:t xml:space="preserve"> </w:t>
      </w:r>
      <w:r w:rsidR="00F3459B" w:rsidRPr="00C82BBD">
        <w:rPr>
          <w:rFonts w:ascii="Garamond" w:hAnsi="Garamond"/>
        </w:rPr>
        <w:t xml:space="preserve">While </w:t>
      </w:r>
      <w:r w:rsidR="004A6303" w:rsidRPr="00C82BBD">
        <w:rPr>
          <w:rFonts w:ascii="Garamond" w:hAnsi="Garamond"/>
        </w:rPr>
        <w:t>Dylan has very limited</w:t>
      </w:r>
      <w:r w:rsidRPr="00C82BBD">
        <w:rPr>
          <w:rFonts w:ascii="Garamond" w:hAnsi="Garamond"/>
        </w:rPr>
        <w:t xml:space="preserve"> access to</w:t>
      </w:r>
      <w:r w:rsidR="004A6303" w:rsidRPr="00C82BBD">
        <w:rPr>
          <w:rFonts w:ascii="Garamond" w:hAnsi="Garamond"/>
        </w:rPr>
        <w:t xml:space="preserve"> material resources, the take-home naloxone</w:t>
      </w:r>
      <w:r w:rsidR="002E52C0" w:rsidRPr="00C82BBD">
        <w:rPr>
          <w:rFonts w:ascii="Garamond" w:hAnsi="Garamond"/>
        </w:rPr>
        <w:t xml:space="preserve"> technology</w:t>
      </w:r>
      <w:r w:rsidR="00E91BD7" w:rsidRPr="00C82BBD">
        <w:rPr>
          <w:rFonts w:ascii="Garamond" w:hAnsi="Garamond"/>
        </w:rPr>
        <w:t xml:space="preserve"> offer</w:t>
      </w:r>
      <w:r w:rsidR="00776664" w:rsidRPr="00C82BBD">
        <w:rPr>
          <w:rFonts w:ascii="Garamond" w:hAnsi="Garamond"/>
        </w:rPr>
        <w:t>s</w:t>
      </w:r>
      <w:r w:rsidR="004A6303" w:rsidRPr="00C82BBD">
        <w:rPr>
          <w:rFonts w:ascii="Garamond" w:hAnsi="Garamond"/>
        </w:rPr>
        <w:t xml:space="preserve"> not only the capacity</w:t>
      </w:r>
      <w:r w:rsidR="00776664" w:rsidRPr="00C82BBD">
        <w:rPr>
          <w:rFonts w:ascii="Garamond" w:hAnsi="Garamond"/>
        </w:rPr>
        <w:t xml:space="preserve"> to care</w:t>
      </w:r>
      <w:r w:rsidR="004A6303" w:rsidRPr="00C82BBD">
        <w:rPr>
          <w:rFonts w:ascii="Garamond" w:hAnsi="Garamond"/>
        </w:rPr>
        <w:t xml:space="preserve"> but the power to</w:t>
      </w:r>
      <w:r w:rsidR="00776664" w:rsidRPr="00C82BBD">
        <w:rPr>
          <w:rFonts w:ascii="Garamond" w:hAnsi="Garamond"/>
        </w:rPr>
        <w:t xml:space="preserve"> do so</w:t>
      </w:r>
      <w:r w:rsidR="004A6303" w:rsidRPr="00C82BBD">
        <w:rPr>
          <w:rFonts w:ascii="Garamond" w:hAnsi="Garamond"/>
        </w:rPr>
        <w:t xml:space="preserve"> (Martin, Myers &amp; </w:t>
      </w:r>
      <w:proofErr w:type="spellStart"/>
      <w:r w:rsidR="004A6303" w:rsidRPr="00C82BBD">
        <w:rPr>
          <w:rFonts w:ascii="Garamond" w:hAnsi="Garamond"/>
        </w:rPr>
        <w:t>Viseu</w:t>
      </w:r>
      <w:proofErr w:type="spellEnd"/>
      <w:r w:rsidR="004A6303" w:rsidRPr="00C82BBD">
        <w:rPr>
          <w:rFonts w:ascii="Garamond" w:hAnsi="Garamond"/>
        </w:rPr>
        <w:t xml:space="preserve"> 2015).</w:t>
      </w:r>
      <w:r w:rsidR="00475234" w:rsidRPr="00C82BBD">
        <w:rPr>
          <w:rFonts w:ascii="Garamond" w:hAnsi="Garamond"/>
        </w:rPr>
        <w:t xml:space="preserve"> Of course, take-home naloxone technologies do not determine or guarantee new subjects, but as research on the affordances of</w:t>
      </w:r>
      <w:r w:rsidR="00776664" w:rsidRPr="00C82BBD">
        <w:rPr>
          <w:rFonts w:ascii="Garamond" w:hAnsi="Garamond"/>
        </w:rPr>
        <w:t xml:space="preserve"> other drug-related practices and objects (such as injecting </w:t>
      </w:r>
      <w:proofErr w:type="spellStart"/>
      <w:r w:rsidR="00776664" w:rsidRPr="00C82BBD">
        <w:rPr>
          <w:rFonts w:ascii="Garamond" w:hAnsi="Garamond"/>
        </w:rPr>
        <w:t>fitpacks</w:t>
      </w:r>
      <w:proofErr w:type="spellEnd"/>
      <w:r w:rsidR="00776664" w:rsidRPr="00C82BBD">
        <w:rPr>
          <w:rFonts w:ascii="Garamond" w:hAnsi="Garamond"/>
        </w:rPr>
        <w:t>) has suggested, they</w:t>
      </w:r>
      <w:r w:rsidR="00475234" w:rsidRPr="00C82BBD">
        <w:rPr>
          <w:rFonts w:ascii="Garamond" w:hAnsi="Garamond"/>
        </w:rPr>
        <w:t xml:space="preserve"> can make them ‘slightly more imaginable’ (Fraser 2013).</w:t>
      </w:r>
    </w:p>
    <w:p w14:paraId="7BA0182B" w14:textId="77777777" w:rsidR="008823EE" w:rsidRDefault="008823EE" w:rsidP="00C82BBD">
      <w:pPr>
        <w:spacing w:line="480" w:lineRule="auto"/>
        <w:rPr>
          <w:rFonts w:ascii="Garamond" w:hAnsi="Garamond"/>
        </w:rPr>
      </w:pPr>
    </w:p>
    <w:p w14:paraId="47FA9045" w14:textId="727D798F" w:rsidR="00F92AE2" w:rsidRPr="00F92AE2" w:rsidRDefault="00F92AE2" w:rsidP="00C82BBD">
      <w:pPr>
        <w:spacing w:line="480" w:lineRule="auto"/>
        <w:rPr>
          <w:rFonts w:ascii="Garamond" w:hAnsi="Garamond"/>
          <w:i/>
        </w:rPr>
      </w:pPr>
      <w:r>
        <w:rPr>
          <w:rFonts w:ascii="Garamond" w:hAnsi="Garamond"/>
          <w:i/>
        </w:rPr>
        <w:t>The conditions of possibility of care</w:t>
      </w:r>
    </w:p>
    <w:p w14:paraId="5CC6158F" w14:textId="77777777" w:rsidR="00526A96" w:rsidRDefault="00364A4F" w:rsidP="00C82BBD">
      <w:pPr>
        <w:spacing w:line="480" w:lineRule="auto"/>
        <w:rPr>
          <w:rFonts w:ascii="Garamond" w:hAnsi="Garamond"/>
        </w:rPr>
      </w:pPr>
      <w:r w:rsidRPr="00C82BBD">
        <w:rPr>
          <w:rFonts w:ascii="Garamond" w:hAnsi="Garamond"/>
        </w:rPr>
        <w:t>The</w:t>
      </w:r>
      <w:r w:rsidR="00776664" w:rsidRPr="00C82BBD">
        <w:rPr>
          <w:rFonts w:ascii="Garamond" w:hAnsi="Garamond"/>
        </w:rPr>
        <w:t xml:space="preserve"> two</w:t>
      </w:r>
      <w:r w:rsidRPr="00C82BBD">
        <w:rPr>
          <w:rFonts w:ascii="Garamond" w:hAnsi="Garamond"/>
        </w:rPr>
        <w:t xml:space="preserve"> </w:t>
      </w:r>
      <w:r w:rsidR="00776664" w:rsidRPr="00C82BBD">
        <w:rPr>
          <w:rFonts w:ascii="Garamond" w:hAnsi="Garamond"/>
        </w:rPr>
        <w:t xml:space="preserve">case studies </w:t>
      </w:r>
      <w:r w:rsidR="000070F4" w:rsidRPr="00C82BBD">
        <w:rPr>
          <w:rFonts w:ascii="Garamond" w:hAnsi="Garamond"/>
        </w:rPr>
        <w:t xml:space="preserve">of overdose response presented here </w:t>
      </w:r>
      <w:proofErr w:type="spellStart"/>
      <w:r w:rsidRPr="00C82BBD">
        <w:rPr>
          <w:rFonts w:ascii="Garamond" w:hAnsi="Garamond"/>
        </w:rPr>
        <w:t>emphasise</w:t>
      </w:r>
      <w:proofErr w:type="spellEnd"/>
      <w:r w:rsidRPr="00C82BBD">
        <w:rPr>
          <w:rFonts w:ascii="Garamond" w:hAnsi="Garamond"/>
        </w:rPr>
        <w:t xml:space="preserve"> the heterogeneity of the affordances of take-home naloxone. </w:t>
      </w:r>
      <w:r w:rsidR="00776664" w:rsidRPr="00C82BBD">
        <w:rPr>
          <w:rFonts w:ascii="Garamond" w:hAnsi="Garamond"/>
        </w:rPr>
        <w:t xml:space="preserve">In attending to the specific meanings and practices of administration, we become aware that the </w:t>
      </w:r>
      <w:r w:rsidRPr="00C82BBD">
        <w:rPr>
          <w:rFonts w:ascii="Garamond" w:hAnsi="Garamond"/>
        </w:rPr>
        <w:t xml:space="preserve">technology is not solely </w:t>
      </w:r>
      <w:r w:rsidR="001F2DAC" w:rsidRPr="00C82BBD">
        <w:rPr>
          <w:rFonts w:ascii="Garamond" w:hAnsi="Garamond"/>
        </w:rPr>
        <w:t>a mechanism for dist</w:t>
      </w:r>
      <w:r w:rsidR="00D64B1B" w:rsidRPr="00C82BBD">
        <w:rPr>
          <w:rFonts w:ascii="Garamond" w:hAnsi="Garamond"/>
        </w:rPr>
        <w:t>ributing</w:t>
      </w:r>
      <w:r w:rsidR="001F2DAC" w:rsidRPr="00C82BBD">
        <w:rPr>
          <w:rFonts w:ascii="Garamond" w:hAnsi="Garamond"/>
        </w:rPr>
        <w:t xml:space="preserve"> </w:t>
      </w:r>
      <w:r w:rsidRPr="00C82BBD">
        <w:rPr>
          <w:rFonts w:ascii="Garamond" w:hAnsi="Garamond"/>
        </w:rPr>
        <w:t>a medicine</w:t>
      </w:r>
      <w:r w:rsidR="001F2DAC" w:rsidRPr="00C82BBD">
        <w:rPr>
          <w:rFonts w:ascii="Garamond" w:hAnsi="Garamond"/>
        </w:rPr>
        <w:t xml:space="preserve"> for use in opioid overdose emergencies</w:t>
      </w:r>
      <w:r w:rsidR="00776664" w:rsidRPr="00C82BBD">
        <w:rPr>
          <w:rFonts w:ascii="Garamond" w:hAnsi="Garamond"/>
        </w:rPr>
        <w:t>. Instead,</w:t>
      </w:r>
      <w:r w:rsidRPr="00C82BBD">
        <w:rPr>
          <w:rFonts w:ascii="Garamond" w:hAnsi="Garamond"/>
        </w:rPr>
        <w:t xml:space="preserve"> what take-home naloxone ‘is’, how it is used, what it ‘does’</w:t>
      </w:r>
      <w:r w:rsidR="00776664" w:rsidRPr="00C82BBD">
        <w:rPr>
          <w:rFonts w:ascii="Garamond" w:hAnsi="Garamond"/>
        </w:rPr>
        <w:t>, and to what end,</w:t>
      </w:r>
      <w:r w:rsidRPr="00C82BBD">
        <w:rPr>
          <w:rFonts w:ascii="Garamond" w:hAnsi="Garamond"/>
        </w:rPr>
        <w:t xml:space="preserve"> emerge out of interpersonal relationships of care. In the two cases we see take-home naloxone emerge as a way of caring for a terminally ill loved one within a very complex </w:t>
      </w:r>
      <w:r w:rsidR="000070F4" w:rsidRPr="00C82BBD">
        <w:rPr>
          <w:rFonts w:ascii="Garamond" w:hAnsi="Garamond"/>
        </w:rPr>
        <w:t>arrangement of care</w:t>
      </w:r>
      <w:r w:rsidRPr="00C82BBD">
        <w:rPr>
          <w:rFonts w:ascii="Garamond" w:hAnsi="Garamond"/>
        </w:rPr>
        <w:t xml:space="preserve">. We also see that </w:t>
      </w:r>
      <w:r w:rsidRPr="00C82BBD">
        <w:rPr>
          <w:rFonts w:ascii="Garamond" w:hAnsi="Garamond"/>
        </w:rPr>
        <w:lastRenderedPageBreak/>
        <w:t xml:space="preserve">even when used more </w:t>
      </w:r>
      <w:r w:rsidR="00776664" w:rsidRPr="00C82BBD">
        <w:rPr>
          <w:rFonts w:ascii="Garamond" w:hAnsi="Garamond"/>
        </w:rPr>
        <w:t xml:space="preserve">conventionally (as, it should be </w:t>
      </w:r>
      <w:r w:rsidR="001F2DAC" w:rsidRPr="00C82BBD">
        <w:rPr>
          <w:rFonts w:ascii="Garamond" w:hAnsi="Garamond"/>
        </w:rPr>
        <w:t xml:space="preserve">again </w:t>
      </w:r>
      <w:r w:rsidR="00776664" w:rsidRPr="00C82BBD">
        <w:rPr>
          <w:rFonts w:ascii="Garamond" w:hAnsi="Garamond"/>
        </w:rPr>
        <w:t xml:space="preserve">noted, </w:t>
      </w:r>
      <w:r w:rsidR="000C642E" w:rsidRPr="00C82BBD">
        <w:rPr>
          <w:rFonts w:ascii="Garamond" w:hAnsi="Garamond"/>
        </w:rPr>
        <w:t xml:space="preserve">almost all </w:t>
      </w:r>
      <w:r w:rsidR="00776664" w:rsidRPr="00C82BBD">
        <w:rPr>
          <w:rFonts w:ascii="Garamond" w:hAnsi="Garamond"/>
        </w:rPr>
        <w:t>of our participants described)</w:t>
      </w:r>
      <w:r w:rsidR="000070F4" w:rsidRPr="00C82BBD">
        <w:rPr>
          <w:rFonts w:ascii="Garamond" w:hAnsi="Garamond"/>
        </w:rPr>
        <w:t>,</w:t>
      </w:r>
      <w:r w:rsidRPr="00C82BBD">
        <w:rPr>
          <w:rFonts w:ascii="Garamond" w:hAnsi="Garamond"/>
        </w:rPr>
        <w:t xml:space="preserve"> </w:t>
      </w:r>
      <w:r w:rsidR="00776664" w:rsidRPr="00C82BBD">
        <w:rPr>
          <w:rFonts w:ascii="Garamond" w:hAnsi="Garamond"/>
        </w:rPr>
        <w:t>it</w:t>
      </w:r>
      <w:r w:rsidRPr="00C82BBD">
        <w:rPr>
          <w:rFonts w:ascii="Garamond" w:hAnsi="Garamond"/>
        </w:rPr>
        <w:t xml:space="preserve"> can </w:t>
      </w:r>
      <w:r w:rsidR="00163FFC" w:rsidRPr="00C82BBD">
        <w:rPr>
          <w:rFonts w:ascii="Garamond" w:hAnsi="Garamond"/>
        </w:rPr>
        <w:t xml:space="preserve">again </w:t>
      </w:r>
      <w:r w:rsidRPr="00C82BBD">
        <w:rPr>
          <w:rFonts w:ascii="Garamond" w:hAnsi="Garamond"/>
        </w:rPr>
        <w:t xml:space="preserve">form part of </w:t>
      </w:r>
      <w:r w:rsidR="00614A1A" w:rsidRPr="00C82BBD">
        <w:rPr>
          <w:rFonts w:ascii="Garamond" w:hAnsi="Garamond"/>
        </w:rPr>
        <w:t xml:space="preserve">an </w:t>
      </w:r>
      <w:r w:rsidRPr="00C82BBD">
        <w:rPr>
          <w:rFonts w:ascii="Garamond" w:hAnsi="Garamond"/>
        </w:rPr>
        <w:t xml:space="preserve">ethics or politics of care. In both cases, naloxone is shaped by a sensitivity </w:t>
      </w:r>
      <w:r w:rsidR="000070F4" w:rsidRPr="00C82BBD">
        <w:rPr>
          <w:rFonts w:ascii="Garamond" w:hAnsi="Garamond"/>
        </w:rPr>
        <w:t>that extends beyond</w:t>
      </w:r>
      <w:r w:rsidRPr="00C82BBD">
        <w:rPr>
          <w:rFonts w:ascii="Garamond" w:hAnsi="Garamond"/>
        </w:rPr>
        <w:t xml:space="preserve"> revival.</w:t>
      </w:r>
      <w:r w:rsidR="00465359" w:rsidRPr="00C82BBD">
        <w:rPr>
          <w:rFonts w:ascii="Garamond" w:hAnsi="Garamond"/>
        </w:rPr>
        <w:t xml:space="preserve"> That said, i</w:t>
      </w:r>
      <w:r w:rsidRPr="00C82BBD">
        <w:rPr>
          <w:rFonts w:ascii="Garamond" w:hAnsi="Garamond"/>
        </w:rPr>
        <w:t xml:space="preserve">t is essential to </w:t>
      </w:r>
      <w:r w:rsidR="00465359" w:rsidRPr="00C82BBD">
        <w:rPr>
          <w:rFonts w:ascii="Garamond" w:hAnsi="Garamond"/>
        </w:rPr>
        <w:t>acknowledge</w:t>
      </w:r>
      <w:r w:rsidRPr="00C82BBD">
        <w:rPr>
          <w:rFonts w:ascii="Garamond" w:hAnsi="Garamond"/>
        </w:rPr>
        <w:t xml:space="preserve"> the difference</w:t>
      </w:r>
      <w:r w:rsidR="00465359" w:rsidRPr="00C82BBD">
        <w:rPr>
          <w:rFonts w:ascii="Garamond" w:hAnsi="Garamond"/>
        </w:rPr>
        <w:t xml:space="preserve">s </w:t>
      </w:r>
      <w:r w:rsidRPr="00C82BBD">
        <w:rPr>
          <w:rFonts w:ascii="Garamond" w:hAnsi="Garamond"/>
        </w:rPr>
        <w:t xml:space="preserve">between these accounts </w:t>
      </w:r>
      <w:r w:rsidR="00465359" w:rsidRPr="00C82BBD">
        <w:rPr>
          <w:rFonts w:ascii="Garamond" w:hAnsi="Garamond"/>
        </w:rPr>
        <w:t xml:space="preserve">too, </w:t>
      </w:r>
      <w:r w:rsidRPr="00C82BBD">
        <w:rPr>
          <w:rFonts w:ascii="Garamond" w:hAnsi="Garamond"/>
        </w:rPr>
        <w:t xml:space="preserve">as they </w:t>
      </w:r>
      <w:proofErr w:type="spellStart"/>
      <w:r w:rsidRPr="00C82BBD">
        <w:rPr>
          <w:rFonts w:ascii="Garamond" w:hAnsi="Garamond"/>
        </w:rPr>
        <w:t>emphasise</w:t>
      </w:r>
      <w:proofErr w:type="spellEnd"/>
      <w:r w:rsidRPr="00C82BBD">
        <w:rPr>
          <w:rFonts w:ascii="Garamond" w:hAnsi="Garamond"/>
        </w:rPr>
        <w:t xml:space="preserve"> the importance of accounting for the conditions of p</w:t>
      </w:r>
      <w:r w:rsidR="000070F4" w:rsidRPr="00C82BBD">
        <w:rPr>
          <w:rFonts w:ascii="Garamond" w:hAnsi="Garamond"/>
        </w:rPr>
        <w:t xml:space="preserve">ossibility of care. Gabrielle recounts an arrangement afforded </w:t>
      </w:r>
      <w:r w:rsidR="00465359" w:rsidRPr="00C82BBD">
        <w:rPr>
          <w:rFonts w:ascii="Garamond" w:hAnsi="Garamond"/>
        </w:rPr>
        <w:t xml:space="preserve">by access to </w:t>
      </w:r>
      <w:r w:rsidR="008114E1" w:rsidRPr="00C82BBD">
        <w:rPr>
          <w:rFonts w:ascii="Garamond" w:hAnsi="Garamond"/>
        </w:rPr>
        <w:t>a private residence</w:t>
      </w:r>
      <w:r w:rsidR="000070F4" w:rsidRPr="00C82BBD">
        <w:rPr>
          <w:rFonts w:ascii="Garamond" w:hAnsi="Garamond"/>
        </w:rPr>
        <w:t xml:space="preserve">, </w:t>
      </w:r>
      <w:r w:rsidRPr="00C82BBD">
        <w:rPr>
          <w:rFonts w:ascii="Garamond" w:hAnsi="Garamond"/>
        </w:rPr>
        <w:t>a long</w:t>
      </w:r>
      <w:r w:rsidR="00465359" w:rsidRPr="00C82BBD">
        <w:rPr>
          <w:rFonts w:ascii="Garamond" w:hAnsi="Garamond"/>
        </w:rPr>
        <w:t>-</w:t>
      </w:r>
      <w:r w:rsidRPr="00C82BBD">
        <w:rPr>
          <w:rFonts w:ascii="Garamond" w:hAnsi="Garamond"/>
        </w:rPr>
        <w:t xml:space="preserve">term intimate relationship and medical training as a nurse. This set of relations </w:t>
      </w:r>
      <w:r w:rsidR="00BE135C" w:rsidRPr="00C82BBD">
        <w:rPr>
          <w:rFonts w:ascii="Garamond" w:hAnsi="Garamond"/>
        </w:rPr>
        <w:t xml:space="preserve">supports </w:t>
      </w:r>
      <w:r w:rsidR="00465359" w:rsidRPr="00C82BBD">
        <w:rPr>
          <w:rFonts w:ascii="Garamond" w:hAnsi="Garamond"/>
        </w:rPr>
        <w:t>her capacity</w:t>
      </w:r>
      <w:r w:rsidRPr="00C82BBD">
        <w:rPr>
          <w:rFonts w:ascii="Garamond" w:hAnsi="Garamond"/>
        </w:rPr>
        <w:t xml:space="preserve"> </w:t>
      </w:r>
      <w:r w:rsidR="000070F4" w:rsidRPr="00C82BBD">
        <w:rPr>
          <w:rFonts w:ascii="Garamond" w:hAnsi="Garamond"/>
        </w:rPr>
        <w:t xml:space="preserve">to </w:t>
      </w:r>
      <w:r w:rsidRPr="00C82BBD">
        <w:rPr>
          <w:rFonts w:ascii="Garamond" w:hAnsi="Garamond"/>
        </w:rPr>
        <w:t>becom</w:t>
      </w:r>
      <w:r w:rsidR="000070F4" w:rsidRPr="00C82BBD">
        <w:rPr>
          <w:rFonts w:ascii="Garamond" w:hAnsi="Garamond"/>
        </w:rPr>
        <w:t>e</w:t>
      </w:r>
      <w:r w:rsidRPr="00C82BBD">
        <w:rPr>
          <w:rFonts w:ascii="Garamond" w:hAnsi="Garamond"/>
        </w:rPr>
        <w:t xml:space="preserve"> carefully attuned to another’s embodied reactions and corporeality. For many of the participants in our research</w:t>
      </w:r>
      <w:r w:rsidR="00465359" w:rsidRPr="00C82BBD">
        <w:rPr>
          <w:rFonts w:ascii="Garamond" w:hAnsi="Garamond"/>
        </w:rPr>
        <w:t>,</w:t>
      </w:r>
      <w:r w:rsidRPr="00C82BBD">
        <w:rPr>
          <w:rFonts w:ascii="Garamond" w:hAnsi="Garamond"/>
        </w:rPr>
        <w:t xml:space="preserve"> and many targets of overdose response training and take-home naloxone, this set of relations</w:t>
      </w:r>
      <w:r w:rsidR="00465359" w:rsidRPr="00C82BBD">
        <w:rPr>
          <w:rFonts w:ascii="Garamond" w:hAnsi="Garamond"/>
        </w:rPr>
        <w:t xml:space="preserve"> does not exist</w:t>
      </w:r>
      <w:r w:rsidRPr="00C82BBD">
        <w:rPr>
          <w:rFonts w:ascii="Garamond" w:hAnsi="Garamond"/>
        </w:rPr>
        <w:t>.</w:t>
      </w:r>
      <w:r w:rsidR="00BE135C" w:rsidRPr="00C82BBD">
        <w:rPr>
          <w:rFonts w:ascii="Garamond" w:hAnsi="Garamond"/>
        </w:rPr>
        <w:t xml:space="preserve"> Yet, Dylan’s gentle administration approach </w:t>
      </w:r>
      <w:proofErr w:type="spellStart"/>
      <w:r w:rsidR="00BE135C" w:rsidRPr="00C82BBD">
        <w:rPr>
          <w:rFonts w:ascii="Garamond" w:hAnsi="Garamond"/>
        </w:rPr>
        <w:t>emphasises</w:t>
      </w:r>
      <w:proofErr w:type="spellEnd"/>
      <w:r w:rsidR="00BE135C" w:rsidRPr="00C82BBD">
        <w:rPr>
          <w:rFonts w:ascii="Garamond" w:hAnsi="Garamond"/>
        </w:rPr>
        <w:t xml:space="preserve"> that even with</w:t>
      </w:r>
      <w:r w:rsidR="00163FFC" w:rsidRPr="00C82BBD">
        <w:rPr>
          <w:rFonts w:ascii="Garamond" w:hAnsi="Garamond"/>
        </w:rPr>
        <w:t xml:space="preserve">in relations that may present limited affordances </w:t>
      </w:r>
      <w:r w:rsidR="00D64B1B" w:rsidRPr="00C82BBD">
        <w:rPr>
          <w:rFonts w:ascii="Garamond" w:hAnsi="Garamond"/>
        </w:rPr>
        <w:t>non-medically trained people, including those who consume opioids,</w:t>
      </w:r>
      <w:r w:rsidR="00BE135C" w:rsidRPr="00C82BBD">
        <w:rPr>
          <w:rFonts w:ascii="Garamond" w:hAnsi="Garamond"/>
        </w:rPr>
        <w:t xml:space="preserve"> can and are responding to overdose in a careful and sensitive </w:t>
      </w:r>
      <w:r w:rsidR="00737DD8" w:rsidRPr="00C82BBD">
        <w:rPr>
          <w:rFonts w:ascii="Garamond" w:hAnsi="Garamond"/>
        </w:rPr>
        <w:t>manner</w:t>
      </w:r>
      <w:r w:rsidR="00BE135C" w:rsidRPr="00C82BBD">
        <w:rPr>
          <w:rFonts w:ascii="Garamond" w:hAnsi="Garamond"/>
        </w:rPr>
        <w:t>.</w:t>
      </w:r>
      <w:r w:rsidRPr="00C82BBD">
        <w:rPr>
          <w:rFonts w:ascii="Garamond" w:hAnsi="Garamond"/>
        </w:rPr>
        <w:t xml:space="preserve"> </w:t>
      </w:r>
    </w:p>
    <w:p w14:paraId="51B9AACE" w14:textId="77777777" w:rsidR="00526A96" w:rsidRDefault="00526A96" w:rsidP="00C82BBD">
      <w:pPr>
        <w:spacing w:line="480" w:lineRule="auto"/>
        <w:rPr>
          <w:rFonts w:ascii="Garamond" w:hAnsi="Garamond"/>
        </w:rPr>
      </w:pPr>
    </w:p>
    <w:p w14:paraId="0144EC43" w14:textId="1FAF140E" w:rsidR="00364A4F" w:rsidRPr="00C82BBD" w:rsidRDefault="00B561F3" w:rsidP="00C82BBD">
      <w:pPr>
        <w:spacing w:line="480" w:lineRule="auto"/>
        <w:rPr>
          <w:rFonts w:ascii="Garamond" w:hAnsi="Garamond"/>
        </w:rPr>
      </w:pPr>
      <w:r>
        <w:rPr>
          <w:rFonts w:ascii="Garamond" w:hAnsi="Garamond"/>
        </w:rPr>
        <w:t xml:space="preserve">Of course, </w:t>
      </w:r>
      <w:proofErr w:type="spellStart"/>
      <w:r>
        <w:rPr>
          <w:rFonts w:ascii="Garamond" w:hAnsi="Garamond"/>
        </w:rPr>
        <w:t>a</w:t>
      </w:r>
      <w:r w:rsidR="002C3A5F">
        <w:rPr>
          <w:rFonts w:ascii="Garamond" w:hAnsi="Garamond"/>
        </w:rPr>
        <w:t>nalysing</w:t>
      </w:r>
      <w:proofErr w:type="spellEnd"/>
      <w:r w:rsidR="00526A96">
        <w:rPr>
          <w:rFonts w:ascii="Garamond" w:hAnsi="Garamond"/>
        </w:rPr>
        <w:t xml:space="preserve"> the conditions of possibility of care</w:t>
      </w:r>
      <w:r>
        <w:rPr>
          <w:rFonts w:ascii="Garamond" w:hAnsi="Garamond"/>
        </w:rPr>
        <w:t xml:space="preserve"> </w:t>
      </w:r>
      <w:r w:rsidR="00364A4F" w:rsidRPr="00C82BBD">
        <w:rPr>
          <w:rFonts w:ascii="Garamond" w:hAnsi="Garamond"/>
        </w:rPr>
        <w:t>raise</w:t>
      </w:r>
      <w:r w:rsidR="00526A96">
        <w:rPr>
          <w:rFonts w:ascii="Garamond" w:hAnsi="Garamond"/>
        </w:rPr>
        <w:t>s</w:t>
      </w:r>
      <w:r w:rsidR="00364A4F" w:rsidRPr="00C82BBD">
        <w:rPr>
          <w:rFonts w:ascii="Garamond" w:hAnsi="Garamond"/>
        </w:rPr>
        <w:t xml:space="preserve"> questions about the position of take-home naloxone within broader paradigms of public health</w:t>
      </w:r>
      <w:r w:rsidR="00465359" w:rsidRPr="00C82BBD">
        <w:rPr>
          <w:rFonts w:ascii="Garamond" w:hAnsi="Garamond"/>
        </w:rPr>
        <w:t>, social inequality and power</w:t>
      </w:r>
      <w:r w:rsidR="00364A4F" w:rsidRPr="00C82BBD">
        <w:rPr>
          <w:rFonts w:ascii="Garamond" w:hAnsi="Garamond"/>
        </w:rPr>
        <w:t>.</w:t>
      </w:r>
      <w:r w:rsidR="000F1B76" w:rsidRPr="00C82BBD">
        <w:rPr>
          <w:rFonts w:ascii="Garamond" w:hAnsi="Garamond"/>
        </w:rPr>
        <w:t xml:space="preserve"> </w:t>
      </w:r>
      <w:r w:rsidR="002F72DD" w:rsidRPr="00C82BBD">
        <w:rPr>
          <w:rFonts w:ascii="Garamond" w:hAnsi="Garamond"/>
        </w:rPr>
        <w:t>I</w:t>
      </w:r>
      <w:r w:rsidR="00465359" w:rsidRPr="00C82BBD">
        <w:rPr>
          <w:rFonts w:ascii="Garamond" w:hAnsi="Garamond"/>
        </w:rPr>
        <w:t>t is valid to ask</w:t>
      </w:r>
      <w:r w:rsidR="002F72DD" w:rsidRPr="00C82BBD">
        <w:rPr>
          <w:rFonts w:ascii="Garamond" w:hAnsi="Garamond"/>
        </w:rPr>
        <w:t>, for example,</w:t>
      </w:r>
      <w:r w:rsidR="00465359" w:rsidRPr="00C82BBD">
        <w:rPr>
          <w:rFonts w:ascii="Garamond" w:hAnsi="Garamond"/>
        </w:rPr>
        <w:t xml:space="preserve"> whether and in what ways </w:t>
      </w:r>
      <w:r w:rsidR="000F1B76" w:rsidRPr="00C82BBD">
        <w:rPr>
          <w:rFonts w:ascii="Garamond" w:hAnsi="Garamond"/>
        </w:rPr>
        <w:t>take-home naloxone provision engage</w:t>
      </w:r>
      <w:r w:rsidR="00465359" w:rsidRPr="00C82BBD">
        <w:rPr>
          <w:rFonts w:ascii="Garamond" w:hAnsi="Garamond"/>
        </w:rPr>
        <w:t>s</w:t>
      </w:r>
      <w:r w:rsidR="000F1B76" w:rsidRPr="00C82BBD">
        <w:rPr>
          <w:rFonts w:ascii="Garamond" w:hAnsi="Garamond"/>
        </w:rPr>
        <w:t xml:space="preserve"> with the </w:t>
      </w:r>
      <w:proofErr w:type="spellStart"/>
      <w:r w:rsidR="000F1B76" w:rsidRPr="00C82BBD">
        <w:rPr>
          <w:rFonts w:ascii="Garamond" w:hAnsi="Garamond"/>
        </w:rPr>
        <w:t>criminalisation</w:t>
      </w:r>
      <w:proofErr w:type="spellEnd"/>
      <w:r w:rsidR="000F1B76" w:rsidRPr="00C82BBD">
        <w:rPr>
          <w:rFonts w:ascii="Garamond" w:hAnsi="Garamond"/>
        </w:rPr>
        <w:t xml:space="preserve"> of people who consume drugs</w:t>
      </w:r>
      <w:r w:rsidR="002F72DD" w:rsidRPr="00C82BBD">
        <w:rPr>
          <w:rFonts w:ascii="Garamond" w:hAnsi="Garamond"/>
        </w:rPr>
        <w:t>,</w:t>
      </w:r>
      <w:r w:rsidR="000F1B76" w:rsidRPr="00C82BBD">
        <w:rPr>
          <w:rFonts w:ascii="Garamond" w:hAnsi="Garamond"/>
        </w:rPr>
        <w:t xml:space="preserve"> or address</w:t>
      </w:r>
      <w:r w:rsidR="00465359" w:rsidRPr="00C82BBD">
        <w:rPr>
          <w:rFonts w:ascii="Garamond" w:hAnsi="Garamond"/>
        </w:rPr>
        <w:t>es</w:t>
      </w:r>
      <w:r w:rsidR="000F1B76" w:rsidRPr="00C82BBD">
        <w:rPr>
          <w:rFonts w:ascii="Garamond" w:hAnsi="Garamond"/>
        </w:rPr>
        <w:t xml:space="preserve"> other harms produced under prohibition</w:t>
      </w:r>
      <w:r w:rsidR="00465359" w:rsidRPr="00C82BBD">
        <w:rPr>
          <w:rFonts w:ascii="Garamond" w:hAnsi="Garamond"/>
        </w:rPr>
        <w:t>.</w:t>
      </w:r>
      <w:r w:rsidR="00364A4F" w:rsidRPr="00C82BBD">
        <w:rPr>
          <w:rFonts w:ascii="Garamond" w:hAnsi="Garamond"/>
        </w:rPr>
        <w:t xml:space="preserve"> </w:t>
      </w:r>
      <w:r w:rsidR="003F2867">
        <w:rPr>
          <w:rFonts w:ascii="Garamond" w:hAnsi="Garamond"/>
        </w:rPr>
        <w:t xml:space="preserve">Indeed, other analyses in this area may investigate conduct that appears uncaring, yet, interpretation is key here and take-home naloxone initiatives operate within social conditions that produce and restrain specific care practices, an </w:t>
      </w:r>
      <w:r w:rsidR="00095F1C">
        <w:rPr>
          <w:rFonts w:ascii="Garamond" w:hAnsi="Garamond"/>
        </w:rPr>
        <w:t>issue</w:t>
      </w:r>
      <w:r w:rsidR="003F2867">
        <w:rPr>
          <w:rFonts w:ascii="Garamond" w:hAnsi="Garamond"/>
        </w:rPr>
        <w:t xml:space="preserve"> requiring more research. </w:t>
      </w:r>
      <w:r w:rsidR="00465359" w:rsidRPr="00C82BBD">
        <w:rPr>
          <w:rFonts w:ascii="Garamond" w:hAnsi="Garamond"/>
        </w:rPr>
        <w:t>I</w:t>
      </w:r>
      <w:r w:rsidR="002F72DD" w:rsidRPr="00C82BBD">
        <w:rPr>
          <w:rFonts w:ascii="Garamond" w:hAnsi="Garamond"/>
        </w:rPr>
        <w:t>f a</w:t>
      </w:r>
      <w:r w:rsidR="00465359" w:rsidRPr="00C82BBD">
        <w:rPr>
          <w:rFonts w:ascii="Garamond" w:hAnsi="Garamond"/>
        </w:rPr>
        <w:t xml:space="preserve"> primary public health response to increasing overdose rates is to resource</w:t>
      </w:r>
      <w:r w:rsidR="00364A4F" w:rsidRPr="00C82BBD">
        <w:rPr>
          <w:rFonts w:ascii="Garamond" w:hAnsi="Garamond"/>
        </w:rPr>
        <w:t xml:space="preserve"> people who consume opioids </w:t>
      </w:r>
      <w:r w:rsidR="00465359" w:rsidRPr="00C82BBD">
        <w:rPr>
          <w:rFonts w:ascii="Garamond" w:hAnsi="Garamond"/>
        </w:rPr>
        <w:t xml:space="preserve">with naloxone and ask them to treat each other, </w:t>
      </w:r>
      <w:r w:rsidR="002F72DD" w:rsidRPr="00C82BBD">
        <w:rPr>
          <w:rFonts w:ascii="Garamond" w:hAnsi="Garamond"/>
        </w:rPr>
        <w:t xml:space="preserve">it could be that we </w:t>
      </w:r>
      <w:r w:rsidR="00465359" w:rsidRPr="00C82BBD">
        <w:rPr>
          <w:rFonts w:ascii="Garamond" w:hAnsi="Garamond"/>
        </w:rPr>
        <w:t xml:space="preserve">risk </w:t>
      </w:r>
      <w:r w:rsidR="00F3011C" w:rsidRPr="00C82BBD">
        <w:rPr>
          <w:rFonts w:ascii="Garamond" w:hAnsi="Garamond"/>
        </w:rPr>
        <w:t xml:space="preserve">ignoring </w:t>
      </w:r>
      <w:r w:rsidR="00465359" w:rsidRPr="00C82BBD">
        <w:rPr>
          <w:rFonts w:ascii="Garamond" w:hAnsi="Garamond"/>
        </w:rPr>
        <w:t>the</w:t>
      </w:r>
      <w:r w:rsidR="00364A4F" w:rsidRPr="00C82BBD">
        <w:rPr>
          <w:rFonts w:ascii="Garamond" w:hAnsi="Garamond"/>
        </w:rPr>
        <w:t xml:space="preserve"> contexts of </w:t>
      </w:r>
      <w:proofErr w:type="spellStart"/>
      <w:r w:rsidR="00364A4F" w:rsidRPr="00C82BBD">
        <w:rPr>
          <w:rFonts w:ascii="Garamond" w:hAnsi="Garamond"/>
        </w:rPr>
        <w:t>marginalisation</w:t>
      </w:r>
      <w:proofErr w:type="spellEnd"/>
      <w:r w:rsidR="00364A4F" w:rsidRPr="00C82BBD">
        <w:rPr>
          <w:rFonts w:ascii="Garamond" w:hAnsi="Garamond"/>
        </w:rPr>
        <w:t xml:space="preserve"> </w:t>
      </w:r>
      <w:r w:rsidR="00465359" w:rsidRPr="00C82BBD">
        <w:rPr>
          <w:rFonts w:ascii="Garamond" w:hAnsi="Garamond"/>
        </w:rPr>
        <w:t xml:space="preserve">in which the overdoses occur </w:t>
      </w:r>
      <w:r w:rsidR="002F72DD" w:rsidRPr="00C82BBD">
        <w:rPr>
          <w:rFonts w:ascii="Garamond" w:hAnsi="Garamond"/>
        </w:rPr>
        <w:t xml:space="preserve">in the first place, </w:t>
      </w:r>
      <w:r w:rsidR="00465359" w:rsidRPr="00C82BBD">
        <w:rPr>
          <w:rFonts w:ascii="Garamond" w:hAnsi="Garamond"/>
        </w:rPr>
        <w:t xml:space="preserve">and which </w:t>
      </w:r>
      <w:r w:rsidR="002F72DD" w:rsidRPr="00C82BBD">
        <w:rPr>
          <w:rFonts w:ascii="Garamond" w:hAnsi="Garamond"/>
        </w:rPr>
        <w:t xml:space="preserve">actually </w:t>
      </w:r>
      <w:r w:rsidR="00465359" w:rsidRPr="00C82BBD">
        <w:rPr>
          <w:rFonts w:ascii="Garamond" w:hAnsi="Garamond"/>
        </w:rPr>
        <w:t>facilitate them</w:t>
      </w:r>
      <w:r w:rsidR="002F72DD" w:rsidRPr="00C82BBD">
        <w:rPr>
          <w:rFonts w:ascii="Garamond" w:hAnsi="Garamond"/>
        </w:rPr>
        <w:t>. W</w:t>
      </w:r>
      <w:r w:rsidR="00364A4F" w:rsidRPr="00C82BBD">
        <w:rPr>
          <w:rFonts w:ascii="Garamond" w:hAnsi="Garamond"/>
        </w:rPr>
        <w:t>e</w:t>
      </w:r>
      <w:r w:rsidR="002F72DD" w:rsidRPr="00C82BBD">
        <w:rPr>
          <w:rFonts w:ascii="Garamond" w:hAnsi="Garamond"/>
        </w:rPr>
        <w:t xml:space="preserve"> might also</w:t>
      </w:r>
      <w:r w:rsidR="00364A4F" w:rsidRPr="00C82BBD">
        <w:rPr>
          <w:rFonts w:ascii="Garamond" w:hAnsi="Garamond"/>
        </w:rPr>
        <w:t xml:space="preserve"> risk justifying the </w:t>
      </w:r>
      <w:proofErr w:type="spellStart"/>
      <w:r w:rsidR="00364A4F" w:rsidRPr="00C82BBD">
        <w:rPr>
          <w:rFonts w:ascii="Garamond" w:hAnsi="Garamond"/>
        </w:rPr>
        <w:t>responsibilisation</w:t>
      </w:r>
      <w:proofErr w:type="spellEnd"/>
      <w:r w:rsidR="00364A4F" w:rsidRPr="00C82BBD">
        <w:rPr>
          <w:rFonts w:ascii="Garamond" w:hAnsi="Garamond"/>
        </w:rPr>
        <w:t xml:space="preserve"> of those with </w:t>
      </w:r>
      <w:r w:rsidR="002F72DD" w:rsidRPr="00C82BBD">
        <w:rPr>
          <w:rFonts w:ascii="Garamond" w:hAnsi="Garamond"/>
        </w:rPr>
        <w:t xml:space="preserve">relatively little </w:t>
      </w:r>
      <w:r w:rsidR="00364A4F" w:rsidRPr="00C82BBD">
        <w:rPr>
          <w:rFonts w:ascii="Garamond" w:hAnsi="Garamond"/>
        </w:rPr>
        <w:t xml:space="preserve">power </w:t>
      </w:r>
      <w:r w:rsidR="008823EE" w:rsidRPr="00C82BBD">
        <w:rPr>
          <w:rFonts w:ascii="Garamond" w:hAnsi="Garamond"/>
        </w:rPr>
        <w:t xml:space="preserve">and resources </w:t>
      </w:r>
      <w:r w:rsidR="00364A4F" w:rsidRPr="00C82BBD">
        <w:rPr>
          <w:rFonts w:ascii="Garamond" w:hAnsi="Garamond"/>
        </w:rPr>
        <w:t>to care (Farrugia, Fraser &amp; Dwyer 2017)</w:t>
      </w:r>
      <w:r w:rsidR="002F72DD" w:rsidRPr="00C82BBD">
        <w:rPr>
          <w:rFonts w:ascii="Garamond" w:hAnsi="Garamond"/>
        </w:rPr>
        <w:t xml:space="preserve">. These questions must not be neglected, but neither should the agency </w:t>
      </w:r>
      <w:r>
        <w:rPr>
          <w:rFonts w:ascii="Garamond" w:hAnsi="Garamond"/>
        </w:rPr>
        <w:t>of</w:t>
      </w:r>
      <w:r w:rsidRPr="00C82BBD">
        <w:rPr>
          <w:rFonts w:ascii="Garamond" w:hAnsi="Garamond"/>
        </w:rPr>
        <w:t xml:space="preserve"> </w:t>
      </w:r>
      <w:r w:rsidR="002F72DD" w:rsidRPr="00C82BBD">
        <w:rPr>
          <w:rFonts w:ascii="Garamond" w:hAnsi="Garamond"/>
        </w:rPr>
        <w:t xml:space="preserve">people who consume heroin and other </w:t>
      </w:r>
      <w:r w:rsidR="00D64B1B" w:rsidRPr="00C82BBD">
        <w:rPr>
          <w:rFonts w:ascii="Garamond" w:hAnsi="Garamond"/>
        </w:rPr>
        <w:t xml:space="preserve">licit and </w:t>
      </w:r>
      <w:r w:rsidR="002F72DD" w:rsidRPr="00C82BBD">
        <w:rPr>
          <w:rFonts w:ascii="Garamond" w:hAnsi="Garamond"/>
        </w:rPr>
        <w:t>illicit opioids</w:t>
      </w:r>
      <w:r>
        <w:rPr>
          <w:rFonts w:ascii="Garamond" w:hAnsi="Garamond"/>
        </w:rPr>
        <w:t>,</w:t>
      </w:r>
      <w:r w:rsidR="00B65F7F">
        <w:rPr>
          <w:rFonts w:ascii="Garamond" w:hAnsi="Garamond"/>
        </w:rPr>
        <w:t xml:space="preserve"> for whom naloxone is a way to directly intervene in overdoses and save lives</w:t>
      </w:r>
      <w:r w:rsidR="002F72DD" w:rsidRPr="00C82BBD">
        <w:rPr>
          <w:rFonts w:ascii="Garamond" w:hAnsi="Garamond"/>
        </w:rPr>
        <w:t>.</w:t>
      </w:r>
      <w:r w:rsidR="00364A4F" w:rsidRPr="00C82BBD">
        <w:rPr>
          <w:rFonts w:ascii="Garamond" w:hAnsi="Garamond"/>
        </w:rPr>
        <w:t xml:space="preserve"> </w:t>
      </w:r>
      <w:r w:rsidR="002F72DD" w:rsidRPr="00C82BBD">
        <w:rPr>
          <w:rFonts w:ascii="Garamond" w:hAnsi="Garamond"/>
        </w:rPr>
        <w:t>Perhaps instructive for those inclined to dismi</w:t>
      </w:r>
      <w:r w:rsidR="002128A8" w:rsidRPr="00C82BBD">
        <w:rPr>
          <w:rFonts w:ascii="Garamond" w:hAnsi="Garamond"/>
        </w:rPr>
        <w:t>ss people who consume heroin as</w:t>
      </w:r>
      <w:r w:rsidR="00F3011C" w:rsidRPr="00C82BBD">
        <w:rPr>
          <w:rFonts w:ascii="Garamond" w:hAnsi="Garamond"/>
        </w:rPr>
        <w:t xml:space="preserve"> socially disruptive</w:t>
      </w:r>
      <w:r w:rsidR="00163FFC" w:rsidRPr="00C82BBD">
        <w:rPr>
          <w:rFonts w:ascii="Garamond" w:hAnsi="Garamond"/>
        </w:rPr>
        <w:t xml:space="preserve"> and</w:t>
      </w:r>
      <w:r w:rsidR="00C05E4F" w:rsidRPr="00C82BBD">
        <w:rPr>
          <w:rFonts w:ascii="Garamond" w:hAnsi="Garamond"/>
        </w:rPr>
        <w:t xml:space="preserve"> uncaring</w:t>
      </w:r>
      <w:r w:rsidR="002F72DD" w:rsidRPr="00C82BBD">
        <w:rPr>
          <w:rFonts w:ascii="Garamond" w:hAnsi="Garamond"/>
        </w:rPr>
        <w:t xml:space="preserve">, </w:t>
      </w:r>
      <w:r w:rsidR="00364A4F" w:rsidRPr="00C82BBD">
        <w:rPr>
          <w:rFonts w:ascii="Garamond" w:hAnsi="Garamond"/>
        </w:rPr>
        <w:t>Dylan</w:t>
      </w:r>
      <w:r w:rsidR="002F72DD" w:rsidRPr="00C82BBD">
        <w:rPr>
          <w:rFonts w:ascii="Garamond" w:hAnsi="Garamond"/>
        </w:rPr>
        <w:t>’s overdose response techniques are highly considered,</w:t>
      </w:r>
      <w:r w:rsidR="00364A4F" w:rsidRPr="00C82BBD">
        <w:rPr>
          <w:rFonts w:ascii="Garamond" w:hAnsi="Garamond"/>
        </w:rPr>
        <w:t xml:space="preserve"> even in</w:t>
      </w:r>
      <w:r w:rsidR="002F72DD" w:rsidRPr="00C82BBD">
        <w:rPr>
          <w:rFonts w:ascii="Garamond" w:hAnsi="Garamond"/>
        </w:rPr>
        <w:t xml:space="preserve"> </w:t>
      </w:r>
      <w:r w:rsidR="00C05E4F" w:rsidRPr="00C82BBD">
        <w:rPr>
          <w:rFonts w:ascii="Garamond" w:hAnsi="Garamond"/>
        </w:rPr>
        <w:t xml:space="preserve">highly stressful </w:t>
      </w:r>
      <w:r w:rsidR="00364A4F" w:rsidRPr="00C82BBD">
        <w:rPr>
          <w:rFonts w:ascii="Garamond" w:hAnsi="Garamond"/>
        </w:rPr>
        <w:t xml:space="preserve">situations </w:t>
      </w:r>
      <w:r w:rsidR="002F72DD" w:rsidRPr="00C82BBD">
        <w:rPr>
          <w:rFonts w:ascii="Garamond" w:hAnsi="Garamond"/>
        </w:rPr>
        <w:t xml:space="preserve">that unfold </w:t>
      </w:r>
      <w:r w:rsidR="00364A4F" w:rsidRPr="00C82BBD">
        <w:rPr>
          <w:rFonts w:ascii="Garamond" w:hAnsi="Garamond"/>
        </w:rPr>
        <w:t>on the street</w:t>
      </w:r>
      <w:r w:rsidR="002F72DD" w:rsidRPr="00C82BBD">
        <w:rPr>
          <w:rFonts w:ascii="Garamond" w:hAnsi="Garamond"/>
        </w:rPr>
        <w:t>.</w:t>
      </w:r>
      <w:r w:rsidR="00526A96">
        <w:rPr>
          <w:rFonts w:ascii="Garamond" w:hAnsi="Garamond"/>
        </w:rPr>
        <w:t xml:space="preserve"> Even under difficult conditions, Dylan is able to put naloxone to work in such a way as to save lives </w:t>
      </w:r>
      <w:r w:rsidR="00526A96" w:rsidRPr="00C07218">
        <w:rPr>
          <w:rFonts w:ascii="Garamond" w:hAnsi="Garamond"/>
          <w:i/>
        </w:rPr>
        <w:t>and</w:t>
      </w:r>
      <w:r w:rsidR="00526A96">
        <w:rPr>
          <w:rFonts w:ascii="Garamond" w:hAnsi="Garamond"/>
        </w:rPr>
        <w:t xml:space="preserve"> take care of </w:t>
      </w:r>
      <w:r w:rsidR="00526A96">
        <w:rPr>
          <w:rFonts w:ascii="Garamond" w:hAnsi="Garamond"/>
        </w:rPr>
        <w:lastRenderedPageBreak/>
        <w:t>others in an explicitly political manner.</w:t>
      </w:r>
      <w:r w:rsidR="002F72DD" w:rsidRPr="00C82BBD">
        <w:rPr>
          <w:rFonts w:ascii="Garamond" w:hAnsi="Garamond"/>
        </w:rPr>
        <w:t xml:space="preserve"> His account suggests that, </w:t>
      </w:r>
      <w:r w:rsidR="00737DD8" w:rsidRPr="00C82BBD">
        <w:rPr>
          <w:rFonts w:ascii="Garamond" w:hAnsi="Garamond"/>
        </w:rPr>
        <w:t xml:space="preserve">when </w:t>
      </w:r>
      <w:r w:rsidR="002F72DD" w:rsidRPr="00C82BBD">
        <w:rPr>
          <w:rFonts w:ascii="Garamond" w:hAnsi="Garamond"/>
        </w:rPr>
        <w:t xml:space="preserve">informed by the necessary intentions, </w:t>
      </w:r>
      <w:r w:rsidR="00364A4F" w:rsidRPr="00C82BBD">
        <w:rPr>
          <w:rFonts w:ascii="Garamond" w:hAnsi="Garamond"/>
        </w:rPr>
        <w:t xml:space="preserve">a nuanced care practice is </w:t>
      </w:r>
      <w:r w:rsidR="00AA32BF" w:rsidRPr="00C82BBD">
        <w:rPr>
          <w:rFonts w:ascii="Garamond" w:hAnsi="Garamond"/>
        </w:rPr>
        <w:t xml:space="preserve">both </w:t>
      </w:r>
      <w:r w:rsidR="00364A4F" w:rsidRPr="00C82BBD">
        <w:rPr>
          <w:rFonts w:ascii="Garamond" w:hAnsi="Garamond"/>
        </w:rPr>
        <w:t>possible</w:t>
      </w:r>
      <w:r w:rsidR="00AA32BF" w:rsidRPr="00C82BBD">
        <w:rPr>
          <w:rFonts w:ascii="Garamond" w:hAnsi="Garamond"/>
        </w:rPr>
        <w:t xml:space="preserve"> and preferable</w:t>
      </w:r>
      <w:r w:rsidR="00A344CC" w:rsidRPr="00C82BBD">
        <w:rPr>
          <w:rFonts w:ascii="Garamond" w:hAnsi="Garamond"/>
        </w:rPr>
        <w:t>.</w:t>
      </w:r>
    </w:p>
    <w:p w14:paraId="7C28AF85" w14:textId="77777777" w:rsidR="008823EE" w:rsidRPr="00C82BBD" w:rsidRDefault="008823EE" w:rsidP="00C82BBD">
      <w:pPr>
        <w:spacing w:line="480" w:lineRule="auto"/>
        <w:rPr>
          <w:rFonts w:ascii="Garamond" w:hAnsi="Garamond"/>
        </w:rPr>
      </w:pPr>
    </w:p>
    <w:p w14:paraId="47CC1AB0" w14:textId="1230F3D5" w:rsidR="008823EE" w:rsidRPr="00C82BBD" w:rsidRDefault="008823EE" w:rsidP="00C82BBD">
      <w:pPr>
        <w:spacing w:line="480" w:lineRule="auto"/>
        <w:rPr>
          <w:rFonts w:ascii="Garamond" w:hAnsi="Garamond"/>
          <w:b/>
        </w:rPr>
      </w:pPr>
      <w:r w:rsidRPr="00C82BBD">
        <w:rPr>
          <w:rFonts w:ascii="Garamond" w:hAnsi="Garamond"/>
          <w:b/>
        </w:rPr>
        <w:t xml:space="preserve">Conclusion: Towards a politics of care </w:t>
      </w:r>
    </w:p>
    <w:p w14:paraId="4C28649C" w14:textId="43195B11" w:rsidR="00364A4F" w:rsidRPr="00C82BBD" w:rsidRDefault="00AA32BF" w:rsidP="00C82BBD">
      <w:pPr>
        <w:spacing w:line="480" w:lineRule="auto"/>
        <w:rPr>
          <w:rFonts w:ascii="Garamond" w:hAnsi="Garamond"/>
        </w:rPr>
      </w:pPr>
      <w:r w:rsidRPr="00C82BBD">
        <w:rPr>
          <w:rFonts w:ascii="Garamond" w:hAnsi="Garamond"/>
        </w:rPr>
        <w:t xml:space="preserve">In </w:t>
      </w:r>
      <w:r w:rsidR="00E649C9">
        <w:rPr>
          <w:rFonts w:ascii="Garamond" w:hAnsi="Garamond"/>
        </w:rPr>
        <w:t>our analysis</w:t>
      </w:r>
      <w:r w:rsidR="002F72DD" w:rsidRPr="00C82BBD">
        <w:rPr>
          <w:rFonts w:ascii="Garamond" w:hAnsi="Garamond"/>
        </w:rPr>
        <w:t xml:space="preserve"> we have argued that take-home naloxone is much more than </w:t>
      </w:r>
      <w:r w:rsidR="002E52C0" w:rsidRPr="00C82BBD">
        <w:rPr>
          <w:rFonts w:ascii="Garamond" w:hAnsi="Garamond"/>
        </w:rPr>
        <w:t xml:space="preserve">the provision of </w:t>
      </w:r>
      <w:r w:rsidR="002F72DD" w:rsidRPr="00C82BBD">
        <w:rPr>
          <w:rFonts w:ascii="Garamond" w:hAnsi="Garamond"/>
        </w:rPr>
        <w:t xml:space="preserve">a pharmaceutical drug that can be injected into a body to reverse overdose. In addressing larger questions about uptake and diffusion of the technology in Australia, we have sought to show that it </w:t>
      </w:r>
      <w:r w:rsidR="003257B4" w:rsidRPr="00C82BBD">
        <w:rPr>
          <w:rFonts w:ascii="Garamond" w:hAnsi="Garamond"/>
        </w:rPr>
        <w:t xml:space="preserve">allows </w:t>
      </w:r>
      <w:r w:rsidR="002F72DD" w:rsidRPr="00C82BBD">
        <w:rPr>
          <w:rFonts w:ascii="Garamond" w:hAnsi="Garamond"/>
        </w:rPr>
        <w:t>far more complex affordances than this, and that care is a key one.</w:t>
      </w:r>
      <w:r w:rsidR="00FA7286">
        <w:rPr>
          <w:rFonts w:ascii="Garamond" w:hAnsi="Garamond"/>
        </w:rPr>
        <w:t xml:space="preserve"> </w:t>
      </w:r>
      <w:r w:rsidR="008823EE" w:rsidRPr="00C82BBD">
        <w:rPr>
          <w:rFonts w:ascii="Garamond" w:hAnsi="Garamond"/>
        </w:rPr>
        <w:t>I</w:t>
      </w:r>
      <w:r w:rsidR="002F72DD" w:rsidRPr="00C82BBD">
        <w:rPr>
          <w:rFonts w:ascii="Garamond" w:hAnsi="Garamond"/>
        </w:rPr>
        <w:t>n making this argument i</w:t>
      </w:r>
      <w:r w:rsidR="00F2175E" w:rsidRPr="00C82BBD">
        <w:rPr>
          <w:rFonts w:ascii="Garamond" w:hAnsi="Garamond"/>
        </w:rPr>
        <w:t xml:space="preserve">t is not our intention to assert that </w:t>
      </w:r>
      <w:r w:rsidR="002F72DD" w:rsidRPr="00C82BBD">
        <w:rPr>
          <w:rFonts w:ascii="Garamond" w:hAnsi="Garamond"/>
        </w:rPr>
        <w:t xml:space="preserve">Gabrielle’s actions are widespread, or to </w:t>
      </w:r>
      <w:r w:rsidR="00F2175E" w:rsidRPr="00C82BBD">
        <w:rPr>
          <w:rFonts w:ascii="Garamond" w:hAnsi="Garamond"/>
        </w:rPr>
        <w:t xml:space="preserve">unreflexively </w:t>
      </w:r>
      <w:r w:rsidR="003257B4" w:rsidRPr="00C82BBD">
        <w:rPr>
          <w:rFonts w:ascii="Garamond" w:hAnsi="Garamond"/>
        </w:rPr>
        <w:t xml:space="preserve">accept </w:t>
      </w:r>
      <w:r w:rsidR="00F2175E" w:rsidRPr="00C82BBD">
        <w:rPr>
          <w:rFonts w:ascii="Garamond" w:hAnsi="Garamond"/>
        </w:rPr>
        <w:t>Dylan’s criticisms of paramedic</w:t>
      </w:r>
      <w:r w:rsidRPr="00C82BBD">
        <w:rPr>
          <w:rFonts w:ascii="Garamond" w:hAnsi="Garamond"/>
        </w:rPr>
        <w:t>s</w:t>
      </w:r>
      <w:r w:rsidR="00F2175E" w:rsidRPr="00C82BBD">
        <w:rPr>
          <w:rFonts w:ascii="Garamond" w:hAnsi="Garamond"/>
        </w:rPr>
        <w:t xml:space="preserve">. Rather, </w:t>
      </w:r>
      <w:r w:rsidRPr="00C82BBD">
        <w:rPr>
          <w:rFonts w:ascii="Garamond" w:hAnsi="Garamond"/>
        </w:rPr>
        <w:t>it is to approach take-home naloxone</w:t>
      </w:r>
      <w:r w:rsidR="00A85FF8" w:rsidRPr="00C82BBD">
        <w:rPr>
          <w:rFonts w:ascii="Garamond" w:hAnsi="Garamond"/>
        </w:rPr>
        <w:t xml:space="preserve"> in ways that do not divorce opioid overdose from the social relations that </w:t>
      </w:r>
      <w:r w:rsidRPr="00C82BBD">
        <w:rPr>
          <w:rFonts w:ascii="Garamond" w:hAnsi="Garamond"/>
        </w:rPr>
        <w:t xml:space="preserve">give rise to </w:t>
      </w:r>
      <w:r w:rsidR="00A85FF8" w:rsidRPr="00C82BBD">
        <w:rPr>
          <w:rFonts w:ascii="Garamond" w:hAnsi="Garamond"/>
        </w:rPr>
        <w:t>it.</w:t>
      </w:r>
      <w:r w:rsidR="00B65F7F" w:rsidRPr="00B65F7F">
        <w:rPr>
          <w:rFonts w:ascii="Garamond" w:hAnsi="Garamond"/>
        </w:rPr>
        <w:t xml:space="preserve"> </w:t>
      </w:r>
      <w:r w:rsidR="00244AB9">
        <w:rPr>
          <w:rFonts w:ascii="Garamond" w:hAnsi="Garamond"/>
        </w:rPr>
        <w:t xml:space="preserve">Feminist STS and other sociological research on health </w:t>
      </w:r>
      <w:r w:rsidR="003A697F">
        <w:rPr>
          <w:rFonts w:ascii="Garamond" w:hAnsi="Garamond"/>
        </w:rPr>
        <w:t xml:space="preserve">has </w:t>
      </w:r>
      <w:proofErr w:type="spellStart"/>
      <w:r w:rsidR="003A697F">
        <w:rPr>
          <w:rFonts w:ascii="Garamond" w:hAnsi="Garamond"/>
        </w:rPr>
        <w:t>analysed</w:t>
      </w:r>
      <w:proofErr w:type="spellEnd"/>
      <w:r w:rsidR="00244AB9">
        <w:rPr>
          <w:rFonts w:ascii="Garamond" w:hAnsi="Garamond"/>
        </w:rPr>
        <w:t xml:space="preserve"> the</w:t>
      </w:r>
      <w:r w:rsidR="00074869">
        <w:rPr>
          <w:rFonts w:ascii="Garamond" w:hAnsi="Garamond"/>
        </w:rPr>
        <w:t xml:space="preserve"> politics of</w:t>
      </w:r>
      <w:r w:rsidR="00244AB9">
        <w:rPr>
          <w:rFonts w:ascii="Garamond" w:hAnsi="Garamond"/>
        </w:rPr>
        <w:t xml:space="preserve"> the provision, uptake and experience of</w:t>
      </w:r>
      <w:r w:rsidR="00074869">
        <w:rPr>
          <w:rFonts w:ascii="Garamond" w:hAnsi="Garamond"/>
        </w:rPr>
        <w:t xml:space="preserve"> care in a range of contexts (e.g. Buse, Martin &amp; Nettleton 2018</w:t>
      </w:r>
      <w:r w:rsidR="00244AB9">
        <w:rPr>
          <w:rFonts w:ascii="Garamond" w:hAnsi="Garamond"/>
        </w:rPr>
        <w:t xml:space="preserve">, </w:t>
      </w:r>
      <w:r w:rsidR="00244AB9" w:rsidRPr="00C82BBD">
        <w:rPr>
          <w:rFonts w:ascii="Garamond" w:hAnsi="Garamond"/>
        </w:rPr>
        <w:t xml:space="preserve">Puig de la </w:t>
      </w:r>
      <w:proofErr w:type="spellStart"/>
      <w:r w:rsidR="00244AB9" w:rsidRPr="00C82BBD">
        <w:rPr>
          <w:rFonts w:ascii="Garamond" w:hAnsi="Garamond"/>
        </w:rPr>
        <w:t>Bellacasa</w:t>
      </w:r>
      <w:proofErr w:type="spellEnd"/>
      <w:r w:rsidR="00244AB9" w:rsidRPr="00C82BBD">
        <w:rPr>
          <w:rFonts w:ascii="Garamond" w:hAnsi="Garamond"/>
        </w:rPr>
        <w:t xml:space="preserve"> 2017</w:t>
      </w:r>
      <w:r w:rsidR="00244AB9">
        <w:rPr>
          <w:rFonts w:ascii="Garamond" w:hAnsi="Garamond"/>
        </w:rPr>
        <w:t xml:space="preserve">, </w:t>
      </w:r>
      <w:r w:rsidR="003146F9">
        <w:rPr>
          <w:rFonts w:ascii="Garamond" w:hAnsi="Garamond"/>
        </w:rPr>
        <w:t xml:space="preserve">Gill, </w:t>
      </w:r>
      <w:r w:rsidR="00244AB9">
        <w:rPr>
          <w:rFonts w:ascii="Garamond" w:hAnsi="Garamond"/>
        </w:rPr>
        <w:t xml:space="preserve">Singleton &amp; </w:t>
      </w:r>
      <w:r w:rsidR="003146F9">
        <w:rPr>
          <w:rFonts w:ascii="Garamond" w:hAnsi="Garamond"/>
        </w:rPr>
        <w:t>Waterton</w:t>
      </w:r>
      <w:r w:rsidR="00244AB9">
        <w:rPr>
          <w:rFonts w:ascii="Garamond" w:hAnsi="Garamond"/>
        </w:rPr>
        <w:t xml:space="preserve">, 2017). This </w:t>
      </w:r>
      <w:r w:rsidR="003E7A22">
        <w:rPr>
          <w:rFonts w:ascii="Garamond" w:hAnsi="Garamond"/>
        </w:rPr>
        <w:t xml:space="preserve">rich area of scholarship </w:t>
      </w:r>
      <w:proofErr w:type="spellStart"/>
      <w:r w:rsidR="00244AB9">
        <w:rPr>
          <w:rFonts w:ascii="Garamond" w:hAnsi="Garamond"/>
        </w:rPr>
        <w:t>emphasises</w:t>
      </w:r>
      <w:proofErr w:type="spellEnd"/>
      <w:r w:rsidR="00244AB9">
        <w:rPr>
          <w:rFonts w:ascii="Garamond" w:hAnsi="Garamond"/>
        </w:rPr>
        <w:t xml:space="preserve"> that care is a multiple, complex and contested concept </w:t>
      </w:r>
      <w:r w:rsidR="003A697F">
        <w:rPr>
          <w:rFonts w:ascii="Garamond" w:hAnsi="Garamond"/>
        </w:rPr>
        <w:t>that</w:t>
      </w:r>
      <w:r w:rsidR="00244AB9">
        <w:rPr>
          <w:rFonts w:ascii="Garamond" w:hAnsi="Garamond"/>
        </w:rPr>
        <w:t xml:space="preserve"> cannot be approached as a stable practice or experience</w:t>
      </w:r>
      <w:r w:rsidR="000E34DF">
        <w:rPr>
          <w:rFonts w:ascii="Garamond" w:hAnsi="Garamond"/>
        </w:rPr>
        <w:t xml:space="preserve"> (Latimer 2018)</w:t>
      </w:r>
      <w:r w:rsidR="00244AB9">
        <w:rPr>
          <w:rFonts w:ascii="Garamond" w:hAnsi="Garamond"/>
        </w:rPr>
        <w:t>.</w:t>
      </w:r>
      <w:r w:rsidR="00074869">
        <w:rPr>
          <w:rFonts w:ascii="Garamond" w:hAnsi="Garamond"/>
        </w:rPr>
        <w:t xml:space="preserve"> </w:t>
      </w:r>
      <w:r w:rsidR="00B65F7F">
        <w:rPr>
          <w:rFonts w:ascii="Garamond" w:hAnsi="Garamond"/>
        </w:rPr>
        <w:t xml:space="preserve">By introducing care into an analysis of this technology </w:t>
      </w:r>
      <w:r w:rsidR="00244AB9">
        <w:rPr>
          <w:rFonts w:ascii="Garamond" w:hAnsi="Garamond"/>
        </w:rPr>
        <w:t xml:space="preserve">specifically </w:t>
      </w:r>
      <w:r w:rsidR="00B65F7F">
        <w:rPr>
          <w:rFonts w:ascii="Garamond" w:hAnsi="Garamond"/>
        </w:rPr>
        <w:t xml:space="preserve">we </w:t>
      </w:r>
      <w:proofErr w:type="spellStart"/>
      <w:r w:rsidR="00B65F7F">
        <w:rPr>
          <w:rFonts w:ascii="Garamond" w:hAnsi="Garamond"/>
        </w:rPr>
        <w:t>emphasise</w:t>
      </w:r>
      <w:proofErr w:type="spellEnd"/>
      <w:r w:rsidR="00B65F7F">
        <w:rPr>
          <w:rFonts w:ascii="Garamond" w:hAnsi="Garamond"/>
        </w:rPr>
        <w:t xml:space="preserve"> that naloxone offers new possibilities for action that co-produce the practical and ethical frameworks of existence for people who consume opioids, their families and friends</w:t>
      </w:r>
      <w:r w:rsidR="00F62361">
        <w:rPr>
          <w:rFonts w:ascii="Garamond" w:hAnsi="Garamond"/>
        </w:rPr>
        <w:t>.</w:t>
      </w:r>
      <w:r w:rsidR="00B65F7F">
        <w:rPr>
          <w:rFonts w:ascii="Garamond" w:hAnsi="Garamond"/>
        </w:rPr>
        <w:t xml:space="preserve"> These affordances also have implications for the ethical frames governing alcohol and other drug research, policy and health professionals’ practices</w:t>
      </w:r>
      <w:r w:rsidR="00F62361">
        <w:rPr>
          <w:rFonts w:ascii="Garamond" w:hAnsi="Garamond"/>
        </w:rPr>
        <w:t xml:space="preserve"> (Latour 2002, Mol 2008)</w:t>
      </w:r>
      <w:r w:rsidR="00B65F7F">
        <w:rPr>
          <w:rFonts w:ascii="Garamond" w:hAnsi="Garamond"/>
        </w:rPr>
        <w:t>.</w:t>
      </w:r>
      <w:r w:rsidR="00A85FF8" w:rsidRPr="00C82BBD">
        <w:rPr>
          <w:rFonts w:ascii="Garamond" w:hAnsi="Garamond"/>
        </w:rPr>
        <w:t xml:space="preserve"> </w:t>
      </w:r>
      <w:r w:rsidRPr="00C82BBD">
        <w:rPr>
          <w:rFonts w:ascii="Garamond" w:hAnsi="Garamond"/>
        </w:rPr>
        <w:t>To this end,</w:t>
      </w:r>
      <w:r w:rsidR="005D00A2" w:rsidRPr="00C82BBD">
        <w:rPr>
          <w:rFonts w:ascii="Garamond" w:hAnsi="Garamond"/>
        </w:rPr>
        <w:t xml:space="preserve"> drawing these cases together,</w:t>
      </w:r>
      <w:r w:rsidRPr="00C82BBD">
        <w:rPr>
          <w:rFonts w:ascii="Garamond" w:hAnsi="Garamond"/>
        </w:rPr>
        <w:t xml:space="preserve"> we have developed a</w:t>
      </w:r>
      <w:r w:rsidR="007F0516" w:rsidRPr="00C82BBD">
        <w:rPr>
          <w:rFonts w:ascii="Garamond" w:hAnsi="Garamond"/>
        </w:rPr>
        <w:t xml:space="preserve"> politics of care approach </w:t>
      </w:r>
      <w:r w:rsidRPr="00C82BBD">
        <w:rPr>
          <w:rFonts w:ascii="Garamond" w:hAnsi="Garamond"/>
        </w:rPr>
        <w:t>to</w:t>
      </w:r>
      <w:r w:rsidR="007F0516" w:rsidRPr="00C82BBD">
        <w:rPr>
          <w:rFonts w:ascii="Garamond" w:hAnsi="Garamond"/>
        </w:rPr>
        <w:t xml:space="preserve"> </w:t>
      </w:r>
      <w:proofErr w:type="spellStart"/>
      <w:r w:rsidR="007F0516" w:rsidRPr="00C82BBD">
        <w:rPr>
          <w:rFonts w:ascii="Garamond" w:hAnsi="Garamond"/>
        </w:rPr>
        <w:t>analysing</w:t>
      </w:r>
      <w:proofErr w:type="spellEnd"/>
      <w:r w:rsidR="007F0516" w:rsidRPr="00C82BBD">
        <w:rPr>
          <w:rFonts w:ascii="Garamond" w:hAnsi="Garamond"/>
        </w:rPr>
        <w:t xml:space="preserve"> the multiple affordances of take-home naloxone present </w:t>
      </w:r>
      <w:r w:rsidR="00A85FF8" w:rsidRPr="00C82BBD">
        <w:rPr>
          <w:rFonts w:ascii="Garamond" w:hAnsi="Garamond"/>
        </w:rPr>
        <w:t xml:space="preserve">in the accounts of our participants. The dynamics </w:t>
      </w:r>
      <w:r w:rsidR="000F1B76" w:rsidRPr="00C82BBD">
        <w:rPr>
          <w:rFonts w:ascii="Garamond" w:hAnsi="Garamond"/>
        </w:rPr>
        <w:t>mapped in this article</w:t>
      </w:r>
      <w:r w:rsidRPr="00C82BBD">
        <w:rPr>
          <w:rFonts w:ascii="Garamond" w:hAnsi="Garamond"/>
        </w:rPr>
        <w:t xml:space="preserve"> via the politics of care </w:t>
      </w:r>
      <w:r w:rsidR="00A85FF8" w:rsidRPr="00C82BBD">
        <w:rPr>
          <w:rFonts w:ascii="Garamond" w:hAnsi="Garamond"/>
        </w:rPr>
        <w:t xml:space="preserve">have </w:t>
      </w:r>
      <w:r w:rsidR="003D797C" w:rsidRPr="00C82BBD">
        <w:rPr>
          <w:rFonts w:ascii="Garamond" w:hAnsi="Garamond"/>
        </w:rPr>
        <w:t>at least three</w:t>
      </w:r>
      <w:r w:rsidR="00A85FF8" w:rsidRPr="00C82BBD">
        <w:rPr>
          <w:rFonts w:ascii="Garamond" w:hAnsi="Garamond"/>
        </w:rPr>
        <w:t xml:space="preserve"> implications</w:t>
      </w:r>
      <w:r w:rsidRPr="00C82BBD">
        <w:rPr>
          <w:rFonts w:ascii="Garamond" w:hAnsi="Garamond"/>
        </w:rPr>
        <w:t xml:space="preserve"> for policy, practice and service provision</w:t>
      </w:r>
      <w:r w:rsidR="00E649C9">
        <w:rPr>
          <w:rFonts w:ascii="Garamond" w:hAnsi="Garamond"/>
        </w:rPr>
        <w:t>.</w:t>
      </w:r>
    </w:p>
    <w:p w14:paraId="308DB819" w14:textId="40E965C9" w:rsidR="00980D0E" w:rsidRPr="00C82BBD" w:rsidRDefault="003D797C" w:rsidP="00C82BBD">
      <w:pPr>
        <w:pStyle w:val="ListParagraph"/>
        <w:numPr>
          <w:ilvl w:val="0"/>
          <w:numId w:val="3"/>
        </w:numPr>
        <w:autoSpaceDE w:val="0"/>
        <w:autoSpaceDN w:val="0"/>
        <w:adjustRightInd w:val="0"/>
        <w:spacing w:line="480" w:lineRule="auto"/>
        <w:contextualSpacing w:val="0"/>
        <w:rPr>
          <w:rFonts w:ascii="Garamond" w:hAnsi="Garamond" w:cs="AdvP7B6C"/>
          <w:sz w:val="22"/>
          <w:szCs w:val="22"/>
        </w:rPr>
      </w:pPr>
      <w:r w:rsidRPr="00C82BBD">
        <w:rPr>
          <w:rFonts w:ascii="Garamond" w:hAnsi="Garamond" w:cs="AdvP7B6C"/>
          <w:sz w:val="22"/>
          <w:szCs w:val="22"/>
        </w:rPr>
        <w:t xml:space="preserve">A politics of care approach to administration </w:t>
      </w:r>
      <w:r w:rsidR="00294A5A" w:rsidRPr="00C82BBD">
        <w:rPr>
          <w:rFonts w:ascii="Garamond" w:hAnsi="Garamond" w:cs="AdvP7B6C"/>
          <w:sz w:val="22"/>
          <w:szCs w:val="22"/>
        </w:rPr>
        <w:t xml:space="preserve">may </w:t>
      </w:r>
      <w:r w:rsidR="00980D0E" w:rsidRPr="00C82BBD">
        <w:rPr>
          <w:rFonts w:ascii="Garamond" w:hAnsi="Garamond" w:cs="AdvP7B6C"/>
          <w:sz w:val="22"/>
          <w:szCs w:val="22"/>
        </w:rPr>
        <w:t>not only improve</w:t>
      </w:r>
      <w:r w:rsidR="00AA32BF" w:rsidRPr="00C82BBD">
        <w:rPr>
          <w:rFonts w:ascii="Garamond" w:hAnsi="Garamond" w:cs="AdvP7B6C"/>
          <w:sz w:val="22"/>
          <w:szCs w:val="22"/>
        </w:rPr>
        <w:t xml:space="preserve"> individual</w:t>
      </w:r>
      <w:r w:rsidR="00980D0E" w:rsidRPr="00C82BBD">
        <w:rPr>
          <w:rFonts w:ascii="Garamond" w:hAnsi="Garamond" w:cs="AdvP7B6C"/>
          <w:sz w:val="22"/>
          <w:szCs w:val="22"/>
        </w:rPr>
        <w:t xml:space="preserve"> </w:t>
      </w:r>
      <w:r w:rsidR="00AA32BF" w:rsidRPr="00C82BBD">
        <w:rPr>
          <w:rFonts w:ascii="Garamond" w:hAnsi="Garamond" w:cs="AdvP7B6C"/>
          <w:sz w:val="22"/>
          <w:szCs w:val="22"/>
        </w:rPr>
        <w:t>experiences of</w:t>
      </w:r>
      <w:r w:rsidR="00980D0E" w:rsidRPr="00C82BBD">
        <w:rPr>
          <w:rFonts w:ascii="Garamond" w:hAnsi="Garamond" w:cs="AdvP7B6C"/>
          <w:sz w:val="22"/>
          <w:szCs w:val="22"/>
        </w:rPr>
        <w:t xml:space="preserve"> reviv</w:t>
      </w:r>
      <w:r w:rsidR="00AA32BF" w:rsidRPr="00C82BBD">
        <w:rPr>
          <w:rFonts w:ascii="Garamond" w:hAnsi="Garamond" w:cs="AdvP7B6C"/>
          <w:sz w:val="22"/>
          <w:szCs w:val="22"/>
        </w:rPr>
        <w:t xml:space="preserve">al </w:t>
      </w:r>
      <w:r w:rsidR="00980D0E" w:rsidRPr="00C82BBD">
        <w:rPr>
          <w:rFonts w:ascii="Garamond" w:hAnsi="Garamond" w:cs="AdvP7B6C"/>
          <w:sz w:val="22"/>
          <w:szCs w:val="22"/>
        </w:rPr>
        <w:t>but m</w:t>
      </w:r>
      <w:r w:rsidR="008823EE" w:rsidRPr="00C82BBD">
        <w:rPr>
          <w:rFonts w:ascii="Garamond" w:hAnsi="Garamond" w:cs="AdvP7B6C"/>
          <w:sz w:val="22"/>
          <w:szCs w:val="22"/>
        </w:rPr>
        <w:t>a</w:t>
      </w:r>
      <w:r w:rsidR="00980D0E" w:rsidRPr="00C82BBD">
        <w:rPr>
          <w:rFonts w:ascii="Garamond" w:hAnsi="Garamond" w:cs="AdvP7B6C"/>
          <w:sz w:val="22"/>
          <w:szCs w:val="22"/>
        </w:rPr>
        <w:t xml:space="preserve">y </w:t>
      </w:r>
      <w:r w:rsidR="007F0516" w:rsidRPr="00C82BBD">
        <w:rPr>
          <w:rFonts w:ascii="Garamond" w:hAnsi="Garamond" w:cs="AdvP7B6C"/>
          <w:sz w:val="22"/>
          <w:szCs w:val="22"/>
        </w:rPr>
        <w:t>advance</w:t>
      </w:r>
      <w:r w:rsidR="00980D0E" w:rsidRPr="00C82BBD">
        <w:rPr>
          <w:rFonts w:ascii="Garamond" w:hAnsi="Garamond" w:cs="AdvP7B6C"/>
          <w:sz w:val="22"/>
          <w:szCs w:val="22"/>
        </w:rPr>
        <w:t xml:space="preserve"> </w:t>
      </w:r>
      <w:r w:rsidR="001F2B06" w:rsidRPr="00C82BBD">
        <w:rPr>
          <w:rFonts w:ascii="Garamond" w:hAnsi="Garamond" w:cs="AdvP7B6C"/>
          <w:sz w:val="22"/>
          <w:szCs w:val="22"/>
        </w:rPr>
        <w:t>naloxone’s reputation</w:t>
      </w:r>
      <w:r w:rsidR="00700A65">
        <w:rPr>
          <w:rFonts w:ascii="Garamond" w:hAnsi="Garamond" w:cs="AdvP7B6C"/>
          <w:sz w:val="22"/>
          <w:szCs w:val="22"/>
        </w:rPr>
        <w:t xml:space="preserve"> and</w:t>
      </w:r>
      <w:r w:rsidR="00980D0E" w:rsidRPr="00C82BBD">
        <w:rPr>
          <w:rFonts w:ascii="Garamond" w:hAnsi="Garamond" w:cs="AdvP7B6C"/>
          <w:sz w:val="22"/>
          <w:szCs w:val="22"/>
        </w:rPr>
        <w:t xml:space="preserve"> encourage uptake</w:t>
      </w:r>
      <w:r w:rsidR="00D64B1B" w:rsidRPr="00C82BBD">
        <w:rPr>
          <w:rFonts w:ascii="Garamond" w:hAnsi="Garamond" w:cs="AdvP7B6C"/>
          <w:sz w:val="22"/>
          <w:szCs w:val="22"/>
        </w:rPr>
        <w:t xml:space="preserve"> (Strang et al. 2018)</w:t>
      </w:r>
      <w:r w:rsidR="00980D0E" w:rsidRPr="00C82BBD">
        <w:rPr>
          <w:rFonts w:ascii="Garamond" w:hAnsi="Garamond" w:cs="AdvP7B6C"/>
          <w:sz w:val="22"/>
          <w:szCs w:val="22"/>
        </w:rPr>
        <w:t xml:space="preserve">. </w:t>
      </w:r>
    </w:p>
    <w:p w14:paraId="09F526D4" w14:textId="7D93FE4A" w:rsidR="00294A5A" w:rsidRPr="00C82BBD" w:rsidRDefault="00294A5A" w:rsidP="00C82BBD">
      <w:pPr>
        <w:pStyle w:val="ListParagraph"/>
        <w:numPr>
          <w:ilvl w:val="0"/>
          <w:numId w:val="3"/>
        </w:numPr>
        <w:autoSpaceDE w:val="0"/>
        <w:autoSpaceDN w:val="0"/>
        <w:adjustRightInd w:val="0"/>
        <w:spacing w:after="160" w:line="480" w:lineRule="auto"/>
        <w:contextualSpacing w:val="0"/>
        <w:rPr>
          <w:rFonts w:ascii="Garamond" w:hAnsi="Garamond"/>
          <w:sz w:val="22"/>
          <w:szCs w:val="22"/>
        </w:rPr>
      </w:pPr>
      <w:r w:rsidRPr="00C82BBD">
        <w:rPr>
          <w:rFonts w:ascii="Garamond" w:hAnsi="Garamond" w:cs="AdvP7B6C"/>
          <w:sz w:val="22"/>
          <w:szCs w:val="22"/>
        </w:rPr>
        <w:t>A politics of care approach emphasises</w:t>
      </w:r>
      <w:r w:rsidR="00980D0E" w:rsidRPr="00C82BBD">
        <w:rPr>
          <w:rFonts w:ascii="Garamond" w:hAnsi="Garamond" w:cs="AdvP7B6C"/>
          <w:sz w:val="22"/>
          <w:szCs w:val="22"/>
        </w:rPr>
        <w:t xml:space="preserve"> social relations </w:t>
      </w:r>
      <w:r w:rsidRPr="00C82BBD">
        <w:rPr>
          <w:rFonts w:ascii="Garamond" w:hAnsi="Garamond" w:cs="AdvP7B6C"/>
          <w:sz w:val="22"/>
          <w:szCs w:val="22"/>
        </w:rPr>
        <w:t xml:space="preserve">which is </w:t>
      </w:r>
      <w:r w:rsidR="00980D0E" w:rsidRPr="00C82BBD">
        <w:rPr>
          <w:rFonts w:ascii="Garamond" w:hAnsi="Garamond" w:cs="AdvP7B6C"/>
          <w:sz w:val="22"/>
          <w:szCs w:val="22"/>
        </w:rPr>
        <w:t xml:space="preserve">especially important in </w:t>
      </w:r>
      <w:r w:rsidR="00AA32BF" w:rsidRPr="00C82BBD">
        <w:rPr>
          <w:rFonts w:ascii="Garamond" w:hAnsi="Garamond" w:cs="AdvP7B6C"/>
          <w:sz w:val="22"/>
          <w:szCs w:val="22"/>
        </w:rPr>
        <w:t xml:space="preserve">a </w:t>
      </w:r>
      <w:r w:rsidR="00980D0E" w:rsidRPr="00C82BBD">
        <w:rPr>
          <w:rFonts w:ascii="Garamond" w:hAnsi="Garamond" w:cs="AdvP7B6C"/>
          <w:sz w:val="22"/>
          <w:szCs w:val="22"/>
        </w:rPr>
        <w:t xml:space="preserve">context in which </w:t>
      </w:r>
      <w:r w:rsidR="00AA32BF" w:rsidRPr="00C82BBD">
        <w:rPr>
          <w:rFonts w:ascii="Garamond" w:hAnsi="Garamond" w:cs="AdvP7B6C"/>
          <w:sz w:val="22"/>
          <w:szCs w:val="22"/>
        </w:rPr>
        <w:t xml:space="preserve">those affected </w:t>
      </w:r>
      <w:r w:rsidR="00980D0E" w:rsidRPr="00C82BBD">
        <w:rPr>
          <w:rFonts w:ascii="Garamond" w:hAnsi="Garamond" w:cs="AdvP7B6C"/>
          <w:sz w:val="22"/>
          <w:szCs w:val="22"/>
        </w:rPr>
        <w:t>are heavily stigmatised</w:t>
      </w:r>
      <w:r w:rsidR="001946FC">
        <w:rPr>
          <w:rFonts w:ascii="Garamond" w:hAnsi="Garamond" w:cs="AdvP7B6C"/>
          <w:sz w:val="22"/>
          <w:szCs w:val="22"/>
        </w:rPr>
        <w:t xml:space="preserve"> and</w:t>
      </w:r>
      <w:r w:rsidR="00980D0E" w:rsidRPr="00C82BBD">
        <w:rPr>
          <w:rFonts w:ascii="Garamond" w:hAnsi="Garamond" w:cs="AdvP7B6C"/>
          <w:sz w:val="22"/>
          <w:szCs w:val="22"/>
        </w:rPr>
        <w:t xml:space="preserve"> constituted as </w:t>
      </w:r>
      <w:r w:rsidR="00AA32BF" w:rsidRPr="00C82BBD">
        <w:rPr>
          <w:rFonts w:ascii="Garamond" w:hAnsi="Garamond" w:cs="AdvP7B6C"/>
          <w:sz w:val="22"/>
          <w:szCs w:val="22"/>
        </w:rPr>
        <w:t>lacking</w:t>
      </w:r>
      <w:r w:rsidR="00980D0E" w:rsidRPr="00C82BBD">
        <w:rPr>
          <w:rFonts w:ascii="Garamond" w:hAnsi="Garamond" w:cs="AdvP7B6C"/>
          <w:sz w:val="22"/>
          <w:szCs w:val="22"/>
        </w:rPr>
        <w:t xml:space="preserve"> meaningful </w:t>
      </w:r>
      <w:r w:rsidRPr="00C82BBD">
        <w:rPr>
          <w:rFonts w:ascii="Garamond" w:hAnsi="Garamond" w:cs="AdvP7B6C"/>
          <w:sz w:val="22"/>
          <w:szCs w:val="22"/>
        </w:rPr>
        <w:t>relationships</w:t>
      </w:r>
      <w:r w:rsidR="007541DC" w:rsidRPr="00C82BBD">
        <w:rPr>
          <w:rFonts w:ascii="Garamond" w:hAnsi="Garamond" w:cs="AdvP7B6C"/>
          <w:sz w:val="22"/>
          <w:szCs w:val="22"/>
        </w:rPr>
        <w:t xml:space="preserve"> (Fomiatti, Moore &amp; Fraser 2017)</w:t>
      </w:r>
      <w:r w:rsidR="003D797C" w:rsidRPr="00C82BBD">
        <w:rPr>
          <w:rFonts w:ascii="Garamond" w:hAnsi="Garamond" w:cs="AdvP7B6C"/>
          <w:sz w:val="22"/>
          <w:szCs w:val="22"/>
        </w:rPr>
        <w:t xml:space="preserve">. </w:t>
      </w:r>
    </w:p>
    <w:p w14:paraId="5E78D301" w14:textId="3B32E2B7" w:rsidR="00FA2140" w:rsidRPr="00C82BBD" w:rsidRDefault="000070F4" w:rsidP="00C82BBD">
      <w:pPr>
        <w:pStyle w:val="ListParagraph"/>
        <w:numPr>
          <w:ilvl w:val="0"/>
          <w:numId w:val="3"/>
        </w:numPr>
        <w:autoSpaceDE w:val="0"/>
        <w:autoSpaceDN w:val="0"/>
        <w:adjustRightInd w:val="0"/>
        <w:spacing w:after="160" w:line="480" w:lineRule="auto"/>
        <w:contextualSpacing w:val="0"/>
        <w:rPr>
          <w:rFonts w:ascii="Garamond" w:hAnsi="Garamond"/>
          <w:sz w:val="22"/>
          <w:szCs w:val="22"/>
        </w:rPr>
      </w:pPr>
      <w:r w:rsidRPr="00C82BBD">
        <w:rPr>
          <w:rFonts w:ascii="Garamond" w:hAnsi="Garamond" w:cs="AdvP7B6C"/>
          <w:sz w:val="22"/>
          <w:szCs w:val="22"/>
        </w:rPr>
        <w:lastRenderedPageBreak/>
        <w:t>A politics of care</w:t>
      </w:r>
      <w:r w:rsidR="00980D0E" w:rsidRPr="00C82BBD">
        <w:rPr>
          <w:rFonts w:ascii="Garamond" w:hAnsi="Garamond"/>
          <w:sz w:val="22"/>
          <w:szCs w:val="22"/>
        </w:rPr>
        <w:t xml:space="preserve"> approach holds political issues of marginalisation, material resourc</w:t>
      </w:r>
      <w:r w:rsidR="00AA32BF" w:rsidRPr="00C82BBD">
        <w:rPr>
          <w:rFonts w:ascii="Garamond" w:hAnsi="Garamond"/>
          <w:sz w:val="22"/>
          <w:szCs w:val="22"/>
        </w:rPr>
        <w:t>ing</w:t>
      </w:r>
      <w:r w:rsidR="00980D0E" w:rsidRPr="00C82BBD">
        <w:rPr>
          <w:rFonts w:ascii="Garamond" w:hAnsi="Garamond"/>
          <w:sz w:val="22"/>
          <w:szCs w:val="22"/>
        </w:rPr>
        <w:t xml:space="preserve"> and stigma at the centre of analysis. </w:t>
      </w:r>
      <w:r w:rsidR="00904590" w:rsidRPr="00C82BBD">
        <w:rPr>
          <w:rFonts w:ascii="Garamond" w:hAnsi="Garamond"/>
          <w:sz w:val="22"/>
          <w:szCs w:val="22"/>
        </w:rPr>
        <w:t xml:space="preserve">This is </w:t>
      </w:r>
      <w:r w:rsidR="008823EE" w:rsidRPr="00C82BBD">
        <w:rPr>
          <w:rFonts w:ascii="Garamond" w:hAnsi="Garamond"/>
          <w:sz w:val="22"/>
          <w:szCs w:val="22"/>
        </w:rPr>
        <w:t>critical</w:t>
      </w:r>
      <w:r w:rsidR="00904590" w:rsidRPr="00C82BBD">
        <w:rPr>
          <w:rFonts w:ascii="Garamond" w:hAnsi="Garamond"/>
          <w:sz w:val="22"/>
          <w:szCs w:val="22"/>
        </w:rPr>
        <w:t xml:space="preserve"> for any response to opioid overdose</w:t>
      </w:r>
      <w:r w:rsidR="00B6022E" w:rsidRPr="00C82BBD">
        <w:rPr>
          <w:rFonts w:ascii="Garamond" w:hAnsi="Garamond"/>
          <w:sz w:val="22"/>
          <w:szCs w:val="22"/>
        </w:rPr>
        <w:t xml:space="preserve"> in that</w:t>
      </w:r>
      <w:r w:rsidR="00904590" w:rsidRPr="00C82BBD">
        <w:rPr>
          <w:rFonts w:ascii="Garamond" w:hAnsi="Garamond"/>
          <w:sz w:val="22"/>
          <w:szCs w:val="22"/>
        </w:rPr>
        <w:t xml:space="preserve"> broad changes are required to </w:t>
      </w:r>
      <w:r w:rsidR="000F1B76" w:rsidRPr="00C82BBD">
        <w:rPr>
          <w:rFonts w:ascii="Garamond" w:hAnsi="Garamond"/>
          <w:sz w:val="22"/>
          <w:szCs w:val="22"/>
        </w:rPr>
        <w:t>address the social arrangements that</w:t>
      </w:r>
      <w:r w:rsidR="00B6022E" w:rsidRPr="00C82BBD">
        <w:rPr>
          <w:rFonts w:ascii="Garamond" w:hAnsi="Garamond"/>
          <w:sz w:val="22"/>
          <w:szCs w:val="22"/>
        </w:rPr>
        <w:t xml:space="preserve"> both</w:t>
      </w:r>
      <w:r w:rsidR="000F1B76" w:rsidRPr="00C82BBD">
        <w:rPr>
          <w:rFonts w:ascii="Garamond" w:hAnsi="Garamond"/>
          <w:sz w:val="22"/>
          <w:szCs w:val="22"/>
        </w:rPr>
        <w:t xml:space="preserve"> produce </w:t>
      </w:r>
      <w:r w:rsidR="00302E26" w:rsidRPr="00C82BBD">
        <w:rPr>
          <w:rFonts w:ascii="Garamond" w:hAnsi="Garamond"/>
          <w:sz w:val="22"/>
          <w:szCs w:val="22"/>
        </w:rPr>
        <w:t>overdose risk</w:t>
      </w:r>
      <w:r w:rsidR="00B6022E" w:rsidRPr="00C82BBD">
        <w:rPr>
          <w:rFonts w:ascii="Garamond" w:hAnsi="Garamond"/>
          <w:sz w:val="22"/>
          <w:szCs w:val="22"/>
        </w:rPr>
        <w:t xml:space="preserve"> and deter </w:t>
      </w:r>
      <w:r w:rsidR="002345E1" w:rsidRPr="00C82BBD">
        <w:rPr>
          <w:rFonts w:ascii="Garamond" w:hAnsi="Garamond"/>
          <w:sz w:val="22"/>
          <w:szCs w:val="22"/>
        </w:rPr>
        <w:t xml:space="preserve">naloxone </w:t>
      </w:r>
      <w:r w:rsidR="00B6022E" w:rsidRPr="00C82BBD">
        <w:rPr>
          <w:rFonts w:ascii="Garamond" w:hAnsi="Garamond"/>
          <w:sz w:val="22"/>
          <w:szCs w:val="22"/>
        </w:rPr>
        <w:t>use</w:t>
      </w:r>
      <w:r w:rsidR="00904590" w:rsidRPr="00C82BBD">
        <w:rPr>
          <w:rFonts w:ascii="Garamond" w:hAnsi="Garamond"/>
          <w:sz w:val="22"/>
          <w:szCs w:val="22"/>
        </w:rPr>
        <w:t xml:space="preserve">. </w:t>
      </w:r>
    </w:p>
    <w:p w14:paraId="2AB1C019" w14:textId="5960359A" w:rsidR="0041742C" w:rsidRDefault="000042DE" w:rsidP="00C82BBD">
      <w:pPr>
        <w:autoSpaceDE w:val="0"/>
        <w:autoSpaceDN w:val="0"/>
        <w:adjustRightInd w:val="0"/>
        <w:spacing w:before="100" w:beforeAutospacing="1" w:line="480" w:lineRule="auto"/>
        <w:rPr>
          <w:rFonts w:ascii="Garamond" w:hAnsi="Garamond"/>
          <w:color w:val="000000"/>
        </w:rPr>
      </w:pPr>
      <w:r w:rsidRPr="00C82BBD">
        <w:rPr>
          <w:rFonts w:ascii="Garamond" w:hAnsi="Garamond"/>
        </w:rPr>
        <w:t xml:space="preserve">As </w:t>
      </w:r>
      <w:r w:rsidRPr="00C82BBD">
        <w:rPr>
          <w:rFonts w:ascii="Garamond" w:hAnsi="Garamond" w:cs="AdvP7B6C"/>
        </w:rPr>
        <w:t xml:space="preserve">Martin, Myers &amp; </w:t>
      </w:r>
      <w:proofErr w:type="spellStart"/>
      <w:r w:rsidRPr="00C82BBD">
        <w:rPr>
          <w:rFonts w:ascii="Garamond" w:hAnsi="Garamond" w:cs="AdvP7B6C"/>
        </w:rPr>
        <w:t>Viseu</w:t>
      </w:r>
      <w:proofErr w:type="spellEnd"/>
      <w:r w:rsidRPr="00C82BBD">
        <w:rPr>
          <w:rFonts w:ascii="Garamond" w:hAnsi="Garamond" w:cs="AdvP7B6C"/>
        </w:rPr>
        <w:t xml:space="preserve"> (2015) </w:t>
      </w:r>
      <w:r w:rsidRPr="00C82BBD">
        <w:rPr>
          <w:rFonts w:ascii="Garamond" w:hAnsi="Garamond"/>
        </w:rPr>
        <w:t>remind us, ‘</w:t>
      </w:r>
      <w:r w:rsidRPr="00C82BBD">
        <w:rPr>
          <w:rFonts w:ascii="Garamond" w:hAnsi="Garamond" w:cs="AdvP7B6C"/>
        </w:rPr>
        <w:t>care is not only a practice and an outward action but al</w:t>
      </w:r>
      <w:r w:rsidR="007F0516" w:rsidRPr="00C82BBD">
        <w:rPr>
          <w:rFonts w:ascii="Garamond" w:hAnsi="Garamond" w:cs="AdvP7B6C"/>
        </w:rPr>
        <w:t>so a willingness to respond’ (</w:t>
      </w:r>
      <w:r w:rsidRPr="00C82BBD">
        <w:rPr>
          <w:rFonts w:ascii="Garamond" w:hAnsi="Garamond" w:cs="AdvP7B6C"/>
        </w:rPr>
        <w:t>634).</w:t>
      </w:r>
      <w:r w:rsidRPr="00C82BBD">
        <w:rPr>
          <w:rFonts w:ascii="Garamond" w:hAnsi="Garamond" w:cs="AdvP7B6C"/>
          <w:b/>
        </w:rPr>
        <w:t xml:space="preserve"> </w:t>
      </w:r>
      <w:r w:rsidRPr="00C82BBD">
        <w:rPr>
          <w:rFonts w:ascii="Garamond" w:hAnsi="Garamond" w:cs="AdvP7B6C"/>
        </w:rPr>
        <w:t>Gabrielle and Dylan respond carefully to the ways opioid overdose</w:t>
      </w:r>
      <w:r w:rsidR="00302E26" w:rsidRPr="00C82BBD">
        <w:rPr>
          <w:rFonts w:ascii="Garamond" w:hAnsi="Garamond" w:cs="AdvP7B6C"/>
        </w:rPr>
        <w:t>s</w:t>
      </w:r>
      <w:r w:rsidRPr="00C82BBD">
        <w:rPr>
          <w:rFonts w:ascii="Garamond" w:hAnsi="Garamond" w:cs="AdvP7B6C"/>
        </w:rPr>
        <w:t xml:space="preserve"> emerge in their lives and the multiple affordances take-home naloxone offers to reduce </w:t>
      </w:r>
      <w:r w:rsidR="00B6022E" w:rsidRPr="00C82BBD">
        <w:rPr>
          <w:rFonts w:ascii="Garamond" w:hAnsi="Garamond" w:cs="AdvP7B6C"/>
        </w:rPr>
        <w:t>suffering and avert death</w:t>
      </w:r>
      <w:r w:rsidRPr="00C82BBD">
        <w:rPr>
          <w:rFonts w:ascii="Garamond" w:hAnsi="Garamond" w:cs="AdvP7B6C"/>
        </w:rPr>
        <w:t xml:space="preserve">. A politics of care approach </w:t>
      </w:r>
      <w:r w:rsidR="00074869">
        <w:rPr>
          <w:rFonts w:ascii="Garamond" w:hAnsi="Garamond" w:cs="AdvP7B6C"/>
        </w:rPr>
        <w:t xml:space="preserve">to take-home naloxone </w:t>
      </w:r>
      <w:r w:rsidRPr="00C82BBD">
        <w:rPr>
          <w:rFonts w:ascii="Garamond" w:hAnsi="Garamond" w:cs="AdvP7B6C"/>
        </w:rPr>
        <w:t>may also encourage overdose respons</w:t>
      </w:r>
      <w:r w:rsidR="00F63397" w:rsidRPr="00C82BBD">
        <w:rPr>
          <w:rFonts w:ascii="Garamond" w:hAnsi="Garamond" w:cs="AdvP7B6C"/>
        </w:rPr>
        <w:t>e strategies that</w:t>
      </w:r>
      <w:r w:rsidR="00A17F61" w:rsidRPr="00C82BBD">
        <w:rPr>
          <w:rFonts w:ascii="Garamond" w:hAnsi="Garamond" w:cs="AdvP7B6C"/>
        </w:rPr>
        <w:t xml:space="preserve"> work within</w:t>
      </w:r>
      <w:r w:rsidR="00F63397" w:rsidRPr="00C82BBD">
        <w:rPr>
          <w:rFonts w:ascii="Garamond" w:hAnsi="Garamond" w:cs="AdvP7B6C"/>
        </w:rPr>
        <w:t xml:space="preserve"> reciprocal interpersonal relations and obligations and reduce the likelihood that naloxone is </w:t>
      </w:r>
      <w:r w:rsidR="00302E26" w:rsidRPr="00C82BBD">
        <w:rPr>
          <w:rFonts w:ascii="Garamond" w:hAnsi="Garamond" w:cs="AdvP7B6C"/>
        </w:rPr>
        <w:t>experienced as uncaring</w:t>
      </w:r>
      <w:r w:rsidR="00F63397" w:rsidRPr="00C82BBD">
        <w:rPr>
          <w:rFonts w:ascii="Garamond" w:hAnsi="Garamond" w:cs="AdvP7B6C"/>
        </w:rPr>
        <w:t xml:space="preserve">. </w:t>
      </w:r>
      <w:r w:rsidR="00F63397" w:rsidRPr="00C82BBD">
        <w:rPr>
          <w:rFonts w:ascii="Garamond" w:hAnsi="Garamond"/>
        </w:rPr>
        <w:t xml:space="preserve">Care and </w:t>
      </w:r>
      <w:r w:rsidR="00B6022E" w:rsidRPr="00C82BBD">
        <w:rPr>
          <w:rFonts w:ascii="Garamond" w:hAnsi="Garamond"/>
        </w:rPr>
        <w:t xml:space="preserve">the </w:t>
      </w:r>
      <w:r w:rsidR="00F63397" w:rsidRPr="00C82BBD">
        <w:rPr>
          <w:rFonts w:ascii="Garamond" w:hAnsi="Garamond"/>
        </w:rPr>
        <w:t>saving</w:t>
      </w:r>
      <w:r w:rsidR="00B6022E" w:rsidRPr="00C82BBD">
        <w:rPr>
          <w:rFonts w:ascii="Garamond" w:hAnsi="Garamond"/>
        </w:rPr>
        <w:t xml:space="preserve"> of</w:t>
      </w:r>
      <w:r w:rsidR="00F63397" w:rsidRPr="00C82BBD">
        <w:rPr>
          <w:rFonts w:ascii="Garamond" w:hAnsi="Garamond"/>
        </w:rPr>
        <w:t xml:space="preserve"> lives are of course co-produced concerns</w:t>
      </w:r>
      <w:r w:rsidR="00B6022E" w:rsidRPr="00C82BBD">
        <w:rPr>
          <w:rFonts w:ascii="Garamond" w:hAnsi="Garamond"/>
        </w:rPr>
        <w:t>,</w:t>
      </w:r>
      <w:r w:rsidR="00F63397" w:rsidRPr="00C82BBD">
        <w:rPr>
          <w:rFonts w:ascii="Garamond" w:hAnsi="Garamond"/>
        </w:rPr>
        <w:t xml:space="preserve"> and in emergency situations </w:t>
      </w:r>
      <w:r w:rsidR="003257B4" w:rsidRPr="00C82BBD">
        <w:rPr>
          <w:rFonts w:ascii="Garamond" w:hAnsi="Garamond"/>
        </w:rPr>
        <w:t>ways of</w:t>
      </w:r>
      <w:r w:rsidR="00F63397" w:rsidRPr="00C82BBD">
        <w:rPr>
          <w:rFonts w:ascii="Garamond" w:hAnsi="Garamond"/>
        </w:rPr>
        <w:t xml:space="preserve"> enact</w:t>
      </w:r>
      <w:r w:rsidR="003257B4" w:rsidRPr="00C82BBD">
        <w:rPr>
          <w:rFonts w:ascii="Garamond" w:hAnsi="Garamond"/>
        </w:rPr>
        <w:t>ing them</w:t>
      </w:r>
      <w:r w:rsidR="00F63397" w:rsidRPr="00C82BBD">
        <w:rPr>
          <w:rFonts w:ascii="Garamond" w:hAnsi="Garamond"/>
        </w:rPr>
        <w:t xml:space="preserve"> may be limited.</w:t>
      </w:r>
      <w:r w:rsidR="00980D0E" w:rsidRPr="00C82BBD">
        <w:rPr>
          <w:rFonts w:ascii="Garamond" w:hAnsi="Garamond"/>
        </w:rPr>
        <w:t xml:space="preserve"> </w:t>
      </w:r>
      <w:r w:rsidR="00B6022E" w:rsidRPr="00C82BBD">
        <w:rPr>
          <w:rFonts w:ascii="Garamond" w:hAnsi="Garamond"/>
        </w:rPr>
        <w:t>Here w</w:t>
      </w:r>
      <w:r w:rsidR="00980D0E" w:rsidRPr="00C82BBD">
        <w:rPr>
          <w:rFonts w:ascii="Garamond" w:hAnsi="Garamond"/>
        </w:rPr>
        <w:t xml:space="preserve">e </w:t>
      </w:r>
      <w:proofErr w:type="spellStart"/>
      <w:r w:rsidR="00980D0E" w:rsidRPr="00C82BBD">
        <w:rPr>
          <w:rFonts w:ascii="Garamond" w:hAnsi="Garamond"/>
        </w:rPr>
        <w:t>emphasise</w:t>
      </w:r>
      <w:proofErr w:type="spellEnd"/>
      <w:r w:rsidR="00980D0E" w:rsidRPr="00C82BBD">
        <w:rPr>
          <w:rFonts w:ascii="Garamond" w:hAnsi="Garamond"/>
        </w:rPr>
        <w:t xml:space="preserve"> the multiplicity of take-home naloxone and its </w:t>
      </w:r>
      <w:r w:rsidR="00B6022E" w:rsidRPr="00C82BBD">
        <w:rPr>
          <w:rFonts w:ascii="Garamond" w:hAnsi="Garamond"/>
        </w:rPr>
        <w:t>many engagements in</w:t>
      </w:r>
      <w:r w:rsidR="00980D0E" w:rsidRPr="00C82BBD">
        <w:rPr>
          <w:rFonts w:ascii="Garamond" w:hAnsi="Garamond"/>
        </w:rPr>
        <w:t xml:space="preserve"> relations of care</w:t>
      </w:r>
      <w:r w:rsidR="00B6022E" w:rsidRPr="00C82BBD">
        <w:rPr>
          <w:rFonts w:ascii="Garamond" w:hAnsi="Garamond"/>
        </w:rPr>
        <w:t>,</w:t>
      </w:r>
      <w:r w:rsidR="00980D0E" w:rsidRPr="00C82BBD">
        <w:rPr>
          <w:rFonts w:ascii="Garamond" w:hAnsi="Garamond"/>
        </w:rPr>
        <w:t xml:space="preserve"> and interpersonal relations more generally</w:t>
      </w:r>
      <w:r w:rsidR="00B6022E" w:rsidRPr="00C82BBD">
        <w:rPr>
          <w:rFonts w:ascii="Garamond" w:hAnsi="Garamond"/>
        </w:rPr>
        <w:t xml:space="preserve">. </w:t>
      </w:r>
      <w:r w:rsidR="0041742C" w:rsidRPr="00C82BBD">
        <w:rPr>
          <w:rFonts w:ascii="Garamond" w:hAnsi="Garamond"/>
          <w:color w:val="000000"/>
        </w:rPr>
        <w:t>In this way we hope to increase sensitivity to the capacity for technologies such as take-home naloxone to afford caring by and for all people, including those involved in overdose events.</w:t>
      </w:r>
    </w:p>
    <w:p w14:paraId="5916BE42" w14:textId="77777777" w:rsidR="008B202A" w:rsidRPr="00C82BBD" w:rsidRDefault="008B202A" w:rsidP="00C82BBD">
      <w:pPr>
        <w:autoSpaceDE w:val="0"/>
        <w:autoSpaceDN w:val="0"/>
        <w:adjustRightInd w:val="0"/>
        <w:spacing w:before="100" w:beforeAutospacing="1" w:line="480" w:lineRule="auto"/>
        <w:rPr>
          <w:rFonts w:ascii="Garamond" w:hAnsi="Garamond"/>
          <w:color w:val="000000"/>
          <w:lang w:val="en-AU"/>
        </w:rPr>
      </w:pPr>
    </w:p>
    <w:p w14:paraId="5603C836" w14:textId="325A4B55" w:rsidR="003E6E2C" w:rsidRDefault="00694012" w:rsidP="00C82BBD">
      <w:pPr>
        <w:autoSpaceDE w:val="0"/>
        <w:autoSpaceDN w:val="0"/>
        <w:adjustRightInd w:val="0"/>
        <w:spacing w:after="0" w:line="480" w:lineRule="auto"/>
        <w:rPr>
          <w:rFonts w:ascii="Garamond" w:hAnsi="Garamond"/>
          <w:b/>
        </w:rPr>
      </w:pPr>
      <w:r>
        <w:rPr>
          <w:rFonts w:ascii="Garamond" w:hAnsi="Garamond"/>
          <w:b/>
        </w:rPr>
        <w:t>Acknowledgements</w:t>
      </w:r>
    </w:p>
    <w:p w14:paraId="6A136BA7" w14:textId="69856315" w:rsidR="008B202A" w:rsidRDefault="00694012" w:rsidP="00694012">
      <w:pPr>
        <w:autoSpaceDE w:val="0"/>
        <w:autoSpaceDN w:val="0"/>
        <w:adjustRightInd w:val="0"/>
        <w:spacing w:after="0" w:line="360" w:lineRule="auto"/>
        <w:rPr>
          <w:rFonts w:ascii="Garamond" w:hAnsi="Garamond" w:cs="AdvP7B6C"/>
          <w:lang w:val="en-AU"/>
        </w:rPr>
      </w:pPr>
      <w:r w:rsidRPr="00694012">
        <w:rPr>
          <w:rFonts w:ascii="Garamond" w:hAnsi="Garamond"/>
        </w:rPr>
        <w:t xml:space="preserve">We wish to express our thanks to the participants who gave so generously of their time, insights and experiences. </w:t>
      </w:r>
      <w:r w:rsidRPr="00694012">
        <w:rPr>
          <w:rFonts w:ascii="Garamond" w:hAnsi="Garamond" w:cs="AdvP7B6C"/>
          <w:lang w:val="en-AU"/>
        </w:rPr>
        <w:t xml:space="preserve">This work was supported by an Australian Research Council Discovery Project grant (DP170101669). The National Drug Research Institute is supported by funding from the Australian Government under the Substance Misuse Prevention and Service Improvement Grants Fund. </w:t>
      </w:r>
      <w:r w:rsidR="008B202A">
        <w:rPr>
          <w:rFonts w:ascii="Garamond" w:hAnsi="Garamond" w:cs="AdvP7B6C"/>
          <w:lang w:val="en-AU"/>
        </w:rPr>
        <w:t>The interviews were conducted by Adrian Farrugia, Renae Fomiatti and Jeanne Ellard. Thanks go too to the two anonymous reviewers</w:t>
      </w:r>
      <w:r w:rsidR="002067EF">
        <w:rPr>
          <w:rFonts w:ascii="Garamond" w:hAnsi="Garamond" w:cs="AdvP7B6C"/>
          <w:lang w:val="en-AU"/>
        </w:rPr>
        <w:t xml:space="preserve"> and journal editor</w:t>
      </w:r>
      <w:r w:rsidR="00FC25A8">
        <w:rPr>
          <w:rFonts w:ascii="Garamond" w:hAnsi="Garamond" w:cs="AdvP7B6C"/>
          <w:lang w:val="en-AU"/>
        </w:rPr>
        <w:t>ial team</w:t>
      </w:r>
      <w:r w:rsidR="008B202A">
        <w:rPr>
          <w:rFonts w:ascii="Garamond" w:hAnsi="Garamond" w:cs="AdvP7B6C"/>
          <w:lang w:val="en-AU"/>
        </w:rPr>
        <w:t xml:space="preserve"> whose comments helped improve the article.</w:t>
      </w:r>
    </w:p>
    <w:p w14:paraId="114E6B9E" w14:textId="77777777" w:rsidR="008B202A" w:rsidRDefault="008B202A" w:rsidP="00694012">
      <w:pPr>
        <w:autoSpaceDE w:val="0"/>
        <w:autoSpaceDN w:val="0"/>
        <w:adjustRightInd w:val="0"/>
        <w:spacing w:after="0" w:line="360" w:lineRule="auto"/>
        <w:rPr>
          <w:rFonts w:ascii="Garamond" w:hAnsi="Garamond" w:cs="AdvP7B6C"/>
          <w:lang w:val="en-AU"/>
        </w:rPr>
      </w:pPr>
    </w:p>
    <w:p w14:paraId="068F8413" w14:textId="77777777" w:rsidR="008B202A" w:rsidRDefault="008B202A" w:rsidP="00694012">
      <w:pPr>
        <w:autoSpaceDE w:val="0"/>
        <w:autoSpaceDN w:val="0"/>
        <w:adjustRightInd w:val="0"/>
        <w:spacing w:after="0" w:line="360" w:lineRule="auto"/>
        <w:rPr>
          <w:rFonts w:ascii="Garamond" w:hAnsi="Garamond" w:cs="AdvP7B6C"/>
          <w:b/>
          <w:lang w:val="en-AU"/>
        </w:rPr>
      </w:pPr>
      <w:r>
        <w:rPr>
          <w:rFonts w:ascii="Garamond" w:hAnsi="Garamond" w:cs="AdvP7B6C"/>
          <w:b/>
          <w:lang w:val="en-AU"/>
        </w:rPr>
        <w:t>Conflicts of interest</w:t>
      </w:r>
    </w:p>
    <w:p w14:paraId="36A0280D" w14:textId="715DA772" w:rsidR="008B202A" w:rsidRPr="00A657A8" w:rsidRDefault="008B202A" w:rsidP="008B202A">
      <w:pPr>
        <w:spacing w:line="360" w:lineRule="auto"/>
        <w:rPr>
          <w:rFonts w:ascii="Garamond" w:eastAsia="Times New Roman" w:hAnsi="Garamond" w:cs="Arial"/>
        </w:rPr>
      </w:pPr>
      <w:r w:rsidRPr="00A657A8">
        <w:rPr>
          <w:rFonts w:ascii="Garamond" w:hAnsi="Garamond" w:cs="Times New Roman"/>
          <w:color w:val="000000"/>
        </w:rPr>
        <w:t>Joanne Neale is part-funded by the National Institute for Health Research (NIHR) Biomedical Research Centre for Mental Health at South London and Maudsley NHS Foundation Trust and King's College London. The views expressed are those of the authors and not necessarily those of the NHS, the NIHR, or the Department of Health.</w:t>
      </w:r>
      <w:r>
        <w:rPr>
          <w:rFonts w:ascii="Garamond" w:hAnsi="Garamond" w:cs="Times New Roman"/>
          <w:color w:val="000000"/>
        </w:rPr>
        <w:t xml:space="preserve"> </w:t>
      </w:r>
      <w:r w:rsidRPr="00A657A8">
        <w:rPr>
          <w:rFonts w:ascii="Garamond" w:hAnsi="Garamond" w:cs="Arial"/>
        </w:rPr>
        <w:t xml:space="preserve">Paul Dietze has been appointed as an unpaid member of the Australian </w:t>
      </w:r>
      <w:proofErr w:type="spellStart"/>
      <w:r w:rsidRPr="00A657A8">
        <w:rPr>
          <w:rFonts w:ascii="Garamond" w:hAnsi="Garamond" w:cs="Arial"/>
        </w:rPr>
        <w:t>Mundipharma</w:t>
      </w:r>
      <w:proofErr w:type="spellEnd"/>
      <w:r w:rsidRPr="00A657A8">
        <w:rPr>
          <w:rFonts w:ascii="Garamond" w:hAnsi="Garamond" w:cs="Arial"/>
        </w:rPr>
        <w:t xml:space="preserve"> Advisory Board for an intranasal naloxone formulation. P</w:t>
      </w:r>
      <w:r>
        <w:rPr>
          <w:rFonts w:ascii="Garamond" w:hAnsi="Garamond" w:cs="Arial"/>
        </w:rPr>
        <w:t xml:space="preserve">aul </w:t>
      </w:r>
      <w:r w:rsidRPr="00A657A8">
        <w:rPr>
          <w:rFonts w:ascii="Garamond" w:hAnsi="Garamond" w:cs="Arial"/>
        </w:rPr>
        <w:t>D</w:t>
      </w:r>
      <w:r>
        <w:rPr>
          <w:rFonts w:ascii="Garamond" w:hAnsi="Garamond" w:cs="Arial"/>
        </w:rPr>
        <w:t>ietze</w:t>
      </w:r>
      <w:r w:rsidRPr="00A657A8">
        <w:rPr>
          <w:rFonts w:ascii="Garamond" w:hAnsi="Garamond" w:cs="Arial"/>
        </w:rPr>
        <w:t xml:space="preserve"> has received investigator-driven funding from Gilead Sciences Inc. for work related to hepatitis C treatment and an </w:t>
      </w:r>
      <w:r w:rsidRPr="00A657A8">
        <w:rPr>
          <w:rFonts w:ascii="Garamond" w:hAnsi="Garamond" w:cs="Arial"/>
        </w:rPr>
        <w:lastRenderedPageBreak/>
        <w:t>untied educational grant from Indivior for work related to the introduction of buprenorphine/naloxone into Australia.</w:t>
      </w:r>
      <w:r w:rsidRPr="008B202A">
        <w:rPr>
          <w:rFonts w:ascii="Garamond" w:hAnsi="Garamond" w:cs="Arial"/>
          <w:color w:val="000000"/>
        </w:rPr>
        <w:t xml:space="preserve"> </w:t>
      </w:r>
      <w:r w:rsidRPr="00A657A8">
        <w:rPr>
          <w:rFonts w:ascii="Garamond" w:hAnsi="Garamond" w:cs="Arial"/>
          <w:color w:val="000000"/>
        </w:rPr>
        <w:t xml:space="preserve">Through his university, </w:t>
      </w:r>
      <w:r>
        <w:rPr>
          <w:rFonts w:ascii="Garamond" w:hAnsi="Garamond" w:cs="Arial"/>
          <w:color w:val="000000"/>
        </w:rPr>
        <w:t>John Strang</w:t>
      </w:r>
      <w:r w:rsidRPr="00A657A8">
        <w:rPr>
          <w:rFonts w:ascii="Garamond" w:hAnsi="Garamond" w:cs="Arial"/>
          <w:color w:val="000000"/>
        </w:rPr>
        <w:t xml:space="preserve"> is working with pharmaceutical industry to identify new or improved treatments and his employer (King’s College London) has received grants, travel costs and/or consultancy payments; this includes investigation of new naloxone formulations and has included work with, past 3 years, Martindale, Indivior, </w:t>
      </w:r>
      <w:proofErr w:type="spellStart"/>
      <w:r w:rsidRPr="00A657A8">
        <w:rPr>
          <w:rFonts w:ascii="Garamond" w:hAnsi="Garamond" w:cs="Arial"/>
          <w:color w:val="000000"/>
        </w:rPr>
        <w:t>Mundipharma</w:t>
      </w:r>
      <w:proofErr w:type="spellEnd"/>
      <w:r w:rsidRPr="00A657A8">
        <w:rPr>
          <w:rFonts w:ascii="Garamond" w:hAnsi="Garamond" w:cs="Arial"/>
          <w:color w:val="000000"/>
        </w:rPr>
        <w:t xml:space="preserve"> (all of whom have naloxone products). His employer (King’s College London) has also registered intellectual property on a novel buccal naloxone formulation, naming J</w:t>
      </w:r>
      <w:r>
        <w:rPr>
          <w:rFonts w:ascii="Garamond" w:hAnsi="Garamond" w:cs="Arial"/>
          <w:color w:val="000000"/>
        </w:rPr>
        <w:t xml:space="preserve">ohn </w:t>
      </w:r>
      <w:r w:rsidRPr="00A657A8">
        <w:rPr>
          <w:rFonts w:ascii="Garamond" w:hAnsi="Garamond" w:cs="Arial"/>
          <w:color w:val="000000"/>
        </w:rPr>
        <w:t>S</w:t>
      </w:r>
      <w:r>
        <w:rPr>
          <w:rFonts w:ascii="Garamond" w:hAnsi="Garamond" w:cs="Arial"/>
          <w:color w:val="000000"/>
        </w:rPr>
        <w:t>trang</w:t>
      </w:r>
      <w:r w:rsidRPr="00A657A8">
        <w:rPr>
          <w:rFonts w:ascii="Garamond" w:hAnsi="Garamond" w:cs="Arial"/>
          <w:color w:val="000000"/>
        </w:rPr>
        <w:t xml:space="preserve"> and colleagues, and he was earlier named in a patent registration by a pharmaceutical company regarding concentrated nasal naloxone spray. J</w:t>
      </w:r>
      <w:r>
        <w:rPr>
          <w:rFonts w:ascii="Garamond" w:hAnsi="Garamond" w:cs="Arial"/>
          <w:color w:val="000000"/>
        </w:rPr>
        <w:t xml:space="preserve">ohn </w:t>
      </w:r>
      <w:r w:rsidRPr="00A657A8">
        <w:rPr>
          <w:rFonts w:ascii="Garamond" w:hAnsi="Garamond" w:cs="Arial"/>
          <w:color w:val="000000"/>
        </w:rPr>
        <w:t>S</w:t>
      </w:r>
      <w:r>
        <w:rPr>
          <w:rFonts w:ascii="Garamond" w:hAnsi="Garamond" w:cs="Arial"/>
          <w:color w:val="000000"/>
        </w:rPr>
        <w:t>tran</w:t>
      </w:r>
      <w:r w:rsidR="00A94294">
        <w:rPr>
          <w:rFonts w:ascii="Garamond" w:hAnsi="Garamond" w:cs="Arial"/>
          <w:color w:val="000000"/>
        </w:rPr>
        <w:t>g</w:t>
      </w:r>
      <w:r w:rsidRPr="00A657A8">
        <w:rPr>
          <w:rFonts w:ascii="Garamond" w:hAnsi="Garamond" w:cs="Arial"/>
          <w:color w:val="000000"/>
        </w:rPr>
        <w:t xml:space="preserve"> and colleagues have worked as consultants for the United Nations Office on Drugs and Crime, supporting them with a project introducing take-home naloxone to four central and western Asian countries.</w:t>
      </w:r>
      <w:r w:rsidRPr="00A657A8">
        <w:rPr>
          <w:rFonts w:ascii="Garamond" w:eastAsia="Times New Roman" w:hAnsi="Garamond" w:cs="Arial"/>
        </w:rPr>
        <w:t xml:space="preserve"> </w:t>
      </w:r>
    </w:p>
    <w:p w14:paraId="0DB0A305" w14:textId="77777777" w:rsidR="008B202A" w:rsidRPr="00A657A8" w:rsidRDefault="008B202A" w:rsidP="008B202A">
      <w:pPr>
        <w:spacing w:line="240" w:lineRule="auto"/>
        <w:rPr>
          <w:rFonts w:ascii="Garamond" w:hAnsi="Garamond" w:cs="Arial"/>
        </w:rPr>
      </w:pPr>
    </w:p>
    <w:p w14:paraId="5621B59B" w14:textId="63995DCE" w:rsidR="008B202A" w:rsidRPr="00A657A8" w:rsidRDefault="008B202A" w:rsidP="008B202A">
      <w:pPr>
        <w:spacing w:line="240" w:lineRule="auto"/>
        <w:rPr>
          <w:rFonts w:ascii="Garamond" w:hAnsi="Garamond" w:cs="Times New Roman"/>
          <w:color w:val="000000"/>
        </w:rPr>
      </w:pPr>
    </w:p>
    <w:p w14:paraId="74018333" w14:textId="4ACA8373" w:rsidR="00723C6E" w:rsidRPr="00694012" w:rsidRDefault="008B202A" w:rsidP="00694012">
      <w:pPr>
        <w:autoSpaceDE w:val="0"/>
        <w:autoSpaceDN w:val="0"/>
        <w:adjustRightInd w:val="0"/>
        <w:spacing w:after="0" w:line="360" w:lineRule="auto"/>
        <w:rPr>
          <w:rFonts w:ascii="Garamond" w:hAnsi="Garamond"/>
          <w:b/>
        </w:rPr>
      </w:pPr>
      <w:r>
        <w:rPr>
          <w:rFonts w:ascii="Garamond" w:hAnsi="Garamond" w:cs="AdvP7B6C"/>
          <w:lang w:val="en-AU"/>
        </w:rPr>
        <w:t xml:space="preserve"> </w:t>
      </w:r>
      <w:r w:rsidR="00723C6E" w:rsidRPr="00694012">
        <w:rPr>
          <w:rFonts w:ascii="Garamond" w:hAnsi="Garamond"/>
          <w:b/>
        </w:rPr>
        <w:br w:type="page"/>
      </w:r>
    </w:p>
    <w:p w14:paraId="2CDD54D7" w14:textId="2BB0D7E2" w:rsidR="00723C6E" w:rsidRPr="00C82BBD" w:rsidRDefault="00723C6E" w:rsidP="00C82BBD">
      <w:pPr>
        <w:spacing w:line="480" w:lineRule="auto"/>
        <w:rPr>
          <w:rFonts w:ascii="Garamond" w:hAnsi="Garamond"/>
          <w:b/>
        </w:rPr>
      </w:pPr>
      <w:r w:rsidRPr="00C82BBD">
        <w:rPr>
          <w:rFonts w:ascii="Garamond" w:hAnsi="Garamond"/>
          <w:b/>
        </w:rPr>
        <w:lastRenderedPageBreak/>
        <w:t>References</w:t>
      </w:r>
    </w:p>
    <w:p w14:paraId="72B99B12" w14:textId="57A10769" w:rsidR="00C27301" w:rsidRPr="00C82BBD" w:rsidRDefault="00C27301" w:rsidP="00C82BBD">
      <w:pPr>
        <w:autoSpaceDE w:val="0"/>
        <w:autoSpaceDN w:val="0"/>
        <w:adjustRightInd w:val="0"/>
        <w:spacing w:after="0" w:line="480" w:lineRule="auto"/>
        <w:rPr>
          <w:rStyle w:val="Hyperlink"/>
          <w:rFonts w:ascii="Garamond" w:hAnsi="Garamond" w:cs="AdvP7B6C"/>
          <w:color w:val="auto"/>
          <w:lang w:val="en-AU"/>
        </w:rPr>
      </w:pPr>
      <w:r w:rsidRPr="00C82BBD">
        <w:rPr>
          <w:rFonts w:ascii="Garamond" w:hAnsi="Garamond" w:cs="AdvP7B6C"/>
          <w:lang w:val="en-AU"/>
        </w:rPr>
        <w:t xml:space="preserve">Australian Institute of Health and Welfare. (2017). </w:t>
      </w:r>
      <w:r w:rsidRPr="00C82BBD">
        <w:rPr>
          <w:rFonts w:ascii="Garamond" w:hAnsi="Garamond" w:cs="AdvP7B72"/>
          <w:lang w:val="en-AU"/>
        </w:rPr>
        <w:t>National opioid pharmacotherapy statistics 2015</w:t>
      </w:r>
      <w:r w:rsidRPr="00C82BBD">
        <w:rPr>
          <w:rFonts w:ascii="Garamond" w:hAnsi="Garamond" w:cs="AdvP7B6C"/>
          <w:lang w:val="en-AU"/>
        </w:rPr>
        <w:t>. Retrieved</w:t>
      </w:r>
      <w:r w:rsidR="00704F5D" w:rsidRPr="00C82BBD">
        <w:rPr>
          <w:rFonts w:ascii="Garamond" w:hAnsi="Garamond" w:cs="AdvP7B6C"/>
          <w:lang w:val="en-AU"/>
        </w:rPr>
        <w:t xml:space="preserve"> </w:t>
      </w:r>
      <w:r w:rsidRPr="00C82BBD">
        <w:rPr>
          <w:rFonts w:ascii="Garamond" w:hAnsi="Garamond" w:cs="AdvP7B6C"/>
          <w:lang w:val="en-AU"/>
        </w:rPr>
        <w:t xml:space="preserve">March 6, 2017, from </w:t>
      </w:r>
      <w:hyperlink r:id="rId9" w:history="1">
        <w:r w:rsidRPr="00C82BBD">
          <w:rPr>
            <w:rStyle w:val="Hyperlink"/>
            <w:rFonts w:ascii="Garamond" w:hAnsi="Garamond" w:cs="AdvP7B6C"/>
            <w:color w:val="auto"/>
            <w:lang w:val="en-AU"/>
          </w:rPr>
          <w:t>www.aihw.gov.au/alcohol-and-other-drugs/data-sources/nopsad-2015/</w:t>
        </w:r>
      </w:hyperlink>
    </w:p>
    <w:p w14:paraId="2CDB2DD0" w14:textId="77777777" w:rsidR="002E1CA2" w:rsidRPr="00C82BBD" w:rsidRDefault="002E1CA2" w:rsidP="00C82BBD">
      <w:pPr>
        <w:autoSpaceDE w:val="0"/>
        <w:autoSpaceDN w:val="0"/>
        <w:adjustRightInd w:val="0"/>
        <w:spacing w:after="0" w:line="480" w:lineRule="auto"/>
        <w:rPr>
          <w:rStyle w:val="Hyperlink"/>
          <w:rFonts w:ascii="Garamond" w:hAnsi="Garamond" w:cs="AdvP7B6C"/>
          <w:color w:val="auto"/>
          <w:lang w:val="en-AU"/>
        </w:rPr>
      </w:pPr>
    </w:p>
    <w:p w14:paraId="6F795901" w14:textId="19EA9835" w:rsidR="002E1CA2" w:rsidRPr="00C82BBD" w:rsidRDefault="002E1CA2" w:rsidP="00C82BBD">
      <w:pPr>
        <w:autoSpaceDE w:val="0"/>
        <w:autoSpaceDN w:val="0"/>
        <w:adjustRightInd w:val="0"/>
        <w:spacing w:after="0" w:line="480" w:lineRule="auto"/>
        <w:rPr>
          <w:rStyle w:val="Hyperlink"/>
          <w:rFonts w:ascii="Garamond" w:hAnsi="Garamond" w:cs="AdvP7B6C"/>
          <w:color w:val="auto"/>
          <w:u w:val="none"/>
          <w:lang w:val="en-AU"/>
        </w:rPr>
      </w:pPr>
      <w:r w:rsidRPr="00C82BBD">
        <w:rPr>
          <w:rStyle w:val="Hyperlink"/>
          <w:rFonts w:ascii="Garamond" w:hAnsi="Garamond" w:cs="AdvP7B6C"/>
          <w:color w:val="auto"/>
          <w:u w:val="none"/>
          <w:lang w:val="en-AU"/>
        </w:rPr>
        <w:t xml:space="preserve">Black, L., </w:t>
      </w:r>
      <w:proofErr w:type="spellStart"/>
      <w:r w:rsidRPr="00C82BBD">
        <w:rPr>
          <w:rStyle w:val="Hyperlink"/>
          <w:rFonts w:ascii="Garamond" w:hAnsi="Garamond" w:cs="AdvP7B6C"/>
          <w:color w:val="auto"/>
          <w:u w:val="none"/>
          <w:lang w:val="en-AU"/>
        </w:rPr>
        <w:t>Connolloy</w:t>
      </w:r>
      <w:proofErr w:type="spellEnd"/>
      <w:r w:rsidRPr="00C82BBD">
        <w:rPr>
          <w:rStyle w:val="Hyperlink"/>
          <w:rFonts w:ascii="Garamond" w:hAnsi="Garamond" w:cs="AdvP7B6C"/>
          <w:color w:val="auto"/>
          <w:u w:val="none"/>
          <w:lang w:val="en-AU"/>
        </w:rPr>
        <w:t xml:space="preserve">, I., Getty, M., Hogan, C., Lennon, P., </w:t>
      </w:r>
      <w:proofErr w:type="spellStart"/>
      <w:r w:rsidRPr="00C82BBD">
        <w:rPr>
          <w:rStyle w:val="Hyperlink"/>
          <w:rFonts w:ascii="Garamond" w:hAnsi="Garamond" w:cs="AdvP7B6C"/>
          <w:color w:val="auto"/>
          <w:u w:val="none"/>
          <w:lang w:val="en-AU"/>
        </w:rPr>
        <w:t>McCusker</w:t>
      </w:r>
      <w:proofErr w:type="spellEnd"/>
      <w:r w:rsidRPr="00C82BBD">
        <w:rPr>
          <w:rStyle w:val="Hyperlink"/>
          <w:rFonts w:ascii="Garamond" w:hAnsi="Garamond" w:cs="AdvP7B6C"/>
          <w:color w:val="auto"/>
          <w:u w:val="none"/>
          <w:lang w:val="en-AU"/>
        </w:rPr>
        <w:t xml:space="preserve">, M., Neale, J. &amp; Strang, J. (2017). Poor implementation of naloxone needs to be better understood in order to save lives. </w:t>
      </w:r>
      <w:r w:rsidRPr="00C82BBD">
        <w:rPr>
          <w:rStyle w:val="Hyperlink"/>
          <w:rFonts w:ascii="Garamond" w:hAnsi="Garamond" w:cs="AdvP7B6C"/>
          <w:i/>
          <w:color w:val="auto"/>
          <w:u w:val="none"/>
          <w:lang w:val="en-AU"/>
        </w:rPr>
        <w:t xml:space="preserve">Addiction, </w:t>
      </w:r>
      <w:r w:rsidRPr="00C82BBD">
        <w:rPr>
          <w:rStyle w:val="Hyperlink"/>
          <w:rFonts w:ascii="Garamond" w:hAnsi="Garamond" w:cs="AdvP7B6C"/>
          <w:color w:val="auto"/>
          <w:u w:val="none"/>
          <w:lang w:val="en-AU"/>
        </w:rPr>
        <w:t>112 (5), 911-912.</w:t>
      </w:r>
    </w:p>
    <w:p w14:paraId="75A9A731" w14:textId="77777777" w:rsidR="00186E58" w:rsidRPr="00C82BBD" w:rsidRDefault="00186E58" w:rsidP="00C82BBD">
      <w:pPr>
        <w:autoSpaceDE w:val="0"/>
        <w:autoSpaceDN w:val="0"/>
        <w:adjustRightInd w:val="0"/>
        <w:spacing w:after="0" w:line="480" w:lineRule="auto"/>
        <w:rPr>
          <w:rStyle w:val="Hyperlink"/>
          <w:rFonts w:ascii="Garamond" w:hAnsi="Garamond" w:cs="AdvP7B6C"/>
          <w:color w:val="000000" w:themeColor="text1"/>
          <w:u w:val="none"/>
          <w:lang w:val="en-AU"/>
        </w:rPr>
      </w:pPr>
    </w:p>
    <w:p w14:paraId="088005C7" w14:textId="6954180E" w:rsidR="00186E58" w:rsidRPr="00C82BBD" w:rsidRDefault="00186E58" w:rsidP="00C82BBD">
      <w:pPr>
        <w:autoSpaceDE w:val="0"/>
        <w:autoSpaceDN w:val="0"/>
        <w:adjustRightInd w:val="0"/>
        <w:spacing w:after="0" w:line="480" w:lineRule="auto"/>
        <w:rPr>
          <w:rFonts w:ascii="Garamond" w:hAnsi="Garamond" w:cs="AdvP7B6C"/>
          <w:color w:val="000000" w:themeColor="text1"/>
          <w:lang w:val="en-AU"/>
        </w:rPr>
      </w:pPr>
      <w:r w:rsidRPr="00C82BBD">
        <w:rPr>
          <w:rStyle w:val="Hyperlink"/>
          <w:rFonts w:ascii="Garamond" w:hAnsi="Garamond" w:cs="AdvP7B6C"/>
          <w:color w:val="000000" w:themeColor="text1"/>
          <w:u w:val="none"/>
          <w:lang w:val="en-AU"/>
        </w:rPr>
        <w:t xml:space="preserve">Buchman, D., Orkin, A., Strike, C. &amp; </w:t>
      </w:r>
      <w:proofErr w:type="spellStart"/>
      <w:r w:rsidRPr="00C82BBD">
        <w:rPr>
          <w:rStyle w:val="Hyperlink"/>
          <w:rFonts w:ascii="Garamond" w:hAnsi="Garamond" w:cs="AdvP7B6C"/>
          <w:color w:val="000000" w:themeColor="text1"/>
          <w:u w:val="none"/>
          <w:lang w:val="en-AU"/>
        </w:rPr>
        <w:t>Upshur</w:t>
      </w:r>
      <w:proofErr w:type="spellEnd"/>
      <w:r w:rsidRPr="00C82BBD">
        <w:rPr>
          <w:rStyle w:val="Hyperlink"/>
          <w:rFonts w:ascii="Garamond" w:hAnsi="Garamond" w:cs="AdvP7B6C"/>
          <w:color w:val="000000" w:themeColor="text1"/>
          <w:u w:val="none"/>
          <w:lang w:val="en-AU"/>
        </w:rPr>
        <w:t xml:space="preserve">, R. (2018). Overdose education and naloxone distribution programmes and the ethics of task shifting. </w:t>
      </w:r>
      <w:r w:rsidRPr="00C82BBD">
        <w:rPr>
          <w:rStyle w:val="Hyperlink"/>
          <w:rFonts w:ascii="Garamond" w:hAnsi="Garamond" w:cs="AdvP7B6C"/>
          <w:i/>
          <w:color w:val="000000" w:themeColor="text1"/>
          <w:u w:val="none"/>
          <w:lang w:val="en-AU"/>
        </w:rPr>
        <w:t xml:space="preserve">Public Health Ethics. </w:t>
      </w:r>
      <w:r w:rsidRPr="00C82BBD">
        <w:rPr>
          <w:rStyle w:val="Hyperlink"/>
          <w:rFonts w:ascii="Garamond" w:hAnsi="Garamond" w:cs="AdvP7B6C"/>
          <w:color w:val="000000" w:themeColor="text1"/>
          <w:u w:val="none"/>
          <w:lang w:val="en-AU"/>
        </w:rPr>
        <w:t xml:space="preserve">Published early online. </w:t>
      </w:r>
      <w:hyperlink r:id="rId10" w:history="1">
        <w:r w:rsidRPr="00C82BBD">
          <w:rPr>
            <w:rStyle w:val="Hyperlink"/>
            <w:rFonts w:ascii="Garamond" w:hAnsi="Garamond"/>
            <w:color w:val="000000" w:themeColor="text1"/>
            <w:u w:val="none"/>
            <w:bdr w:val="none" w:sz="0" w:space="0" w:color="auto" w:frame="1"/>
            <w:shd w:val="clear" w:color="auto" w:fill="FFFFFF"/>
          </w:rPr>
          <w:t>doi.org/10.1093/</w:t>
        </w:r>
        <w:proofErr w:type="spellStart"/>
        <w:r w:rsidRPr="00C82BBD">
          <w:rPr>
            <w:rStyle w:val="Hyperlink"/>
            <w:rFonts w:ascii="Garamond" w:hAnsi="Garamond"/>
            <w:color w:val="000000" w:themeColor="text1"/>
            <w:u w:val="none"/>
            <w:bdr w:val="none" w:sz="0" w:space="0" w:color="auto" w:frame="1"/>
            <w:shd w:val="clear" w:color="auto" w:fill="FFFFFF"/>
          </w:rPr>
          <w:t>phe</w:t>
        </w:r>
        <w:proofErr w:type="spellEnd"/>
        <w:r w:rsidRPr="00C82BBD">
          <w:rPr>
            <w:rStyle w:val="Hyperlink"/>
            <w:rFonts w:ascii="Garamond" w:hAnsi="Garamond"/>
            <w:color w:val="000000" w:themeColor="text1"/>
            <w:u w:val="none"/>
            <w:bdr w:val="none" w:sz="0" w:space="0" w:color="auto" w:frame="1"/>
            <w:shd w:val="clear" w:color="auto" w:fill="FFFFFF"/>
          </w:rPr>
          <w:t>/phy00</w:t>
        </w:r>
      </w:hyperlink>
      <w:r w:rsidRPr="00C82BBD">
        <w:rPr>
          <w:rFonts w:ascii="Garamond" w:hAnsi="Garamond"/>
          <w:color w:val="000000" w:themeColor="text1"/>
        </w:rPr>
        <w:t>1</w:t>
      </w:r>
      <w:r w:rsidRPr="00C82BBD">
        <w:rPr>
          <w:rStyle w:val="Hyperlink"/>
          <w:rFonts w:ascii="Garamond" w:hAnsi="Garamond" w:cs="AdvP7B6C"/>
          <w:color w:val="000000" w:themeColor="text1"/>
          <w:u w:val="none"/>
          <w:lang w:val="en-AU"/>
        </w:rPr>
        <w:t xml:space="preserve"> </w:t>
      </w:r>
    </w:p>
    <w:p w14:paraId="57A627BA"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0B33BB61" w14:textId="2808FC0E" w:rsidR="001312A1" w:rsidRDefault="001312A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Buchman, D., </w:t>
      </w:r>
      <w:proofErr w:type="spellStart"/>
      <w:r w:rsidRPr="00C82BBD">
        <w:rPr>
          <w:rFonts w:ascii="Garamond" w:hAnsi="Garamond" w:cs="AdvP7B6C"/>
          <w:lang w:val="en-AU"/>
        </w:rPr>
        <w:t>Leece</w:t>
      </w:r>
      <w:proofErr w:type="spellEnd"/>
      <w:r w:rsidRPr="00C82BBD">
        <w:rPr>
          <w:rFonts w:ascii="Garamond" w:hAnsi="Garamond" w:cs="AdvP7B6C"/>
          <w:lang w:val="en-AU"/>
        </w:rPr>
        <w:t>, P.</w:t>
      </w:r>
      <w:r w:rsidR="00736807" w:rsidRPr="00C82BBD">
        <w:rPr>
          <w:rFonts w:ascii="Garamond" w:hAnsi="Garamond" w:cs="AdvP7B6C"/>
          <w:lang w:val="en-AU"/>
        </w:rPr>
        <w:t>,</w:t>
      </w:r>
      <w:r w:rsidRPr="00C82BBD">
        <w:rPr>
          <w:rFonts w:ascii="Garamond" w:hAnsi="Garamond" w:cs="AdvP7B6C"/>
          <w:lang w:val="en-AU"/>
        </w:rPr>
        <w:t xml:space="preserve"> &amp; Orkin, A. (2017). The epidemic of stigma: The bioethics of opioids. </w:t>
      </w:r>
      <w:r w:rsidRPr="00C82BBD">
        <w:rPr>
          <w:rFonts w:ascii="Garamond" w:hAnsi="Garamond" w:cs="AdvP7B6C"/>
          <w:i/>
          <w:lang w:val="en-AU"/>
        </w:rPr>
        <w:t xml:space="preserve">The Journal of Law, Medicine &amp; Ethics, </w:t>
      </w:r>
      <w:r w:rsidRPr="00C82BBD">
        <w:rPr>
          <w:rFonts w:ascii="Garamond" w:hAnsi="Garamond" w:cs="AdvP7B6C"/>
          <w:lang w:val="en-AU"/>
        </w:rPr>
        <w:t>45, 607-620.</w:t>
      </w:r>
    </w:p>
    <w:p w14:paraId="2805E483" w14:textId="77777777" w:rsidR="00244AB9" w:rsidRDefault="00244AB9" w:rsidP="00C82BBD">
      <w:pPr>
        <w:autoSpaceDE w:val="0"/>
        <w:autoSpaceDN w:val="0"/>
        <w:adjustRightInd w:val="0"/>
        <w:spacing w:after="0" w:line="480" w:lineRule="auto"/>
        <w:rPr>
          <w:rFonts w:ascii="Garamond" w:hAnsi="Garamond" w:cs="AdvP7B6C"/>
          <w:lang w:val="en-AU"/>
        </w:rPr>
      </w:pPr>
    </w:p>
    <w:p w14:paraId="051C2E77" w14:textId="55CD10ED" w:rsidR="00244AB9" w:rsidRPr="00244AB9" w:rsidRDefault="00244AB9" w:rsidP="00C82BBD">
      <w:pPr>
        <w:autoSpaceDE w:val="0"/>
        <w:autoSpaceDN w:val="0"/>
        <w:adjustRightInd w:val="0"/>
        <w:spacing w:after="0" w:line="480" w:lineRule="auto"/>
        <w:rPr>
          <w:rFonts w:ascii="Garamond" w:hAnsi="Garamond" w:cs="AdvP7B6C"/>
          <w:lang w:val="en-AU"/>
        </w:rPr>
      </w:pPr>
      <w:r>
        <w:rPr>
          <w:rFonts w:ascii="Garamond" w:hAnsi="Garamond" w:cs="AdvP7B6C"/>
          <w:lang w:val="en-AU"/>
        </w:rPr>
        <w:t>Buse, C., Martin, D., &amp; Nettleton, S. (2018). Conceptualising ‘</w:t>
      </w:r>
      <w:proofErr w:type="spellStart"/>
      <w:r>
        <w:rPr>
          <w:rFonts w:ascii="Garamond" w:hAnsi="Garamond" w:cs="AdvP7B6C"/>
          <w:lang w:val="en-AU"/>
        </w:rPr>
        <w:t>materialities</w:t>
      </w:r>
      <w:proofErr w:type="spellEnd"/>
      <w:r>
        <w:rPr>
          <w:rFonts w:ascii="Garamond" w:hAnsi="Garamond" w:cs="AdvP7B6C"/>
          <w:lang w:val="en-AU"/>
        </w:rPr>
        <w:t xml:space="preserve"> of care’: Making visible mundane material culture in health and social care contexts. </w:t>
      </w:r>
      <w:r>
        <w:rPr>
          <w:rFonts w:ascii="Garamond" w:hAnsi="Garamond" w:cs="AdvP7B6C"/>
          <w:i/>
          <w:lang w:val="en-AU"/>
        </w:rPr>
        <w:t xml:space="preserve">Sociology of Health &amp; Illness, </w:t>
      </w:r>
      <w:r>
        <w:rPr>
          <w:rFonts w:ascii="Garamond" w:hAnsi="Garamond" w:cs="AdvP7B6C"/>
          <w:lang w:val="en-AU"/>
        </w:rPr>
        <w:t>40 (2), 243-255.</w:t>
      </w:r>
    </w:p>
    <w:p w14:paraId="5AA83D3F" w14:textId="77777777" w:rsidR="001312A1" w:rsidRPr="00C82BBD" w:rsidRDefault="001312A1" w:rsidP="00C82BBD">
      <w:pPr>
        <w:autoSpaceDE w:val="0"/>
        <w:autoSpaceDN w:val="0"/>
        <w:adjustRightInd w:val="0"/>
        <w:spacing w:after="0" w:line="480" w:lineRule="auto"/>
        <w:rPr>
          <w:rFonts w:ascii="Garamond" w:hAnsi="Garamond" w:cs="AdvP7B6C"/>
          <w:lang w:val="en-AU"/>
        </w:rPr>
      </w:pPr>
    </w:p>
    <w:p w14:paraId="1C4DFCB4" w14:textId="77777777" w:rsidR="00C27301" w:rsidRPr="00C82BBD" w:rsidRDefault="00C27301" w:rsidP="00C82BBD">
      <w:pPr>
        <w:spacing w:line="480" w:lineRule="auto"/>
        <w:rPr>
          <w:rFonts w:ascii="Garamond" w:hAnsi="Garamond" w:cs="AdvP7B6C"/>
          <w:lang w:val="en-AU"/>
        </w:rPr>
      </w:pPr>
      <w:r w:rsidRPr="00C82BBD">
        <w:rPr>
          <w:rFonts w:ascii="Garamond" w:hAnsi="Garamond" w:cs="AdvP7B6C"/>
          <w:lang w:val="en-AU"/>
        </w:rPr>
        <w:t xml:space="preserve">Darke, S., &amp; Hall, W. (1997). The distribution of naloxone to heroin users. </w:t>
      </w:r>
      <w:r w:rsidRPr="00C82BBD">
        <w:rPr>
          <w:rFonts w:ascii="Garamond" w:hAnsi="Garamond" w:cs="AdvP7B72"/>
          <w:i/>
          <w:lang w:val="en-AU"/>
        </w:rPr>
        <w:t>Addiction</w:t>
      </w:r>
      <w:r w:rsidRPr="00C82BBD">
        <w:rPr>
          <w:rFonts w:ascii="Garamond" w:hAnsi="Garamond" w:cs="AdvP7B6C"/>
          <w:lang w:val="en-AU"/>
        </w:rPr>
        <w:t xml:space="preserve">, </w:t>
      </w:r>
      <w:r w:rsidRPr="00C82BBD">
        <w:rPr>
          <w:rFonts w:ascii="Garamond" w:hAnsi="Garamond" w:cs="AdvP7B72"/>
          <w:lang w:val="en-AU"/>
        </w:rPr>
        <w:t>92</w:t>
      </w:r>
      <w:r w:rsidRPr="00C82BBD">
        <w:rPr>
          <w:rFonts w:ascii="Garamond" w:hAnsi="Garamond" w:cs="AdvP7B6C"/>
          <w:lang w:val="en-AU"/>
        </w:rPr>
        <w:t>, 1195–1199.</w:t>
      </w:r>
    </w:p>
    <w:p w14:paraId="2EC907AE" w14:textId="77777777" w:rsidR="008A1BCF" w:rsidRPr="00C82BBD" w:rsidRDefault="008A1BCF" w:rsidP="00C82BBD">
      <w:pPr>
        <w:spacing w:line="480" w:lineRule="auto"/>
        <w:rPr>
          <w:rFonts w:ascii="Garamond" w:hAnsi="Garamond" w:cs="AdvP7B6C"/>
          <w:lang w:val="en-AU"/>
        </w:rPr>
      </w:pPr>
    </w:p>
    <w:p w14:paraId="710A9EB0" w14:textId="450A3C63" w:rsidR="00723C6E" w:rsidRPr="00C82BBD" w:rsidRDefault="001946FC" w:rsidP="00C82BBD">
      <w:pPr>
        <w:spacing w:line="480" w:lineRule="auto"/>
        <w:rPr>
          <w:rFonts w:ascii="Garamond" w:hAnsi="Garamond" w:cs="Arial"/>
          <w:lang w:val="en-AU"/>
        </w:rPr>
      </w:pPr>
      <w:r>
        <w:rPr>
          <w:rFonts w:ascii="Garamond" w:hAnsi="Garamond" w:cs="Arial"/>
        </w:rPr>
        <w:t>Dennis</w:t>
      </w:r>
      <w:r w:rsidR="00941905" w:rsidRPr="00C82BBD">
        <w:rPr>
          <w:rFonts w:ascii="Garamond" w:hAnsi="Garamond" w:cs="Arial"/>
          <w:lang w:val="en-AU"/>
        </w:rPr>
        <w:t>, F.</w:t>
      </w:r>
      <w:r w:rsidR="00723C6E" w:rsidRPr="00C82BBD">
        <w:rPr>
          <w:rFonts w:ascii="Garamond" w:hAnsi="Garamond" w:cs="Arial"/>
          <w:lang w:val="en-AU"/>
        </w:rPr>
        <w:t xml:space="preserve"> </w:t>
      </w:r>
      <w:r w:rsidR="00941905" w:rsidRPr="00C82BBD">
        <w:rPr>
          <w:rFonts w:ascii="Garamond" w:hAnsi="Garamond" w:cs="Arial"/>
          <w:lang w:val="en-AU"/>
        </w:rPr>
        <w:t>&amp;</w:t>
      </w:r>
      <w:r w:rsidR="00723C6E" w:rsidRPr="00C82BBD">
        <w:rPr>
          <w:rFonts w:ascii="Garamond" w:hAnsi="Garamond" w:cs="Arial"/>
          <w:lang w:val="en-AU"/>
        </w:rPr>
        <w:t xml:space="preserve"> Farrugia</w:t>
      </w:r>
      <w:r w:rsidR="00941905" w:rsidRPr="00C82BBD">
        <w:rPr>
          <w:rFonts w:ascii="Garamond" w:hAnsi="Garamond" w:cs="Arial"/>
          <w:lang w:val="en-AU"/>
        </w:rPr>
        <w:t>, A.</w:t>
      </w:r>
      <w:r w:rsidR="00723C6E" w:rsidRPr="00C82BBD">
        <w:rPr>
          <w:rFonts w:ascii="Garamond" w:hAnsi="Garamond" w:cs="Arial"/>
          <w:lang w:val="en-AU"/>
        </w:rPr>
        <w:t xml:space="preserve"> (2017</w:t>
      </w:r>
      <w:r w:rsidR="00941905" w:rsidRPr="00C82BBD">
        <w:rPr>
          <w:rFonts w:ascii="Garamond" w:hAnsi="Garamond" w:cs="Arial"/>
          <w:lang w:val="en-AU"/>
        </w:rPr>
        <w:t xml:space="preserve">). Materialising drugged pleasures: Practice, politics, care. </w:t>
      </w:r>
      <w:r w:rsidR="00941905" w:rsidRPr="00C82BBD">
        <w:rPr>
          <w:rFonts w:ascii="Garamond" w:hAnsi="Garamond" w:cs="Arial"/>
          <w:i/>
          <w:lang w:val="en-AU"/>
        </w:rPr>
        <w:t xml:space="preserve">International Journal of Drug Policy, </w:t>
      </w:r>
      <w:r w:rsidR="00941905" w:rsidRPr="00C82BBD">
        <w:rPr>
          <w:rFonts w:ascii="Garamond" w:hAnsi="Garamond" w:cs="Arial"/>
          <w:lang w:val="en-AU"/>
        </w:rPr>
        <w:t>49, 86-91.</w:t>
      </w:r>
    </w:p>
    <w:p w14:paraId="713874C0" w14:textId="77777777" w:rsidR="008A1BCF" w:rsidRPr="00C82BBD" w:rsidRDefault="008A1BCF" w:rsidP="00C82BBD">
      <w:pPr>
        <w:spacing w:line="480" w:lineRule="auto"/>
        <w:rPr>
          <w:rFonts w:ascii="Garamond" w:hAnsi="Garamond" w:cs="AdvP7B6C"/>
        </w:rPr>
      </w:pPr>
    </w:p>
    <w:p w14:paraId="1DE3E216" w14:textId="7978D0E7" w:rsidR="008A1BCF" w:rsidRPr="00C82BBD" w:rsidRDefault="00723C6E" w:rsidP="00C82BBD">
      <w:pPr>
        <w:spacing w:line="480" w:lineRule="auto"/>
        <w:rPr>
          <w:rFonts w:ascii="Garamond" w:hAnsi="Garamond"/>
        </w:rPr>
      </w:pPr>
      <w:r w:rsidRPr="00C82BBD">
        <w:rPr>
          <w:rFonts w:ascii="Garamond" w:hAnsi="Garamond"/>
        </w:rPr>
        <w:t>Dietze</w:t>
      </w:r>
      <w:r w:rsidR="00A17F61" w:rsidRPr="00C82BBD">
        <w:rPr>
          <w:rFonts w:ascii="Garamond" w:hAnsi="Garamond"/>
        </w:rPr>
        <w:t xml:space="preserve">, P., Stare, M., Coffer, S., </w:t>
      </w:r>
      <w:proofErr w:type="spellStart"/>
      <w:r w:rsidR="00A17F61" w:rsidRPr="00C82BBD">
        <w:rPr>
          <w:rFonts w:ascii="Garamond" w:hAnsi="Garamond"/>
        </w:rPr>
        <w:t>Dambiar</w:t>
      </w:r>
      <w:proofErr w:type="spellEnd"/>
      <w:r w:rsidR="00A17F61" w:rsidRPr="00C82BBD">
        <w:rPr>
          <w:rFonts w:ascii="Garamond" w:hAnsi="Garamond"/>
        </w:rPr>
        <w:t>, D., Olsen, A., Burns, L. &amp; Lenton, S.</w:t>
      </w:r>
      <w:r w:rsidRPr="00C82BBD">
        <w:rPr>
          <w:rFonts w:ascii="Garamond" w:hAnsi="Garamond"/>
        </w:rPr>
        <w:t xml:space="preserve"> </w:t>
      </w:r>
      <w:r w:rsidR="00A17F61" w:rsidRPr="00C82BBD">
        <w:rPr>
          <w:rFonts w:ascii="Garamond" w:hAnsi="Garamond"/>
        </w:rPr>
        <w:t>(</w:t>
      </w:r>
      <w:r w:rsidRPr="00C82BBD">
        <w:rPr>
          <w:rFonts w:ascii="Garamond" w:hAnsi="Garamond"/>
        </w:rPr>
        <w:t>2017</w:t>
      </w:r>
      <w:r w:rsidR="00A17F61" w:rsidRPr="00C82BBD">
        <w:rPr>
          <w:rFonts w:ascii="Garamond" w:hAnsi="Garamond"/>
        </w:rPr>
        <w:t xml:space="preserve">). Knowledge of naloxone and take-home naloxone programs among a sample of people who inject drugs in Australia: Variations across capital cities. </w:t>
      </w:r>
      <w:r w:rsidR="00A17F61" w:rsidRPr="00C82BBD">
        <w:rPr>
          <w:rFonts w:ascii="Garamond" w:hAnsi="Garamond"/>
          <w:i/>
        </w:rPr>
        <w:t>Drug and Alcohol Review</w:t>
      </w:r>
      <w:r w:rsidR="00A17F61" w:rsidRPr="00C82BBD">
        <w:rPr>
          <w:rFonts w:ascii="Garamond" w:hAnsi="Garamond"/>
        </w:rPr>
        <w:t>.</w:t>
      </w:r>
      <w:r w:rsidR="0008665E" w:rsidRPr="00C82BBD">
        <w:rPr>
          <w:rFonts w:ascii="Garamond" w:hAnsi="Garamond"/>
        </w:rPr>
        <w:t xml:space="preserve"> </w:t>
      </w:r>
      <w:r w:rsidR="0008665E" w:rsidRPr="00C82BBD">
        <w:rPr>
          <w:rFonts w:ascii="Garamond" w:hAnsi="Garamond" w:cs="AdvP7B6C"/>
          <w:lang w:val="en-AU"/>
        </w:rPr>
        <w:t>Advance online publication</w:t>
      </w:r>
      <w:r w:rsidR="003D797C" w:rsidRPr="00C82BBD">
        <w:rPr>
          <w:rFonts w:ascii="Garamond" w:hAnsi="Garamond" w:cs="AdvP7B6C"/>
          <w:lang w:val="en-AU"/>
        </w:rPr>
        <w:t>.</w:t>
      </w:r>
      <w:r w:rsidR="00A17F61" w:rsidRPr="00C82BBD">
        <w:rPr>
          <w:rFonts w:ascii="Garamond" w:hAnsi="Garamond"/>
        </w:rPr>
        <w:t xml:space="preserve"> </w:t>
      </w:r>
      <w:proofErr w:type="spellStart"/>
      <w:r w:rsidR="006E14E5">
        <w:rPr>
          <w:rFonts w:ascii="Garamond" w:hAnsi="Garamond" w:cs="AdvOT4b47d116"/>
          <w:lang w:val="en-AU"/>
        </w:rPr>
        <w:t>doi</w:t>
      </w:r>
      <w:proofErr w:type="spellEnd"/>
      <w:r w:rsidR="00A17F61" w:rsidRPr="00C82BBD">
        <w:rPr>
          <w:rFonts w:ascii="Garamond" w:hAnsi="Garamond" w:cs="AdvOT4b47d116"/>
          <w:lang w:val="en-AU"/>
        </w:rPr>
        <w:t>: 10.1111/dar.12644</w:t>
      </w:r>
      <w:r w:rsidR="004D27DA" w:rsidRPr="00C82BBD">
        <w:rPr>
          <w:rFonts w:ascii="Garamond" w:hAnsi="Garamond"/>
        </w:rPr>
        <w:t xml:space="preserve"> </w:t>
      </w:r>
    </w:p>
    <w:p w14:paraId="72C07DC4"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3AB07F4C" w14:textId="77777777" w:rsidR="00941905" w:rsidRPr="00C82BBD" w:rsidRDefault="00941905" w:rsidP="00C82BBD">
      <w:pPr>
        <w:spacing w:line="480" w:lineRule="auto"/>
        <w:rPr>
          <w:rFonts w:ascii="Garamond" w:hAnsi="Garamond" w:cs="AdvP7B6C"/>
          <w:lang w:val="en-AU"/>
        </w:rPr>
      </w:pPr>
      <w:r w:rsidRPr="00C82BBD">
        <w:rPr>
          <w:rFonts w:ascii="Garamond" w:hAnsi="Garamond"/>
          <w:lang w:val="en-AU"/>
        </w:rPr>
        <w:t xml:space="preserve">Duff, C. (2015). Governing drug use otherwise: For an ethics of care. </w:t>
      </w:r>
      <w:r w:rsidRPr="00C82BBD">
        <w:rPr>
          <w:rFonts w:ascii="Garamond" w:hAnsi="Garamond" w:cs="AdvP4DF60F"/>
          <w:i/>
          <w:lang w:val="en-AU"/>
        </w:rPr>
        <w:t>Journal of Sociology</w:t>
      </w:r>
      <w:r w:rsidRPr="00C82BBD">
        <w:rPr>
          <w:rFonts w:ascii="Garamond" w:hAnsi="Garamond" w:cs="AdvP4DF60F"/>
          <w:lang w:val="en-AU"/>
        </w:rPr>
        <w:t>, 51</w:t>
      </w:r>
      <w:r w:rsidRPr="00C82BBD">
        <w:rPr>
          <w:rFonts w:ascii="Garamond" w:hAnsi="Garamond"/>
          <w:lang w:val="en-AU"/>
        </w:rPr>
        <w:t>(1), 81–96.</w:t>
      </w:r>
      <w:r w:rsidRPr="00C82BBD">
        <w:rPr>
          <w:rFonts w:ascii="Garamond" w:hAnsi="Garamond" w:cs="AdvP7B6C"/>
          <w:lang w:val="en-AU"/>
        </w:rPr>
        <w:t xml:space="preserve"> </w:t>
      </w:r>
    </w:p>
    <w:p w14:paraId="4A65350B" w14:textId="77777777" w:rsidR="008A1BCF" w:rsidRPr="00C82BBD" w:rsidRDefault="008A1BCF" w:rsidP="00C82BBD">
      <w:pPr>
        <w:spacing w:line="480" w:lineRule="auto"/>
        <w:rPr>
          <w:rFonts w:ascii="Garamond" w:hAnsi="Garamond" w:cs="AdvP7B6C"/>
          <w:lang w:val="en-AU"/>
        </w:rPr>
      </w:pPr>
    </w:p>
    <w:p w14:paraId="60DDAAB7" w14:textId="20104EC5" w:rsidR="00C27301" w:rsidRPr="00C82BBD"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Dwyer, R., Fraser, S., &amp; Dietze, P. (2016). Benefits and barriers to expanding the availability of take-home</w:t>
      </w:r>
      <w:r w:rsidR="00704F5D" w:rsidRPr="00C82BBD">
        <w:rPr>
          <w:rFonts w:ascii="Garamond" w:hAnsi="Garamond" w:cs="AdvP7B6C"/>
          <w:lang w:val="en-AU"/>
        </w:rPr>
        <w:t xml:space="preserve"> </w:t>
      </w:r>
      <w:r w:rsidRPr="00C82BBD">
        <w:rPr>
          <w:rFonts w:ascii="Garamond" w:hAnsi="Garamond" w:cs="AdvP7B6C"/>
          <w:lang w:val="en-AU"/>
        </w:rPr>
        <w:t xml:space="preserve">naloxone in Australia: A qualitative study. </w:t>
      </w:r>
      <w:r w:rsidRPr="00C82BBD">
        <w:rPr>
          <w:rFonts w:ascii="Garamond" w:hAnsi="Garamond" w:cs="AdvP7B72"/>
          <w:i/>
          <w:lang w:val="en-AU"/>
        </w:rPr>
        <w:t>Drugs: Education, Prevention and Policy</w:t>
      </w:r>
      <w:r w:rsidRPr="00C82BBD">
        <w:rPr>
          <w:rFonts w:ascii="Garamond" w:hAnsi="Garamond" w:cs="AdvP7B6C"/>
          <w:lang w:val="en-AU"/>
        </w:rPr>
        <w:t xml:space="preserve">, </w:t>
      </w:r>
      <w:r w:rsidRPr="00C82BBD">
        <w:rPr>
          <w:rFonts w:ascii="Garamond" w:hAnsi="Garamond" w:cs="AdvP7B72"/>
          <w:lang w:val="en-AU"/>
        </w:rPr>
        <w:t>23</w:t>
      </w:r>
      <w:r w:rsidRPr="00C82BBD">
        <w:rPr>
          <w:rFonts w:ascii="Garamond" w:hAnsi="Garamond" w:cs="AdvP7B6C"/>
          <w:lang w:val="en-AU"/>
        </w:rPr>
        <w:t>, 388–396.</w:t>
      </w:r>
    </w:p>
    <w:p w14:paraId="2E88C003" w14:textId="77777777" w:rsidR="00704F5D" w:rsidRPr="001946FC" w:rsidRDefault="00704F5D" w:rsidP="00C82BBD">
      <w:pPr>
        <w:autoSpaceDE w:val="0"/>
        <w:autoSpaceDN w:val="0"/>
        <w:adjustRightInd w:val="0"/>
        <w:spacing w:after="0" w:line="480" w:lineRule="auto"/>
        <w:rPr>
          <w:rFonts w:ascii="Garamond" w:hAnsi="Garamond" w:cs="AdvP7B6C"/>
          <w:lang w:val="en-AU"/>
        </w:rPr>
      </w:pPr>
    </w:p>
    <w:p w14:paraId="5797E22E" w14:textId="64E3BF90" w:rsidR="003C0744" w:rsidRPr="001946FC" w:rsidRDefault="003C0744" w:rsidP="00C82BBD">
      <w:pPr>
        <w:autoSpaceDE w:val="0"/>
        <w:autoSpaceDN w:val="0"/>
        <w:adjustRightInd w:val="0"/>
        <w:spacing w:after="0" w:line="480" w:lineRule="auto"/>
        <w:rPr>
          <w:rFonts w:ascii="Garamond" w:hAnsi="Garamond" w:cs="AdvP7B6C"/>
          <w:lang w:val="en-AU"/>
        </w:rPr>
      </w:pPr>
      <w:r w:rsidRPr="001946FC">
        <w:rPr>
          <w:rFonts w:ascii="Garamond" w:hAnsi="Garamond" w:cs="AdvP7B6C"/>
          <w:lang w:val="en-AU"/>
        </w:rPr>
        <w:t xml:space="preserve">Dwyer, R., Olsen, A., et al., Lenton, S. (2018). An overview of take-home naloxone </w:t>
      </w:r>
      <w:r w:rsidR="000051A9" w:rsidRPr="001946FC">
        <w:rPr>
          <w:rFonts w:ascii="Garamond" w:hAnsi="Garamond" w:cs="AdvP7B6C"/>
          <w:lang w:val="en-AU"/>
        </w:rPr>
        <w:t xml:space="preserve">programs </w:t>
      </w:r>
      <w:r w:rsidRPr="001946FC">
        <w:rPr>
          <w:rFonts w:ascii="Garamond" w:hAnsi="Garamond" w:cs="AdvP7B6C"/>
          <w:lang w:val="en-AU"/>
        </w:rPr>
        <w:t xml:space="preserve">in Australia. </w:t>
      </w:r>
      <w:r w:rsidRPr="001946FC">
        <w:rPr>
          <w:rFonts w:ascii="Garamond" w:hAnsi="Garamond" w:cs="AdvP7B6C"/>
          <w:i/>
          <w:lang w:val="en-AU"/>
        </w:rPr>
        <w:t>Drug and Alcohol Review</w:t>
      </w:r>
      <w:r w:rsidRPr="001946FC">
        <w:rPr>
          <w:rFonts w:ascii="Garamond" w:hAnsi="Garamond" w:cs="AdvP7B6C"/>
          <w:lang w:val="en-AU"/>
        </w:rPr>
        <w:t>, Early View.</w:t>
      </w:r>
      <w:r w:rsidR="001946FC" w:rsidRPr="001946FC">
        <w:rPr>
          <w:rFonts w:ascii="Garamond" w:hAnsi="Garamond" w:cs="AdvP7B6C"/>
          <w:lang w:val="en-AU"/>
        </w:rPr>
        <w:t xml:space="preserve"> </w:t>
      </w:r>
      <w:proofErr w:type="spellStart"/>
      <w:r w:rsidR="006E14E5">
        <w:rPr>
          <w:rFonts w:ascii="Garamond" w:hAnsi="Garamond" w:cs="AdvP7B6C"/>
          <w:lang w:val="en-AU"/>
        </w:rPr>
        <w:t>doi</w:t>
      </w:r>
      <w:proofErr w:type="spellEnd"/>
      <w:r w:rsidR="001946FC" w:rsidRPr="001946FC">
        <w:rPr>
          <w:rFonts w:ascii="Garamond" w:hAnsi="Garamond" w:cs="AdvP7B6C"/>
          <w:lang w:val="en-AU"/>
        </w:rPr>
        <w:t xml:space="preserve">: </w:t>
      </w:r>
      <w:r w:rsidR="001946FC" w:rsidRPr="001946FC">
        <w:rPr>
          <w:rFonts w:ascii="Garamond" w:hAnsi="Garamond" w:cs="AdvOT4b47d116"/>
          <w:lang w:val="en-AU"/>
        </w:rPr>
        <w:t>10.1111/dar.12812</w:t>
      </w:r>
    </w:p>
    <w:p w14:paraId="75A19531" w14:textId="77777777" w:rsidR="003C0744" w:rsidRPr="00C82BBD" w:rsidRDefault="003C0744" w:rsidP="00C82BBD">
      <w:pPr>
        <w:autoSpaceDE w:val="0"/>
        <w:autoSpaceDN w:val="0"/>
        <w:adjustRightInd w:val="0"/>
        <w:spacing w:after="0" w:line="480" w:lineRule="auto"/>
        <w:rPr>
          <w:rFonts w:ascii="Garamond" w:hAnsi="Garamond" w:cs="AdvP7B6C"/>
          <w:lang w:val="en-AU"/>
        </w:rPr>
      </w:pPr>
    </w:p>
    <w:p w14:paraId="5FAE1A07" w14:textId="35416DB6" w:rsidR="00723C6E" w:rsidRPr="00C82BBD" w:rsidRDefault="00723C6E" w:rsidP="00C82BBD">
      <w:pPr>
        <w:spacing w:line="480" w:lineRule="auto"/>
        <w:rPr>
          <w:rFonts w:ascii="Garamond" w:hAnsi="Garamond" w:cs="Arial"/>
        </w:rPr>
      </w:pPr>
      <w:r w:rsidRPr="00C82BBD">
        <w:rPr>
          <w:rFonts w:ascii="Garamond" w:hAnsi="Garamond" w:cs="Arial"/>
        </w:rPr>
        <w:t xml:space="preserve">Farrugia, </w:t>
      </w:r>
      <w:r w:rsidR="00C27301" w:rsidRPr="00C82BBD">
        <w:rPr>
          <w:rFonts w:ascii="Garamond" w:hAnsi="Garamond" w:cs="Arial"/>
        </w:rPr>
        <w:t xml:space="preserve">A., </w:t>
      </w:r>
      <w:r w:rsidRPr="00C82BBD">
        <w:rPr>
          <w:rFonts w:ascii="Garamond" w:hAnsi="Garamond" w:cs="Arial"/>
        </w:rPr>
        <w:t>Fraser,</w:t>
      </w:r>
      <w:r w:rsidR="00C27301" w:rsidRPr="00C82BBD">
        <w:rPr>
          <w:rFonts w:ascii="Garamond" w:hAnsi="Garamond" w:cs="Arial"/>
        </w:rPr>
        <w:t xml:space="preserve"> S.,</w:t>
      </w:r>
      <w:r w:rsidRPr="00C82BBD">
        <w:rPr>
          <w:rFonts w:ascii="Garamond" w:hAnsi="Garamond" w:cs="Arial"/>
        </w:rPr>
        <w:t xml:space="preserve"> &amp; Dwyer,</w:t>
      </w:r>
      <w:r w:rsidR="00C27301" w:rsidRPr="00C82BBD">
        <w:rPr>
          <w:rFonts w:ascii="Garamond" w:hAnsi="Garamond" w:cs="Arial"/>
        </w:rPr>
        <w:t xml:space="preserve"> R.</w:t>
      </w:r>
      <w:r w:rsidRPr="00C82BBD">
        <w:rPr>
          <w:rFonts w:ascii="Garamond" w:hAnsi="Garamond" w:cs="Arial"/>
        </w:rPr>
        <w:t xml:space="preserve"> </w:t>
      </w:r>
      <w:r w:rsidR="00C27301" w:rsidRPr="00C82BBD">
        <w:rPr>
          <w:rFonts w:ascii="Garamond" w:hAnsi="Garamond" w:cs="Arial"/>
        </w:rPr>
        <w:t>(</w:t>
      </w:r>
      <w:r w:rsidRPr="00C82BBD">
        <w:rPr>
          <w:rFonts w:ascii="Garamond" w:hAnsi="Garamond" w:cs="Arial"/>
        </w:rPr>
        <w:t>2017</w:t>
      </w:r>
      <w:r w:rsidR="00C27301" w:rsidRPr="00C82BBD">
        <w:rPr>
          <w:rFonts w:ascii="Garamond" w:hAnsi="Garamond" w:cs="Arial"/>
        </w:rPr>
        <w:t xml:space="preserve">). Assembling the social and political dimensions of take-home naloxone. </w:t>
      </w:r>
      <w:r w:rsidR="00C27301" w:rsidRPr="00C82BBD">
        <w:rPr>
          <w:rFonts w:ascii="Garamond" w:hAnsi="Garamond" w:cs="Arial"/>
          <w:i/>
        </w:rPr>
        <w:t xml:space="preserve">Contemporary Drug Problems, </w:t>
      </w:r>
      <w:r w:rsidR="00C27301" w:rsidRPr="00C82BBD">
        <w:rPr>
          <w:rFonts w:ascii="Garamond" w:hAnsi="Garamond" w:cs="Arial"/>
        </w:rPr>
        <w:t>44(3), 163-175.</w:t>
      </w:r>
    </w:p>
    <w:p w14:paraId="27B0B2AD" w14:textId="77777777" w:rsidR="008A1BCF" w:rsidRPr="00C82BBD" w:rsidRDefault="008A1BCF" w:rsidP="00C82BBD">
      <w:pPr>
        <w:spacing w:line="480" w:lineRule="auto"/>
        <w:rPr>
          <w:rFonts w:ascii="Garamond" w:hAnsi="Garamond" w:cs="Arial"/>
        </w:rPr>
      </w:pPr>
    </w:p>
    <w:p w14:paraId="2EE8B17C" w14:textId="64B2A40F" w:rsidR="00C27301" w:rsidRPr="00C82BBD"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Faulkner-</w:t>
      </w:r>
      <w:proofErr w:type="spellStart"/>
      <w:r w:rsidRPr="00C82BBD">
        <w:rPr>
          <w:rFonts w:ascii="Garamond" w:hAnsi="Garamond" w:cs="AdvP7B6C"/>
          <w:lang w:val="en-AU"/>
        </w:rPr>
        <w:t>Gurstein</w:t>
      </w:r>
      <w:proofErr w:type="spellEnd"/>
      <w:r w:rsidRPr="00C82BBD">
        <w:rPr>
          <w:rFonts w:ascii="Garamond" w:hAnsi="Garamond" w:cs="AdvP7B6C"/>
          <w:lang w:val="en-AU"/>
        </w:rPr>
        <w:t>, R. (2017). The social logic of naloxone: Peer administration, harm reduction, and the transformation</w:t>
      </w:r>
      <w:r w:rsidR="00704F5D" w:rsidRPr="00C82BBD">
        <w:rPr>
          <w:rFonts w:ascii="Garamond" w:hAnsi="Garamond" w:cs="AdvP7B6C"/>
          <w:lang w:val="en-AU"/>
        </w:rPr>
        <w:t xml:space="preserve"> </w:t>
      </w:r>
      <w:r w:rsidRPr="00C82BBD">
        <w:rPr>
          <w:rFonts w:ascii="Garamond" w:hAnsi="Garamond" w:cs="AdvP7B6C"/>
          <w:lang w:val="en-AU"/>
        </w:rPr>
        <w:t xml:space="preserve">of social policy. </w:t>
      </w:r>
      <w:r w:rsidRPr="00C82BBD">
        <w:rPr>
          <w:rFonts w:ascii="Garamond" w:hAnsi="Garamond" w:cs="AdvP7B72"/>
          <w:i/>
          <w:lang w:val="en-AU"/>
        </w:rPr>
        <w:t>Social Science &amp; Medicine</w:t>
      </w:r>
      <w:r w:rsidRPr="00C82BBD">
        <w:rPr>
          <w:rFonts w:ascii="Garamond" w:hAnsi="Garamond" w:cs="AdvP7B6C"/>
          <w:lang w:val="en-AU"/>
        </w:rPr>
        <w:t xml:space="preserve">, </w:t>
      </w:r>
      <w:r w:rsidRPr="00C82BBD">
        <w:rPr>
          <w:rFonts w:ascii="Garamond" w:hAnsi="Garamond" w:cs="AdvP7B72"/>
          <w:lang w:val="en-AU"/>
        </w:rPr>
        <w:t>180</w:t>
      </w:r>
      <w:r w:rsidRPr="00C82BBD">
        <w:rPr>
          <w:rFonts w:ascii="Garamond" w:hAnsi="Garamond" w:cs="AdvP7B6C"/>
          <w:lang w:val="en-AU"/>
        </w:rPr>
        <w:t>, 20–27.</w:t>
      </w:r>
    </w:p>
    <w:p w14:paraId="52740C7A" w14:textId="77777777" w:rsidR="00085CA9" w:rsidRPr="00C82BBD" w:rsidRDefault="00085CA9" w:rsidP="00C82BBD">
      <w:pPr>
        <w:autoSpaceDE w:val="0"/>
        <w:autoSpaceDN w:val="0"/>
        <w:adjustRightInd w:val="0"/>
        <w:spacing w:after="0" w:line="480" w:lineRule="auto"/>
        <w:rPr>
          <w:rFonts w:ascii="Garamond" w:hAnsi="Garamond" w:cs="AdvP7B6C"/>
          <w:lang w:val="en-AU"/>
        </w:rPr>
      </w:pPr>
    </w:p>
    <w:p w14:paraId="5CAC013B" w14:textId="442CD38B" w:rsidR="00A31B9D" w:rsidRPr="00C82BBD" w:rsidRDefault="00085CA9" w:rsidP="00C82BBD">
      <w:pPr>
        <w:autoSpaceDE w:val="0"/>
        <w:autoSpaceDN w:val="0"/>
        <w:adjustRightInd w:val="0"/>
        <w:spacing w:after="0" w:line="480" w:lineRule="auto"/>
        <w:rPr>
          <w:rFonts w:ascii="Garamond" w:hAnsi="Garamond" w:cs="AdvP7B6C"/>
          <w:lang w:val="en-AU"/>
        </w:rPr>
      </w:pPr>
      <w:proofErr w:type="spellStart"/>
      <w:r w:rsidRPr="00C82BBD">
        <w:rPr>
          <w:rFonts w:ascii="Garamond" w:hAnsi="Garamond" w:cs="AdvP7B6C"/>
          <w:lang w:val="en-AU"/>
        </w:rPr>
        <w:t>Flyvbjerg</w:t>
      </w:r>
      <w:proofErr w:type="spellEnd"/>
      <w:r w:rsidRPr="00C82BBD">
        <w:rPr>
          <w:rFonts w:ascii="Garamond" w:hAnsi="Garamond" w:cs="AdvP7B6C"/>
          <w:lang w:val="en-AU"/>
        </w:rPr>
        <w:t xml:space="preserve">, B. (2006). Five misunderstandings about case-study research. </w:t>
      </w:r>
      <w:r w:rsidRPr="00C82BBD">
        <w:rPr>
          <w:rFonts w:ascii="Garamond" w:hAnsi="Garamond" w:cs="AdvP7B6C"/>
          <w:i/>
          <w:lang w:val="en-AU"/>
        </w:rPr>
        <w:t>Qualitative Inquiry</w:t>
      </w:r>
      <w:r w:rsidRPr="00C82BBD">
        <w:rPr>
          <w:rFonts w:ascii="Garamond" w:hAnsi="Garamond" w:cs="AdvP7B6C"/>
          <w:lang w:val="en-AU"/>
        </w:rPr>
        <w:t>, 12(2), 219-245.</w:t>
      </w:r>
    </w:p>
    <w:p w14:paraId="06BC63BA" w14:textId="77777777" w:rsidR="00AC3757" w:rsidRPr="00C82BBD" w:rsidRDefault="00AC3757" w:rsidP="00C82BBD">
      <w:pPr>
        <w:autoSpaceDE w:val="0"/>
        <w:autoSpaceDN w:val="0"/>
        <w:adjustRightInd w:val="0"/>
        <w:spacing w:after="0" w:line="480" w:lineRule="auto"/>
        <w:rPr>
          <w:rFonts w:ascii="Garamond" w:hAnsi="Garamond" w:cs="AdvP7B6C"/>
          <w:lang w:val="en-AU"/>
        </w:rPr>
      </w:pPr>
    </w:p>
    <w:p w14:paraId="4DB82008" w14:textId="6DBE0E70" w:rsidR="00A31B9D" w:rsidRPr="00C82BBD" w:rsidRDefault="00A31B9D"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Fomiatti, R., Moore, D., Fraser, S. (2017). </w:t>
      </w:r>
      <w:proofErr w:type="spellStart"/>
      <w:r w:rsidRPr="00C82BBD">
        <w:rPr>
          <w:rFonts w:ascii="Garamond" w:hAnsi="Garamond" w:cs="AdvP7B6C"/>
          <w:lang w:val="en-AU"/>
        </w:rPr>
        <w:t>Interpellating</w:t>
      </w:r>
      <w:proofErr w:type="spellEnd"/>
      <w:r w:rsidRPr="00C82BBD">
        <w:rPr>
          <w:rFonts w:ascii="Garamond" w:hAnsi="Garamond" w:cs="AdvP7B6C"/>
          <w:lang w:val="en-AU"/>
        </w:rPr>
        <w:t xml:space="preserve"> recovery: The politics of ‘identity’ in recovery-focused treatment. </w:t>
      </w:r>
      <w:r w:rsidRPr="00C82BBD">
        <w:rPr>
          <w:rFonts w:ascii="Garamond" w:hAnsi="Garamond" w:cs="IBJGD C+ Gulliver IT"/>
          <w:i/>
        </w:rPr>
        <w:t xml:space="preserve">International Journal of Drug Policy, </w:t>
      </w:r>
      <w:r w:rsidRPr="00C82BBD">
        <w:rPr>
          <w:rFonts w:ascii="Garamond" w:hAnsi="Garamond" w:cs="IBJGD C+ Gulliver IT"/>
        </w:rPr>
        <w:t>44, 174-182.</w:t>
      </w:r>
    </w:p>
    <w:p w14:paraId="344CBD2D"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27F54B66" w14:textId="21522E41" w:rsidR="007A413B" w:rsidRPr="00C82BBD" w:rsidRDefault="007A413B" w:rsidP="00C82BBD">
      <w:pPr>
        <w:spacing w:line="480" w:lineRule="auto"/>
        <w:rPr>
          <w:rFonts w:ascii="Garamond" w:hAnsi="Garamond"/>
        </w:rPr>
      </w:pPr>
      <w:r w:rsidRPr="00C82BBD">
        <w:rPr>
          <w:rFonts w:ascii="Garamond" w:hAnsi="Garamond"/>
        </w:rPr>
        <w:t xml:space="preserve">Fraser, S. (2013). The missing mass of morality: A new </w:t>
      </w:r>
      <w:proofErr w:type="spellStart"/>
      <w:r w:rsidRPr="00C82BBD">
        <w:rPr>
          <w:rFonts w:ascii="Garamond" w:hAnsi="Garamond"/>
        </w:rPr>
        <w:t>fitpack</w:t>
      </w:r>
      <w:proofErr w:type="spellEnd"/>
      <w:r w:rsidRPr="00C82BBD">
        <w:rPr>
          <w:rFonts w:ascii="Garamond" w:hAnsi="Garamond"/>
        </w:rPr>
        <w:t xml:space="preserve"> design for </w:t>
      </w:r>
      <w:proofErr w:type="spellStart"/>
      <w:r w:rsidRPr="00C82BBD">
        <w:rPr>
          <w:rFonts w:ascii="Garamond" w:hAnsi="Garamond"/>
        </w:rPr>
        <w:t>hepatitisC</w:t>
      </w:r>
      <w:proofErr w:type="spellEnd"/>
      <w:r w:rsidRPr="00C82BBD">
        <w:rPr>
          <w:rFonts w:ascii="Garamond" w:hAnsi="Garamond"/>
        </w:rPr>
        <w:t xml:space="preserve"> prevention in sexual partnerships. </w:t>
      </w:r>
      <w:r w:rsidRPr="00C82BBD">
        <w:rPr>
          <w:rFonts w:ascii="Garamond" w:hAnsi="Garamond" w:cs="IBJGD C+ Gulliver IT"/>
          <w:i/>
        </w:rPr>
        <w:t>International Journal of Drug Policy</w:t>
      </w:r>
      <w:r w:rsidRPr="00C82BBD">
        <w:rPr>
          <w:rFonts w:ascii="Garamond" w:hAnsi="Garamond"/>
        </w:rPr>
        <w:t xml:space="preserve">, </w:t>
      </w:r>
      <w:r w:rsidRPr="00C82BBD">
        <w:rPr>
          <w:rFonts w:ascii="Garamond" w:hAnsi="Garamond" w:cs="IBJGD C+ Gulliver IT"/>
        </w:rPr>
        <w:t>24</w:t>
      </w:r>
      <w:r w:rsidRPr="00C82BBD">
        <w:rPr>
          <w:rFonts w:ascii="Garamond" w:hAnsi="Garamond"/>
        </w:rPr>
        <w:t>(3), 212–219.</w:t>
      </w:r>
    </w:p>
    <w:p w14:paraId="793A8B6D" w14:textId="77777777" w:rsidR="003E6E2C" w:rsidRPr="00C82BBD" w:rsidRDefault="003E6E2C" w:rsidP="00C82BBD">
      <w:pPr>
        <w:spacing w:line="480" w:lineRule="auto"/>
        <w:rPr>
          <w:rFonts w:ascii="Garamond" w:hAnsi="Garamond"/>
        </w:rPr>
      </w:pPr>
    </w:p>
    <w:p w14:paraId="5DDB5B5F" w14:textId="51F262E3" w:rsidR="00EB1D7C" w:rsidRPr="00C82BBD" w:rsidRDefault="00EB1D7C" w:rsidP="00C82BBD">
      <w:pPr>
        <w:spacing w:line="480" w:lineRule="auto"/>
        <w:rPr>
          <w:rFonts w:ascii="Garamond" w:hAnsi="Garamond" w:cs="Arial"/>
          <w:color w:val="000000"/>
          <w:shd w:val="clear" w:color="auto" w:fill="FFFFFF"/>
        </w:rPr>
      </w:pPr>
      <w:r w:rsidRPr="00C82BBD">
        <w:rPr>
          <w:rFonts w:ascii="Garamond" w:hAnsi="Garamond" w:cs="Arial"/>
          <w:color w:val="000000"/>
          <w:shd w:val="clear" w:color="auto" w:fill="FFFFFF"/>
        </w:rPr>
        <w:t xml:space="preserve">Fraser, S., Treloar, C., </w:t>
      </w:r>
      <w:proofErr w:type="spellStart"/>
      <w:r w:rsidRPr="00C82BBD">
        <w:rPr>
          <w:rFonts w:ascii="Garamond" w:hAnsi="Garamond" w:cs="Arial"/>
          <w:color w:val="000000"/>
          <w:shd w:val="clear" w:color="auto" w:fill="FFFFFF"/>
        </w:rPr>
        <w:t>Gandera</w:t>
      </w:r>
      <w:proofErr w:type="spellEnd"/>
      <w:r w:rsidRPr="00C82BBD">
        <w:rPr>
          <w:rFonts w:ascii="Garamond" w:hAnsi="Garamond" w:cs="Arial"/>
          <w:color w:val="000000"/>
          <w:shd w:val="clear" w:color="auto" w:fill="FFFFFF"/>
        </w:rPr>
        <w:t xml:space="preserve">, S. and Rance, J. (2017). ‘Affording’ new approaches to couples who inject drugs: A novel </w:t>
      </w:r>
      <w:proofErr w:type="spellStart"/>
      <w:r w:rsidRPr="00C82BBD">
        <w:rPr>
          <w:rFonts w:ascii="Garamond" w:hAnsi="Garamond" w:cs="Arial"/>
          <w:color w:val="000000"/>
          <w:shd w:val="clear" w:color="auto" w:fill="FFFFFF"/>
        </w:rPr>
        <w:t>fitpack</w:t>
      </w:r>
      <w:proofErr w:type="spellEnd"/>
      <w:r w:rsidRPr="00C82BBD">
        <w:rPr>
          <w:rFonts w:ascii="Garamond" w:hAnsi="Garamond" w:cs="Arial"/>
          <w:color w:val="000000"/>
          <w:shd w:val="clear" w:color="auto" w:fill="FFFFFF"/>
        </w:rPr>
        <w:t xml:space="preserve"> design for hepatitis C prevention. </w:t>
      </w:r>
      <w:r w:rsidRPr="00C82BBD">
        <w:rPr>
          <w:rStyle w:val="Emphasis"/>
          <w:rFonts w:ascii="Garamond" w:hAnsi="Garamond" w:cs="Arial"/>
          <w:color w:val="000000"/>
          <w:shd w:val="clear" w:color="auto" w:fill="FFFFFF"/>
        </w:rPr>
        <w:t xml:space="preserve">International Journal of Drug Policy, </w:t>
      </w:r>
      <w:r w:rsidRPr="00C82BBD">
        <w:rPr>
          <w:rStyle w:val="Emphasis"/>
          <w:rFonts w:ascii="Garamond" w:hAnsi="Garamond" w:cs="Arial"/>
          <w:i w:val="0"/>
          <w:color w:val="000000"/>
          <w:shd w:val="clear" w:color="auto" w:fill="FFFFFF"/>
        </w:rPr>
        <w:t>50</w:t>
      </w:r>
      <w:r w:rsidRPr="00C82BBD">
        <w:rPr>
          <w:rStyle w:val="Emphasis"/>
          <w:rFonts w:ascii="Garamond" w:hAnsi="Garamond" w:cs="Arial"/>
          <w:color w:val="000000"/>
          <w:shd w:val="clear" w:color="auto" w:fill="FFFFFF"/>
        </w:rPr>
        <w:t>,</w:t>
      </w:r>
      <w:r w:rsidR="00482DB1" w:rsidRPr="00C82BBD">
        <w:rPr>
          <w:rFonts w:ascii="Garamond" w:hAnsi="Garamond" w:cs="Arial"/>
          <w:color w:val="000000"/>
          <w:shd w:val="clear" w:color="auto" w:fill="FFFFFF"/>
        </w:rPr>
        <w:t> </w:t>
      </w:r>
      <w:r w:rsidRPr="00C82BBD">
        <w:rPr>
          <w:rFonts w:ascii="Garamond" w:hAnsi="Garamond" w:cs="Arial"/>
          <w:color w:val="000000"/>
          <w:shd w:val="clear" w:color="auto" w:fill="FFFFFF"/>
        </w:rPr>
        <w:t>19-35.</w:t>
      </w:r>
    </w:p>
    <w:p w14:paraId="304C6700" w14:textId="77777777" w:rsidR="00EF5459" w:rsidRPr="00C82BBD" w:rsidRDefault="00EF5459" w:rsidP="00C82BBD">
      <w:pPr>
        <w:spacing w:line="480" w:lineRule="auto"/>
        <w:rPr>
          <w:rFonts w:ascii="Garamond" w:hAnsi="Garamond"/>
        </w:rPr>
      </w:pPr>
    </w:p>
    <w:p w14:paraId="3F5FE531" w14:textId="19CA3CA1" w:rsidR="00736716" w:rsidRPr="00C82BBD" w:rsidRDefault="00736716"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lastRenderedPageBreak/>
        <w:t>Fraser, S., Pienaar,</w:t>
      </w:r>
      <w:r w:rsidR="00F40B51" w:rsidRPr="00C82BBD">
        <w:rPr>
          <w:rFonts w:ascii="Garamond" w:hAnsi="Garamond" w:cs="AdvP7B6C"/>
          <w:lang w:val="en-AU"/>
        </w:rPr>
        <w:t xml:space="preserve"> </w:t>
      </w:r>
      <w:r w:rsidRPr="00C82BBD">
        <w:rPr>
          <w:rFonts w:ascii="Garamond" w:hAnsi="Garamond" w:cs="AdvP7B6C"/>
          <w:lang w:val="en-AU"/>
        </w:rPr>
        <w:t>K., Dilkes-Frayne, E., Moore, D.,</w:t>
      </w:r>
      <w:r w:rsidR="00F40B51" w:rsidRPr="00C82BBD">
        <w:rPr>
          <w:rFonts w:ascii="Garamond" w:hAnsi="Garamond" w:cs="AdvP7B6C"/>
          <w:lang w:val="en-AU"/>
        </w:rPr>
        <w:t xml:space="preserve"> </w:t>
      </w:r>
      <w:proofErr w:type="spellStart"/>
      <w:r w:rsidR="00F40B51" w:rsidRPr="00C82BBD">
        <w:rPr>
          <w:rFonts w:ascii="Garamond" w:hAnsi="Garamond" w:cs="AdvP7B6C"/>
          <w:lang w:val="en-AU"/>
        </w:rPr>
        <w:t>Kokanovic</w:t>
      </w:r>
      <w:proofErr w:type="spellEnd"/>
      <w:r w:rsidR="00F40B51" w:rsidRPr="00C82BBD">
        <w:rPr>
          <w:rFonts w:ascii="Garamond" w:hAnsi="Garamond" w:cs="AdvP7B6C"/>
          <w:lang w:val="en-AU"/>
        </w:rPr>
        <w:t>,</w:t>
      </w:r>
      <w:r w:rsidR="00B45EBC" w:rsidRPr="00C82BBD">
        <w:rPr>
          <w:rFonts w:ascii="Garamond" w:hAnsi="Garamond" w:cs="AdvP7B6C"/>
          <w:lang w:val="en-AU"/>
        </w:rPr>
        <w:t xml:space="preserve"> </w:t>
      </w:r>
      <w:r w:rsidR="00F40B51" w:rsidRPr="00C82BBD">
        <w:rPr>
          <w:rFonts w:ascii="Garamond" w:hAnsi="Garamond" w:cs="AdvP7B6C"/>
          <w:lang w:val="en-AU"/>
        </w:rPr>
        <w:t xml:space="preserve">R., Treloar, C. </w:t>
      </w:r>
      <w:r w:rsidRPr="00C82BBD">
        <w:rPr>
          <w:rFonts w:ascii="Garamond" w:hAnsi="Garamond" w:cs="AdvP7B6C"/>
          <w:lang w:val="en-AU"/>
        </w:rPr>
        <w:t>&amp;</w:t>
      </w:r>
      <w:r w:rsidR="00F40B51" w:rsidRPr="00C82BBD">
        <w:rPr>
          <w:rFonts w:ascii="Garamond" w:hAnsi="Garamond" w:cs="AdvP7B6C"/>
          <w:lang w:val="en-AU"/>
        </w:rPr>
        <w:t xml:space="preserve"> </w:t>
      </w:r>
      <w:r w:rsidRPr="00C82BBD">
        <w:rPr>
          <w:rFonts w:ascii="Garamond" w:hAnsi="Garamond" w:cs="AdvP7B6C"/>
          <w:lang w:val="en-AU"/>
        </w:rPr>
        <w:t>Dunlop, A. (2017).</w:t>
      </w:r>
      <w:r w:rsidR="00F40B51" w:rsidRPr="00C82BBD">
        <w:rPr>
          <w:rFonts w:ascii="Garamond" w:hAnsi="Garamond" w:cs="AdvP7B6C"/>
          <w:lang w:val="en-AU"/>
        </w:rPr>
        <w:t xml:space="preserve"> </w:t>
      </w:r>
      <w:r w:rsidRPr="00C82BBD">
        <w:rPr>
          <w:rFonts w:ascii="Garamond" w:hAnsi="Garamond" w:cs="AdvP7B6C"/>
          <w:lang w:val="en-AU"/>
        </w:rPr>
        <w:t>Addiction stigma</w:t>
      </w:r>
      <w:r w:rsidR="00B37605" w:rsidRPr="00C82BBD">
        <w:rPr>
          <w:rFonts w:ascii="Garamond" w:hAnsi="Garamond" w:cs="AdvP7B6C"/>
          <w:lang w:val="en-AU"/>
        </w:rPr>
        <w:t xml:space="preserve"> </w:t>
      </w:r>
      <w:r w:rsidRPr="00C82BBD">
        <w:rPr>
          <w:rFonts w:ascii="Garamond" w:hAnsi="Garamond" w:cs="AdvP7B6C"/>
          <w:lang w:val="en-AU"/>
        </w:rPr>
        <w:t xml:space="preserve">and the biopolitics of liberal modernity: A qualitative analysis. </w:t>
      </w:r>
      <w:r w:rsidRPr="00C82BBD">
        <w:rPr>
          <w:rFonts w:ascii="Garamond" w:hAnsi="Garamond" w:cs="AdvP7B72"/>
          <w:i/>
          <w:lang w:val="en-AU"/>
        </w:rPr>
        <w:t>International Journal of Drug Policy</w:t>
      </w:r>
      <w:r w:rsidRPr="00C82BBD">
        <w:rPr>
          <w:rFonts w:ascii="Garamond" w:hAnsi="Garamond" w:cs="AdvP7B6C"/>
          <w:lang w:val="en-AU"/>
        </w:rPr>
        <w:t xml:space="preserve">, </w:t>
      </w:r>
      <w:r w:rsidRPr="00C82BBD">
        <w:rPr>
          <w:rFonts w:ascii="Garamond" w:hAnsi="Garamond" w:cs="AdvP7B72"/>
          <w:lang w:val="en-AU"/>
        </w:rPr>
        <w:t>44</w:t>
      </w:r>
      <w:r w:rsidRPr="00C82BBD">
        <w:rPr>
          <w:rFonts w:ascii="Garamond" w:hAnsi="Garamond" w:cs="AdvP7B6C"/>
          <w:lang w:val="en-AU"/>
        </w:rPr>
        <w:t>, 192–201.</w:t>
      </w:r>
    </w:p>
    <w:p w14:paraId="7E84B551" w14:textId="77777777" w:rsidR="00AC3757" w:rsidRPr="00C82BBD" w:rsidRDefault="00AC3757" w:rsidP="00C82BBD">
      <w:pPr>
        <w:autoSpaceDE w:val="0"/>
        <w:autoSpaceDN w:val="0"/>
        <w:adjustRightInd w:val="0"/>
        <w:spacing w:after="0" w:line="480" w:lineRule="auto"/>
        <w:rPr>
          <w:rFonts w:ascii="Garamond" w:eastAsia="TimesNewRomanPSMT" w:hAnsi="Garamond" w:cs="TimesNewRomanPSMT"/>
          <w:lang w:val="en-AU"/>
        </w:rPr>
      </w:pPr>
    </w:p>
    <w:p w14:paraId="68F73220" w14:textId="6D014B91" w:rsidR="00AC3757" w:rsidRPr="00C82BBD" w:rsidRDefault="00062263" w:rsidP="00C82BBD">
      <w:pPr>
        <w:spacing w:line="480" w:lineRule="auto"/>
        <w:rPr>
          <w:rFonts w:ascii="Garamond" w:hAnsi="Garamond"/>
          <w:shd w:val="clear" w:color="auto" w:fill="FFFFFF"/>
        </w:rPr>
      </w:pPr>
      <w:r w:rsidRPr="00C82BBD">
        <w:rPr>
          <w:rStyle w:val="refauthors"/>
          <w:rFonts w:ascii="Garamond" w:hAnsi="Garamond"/>
          <w:shd w:val="clear" w:color="auto" w:fill="FFFFFF"/>
        </w:rPr>
        <w:t>Fraser, S., Rance, J., Treloar, C.</w:t>
      </w:r>
      <w:r w:rsidR="00F40B51" w:rsidRPr="00C82BBD">
        <w:rPr>
          <w:rStyle w:val="refauthors"/>
          <w:rFonts w:ascii="Garamond" w:hAnsi="Garamond"/>
          <w:shd w:val="clear" w:color="auto" w:fill="FFFFFF"/>
        </w:rPr>
        <w:t xml:space="preserve"> (2016)</w:t>
      </w:r>
      <w:r w:rsidRPr="00C82BBD">
        <w:rPr>
          <w:rStyle w:val="refauthors"/>
          <w:rFonts w:ascii="Garamond" w:hAnsi="Garamond"/>
          <w:shd w:val="clear" w:color="auto" w:fill="FFFFFF"/>
        </w:rPr>
        <w:t> </w:t>
      </w:r>
      <w:r w:rsidRPr="00C82BBD">
        <w:rPr>
          <w:rStyle w:val="reftitle"/>
          <w:rFonts w:ascii="Garamond" w:hAnsi="Garamond"/>
          <w:bCs/>
          <w:shd w:val="clear" w:color="auto" w:fill="FFFFFF"/>
        </w:rPr>
        <w:t xml:space="preserve">Hepatitis C prevention and convenience: Why do people who inject drugs in sexual partnerships ‘run out’ of sterile </w:t>
      </w:r>
      <w:proofErr w:type="gramStart"/>
      <w:r w:rsidRPr="00C82BBD">
        <w:rPr>
          <w:rStyle w:val="reftitle"/>
          <w:rFonts w:ascii="Garamond" w:hAnsi="Garamond"/>
          <w:bCs/>
          <w:shd w:val="clear" w:color="auto" w:fill="FFFFFF"/>
        </w:rPr>
        <w:t>equipment?.</w:t>
      </w:r>
      <w:proofErr w:type="gramEnd"/>
      <w:r w:rsidRPr="00C82BBD">
        <w:rPr>
          <w:rStyle w:val="reftitle"/>
          <w:rFonts w:ascii="Garamond" w:hAnsi="Garamond"/>
          <w:bCs/>
          <w:shd w:val="clear" w:color="auto" w:fill="FFFFFF"/>
        </w:rPr>
        <w:t> </w:t>
      </w:r>
      <w:r w:rsidRPr="00C82BBD">
        <w:rPr>
          <w:rStyle w:val="refseriestitle"/>
          <w:rFonts w:ascii="Garamond" w:hAnsi="Garamond"/>
          <w:i/>
          <w:iCs/>
          <w:shd w:val="clear" w:color="auto" w:fill="FFFFFF"/>
        </w:rPr>
        <w:t>Critical Public Health</w:t>
      </w:r>
      <w:r w:rsidRPr="00C82BBD">
        <w:rPr>
          <w:rStyle w:val="reference"/>
          <w:rFonts w:ascii="Garamond" w:hAnsi="Garamond"/>
          <w:shd w:val="clear" w:color="auto" w:fill="FFFFFF"/>
        </w:rPr>
        <w:t xml:space="preserve">, </w:t>
      </w:r>
      <w:r w:rsidRPr="00C82BBD">
        <w:rPr>
          <w:rStyle w:val="refseriesvolume"/>
          <w:rFonts w:ascii="Garamond" w:hAnsi="Garamond"/>
          <w:shd w:val="clear" w:color="auto" w:fill="FFFFFF"/>
        </w:rPr>
        <w:t>26</w:t>
      </w:r>
      <w:r w:rsidRPr="00C82BBD">
        <w:rPr>
          <w:rStyle w:val="reference"/>
          <w:rFonts w:ascii="Garamond" w:hAnsi="Garamond"/>
          <w:shd w:val="clear" w:color="auto" w:fill="FFFFFF"/>
        </w:rPr>
        <w:t xml:space="preserve">, </w:t>
      </w:r>
      <w:r w:rsidRPr="00C82BBD">
        <w:rPr>
          <w:rStyle w:val="refpages"/>
          <w:rFonts w:ascii="Garamond" w:hAnsi="Garamond"/>
          <w:shd w:val="clear" w:color="auto" w:fill="FFFFFF"/>
        </w:rPr>
        <w:t>294–306</w:t>
      </w:r>
      <w:r w:rsidRPr="00C82BBD">
        <w:rPr>
          <w:rFonts w:ascii="Garamond" w:hAnsi="Garamond"/>
          <w:shd w:val="clear" w:color="auto" w:fill="FFFFFF"/>
        </w:rPr>
        <w:t>.</w:t>
      </w:r>
    </w:p>
    <w:p w14:paraId="65BCDF2A" w14:textId="77777777" w:rsidR="00AC3757" w:rsidRPr="00C82BBD" w:rsidRDefault="00AC3757" w:rsidP="00C82BBD">
      <w:pPr>
        <w:spacing w:line="480" w:lineRule="auto"/>
        <w:rPr>
          <w:rFonts w:ascii="Garamond" w:hAnsi="Garamond"/>
          <w:lang w:val="en-AU"/>
        </w:rPr>
      </w:pPr>
    </w:p>
    <w:p w14:paraId="40C35BDB" w14:textId="0BEA22F9" w:rsidR="008A1BCF" w:rsidRPr="00C82BBD" w:rsidRDefault="00DB0930" w:rsidP="00C82BBD">
      <w:pPr>
        <w:spacing w:line="480" w:lineRule="auto"/>
        <w:rPr>
          <w:rFonts w:ascii="Garamond" w:hAnsi="Garamond"/>
          <w:lang w:val="en-AU"/>
        </w:rPr>
      </w:pPr>
      <w:r w:rsidRPr="00C82BBD">
        <w:rPr>
          <w:rFonts w:ascii="Garamond" w:hAnsi="Garamond"/>
          <w:lang w:val="en-AU"/>
        </w:rPr>
        <w:t xml:space="preserve">Fraser. S. &amp; Seear, K. (2011). </w:t>
      </w:r>
      <w:r w:rsidR="003F0E23" w:rsidRPr="00C82BBD">
        <w:rPr>
          <w:rFonts w:ascii="Garamond" w:hAnsi="Garamond"/>
          <w:i/>
          <w:lang w:val="en-AU"/>
        </w:rPr>
        <w:t xml:space="preserve">Making disease, making citizens: The politics of hepatitis C. </w:t>
      </w:r>
      <w:r w:rsidR="003F0E23" w:rsidRPr="00C82BBD">
        <w:rPr>
          <w:rFonts w:ascii="Garamond" w:hAnsi="Garamond"/>
          <w:lang w:val="en-AU"/>
        </w:rPr>
        <w:t>Ashgate, Surrey.</w:t>
      </w:r>
    </w:p>
    <w:p w14:paraId="3C52F975" w14:textId="77777777" w:rsidR="008A1BCF" w:rsidRDefault="008A1BCF" w:rsidP="00C82BBD">
      <w:pPr>
        <w:spacing w:line="480" w:lineRule="auto"/>
        <w:rPr>
          <w:rFonts w:ascii="Garamond" w:hAnsi="Garamond" w:cs="Arial"/>
        </w:rPr>
      </w:pPr>
    </w:p>
    <w:p w14:paraId="4EC9F911" w14:textId="1F4B9A82" w:rsidR="003146F9" w:rsidRDefault="003146F9" w:rsidP="00C82BBD">
      <w:pPr>
        <w:spacing w:line="480" w:lineRule="auto"/>
        <w:rPr>
          <w:rFonts w:ascii="Garamond" w:hAnsi="Garamond" w:cs="Arial"/>
        </w:rPr>
      </w:pPr>
      <w:r>
        <w:rPr>
          <w:rFonts w:ascii="Garamond" w:hAnsi="Garamond" w:cs="Arial"/>
        </w:rPr>
        <w:t xml:space="preserve">Gill, N., Singleton, V., &amp; Waterton, C. (2017). The politics of policy practices. </w:t>
      </w:r>
      <w:r w:rsidRPr="003146F9">
        <w:rPr>
          <w:rFonts w:ascii="Garamond" w:hAnsi="Garamond" w:cs="Arial"/>
          <w:i/>
        </w:rPr>
        <w:t>The Sociological Review</w:t>
      </w:r>
      <w:r w:rsidR="009C235C">
        <w:rPr>
          <w:rFonts w:ascii="Garamond" w:hAnsi="Garamond" w:cs="Arial"/>
          <w:i/>
        </w:rPr>
        <w:t xml:space="preserve"> Monographs</w:t>
      </w:r>
      <w:r>
        <w:rPr>
          <w:rFonts w:ascii="Garamond" w:hAnsi="Garamond" w:cs="Arial"/>
        </w:rPr>
        <w:t>, 65 (2), 3-19.</w:t>
      </w:r>
    </w:p>
    <w:p w14:paraId="2F403F52" w14:textId="77777777" w:rsidR="003146F9" w:rsidRPr="00C82BBD" w:rsidRDefault="003146F9" w:rsidP="00C82BBD">
      <w:pPr>
        <w:spacing w:line="480" w:lineRule="auto"/>
        <w:rPr>
          <w:rFonts w:ascii="Garamond" w:hAnsi="Garamond" w:cs="Arial"/>
        </w:rPr>
      </w:pPr>
    </w:p>
    <w:p w14:paraId="18B08A61" w14:textId="3661F4A0" w:rsidR="00C27301" w:rsidRPr="00C82BBD" w:rsidRDefault="00C27301" w:rsidP="00C82BBD">
      <w:pPr>
        <w:autoSpaceDE w:val="0"/>
        <w:autoSpaceDN w:val="0"/>
        <w:adjustRightInd w:val="0"/>
        <w:spacing w:after="0" w:line="480" w:lineRule="auto"/>
        <w:rPr>
          <w:rFonts w:ascii="Garamond" w:hAnsi="Garamond" w:cs="AdvP7B6C"/>
          <w:lang w:val="en-AU"/>
        </w:rPr>
      </w:pPr>
      <w:proofErr w:type="spellStart"/>
      <w:r w:rsidRPr="00C82BBD">
        <w:rPr>
          <w:rFonts w:ascii="Garamond" w:hAnsi="Garamond" w:cs="AdvP7B6C"/>
          <w:lang w:val="en-AU"/>
        </w:rPr>
        <w:t>Lagu</w:t>
      </w:r>
      <w:proofErr w:type="spellEnd"/>
      <w:r w:rsidRPr="00C82BBD">
        <w:rPr>
          <w:rFonts w:ascii="Garamond" w:hAnsi="Garamond" w:cs="AdvP7B6C"/>
          <w:lang w:val="en-AU"/>
        </w:rPr>
        <w:t>, T., Anderson, B., &amp; Stein, M. (2006). Overdoses among friends: Drug users are willing to administer</w:t>
      </w:r>
      <w:r w:rsidR="00704F5D" w:rsidRPr="00C82BBD">
        <w:rPr>
          <w:rFonts w:ascii="Garamond" w:hAnsi="Garamond" w:cs="AdvP7B6C"/>
          <w:lang w:val="en-AU"/>
        </w:rPr>
        <w:t xml:space="preserve"> </w:t>
      </w:r>
      <w:r w:rsidRPr="00C82BBD">
        <w:rPr>
          <w:rFonts w:ascii="Garamond" w:hAnsi="Garamond" w:cs="AdvP7B6C"/>
          <w:lang w:val="en-AU"/>
        </w:rPr>
        <w:t xml:space="preserve">naloxone to others. </w:t>
      </w:r>
      <w:r w:rsidRPr="00C82BBD">
        <w:rPr>
          <w:rFonts w:ascii="Garamond" w:hAnsi="Garamond" w:cs="AdvP7B72"/>
          <w:i/>
          <w:lang w:val="en-AU"/>
        </w:rPr>
        <w:t>Journal of Substance Abuse Treatment</w:t>
      </w:r>
      <w:r w:rsidRPr="00C82BBD">
        <w:rPr>
          <w:rFonts w:ascii="Garamond" w:hAnsi="Garamond" w:cs="AdvP7B6C"/>
          <w:lang w:val="en-AU"/>
        </w:rPr>
        <w:t xml:space="preserve">, </w:t>
      </w:r>
      <w:r w:rsidRPr="00C82BBD">
        <w:rPr>
          <w:rFonts w:ascii="Garamond" w:hAnsi="Garamond" w:cs="AdvP7B72"/>
          <w:lang w:val="en-AU"/>
        </w:rPr>
        <w:t>30</w:t>
      </w:r>
      <w:r w:rsidRPr="00C82BBD">
        <w:rPr>
          <w:rFonts w:ascii="Garamond" w:hAnsi="Garamond" w:cs="AdvP7B6C"/>
          <w:lang w:val="en-AU"/>
        </w:rPr>
        <w:t>, 129–133.</w:t>
      </w:r>
    </w:p>
    <w:p w14:paraId="66F276C3"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6C23CE80" w14:textId="2664D9EB" w:rsidR="00C27301" w:rsidRDefault="00C27301" w:rsidP="00C82BBD">
      <w:pPr>
        <w:autoSpaceDE w:val="0"/>
        <w:autoSpaceDN w:val="0"/>
        <w:adjustRightInd w:val="0"/>
        <w:spacing w:after="0" w:line="480" w:lineRule="auto"/>
        <w:rPr>
          <w:rFonts w:ascii="Garamond" w:hAnsi="Garamond" w:cs="AdvP7B6C"/>
          <w:lang w:val="en-AU"/>
        </w:rPr>
      </w:pPr>
      <w:proofErr w:type="spellStart"/>
      <w:r w:rsidRPr="00C82BBD">
        <w:rPr>
          <w:rFonts w:ascii="Garamond" w:hAnsi="Garamond" w:cs="AdvP7B6C"/>
          <w:lang w:val="en-AU"/>
        </w:rPr>
        <w:t>Lankenau</w:t>
      </w:r>
      <w:proofErr w:type="spellEnd"/>
      <w:r w:rsidRPr="00C82BBD">
        <w:rPr>
          <w:rFonts w:ascii="Garamond" w:hAnsi="Garamond" w:cs="AdvP7B6C"/>
          <w:lang w:val="en-AU"/>
        </w:rPr>
        <w:t xml:space="preserve">, S., Wagner, K., Silva, K., </w:t>
      </w:r>
      <w:proofErr w:type="spellStart"/>
      <w:r w:rsidRPr="00C82BBD">
        <w:rPr>
          <w:rFonts w:ascii="Garamond" w:hAnsi="Garamond" w:cs="AdvP7B6C"/>
          <w:lang w:val="en-AU"/>
        </w:rPr>
        <w:t>Kecojevic</w:t>
      </w:r>
      <w:proofErr w:type="spellEnd"/>
      <w:r w:rsidRPr="00C82BBD">
        <w:rPr>
          <w:rFonts w:ascii="Garamond" w:hAnsi="Garamond" w:cs="AdvP7B6C"/>
          <w:lang w:val="en-AU"/>
        </w:rPr>
        <w:t xml:space="preserve">, A., Iverson, E., McNeely, M., &amp; </w:t>
      </w:r>
      <w:proofErr w:type="spellStart"/>
      <w:r w:rsidRPr="00C82BBD">
        <w:rPr>
          <w:rFonts w:ascii="Garamond" w:hAnsi="Garamond" w:cs="AdvP7B6C"/>
          <w:lang w:val="en-AU"/>
        </w:rPr>
        <w:t>Kral</w:t>
      </w:r>
      <w:proofErr w:type="spellEnd"/>
      <w:r w:rsidRPr="00C82BBD">
        <w:rPr>
          <w:rFonts w:ascii="Garamond" w:hAnsi="Garamond" w:cs="AdvP7B6C"/>
          <w:lang w:val="en-AU"/>
        </w:rPr>
        <w:t>, A. (2013). Injection drug</w:t>
      </w:r>
      <w:r w:rsidR="00704F5D" w:rsidRPr="00C82BBD">
        <w:rPr>
          <w:rFonts w:ascii="Garamond" w:hAnsi="Garamond" w:cs="AdvP7B6C"/>
          <w:lang w:val="en-AU"/>
        </w:rPr>
        <w:t xml:space="preserve"> </w:t>
      </w:r>
      <w:r w:rsidRPr="00C82BBD">
        <w:rPr>
          <w:rFonts w:ascii="Garamond" w:hAnsi="Garamond" w:cs="AdvP7B6C"/>
          <w:lang w:val="en-AU"/>
        </w:rPr>
        <w:t xml:space="preserve">users trained by overdose prevention programs: Responses to witnessed overdoses. </w:t>
      </w:r>
      <w:r w:rsidRPr="00C82BBD">
        <w:rPr>
          <w:rFonts w:ascii="Garamond" w:hAnsi="Garamond" w:cs="AdvP7B72"/>
          <w:i/>
          <w:lang w:val="en-AU"/>
        </w:rPr>
        <w:t>Journal of Community</w:t>
      </w:r>
      <w:r w:rsidR="00704F5D" w:rsidRPr="00C82BBD">
        <w:rPr>
          <w:rFonts w:ascii="Garamond" w:hAnsi="Garamond" w:cs="AdvP7B72"/>
          <w:i/>
          <w:lang w:val="en-AU"/>
        </w:rPr>
        <w:t xml:space="preserve"> </w:t>
      </w:r>
      <w:r w:rsidRPr="00C82BBD">
        <w:rPr>
          <w:rFonts w:ascii="Garamond" w:hAnsi="Garamond" w:cs="AdvP7B72"/>
          <w:i/>
          <w:lang w:val="en-AU"/>
        </w:rPr>
        <w:t>Health</w:t>
      </w:r>
      <w:r w:rsidRPr="00C82BBD">
        <w:rPr>
          <w:rFonts w:ascii="Garamond" w:hAnsi="Garamond" w:cs="AdvP7B6C"/>
          <w:lang w:val="en-AU"/>
        </w:rPr>
        <w:t xml:space="preserve">, </w:t>
      </w:r>
      <w:r w:rsidRPr="00C82BBD">
        <w:rPr>
          <w:rFonts w:ascii="Garamond" w:hAnsi="Garamond" w:cs="AdvP7B72"/>
          <w:lang w:val="en-AU"/>
        </w:rPr>
        <w:t>38</w:t>
      </w:r>
      <w:r w:rsidRPr="00C82BBD">
        <w:rPr>
          <w:rFonts w:ascii="Garamond" w:hAnsi="Garamond" w:cs="AdvP7B6C"/>
          <w:lang w:val="en-AU"/>
        </w:rPr>
        <w:t>, 133–141.</w:t>
      </w:r>
    </w:p>
    <w:p w14:paraId="4DC2A92A" w14:textId="77777777" w:rsidR="000E34DF" w:rsidRDefault="000E34DF" w:rsidP="00C82BBD">
      <w:pPr>
        <w:autoSpaceDE w:val="0"/>
        <w:autoSpaceDN w:val="0"/>
        <w:adjustRightInd w:val="0"/>
        <w:spacing w:after="0" w:line="480" w:lineRule="auto"/>
        <w:rPr>
          <w:rFonts w:ascii="Garamond" w:hAnsi="Garamond" w:cs="AdvP7B6C"/>
          <w:lang w:val="en-AU"/>
        </w:rPr>
      </w:pPr>
    </w:p>
    <w:p w14:paraId="3FE0982F" w14:textId="1F9E9BA2" w:rsidR="000E34DF" w:rsidRPr="000E34DF" w:rsidRDefault="000E34DF" w:rsidP="00C82BBD">
      <w:pPr>
        <w:autoSpaceDE w:val="0"/>
        <w:autoSpaceDN w:val="0"/>
        <w:adjustRightInd w:val="0"/>
        <w:spacing w:after="0" w:line="480" w:lineRule="auto"/>
        <w:rPr>
          <w:rFonts w:ascii="Garamond" w:hAnsi="Garamond" w:cs="AdvP7B6C"/>
          <w:lang w:val="en-AU"/>
        </w:rPr>
      </w:pPr>
      <w:r>
        <w:rPr>
          <w:rFonts w:ascii="Garamond" w:hAnsi="Garamond" w:cs="AdvP7B6C"/>
          <w:lang w:val="en-AU"/>
        </w:rPr>
        <w:t xml:space="preserve">Latimer, J. (2018). Afterword: </w:t>
      </w:r>
      <w:proofErr w:type="spellStart"/>
      <w:r>
        <w:rPr>
          <w:rFonts w:ascii="Garamond" w:hAnsi="Garamond" w:cs="AdvP7B6C"/>
          <w:lang w:val="en-AU"/>
        </w:rPr>
        <w:t>Materialities</w:t>
      </w:r>
      <w:proofErr w:type="spellEnd"/>
      <w:r>
        <w:rPr>
          <w:rFonts w:ascii="Garamond" w:hAnsi="Garamond" w:cs="AdvP7B6C"/>
          <w:lang w:val="en-AU"/>
        </w:rPr>
        <w:t xml:space="preserve">, care, ‘ordinary affects’, power and politics. </w:t>
      </w:r>
      <w:r>
        <w:rPr>
          <w:rFonts w:ascii="Garamond" w:hAnsi="Garamond" w:cs="AdvP7B6C"/>
          <w:i/>
          <w:lang w:val="en-AU"/>
        </w:rPr>
        <w:t xml:space="preserve">Sociology of Health &amp; Illness, </w:t>
      </w:r>
      <w:r>
        <w:rPr>
          <w:rFonts w:ascii="Garamond" w:hAnsi="Garamond" w:cs="AdvP7B6C"/>
          <w:lang w:val="en-AU"/>
        </w:rPr>
        <w:t>40 (2), 379-391.</w:t>
      </w:r>
    </w:p>
    <w:p w14:paraId="0608D8F4"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4EDA1D70" w14:textId="204C5B85" w:rsidR="00723C6E" w:rsidRPr="00C82BBD" w:rsidRDefault="00723C6E" w:rsidP="00C82BBD">
      <w:pPr>
        <w:spacing w:line="480" w:lineRule="auto"/>
        <w:rPr>
          <w:rFonts w:ascii="Garamond" w:hAnsi="Garamond"/>
          <w:lang w:val="en"/>
        </w:rPr>
      </w:pPr>
      <w:r w:rsidRPr="00C82BBD">
        <w:rPr>
          <w:rFonts w:ascii="Garamond" w:hAnsi="Garamond"/>
          <w:lang w:val="en-AU"/>
        </w:rPr>
        <w:t xml:space="preserve">Latour, </w:t>
      </w:r>
      <w:r w:rsidR="007A413B" w:rsidRPr="00C82BBD">
        <w:rPr>
          <w:rFonts w:ascii="Garamond" w:hAnsi="Garamond"/>
          <w:lang w:val="en-AU"/>
        </w:rPr>
        <w:t>B. (</w:t>
      </w:r>
      <w:r w:rsidRPr="00C82BBD">
        <w:rPr>
          <w:rFonts w:ascii="Garamond" w:hAnsi="Garamond"/>
          <w:lang w:val="en-AU"/>
        </w:rPr>
        <w:t>2002</w:t>
      </w:r>
      <w:r w:rsidR="007A413B" w:rsidRPr="00C82BBD">
        <w:rPr>
          <w:rFonts w:ascii="Garamond" w:hAnsi="Garamond"/>
          <w:lang w:val="en-AU"/>
        </w:rPr>
        <w:t xml:space="preserve">). </w:t>
      </w:r>
      <w:r w:rsidR="007A413B" w:rsidRPr="00C82BBD">
        <w:rPr>
          <w:rStyle w:val="reftitle3"/>
          <w:rFonts w:ascii="Garamond" w:hAnsi="Garamond"/>
          <w:b w:val="0"/>
          <w:lang w:val="en"/>
        </w:rPr>
        <w:t>Morality and technology: The end of the means (trans. Venn).</w:t>
      </w:r>
      <w:r w:rsidR="007A413B" w:rsidRPr="00C82BBD">
        <w:rPr>
          <w:rStyle w:val="reftitle3"/>
          <w:rFonts w:ascii="Garamond" w:hAnsi="Garamond"/>
          <w:lang w:val="en"/>
        </w:rPr>
        <w:t xml:space="preserve"> </w:t>
      </w:r>
      <w:r w:rsidR="007A413B" w:rsidRPr="00C82BBD">
        <w:rPr>
          <w:rStyle w:val="refseriestitle3"/>
          <w:rFonts w:ascii="Garamond" w:hAnsi="Garamond"/>
          <w:lang w:val="en"/>
        </w:rPr>
        <w:t>Theory, Culture &amp; Society</w:t>
      </w:r>
      <w:r w:rsidR="00B37605" w:rsidRPr="00C82BBD">
        <w:rPr>
          <w:rStyle w:val="reference2"/>
          <w:rFonts w:ascii="Garamond" w:hAnsi="Garamond"/>
          <w:lang w:val="en"/>
        </w:rPr>
        <w:t xml:space="preserve">, </w:t>
      </w:r>
      <w:r w:rsidR="007A413B" w:rsidRPr="00C82BBD">
        <w:rPr>
          <w:rStyle w:val="reference2"/>
          <w:rFonts w:ascii="Garamond" w:hAnsi="Garamond"/>
          <w:lang w:val="en"/>
        </w:rPr>
        <w:t>19, 247–260</w:t>
      </w:r>
      <w:r w:rsidR="007A413B" w:rsidRPr="00C82BBD">
        <w:rPr>
          <w:rFonts w:ascii="Garamond" w:hAnsi="Garamond"/>
          <w:lang w:val="en"/>
        </w:rPr>
        <w:t>.</w:t>
      </w:r>
    </w:p>
    <w:p w14:paraId="09A45EF4" w14:textId="77777777" w:rsidR="003E6E2C" w:rsidRPr="00C82BBD" w:rsidRDefault="003E6E2C" w:rsidP="00C82BBD">
      <w:pPr>
        <w:spacing w:line="480" w:lineRule="auto"/>
        <w:rPr>
          <w:rFonts w:ascii="Garamond" w:hAnsi="Garamond"/>
        </w:rPr>
      </w:pPr>
    </w:p>
    <w:p w14:paraId="5448EBB9" w14:textId="77777777" w:rsidR="00C27301" w:rsidRPr="00C82BBD" w:rsidRDefault="00C27301" w:rsidP="00C82BBD">
      <w:pPr>
        <w:spacing w:line="480" w:lineRule="auto"/>
        <w:rPr>
          <w:rFonts w:ascii="Garamond" w:hAnsi="Garamond" w:cs="AdvP7B6C"/>
          <w:lang w:val="en-AU"/>
        </w:rPr>
      </w:pPr>
      <w:r w:rsidRPr="00C82BBD">
        <w:rPr>
          <w:rFonts w:ascii="Garamond" w:hAnsi="Garamond" w:cs="AdvP7B6C"/>
          <w:lang w:val="en-AU"/>
        </w:rPr>
        <w:t xml:space="preserve">Law, J. (2004). </w:t>
      </w:r>
      <w:r w:rsidRPr="00C82BBD">
        <w:rPr>
          <w:rFonts w:ascii="Garamond" w:hAnsi="Garamond" w:cs="AdvP7B72"/>
          <w:i/>
          <w:lang w:val="en-AU"/>
        </w:rPr>
        <w:t>After method: Mess in social science research</w:t>
      </w:r>
      <w:r w:rsidRPr="00C82BBD">
        <w:rPr>
          <w:rFonts w:ascii="Garamond" w:hAnsi="Garamond" w:cs="AdvP7B6C"/>
          <w:lang w:val="en-AU"/>
        </w:rPr>
        <w:t>. New York, NY: Routledge.</w:t>
      </w:r>
    </w:p>
    <w:p w14:paraId="01DB6553" w14:textId="77777777" w:rsidR="003E6E2C" w:rsidRPr="00C82BBD" w:rsidRDefault="003E6E2C" w:rsidP="00C82BBD">
      <w:pPr>
        <w:spacing w:line="480" w:lineRule="auto"/>
        <w:rPr>
          <w:rFonts w:ascii="Garamond" w:hAnsi="Garamond" w:cs="AdvP7B6C"/>
          <w:lang w:val="en-AU"/>
        </w:rPr>
      </w:pPr>
    </w:p>
    <w:p w14:paraId="35DE8292" w14:textId="02558F0E" w:rsidR="00C27301" w:rsidRPr="00C82BBD"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Lenton, S., Dietze, P., &amp; Jauncey, M. (2016). Australia to reschedule naloxone for overdose. </w:t>
      </w:r>
      <w:r w:rsidRPr="00C82BBD">
        <w:rPr>
          <w:rFonts w:ascii="Garamond" w:hAnsi="Garamond" w:cs="AdvP7B72"/>
          <w:i/>
          <w:lang w:val="en-AU"/>
        </w:rPr>
        <w:t>Medical Journal of</w:t>
      </w:r>
      <w:r w:rsidR="00704F5D" w:rsidRPr="00C82BBD">
        <w:rPr>
          <w:rFonts w:ascii="Garamond" w:hAnsi="Garamond" w:cs="AdvP7B72"/>
          <w:i/>
          <w:lang w:val="en-AU"/>
        </w:rPr>
        <w:t xml:space="preserve"> </w:t>
      </w:r>
      <w:r w:rsidRPr="00C82BBD">
        <w:rPr>
          <w:rFonts w:ascii="Garamond" w:hAnsi="Garamond" w:cs="AdvP7B72"/>
          <w:i/>
          <w:lang w:val="en-AU"/>
        </w:rPr>
        <w:t>Australia</w:t>
      </w:r>
      <w:r w:rsidRPr="00C82BBD">
        <w:rPr>
          <w:rFonts w:ascii="Garamond" w:hAnsi="Garamond" w:cs="AdvP7B6C"/>
          <w:lang w:val="en-AU"/>
        </w:rPr>
        <w:t xml:space="preserve">, </w:t>
      </w:r>
      <w:r w:rsidRPr="00C82BBD">
        <w:rPr>
          <w:rFonts w:ascii="Garamond" w:hAnsi="Garamond" w:cs="AdvP7B72"/>
          <w:lang w:val="en-AU"/>
        </w:rPr>
        <w:t>2014</w:t>
      </w:r>
      <w:r w:rsidR="0008665E" w:rsidRPr="00C82BBD">
        <w:rPr>
          <w:rFonts w:ascii="Garamond" w:hAnsi="Garamond" w:cs="AdvP7B72"/>
          <w:lang w:val="en-AU"/>
        </w:rPr>
        <w:t>(4)</w:t>
      </w:r>
      <w:r w:rsidRPr="00C82BBD">
        <w:rPr>
          <w:rFonts w:ascii="Garamond" w:hAnsi="Garamond" w:cs="AdvP7B6C"/>
          <w:lang w:val="en-AU"/>
        </w:rPr>
        <w:t>, 146–147.</w:t>
      </w:r>
    </w:p>
    <w:p w14:paraId="22E36AFD"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7C69A0FD" w14:textId="769EB73D" w:rsidR="00736716"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Lenton, S., Dietze, P., Olsen, A.,</w:t>
      </w:r>
      <w:r w:rsidR="00A654EF" w:rsidRPr="00C82BBD">
        <w:rPr>
          <w:rFonts w:ascii="Garamond" w:hAnsi="Garamond" w:cs="AdvP7B6C"/>
          <w:lang w:val="en-AU"/>
        </w:rPr>
        <w:t xml:space="preserve"> </w:t>
      </w:r>
      <w:r w:rsidRPr="00C82BBD">
        <w:rPr>
          <w:rFonts w:ascii="Garamond" w:hAnsi="Garamond" w:cs="AdvP7B6C"/>
          <w:lang w:val="en-AU"/>
        </w:rPr>
        <w:t>Wiggins, N., McDonald, D., &amp; Fowlie, C. (2015). Working together: Expanding</w:t>
      </w:r>
      <w:r w:rsidR="00704F5D" w:rsidRPr="00C82BBD">
        <w:rPr>
          <w:rFonts w:ascii="Garamond" w:hAnsi="Garamond" w:cs="AdvP7B6C"/>
          <w:lang w:val="en-AU"/>
        </w:rPr>
        <w:t xml:space="preserve"> </w:t>
      </w:r>
      <w:r w:rsidRPr="00C82BBD">
        <w:rPr>
          <w:rFonts w:ascii="Garamond" w:hAnsi="Garamond" w:cs="AdvP7B6C"/>
          <w:lang w:val="en-AU"/>
        </w:rPr>
        <w:t>the availability of naloxone for peer administration to prevent opioid overdose deaths in the Australian Capital</w:t>
      </w:r>
      <w:r w:rsidR="00704F5D" w:rsidRPr="00C82BBD">
        <w:rPr>
          <w:rFonts w:ascii="Garamond" w:hAnsi="Garamond" w:cs="AdvP7B6C"/>
          <w:lang w:val="en-AU"/>
        </w:rPr>
        <w:t xml:space="preserve"> </w:t>
      </w:r>
      <w:r w:rsidRPr="00C82BBD">
        <w:rPr>
          <w:rFonts w:ascii="Garamond" w:hAnsi="Garamond" w:cs="AdvP7B6C"/>
          <w:lang w:val="en-AU"/>
        </w:rPr>
        <w:t xml:space="preserve">Territory and beyond. </w:t>
      </w:r>
      <w:r w:rsidRPr="00C82BBD">
        <w:rPr>
          <w:rFonts w:ascii="Garamond" w:hAnsi="Garamond" w:cs="AdvP7B72"/>
          <w:i/>
          <w:lang w:val="en-AU"/>
        </w:rPr>
        <w:t>Drug and Alcohol Review</w:t>
      </w:r>
      <w:r w:rsidRPr="00C82BBD">
        <w:rPr>
          <w:rFonts w:ascii="Garamond" w:hAnsi="Garamond" w:cs="AdvP7B6C"/>
          <w:lang w:val="en-AU"/>
        </w:rPr>
        <w:t xml:space="preserve">, </w:t>
      </w:r>
      <w:r w:rsidRPr="00C82BBD">
        <w:rPr>
          <w:rFonts w:ascii="Garamond" w:hAnsi="Garamond" w:cs="AdvP7B72"/>
          <w:lang w:val="en-AU"/>
        </w:rPr>
        <w:t>34</w:t>
      </w:r>
      <w:r w:rsidRPr="00C82BBD">
        <w:rPr>
          <w:rFonts w:ascii="Garamond" w:hAnsi="Garamond" w:cs="AdvP7B6C"/>
          <w:lang w:val="en-AU"/>
        </w:rPr>
        <w:t>, 404–411.</w:t>
      </w:r>
    </w:p>
    <w:p w14:paraId="065263E0" w14:textId="77777777" w:rsidR="00A15925" w:rsidRDefault="00A15925" w:rsidP="00C82BBD">
      <w:pPr>
        <w:autoSpaceDE w:val="0"/>
        <w:autoSpaceDN w:val="0"/>
        <w:adjustRightInd w:val="0"/>
        <w:spacing w:after="0" w:line="480" w:lineRule="auto"/>
        <w:rPr>
          <w:rFonts w:ascii="Garamond" w:hAnsi="Garamond" w:cs="AdvP7B6C"/>
          <w:lang w:val="en-AU"/>
        </w:rPr>
      </w:pPr>
    </w:p>
    <w:p w14:paraId="21CE308A" w14:textId="66B2EBF4" w:rsidR="00A15925" w:rsidRPr="00C82BBD" w:rsidRDefault="00A15925" w:rsidP="00C82BBD">
      <w:pPr>
        <w:autoSpaceDE w:val="0"/>
        <w:autoSpaceDN w:val="0"/>
        <w:adjustRightInd w:val="0"/>
        <w:spacing w:after="0" w:line="480" w:lineRule="auto"/>
        <w:rPr>
          <w:rFonts w:ascii="Garamond" w:hAnsi="Garamond" w:cs="AdvP7B6C"/>
          <w:lang w:val="en-AU"/>
        </w:rPr>
      </w:pPr>
      <w:r>
        <w:rPr>
          <w:rFonts w:ascii="Garamond" w:hAnsi="Garamond" w:cs="AdvP7B6C"/>
          <w:lang w:val="en-AU"/>
        </w:rPr>
        <w:t xml:space="preserve">Leppo, A. &amp; </w:t>
      </w:r>
      <w:r w:rsidRPr="00A15925">
        <w:rPr>
          <w:rFonts w:ascii="Garamond" w:hAnsi="Garamond" w:cs="Arial"/>
          <w:lang w:val="en-AU"/>
        </w:rPr>
        <w:t>Per</w:t>
      </w:r>
      <w:proofErr w:type="spellStart"/>
      <w:r w:rsidRPr="00A15925">
        <w:rPr>
          <w:rFonts w:ascii="Garamond" w:hAnsi="Garamond"/>
          <w:bdr w:val="none" w:sz="0" w:space="0" w:color="auto" w:frame="1"/>
          <w:lang w:eastAsia="en-AU"/>
        </w:rPr>
        <w:t>ä</w:t>
      </w:r>
      <w:r w:rsidRPr="00A15925">
        <w:rPr>
          <w:rFonts w:ascii="Garamond" w:hAnsi="Garamond"/>
          <w:lang w:eastAsia="en-AU"/>
        </w:rPr>
        <w:t>la</w:t>
      </w:r>
      <w:proofErr w:type="spellEnd"/>
      <w:r w:rsidR="008E0C87">
        <w:rPr>
          <w:rFonts w:ascii="Garamond" w:hAnsi="Garamond"/>
          <w:lang w:eastAsia="en-AU"/>
        </w:rPr>
        <w:t xml:space="preserve">, R. (2017). Remains of care: Opioid substitution treatment in the post-welfare state. </w:t>
      </w:r>
      <w:r w:rsidR="008E0C87" w:rsidRPr="008E0C87">
        <w:rPr>
          <w:rFonts w:ascii="Garamond" w:hAnsi="Garamond"/>
          <w:i/>
          <w:lang w:eastAsia="en-AU"/>
        </w:rPr>
        <w:t>Sociology of Health &amp; Illness</w:t>
      </w:r>
      <w:r w:rsidR="008E0C87">
        <w:rPr>
          <w:rFonts w:ascii="Garamond" w:hAnsi="Garamond"/>
          <w:lang w:eastAsia="en-AU"/>
        </w:rPr>
        <w:t>, 39, 6, 959-978.</w:t>
      </w:r>
    </w:p>
    <w:p w14:paraId="5B2B7A04"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72EB2CC6" w14:textId="48B6B600" w:rsidR="00C27301" w:rsidRPr="00C82BBD"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McLean, K. (2016). ‘There’s nothing here’: Deindustrialization as risk environment for overdose. </w:t>
      </w:r>
      <w:r w:rsidRPr="00C82BBD">
        <w:rPr>
          <w:rFonts w:ascii="Garamond" w:hAnsi="Garamond" w:cs="AdvP7B72"/>
          <w:i/>
          <w:lang w:val="en-AU"/>
        </w:rPr>
        <w:t>International</w:t>
      </w:r>
      <w:r w:rsidR="00704F5D" w:rsidRPr="00C82BBD">
        <w:rPr>
          <w:rFonts w:ascii="Garamond" w:hAnsi="Garamond" w:cs="AdvP7B72"/>
          <w:i/>
          <w:lang w:val="en-AU"/>
        </w:rPr>
        <w:t xml:space="preserve"> </w:t>
      </w:r>
      <w:r w:rsidRPr="00C82BBD">
        <w:rPr>
          <w:rFonts w:ascii="Garamond" w:hAnsi="Garamond" w:cs="AdvP7B72"/>
          <w:i/>
          <w:lang w:val="en-AU"/>
        </w:rPr>
        <w:t>Journal of Drug Policy</w:t>
      </w:r>
      <w:r w:rsidRPr="00C82BBD">
        <w:rPr>
          <w:rFonts w:ascii="Garamond" w:hAnsi="Garamond" w:cs="AdvP7B6C"/>
          <w:lang w:val="en-AU"/>
        </w:rPr>
        <w:t xml:space="preserve">, </w:t>
      </w:r>
      <w:r w:rsidRPr="00C82BBD">
        <w:rPr>
          <w:rFonts w:ascii="Garamond" w:hAnsi="Garamond" w:cs="AdvP7B72"/>
          <w:lang w:val="en-AU"/>
        </w:rPr>
        <w:t>29</w:t>
      </w:r>
      <w:r w:rsidRPr="00C82BBD">
        <w:rPr>
          <w:rFonts w:ascii="Garamond" w:hAnsi="Garamond" w:cs="AdvP7B6C"/>
          <w:lang w:val="en-AU"/>
        </w:rPr>
        <w:t>, 19–26.</w:t>
      </w:r>
    </w:p>
    <w:p w14:paraId="2470EBDA"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35EC4C1E" w14:textId="1E477BFF" w:rsidR="004C3D82" w:rsidRPr="00C82BBD" w:rsidRDefault="004C3D82" w:rsidP="00C82BBD">
      <w:pPr>
        <w:spacing w:line="480" w:lineRule="auto"/>
        <w:rPr>
          <w:rFonts w:ascii="Garamond" w:hAnsi="Garamond"/>
          <w:lang w:val="en-AU"/>
        </w:rPr>
      </w:pPr>
      <w:r w:rsidRPr="00C82BBD">
        <w:rPr>
          <w:rFonts w:ascii="Garamond" w:hAnsi="Garamond"/>
          <w:lang w:val="en-AU"/>
        </w:rPr>
        <w:t xml:space="preserve">Martin, A., Myers, N., &amp; </w:t>
      </w:r>
      <w:proofErr w:type="spellStart"/>
      <w:r w:rsidRPr="00C82BBD">
        <w:rPr>
          <w:rFonts w:ascii="Garamond" w:hAnsi="Garamond"/>
          <w:lang w:val="en-AU"/>
        </w:rPr>
        <w:t>Viseu</w:t>
      </w:r>
      <w:proofErr w:type="spellEnd"/>
      <w:r w:rsidRPr="00C82BBD">
        <w:rPr>
          <w:rFonts w:ascii="Garamond" w:hAnsi="Garamond"/>
          <w:lang w:val="en-AU"/>
        </w:rPr>
        <w:t xml:space="preserve">, A. (2015). The politics of care in technoscience. </w:t>
      </w:r>
      <w:r w:rsidRPr="00C82BBD">
        <w:rPr>
          <w:rFonts w:ascii="Garamond" w:hAnsi="Garamond" w:cs="AdvP4DF60F"/>
          <w:i/>
          <w:lang w:val="en-AU"/>
        </w:rPr>
        <w:t>Social Studies of Science</w:t>
      </w:r>
      <w:r w:rsidRPr="00C82BBD">
        <w:rPr>
          <w:rFonts w:ascii="Garamond" w:hAnsi="Garamond" w:cs="AdvP4DF60F"/>
          <w:lang w:val="en-AU"/>
        </w:rPr>
        <w:t>, 45</w:t>
      </w:r>
      <w:r w:rsidRPr="00C82BBD">
        <w:rPr>
          <w:rFonts w:ascii="Garamond" w:hAnsi="Garamond"/>
          <w:lang w:val="en-AU"/>
        </w:rPr>
        <w:t>(5), 625–641.</w:t>
      </w:r>
    </w:p>
    <w:p w14:paraId="376CAF4B" w14:textId="77777777" w:rsidR="004C3D82" w:rsidRPr="00C82BBD" w:rsidRDefault="004C3D82" w:rsidP="00C82BBD">
      <w:pPr>
        <w:autoSpaceDE w:val="0"/>
        <w:autoSpaceDN w:val="0"/>
        <w:adjustRightInd w:val="0"/>
        <w:spacing w:after="0" w:line="480" w:lineRule="auto"/>
        <w:rPr>
          <w:rFonts w:ascii="Garamond" w:hAnsi="Garamond" w:cs="AdvP4DF60E"/>
          <w:lang w:val="en-AU"/>
        </w:rPr>
      </w:pPr>
    </w:p>
    <w:p w14:paraId="69C9FCAA" w14:textId="7991062B" w:rsidR="00C27301" w:rsidRPr="00C82BBD" w:rsidRDefault="0008665E"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McDonald, R., Campbell, N. </w:t>
      </w:r>
      <w:r w:rsidR="00C27301" w:rsidRPr="00C82BBD">
        <w:rPr>
          <w:rFonts w:ascii="Garamond" w:hAnsi="Garamond" w:cs="AdvP7B6C"/>
          <w:lang w:val="en-AU"/>
        </w:rPr>
        <w:t>&amp;</w:t>
      </w:r>
      <w:r w:rsidRPr="00C82BBD">
        <w:rPr>
          <w:rFonts w:ascii="Garamond" w:hAnsi="Garamond" w:cs="AdvP7B6C"/>
          <w:lang w:val="en-AU"/>
        </w:rPr>
        <w:t xml:space="preserve"> </w:t>
      </w:r>
      <w:r w:rsidR="00C27301" w:rsidRPr="00C82BBD">
        <w:rPr>
          <w:rFonts w:ascii="Garamond" w:hAnsi="Garamond" w:cs="AdvP7B6C"/>
          <w:lang w:val="en-AU"/>
        </w:rPr>
        <w:t>Strang, J. (2017).</w:t>
      </w:r>
      <w:r w:rsidR="00457E28" w:rsidRPr="00C82BBD">
        <w:rPr>
          <w:rFonts w:ascii="Garamond" w:hAnsi="Garamond" w:cs="AdvP7B6C"/>
          <w:lang w:val="en-AU"/>
        </w:rPr>
        <w:t xml:space="preserve"> </w:t>
      </w:r>
      <w:r w:rsidR="00C27301" w:rsidRPr="00C82BBD">
        <w:rPr>
          <w:rFonts w:ascii="Garamond" w:hAnsi="Garamond" w:cs="AdvP7B6C"/>
          <w:lang w:val="en-AU"/>
        </w:rPr>
        <w:t>Twenty years of take-home naloxone for the prevention of overdose</w:t>
      </w:r>
      <w:r w:rsidR="00704F5D" w:rsidRPr="00C82BBD">
        <w:rPr>
          <w:rFonts w:ascii="Garamond" w:hAnsi="Garamond" w:cs="AdvP7B6C"/>
          <w:lang w:val="en-AU"/>
        </w:rPr>
        <w:t xml:space="preserve"> </w:t>
      </w:r>
      <w:r w:rsidR="00C27301" w:rsidRPr="00C82BBD">
        <w:rPr>
          <w:rFonts w:ascii="Garamond" w:hAnsi="Garamond" w:cs="AdvP7B6C"/>
          <w:lang w:val="en-AU"/>
        </w:rPr>
        <w:t xml:space="preserve">deaths from heroin and other opioids—Conception and maturation. </w:t>
      </w:r>
      <w:r w:rsidR="00C27301" w:rsidRPr="00C82BBD">
        <w:rPr>
          <w:rFonts w:ascii="Garamond" w:hAnsi="Garamond" w:cs="AdvP7B72"/>
          <w:i/>
          <w:lang w:val="en-AU"/>
        </w:rPr>
        <w:t>Drug and Alcohol Dependence</w:t>
      </w:r>
      <w:r w:rsidR="00C27301" w:rsidRPr="00C82BBD">
        <w:rPr>
          <w:rFonts w:ascii="Garamond" w:hAnsi="Garamond" w:cs="AdvP7B6C"/>
          <w:lang w:val="en-AU"/>
        </w:rPr>
        <w:t xml:space="preserve">, </w:t>
      </w:r>
      <w:r w:rsidR="00C27301" w:rsidRPr="00C82BBD">
        <w:rPr>
          <w:rFonts w:ascii="Garamond" w:hAnsi="Garamond" w:cs="AdvP7B72"/>
          <w:lang w:val="en-AU"/>
        </w:rPr>
        <w:t>178</w:t>
      </w:r>
      <w:r w:rsidR="00C27301" w:rsidRPr="00C82BBD">
        <w:rPr>
          <w:rFonts w:ascii="Garamond" w:hAnsi="Garamond" w:cs="AdvP7B6C"/>
          <w:lang w:val="en-AU"/>
        </w:rPr>
        <w:t>, 176–187.</w:t>
      </w:r>
    </w:p>
    <w:p w14:paraId="7F65BD7C"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23C3438B" w14:textId="272F9F09" w:rsidR="00723C6E" w:rsidRPr="00C82BBD" w:rsidRDefault="00723C6E" w:rsidP="00C82BBD">
      <w:pPr>
        <w:spacing w:line="480" w:lineRule="auto"/>
        <w:rPr>
          <w:rFonts w:ascii="Garamond" w:hAnsi="Garamond"/>
        </w:rPr>
      </w:pPr>
      <w:r w:rsidRPr="00C82BBD">
        <w:rPr>
          <w:rFonts w:ascii="Garamond" w:hAnsi="Garamond"/>
        </w:rPr>
        <w:t>Mol,</w:t>
      </w:r>
      <w:r w:rsidR="00AD5ADC" w:rsidRPr="00C82BBD">
        <w:rPr>
          <w:rFonts w:ascii="Garamond" w:hAnsi="Garamond"/>
        </w:rPr>
        <w:t xml:space="preserve"> A.</w:t>
      </w:r>
      <w:r w:rsidRPr="00C82BBD">
        <w:rPr>
          <w:rFonts w:ascii="Garamond" w:hAnsi="Garamond"/>
        </w:rPr>
        <w:t xml:space="preserve"> </w:t>
      </w:r>
      <w:r w:rsidR="00AD5ADC" w:rsidRPr="00C82BBD">
        <w:rPr>
          <w:rFonts w:ascii="Garamond" w:hAnsi="Garamond"/>
        </w:rPr>
        <w:t>(</w:t>
      </w:r>
      <w:r w:rsidRPr="00C82BBD">
        <w:rPr>
          <w:rFonts w:ascii="Garamond" w:hAnsi="Garamond"/>
        </w:rPr>
        <w:t>2008</w:t>
      </w:r>
      <w:r w:rsidR="00AD5ADC" w:rsidRPr="00C82BBD">
        <w:rPr>
          <w:rFonts w:ascii="Garamond" w:hAnsi="Garamond"/>
        </w:rPr>
        <w:t xml:space="preserve">). </w:t>
      </w:r>
      <w:r w:rsidR="00AD5ADC" w:rsidRPr="00C82BBD">
        <w:rPr>
          <w:rFonts w:ascii="Garamond" w:hAnsi="Garamond"/>
          <w:i/>
        </w:rPr>
        <w:t>The logic of care: Health and the problem of patient choice</w:t>
      </w:r>
      <w:r w:rsidR="00AD5ADC" w:rsidRPr="00C82BBD">
        <w:rPr>
          <w:rFonts w:ascii="Garamond" w:hAnsi="Garamond"/>
        </w:rPr>
        <w:t>. Routledge: London &amp; New York.</w:t>
      </w:r>
    </w:p>
    <w:p w14:paraId="5D903DCE" w14:textId="77777777" w:rsidR="008A1BCF" w:rsidRPr="00C82BBD" w:rsidRDefault="008A1BCF" w:rsidP="00C82BBD">
      <w:pPr>
        <w:spacing w:line="480" w:lineRule="auto"/>
        <w:rPr>
          <w:rFonts w:ascii="Garamond" w:hAnsi="Garamond" w:cs="AdvP7B6C"/>
        </w:rPr>
      </w:pPr>
    </w:p>
    <w:p w14:paraId="799F34C4" w14:textId="3633566E" w:rsidR="00085CA9" w:rsidRPr="00C82BBD" w:rsidRDefault="00085CA9" w:rsidP="00C82BBD">
      <w:pPr>
        <w:spacing w:line="480" w:lineRule="auto"/>
        <w:rPr>
          <w:rFonts w:ascii="Garamond" w:hAnsi="Garamond" w:cs="AdvP7B6C"/>
        </w:rPr>
      </w:pPr>
      <w:r w:rsidRPr="00C82BBD">
        <w:rPr>
          <w:rFonts w:ascii="Garamond" w:hAnsi="Garamond" w:cs="AdvP7B6C"/>
        </w:rPr>
        <w:t xml:space="preserve">Mol, A. &amp; Law, J. (2002). </w:t>
      </w:r>
      <w:r w:rsidRPr="00C82BBD">
        <w:rPr>
          <w:rFonts w:ascii="Garamond" w:hAnsi="Garamond" w:cs="AdvP7B6C"/>
          <w:i/>
        </w:rPr>
        <w:t xml:space="preserve">Complexities: Social studies of knowledge practice. </w:t>
      </w:r>
      <w:r w:rsidRPr="00C82BBD">
        <w:rPr>
          <w:rFonts w:ascii="Garamond" w:hAnsi="Garamond" w:cs="Garamond"/>
          <w:lang w:val="en-AU"/>
        </w:rPr>
        <w:t>Durham &amp; London: Duke University Press</w:t>
      </w:r>
    </w:p>
    <w:p w14:paraId="416E30EF" w14:textId="77777777" w:rsidR="00E86785" w:rsidRPr="00C82BBD" w:rsidRDefault="00E86785" w:rsidP="00C82BBD">
      <w:pPr>
        <w:autoSpaceDE w:val="0"/>
        <w:autoSpaceDN w:val="0"/>
        <w:adjustRightInd w:val="0"/>
        <w:spacing w:after="0" w:line="480" w:lineRule="auto"/>
        <w:rPr>
          <w:rFonts w:ascii="Garamond" w:hAnsi="Garamond" w:cs="Garamond"/>
          <w:lang w:val="en-AU"/>
        </w:rPr>
      </w:pPr>
    </w:p>
    <w:p w14:paraId="2AAC6292" w14:textId="0A002667" w:rsidR="00723C6E" w:rsidRPr="00C82BBD" w:rsidRDefault="00723C6E" w:rsidP="00C82BBD">
      <w:pPr>
        <w:autoSpaceDE w:val="0"/>
        <w:autoSpaceDN w:val="0"/>
        <w:adjustRightInd w:val="0"/>
        <w:spacing w:after="0" w:line="480" w:lineRule="auto"/>
        <w:rPr>
          <w:rFonts w:ascii="Garamond" w:hAnsi="Garamond"/>
        </w:rPr>
      </w:pPr>
      <w:r w:rsidRPr="00C82BBD">
        <w:rPr>
          <w:rFonts w:ascii="Garamond" w:hAnsi="Garamond"/>
        </w:rPr>
        <w:lastRenderedPageBreak/>
        <w:t>Murphy,</w:t>
      </w:r>
      <w:r w:rsidR="004C3D82" w:rsidRPr="00C82BBD">
        <w:rPr>
          <w:rFonts w:ascii="Garamond" w:hAnsi="Garamond"/>
        </w:rPr>
        <w:t xml:space="preserve"> M. (</w:t>
      </w:r>
      <w:r w:rsidRPr="00C82BBD">
        <w:rPr>
          <w:rFonts w:ascii="Garamond" w:hAnsi="Garamond"/>
        </w:rPr>
        <w:t>2015</w:t>
      </w:r>
      <w:r w:rsidR="004C3D82" w:rsidRPr="00C82BBD">
        <w:rPr>
          <w:rFonts w:ascii="Garamond" w:hAnsi="Garamond"/>
        </w:rPr>
        <w:t xml:space="preserve">). Unsettling care: Troubling transnational itineraries of care in feminist health practices. </w:t>
      </w:r>
      <w:r w:rsidR="004C3D82" w:rsidRPr="00C82BBD">
        <w:rPr>
          <w:rFonts w:ascii="Garamond" w:hAnsi="Garamond"/>
          <w:i/>
        </w:rPr>
        <w:t xml:space="preserve">Social Studies of Science, </w:t>
      </w:r>
      <w:r w:rsidR="004C3D82" w:rsidRPr="00C82BBD">
        <w:rPr>
          <w:rFonts w:ascii="Garamond" w:hAnsi="Garamond"/>
        </w:rPr>
        <w:t>45(5), 717-737.</w:t>
      </w:r>
    </w:p>
    <w:p w14:paraId="6CB8D63F" w14:textId="77777777" w:rsidR="0008665E" w:rsidRPr="00C82BBD" w:rsidRDefault="0008665E" w:rsidP="00C82BBD">
      <w:pPr>
        <w:autoSpaceDE w:val="0"/>
        <w:autoSpaceDN w:val="0"/>
        <w:adjustRightInd w:val="0"/>
        <w:spacing w:after="0" w:line="480" w:lineRule="auto"/>
        <w:rPr>
          <w:rFonts w:ascii="Garamond" w:hAnsi="Garamond" w:cs="AdvP7B6C"/>
          <w:lang w:val="en-AU"/>
        </w:rPr>
      </w:pPr>
    </w:p>
    <w:p w14:paraId="5F04449F" w14:textId="24993D63" w:rsidR="00C27301"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Neale, J., &amp; Strang, J. (2015). Naloxone—Does over-antagonism matter? Evidence of iatrogenic harm after</w:t>
      </w:r>
      <w:r w:rsidR="00704F5D" w:rsidRPr="00C82BBD">
        <w:rPr>
          <w:rFonts w:ascii="Garamond" w:hAnsi="Garamond" w:cs="AdvP7B6C"/>
          <w:lang w:val="en-AU"/>
        </w:rPr>
        <w:t xml:space="preserve"> </w:t>
      </w:r>
      <w:r w:rsidRPr="00C82BBD">
        <w:rPr>
          <w:rFonts w:ascii="Garamond" w:hAnsi="Garamond" w:cs="AdvP7B6C"/>
          <w:lang w:val="en-AU"/>
        </w:rPr>
        <w:t xml:space="preserve">emergency treatment of heroin/opioid overdose. </w:t>
      </w:r>
      <w:r w:rsidRPr="00C82BBD">
        <w:rPr>
          <w:rFonts w:ascii="Garamond" w:hAnsi="Garamond" w:cs="AdvP7B72"/>
          <w:i/>
          <w:lang w:val="en-AU"/>
        </w:rPr>
        <w:t>Addiction</w:t>
      </w:r>
      <w:r w:rsidRPr="00C82BBD">
        <w:rPr>
          <w:rFonts w:ascii="Garamond" w:hAnsi="Garamond" w:cs="AdvP7B6C"/>
          <w:lang w:val="en-AU"/>
        </w:rPr>
        <w:t xml:space="preserve">, </w:t>
      </w:r>
      <w:r w:rsidRPr="00C82BBD">
        <w:rPr>
          <w:rFonts w:ascii="Garamond" w:hAnsi="Garamond" w:cs="AdvP7B72"/>
          <w:lang w:val="en-AU"/>
        </w:rPr>
        <w:t>110</w:t>
      </w:r>
      <w:r w:rsidRPr="00C82BBD">
        <w:rPr>
          <w:rFonts w:ascii="Garamond" w:hAnsi="Garamond" w:cs="AdvP7B6C"/>
          <w:lang w:val="en-AU"/>
        </w:rPr>
        <w:t>, 1644–1652.</w:t>
      </w:r>
    </w:p>
    <w:p w14:paraId="03428268" w14:textId="77777777" w:rsidR="00A15925" w:rsidRDefault="00A15925" w:rsidP="00C82BBD">
      <w:pPr>
        <w:autoSpaceDE w:val="0"/>
        <w:autoSpaceDN w:val="0"/>
        <w:adjustRightInd w:val="0"/>
        <w:spacing w:after="0" w:line="480" w:lineRule="auto"/>
        <w:rPr>
          <w:rFonts w:ascii="Garamond" w:hAnsi="Garamond" w:cs="AdvP7B6C"/>
          <w:lang w:val="en-AU"/>
        </w:rPr>
      </w:pPr>
    </w:p>
    <w:p w14:paraId="29919517" w14:textId="55DC7A73" w:rsidR="00A15925" w:rsidRPr="00A15925" w:rsidRDefault="00A15925" w:rsidP="00C82BBD">
      <w:pPr>
        <w:autoSpaceDE w:val="0"/>
        <w:autoSpaceDN w:val="0"/>
        <w:adjustRightInd w:val="0"/>
        <w:spacing w:after="0" w:line="480" w:lineRule="auto"/>
        <w:rPr>
          <w:rFonts w:ascii="Garamond" w:hAnsi="Garamond" w:cs="AdvP7B6C"/>
          <w:b/>
          <w:lang w:val="en-AU"/>
        </w:rPr>
      </w:pPr>
      <w:r w:rsidRPr="00A15925">
        <w:rPr>
          <w:rFonts w:ascii="Garamond" w:hAnsi="Garamond" w:cs="Arial"/>
          <w:lang w:val="en-AU"/>
        </w:rPr>
        <w:t>Per</w:t>
      </w:r>
      <w:proofErr w:type="spellStart"/>
      <w:r w:rsidRPr="00A15925">
        <w:rPr>
          <w:rFonts w:ascii="Garamond" w:hAnsi="Garamond"/>
          <w:bdr w:val="none" w:sz="0" w:space="0" w:color="auto" w:frame="1"/>
          <w:lang w:eastAsia="en-AU"/>
        </w:rPr>
        <w:t>ä</w:t>
      </w:r>
      <w:r w:rsidRPr="00A15925">
        <w:rPr>
          <w:rFonts w:ascii="Garamond" w:hAnsi="Garamond"/>
          <w:lang w:eastAsia="en-AU"/>
        </w:rPr>
        <w:t>la</w:t>
      </w:r>
      <w:proofErr w:type="spellEnd"/>
      <w:r>
        <w:rPr>
          <w:rFonts w:ascii="Garamond" w:hAnsi="Garamond"/>
          <w:lang w:eastAsia="en-AU"/>
        </w:rPr>
        <w:t xml:space="preserve">, R. (2015). Civil society organizations and care of the self: An ethnographic case study on emancipation and participation in drug treatment. </w:t>
      </w:r>
      <w:r>
        <w:rPr>
          <w:rFonts w:ascii="Garamond" w:hAnsi="Garamond"/>
          <w:i/>
          <w:lang w:eastAsia="en-AU"/>
        </w:rPr>
        <w:t xml:space="preserve">Foucault Studies, </w:t>
      </w:r>
      <w:r>
        <w:rPr>
          <w:rFonts w:ascii="Garamond" w:hAnsi="Garamond"/>
          <w:lang w:eastAsia="en-AU"/>
        </w:rPr>
        <w:t>20, 96-115.</w:t>
      </w:r>
    </w:p>
    <w:p w14:paraId="25D4BD62"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4BAA2E4E" w14:textId="7CCDC149" w:rsidR="00723C6E" w:rsidRPr="00C82BBD" w:rsidRDefault="00723C6E" w:rsidP="00C82BBD">
      <w:pPr>
        <w:spacing w:line="480" w:lineRule="auto"/>
        <w:rPr>
          <w:rFonts w:ascii="Garamond" w:hAnsi="Garamond"/>
        </w:rPr>
      </w:pPr>
      <w:r w:rsidRPr="00C82BBD">
        <w:rPr>
          <w:rFonts w:ascii="Garamond" w:hAnsi="Garamond"/>
        </w:rPr>
        <w:t xml:space="preserve">Puig de la </w:t>
      </w:r>
      <w:proofErr w:type="spellStart"/>
      <w:r w:rsidRPr="00C82BBD">
        <w:rPr>
          <w:rFonts w:ascii="Garamond" w:hAnsi="Garamond"/>
        </w:rPr>
        <w:t>Bellacasa</w:t>
      </w:r>
      <w:proofErr w:type="spellEnd"/>
      <w:r w:rsidRPr="00C82BBD">
        <w:rPr>
          <w:rFonts w:ascii="Garamond" w:hAnsi="Garamond"/>
        </w:rPr>
        <w:t>,</w:t>
      </w:r>
      <w:r w:rsidR="00AD5ADC" w:rsidRPr="00C82BBD">
        <w:rPr>
          <w:rFonts w:ascii="Garamond" w:hAnsi="Garamond"/>
        </w:rPr>
        <w:t xml:space="preserve"> M.</w:t>
      </w:r>
      <w:r w:rsidRPr="00C82BBD">
        <w:rPr>
          <w:rFonts w:ascii="Garamond" w:hAnsi="Garamond"/>
        </w:rPr>
        <w:t xml:space="preserve"> </w:t>
      </w:r>
      <w:r w:rsidR="00AD5ADC" w:rsidRPr="00C82BBD">
        <w:rPr>
          <w:rFonts w:ascii="Garamond" w:hAnsi="Garamond"/>
        </w:rPr>
        <w:t>(</w:t>
      </w:r>
      <w:r w:rsidRPr="00C82BBD">
        <w:rPr>
          <w:rFonts w:ascii="Garamond" w:hAnsi="Garamond"/>
        </w:rPr>
        <w:t>2017</w:t>
      </w:r>
      <w:r w:rsidR="00AD5ADC" w:rsidRPr="00C82BBD">
        <w:rPr>
          <w:rFonts w:ascii="Garamond" w:hAnsi="Garamond"/>
        </w:rPr>
        <w:t xml:space="preserve">). </w:t>
      </w:r>
      <w:r w:rsidR="00AD5ADC" w:rsidRPr="00C82BBD">
        <w:rPr>
          <w:rFonts w:ascii="Garamond" w:hAnsi="Garamond"/>
          <w:i/>
        </w:rPr>
        <w:t xml:space="preserve">Matters of care: Speculative ethics in more than human worlds. </w:t>
      </w:r>
      <w:r w:rsidR="00AD5ADC" w:rsidRPr="00C82BBD">
        <w:rPr>
          <w:rFonts w:ascii="Garamond" w:hAnsi="Garamond"/>
        </w:rPr>
        <w:t xml:space="preserve">University of Minnesota Press: Minneapolis &amp; London. </w:t>
      </w:r>
    </w:p>
    <w:p w14:paraId="019FDFF5" w14:textId="77777777" w:rsidR="008A1BCF" w:rsidRPr="00C82BBD" w:rsidRDefault="008A1BCF" w:rsidP="00C82BBD">
      <w:pPr>
        <w:spacing w:line="480" w:lineRule="auto"/>
        <w:rPr>
          <w:rFonts w:ascii="Garamond" w:hAnsi="Garamond" w:cs="Arial"/>
        </w:rPr>
      </w:pPr>
    </w:p>
    <w:p w14:paraId="5ABF50CF" w14:textId="530BD764" w:rsidR="00723C6E" w:rsidRPr="00C82BBD" w:rsidRDefault="00723C6E" w:rsidP="00C82BBD">
      <w:pPr>
        <w:spacing w:line="480" w:lineRule="auto"/>
        <w:rPr>
          <w:rFonts w:ascii="Garamond" w:hAnsi="Garamond" w:cs="AdvP7B72"/>
          <w:lang w:val="en-AU"/>
        </w:rPr>
      </w:pPr>
      <w:r w:rsidRPr="00C82BBD">
        <w:rPr>
          <w:rFonts w:ascii="Garamond" w:hAnsi="Garamond" w:cs="Arial"/>
          <w:lang w:val="en-AU"/>
        </w:rPr>
        <w:t>Race</w:t>
      </w:r>
      <w:r w:rsidR="00E86785" w:rsidRPr="00C82BBD">
        <w:rPr>
          <w:rFonts w:ascii="Garamond" w:hAnsi="Garamond" w:cs="Arial"/>
          <w:lang w:val="en-AU"/>
        </w:rPr>
        <w:t>. K.</w:t>
      </w:r>
      <w:r w:rsidRPr="00C82BBD">
        <w:rPr>
          <w:rFonts w:ascii="Garamond" w:hAnsi="Garamond" w:cs="Arial"/>
          <w:lang w:val="en-AU"/>
        </w:rPr>
        <w:t xml:space="preserve"> (2008)</w:t>
      </w:r>
      <w:r w:rsidR="00E86785" w:rsidRPr="00C82BBD">
        <w:rPr>
          <w:rFonts w:ascii="Garamond" w:hAnsi="Garamond" w:cs="Arial"/>
          <w:lang w:val="en-AU"/>
        </w:rPr>
        <w:t xml:space="preserve">. The use of pleasure in harm reduction: Perspectives form the history of sexuality. </w:t>
      </w:r>
      <w:r w:rsidR="00E86785" w:rsidRPr="00C82BBD">
        <w:rPr>
          <w:rFonts w:ascii="Garamond" w:hAnsi="Garamond" w:cs="AdvP7B72"/>
          <w:i/>
          <w:lang w:val="en-AU"/>
        </w:rPr>
        <w:t xml:space="preserve">International Journal of Drug Policy, </w:t>
      </w:r>
      <w:r w:rsidR="00E86785" w:rsidRPr="00C82BBD">
        <w:rPr>
          <w:rFonts w:ascii="Garamond" w:hAnsi="Garamond" w:cs="AdvP7B72"/>
          <w:lang w:val="en-AU"/>
        </w:rPr>
        <w:t xml:space="preserve">19(5), 417-423. </w:t>
      </w:r>
    </w:p>
    <w:p w14:paraId="6D5F5E7E" w14:textId="77777777" w:rsidR="008A1BCF" w:rsidRPr="00C82BBD" w:rsidRDefault="008A1BCF" w:rsidP="00C82BBD">
      <w:pPr>
        <w:spacing w:line="480" w:lineRule="auto"/>
        <w:rPr>
          <w:rFonts w:ascii="Garamond" w:hAnsi="Garamond" w:cs="Arial"/>
        </w:rPr>
      </w:pPr>
    </w:p>
    <w:p w14:paraId="5EC4EB8A" w14:textId="1A4AEBB7" w:rsidR="00C27301" w:rsidRPr="00C82BBD" w:rsidRDefault="00C27301" w:rsidP="00C82BBD">
      <w:pPr>
        <w:autoSpaceDE w:val="0"/>
        <w:autoSpaceDN w:val="0"/>
        <w:adjustRightInd w:val="0"/>
        <w:spacing w:after="0" w:line="480" w:lineRule="auto"/>
        <w:rPr>
          <w:rFonts w:ascii="Garamond" w:hAnsi="Garamond" w:cs="AdvP7B6C"/>
          <w:lang w:val="en-AU"/>
        </w:rPr>
      </w:pPr>
      <w:proofErr w:type="spellStart"/>
      <w:r w:rsidRPr="00C82BBD">
        <w:rPr>
          <w:rFonts w:ascii="Garamond" w:hAnsi="Garamond" w:cs="AdvP7B6C"/>
          <w:lang w:val="en-AU"/>
        </w:rPr>
        <w:t>Richert</w:t>
      </w:r>
      <w:proofErr w:type="spellEnd"/>
      <w:r w:rsidRPr="00C82BBD">
        <w:rPr>
          <w:rFonts w:ascii="Garamond" w:hAnsi="Garamond" w:cs="AdvP7B6C"/>
          <w:lang w:val="en-AU"/>
        </w:rPr>
        <w:t>, T. (2015). Wasted, overdosed, or beyond saving—To act or not to act? Heroin users’ views, assessments,</w:t>
      </w:r>
      <w:r w:rsidR="00704F5D" w:rsidRPr="00C82BBD">
        <w:rPr>
          <w:rFonts w:ascii="Garamond" w:hAnsi="Garamond" w:cs="AdvP7B6C"/>
          <w:lang w:val="en-AU"/>
        </w:rPr>
        <w:t xml:space="preserve"> </w:t>
      </w:r>
      <w:r w:rsidRPr="00C82BBD">
        <w:rPr>
          <w:rFonts w:ascii="Garamond" w:hAnsi="Garamond" w:cs="AdvP7B6C"/>
          <w:lang w:val="en-AU"/>
        </w:rPr>
        <w:t xml:space="preserve">and responses to witnessed overdoses in Malmo, Sweden. </w:t>
      </w:r>
      <w:r w:rsidRPr="00C82BBD">
        <w:rPr>
          <w:rFonts w:ascii="Garamond" w:hAnsi="Garamond" w:cs="AdvP7B72"/>
          <w:i/>
          <w:lang w:val="en-AU"/>
        </w:rPr>
        <w:t>International Journal of Drug Policy</w:t>
      </w:r>
      <w:r w:rsidRPr="00C82BBD">
        <w:rPr>
          <w:rFonts w:ascii="Garamond" w:hAnsi="Garamond" w:cs="AdvP7B6C"/>
          <w:lang w:val="en-AU"/>
        </w:rPr>
        <w:t xml:space="preserve">, </w:t>
      </w:r>
      <w:r w:rsidRPr="00C82BBD">
        <w:rPr>
          <w:rFonts w:ascii="Garamond" w:hAnsi="Garamond" w:cs="AdvP7B72"/>
          <w:lang w:val="en-AU"/>
        </w:rPr>
        <w:t>26</w:t>
      </w:r>
      <w:r w:rsidRPr="00C82BBD">
        <w:rPr>
          <w:rFonts w:ascii="Garamond" w:hAnsi="Garamond" w:cs="AdvP7B6C"/>
          <w:lang w:val="en-AU"/>
        </w:rPr>
        <w:t>, 92–99.</w:t>
      </w:r>
    </w:p>
    <w:p w14:paraId="612E421D" w14:textId="77777777" w:rsidR="00704F5D" w:rsidRPr="00C82BBD" w:rsidRDefault="00704F5D" w:rsidP="00C82BBD">
      <w:pPr>
        <w:autoSpaceDE w:val="0"/>
        <w:autoSpaceDN w:val="0"/>
        <w:adjustRightInd w:val="0"/>
        <w:spacing w:after="0" w:line="480" w:lineRule="auto"/>
        <w:rPr>
          <w:rFonts w:ascii="Garamond" w:hAnsi="Garamond" w:cs="AdvP7B6C"/>
          <w:lang w:val="en-AU"/>
        </w:rPr>
      </w:pPr>
    </w:p>
    <w:p w14:paraId="4741979C" w14:textId="1C8FE76C" w:rsidR="00057BAE" w:rsidRPr="00C82BBD" w:rsidRDefault="00057BAE" w:rsidP="00C82BBD">
      <w:pPr>
        <w:spacing w:line="480" w:lineRule="auto"/>
        <w:rPr>
          <w:rFonts w:ascii="Garamond" w:hAnsi="Garamond"/>
          <w:lang w:val="en-AU"/>
        </w:rPr>
      </w:pPr>
      <w:r w:rsidRPr="00C82BBD">
        <w:rPr>
          <w:rFonts w:ascii="Garamond" w:hAnsi="Garamond"/>
          <w:lang w:val="en-AU"/>
        </w:rPr>
        <w:t xml:space="preserve">Ritter, A., Lancaster, K., Grech, K., &amp; Reuter, P. (2011). </w:t>
      </w:r>
      <w:r w:rsidRPr="00C82BBD">
        <w:rPr>
          <w:rFonts w:ascii="Garamond" w:hAnsi="Garamond" w:cs="TimesNewRomanPS-ItalicMT"/>
          <w:i/>
          <w:iCs/>
          <w:lang w:val="en-AU"/>
        </w:rPr>
        <w:t xml:space="preserve">An assessment of illicit drug policy in Australia (1985- 2010): Themes and trends: DPMP Monograph Series </w:t>
      </w:r>
      <w:r w:rsidRPr="00C82BBD">
        <w:rPr>
          <w:rFonts w:ascii="Garamond" w:hAnsi="Garamond"/>
          <w:lang w:val="en-AU"/>
        </w:rPr>
        <w:t>[Monograph No. 21]. Sydney: National Drug and Alcohol Research Centre.</w:t>
      </w:r>
    </w:p>
    <w:p w14:paraId="062A5F26" w14:textId="77777777" w:rsidR="009060BE" w:rsidRPr="00C82BBD" w:rsidRDefault="009060BE" w:rsidP="00C82BBD">
      <w:pPr>
        <w:spacing w:line="480" w:lineRule="auto"/>
        <w:rPr>
          <w:rFonts w:ascii="Garamond" w:hAnsi="Garamond"/>
          <w:lang w:val="en-AU"/>
        </w:rPr>
      </w:pPr>
    </w:p>
    <w:p w14:paraId="2290D9AC" w14:textId="154DD929" w:rsidR="009060BE" w:rsidRPr="00C82BBD" w:rsidRDefault="009060BE" w:rsidP="00C82BBD">
      <w:pPr>
        <w:spacing w:line="480" w:lineRule="auto"/>
        <w:rPr>
          <w:rFonts w:ascii="Garamond" w:hAnsi="Garamond"/>
          <w:lang w:val="en-AU"/>
        </w:rPr>
      </w:pPr>
      <w:r w:rsidRPr="00C82BBD">
        <w:rPr>
          <w:rFonts w:ascii="Garamond" w:hAnsi="Garamond"/>
          <w:lang w:val="en-AU"/>
        </w:rPr>
        <w:t xml:space="preserve">Roxburgh et al. (2017). Trends in heroin and pharmaceutical opioid overdose deaths in Australia. </w:t>
      </w:r>
      <w:r w:rsidRPr="00C82BBD">
        <w:rPr>
          <w:rFonts w:ascii="Garamond" w:hAnsi="Garamond"/>
          <w:i/>
          <w:lang w:val="en-AU"/>
        </w:rPr>
        <w:t xml:space="preserve">Drug &amp; Alcohol Dependence, </w:t>
      </w:r>
      <w:r w:rsidRPr="00C82BBD">
        <w:rPr>
          <w:rFonts w:ascii="Garamond" w:hAnsi="Garamond"/>
          <w:lang w:val="en-AU"/>
        </w:rPr>
        <w:t>179 (1), 291-298.</w:t>
      </w:r>
    </w:p>
    <w:p w14:paraId="715B3DB5" w14:textId="77777777" w:rsidR="003146F9" w:rsidRDefault="003146F9" w:rsidP="00C82BBD">
      <w:pPr>
        <w:autoSpaceDE w:val="0"/>
        <w:autoSpaceDN w:val="0"/>
        <w:adjustRightInd w:val="0"/>
        <w:spacing w:after="0" w:line="480" w:lineRule="auto"/>
        <w:rPr>
          <w:rFonts w:ascii="Garamond" w:eastAsia="TimesNewRomanPSMT" w:hAnsi="Garamond" w:cs="TimesNewRomanPSMT"/>
          <w:lang w:val="en-AU"/>
        </w:rPr>
      </w:pPr>
    </w:p>
    <w:p w14:paraId="2692DE8B" w14:textId="11C7210D" w:rsidR="009C235C" w:rsidRDefault="009C235C" w:rsidP="00C82BBD">
      <w:pPr>
        <w:autoSpaceDE w:val="0"/>
        <w:autoSpaceDN w:val="0"/>
        <w:adjustRightInd w:val="0"/>
        <w:spacing w:after="0" w:line="480" w:lineRule="auto"/>
        <w:rPr>
          <w:rFonts w:ascii="Garamond" w:eastAsia="TimesNewRomanPSMT" w:hAnsi="Garamond" w:cs="TimesNewRomanPSMT"/>
          <w:lang w:val="en-AU"/>
        </w:rPr>
      </w:pPr>
      <w:r>
        <w:rPr>
          <w:rFonts w:ascii="Garamond" w:eastAsia="TimesNewRomanPSMT" w:hAnsi="Garamond" w:cs="TimesNewRomanPSMT"/>
          <w:lang w:val="en-AU"/>
        </w:rPr>
        <w:lastRenderedPageBreak/>
        <w:t xml:space="preserve">Singleton, V. &amp; </w:t>
      </w:r>
      <w:proofErr w:type="spellStart"/>
      <w:r>
        <w:rPr>
          <w:rFonts w:ascii="Garamond" w:eastAsia="TimesNewRomanPSMT" w:hAnsi="Garamond" w:cs="TimesNewRomanPSMT"/>
          <w:lang w:val="en-AU"/>
        </w:rPr>
        <w:t>Mee</w:t>
      </w:r>
      <w:proofErr w:type="spellEnd"/>
      <w:r>
        <w:rPr>
          <w:rFonts w:ascii="Garamond" w:eastAsia="TimesNewRomanPSMT" w:hAnsi="Garamond" w:cs="TimesNewRomanPSMT"/>
          <w:lang w:val="en-AU"/>
        </w:rPr>
        <w:t xml:space="preserve">, S. (2017). Critical compassion: Affect, discretion and policy-care relations. </w:t>
      </w:r>
      <w:r>
        <w:rPr>
          <w:rFonts w:ascii="Garamond" w:eastAsia="TimesNewRomanPSMT" w:hAnsi="Garamond" w:cs="TimesNewRomanPSMT"/>
          <w:i/>
          <w:lang w:val="en-AU"/>
        </w:rPr>
        <w:t xml:space="preserve">The Sociological Review Monographs, </w:t>
      </w:r>
      <w:r>
        <w:rPr>
          <w:rFonts w:ascii="Garamond" w:eastAsia="TimesNewRomanPSMT" w:hAnsi="Garamond" w:cs="TimesNewRomanPSMT"/>
          <w:lang w:val="en-AU"/>
        </w:rPr>
        <w:t>65 (2), 130-149.</w:t>
      </w:r>
    </w:p>
    <w:p w14:paraId="28DFEF6C" w14:textId="77777777" w:rsidR="00CF34C9" w:rsidRPr="009C235C" w:rsidRDefault="00CF34C9" w:rsidP="00C82BBD">
      <w:pPr>
        <w:autoSpaceDE w:val="0"/>
        <w:autoSpaceDN w:val="0"/>
        <w:adjustRightInd w:val="0"/>
        <w:spacing w:after="0" w:line="480" w:lineRule="auto"/>
        <w:rPr>
          <w:rFonts w:ascii="Garamond" w:eastAsia="TimesNewRomanPSMT" w:hAnsi="Garamond" w:cs="TimesNewRomanPSMT"/>
          <w:lang w:val="en-AU"/>
        </w:rPr>
      </w:pPr>
    </w:p>
    <w:p w14:paraId="57AE1078" w14:textId="4A476A4D" w:rsidR="00AB0ED0" w:rsidRPr="00C82BBD" w:rsidRDefault="00037C3D" w:rsidP="00C82BBD">
      <w:pPr>
        <w:spacing w:after="0" w:line="480" w:lineRule="auto"/>
        <w:rPr>
          <w:rFonts w:ascii="Garamond" w:hAnsi="Garamond" w:cs="Times New Roman"/>
        </w:rPr>
      </w:pPr>
      <w:r w:rsidRPr="00C82BBD">
        <w:rPr>
          <w:rFonts w:ascii="Garamond" w:hAnsi="Garamond" w:cs="Times New Roman"/>
          <w:color w:val="000000"/>
          <w:lang w:val="en-GB"/>
        </w:rPr>
        <w:t xml:space="preserve">Karlsson, A. </w:t>
      </w:r>
      <w:r w:rsidR="00AB0ED0" w:rsidRPr="00C82BBD">
        <w:rPr>
          <w:rFonts w:ascii="Garamond" w:hAnsi="Garamond" w:cs="Times New Roman"/>
          <w:color w:val="000000"/>
          <w:lang w:val="en-GB"/>
        </w:rPr>
        <w:t>&amp; B</w:t>
      </w:r>
      <w:r w:rsidRPr="00C82BBD">
        <w:rPr>
          <w:rFonts w:ascii="Garamond" w:hAnsi="Garamond" w:cs="Times New Roman"/>
          <w:color w:val="000000"/>
          <w:lang w:val="en-GB"/>
        </w:rPr>
        <w:t>urns, L.</w:t>
      </w:r>
      <w:r w:rsidR="00AB0ED0" w:rsidRPr="00C82BBD">
        <w:rPr>
          <w:rFonts w:ascii="Garamond" w:hAnsi="Garamond" w:cs="Times New Roman"/>
          <w:color w:val="000000"/>
          <w:lang w:val="en-GB"/>
        </w:rPr>
        <w:t xml:space="preserve"> (201</w:t>
      </w:r>
      <w:r w:rsidRPr="00C82BBD">
        <w:rPr>
          <w:rFonts w:ascii="Garamond" w:hAnsi="Garamond" w:cs="Times New Roman"/>
          <w:color w:val="000000"/>
          <w:lang w:val="en-GB"/>
        </w:rPr>
        <w:t>8</w:t>
      </w:r>
      <w:r w:rsidR="00AB0ED0" w:rsidRPr="00C82BBD">
        <w:rPr>
          <w:rFonts w:ascii="Garamond" w:hAnsi="Garamond" w:cs="Times New Roman"/>
          <w:color w:val="000000"/>
          <w:lang w:val="en-GB"/>
        </w:rPr>
        <w:t xml:space="preserve">). </w:t>
      </w:r>
      <w:r w:rsidR="00AB0ED0" w:rsidRPr="00C82BBD">
        <w:rPr>
          <w:rFonts w:ascii="Garamond" w:hAnsi="Garamond" w:cs="Times New Roman"/>
          <w:i/>
          <w:color w:val="000000"/>
          <w:lang w:val="en-GB"/>
        </w:rPr>
        <w:t>Australian Drug Trends 201</w:t>
      </w:r>
      <w:r w:rsidRPr="00C82BBD">
        <w:rPr>
          <w:rFonts w:ascii="Garamond" w:hAnsi="Garamond" w:cs="Times New Roman"/>
          <w:i/>
          <w:color w:val="000000"/>
          <w:lang w:val="en-GB"/>
        </w:rPr>
        <w:t>7</w:t>
      </w:r>
      <w:r w:rsidR="00AB0ED0" w:rsidRPr="00C82BBD">
        <w:rPr>
          <w:rFonts w:ascii="Garamond" w:hAnsi="Garamond" w:cs="Times New Roman"/>
          <w:i/>
          <w:color w:val="000000"/>
          <w:lang w:val="en-GB"/>
        </w:rPr>
        <w:t xml:space="preserve">. Findings from the Illicit Drug Reporting System (IDRS). </w:t>
      </w:r>
      <w:r w:rsidR="00AB0ED0" w:rsidRPr="00C82BBD">
        <w:rPr>
          <w:rFonts w:ascii="Garamond" w:hAnsi="Garamond" w:cs="Times New Roman"/>
          <w:i/>
        </w:rPr>
        <w:t xml:space="preserve">Australian Drug Trends Series No. </w:t>
      </w:r>
      <w:r w:rsidRPr="00C82BBD">
        <w:rPr>
          <w:rFonts w:ascii="Garamond" w:hAnsi="Garamond" w:cs="Times New Roman"/>
          <w:i/>
        </w:rPr>
        <w:t>181</w:t>
      </w:r>
      <w:r w:rsidR="00AB0ED0" w:rsidRPr="00C82BBD">
        <w:rPr>
          <w:rFonts w:ascii="Garamond" w:hAnsi="Garamond" w:cs="Times New Roman"/>
        </w:rPr>
        <w:t>. Sydney: National Drug and Alcohol Research Centre, UNSW.</w:t>
      </w:r>
    </w:p>
    <w:p w14:paraId="305C1568" w14:textId="77777777" w:rsidR="00AB0ED0" w:rsidRPr="00C82BBD" w:rsidRDefault="00AB0ED0" w:rsidP="00C82BBD">
      <w:pPr>
        <w:autoSpaceDE w:val="0"/>
        <w:autoSpaceDN w:val="0"/>
        <w:adjustRightInd w:val="0"/>
        <w:spacing w:after="0" w:line="480" w:lineRule="auto"/>
        <w:rPr>
          <w:rFonts w:ascii="Garamond" w:eastAsia="TimesNewRomanPSMT" w:hAnsi="Garamond" w:cs="TimesNewRomanPSMT"/>
          <w:lang w:val="en-AU"/>
        </w:rPr>
      </w:pPr>
    </w:p>
    <w:p w14:paraId="41977AD1" w14:textId="784C785D" w:rsidR="00C27301" w:rsidRPr="00C82BBD" w:rsidRDefault="00C27301"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Strang, J., &amp; Farrell, M. (1992). Harm minimisation for drug misusers: When second best may be best first. </w:t>
      </w:r>
      <w:r w:rsidRPr="00C82BBD">
        <w:rPr>
          <w:rFonts w:ascii="Garamond" w:hAnsi="Garamond" w:cs="AdvP7B72"/>
          <w:i/>
          <w:lang w:val="en-AU"/>
        </w:rPr>
        <w:t>British</w:t>
      </w:r>
      <w:r w:rsidR="00704F5D" w:rsidRPr="00C82BBD">
        <w:rPr>
          <w:rFonts w:ascii="Garamond" w:hAnsi="Garamond" w:cs="AdvP7B72"/>
          <w:i/>
          <w:lang w:val="en-AU"/>
        </w:rPr>
        <w:t xml:space="preserve"> </w:t>
      </w:r>
      <w:r w:rsidRPr="00C82BBD">
        <w:rPr>
          <w:rFonts w:ascii="Garamond" w:hAnsi="Garamond" w:cs="AdvP7B72"/>
          <w:i/>
          <w:lang w:val="en-AU"/>
        </w:rPr>
        <w:t>Medical Journal</w:t>
      </w:r>
      <w:r w:rsidRPr="00C82BBD">
        <w:rPr>
          <w:rFonts w:ascii="Garamond" w:hAnsi="Garamond" w:cs="AdvP7B6C"/>
          <w:lang w:val="en-AU"/>
        </w:rPr>
        <w:t xml:space="preserve">, </w:t>
      </w:r>
      <w:r w:rsidRPr="00C82BBD">
        <w:rPr>
          <w:rFonts w:ascii="Garamond" w:hAnsi="Garamond" w:cs="AdvP7B72"/>
          <w:lang w:val="en-AU"/>
        </w:rPr>
        <w:t>304</w:t>
      </w:r>
      <w:r w:rsidRPr="00C82BBD">
        <w:rPr>
          <w:rFonts w:ascii="Garamond" w:hAnsi="Garamond" w:cs="AdvP7B6C"/>
          <w:lang w:val="en-AU"/>
        </w:rPr>
        <w:t>, 1127–1128.</w:t>
      </w:r>
    </w:p>
    <w:p w14:paraId="444C639B" w14:textId="77777777" w:rsidR="006335E2" w:rsidRPr="00C82BBD" w:rsidRDefault="006335E2" w:rsidP="00C82BBD">
      <w:pPr>
        <w:autoSpaceDE w:val="0"/>
        <w:autoSpaceDN w:val="0"/>
        <w:adjustRightInd w:val="0"/>
        <w:spacing w:after="0" w:line="480" w:lineRule="auto"/>
        <w:rPr>
          <w:rFonts w:ascii="Garamond" w:hAnsi="Garamond" w:cs="AdvP7B6C"/>
          <w:lang w:val="en-AU"/>
        </w:rPr>
      </w:pPr>
    </w:p>
    <w:p w14:paraId="41961AF5" w14:textId="01615F8D" w:rsidR="006335E2" w:rsidRPr="00C82BBD" w:rsidRDefault="006335E2" w:rsidP="00C82BBD">
      <w:pPr>
        <w:autoSpaceDE w:val="0"/>
        <w:autoSpaceDN w:val="0"/>
        <w:adjustRightInd w:val="0"/>
        <w:spacing w:after="0" w:line="480" w:lineRule="auto"/>
        <w:rPr>
          <w:rFonts w:ascii="Garamond" w:hAnsi="Garamond" w:cs="AdvP7B6C"/>
          <w:lang w:val="en-AU"/>
        </w:rPr>
      </w:pPr>
      <w:r w:rsidRPr="00C82BBD">
        <w:rPr>
          <w:rFonts w:ascii="Garamond" w:hAnsi="Garamond" w:cs="AdvP7B6C"/>
          <w:lang w:val="en-AU"/>
        </w:rPr>
        <w:t xml:space="preserve">Strang, J., Neale, J., McDonald, R. &amp; </w:t>
      </w:r>
      <w:proofErr w:type="spellStart"/>
      <w:r w:rsidRPr="00C82BBD">
        <w:rPr>
          <w:rFonts w:ascii="Garamond" w:hAnsi="Garamond" w:cs="AdvP7B6C"/>
          <w:lang w:val="en-AU"/>
        </w:rPr>
        <w:t>Kalk</w:t>
      </w:r>
      <w:proofErr w:type="spellEnd"/>
      <w:r w:rsidRPr="00C82BBD">
        <w:rPr>
          <w:rFonts w:ascii="Garamond" w:hAnsi="Garamond" w:cs="AdvP7B6C"/>
          <w:lang w:val="en-AU"/>
        </w:rPr>
        <w:t xml:space="preserve">, N. (2018). Toxicity: Exploring and expanding the concept. </w:t>
      </w:r>
      <w:r w:rsidRPr="00C82BBD">
        <w:rPr>
          <w:rFonts w:ascii="Garamond" w:hAnsi="Garamond" w:cs="AdvP7B6C"/>
          <w:i/>
          <w:lang w:val="en-AU"/>
        </w:rPr>
        <w:t xml:space="preserve">Addiction, </w:t>
      </w:r>
      <w:r w:rsidRPr="00C82BBD">
        <w:rPr>
          <w:rFonts w:ascii="Garamond" w:hAnsi="Garamond" w:cs="AdvP7B6C"/>
          <w:lang w:val="en-AU"/>
        </w:rPr>
        <w:t>113 (4), 592-594.</w:t>
      </w:r>
    </w:p>
    <w:p w14:paraId="0852F7EA" w14:textId="77777777" w:rsidR="0008665E" w:rsidRPr="00C82BBD" w:rsidRDefault="0008665E" w:rsidP="00C82BBD">
      <w:pPr>
        <w:autoSpaceDE w:val="0"/>
        <w:autoSpaceDN w:val="0"/>
        <w:adjustRightInd w:val="0"/>
        <w:spacing w:after="0" w:line="480" w:lineRule="auto"/>
        <w:rPr>
          <w:rFonts w:ascii="Garamond" w:hAnsi="Garamond" w:cs="AdvP7B6C"/>
          <w:lang w:val="en-AU"/>
        </w:rPr>
      </w:pPr>
    </w:p>
    <w:p w14:paraId="3A272065" w14:textId="0BB2C52F" w:rsidR="00723C6E" w:rsidRPr="00C82BBD" w:rsidRDefault="00723C6E" w:rsidP="00C82BBD">
      <w:pPr>
        <w:spacing w:line="480" w:lineRule="auto"/>
        <w:rPr>
          <w:rFonts w:ascii="Garamond" w:hAnsi="Garamond" w:cs="Arial"/>
          <w:lang w:val="en-AU"/>
        </w:rPr>
      </w:pPr>
      <w:proofErr w:type="spellStart"/>
      <w:r w:rsidRPr="00C82BBD">
        <w:rPr>
          <w:rFonts w:ascii="Garamond" w:hAnsi="Garamond" w:cs="Arial"/>
          <w:lang w:val="en-AU"/>
        </w:rPr>
        <w:t>Sybylla</w:t>
      </w:r>
      <w:proofErr w:type="spellEnd"/>
      <w:r w:rsidR="0008665E" w:rsidRPr="00C82BBD">
        <w:rPr>
          <w:rFonts w:ascii="Garamond" w:hAnsi="Garamond" w:cs="Arial"/>
          <w:lang w:val="en-AU"/>
        </w:rPr>
        <w:t>, R.</w:t>
      </w:r>
      <w:r w:rsidRPr="00C82BBD">
        <w:rPr>
          <w:rFonts w:ascii="Garamond" w:hAnsi="Garamond" w:cs="Arial"/>
          <w:lang w:val="en-AU"/>
        </w:rPr>
        <w:t xml:space="preserve"> (2001</w:t>
      </w:r>
      <w:r w:rsidR="0008665E" w:rsidRPr="00C82BBD">
        <w:rPr>
          <w:rFonts w:ascii="Garamond" w:hAnsi="Garamond" w:cs="Arial"/>
          <w:lang w:val="en-AU"/>
        </w:rPr>
        <w:t xml:space="preserve">). Hearing whose voice? The ethics of care and the practices of liberty: a critique. </w:t>
      </w:r>
      <w:r w:rsidR="0008665E" w:rsidRPr="00C82BBD">
        <w:rPr>
          <w:rFonts w:ascii="Garamond" w:hAnsi="Garamond" w:cs="Arial"/>
          <w:i/>
          <w:lang w:val="en-AU"/>
        </w:rPr>
        <w:t>Economy and Society</w:t>
      </w:r>
      <w:r w:rsidR="0008665E" w:rsidRPr="00C82BBD">
        <w:rPr>
          <w:rFonts w:ascii="Garamond" w:hAnsi="Garamond" w:cs="Arial"/>
          <w:lang w:val="en-AU"/>
        </w:rPr>
        <w:t>, 30(1), 66-84.</w:t>
      </w:r>
    </w:p>
    <w:p w14:paraId="7EB8F338" w14:textId="77777777" w:rsidR="008A1BCF" w:rsidRPr="00C82BBD" w:rsidRDefault="008A1BCF" w:rsidP="00C82BBD">
      <w:pPr>
        <w:spacing w:line="480" w:lineRule="auto"/>
        <w:rPr>
          <w:rFonts w:ascii="Garamond" w:hAnsi="Garamond" w:cs="Arial"/>
          <w:lang w:val="en-AU"/>
        </w:rPr>
      </w:pPr>
    </w:p>
    <w:p w14:paraId="649DF9B6" w14:textId="2E1A9C02" w:rsidR="00503E0D" w:rsidRPr="00C82BBD" w:rsidRDefault="00503E0D" w:rsidP="00C82BBD">
      <w:pPr>
        <w:spacing w:after="0" w:line="480" w:lineRule="auto"/>
        <w:rPr>
          <w:rFonts w:ascii="Garamond" w:hAnsi="Garamond" w:cs="Arial"/>
        </w:rPr>
      </w:pPr>
      <w:r w:rsidRPr="00C82BBD">
        <w:rPr>
          <w:rFonts w:ascii="Garamond" w:hAnsi="Garamond" w:cs="Arial"/>
        </w:rPr>
        <w:t xml:space="preserve">Taylor, S. (2008). Outside the outsiders: Media representations of drug use. </w:t>
      </w:r>
      <w:r w:rsidRPr="00C82BBD">
        <w:rPr>
          <w:rFonts w:ascii="Garamond" w:hAnsi="Garamond" w:cs="Arial"/>
          <w:i/>
        </w:rPr>
        <w:t xml:space="preserve">Probation Journal, </w:t>
      </w:r>
      <w:r w:rsidRPr="00C82BBD">
        <w:rPr>
          <w:rFonts w:ascii="Garamond" w:hAnsi="Garamond" w:cs="Arial"/>
        </w:rPr>
        <w:t>55(4), 369-387.</w:t>
      </w:r>
    </w:p>
    <w:p w14:paraId="1857A2DB" w14:textId="77777777" w:rsidR="008A1BCF" w:rsidRPr="00C82BBD" w:rsidRDefault="008A1BCF" w:rsidP="00C82BBD">
      <w:pPr>
        <w:spacing w:after="0" w:line="480" w:lineRule="auto"/>
        <w:rPr>
          <w:rFonts w:ascii="Garamond" w:hAnsi="Garamond" w:cs="Arial"/>
        </w:rPr>
      </w:pPr>
    </w:p>
    <w:p w14:paraId="1A63B8E5" w14:textId="1C97F04B" w:rsidR="00704F5D" w:rsidRPr="00C82BBD" w:rsidRDefault="00723C6E" w:rsidP="00C82BBD">
      <w:pPr>
        <w:spacing w:line="480" w:lineRule="auto"/>
        <w:rPr>
          <w:rFonts w:ascii="Garamond" w:hAnsi="Garamond"/>
        </w:rPr>
      </w:pPr>
      <w:r w:rsidRPr="00C82BBD">
        <w:rPr>
          <w:rFonts w:ascii="Garamond" w:hAnsi="Garamond"/>
        </w:rPr>
        <w:t xml:space="preserve">Vitellone, </w:t>
      </w:r>
      <w:r w:rsidR="00AD5ADC" w:rsidRPr="00C82BBD">
        <w:rPr>
          <w:rFonts w:ascii="Garamond" w:hAnsi="Garamond"/>
        </w:rPr>
        <w:t>N. (</w:t>
      </w:r>
      <w:r w:rsidRPr="00C82BBD">
        <w:rPr>
          <w:rFonts w:ascii="Garamond" w:hAnsi="Garamond"/>
        </w:rPr>
        <w:t>2017</w:t>
      </w:r>
      <w:r w:rsidR="00AD5ADC" w:rsidRPr="00C82BBD">
        <w:rPr>
          <w:rFonts w:ascii="Garamond" w:hAnsi="Garamond"/>
        </w:rPr>
        <w:t xml:space="preserve">). </w:t>
      </w:r>
      <w:r w:rsidR="00AD5ADC" w:rsidRPr="00C82BBD">
        <w:rPr>
          <w:rFonts w:ascii="Garamond" w:hAnsi="Garamond"/>
          <w:i/>
        </w:rPr>
        <w:t xml:space="preserve">Social science of the syringe: A sociology of injecting drug use. </w:t>
      </w:r>
      <w:r w:rsidR="00AD5ADC" w:rsidRPr="00C82BBD">
        <w:rPr>
          <w:rFonts w:ascii="Garamond" w:hAnsi="Garamond"/>
        </w:rPr>
        <w:t>Routledge: London &amp; New York.</w:t>
      </w:r>
    </w:p>
    <w:sectPr w:rsidR="00704F5D" w:rsidRPr="00C82BB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5942" w14:textId="77777777" w:rsidR="00062E2C" w:rsidRDefault="00062E2C" w:rsidP="00C23EB1">
      <w:pPr>
        <w:spacing w:after="0" w:line="240" w:lineRule="auto"/>
      </w:pPr>
      <w:r>
        <w:separator/>
      </w:r>
    </w:p>
  </w:endnote>
  <w:endnote w:type="continuationSeparator" w:id="0">
    <w:p w14:paraId="004BB801" w14:textId="77777777" w:rsidR="00062E2C" w:rsidRDefault="00062E2C" w:rsidP="00C23EB1">
      <w:pPr>
        <w:spacing w:after="0" w:line="240" w:lineRule="auto"/>
      </w:pPr>
      <w:r>
        <w:continuationSeparator/>
      </w:r>
    </w:p>
  </w:endnote>
  <w:endnote w:id="1">
    <w:p w14:paraId="54FA9EF4" w14:textId="43D36858" w:rsidR="009A6B13" w:rsidRPr="009A6B13" w:rsidRDefault="009A6B13">
      <w:pPr>
        <w:pStyle w:val="EndnoteText"/>
        <w:rPr>
          <w:lang w:val="en-AU"/>
        </w:rPr>
      </w:pPr>
      <w:r>
        <w:rPr>
          <w:rStyle w:val="EndnoteReference"/>
        </w:rPr>
        <w:endnoteRef/>
      </w:r>
      <w:r>
        <w:t xml:space="preserve"> </w:t>
      </w:r>
      <w:r>
        <w:rPr>
          <w:rFonts w:ascii="Garamond" w:hAnsi="Garamond"/>
        </w:rPr>
        <w:t>Due to the focus of this article, we confine our methods discussion to consumer participants.</w:t>
      </w:r>
    </w:p>
  </w:endnote>
  <w:endnote w:id="2">
    <w:p w14:paraId="1184FB84" w14:textId="7CED3F6E" w:rsidR="009A6B13" w:rsidRPr="009A6B13" w:rsidRDefault="009A6B13">
      <w:pPr>
        <w:pStyle w:val="EndnoteText"/>
        <w:rPr>
          <w:lang w:val="en-AU"/>
        </w:rPr>
      </w:pPr>
      <w:r>
        <w:rPr>
          <w:rStyle w:val="EndnoteReference"/>
        </w:rPr>
        <w:endnoteRef/>
      </w:r>
      <w:r>
        <w:t xml:space="preserve"> </w:t>
      </w:r>
      <w:r w:rsidRPr="00FA2140">
        <w:rPr>
          <w:rFonts w:ascii="Garamond" w:eastAsia="TimesNewRomanPSMT" w:hAnsi="Garamond" w:cs="TimesNewRomanPSMT"/>
          <w:lang w:val="en-AU"/>
        </w:rPr>
        <w:t>To preserve anonymity, all participants’ names in this article are pseudonyms.</w:t>
      </w:r>
    </w:p>
  </w:endnote>
  <w:endnote w:id="3">
    <w:p w14:paraId="1EA535B3" w14:textId="2A6695B2" w:rsidR="009A6B13" w:rsidRPr="009A6B13" w:rsidRDefault="009A6B13">
      <w:pPr>
        <w:pStyle w:val="EndnoteText"/>
        <w:rPr>
          <w:lang w:val="en-AU"/>
        </w:rPr>
      </w:pPr>
      <w:r>
        <w:rPr>
          <w:rStyle w:val="EndnoteReference"/>
        </w:rPr>
        <w:endnoteRef/>
      </w:r>
      <w:r>
        <w:t xml:space="preserve"> </w:t>
      </w:r>
      <w:r w:rsidRPr="00FA2140">
        <w:rPr>
          <w:rFonts w:ascii="Garamond" w:hAnsi="Garamond"/>
          <w:lang w:val="en-AU"/>
        </w:rPr>
        <w:t xml:space="preserve">Naloxone is often referred to as </w:t>
      </w:r>
      <w:r w:rsidRPr="00FA2140">
        <w:rPr>
          <w:rFonts w:ascii="Garamond" w:hAnsi="Garamond"/>
          <w:lang w:val="en-AU"/>
        </w:rPr>
        <w:t>Narcan®, a brand name it is sold under.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7B6C">
    <w:panose1 w:val="00000000000000000000"/>
    <w:charset w:val="00"/>
    <w:family w:val="roman"/>
    <w:notTrueType/>
    <w:pitch w:val="default"/>
    <w:sig w:usb0="00000003" w:usb1="00000000" w:usb2="00000000" w:usb3="00000000" w:csb0="00000001" w:csb1="00000000"/>
  </w:font>
  <w:font w:name="AdvTTc7ad1622">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AdvP7B72">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P4DF60F">
    <w:panose1 w:val="00000000000000000000"/>
    <w:charset w:val="00"/>
    <w:family w:val="auto"/>
    <w:notTrueType/>
    <w:pitch w:val="default"/>
    <w:sig w:usb0="00000003" w:usb1="00000000" w:usb2="00000000" w:usb3="00000000" w:csb0="00000001" w:csb1="00000000"/>
  </w:font>
  <w:font w:name="IBJGD C+ Gulliver IT">
    <w:altName w:val="Gulliver IT"/>
    <w:panose1 w:val="00000000000000000000"/>
    <w:charset w:val="00"/>
    <w:family w:val="roman"/>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8C31" w14:textId="77777777" w:rsidR="00062E2C" w:rsidRDefault="00062E2C" w:rsidP="00C23EB1">
      <w:pPr>
        <w:spacing w:after="0" w:line="240" w:lineRule="auto"/>
      </w:pPr>
      <w:r>
        <w:separator/>
      </w:r>
    </w:p>
  </w:footnote>
  <w:footnote w:type="continuationSeparator" w:id="0">
    <w:p w14:paraId="30FDE10A" w14:textId="77777777" w:rsidR="00062E2C" w:rsidRDefault="00062E2C" w:rsidP="00C2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43EC" w14:textId="2A1D7B13" w:rsidR="006335E2" w:rsidRPr="003704C3" w:rsidRDefault="005F6A00">
    <w:pPr>
      <w:pStyle w:val="Header"/>
      <w:jc w:val="right"/>
      <w:rPr>
        <w:rFonts w:ascii="Garamond" w:hAnsi="Garamond"/>
      </w:rPr>
    </w:pPr>
    <w:sdt>
      <w:sdtPr>
        <w:rPr>
          <w:rFonts w:ascii="Garamond" w:hAnsi="Garamond"/>
        </w:rPr>
        <w:id w:val="-974364048"/>
        <w:docPartObj>
          <w:docPartGallery w:val="Page Numbers (Top of Page)"/>
          <w:docPartUnique/>
        </w:docPartObj>
      </w:sdtPr>
      <w:sdtEndPr>
        <w:rPr>
          <w:noProof/>
        </w:rPr>
      </w:sdtEndPr>
      <w:sdtContent>
        <w:r w:rsidR="006335E2" w:rsidRPr="003704C3">
          <w:rPr>
            <w:rFonts w:ascii="Garamond" w:hAnsi="Garamond"/>
          </w:rPr>
          <w:fldChar w:fldCharType="begin"/>
        </w:r>
        <w:r w:rsidR="006335E2" w:rsidRPr="003704C3">
          <w:rPr>
            <w:rFonts w:ascii="Garamond" w:hAnsi="Garamond"/>
          </w:rPr>
          <w:instrText xml:space="preserve"> PAGE   \* MERGEFORMAT </w:instrText>
        </w:r>
        <w:r w:rsidR="006335E2" w:rsidRPr="003704C3">
          <w:rPr>
            <w:rFonts w:ascii="Garamond" w:hAnsi="Garamond"/>
          </w:rPr>
          <w:fldChar w:fldCharType="separate"/>
        </w:r>
        <w:r w:rsidR="003A5158">
          <w:rPr>
            <w:rFonts w:ascii="Garamond" w:hAnsi="Garamond"/>
            <w:noProof/>
          </w:rPr>
          <w:t>26</w:t>
        </w:r>
        <w:r w:rsidR="006335E2" w:rsidRPr="003704C3">
          <w:rPr>
            <w:rFonts w:ascii="Garamond" w:hAnsi="Garamond"/>
            <w:noProof/>
          </w:rPr>
          <w:fldChar w:fldCharType="end"/>
        </w:r>
      </w:sdtContent>
    </w:sdt>
  </w:p>
  <w:p w14:paraId="2F8E561F" w14:textId="77777777" w:rsidR="006335E2" w:rsidRDefault="0063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102"/>
    <w:multiLevelType w:val="hybridMultilevel"/>
    <w:tmpl w:val="89646794"/>
    <w:lvl w:ilvl="0" w:tplc="A92C8D3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7816CB"/>
    <w:multiLevelType w:val="hybridMultilevel"/>
    <w:tmpl w:val="399A3C34"/>
    <w:lvl w:ilvl="0" w:tplc="0636AA76">
      <w:start w:val="1"/>
      <w:numFmt w:val="bullet"/>
      <w:lvlText w:val="•"/>
      <w:lvlJc w:val="left"/>
      <w:pPr>
        <w:tabs>
          <w:tab w:val="num" w:pos="720"/>
        </w:tabs>
        <w:ind w:left="720" w:hanging="360"/>
      </w:pPr>
      <w:rPr>
        <w:rFonts w:ascii="Arial" w:hAnsi="Arial" w:hint="default"/>
      </w:rPr>
    </w:lvl>
    <w:lvl w:ilvl="1" w:tplc="E9D41B28" w:tentative="1">
      <w:start w:val="1"/>
      <w:numFmt w:val="bullet"/>
      <w:lvlText w:val="•"/>
      <w:lvlJc w:val="left"/>
      <w:pPr>
        <w:tabs>
          <w:tab w:val="num" w:pos="1440"/>
        </w:tabs>
        <w:ind w:left="1440" w:hanging="360"/>
      </w:pPr>
      <w:rPr>
        <w:rFonts w:ascii="Arial" w:hAnsi="Arial" w:hint="default"/>
      </w:rPr>
    </w:lvl>
    <w:lvl w:ilvl="2" w:tplc="0C9C02F6" w:tentative="1">
      <w:start w:val="1"/>
      <w:numFmt w:val="bullet"/>
      <w:lvlText w:val="•"/>
      <w:lvlJc w:val="left"/>
      <w:pPr>
        <w:tabs>
          <w:tab w:val="num" w:pos="2160"/>
        </w:tabs>
        <w:ind w:left="2160" w:hanging="360"/>
      </w:pPr>
      <w:rPr>
        <w:rFonts w:ascii="Arial" w:hAnsi="Arial" w:hint="default"/>
      </w:rPr>
    </w:lvl>
    <w:lvl w:ilvl="3" w:tplc="D39C7E02" w:tentative="1">
      <w:start w:val="1"/>
      <w:numFmt w:val="bullet"/>
      <w:lvlText w:val="•"/>
      <w:lvlJc w:val="left"/>
      <w:pPr>
        <w:tabs>
          <w:tab w:val="num" w:pos="2880"/>
        </w:tabs>
        <w:ind w:left="2880" w:hanging="360"/>
      </w:pPr>
      <w:rPr>
        <w:rFonts w:ascii="Arial" w:hAnsi="Arial" w:hint="default"/>
      </w:rPr>
    </w:lvl>
    <w:lvl w:ilvl="4" w:tplc="AB729EBA" w:tentative="1">
      <w:start w:val="1"/>
      <w:numFmt w:val="bullet"/>
      <w:lvlText w:val="•"/>
      <w:lvlJc w:val="left"/>
      <w:pPr>
        <w:tabs>
          <w:tab w:val="num" w:pos="3600"/>
        </w:tabs>
        <w:ind w:left="3600" w:hanging="360"/>
      </w:pPr>
      <w:rPr>
        <w:rFonts w:ascii="Arial" w:hAnsi="Arial" w:hint="default"/>
      </w:rPr>
    </w:lvl>
    <w:lvl w:ilvl="5" w:tplc="F47267E6" w:tentative="1">
      <w:start w:val="1"/>
      <w:numFmt w:val="bullet"/>
      <w:lvlText w:val="•"/>
      <w:lvlJc w:val="left"/>
      <w:pPr>
        <w:tabs>
          <w:tab w:val="num" w:pos="4320"/>
        </w:tabs>
        <w:ind w:left="4320" w:hanging="360"/>
      </w:pPr>
      <w:rPr>
        <w:rFonts w:ascii="Arial" w:hAnsi="Arial" w:hint="default"/>
      </w:rPr>
    </w:lvl>
    <w:lvl w:ilvl="6" w:tplc="5B424FAC" w:tentative="1">
      <w:start w:val="1"/>
      <w:numFmt w:val="bullet"/>
      <w:lvlText w:val="•"/>
      <w:lvlJc w:val="left"/>
      <w:pPr>
        <w:tabs>
          <w:tab w:val="num" w:pos="5040"/>
        </w:tabs>
        <w:ind w:left="5040" w:hanging="360"/>
      </w:pPr>
      <w:rPr>
        <w:rFonts w:ascii="Arial" w:hAnsi="Arial" w:hint="default"/>
      </w:rPr>
    </w:lvl>
    <w:lvl w:ilvl="7" w:tplc="CD1640B2" w:tentative="1">
      <w:start w:val="1"/>
      <w:numFmt w:val="bullet"/>
      <w:lvlText w:val="•"/>
      <w:lvlJc w:val="left"/>
      <w:pPr>
        <w:tabs>
          <w:tab w:val="num" w:pos="5760"/>
        </w:tabs>
        <w:ind w:left="5760" w:hanging="360"/>
      </w:pPr>
      <w:rPr>
        <w:rFonts w:ascii="Arial" w:hAnsi="Arial" w:hint="default"/>
      </w:rPr>
    </w:lvl>
    <w:lvl w:ilvl="8" w:tplc="7DF6B9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93930"/>
    <w:multiLevelType w:val="hybridMultilevel"/>
    <w:tmpl w:val="DB503DE0"/>
    <w:lvl w:ilvl="0" w:tplc="CEF2A7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0CA5FD7"/>
    <w:multiLevelType w:val="hybridMultilevel"/>
    <w:tmpl w:val="4CCCA33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9BB3D68"/>
    <w:multiLevelType w:val="hybridMultilevel"/>
    <w:tmpl w:val="E7182E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06840BA"/>
    <w:multiLevelType w:val="hybridMultilevel"/>
    <w:tmpl w:val="D952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6207B"/>
    <w:multiLevelType w:val="hybridMultilevel"/>
    <w:tmpl w:val="A9B86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E32DDE"/>
    <w:multiLevelType w:val="hybridMultilevel"/>
    <w:tmpl w:val="986000D8"/>
    <w:lvl w:ilvl="0" w:tplc="980CAC7A">
      <w:start w:val="1"/>
      <w:numFmt w:val="bullet"/>
      <w:lvlText w:val="•"/>
      <w:lvlJc w:val="left"/>
      <w:pPr>
        <w:tabs>
          <w:tab w:val="num" w:pos="720"/>
        </w:tabs>
        <w:ind w:left="720" w:hanging="360"/>
      </w:pPr>
      <w:rPr>
        <w:rFonts w:ascii="Arial" w:hAnsi="Arial" w:hint="default"/>
      </w:rPr>
    </w:lvl>
    <w:lvl w:ilvl="1" w:tplc="58C88572" w:tentative="1">
      <w:start w:val="1"/>
      <w:numFmt w:val="bullet"/>
      <w:lvlText w:val="•"/>
      <w:lvlJc w:val="left"/>
      <w:pPr>
        <w:tabs>
          <w:tab w:val="num" w:pos="1440"/>
        </w:tabs>
        <w:ind w:left="1440" w:hanging="360"/>
      </w:pPr>
      <w:rPr>
        <w:rFonts w:ascii="Arial" w:hAnsi="Arial" w:hint="default"/>
      </w:rPr>
    </w:lvl>
    <w:lvl w:ilvl="2" w:tplc="D8D61B56" w:tentative="1">
      <w:start w:val="1"/>
      <w:numFmt w:val="bullet"/>
      <w:lvlText w:val="•"/>
      <w:lvlJc w:val="left"/>
      <w:pPr>
        <w:tabs>
          <w:tab w:val="num" w:pos="2160"/>
        </w:tabs>
        <w:ind w:left="2160" w:hanging="360"/>
      </w:pPr>
      <w:rPr>
        <w:rFonts w:ascii="Arial" w:hAnsi="Arial" w:hint="default"/>
      </w:rPr>
    </w:lvl>
    <w:lvl w:ilvl="3" w:tplc="23667B78" w:tentative="1">
      <w:start w:val="1"/>
      <w:numFmt w:val="bullet"/>
      <w:lvlText w:val="•"/>
      <w:lvlJc w:val="left"/>
      <w:pPr>
        <w:tabs>
          <w:tab w:val="num" w:pos="2880"/>
        </w:tabs>
        <w:ind w:left="2880" w:hanging="360"/>
      </w:pPr>
      <w:rPr>
        <w:rFonts w:ascii="Arial" w:hAnsi="Arial" w:hint="default"/>
      </w:rPr>
    </w:lvl>
    <w:lvl w:ilvl="4" w:tplc="0770B6BA" w:tentative="1">
      <w:start w:val="1"/>
      <w:numFmt w:val="bullet"/>
      <w:lvlText w:val="•"/>
      <w:lvlJc w:val="left"/>
      <w:pPr>
        <w:tabs>
          <w:tab w:val="num" w:pos="3600"/>
        </w:tabs>
        <w:ind w:left="3600" w:hanging="360"/>
      </w:pPr>
      <w:rPr>
        <w:rFonts w:ascii="Arial" w:hAnsi="Arial" w:hint="default"/>
      </w:rPr>
    </w:lvl>
    <w:lvl w:ilvl="5" w:tplc="9E64DE64" w:tentative="1">
      <w:start w:val="1"/>
      <w:numFmt w:val="bullet"/>
      <w:lvlText w:val="•"/>
      <w:lvlJc w:val="left"/>
      <w:pPr>
        <w:tabs>
          <w:tab w:val="num" w:pos="4320"/>
        </w:tabs>
        <w:ind w:left="4320" w:hanging="360"/>
      </w:pPr>
      <w:rPr>
        <w:rFonts w:ascii="Arial" w:hAnsi="Arial" w:hint="default"/>
      </w:rPr>
    </w:lvl>
    <w:lvl w:ilvl="6" w:tplc="5A4ED420" w:tentative="1">
      <w:start w:val="1"/>
      <w:numFmt w:val="bullet"/>
      <w:lvlText w:val="•"/>
      <w:lvlJc w:val="left"/>
      <w:pPr>
        <w:tabs>
          <w:tab w:val="num" w:pos="5040"/>
        </w:tabs>
        <w:ind w:left="5040" w:hanging="360"/>
      </w:pPr>
      <w:rPr>
        <w:rFonts w:ascii="Arial" w:hAnsi="Arial" w:hint="default"/>
      </w:rPr>
    </w:lvl>
    <w:lvl w:ilvl="7" w:tplc="91ACEB98" w:tentative="1">
      <w:start w:val="1"/>
      <w:numFmt w:val="bullet"/>
      <w:lvlText w:val="•"/>
      <w:lvlJc w:val="left"/>
      <w:pPr>
        <w:tabs>
          <w:tab w:val="num" w:pos="5760"/>
        </w:tabs>
        <w:ind w:left="5760" w:hanging="360"/>
      </w:pPr>
      <w:rPr>
        <w:rFonts w:ascii="Arial" w:hAnsi="Arial" w:hint="default"/>
      </w:rPr>
    </w:lvl>
    <w:lvl w:ilvl="8" w:tplc="A8F2B8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4D28A6"/>
    <w:multiLevelType w:val="hybridMultilevel"/>
    <w:tmpl w:val="18B2B472"/>
    <w:lvl w:ilvl="0" w:tplc="F8C06B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3"/>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B1"/>
    <w:rsid w:val="00002C51"/>
    <w:rsid w:val="000042DE"/>
    <w:rsid w:val="000051A9"/>
    <w:rsid w:val="000070F4"/>
    <w:rsid w:val="00007872"/>
    <w:rsid w:val="00011E9E"/>
    <w:rsid w:val="00023E83"/>
    <w:rsid w:val="00024013"/>
    <w:rsid w:val="00030152"/>
    <w:rsid w:val="00031211"/>
    <w:rsid w:val="00033064"/>
    <w:rsid w:val="00034C99"/>
    <w:rsid w:val="00035023"/>
    <w:rsid w:val="00037A5C"/>
    <w:rsid w:val="00037C3D"/>
    <w:rsid w:val="00040F04"/>
    <w:rsid w:val="00041395"/>
    <w:rsid w:val="00042D01"/>
    <w:rsid w:val="00057AF4"/>
    <w:rsid w:val="00057BAE"/>
    <w:rsid w:val="00062263"/>
    <w:rsid w:val="00062E2C"/>
    <w:rsid w:val="00072C72"/>
    <w:rsid w:val="00074869"/>
    <w:rsid w:val="000809FF"/>
    <w:rsid w:val="0008187F"/>
    <w:rsid w:val="00081B47"/>
    <w:rsid w:val="00083B99"/>
    <w:rsid w:val="00085CA9"/>
    <w:rsid w:val="0008665E"/>
    <w:rsid w:val="00087C2B"/>
    <w:rsid w:val="00095F1C"/>
    <w:rsid w:val="00096607"/>
    <w:rsid w:val="000A1EDA"/>
    <w:rsid w:val="000A7B60"/>
    <w:rsid w:val="000B1FB9"/>
    <w:rsid w:val="000B3FBF"/>
    <w:rsid w:val="000C1A42"/>
    <w:rsid w:val="000C3232"/>
    <w:rsid w:val="000C3257"/>
    <w:rsid w:val="000C642E"/>
    <w:rsid w:val="000C6611"/>
    <w:rsid w:val="000C6DDF"/>
    <w:rsid w:val="000C7A91"/>
    <w:rsid w:val="000D39EB"/>
    <w:rsid w:val="000E1A0A"/>
    <w:rsid w:val="000E2E54"/>
    <w:rsid w:val="000E34DF"/>
    <w:rsid w:val="000F19ED"/>
    <w:rsid w:val="000F1AA2"/>
    <w:rsid w:val="000F1B76"/>
    <w:rsid w:val="000F5124"/>
    <w:rsid w:val="00104B17"/>
    <w:rsid w:val="00107E50"/>
    <w:rsid w:val="00111216"/>
    <w:rsid w:val="00114F52"/>
    <w:rsid w:val="00117303"/>
    <w:rsid w:val="00117C56"/>
    <w:rsid w:val="00120043"/>
    <w:rsid w:val="00122BB0"/>
    <w:rsid w:val="001312A1"/>
    <w:rsid w:val="00133D29"/>
    <w:rsid w:val="00135DC3"/>
    <w:rsid w:val="001550E0"/>
    <w:rsid w:val="00163FFC"/>
    <w:rsid w:val="0017202B"/>
    <w:rsid w:val="0018294A"/>
    <w:rsid w:val="00184C12"/>
    <w:rsid w:val="00186E58"/>
    <w:rsid w:val="001921E3"/>
    <w:rsid w:val="001946FC"/>
    <w:rsid w:val="001A3B73"/>
    <w:rsid w:val="001A46A2"/>
    <w:rsid w:val="001B1DDA"/>
    <w:rsid w:val="001B5500"/>
    <w:rsid w:val="001C0D19"/>
    <w:rsid w:val="001C3C2B"/>
    <w:rsid w:val="001C6A98"/>
    <w:rsid w:val="001D33C0"/>
    <w:rsid w:val="001D5A6B"/>
    <w:rsid w:val="001E2088"/>
    <w:rsid w:val="001E2BD5"/>
    <w:rsid w:val="001E69CF"/>
    <w:rsid w:val="001F2B06"/>
    <w:rsid w:val="001F2DAC"/>
    <w:rsid w:val="001F5A3E"/>
    <w:rsid w:val="0020159A"/>
    <w:rsid w:val="002034BE"/>
    <w:rsid w:val="002044D9"/>
    <w:rsid w:val="002055FB"/>
    <w:rsid w:val="002067EF"/>
    <w:rsid w:val="00206885"/>
    <w:rsid w:val="002128A8"/>
    <w:rsid w:val="00212FA7"/>
    <w:rsid w:val="0021654C"/>
    <w:rsid w:val="00220775"/>
    <w:rsid w:val="0022605D"/>
    <w:rsid w:val="002275DA"/>
    <w:rsid w:val="00232B0F"/>
    <w:rsid w:val="00233173"/>
    <w:rsid w:val="002339DF"/>
    <w:rsid w:val="002345E1"/>
    <w:rsid w:val="0023463B"/>
    <w:rsid w:val="0023486E"/>
    <w:rsid w:val="002374AA"/>
    <w:rsid w:val="00237C03"/>
    <w:rsid w:val="00243750"/>
    <w:rsid w:val="00244AB9"/>
    <w:rsid w:val="002453C2"/>
    <w:rsid w:val="00246FC6"/>
    <w:rsid w:val="002507E4"/>
    <w:rsid w:val="00253713"/>
    <w:rsid w:val="00257AB1"/>
    <w:rsid w:val="002600D6"/>
    <w:rsid w:val="002620E9"/>
    <w:rsid w:val="0026349F"/>
    <w:rsid w:val="002734E4"/>
    <w:rsid w:val="00281426"/>
    <w:rsid w:val="00287633"/>
    <w:rsid w:val="00294A5A"/>
    <w:rsid w:val="002A167E"/>
    <w:rsid w:val="002A29A4"/>
    <w:rsid w:val="002C1431"/>
    <w:rsid w:val="002C3A5F"/>
    <w:rsid w:val="002C7EC9"/>
    <w:rsid w:val="002D3ECE"/>
    <w:rsid w:val="002E1CA2"/>
    <w:rsid w:val="002E52C0"/>
    <w:rsid w:val="002E6D3E"/>
    <w:rsid w:val="002E71E7"/>
    <w:rsid w:val="002F19C9"/>
    <w:rsid w:val="002F2652"/>
    <w:rsid w:val="002F72DD"/>
    <w:rsid w:val="00302E26"/>
    <w:rsid w:val="00311D43"/>
    <w:rsid w:val="00312C7F"/>
    <w:rsid w:val="00313A8F"/>
    <w:rsid w:val="003146F9"/>
    <w:rsid w:val="0031581E"/>
    <w:rsid w:val="00316A0B"/>
    <w:rsid w:val="003257B4"/>
    <w:rsid w:val="0032741E"/>
    <w:rsid w:val="00330A2E"/>
    <w:rsid w:val="003324F7"/>
    <w:rsid w:val="00336EE1"/>
    <w:rsid w:val="00345502"/>
    <w:rsid w:val="003477DD"/>
    <w:rsid w:val="00350455"/>
    <w:rsid w:val="00352939"/>
    <w:rsid w:val="00353843"/>
    <w:rsid w:val="00357912"/>
    <w:rsid w:val="00360078"/>
    <w:rsid w:val="00364A4F"/>
    <w:rsid w:val="00365C65"/>
    <w:rsid w:val="003704C3"/>
    <w:rsid w:val="003719A8"/>
    <w:rsid w:val="003740C6"/>
    <w:rsid w:val="00374156"/>
    <w:rsid w:val="00377C34"/>
    <w:rsid w:val="00391612"/>
    <w:rsid w:val="00394DE1"/>
    <w:rsid w:val="003A3AFA"/>
    <w:rsid w:val="003A5158"/>
    <w:rsid w:val="003A697F"/>
    <w:rsid w:val="003B06D1"/>
    <w:rsid w:val="003B1EB9"/>
    <w:rsid w:val="003C0744"/>
    <w:rsid w:val="003C08A7"/>
    <w:rsid w:val="003C2FA4"/>
    <w:rsid w:val="003C67FA"/>
    <w:rsid w:val="003D797C"/>
    <w:rsid w:val="003E0358"/>
    <w:rsid w:val="003E2BB7"/>
    <w:rsid w:val="003E2BD9"/>
    <w:rsid w:val="003E33EB"/>
    <w:rsid w:val="003E6E2C"/>
    <w:rsid w:val="003E7A22"/>
    <w:rsid w:val="003F0422"/>
    <w:rsid w:val="003F0E23"/>
    <w:rsid w:val="003F0EE7"/>
    <w:rsid w:val="003F0FFC"/>
    <w:rsid w:val="003F2867"/>
    <w:rsid w:val="003F445B"/>
    <w:rsid w:val="003F6DD9"/>
    <w:rsid w:val="00400B4A"/>
    <w:rsid w:val="0040306F"/>
    <w:rsid w:val="00405DE8"/>
    <w:rsid w:val="004073EA"/>
    <w:rsid w:val="00415928"/>
    <w:rsid w:val="0041742C"/>
    <w:rsid w:val="00421CD3"/>
    <w:rsid w:val="00424347"/>
    <w:rsid w:val="00425724"/>
    <w:rsid w:val="00433BA2"/>
    <w:rsid w:val="004432EA"/>
    <w:rsid w:val="00444737"/>
    <w:rsid w:val="004465E7"/>
    <w:rsid w:val="00450652"/>
    <w:rsid w:val="00457E28"/>
    <w:rsid w:val="00465359"/>
    <w:rsid w:val="00466317"/>
    <w:rsid w:val="004715ED"/>
    <w:rsid w:val="00475234"/>
    <w:rsid w:val="004760C4"/>
    <w:rsid w:val="00482DB1"/>
    <w:rsid w:val="00483774"/>
    <w:rsid w:val="00485507"/>
    <w:rsid w:val="00491B76"/>
    <w:rsid w:val="00495AD1"/>
    <w:rsid w:val="004A118C"/>
    <w:rsid w:val="004A6173"/>
    <w:rsid w:val="004A6303"/>
    <w:rsid w:val="004C3D82"/>
    <w:rsid w:val="004C5492"/>
    <w:rsid w:val="004C7BEF"/>
    <w:rsid w:val="004D27DA"/>
    <w:rsid w:val="004E0741"/>
    <w:rsid w:val="004E0EFF"/>
    <w:rsid w:val="004E7D24"/>
    <w:rsid w:val="004F5913"/>
    <w:rsid w:val="004F605A"/>
    <w:rsid w:val="00503E0D"/>
    <w:rsid w:val="00506C08"/>
    <w:rsid w:val="00512313"/>
    <w:rsid w:val="00512713"/>
    <w:rsid w:val="0052154C"/>
    <w:rsid w:val="00521875"/>
    <w:rsid w:val="00521B32"/>
    <w:rsid w:val="00526A96"/>
    <w:rsid w:val="00526C36"/>
    <w:rsid w:val="00536F86"/>
    <w:rsid w:val="00541C19"/>
    <w:rsid w:val="00552AD4"/>
    <w:rsid w:val="00560D46"/>
    <w:rsid w:val="005616A9"/>
    <w:rsid w:val="00566558"/>
    <w:rsid w:val="00567E25"/>
    <w:rsid w:val="005705F9"/>
    <w:rsid w:val="00571545"/>
    <w:rsid w:val="00571C81"/>
    <w:rsid w:val="00577A69"/>
    <w:rsid w:val="0059493A"/>
    <w:rsid w:val="00597E75"/>
    <w:rsid w:val="005A0AED"/>
    <w:rsid w:val="005B01C4"/>
    <w:rsid w:val="005B0DD2"/>
    <w:rsid w:val="005B1C58"/>
    <w:rsid w:val="005B5907"/>
    <w:rsid w:val="005C1BC2"/>
    <w:rsid w:val="005C3449"/>
    <w:rsid w:val="005C3532"/>
    <w:rsid w:val="005D00A2"/>
    <w:rsid w:val="005E17DA"/>
    <w:rsid w:val="005E36B2"/>
    <w:rsid w:val="005F0571"/>
    <w:rsid w:val="005F05FF"/>
    <w:rsid w:val="005F1BE4"/>
    <w:rsid w:val="005F3D35"/>
    <w:rsid w:val="005F6A00"/>
    <w:rsid w:val="005F755F"/>
    <w:rsid w:val="00600495"/>
    <w:rsid w:val="006011A9"/>
    <w:rsid w:val="006102CF"/>
    <w:rsid w:val="0061209D"/>
    <w:rsid w:val="00614A1A"/>
    <w:rsid w:val="00614FDD"/>
    <w:rsid w:val="0062673D"/>
    <w:rsid w:val="00627AB1"/>
    <w:rsid w:val="006335E2"/>
    <w:rsid w:val="006432D3"/>
    <w:rsid w:val="0065079D"/>
    <w:rsid w:val="00660D41"/>
    <w:rsid w:val="00671D42"/>
    <w:rsid w:val="006758A5"/>
    <w:rsid w:val="00676428"/>
    <w:rsid w:val="006765A6"/>
    <w:rsid w:val="00681DA2"/>
    <w:rsid w:val="00682269"/>
    <w:rsid w:val="00683A70"/>
    <w:rsid w:val="00691123"/>
    <w:rsid w:val="00694012"/>
    <w:rsid w:val="006B54D1"/>
    <w:rsid w:val="006C47B5"/>
    <w:rsid w:val="006D7520"/>
    <w:rsid w:val="006E14E5"/>
    <w:rsid w:val="006E1BAE"/>
    <w:rsid w:val="006E7B7D"/>
    <w:rsid w:val="00700A65"/>
    <w:rsid w:val="00704F5D"/>
    <w:rsid w:val="007074D1"/>
    <w:rsid w:val="007207BA"/>
    <w:rsid w:val="00723C6E"/>
    <w:rsid w:val="00726B7E"/>
    <w:rsid w:val="00727AB0"/>
    <w:rsid w:val="007317B4"/>
    <w:rsid w:val="00734EF9"/>
    <w:rsid w:val="007350C3"/>
    <w:rsid w:val="00735604"/>
    <w:rsid w:val="00736716"/>
    <w:rsid w:val="00736807"/>
    <w:rsid w:val="00736829"/>
    <w:rsid w:val="007370DC"/>
    <w:rsid w:val="00737DD8"/>
    <w:rsid w:val="00747516"/>
    <w:rsid w:val="00751D31"/>
    <w:rsid w:val="007541DC"/>
    <w:rsid w:val="00754A65"/>
    <w:rsid w:val="00756FE0"/>
    <w:rsid w:val="0076156D"/>
    <w:rsid w:val="00761F84"/>
    <w:rsid w:val="00764CEF"/>
    <w:rsid w:val="00774970"/>
    <w:rsid w:val="0077628B"/>
    <w:rsid w:val="00776664"/>
    <w:rsid w:val="00780541"/>
    <w:rsid w:val="00784864"/>
    <w:rsid w:val="0079610B"/>
    <w:rsid w:val="007A14ED"/>
    <w:rsid w:val="007A413B"/>
    <w:rsid w:val="007A53AE"/>
    <w:rsid w:val="007A61C9"/>
    <w:rsid w:val="007A7E38"/>
    <w:rsid w:val="007B21C3"/>
    <w:rsid w:val="007B2FDF"/>
    <w:rsid w:val="007B3FBC"/>
    <w:rsid w:val="007B5864"/>
    <w:rsid w:val="007B648F"/>
    <w:rsid w:val="007C3623"/>
    <w:rsid w:val="007C7C29"/>
    <w:rsid w:val="007D424B"/>
    <w:rsid w:val="007D61A8"/>
    <w:rsid w:val="007D676E"/>
    <w:rsid w:val="007D7A34"/>
    <w:rsid w:val="007E3960"/>
    <w:rsid w:val="007E5279"/>
    <w:rsid w:val="007F0516"/>
    <w:rsid w:val="007F12F5"/>
    <w:rsid w:val="007F4870"/>
    <w:rsid w:val="007F545A"/>
    <w:rsid w:val="007F773B"/>
    <w:rsid w:val="008000EA"/>
    <w:rsid w:val="00801392"/>
    <w:rsid w:val="00801C71"/>
    <w:rsid w:val="008114E1"/>
    <w:rsid w:val="00811A80"/>
    <w:rsid w:val="008128C4"/>
    <w:rsid w:val="00812A8C"/>
    <w:rsid w:val="00820AAC"/>
    <w:rsid w:val="00821A6F"/>
    <w:rsid w:val="008305DD"/>
    <w:rsid w:val="00834EC8"/>
    <w:rsid w:val="00835E1B"/>
    <w:rsid w:val="00841EAE"/>
    <w:rsid w:val="00843A0E"/>
    <w:rsid w:val="00851138"/>
    <w:rsid w:val="008543D4"/>
    <w:rsid w:val="00870D4A"/>
    <w:rsid w:val="00877AD6"/>
    <w:rsid w:val="00877B76"/>
    <w:rsid w:val="008823EE"/>
    <w:rsid w:val="00884A71"/>
    <w:rsid w:val="00893F2E"/>
    <w:rsid w:val="0089568F"/>
    <w:rsid w:val="008A1BCF"/>
    <w:rsid w:val="008A4BDD"/>
    <w:rsid w:val="008A5535"/>
    <w:rsid w:val="008B1A0B"/>
    <w:rsid w:val="008B202A"/>
    <w:rsid w:val="008B50E1"/>
    <w:rsid w:val="008C2669"/>
    <w:rsid w:val="008C7CDC"/>
    <w:rsid w:val="008D1807"/>
    <w:rsid w:val="008E0C87"/>
    <w:rsid w:val="008E2BF9"/>
    <w:rsid w:val="008E40DD"/>
    <w:rsid w:val="008E63A3"/>
    <w:rsid w:val="008F55EE"/>
    <w:rsid w:val="00902CB9"/>
    <w:rsid w:val="00904590"/>
    <w:rsid w:val="009060BE"/>
    <w:rsid w:val="009061A1"/>
    <w:rsid w:val="0091183F"/>
    <w:rsid w:val="00926D92"/>
    <w:rsid w:val="00941905"/>
    <w:rsid w:val="0095474E"/>
    <w:rsid w:val="00955D94"/>
    <w:rsid w:val="0096043D"/>
    <w:rsid w:val="009644A6"/>
    <w:rsid w:val="009679FE"/>
    <w:rsid w:val="00970345"/>
    <w:rsid w:val="00973D24"/>
    <w:rsid w:val="009806AF"/>
    <w:rsid w:val="00980D0E"/>
    <w:rsid w:val="009824D5"/>
    <w:rsid w:val="00982AE1"/>
    <w:rsid w:val="00983EA3"/>
    <w:rsid w:val="00987671"/>
    <w:rsid w:val="00990249"/>
    <w:rsid w:val="00995BAC"/>
    <w:rsid w:val="009960DC"/>
    <w:rsid w:val="00996EC6"/>
    <w:rsid w:val="0099798D"/>
    <w:rsid w:val="00997FA0"/>
    <w:rsid w:val="009A375F"/>
    <w:rsid w:val="009A6B13"/>
    <w:rsid w:val="009B1555"/>
    <w:rsid w:val="009B1C0F"/>
    <w:rsid w:val="009B72C4"/>
    <w:rsid w:val="009C235C"/>
    <w:rsid w:val="009C54F9"/>
    <w:rsid w:val="009D53C1"/>
    <w:rsid w:val="009E0C36"/>
    <w:rsid w:val="009E4487"/>
    <w:rsid w:val="009E65CB"/>
    <w:rsid w:val="009F50CF"/>
    <w:rsid w:val="00A01E92"/>
    <w:rsid w:val="00A064F3"/>
    <w:rsid w:val="00A10871"/>
    <w:rsid w:val="00A12119"/>
    <w:rsid w:val="00A15925"/>
    <w:rsid w:val="00A17F61"/>
    <w:rsid w:val="00A22C65"/>
    <w:rsid w:val="00A269B7"/>
    <w:rsid w:val="00A31181"/>
    <w:rsid w:val="00A3118B"/>
    <w:rsid w:val="00A31B9D"/>
    <w:rsid w:val="00A34320"/>
    <w:rsid w:val="00A344CC"/>
    <w:rsid w:val="00A4195A"/>
    <w:rsid w:val="00A54AF1"/>
    <w:rsid w:val="00A55448"/>
    <w:rsid w:val="00A629A6"/>
    <w:rsid w:val="00A6355E"/>
    <w:rsid w:val="00A64885"/>
    <w:rsid w:val="00A654EF"/>
    <w:rsid w:val="00A67A6E"/>
    <w:rsid w:val="00A85FF8"/>
    <w:rsid w:val="00A94294"/>
    <w:rsid w:val="00A94BEB"/>
    <w:rsid w:val="00AA22FE"/>
    <w:rsid w:val="00AA32BF"/>
    <w:rsid w:val="00AA6D94"/>
    <w:rsid w:val="00AA776B"/>
    <w:rsid w:val="00AB0ED0"/>
    <w:rsid w:val="00AB158C"/>
    <w:rsid w:val="00AB1D36"/>
    <w:rsid w:val="00AB2CF3"/>
    <w:rsid w:val="00AC3757"/>
    <w:rsid w:val="00AD5ADC"/>
    <w:rsid w:val="00AD60DD"/>
    <w:rsid w:val="00AE22E9"/>
    <w:rsid w:val="00AE25CF"/>
    <w:rsid w:val="00AE2DD1"/>
    <w:rsid w:val="00AE5304"/>
    <w:rsid w:val="00AF438C"/>
    <w:rsid w:val="00B12D44"/>
    <w:rsid w:val="00B32E1F"/>
    <w:rsid w:val="00B3387D"/>
    <w:rsid w:val="00B3490B"/>
    <w:rsid w:val="00B375BA"/>
    <w:rsid w:val="00B37605"/>
    <w:rsid w:val="00B4433E"/>
    <w:rsid w:val="00B45CD3"/>
    <w:rsid w:val="00B45EBC"/>
    <w:rsid w:val="00B53688"/>
    <w:rsid w:val="00B548C5"/>
    <w:rsid w:val="00B561F3"/>
    <w:rsid w:val="00B57635"/>
    <w:rsid w:val="00B5769F"/>
    <w:rsid w:val="00B5773C"/>
    <w:rsid w:val="00B6022E"/>
    <w:rsid w:val="00B64177"/>
    <w:rsid w:val="00B65F7F"/>
    <w:rsid w:val="00B8337C"/>
    <w:rsid w:val="00B86C76"/>
    <w:rsid w:val="00B875AE"/>
    <w:rsid w:val="00B904DD"/>
    <w:rsid w:val="00B95453"/>
    <w:rsid w:val="00B961C5"/>
    <w:rsid w:val="00B9780C"/>
    <w:rsid w:val="00BA2726"/>
    <w:rsid w:val="00BA4629"/>
    <w:rsid w:val="00BA5E6D"/>
    <w:rsid w:val="00BB3B13"/>
    <w:rsid w:val="00BE135C"/>
    <w:rsid w:val="00BE32CE"/>
    <w:rsid w:val="00BE32E6"/>
    <w:rsid w:val="00BF1924"/>
    <w:rsid w:val="00BF2814"/>
    <w:rsid w:val="00BF37C0"/>
    <w:rsid w:val="00BF4E1B"/>
    <w:rsid w:val="00BF528F"/>
    <w:rsid w:val="00C008E6"/>
    <w:rsid w:val="00C02251"/>
    <w:rsid w:val="00C03B87"/>
    <w:rsid w:val="00C05978"/>
    <w:rsid w:val="00C05E4F"/>
    <w:rsid w:val="00C07218"/>
    <w:rsid w:val="00C07219"/>
    <w:rsid w:val="00C10DDB"/>
    <w:rsid w:val="00C1127B"/>
    <w:rsid w:val="00C13AC0"/>
    <w:rsid w:val="00C16EB6"/>
    <w:rsid w:val="00C23EB1"/>
    <w:rsid w:val="00C27301"/>
    <w:rsid w:val="00C27E33"/>
    <w:rsid w:val="00C3086A"/>
    <w:rsid w:val="00C30CA4"/>
    <w:rsid w:val="00C34179"/>
    <w:rsid w:val="00C42506"/>
    <w:rsid w:val="00C434BB"/>
    <w:rsid w:val="00C52796"/>
    <w:rsid w:val="00C52F09"/>
    <w:rsid w:val="00C630AC"/>
    <w:rsid w:val="00C66350"/>
    <w:rsid w:val="00C73F2F"/>
    <w:rsid w:val="00C82BBD"/>
    <w:rsid w:val="00C82EF5"/>
    <w:rsid w:val="00C83DAB"/>
    <w:rsid w:val="00C9235D"/>
    <w:rsid w:val="00C95D4C"/>
    <w:rsid w:val="00CA759E"/>
    <w:rsid w:val="00CC6A56"/>
    <w:rsid w:val="00CD1978"/>
    <w:rsid w:val="00CD25FF"/>
    <w:rsid w:val="00CD3351"/>
    <w:rsid w:val="00CD747D"/>
    <w:rsid w:val="00CE30FA"/>
    <w:rsid w:val="00CE58DA"/>
    <w:rsid w:val="00CE61EA"/>
    <w:rsid w:val="00CF0612"/>
    <w:rsid w:val="00CF34C9"/>
    <w:rsid w:val="00CF3536"/>
    <w:rsid w:val="00CF3E74"/>
    <w:rsid w:val="00CF5273"/>
    <w:rsid w:val="00D006F5"/>
    <w:rsid w:val="00D0203E"/>
    <w:rsid w:val="00D026F5"/>
    <w:rsid w:val="00D1022D"/>
    <w:rsid w:val="00D1148E"/>
    <w:rsid w:val="00D13E8D"/>
    <w:rsid w:val="00D21EE2"/>
    <w:rsid w:val="00D362B1"/>
    <w:rsid w:val="00D43E6F"/>
    <w:rsid w:val="00D500CC"/>
    <w:rsid w:val="00D64B1B"/>
    <w:rsid w:val="00D75E07"/>
    <w:rsid w:val="00D76553"/>
    <w:rsid w:val="00D85BDF"/>
    <w:rsid w:val="00D8762C"/>
    <w:rsid w:val="00D900E5"/>
    <w:rsid w:val="00D910F4"/>
    <w:rsid w:val="00DA0BC2"/>
    <w:rsid w:val="00DA1EDB"/>
    <w:rsid w:val="00DA2315"/>
    <w:rsid w:val="00DA51AF"/>
    <w:rsid w:val="00DB0930"/>
    <w:rsid w:val="00DB37FC"/>
    <w:rsid w:val="00DC05B1"/>
    <w:rsid w:val="00DD706A"/>
    <w:rsid w:val="00DE3F59"/>
    <w:rsid w:val="00DE514E"/>
    <w:rsid w:val="00DE67F3"/>
    <w:rsid w:val="00DF23C6"/>
    <w:rsid w:val="00E073AB"/>
    <w:rsid w:val="00E07C84"/>
    <w:rsid w:val="00E15964"/>
    <w:rsid w:val="00E178B9"/>
    <w:rsid w:val="00E17F10"/>
    <w:rsid w:val="00E359FA"/>
    <w:rsid w:val="00E41FAB"/>
    <w:rsid w:val="00E46203"/>
    <w:rsid w:val="00E5220F"/>
    <w:rsid w:val="00E57221"/>
    <w:rsid w:val="00E57288"/>
    <w:rsid w:val="00E629AF"/>
    <w:rsid w:val="00E649C9"/>
    <w:rsid w:val="00E710FF"/>
    <w:rsid w:val="00E74AF0"/>
    <w:rsid w:val="00E77DD8"/>
    <w:rsid w:val="00E80A3F"/>
    <w:rsid w:val="00E8211D"/>
    <w:rsid w:val="00E835AE"/>
    <w:rsid w:val="00E86785"/>
    <w:rsid w:val="00E91692"/>
    <w:rsid w:val="00E91BD7"/>
    <w:rsid w:val="00E94081"/>
    <w:rsid w:val="00E97801"/>
    <w:rsid w:val="00EB1D7C"/>
    <w:rsid w:val="00EB6B92"/>
    <w:rsid w:val="00ED5C7B"/>
    <w:rsid w:val="00EE2C82"/>
    <w:rsid w:val="00EE4ABE"/>
    <w:rsid w:val="00EE6EE2"/>
    <w:rsid w:val="00EF0A44"/>
    <w:rsid w:val="00EF3BCE"/>
    <w:rsid w:val="00EF5459"/>
    <w:rsid w:val="00F106CC"/>
    <w:rsid w:val="00F15FB2"/>
    <w:rsid w:val="00F2175E"/>
    <w:rsid w:val="00F217AF"/>
    <w:rsid w:val="00F3011C"/>
    <w:rsid w:val="00F30873"/>
    <w:rsid w:val="00F324B6"/>
    <w:rsid w:val="00F3459B"/>
    <w:rsid w:val="00F35A79"/>
    <w:rsid w:val="00F369E5"/>
    <w:rsid w:val="00F40B51"/>
    <w:rsid w:val="00F431F8"/>
    <w:rsid w:val="00F51A90"/>
    <w:rsid w:val="00F544AF"/>
    <w:rsid w:val="00F56A1C"/>
    <w:rsid w:val="00F5786F"/>
    <w:rsid w:val="00F60608"/>
    <w:rsid w:val="00F62361"/>
    <w:rsid w:val="00F62934"/>
    <w:rsid w:val="00F63397"/>
    <w:rsid w:val="00F638E6"/>
    <w:rsid w:val="00F657BA"/>
    <w:rsid w:val="00F71BF8"/>
    <w:rsid w:val="00F747AC"/>
    <w:rsid w:val="00F92AE2"/>
    <w:rsid w:val="00F95F8A"/>
    <w:rsid w:val="00FA2140"/>
    <w:rsid w:val="00FA4792"/>
    <w:rsid w:val="00FA6B11"/>
    <w:rsid w:val="00FA7286"/>
    <w:rsid w:val="00FB732C"/>
    <w:rsid w:val="00FC25A8"/>
    <w:rsid w:val="00FC6358"/>
    <w:rsid w:val="00FC6B54"/>
    <w:rsid w:val="00FD6A84"/>
    <w:rsid w:val="00FE0D2F"/>
    <w:rsid w:val="00FE20F2"/>
    <w:rsid w:val="00FE31AC"/>
    <w:rsid w:val="00FE6463"/>
    <w:rsid w:val="00FF36EF"/>
    <w:rsid w:val="00FF7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0743B7"/>
  <w15:docId w15:val="{14E63935-5DE3-498A-B74F-FAE0F3E6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B1"/>
    <w:pPr>
      <w:spacing w:line="256" w:lineRule="auto"/>
    </w:pPr>
    <w:rPr>
      <w:lang w:val="en-US"/>
    </w:rPr>
  </w:style>
  <w:style w:type="paragraph" w:styleId="Heading1">
    <w:name w:val="heading 1"/>
    <w:basedOn w:val="Normal"/>
    <w:next w:val="Normal"/>
    <w:link w:val="Heading1Char"/>
    <w:uiPriority w:val="9"/>
    <w:qFormat/>
    <w:rsid w:val="00D00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3EB1"/>
    <w:pPr>
      <w:spacing w:line="240" w:lineRule="auto"/>
    </w:pPr>
    <w:rPr>
      <w:sz w:val="20"/>
      <w:szCs w:val="20"/>
    </w:rPr>
  </w:style>
  <w:style w:type="character" w:customStyle="1" w:styleId="CommentTextChar">
    <w:name w:val="Comment Text Char"/>
    <w:basedOn w:val="DefaultParagraphFont"/>
    <w:link w:val="CommentText"/>
    <w:uiPriority w:val="99"/>
    <w:rsid w:val="00C23EB1"/>
    <w:rPr>
      <w:sz w:val="20"/>
      <w:szCs w:val="20"/>
      <w:lang w:val="en-US"/>
    </w:rPr>
  </w:style>
  <w:style w:type="paragraph" w:styleId="EndnoteText">
    <w:name w:val="endnote text"/>
    <w:basedOn w:val="Normal"/>
    <w:link w:val="EndnoteTextChar"/>
    <w:uiPriority w:val="99"/>
    <w:semiHidden/>
    <w:unhideWhenUsed/>
    <w:rsid w:val="00C23E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EB1"/>
    <w:rPr>
      <w:sz w:val="20"/>
      <w:szCs w:val="20"/>
      <w:lang w:val="en-US"/>
    </w:rPr>
  </w:style>
  <w:style w:type="character" w:styleId="EndnoteReference">
    <w:name w:val="endnote reference"/>
    <w:basedOn w:val="DefaultParagraphFont"/>
    <w:uiPriority w:val="99"/>
    <w:semiHidden/>
    <w:unhideWhenUsed/>
    <w:rsid w:val="00C23EB1"/>
    <w:rPr>
      <w:vertAlign w:val="superscript"/>
    </w:rPr>
  </w:style>
  <w:style w:type="character" w:customStyle="1" w:styleId="author">
    <w:name w:val="author"/>
    <w:basedOn w:val="DefaultParagraphFont"/>
    <w:rsid w:val="00C23EB1"/>
  </w:style>
  <w:style w:type="character" w:customStyle="1" w:styleId="apple-converted-space">
    <w:name w:val="apple-converted-space"/>
    <w:basedOn w:val="DefaultParagraphFont"/>
    <w:rsid w:val="00C23EB1"/>
  </w:style>
  <w:style w:type="character" w:styleId="CommentReference">
    <w:name w:val="annotation reference"/>
    <w:basedOn w:val="DefaultParagraphFont"/>
    <w:uiPriority w:val="99"/>
    <w:semiHidden/>
    <w:unhideWhenUsed/>
    <w:rsid w:val="00614FDD"/>
    <w:rPr>
      <w:sz w:val="16"/>
      <w:szCs w:val="16"/>
    </w:rPr>
  </w:style>
  <w:style w:type="paragraph" w:styleId="CommentSubject">
    <w:name w:val="annotation subject"/>
    <w:basedOn w:val="CommentText"/>
    <w:next w:val="CommentText"/>
    <w:link w:val="CommentSubjectChar"/>
    <w:uiPriority w:val="99"/>
    <w:semiHidden/>
    <w:unhideWhenUsed/>
    <w:rsid w:val="00614FDD"/>
    <w:rPr>
      <w:b/>
      <w:bCs/>
    </w:rPr>
  </w:style>
  <w:style w:type="character" w:customStyle="1" w:styleId="CommentSubjectChar">
    <w:name w:val="Comment Subject Char"/>
    <w:basedOn w:val="CommentTextChar"/>
    <w:link w:val="CommentSubject"/>
    <w:uiPriority w:val="99"/>
    <w:semiHidden/>
    <w:rsid w:val="00614FDD"/>
    <w:rPr>
      <w:b/>
      <w:bCs/>
      <w:sz w:val="20"/>
      <w:szCs w:val="20"/>
      <w:lang w:val="en-US"/>
    </w:rPr>
  </w:style>
  <w:style w:type="paragraph" w:styleId="BalloonText">
    <w:name w:val="Balloon Text"/>
    <w:basedOn w:val="Normal"/>
    <w:link w:val="BalloonTextChar"/>
    <w:uiPriority w:val="99"/>
    <w:semiHidden/>
    <w:unhideWhenUsed/>
    <w:rsid w:val="00614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DD"/>
    <w:rPr>
      <w:rFonts w:ascii="Segoe UI" w:hAnsi="Segoe UI" w:cs="Segoe UI"/>
      <w:sz w:val="18"/>
      <w:szCs w:val="18"/>
      <w:lang w:val="en-US"/>
    </w:rPr>
  </w:style>
  <w:style w:type="paragraph" w:styleId="ListParagraph">
    <w:name w:val="List Paragraph"/>
    <w:basedOn w:val="Normal"/>
    <w:link w:val="ListParagraphChar"/>
    <w:uiPriority w:val="34"/>
    <w:qFormat/>
    <w:rsid w:val="004465E7"/>
    <w:pPr>
      <w:spacing w:after="0" w:line="240" w:lineRule="auto"/>
      <w:ind w:left="720"/>
      <w:contextualSpacing/>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0330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133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29"/>
    <w:rPr>
      <w:sz w:val="20"/>
      <w:szCs w:val="20"/>
      <w:lang w:val="en-US"/>
    </w:rPr>
  </w:style>
  <w:style w:type="character" w:styleId="FootnoteReference">
    <w:name w:val="footnote reference"/>
    <w:basedOn w:val="DefaultParagraphFont"/>
    <w:uiPriority w:val="99"/>
    <w:semiHidden/>
    <w:unhideWhenUsed/>
    <w:rsid w:val="00133D29"/>
    <w:rPr>
      <w:vertAlign w:val="superscript"/>
    </w:rPr>
  </w:style>
  <w:style w:type="paragraph" w:styleId="Header">
    <w:name w:val="header"/>
    <w:basedOn w:val="Normal"/>
    <w:link w:val="HeaderChar"/>
    <w:uiPriority w:val="99"/>
    <w:unhideWhenUsed/>
    <w:rsid w:val="000F5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124"/>
    <w:rPr>
      <w:lang w:val="en-US"/>
    </w:rPr>
  </w:style>
  <w:style w:type="paragraph" w:styleId="Footer">
    <w:name w:val="footer"/>
    <w:basedOn w:val="Normal"/>
    <w:link w:val="FooterChar"/>
    <w:uiPriority w:val="99"/>
    <w:unhideWhenUsed/>
    <w:rsid w:val="000F5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124"/>
    <w:rPr>
      <w:lang w:val="en-US"/>
    </w:rPr>
  </w:style>
  <w:style w:type="character" w:customStyle="1" w:styleId="Heading1Char">
    <w:name w:val="Heading 1 Char"/>
    <w:basedOn w:val="DefaultParagraphFont"/>
    <w:link w:val="Heading1"/>
    <w:uiPriority w:val="9"/>
    <w:rsid w:val="00D006F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D006F5"/>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27301"/>
    <w:rPr>
      <w:color w:val="0563C1" w:themeColor="hyperlink"/>
      <w:u w:val="single"/>
    </w:rPr>
  </w:style>
  <w:style w:type="character" w:customStyle="1" w:styleId="reference2">
    <w:name w:val="reference2"/>
    <w:basedOn w:val="DefaultParagraphFont"/>
    <w:rsid w:val="007A413B"/>
  </w:style>
  <w:style w:type="character" w:customStyle="1" w:styleId="reftitle3">
    <w:name w:val="reftitle3"/>
    <w:basedOn w:val="DefaultParagraphFont"/>
    <w:rsid w:val="007A413B"/>
    <w:rPr>
      <w:b/>
      <w:bCs/>
    </w:rPr>
  </w:style>
  <w:style w:type="character" w:customStyle="1" w:styleId="refseriestitle3">
    <w:name w:val="refseriestitle3"/>
    <w:basedOn w:val="DefaultParagraphFont"/>
    <w:rsid w:val="007A413B"/>
    <w:rPr>
      <w:i/>
      <w:iCs/>
    </w:rPr>
  </w:style>
  <w:style w:type="character" w:customStyle="1" w:styleId="reference">
    <w:name w:val="reference"/>
    <w:basedOn w:val="DefaultParagraphFont"/>
    <w:rsid w:val="00062263"/>
  </w:style>
  <w:style w:type="character" w:customStyle="1" w:styleId="refauthors">
    <w:name w:val="refauthors"/>
    <w:basedOn w:val="DefaultParagraphFont"/>
    <w:rsid w:val="00062263"/>
  </w:style>
  <w:style w:type="character" w:customStyle="1" w:styleId="reftitle">
    <w:name w:val="reftitle"/>
    <w:basedOn w:val="DefaultParagraphFont"/>
    <w:rsid w:val="00062263"/>
  </w:style>
  <w:style w:type="character" w:customStyle="1" w:styleId="refseriestitle">
    <w:name w:val="refseriestitle"/>
    <w:basedOn w:val="DefaultParagraphFont"/>
    <w:rsid w:val="00062263"/>
  </w:style>
  <w:style w:type="character" w:customStyle="1" w:styleId="refseriesdate">
    <w:name w:val="refseriesdate"/>
    <w:basedOn w:val="DefaultParagraphFont"/>
    <w:rsid w:val="00062263"/>
  </w:style>
  <w:style w:type="character" w:customStyle="1" w:styleId="refseriesvolume">
    <w:name w:val="refseriesvolume"/>
    <w:basedOn w:val="DefaultParagraphFont"/>
    <w:rsid w:val="00062263"/>
  </w:style>
  <w:style w:type="character" w:customStyle="1" w:styleId="refpages">
    <w:name w:val="refpages"/>
    <w:basedOn w:val="DefaultParagraphFont"/>
    <w:rsid w:val="00062263"/>
  </w:style>
  <w:style w:type="character" w:customStyle="1" w:styleId="journaltitle">
    <w:name w:val="journaltitle"/>
    <w:basedOn w:val="DefaultParagraphFont"/>
    <w:rsid w:val="004C3D82"/>
  </w:style>
  <w:style w:type="paragraph" w:customStyle="1" w:styleId="EndNoteBibliography">
    <w:name w:val="EndNote Bibliography"/>
    <w:basedOn w:val="Normal"/>
    <w:link w:val="EndNoteBibliographyChar"/>
    <w:rsid w:val="004C3D82"/>
    <w:pPr>
      <w:spacing w:after="0" w:line="240" w:lineRule="auto"/>
      <w:jc w:val="both"/>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4C3D82"/>
    <w:rPr>
      <w:rFonts w:ascii="Times New Roman" w:eastAsia="Times New Roman" w:hAnsi="Times New Roman" w:cs="Times New Roman"/>
      <w:noProof/>
      <w:sz w:val="24"/>
      <w:szCs w:val="24"/>
      <w:lang w:val="en-US"/>
    </w:rPr>
  </w:style>
  <w:style w:type="paragraph" w:styleId="Revision">
    <w:name w:val="Revision"/>
    <w:hidden/>
    <w:uiPriority w:val="99"/>
    <w:semiHidden/>
    <w:rsid w:val="00734EF9"/>
    <w:pPr>
      <w:spacing w:after="0" w:line="240" w:lineRule="auto"/>
    </w:pPr>
    <w:rPr>
      <w:lang w:val="en-US"/>
    </w:rPr>
  </w:style>
  <w:style w:type="character" w:customStyle="1" w:styleId="ListParagraphChar">
    <w:name w:val="List Paragraph Char"/>
    <w:link w:val="ListParagraph"/>
    <w:uiPriority w:val="34"/>
    <w:locked/>
    <w:rsid w:val="006765A6"/>
    <w:rPr>
      <w:rFonts w:ascii="Times New Roman" w:eastAsia="Times New Roman" w:hAnsi="Times New Roman" w:cs="Times New Roman"/>
      <w:sz w:val="24"/>
      <w:szCs w:val="24"/>
      <w:lang w:eastAsia="en-AU"/>
    </w:rPr>
  </w:style>
  <w:style w:type="paragraph" w:customStyle="1" w:styleId="Default">
    <w:name w:val="Default"/>
    <w:rsid w:val="0021654C"/>
    <w:pPr>
      <w:autoSpaceDE w:val="0"/>
      <w:autoSpaceDN w:val="0"/>
      <w:adjustRightInd w:val="0"/>
      <w:spacing w:after="0" w:line="240" w:lineRule="auto"/>
    </w:pPr>
    <w:rPr>
      <w:rFonts w:ascii="Calibri" w:hAnsi="Calibri" w:cs="Calibri"/>
      <w:color w:val="000000"/>
      <w:sz w:val="24"/>
      <w:szCs w:val="24"/>
      <w:lang w:val="en-GB"/>
    </w:rPr>
  </w:style>
  <w:style w:type="character" w:styleId="Emphasis">
    <w:name w:val="Emphasis"/>
    <w:basedOn w:val="DefaultParagraphFont"/>
    <w:uiPriority w:val="20"/>
    <w:qFormat/>
    <w:rsid w:val="00EB1D7C"/>
    <w:rPr>
      <w:i/>
      <w:iCs/>
    </w:rPr>
  </w:style>
  <w:style w:type="paragraph" w:styleId="PlainText">
    <w:name w:val="Plain Text"/>
    <w:basedOn w:val="Normal"/>
    <w:link w:val="PlainTextChar"/>
    <w:uiPriority w:val="99"/>
    <w:unhideWhenUsed/>
    <w:rsid w:val="003F0422"/>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3F04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158">
      <w:bodyDiv w:val="1"/>
      <w:marLeft w:val="0"/>
      <w:marRight w:val="0"/>
      <w:marTop w:val="0"/>
      <w:marBottom w:val="0"/>
      <w:divBdr>
        <w:top w:val="none" w:sz="0" w:space="0" w:color="auto"/>
        <w:left w:val="none" w:sz="0" w:space="0" w:color="auto"/>
        <w:bottom w:val="none" w:sz="0" w:space="0" w:color="auto"/>
        <w:right w:val="none" w:sz="0" w:space="0" w:color="auto"/>
      </w:divBdr>
    </w:div>
    <w:div w:id="100302612">
      <w:bodyDiv w:val="1"/>
      <w:marLeft w:val="0"/>
      <w:marRight w:val="0"/>
      <w:marTop w:val="0"/>
      <w:marBottom w:val="0"/>
      <w:divBdr>
        <w:top w:val="none" w:sz="0" w:space="0" w:color="auto"/>
        <w:left w:val="none" w:sz="0" w:space="0" w:color="auto"/>
        <w:bottom w:val="none" w:sz="0" w:space="0" w:color="auto"/>
        <w:right w:val="none" w:sz="0" w:space="0" w:color="auto"/>
      </w:divBdr>
      <w:divsChild>
        <w:div w:id="635529814">
          <w:marLeft w:val="547"/>
          <w:marRight w:val="0"/>
          <w:marTop w:val="134"/>
          <w:marBottom w:val="0"/>
          <w:divBdr>
            <w:top w:val="none" w:sz="0" w:space="0" w:color="auto"/>
            <w:left w:val="none" w:sz="0" w:space="0" w:color="auto"/>
            <w:bottom w:val="none" w:sz="0" w:space="0" w:color="auto"/>
            <w:right w:val="none" w:sz="0" w:space="0" w:color="auto"/>
          </w:divBdr>
        </w:div>
      </w:divsChild>
    </w:div>
    <w:div w:id="462385037">
      <w:bodyDiv w:val="1"/>
      <w:marLeft w:val="0"/>
      <w:marRight w:val="0"/>
      <w:marTop w:val="0"/>
      <w:marBottom w:val="0"/>
      <w:divBdr>
        <w:top w:val="none" w:sz="0" w:space="0" w:color="auto"/>
        <w:left w:val="none" w:sz="0" w:space="0" w:color="auto"/>
        <w:bottom w:val="none" w:sz="0" w:space="0" w:color="auto"/>
        <w:right w:val="none" w:sz="0" w:space="0" w:color="auto"/>
      </w:divBdr>
      <w:divsChild>
        <w:div w:id="927076814">
          <w:marLeft w:val="547"/>
          <w:marRight w:val="0"/>
          <w:marTop w:val="82"/>
          <w:marBottom w:val="0"/>
          <w:divBdr>
            <w:top w:val="none" w:sz="0" w:space="0" w:color="auto"/>
            <w:left w:val="none" w:sz="0" w:space="0" w:color="auto"/>
            <w:bottom w:val="none" w:sz="0" w:space="0" w:color="auto"/>
            <w:right w:val="none" w:sz="0" w:space="0" w:color="auto"/>
          </w:divBdr>
        </w:div>
      </w:divsChild>
    </w:div>
    <w:div w:id="750197418">
      <w:bodyDiv w:val="1"/>
      <w:marLeft w:val="0"/>
      <w:marRight w:val="0"/>
      <w:marTop w:val="0"/>
      <w:marBottom w:val="0"/>
      <w:divBdr>
        <w:top w:val="none" w:sz="0" w:space="0" w:color="auto"/>
        <w:left w:val="none" w:sz="0" w:space="0" w:color="auto"/>
        <w:bottom w:val="none" w:sz="0" w:space="0" w:color="auto"/>
        <w:right w:val="none" w:sz="0" w:space="0" w:color="auto"/>
      </w:divBdr>
    </w:div>
    <w:div w:id="1049845459">
      <w:bodyDiv w:val="1"/>
      <w:marLeft w:val="0"/>
      <w:marRight w:val="0"/>
      <w:marTop w:val="0"/>
      <w:marBottom w:val="0"/>
      <w:divBdr>
        <w:top w:val="none" w:sz="0" w:space="0" w:color="auto"/>
        <w:left w:val="none" w:sz="0" w:space="0" w:color="auto"/>
        <w:bottom w:val="none" w:sz="0" w:space="0" w:color="auto"/>
        <w:right w:val="none" w:sz="0" w:space="0" w:color="auto"/>
      </w:divBdr>
    </w:div>
    <w:div w:id="1268081531">
      <w:bodyDiv w:val="1"/>
      <w:marLeft w:val="0"/>
      <w:marRight w:val="0"/>
      <w:marTop w:val="0"/>
      <w:marBottom w:val="0"/>
      <w:divBdr>
        <w:top w:val="none" w:sz="0" w:space="0" w:color="auto"/>
        <w:left w:val="none" w:sz="0" w:space="0" w:color="auto"/>
        <w:bottom w:val="none" w:sz="0" w:space="0" w:color="auto"/>
        <w:right w:val="none" w:sz="0" w:space="0" w:color="auto"/>
      </w:divBdr>
    </w:div>
    <w:div w:id="1275135161">
      <w:bodyDiv w:val="1"/>
      <w:marLeft w:val="0"/>
      <w:marRight w:val="0"/>
      <w:marTop w:val="0"/>
      <w:marBottom w:val="0"/>
      <w:divBdr>
        <w:top w:val="none" w:sz="0" w:space="0" w:color="auto"/>
        <w:left w:val="none" w:sz="0" w:space="0" w:color="auto"/>
        <w:bottom w:val="none" w:sz="0" w:space="0" w:color="auto"/>
        <w:right w:val="none" w:sz="0" w:space="0" w:color="auto"/>
      </w:divBdr>
    </w:div>
    <w:div w:id="1612855771">
      <w:bodyDiv w:val="1"/>
      <w:marLeft w:val="0"/>
      <w:marRight w:val="0"/>
      <w:marTop w:val="0"/>
      <w:marBottom w:val="0"/>
      <w:divBdr>
        <w:top w:val="none" w:sz="0" w:space="0" w:color="auto"/>
        <w:left w:val="none" w:sz="0" w:space="0" w:color="auto"/>
        <w:bottom w:val="none" w:sz="0" w:space="0" w:color="auto"/>
        <w:right w:val="none" w:sz="0" w:space="0" w:color="auto"/>
      </w:divBdr>
    </w:div>
    <w:div w:id="1986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7-9566.128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93/phe/phy001" TargetMode="External"/><Relationship Id="rId4" Type="http://schemas.openxmlformats.org/officeDocument/2006/relationships/settings" Target="settings.xml"/><Relationship Id="rId9" Type="http://schemas.openxmlformats.org/officeDocument/2006/relationships/hyperlink" Target="http://www.aihw.gov.au/alcohol-and-other-drugs/data-sources/nopsad-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B864-D915-4E8B-A98C-B910446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Farrugia</dc:creator>
  <cp:lastModifiedBy>Adrian Farrugia</cp:lastModifiedBy>
  <cp:revision>4</cp:revision>
  <cp:lastPrinted>2018-05-01T02:57:00Z</cp:lastPrinted>
  <dcterms:created xsi:type="dcterms:W3CDTF">2018-10-22T22:21:00Z</dcterms:created>
  <dcterms:modified xsi:type="dcterms:W3CDTF">2021-02-18T01:50:00Z</dcterms:modified>
</cp:coreProperties>
</file>