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95D6C" w14:textId="77777777" w:rsidR="00233E47" w:rsidRPr="00C056CD" w:rsidRDefault="00233E47" w:rsidP="0071413B">
      <w:pPr>
        <w:spacing w:line="360" w:lineRule="auto"/>
      </w:pPr>
      <w:r w:rsidRPr="00C056CD">
        <w:t xml:space="preserve">Abstract </w:t>
      </w:r>
    </w:p>
    <w:p w14:paraId="2861BD52" w14:textId="77777777" w:rsidR="00FA51DB" w:rsidRPr="00C056CD" w:rsidRDefault="00FA51DB" w:rsidP="0071413B">
      <w:pPr>
        <w:spacing w:line="360" w:lineRule="auto"/>
      </w:pPr>
      <w:r w:rsidRPr="00C056CD">
        <w:rPr>
          <w:b/>
        </w:rPr>
        <w:t>Objective:</w:t>
      </w:r>
      <w:r w:rsidRPr="00C056CD">
        <w:t xml:space="preserve"> To assess the quality of life </w:t>
      </w:r>
      <w:r w:rsidR="00335C4A" w:rsidRPr="00C056CD">
        <w:t xml:space="preserve">(QoL) </w:t>
      </w:r>
      <w:r w:rsidRPr="00C056CD">
        <w:t xml:space="preserve">of older Australians living in rural and urban communities over time. </w:t>
      </w:r>
    </w:p>
    <w:p w14:paraId="48A8B866" w14:textId="666C45C3" w:rsidR="00FA51DB" w:rsidRPr="00C056CD" w:rsidRDefault="00E408BD" w:rsidP="0071413B">
      <w:pPr>
        <w:spacing w:line="360" w:lineRule="auto"/>
      </w:pPr>
      <w:r w:rsidRPr="00C056CD">
        <w:rPr>
          <w:b/>
        </w:rPr>
        <w:t>Design</w:t>
      </w:r>
      <w:r w:rsidR="00FA51DB" w:rsidRPr="00C056CD">
        <w:rPr>
          <w:b/>
        </w:rPr>
        <w:t>:</w:t>
      </w:r>
      <w:r w:rsidR="00FA51DB" w:rsidRPr="00C056CD">
        <w:t xml:space="preserve"> </w:t>
      </w:r>
      <w:r w:rsidR="00A65F47" w:rsidRPr="00C056CD">
        <w:t>Panel survey</w:t>
      </w:r>
      <w:r w:rsidR="009336D9" w:rsidRPr="00C056CD">
        <w:t xml:space="preserve"> conducted in 2012-2013 and 2014-2015</w:t>
      </w:r>
      <w:r w:rsidR="00A65F47" w:rsidRPr="00C056CD">
        <w:t xml:space="preserve">. </w:t>
      </w:r>
    </w:p>
    <w:p w14:paraId="5A899A04" w14:textId="7B1440F5" w:rsidR="00A65F47" w:rsidRPr="00C056CD" w:rsidRDefault="00A65F47" w:rsidP="0071413B">
      <w:pPr>
        <w:spacing w:line="360" w:lineRule="auto"/>
      </w:pPr>
      <w:r w:rsidRPr="00C056CD">
        <w:rPr>
          <w:b/>
        </w:rPr>
        <w:t>Setting</w:t>
      </w:r>
      <w:r w:rsidRPr="00C056CD">
        <w:t xml:space="preserve">: Participants </w:t>
      </w:r>
      <w:r w:rsidR="009336D9" w:rsidRPr="00C056CD">
        <w:t>lived</w:t>
      </w:r>
      <w:r w:rsidRPr="00C056CD">
        <w:t xml:space="preserve"> in metropolitan Melbourne (urban sample</w:t>
      </w:r>
      <w:r w:rsidR="00E03C87" w:rsidRPr="00C056CD">
        <w:t xml:space="preserve">, N = 279), rural Victoria (N = 98), or </w:t>
      </w:r>
      <w:r w:rsidRPr="00C056CD">
        <w:t>Tasmania</w:t>
      </w:r>
      <w:r w:rsidR="00E03C87" w:rsidRPr="00C056CD">
        <w:t xml:space="preserve"> (N = 47)</w:t>
      </w:r>
      <w:r w:rsidRPr="00C056CD">
        <w:t xml:space="preserve">. </w:t>
      </w:r>
    </w:p>
    <w:p w14:paraId="433071DA" w14:textId="01918F0A" w:rsidR="00A65F47" w:rsidRPr="00C056CD" w:rsidRDefault="00A65F47" w:rsidP="0071413B">
      <w:pPr>
        <w:spacing w:line="360" w:lineRule="auto"/>
      </w:pPr>
      <w:r w:rsidRPr="00C056CD">
        <w:rPr>
          <w:b/>
        </w:rPr>
        <w:t>Participants:</w:t>
      </w:r>
      <w:r w:rsidRPr="00C056CD">
        <w:t xml:space="preserve"> All participants (N = 424) were clients of aged care providers </w:t>
      </w:r>
      <w:r w:rsidR="00E03C87" w:rsidRPr="00C056CD">
        <w:t>or</w:t>
      </w:r>
      <w:r w:rsidRPr="00C056CD">
        <w:t xml:space="preserve"> residents in retirement housing</w:t>
      </w:r>
      <w:r w:rsidR="009336D9" w:rsidRPr="00C056CD">
        <w:t xml:space="preserve"> or residential care</w:t>
      </w:r>
      <w:r w:rsidRPr="00C056CD">
        <w:t>.</w:t>
      </w:r>
    </w:p>
    <w:p w14:paraId="7B2E95BA" w14:textId="053F8732" w:rsidR="00A65F47" w:rsidRPr="00C056CD" w:rsidRDefault="00A65F47" w:rsidP="0071413B">
      <w:pPr>
        <w:spacing w:line="360" w:lineRule="auto"/>
        <w:rPr>
          <w:b/>
        </w:rPr>
      </w:pPr>
      <w:r w:rsidRPr="00C056CD">
        <w:rPr>
          <w:b/>
        </w:rPr>
        <w:t>Main outcome measures:</w:t>
      </w:r>
      <w:r w:rsidR="00E03C87" w:rsidRPr="00C056CD">
        <w:rPr>
          <w:b/>
        </w:rPr>
        <w:t xml:space="preserve"> </w:t>
      </w:r>
      <w:r w:rsidR="00E03C87" w:rsidRPr="00C056CD">
        <w:t>Quality of life.</w:t>
      </w:r>
    </w:p>
    <w:p w14:paraId="0BB6F115" w14:textId="51C58319" w:rsidR="00FA51DB" w:rsidRPr="00C056CD" w:rsidRDefault="00A65F47" w:rsidP="0071413B">
      <w:pPr>
        <w:spacing w:line="360" w:lineRule="auto"/>
      </w:pPr>
      <w:r w:rsidRPr="00C056CD">
        <w:rPr>
          <w:b/>
        </w:rPr>
        <w:t>Result</w:t>
      </w:r>
      <w:r w:rsidR="00FA51DB" w:rsidRPr="00C056CD">
        <w:rPr>
          <w:b/>
        </w:rPr>
        <w:t>:</w:t>
      </w:r>
      <w:r w:rsidR="00FA51DB" w:rsidRPr="00C056CD">
        <w:t xml:space="preserve"> A repeated measures analysis of variance </w:t>
      </w:r>
      <w:r w:rsidR="009336D9" w:rsidRPr="00C056CD">
        <w:t>showed</w:t>
      </w:r>
      <w:r w:rsidR="00FA51DB" w:rsidRPr="00C056CD">
        <w:t xml:space="preserve"> a decrease in quality of life over time</w:t>
      </w:r>
      <w:r w:rsidR="009336D9" w:rsidRPr="00C056CD">
        <w:t xml:space="preserve">. There was no difference in </w:t>
      </w:r>
      <w:r w:rsidR="00E03C87" w:rsidRPr="00C056CD">
        <w:t xml:space="preserve">change in QoL </w:t>
      </w:r>
      <w:r w:rsidR="00FA51DB" w:rsidRPr="00C056CD">
        <w:t xml:space="preserve">over time </w:t>
      </w:r>
      <w:r w:rsidR="009336D9" w:rsidRPr="00C056CD">
        <w:t>by</w:t>
      </w:r>
      <w:r w:rsidR="00FA51DB" w:rsidRPr="00C056CD">
        <w:t xml:space="preserve"> location of participants</w:t>
      </w:r>
      <w:r w:rsidR="00E03C87" w:rsidRPr="00C056CD">
        <w:t xml:space="preserve"> (urban vs. rural)</w:t>
      </w:r>
      <w:r w:rsidR="00335C4A" w:rsidRPr="00C056CD">
        <w:t xml:space="preserve">. </w:t>
      </w:r>
      <w:r w:rsidR="00E03C87" w:rsidRPr="00C056CD">
        <w:t>M</w:t>
      </w:r>
      <w:r w:rsidR="00335C4A" w:rsidRPr="00C056CD">
        <w:t xml:space="preserve">ultiple regression </w:t>
      </w:r>
      <w:r w:rsidR="00E03C87" w:rsidRPr="00C056CD">
        <w:t>analysis showed</w:t>
      </w:r>
      <w:r w:rsidR="00335C4A" w:rsidRPr="00C056CD">
        <w:t xml:space="preserve"> that resili</w:t>
      </w:r>
      <w:r w:rsidR="00E03C87" w:rsidRPr="00C056CD">
        <w:t xml:space="preserve">ence predicted baseline QoL </w:t>
      </w:r>
      <w:r w:rsidR="00335C4A" w:rsidRPr="00C056CD">
        <w:t>in all three locations.</w:t>
      </w:r>
    </w:p>
    <w:p w14:paraId="044B65CF" w14:textId="33EB7F4C" w:rsidR="00FA51DB" w:rsidRPr="00C056CD" w:rsidRDefault="00FA51DB" w:rsidP="0071413B">
      <w:pPr>
        <w:spacing w:line="360" w:lineRule="auto"/>
      </w:pPr>
      <w:r w:rsidRPr="00C056CD">
        <w:rPr>
          <w:b/>
        </w:rPr>
        <w:t>Conclusion:</w:t>
      </w:r>
      <w:r w:rsidR="00E603B5" w:rsidRPr="00C056CD">
        <w:t xml:space="preserve"> These </w:t>
      </w:r>
      <w:r w:rsidR="001C4E47" w:rsidRPr="00C056CD">
        <w:t>findings generally did not support</w:t>
      </w:r>
      <w:r w:rsidR="00E603B5" w:rsidRPr="00C056CD">
        <w:t xml:space="preserve"> </w:t>
      </w:r>
      <w:r w:rsidR="001C4E47" w:rsidRPr="00C056CD">
        <w:t xml:space="preserve">significant differences </w:t>
      </w:r>
      <w:r w:rsidR="00D55703" w:rsidRPr="00C056CD">
        <w:t xml:space="preserve">between geographic locations </w:t>
      </w:r>
      <w:r w:rsidR="001C4E47" w:rsidRPr="00C056CD">
        <w:t xml:space="preserve">in </w:t>
      </w:r>
      <w:r w:rsidR="00404A39" w:rsidRPr="00C056CD">
        <w:t xml:space="preserve">trajectories of </w:t>
      </w:r>
      <w:r w:rsidR="00E603B5" w:rsidRPr="00C056CD">
        <w:t xml:space="preserve">older </w:t>
      </w:r>
      <w:r w:rsidR="00D55703" w:rsidRPr="00C056CD">
        <w:t>adults</w:t>
      </w:r>
      <w:r w:rsidR="00BF057D" w:rsidRPr="00C056CD">
        <w:t>’</w:t>
      </w:r>
      <w:r w:rsidR="00E603B5" w:rsidRPr="00C056CD">
        <w:t xml:space="preserve"> quality of life over time. Instead</w:t>
      </w:r>
      <w:r w:rsidR="00322B0D" w:rsidRPr="00C056CD">
        <w:t>,</w:t>
      </w:r>
      <w:r w:rsidR="00E603B5" w:rsidRPr="00C056CD">
        <w:t xml:space="preserve"> </w:t>
      </w:r>
      <w:r w:rsidR="00D55703" w:rsidRPr="00C056CD">
        <w:t>indi</w:t>
      </w:r>
      <w:r w:rsidR="00404A39" w:rsidRPr="00C056CD">
        <w:t>vidual</w:t>
      </w:r>
      <w:r w:rsidR="00D55703" w:rsidRPr="00C056CD">
        <w:t>s</w:t>
      </w:r>
      <w:r w:rsidR="00404A39" w:rsidRPr="00C056CD">
        <w:t>’</w:t>
      </w:r>
      <w:r w:rsidR="00E603B5" w:rsidRPr="00C056CD">
        <w:t xml:space="preserve"> resilience appears to be the </w:t>
      </w:r>
      <w:r w:rsidR="00322B0D" w:rsidRPr="00C056CD">
        <w:t xml:space="preserve">strongest </w:t>
      </w:r>
      <w:r w:rsidR="00E603B5" w:rsidRPr="00C056CD">
        <w:t>predictor of QoL.</w:t>
      </w:r>
    </w:p>
    <w:p w14:paraId="65E654F5" w14:textId="77777777" w:rsidR="00E408BD" w:rsidRPr="00C056CD" w:rsidRDefault="00E408BD" w:rsidP="0071413B">
      <w:pPr>
        <w:spacing w:line="360" w:lineRule="auto"/>
        <w:rPr>
          <w:b/>
        </w:rPr>
      </w:pPr>
    </w:p>
    <w:p w14:paraId="5B8D6BFF" w14:textId="4ECB3CBF" w:rsidR="00233E47" w:rsidRPr="00C056CD" w:rsidRDefault="00233E47" w:rsidP="0071413B">
      <w:pPr>
        <w:spacing w:line="360" w:lineRule="auto"/>
        <w:rPr>
          <w:b/>
        </w:rPr>
      </w:pPr>
      <w:r w:rsidRPr="00C056CD">
        <w:rPr>
          <w:b/>
        </w:rPr>
        <w:t xml:space="preserve">What is </w:t>
      </w:r>
      <w:r w:rsidR="001C4E47" w:rsidRPr="00C056CD">
        <w:rPr>
          <w:b/>
        </w:rPr>
        <w:t xml:space="preserve">already known on this subject? </w:t>
      </w:r>
    </w:p>
    <w:p w14:paraId="5B74FF82" w14:textId="2544AD09" w:rsidR="00E603B5" w:rsidRPr="00C056CD" w:rsidRDefault="00322B0D" w:rsidP="0071413B">
      <w:pPr>
        <w:pStyle w:val="ListParagraph"/>
        <w:numPr>
          <w:ilvl w:val="0"/>
          <w:numId w:val="1"/>
        </w:numPr>
        <w:spacing w:line="360" w:lineRule="auto"/>
      </w:pPr>
      <w:r w:rsidRPr="00C056CD">
        <w:t>C</w:t>
      </w:r>
      <w:r w:rsidR="001C4E47" w:rsidRPr="00C056CD">
        <w:t xml:space="preserve">hallenges to maintaining quality of life at an older age </w:t>
      </w:r>
      <w:r w:rsidR="00CB3245" w:rsidRPr="00C056CD">
        <w:t>may include</w:t>
      </w:r>
      <w:r w:rsidR="001C4E47" w:rsidRPr="00C056CD">
        <w:t xml:space="preserve"> illness</w:t>
      </w:r>
      <w:r w:rsidR="00D41EA8" w:rsidRPr="00C056CD">
        <w:t xml:space="preserve"> and social </w:t>
      </w:r>
      <w:r w:rsidR="00CB3245" w:rsidRPr="00C056CD">
        <w:t>isolation</w:t>
      </w:r>
      <w:r w:rsidR="001C4E47" w:rsidRPr="00C056CD">
        <w:t>.</w:t>
      </w:r>
    </w:p>
    <w:p w14:paraId="327B1151" w14:textId="23822525" w:rsidR="001C4E47" w:rsidRPr="00C056CD" w:rsidRDefault="00AB1D3C" w:rsidP="0071413B">
      <w:pPr>
        <w:pStyle w:val="ListParagraph"/>
        <w:numPr>
          <w:ilvl w:val="0"/>
          <w:numId w:val="1"/>
        </w:numPr>
        <w:spacing w:line="360" w:lineRule="auto"/>
      </w:pPr>
      <w:r w:rsidRPr="00C056CD">
        <w:t>Older people living</w:t>
      </w:r>
      <w:r w:rsidR="001C4E47" w:rsidRPr="00C056CD">
        <w:t xml:space="preserve"> in rural communities</w:t>
      </w:r>
      <w:r w:rsidR="00CB3245" w:rsidRPr="00C056CD">
        <w:t xml:space="preserve"> may</w:t>
      </w:r>
      <w:r w:rsidR="001C4E47" w:rsidRPr="00C056CD">
        <w:t xml:space="preserve"> face additional challenges to maintaining quality of life due to </w:t>
      </w:r>
      <w:r w:rsidR="00CB3245" w:rsidRPr="00C056CD">
        <w:t xml:space="preserve">low access to healthcare professionals and issues with </w:t>
      </w:r>
      <w:r w:rsidR="001C4E47" w:rsidRPr="00C056CD">
        <w:t>lack of infrastruct</w:t>
      </w:r>
      <w:r w:rsidR="00CB3245" w:rsidRPr="00C056CD">
        <w:t>ure, transportation</w:t>
      </w:r>
      <w:r w:rsidR="001C4E47" w:rsidRPr="00C056CD">
        <w:t xml:space="preserve">, and opportunities for social participation. </w:t>
      </w:r>
    </w:p>
    <w:p w14:paraId="36542A44" w14:textId="2529F959" w:rsidR="001C4E47" w:rsidRPr="00C056CD" w:rsidRDefault="00322B0D" w:rsidP="0071413B">
      <w:pPr>
        <w:pStyle w:val="ListParagraph"/>
        <w:numPr>
          <w:ilvl w:val="0"/>
          <w:numId w:val="1"/>
        </w:numPr>
        <w:spacing w:line="360" w:lineRule="auto"/>
      </w:pPr>
      <w:r w:rsidRPr="00C056CD">
        <w:t>A</w:t>
      </w:r>
      <w:r w:rsidR="001C4E47" w:rsidRPr="00C056CD">
        <w:t>dvantages to living in rural communities</w:t>
      </w:r>
      <w:r w:rsidR="00FE7CBF" w:rsidRPr="00C056CD">
        <w:t xml:space="preserve"> </w:t>
      </w:r>
      <w:r w:rsidRPr="00C056CD">
        <w:t>include</w:t>
      </w:r>
      <w:r w:rsidR="001C4E47" w:rsidRPr="00C056CD">
        <w:t xml:space="preserve"> higher social capital</w:t>
      </w:r>
      <w:r w:rsidR="00BF057D" w:rsidRPr="00C056CD">
        <w:t xml:space="preserve"> and </w:t>
      </w:r>
      <w:r w:rsidR="00E03C87" w:rsidRPr="00C056CD">
        <w:rPr>
          <w:rFonts w:cs="Times New Roman"/>
        </w:rPr>
        <w:t>opportunities to volunteer</w:t>
      </w:r>
      <w:r w:rsidR="00D14873" w:rsidRPr="00C056CD">
        <w:t>.</w:t>
      </w:r>
    </w:p>
    <w:p w14:paraId="55E64460" w14:textId="77777777" w:rsidR="00233E47" w:rsidRPr="00C056CD" w:rsidRDefault="00233E47" w:rsidP="0071413B">
      <w:pPr>
        <w:spacing w:line="360" w:lineRule="auto"/>
        <w:rPr>
          <w:b/>
        </w:rPr>
      </w:pPr>
      <w:r w:rsidRPr="00C056CD">
        <w:rPr>
          <w:b/>
        </w:rPr>
        <w:t>What doe</w:t>
      </w:r>
      <w:r w:rsidR="001C4E47" w:rsidRPr="00C056CD">
        <w:rPr>
          <w:b/>
        </w:rPr>
        <w:t xml:space="preserve">s this study add? </w:t>
      </w:r>
    </w:p>
    <w:p w14:paraId="32C8A594" w14:textId="7DE5DF52" w:rsidR="00E30BF6" w:rsidRPr="00C056CD" w:rsidRDefault="00E30BF6" w:rsidP="0071413B">
      <w:pPr>
        <w:pStyle w:val="ListParagraph"/>
        <w:numPr>
          <w:ilvl w:val="0"/>
          <w:numId w:val="2"/>
        </w:numPr>
        <w:spacing w:line="360" w:lineRule="auto"/>
      </w:pPr>
      <w:r w:rsidRPr="00C056CD">
        <w:t>The study found lower quality of life in Tasmanian participants than those living in Victoria at baseline.</w:t>
      </w:r>
    </w:p>
    <w:p w14:paraId="2CE32EEE" w14:textId="36F24C29" w:rsidR="001C4E47" w:rsidRPr="00C056CD" w:rsidRDefault="00E30BF6" w:rsidP="0071413B">
      <w:pPr>
        <w:pStyle w:val="ListParagraph"/>
        <w:numPr>
          <w:ilvl w:val="0"/>
          <w:numId w:val="2"/>
        </w:numPr>
        <w:spacing w:line="360" w:lineRule="auto"/>
      </w:pPr>
      <w:r w:rsidRPr="00C056CD">
        <w:t>However, there were</w:t>
      </w:r>
      <w:r w:rsidR="00CB3245" w:rsidRPr="00C056CD">
        <w:t xml:space="preserve"> no differences </w:t>
      </w:r>
      <w:r w:rsidRPr="00C056CD">
        <w:t xml:space="preserve">in change in quality of life over two years by location, </w:t>
      </w:r>
      <w:r w:rsidR="00CB3245" w:rsidRPr="00C056CD">
        <w:t>controlling for other variables.</w:t>
      </w:r>
    </w:p>
    <w:p w14:paraId="6C594F42" w14:textId="56D40DC0" w:rsidR="00404A39" w:rsidRPr="00C056CD" w:rsidRDefault="00CB3245" w:rsidP="00CB3245">
      <w:pPr>
        <w:pStyle w:val="ListParagraph"/>
        <w:numPr>
          <w:ilvl w:val="0"/>
          <w:numId w:val="2"/>
        </w:numPr>
        <w:spacing w:line="360" w:lineRule="auto"/>
        <w:rPr>
          <w:b/>
        </w:rPr>
      </w:pPr>
      <w:r w:rsidRPr="00C056CD">
        <w:t>Resilience was a consistent predictor of quality of life across locations.</w:t>
      </w:r>
      <w:r w:rsidR="00404A39" w:rsidRPr="00C056CD">
        <w:rPr>
          <w:b/>
        </w:rPr>
        <w:br w:type="page"/>
      </w:r>
    </w:p>
    <w:p w14:paraId="768905F4" w14:textId="15BF70DB" w:rsidR="00233E47" w:rsidRPr="00C056CD" w:rsidRDefault="00EA4622" w:rsidP="0071413B">
      <w:pPr>
        <w:spacing w:line="360" w:lineRule="auto"/>
        <w:rPr>
          <w:b/>
        </w:rPr>
      </w:pPr>
      <w:r w:rsidRPr="00C056CD">
        <w:rPr>
          <w:b/>
        </w:rPr>
        <w:lastRenderedPageBreak/>
        <w:t>Introduction</w:t>
      </w:r>
    </w:p>
    <w:p w14:paraId="01B668E4" w14:textId="45C3F018" w:rsidR="008D73F2" w:rsidRPr="00C056CD" w:rsidRDefault="00FE51E1" w:rsidP="0071413B">
      <w:pPr>
        <w:spacing w:line="360" w:lineRule="auto"/>
      </w:pPr>
      <w:r w:rsidRPr="00C056CD">
        <w:t xml:space="preserve">Consistent with global trends, Australian rural communities </w:t>
      </w:r>
      <w:r w:rsidR="00322B0D" w:rsidRPr="00C056CD">
        <w:t xml:space="preserve">comprise </w:t>
      </w:r>
      <w:r w:rsidRPr="00C056CD">
        <w:t>a higher proportion of older adults</w:t>
      </w:r>
      <w:r w:rsidR="0042569D" w:rsidRPr="00C056CD">
        <w:t xml:space="preserve"> </w:t>
      </w:r>
      <w:r w:rsidR="00EA5B8F" w:rsidRPr="00C056CD">
        <w:t>than urban centres</w:t>
      </w:r>
      <w:r w:rsidR="00CB3245" w:rsidRPr="00C056CD">
        <w:t>.</w:t>
      </w:r>
      <w:r w:rsidR="00CB3245" w:rsidRPr="00C056CD">
        <w:rPr>
          <w:vertAlign w:val="superscript"/>
        </w:rPr>
        <w:t>1</w:t>
      </w:r>
      <w:r w:rsidR="00DB5C85" w:rsidRPr="00C056CD">
        <w:t xml:space="preserve"> </w:t>
      </w:r>
      <w:r w:rsidRPr="00C056CD">
        <w:t>While Australia is projected to see a considerable rise in the number of older adult</w:t>
      </w:r>
      <w:r w:rsidR="00322B0D" w:rsidRPr="00C056CD">
        <w:t>s</w:t>
      </w:r>
      <w:r w:rsidRPr="00C056CD">
        <w:t xml:space="preserve"> </w:t>
      </w:r>
      <w:r w:rsidR="00EA5B8F" w:rsidRPr="00C056CD">
        <w:t>in all regions</w:t>
      </w:r>
      <w:r w:rsidRPr="00C056CD">
        <w:t>, rural areas are expected to see the greatest growth in this age group</w:t>
      </w:r>
      <w:r w:rsidR="003363E0" w:rsidRPr="00C056CD">
        <w:t>.</w:t>
      </w:r>
      <w:r w:rsidR="003363E0" w:rsidRPr="00C056CD">
        <w:rPr>
          <w:vertAlign w:val="superscript"/>
        </w:rPr>
        <w:t>2</w:t>
      </w:r>
      <w:r w:rsidR="00086E0E" w:rsidRPr="00C056CD">
        <w:t xml:space="preserve">  This phenomenon is largely due to two distinct trends: the out-migration of young adults from rural</w:t>
      </w:r>
      <w:r w:rsidR="00813103" w:rsidRPr="00C056CD">
        <w:t xml:space="preserve"> areas,</w:t>
      </w:r>
      <w:r w:rsidR="00086E0E" w:rsidRPr="00C056CD">
        <w:t xml:space="preserve"> and the in-migration of</w:t>
      </w:r>
      <w:r w:rsidR="002539BF" w:rsidRPr="00C056CD">
        <w:t xml:space="preserve"> older adults into rural areas</w:t>
      </w:r>
      <w:r w:rsidR="00AB1D3C" w:rsidRPr="00C056CD">
        <w:t>.</w:t>
      </w:r>
      <w:r w:rsidR="00AB1D3C" w:rsidRPr="00C056CD">
        <w:rPr>
          <w:vertAlign w:val="superscript"/>
        </w:rPr>
        <w:t>3</w:t>
      </w:r>
      <w:r w:rsidR="00132414" w:rsidRPr="00C056CD">
        <w:t xml:space="preserve"> </w:t>
      </w:r>
      <w:r w:rsidR="002539BF" w:rsidRPr="00C056CD">
        <w:t xml:space="preserve">Many older adults move to rural areas </w:t>
      </w:r>
      <w:r w:rsidR="00132414" w:rsidRPr="00C056CD">
        <w:t xml:space="preserve">for the more desirable environmental and other geographic amenities, such as </w:t>
      </w:r>
      <w:r w:rsidR="00322B0D" w:rsidRPr="00C056CD">
        <w:t xml:space="preserve">access to </w:t>
      </w:r>
      <w:r w:rsidR="00132414" w:rsidRPr="00C056CD">
        <w:t xml:space="preserve">coastal and forested </w:t>
      </w:r>
      <w:r w:rsidR="001E27AC" w:rsidRPr="00C056CD">
        <w:t>areas</w:t>
      </w:r>
      <w:r w:rsidR="00AB1D3C" w:rsidRPr="00C056CD">
        <w:t>.</w:t>
      </w:r>
      <w:r w:rsidR="00AB1D3C" w:rsidRPr="00C056CD">
        <w:rPr>
          <w:vertAlign w:val="superscript"/>
        </w:rPr>
        <w:t>4</w:t>
      </w:r>
      <w:r w:rsidR="00132414" w:rsidRPr="00C056CD">
        <w:t xml:space="preserve">  </w:t>
      </w:r>
      <w:r w:rsidR="00766C3B" w:rsidRPr="00C056CD">
        <w:t xml:space="preserve">These areas are </w:t>
      </w:r>
      <w:r w:rsidR="00506069" w:rsidRPr="00C056CD">
        <w:t>sought after</w:t>
      </w:r>
      <w:r w:rsidR="00766C3B" w:rsidRPr="00C056CD">
        <w:t xml:space="preserve"> for lifestyle reasons, in order to obtain a better quality of life (QoL)</w:t>
      </w:r>
      <w:r w:rsidR="00AB1D3C" w:rsidRPr="00C056CD">
        <w:t>.</w:t>
      </w:r>
      <w:r w:rsidR="00AB1D3C" w:rsidRPr="00C056CD">
        <w:rPr>
          <w:vertAlign w:val="superscript"/>
        </w:rPr>
        <w:t>5</w:t>
      </w:r>
      <w:r w:rsidR="00766C3B" w:rsidRPr="00C056CD">
        <w:t xml:space="preserve"> </w:t>
      </w:r>
    </w:p>
    <w:p w14:paraId="7DD216C1" w14:textId="1E638DC7" w:rsidR="00790C9F" w:rsidRPr="00C056CD" w:rsidRDefault="00C860F8" w:rsidP="0071413B">
      <w:pPr>
        <w:spacing w:line="360" w:lineRule="auto"/>
      </w:pPr>
      <w:r w:rsidRPr="00C056CD">
        <w:t>As defined by the World Health Organisation, QoL is an individual’s perception of their life in relation to their goals, expectations, standards, and concerns</w:t>
      </w:r>
      <w:r w:rsidR="00AB1D3C" w:rsidRPr="00C056CD">
        <w:t>.</w:t>
      </w:r>
      <w:r w:rsidR="00AB1D3C" w:rsidRPr="00C056CD">
        <w:rPr>
          <w:vertAlign w:val="superscript"/>
        </w:rPr>
        <w:t>6</w:t>
      </w:r>
      <w:r w:rsidRPr="00C056CD">
        <w:t xml:space="preserve">  Due to th</w:t>
      </w:r>
      <w:r w:rsidR="00D14873" w:rsidRPr="00C056CD">
        <w:t>e</w:t>
      </w:r>
      <w:r w:rsidRPr="00C056CD">
        <w:t xml:space="preserve"> broad</w:t>
      </w:r>
      <w:r w:rsidR="00D14873" w:rsidRPr="00C056CD">
        <w:t>-</w:t>
      </w:r>
      <w:r w:rsidRPr="00C056CD">
        <w:t xml:space="preserve">ranging </w:t>
      </w:r>
      <w:r w:rsidR="00D14873" w:rsidRPr="00C056CD">
        <w:t xml:space="preserve">nature of this </w:t>
      </w:r>
      <w:r w:rsidRPr="00C056CD">
        <w:t>concept, QoL is affected by the individual’s physical health, psychological state, personal beliefs, social relationships, and salient features of their environment</w:t>
      </w:r>
      <w:r w:rsidR="00AB1D3C" w:rsidRPr="00C056CD">
        <w:t>.</w:t>
      </w:r>
      <w:r w:rsidR="00AB1D3C" w:rsidRPr="00C056CD">
        <w:rPr>
          <w:vertAlign w:val="superscript"/>
        </w:rPr>
        <w:t>6</w:t>
      </w:r>
      <w:r w:rsidR="00A0514B" w:rsidRPr="00C056CD">
        <w:t xml:space="preserve"> </w:t>
      </w:r>
      <w:r w:rsidR="00C970AC" w:rsidRPr="00C056CD">
        <w:t>A</w:t>
      </w:r>
      <w:r w:rsidR="003725FB" w:rsidRPr="00C056CD">
        <w:t xml:space="preserve">dditional challenges to maintaining QoL </w:t>
      </w:r>
      <w:r w:rsidR="00AB1D3C" w:rsidRPr="00C056CD">
        <w:t>in</w:t>
      </w:r>
      <w:r w:rsidR="003725FB" w:rsidRPr="00C056CD">
        <w:t xml:space="preserve"> older age </w:t>
      </w:r>
      <w:r w:rsidR="00E30BF6" w:rsidRPr="00C056CD">
        <w:t>include</w:t>
      </w:r>
      <w:r w:rsidR="003725FB" w:rsidRPr="00C056CD">
        <w:t xml:space="preserve"> increased risk of social </w:t>
      </w:r>
      <w:r w:rsidR="00915E4D" w:rsidRPr="00C056CD">
        <w:t>isolation</w:t>
      </w:r>
      <w:r w:rsidR="003725FB" w:rsidRPr="00C056CD">
        <w:t xml:space="preserve">, as well as declining </w:t>
      </w:r>
      <w:r w:rsidR="00AB1D3C" w:rsidRPr="00C056CD">
        <w:t>mobility</w:t>
      </w:r>
      <w:r w:rsidR="003725FB" w:rsidRPr="00C056CD">
        <w:t xml:space="preserve"> and health</w:t>
      </w:r>
      <w:r w:rsidR="00AB1D3C" w:rsidRPr="00C056CD">
        <w:t>.</w:t>
      </w:r>
      <w:r w:rsidR="00AB1D3C" w:rsidRPr="00C056CD">
        <w:rPr>
          <w:vertAlign w:val="superscript"/>
        </w:rPr>
        <w:t>7-10</w:t>
      </w:r>
      <w:r w:rsidR="003725FB" w:rsidRPr="00C056CD">
        <w:t xml:space="preserve"> </w:t>
      </w:r>
    </w:p>
    <w:p w14:paraId="0A499911" w14:textId="5F28C944" w:rsidR="00244CF8" w:rsidRPr="00C056CD" w:rsidRDefault="008D73F2" w:rsidP="0071413B">
      <w:pPr>
        <w:spacing w:line="360" w:lineRule="auto"/>
        <w:rPr>
          <w:rFonts w:cs="Times New Roman"/>
        </w:rPr>
      </w:pPr>
      <w:r w:rsidRPr="00C056CD">
        <w:t>R</w:t>
      </w:r>
      <w:r w:rsidR="00506069" w:rsidRPr="00C056CD">
        <w:t xml:space="preserve">ural communities encounter </w:t>
      </w:r>
      <w:r w:rsidR="00C221A2" w:rsidRPr="00C056CD">
        <w:t xml:space="preserve">distinct </w:t>
      </w:r>
      <w:r w:rsidR="00506069" w:rsidRPr="00C056CD">
        <w:t xml:space="preserve">challenges in </w:t>
      </w:r>
      <w:r w:rsidR="0095086F" w:rsidRPr="00C056CD">
        <w:t>facilitating QoL</w:t>
      </w:r>
      <w:r w:rsidR="00506069" w:rsidRPr="00C056CD">
        <w:t xml:space="preserve"> for the older population</w:t>
      </w:r>
      <w:r w:rsidR="00AB1D3C" w:rsidRPr="00C056CD">
        <w:t>.</w:t>
      </w:r>
      <w:r w:rsidR="00AB1D3C" w:rsidRPr="00C056CD">
        <w:rPr>
          <w:vertAlign w:val="superscript"/>
        </w:rPr>
        <w:t>11</w:t>
      </w:r>
      <w:r w:rsidR="00506069" w:rsidRPr="00C056CD">
        <w:t xml:space="preserve"> </w:t>
      </w:r>
      <w:r w:rsidR="00EA4622" w:rsidRPr="00C056CD">
        <w:rPr>
          <w:rFonts w:cs="Times New Roman"/>
        </w:rPr>
        <w:t xml:space="preserve">For example, </w:t>
      </w:r>
      <w:r w:rsidR="00506069" w:rsidRPr="00C056CD">
        <w:rPr>
          <w:rFonts w:cs="Times New Roman"/>
        </w:rPr>
        <w:t>rural areas</w:t>
      </w:r>
      <w:r w:rsidR="00EA4622" w:rsidRPr="00C056CD">
        <w:rPr>
          <w:rFonts w:cs="Times New Roman"/>
        </w:rPr>
        <w:t xml:space="preserve"> often possess limited infrastructure</w:t>
      </w:r>
      <w:r w:rsidR="00AB1D3C" w:rsidRPr="00C056CD">
        <w:rPr>
          <w:rFonts w:cs="Times New Roman"/>
        </w:rPr>
        <w:t>.</w:t>
      </w:r>
      <w:r w:rsidR="00AB1D3C" w:rsidRPr="00C056CD">
        <w:rPr>
          <w:rFonts w:cs="Times New Roman"/>
          <w:vertAlign w:val="superscript"/>
        </w:rPr>
        <w:t>12</w:t>
      </w:r>
      <w:r w:rsidR="00EA4622" w:rsidRPr="00C056CD">
        <w:rPr>
          <w:rFonts w:cs="Times New Roman"/>
        </w:rPr>
        <w:t xml:space="preserve"> </w:t>
      </w:r>
      <w:r w:rsidR="0074321F" w:rsidRPr="00C056CD">
        <w:rPr>
          <w:rFonts w:cs="Times New Roman"/>
        </w:rPr>
        <w:t xml:space="preserve"> Residents have access to fewer</w:t>
      </w:r>
      <w:r w:rsidR="00EA4622" w:rsidRPr="00C056CD">
        <w:rPr>
          <w:rFonts w:cs="Times New Roman"/>
        </w:rPr>
        <w:t xml:space="preserve"> transportation options, opportunities for social participation, </w:t>
      </w:r>
      <w:r w:rsidR="0074321F" w:rsidRPr="00C056CD">
        <w:rPr>
          <w:rFonts w:cs="Times New Roman"/>
        </w:rPr>
        <w:t xml:space="preserve">and </w:t>
      </w:r>
      <w:r w:rsidR="00EA4622" w:rsidRPr="00C056CD">
        <w:rPr>
          <w:rFonts w:cs="Times New Roman"/>
        </w:rPr>
        <w:t>social and health services</w:t>
      </w:r>
      <w:r w:rsidR="0074321F" w:rsidRPr="00C056CD">
        <w:rPr>
          <w:rFonts w:cs="Times New Roman"/>
        </w:rPr>
        <w:t>.</w:t>
      </w:r>
      <w:r w:rsidR="00AB1D3C" w:rsidRPr="00C056CD">
        <w:rPr>
          <w:rFonts w:cs="Times New Roman"/>
          <w:vertAlign w:val="superscript"/>
        </w:rPr>
        <w:t>13-15</w:t>
      </w:r>
      <w:r w:rsidR="0074321F" w:rsidRPr="00C056CD">
        <w:rPr>
          <w:rFonts w:cs="Times New Roman"/>
        </w:rPr>
        <w:t xml:space="preserve"> </w:t>
      </w:r>
      <w:r w:rsidR="00E30BF6" w:rsidRPr="00C056CD">
        <w:rPr>
          <w:rFonts w:cs="Times New Roman"/>
        </w:rPr>
        <w:t>Health</w:t>
      </w:r>
      <w:r w:rsidR="0074321F" w:rsidRPr="00C056CD">
        <w:rPr>
          <w:rFonts w:cs="Times New Roman"/>
        </w:rPr>
        <w:t xml:space="preserve"> providers experience </w:t>
      </w:r>
      <w:r w:rsidR="00EA4622" w:rsidRPr="00C056CD">
        <w:rPr>
          <w:rFonts w:cs="Times New Roman"/>
        </w:rPr>
        <w:t xml:space="preserve">difficulty retaining </w:t>
      </w:r>
      <w:r w:rsidR="00E30BF6" w:rsidRPr="00C056CD">
        <w:rPr>
          <w:rFonts w:cs="Times New Roman"/>
        </w:rPr>
        <w:t>staff</w:t>
      </w:r>
      <w:r w:rsidR="00AB1D3C" w:rsidRPr="00C056CD">
        <w:rPr>
          <w:rFonts w:cs="Times New Roman"/>
        </w:rPr>
        <w:t>.</w:t>
      </w:r>
      <w:r w:rsidR="00AB1D3C" w:rsidRPr="00C056CD">
        <w:rPr>
          <w:rFonts w:cs="Times New Roman"/>
          <w:vertAlign w:val="superscript"/>
        </w:rPr>
        <w:t>16</w:t>
      </w:r>
      <w:r w:rsidR="00EA4622" w:rsidRPr="00C056CD">
        <w:rPr>
          <w:rFonts w:cs="Times New Roman"/>
        </w:rPr>
        <w:t xml:space="preserve"> </w:t>
      </w:r>
      <w:r w:rsidR="00DC20A0" w:rsidRPr="00C056CD">
        <w:rPr>
          <w:rFonts w:cs="Times New Roman"/>
        </w:rPr>
        <w:t>Conversely</w:t>
      </w:r>
      <w:r w:rsidR="00EA4622" w:rsidRPr="00C056CD">
        <w:rPr>
          <w:rFonts w:cs="Times New Roman"/>
        </w:rPr>
        <w:t xml:space="preserve">, </w:t>
      </w:r>
      <w:r w:rsidR="00EA5B8F" w:rsidRPr="00C056CD">
        <w:rPr>
          <w:rFonts w:cs="Times New Roman"/>
        </w:rPr>
        <w:t xml:space="preserve">Australian </w:t>
      </w:r>
      <w:r w:rsidR="00DC20A0" w:rsidRPr="00C056CD">
        <w:rPr>
          <w:rFonts w:cs="Times New Roman"/>
        </w:rPr>
        <w:t xml:space="preserve">rural communities </w:t>
      </w:r>
      <w:r w:rsidR="00E30BF6" w:rsidRPr="00C056CD">
        <w:rPr>
          <w:rFonts w:cs="Times New Roman"/>
        </w:rPr>
        <w:t>offer</w:t>
      </w:r>
      <w:r w:rsidR="00322B0D" w:rsidRPr="00C056CD">
        <w:rPr>
          <w:rFonts w:cs="Times New Roman"/>
        </w:rPr>
        <w:t xml:space="preserve"> several</w:t>
      </w:r>
      <w:r w:rsidR="00DC20A0" w:rsidRPr="00C056CD">
        <w:rPr>
          <w:rFonts w:cs="Times New Roman"/>
        </w:rPr>
        <w:t xml:space="preserve"> advantages</w:t>
      </w:r>
      <w:r w:rsidR="00EA4622" w:rsidRPr="00C056CD">
        <w:rPr>
          <w:rFonts w:cs="Times New Roman"/>
        </w:rPr>
        <w:t xml:space="preserve"> </w:t>
      </w:r>
      <w:r w:rsidR="00DC20A0" w:rsidRPr="00C056CD">
        <w:rPr>
          <w:rFonts w:cs="Times New Roman"/>
        </w:rPr>
        <w:t>for older people</w:t>
      </w:r>
      <w:r w:rsidR="00EA4622" w:rsidRPr="00C056CD">
        <w:rPr>
          <w:rFonts w:cs="Times New Roman"/>
        </w:rPr>
        <w:t xml:space="preserve">, including </w:t>
      </w:r>
      <w:r w:rsidR="00AB1D3C" w:rsidRPr="00C056CD">
        <w:rPr>
          <w:rFonts w:cs="Times New Roman"/>
        </w:rPr>
        <w:t>high</w:t>
      </w:r>
      <w:r w:rsidR="00EA4622" w:rsidRPr="00C056CD">
        <w:rPr>
          <w:rFonts w:cs="Times New Roman"/>
        </w:rPr>
        <w:t xml:space="preserve"> levels of volunt</w:t>
      </w:r>
      <w:r w:rsidR="002D692F" w:rsidRPr="00C056CD">
        <w:rPr>
          <w:rFonts w:cs="Times New Roman"/>
        </w:rPr>
        <w:t>arism</w:t>
      </w:r>
      <w:r w:rsidR="0042569D" w:rsidRPr="00C056CD">
        <w:rPr>
          <w:rFonts w:cs="Times New Roman"/>
          <w:noProof/>
        </w:rPr>
        <w:t xml:space="preserve"> </w:t>
      </w:r>
      <w:r w:rsidR="00EA4622" w:rsidRPr="00C056CD">
        <w:rPr>
          <w:rFonts w:cs="Times New Roman"/>
        </w:rPr>
        <w:t>and social capital.</w:t>
      </w:r>
      <w:r w:rsidR="00AB1D3C" w:rsidRPr="00C056CD">
        <w:rPr>
          <w:rFonts w:cs="Times New Roman"/>
          <w:vertAlign w:val="superscript"/>
        </w:rPr>
        <w:t>17-18</w:t>
      </w:r>
      <w:r w:rsidRPr="00C056CD">
        <w:rPr>
          <w:rFonts w:cs="Times New Roman"/>
        </w:rPr>
        <w:t xml:space="preserve"> </w:t>
      </w:r>
    </w:p>
    <w:p w14:paraId="4481D8C6" w14:textId="4D26A21F" w:rsidR="00803E1B" w:rsidRPr="00C056CD" w:rsidRDefault="00C970AC" w:rsidP="0071413B">
      <w:pPr>
        <w:spacing w:line="360" w:lineRule="auto"/>
        <w:rPr>
          <w:rFonts w:cs="Times New Roman"/>
        </w:rPr>
      </w:pPr>
      <w:r w:rsidRPr="00C056CD">
        <w:rPr>
          <w:rFonts w:cs="Times New Roman"/>
        </w:rPr>
        <w:t>R</w:t>
      </w:r>
      <w:r w:rsidR="00244CF8" w:rsidRPr="00C056CD">
        <w:rPr>
          <w:rFonts w:cs="Times New Roman"/>
        </w:rPr>
        <w:t xml:space="preserve">esearch </w:t>
      </w:r>
      <w:r w:rsidR="00AB1D3C" w:rsidRPr="00C056CD">
        <w:rPr>
          <w:rFonts w:cs="Times New Roman"/>
        </w:rPr>
        <w:t>comparing</w:t>
      </w:r>
      <w:r w:rsidR="00244CF8" w:rsidRPr="00C056CD">
        <w:rPr>
          <w:rFonts w:cs="Times New Roman"/>
        </w:rPr>
        <w:t xml:space="preserve"> older people</w:t>
      </w:r>
      <w:r w:rsidR="00F153F6" w:rsidRPr="00C056CD">
        <w:rPr>
          <w:rFonts w:cs="Times New Roman"/>
        </w:rPr>
        <w:t>’s</w:t>
      </w:r>
      <w:r w:rsidR="00244CF8" w:rsidRPr="00C056CD">
        <w:rPr>
          <w:rFonts w:cs="Times New Roman"/>
        </w:rPr>
        <w:t xml:space="preserve"> QoL in</w:t>
      </w:r>
      <w:r w:rsidR="00AB1D3C" w:rsidRPr="00C056CD">
        <w:rPr>
          <w:rFonts w:cs="Times New Roman"/>
        </w:rPr>
        <w:t xml:space="preserve"> urban and</w:t>
      </w:r>
      <w:r w:rsidR="00244CF8" w:rsidRPr="00C056CD">
        <w:rPr>
          <w:rFonts w:cs="Times New Roman"/>
        </w:rPr>
        <w:t xml:space="preserve"> rural areas </w:t>
      </w:r>
      <w:r w:rsidR="00AB1D3C" w:rsidRPr="00C056CD">
        <w:rPr>
          <w:rFonts w:cs="Times New Roman"/>
        </w:rPr>
        <w:t xml:space="preserve">has </w:t>
      </w:r>
      <w:r w:rsidRPr="00C056CD">
        <w:rPr>
          <w:rFonts w:cs="Times New Roman"/>
        </w:rPr>
        <w:t>reported</w:t>
      </w:r>
      <w:r w:rsidR="00AB1D3C" w:rsidRPr="00C056CD">
        <w:rPr>
          <w:rFonts w:cs="Times New Roman"/>
        </w:rPr>
        <w:t xml:space="preserve"> mixed findings</w:t>
      </w:r>
      <w:r w:rsidR="00244CF8" w:rsidRPr="00C056CD">
        <w:rPr>
          <w:rFonts w:cs="Times New Roman"/>
        </w:rPr>
        <w:t xml:space="preserve">. </w:t>
      </w:r>
      <w:r w:rsidR="00F07C12" w:rsidRPr="00C056CD">
        <w:rPr>
          <w:rFonts w:cs="Times New Roman"/>
        </w:rPr>
        <w:t xml:space="preserve">One </w:t>
      </w:r>
      <w:r w:rsidR="00322B0D" w:rsidRPr="00C056CD">
        <w:rPr>
          <w:rFonts w:cs="Times New Roman"/>
        </w:rPr>
        <w:t xml:space="preserve">American </w:t>
      </w:r>
      <w:r w:rsidR="00F07C12" w:rsidRPr="00C056CD">
        <w:rPr>
          <w:rFonts w:cs="Times New Roman"/>
        </w:rPr>
        <w:t xml:space="preserve">study found </w:t>
      </w:r>
      <w:r w:rsidR="00E30BF6" w:rsidRPr="00C056CD">
        <w:rPr>
          <w:rFonts w:cs="Times New Roman"/>
        </w:rPr>
        <w:t>similar</w:t>
      </w:r>
      <w:r w:rsidR="00F07C12" w:rsidRPr="00C056CD">
        <w:rPr>
          <w:rFonts w:cs="Times New Roman"/>
        </w:rPr>
        <w:t xml:space="preserve"> QoL between rural and urban older adults</w:t>
      </w:r>
      <w:r w:rsidR="00E30BF6" w:rsidRPr="00C056CD">
        <w:rPr>
          <w:rFonts w:cs="Times New Roman"/>
        </w:rPr>
        <w:t>.</w:t>
      </w:r>
      <w:r w:rsidR="00AB1D3C" w:rsidRPr="00C056CD">
        <w:rPr>
          <w:rFonts w:cs="Times New Roman"/>
          <w:vertAlign w:val="superscript"/>
        </w:rPr>
        <w:t>19</w:t>
      </w:r>
      <w:r w:rsidR="00803E1B" w:rsidRPr="00C056CD">
        <w:rPr>
          <w:rFonts w:cs="Times New Roman"/>
        </w:rPr>
        <w:t xml:space="preserve"> </w:t>
      </w:r>
      <w:r w:rsidR="00E30BF6" w:rsidRPr="00C056CD">
        <w:rPr>
          <w:rFonts w:cs="Times New Roman"/>
        </w:rPr>
        <w:t>W</w:t>
      </w:r>
      <w:r w:rsidR="00322B0D" w:rsidRPr="00C056CD">
        <w:rPr>
          <w:rFonts w:cs="Times New Roman"/>
        </w:rPr>
        <w:t xml:space="preserve">hile a </w:t>
      </w:r>
      <w:r w:rsidR="00EA5B8F" w:rsidRPr="00C056CD">
        <w:rPr>
          <w:rFonts w:cs="Times New Roman"/>
        </w:rPr>
        <w:t>P</w:t>
      </w:r>
      <w:r w:rsidR="00803E1B" w:rsidRPr="00C056CD">
        <w:rPr>
          <w:rFonts w:cs="Times New Roman"/>
        </w:rPr>
        <w:t xml:space="preserve">olish study demonstrated </w:t>
      </w:r>
      <w:r w:rsidR="00883443" w:rsidRPr="00C056CD">
        <w:rPr>
          <w:rFonts w:cs="Times New Roman"/>
        </w:rPr>
        <w:t xml:space="preserve">higher health-related QoL </w:t>
      </w:r>
      <w:r w:rsidR="00322B0D" w:rsidRPr="00C056CD">
        <w:rPr>
          <w:rFonts w:cs="Times New Roman"/>
        </w:rPr>
        <w:t xml:space="preserve">in rural adults </w:t>
      </w:r>
      <w:r w:rsidR="00883443" w:rsidRPr="00C056CD">
        <w:rPr>
          <w:rFonts w:cs="Times New Roman"/>
        </w:rPr>
        <w:t>than their urban counterparts</w:t>
      </w:r>
      <w:r w:rsidR="00AB1D3C" w:rsidRPr="00C056CD">
        <w:rPr>
          <w:rFonts w:cs="Times New Roman"/>
        </w:rPr>
        <w:t>,</w:t>
      </w:r>
      <w:r w:rsidR="00AB1D3C" w:rsidRPr="00C056CD">
        <w:rPr>
          <w:rFonts w:cs="Times New Roman"/>
          <w:vertAlign w:val="superscript"/>
        </w:rPr>
        <w:t>20</w:t>
      </w:r>
      <w:r w:rsidR="00E30BF6" w:rsidRPr="00C056CD">
        <w:rPr>
          <w:rFonts w:cs="Times New Roman"/>
        </w:rPr>
        <w:t xml:space="preserve"> </w:t>
      </w:r>
      <w:r w:rsidR="00322B0D" w:rsidRPr="00C056CD">
        <w:rPr>
          <w:rFonts w:cs="Times New Roman"/>
        </w:rPr>
        <w:t xml:space="preserve">a Chinese study found </w:t>
      </w:r>
      <w:r w:rsidRPr="00C056CD">
        <w:rPr>
          <w:rFonts w:cs="Times New Roman"/>
        </w:rPr>
        <w:t>the reverse</w:t>
      </w:r>
      <w:r w:rsidR="008E4D34" w:rsidRPr="00C056CD">
        <w:rPr>
          <w:rFonts w:cs="Times New Roman"/>
        </w:rPr>
        <w:t>.</w:t>
      </w:r>
      <w:r w:rsidR="00AB1D3C" w:rsidRPr="00C056CD">
        <w:rPr>
          <w:rFonts w:cs="Times New Roman"/>
          <w:vertAlign w:val="superscript"/>
        </w:rPr>
        <w:t>21</w:t>
      </w:r>
      <w:r w:rsidR="008E4D34" w:rsidRPr="00C056CD">
        <w:rPr>
          <w:rFonts w:cs="Times New Roman"/>
        </w:rPr>
        <w:t xml:space="preserve"> </w:t>
      </w:r>
      <w:r w:rsidR="00803E1B" w:rsidRPr="00C056CD">
        <w:rPr>
          <w:rFonts w:cs="Times New Roman"/>
        </w:rPr>
        <w:t xml:space="preserve">There is a dearth of </w:t>
      </w:r>
      <w:r w:rsidR="00194695" w:rsidRPr="00C056CD">
        <w:rPr>
          <w:rFonts w:cs="Times New Roman"/>
        </w:rPr>
        <w:t>research comparing the QoL of older people in urban and rural areas</w:t>
      </w:r>
      <w:r w:rsidR="00803E1B" w:rsidRPr="00C056CD">
        <w:rPr>
          <w:rFonts w:cs="Times New Roman"/>
        </w:rPr>
        <w:t xml:space="preserve"> </w:t>
      </w:r>
      <w:r w:rsidR="00322B0D" w:rsidRPr="00C056CD">
        <w:rPr>
          <w:rFonts w:cs="Times New Roman"/>
        </w:rPr>
        <w:t>in</w:t>
      </w:r>
      <w:r w:rsidR="00803E1B" w:rsidRPr="00C056CD">
        <w:rPr>
          <w:rFonts w:cs="Times New Roman"/>
        </w:rPr>
        <w:t xml:space="preserve"> Australia.</w:t>
      </w:r>
      <w:r w:rsidR="00E30BF6" w:rsidRPr="00C056CD">
        <w:rPr>
          <w:rFonts w:cs="Times New Roman"/>
        </w:rPr>
        <w:t xml:space="preserve"> The present study aimed</w:t>
      </w:r>
      <w:r w:rsidR="0095086F" w:rsidRPr="00C056CD">
        <w:rPr>
          <w:rFonts w:cs="Times New Roman"/>
        </w:rPr>
        <w:t xml:space="preserve"> to address this gap by exploring QoL</w:t>
      </w:r>
      <w:r w:rsidR="00EC7138" w:rsidRPr="00C056CD">
        <w:rPr>
          <w:rFonts w:cs="Times New Roman"/>
        </w:rPr>
        <w:t xml:space="preserve"> and change in QoL</w:t>
      </w:r>
      <w:r w:rsidR="0095086F" w:rsidRPr="00C056CD">
        <w:rPr>
          <w:rFonts w:cs="Times New Roman"/>
        </w:rPr>
        <w:t xml:space="preserve"> of older adults in </w:t>
      </w:r>
      <w:r w:rsidR="00621C15" w:rsidRPr="00C056CD">
        <w:rPr>
          <w:rFonts w:cs="Times New Roman"/>
        </w:rPr>
        <w:t>urban</w:t>
      </w:r>
      <w:r w:rsidR="00AB53B3" w:rsidRPr="00C056CD">
        <w:rPr>
          <w:rFonts w:cs="Times New Roman"/>
        </w:rPr>
        <w:t xml:space="preserve"> and r</w:t>
      </w:r>
      <w:r w:rsidR="00621C15" w:rsidRPr="00C056CD">
        <w:rPr>
          <w:rFonts w:cs="Times New Roman"/>
        </w:rPr>
        <w:t>ural</w:t>
      </w:r>
      <w:r w:rsidR="00AB53B3" w:rsidRPr="00C056CD">
        <w:rPr>
          <w:rFonts w:cs="Times New Roman"/>
        </w:rPr>
        <w:t xml:space="preserve"> areas of </w:t>
      </w:r>
      <w:r w:rsidR="0095086F" w:rsidRPr="00C056CD">
        <w:rPr>
          <w:rFonts w:cs="Times New Roman"/>
        </w:rPr>
        <w:t>Australia</w:t>
      </w:r>
      <w:r w:rsidR="00AB53B3" w:rsidRPr="00C056CD">
        <w:rPr>
          <w:rFonts w:cs="Times New Roman"/>
        </w:rPr>
        <w:t>.</w:t>
      </w:r>
      <w:r w:rsidR="00AE04D9" w:rsidRPr="00C056CD">
        <w:rPr>
          <w:rFonts w:cs="Times New Roman"/>
        </w:rPr>
        <w:t xml:space="preserve"> </w:t>
      </w:r>
    </w:p>
    <w:p w14:paraId="4465F53A" w14:textId="77777777" w:rsidR="00AB53B3" w:rsidRPr="00C056CD" w:rsidRDefault="00AB53B3" w:rsidP="00AB53B3">
      <w:pPr>
        <w:spacing w:line="360" w:lineRule="auto"/>
        <w:rPr>
          <w:b/>
        </w:rPr>
      </w:pPr>
      <w:r w:rsidRPr="00C056CD">
        <w:rPr>
          <w:b/>
        </w:rPr>
        <w:t>Methods</w:t>
      </w:r>
    </w:p>
    <w:p w14:paraId="167D8EFC" w14:textId="77777777" w:rsidR="00AB53B3" w:rsidRPr="00C056CD" w:rsidRDefault="00AB53B3" w:rsidP="00AB53B3">
      <w:pPr>
        <w:spacing w:line="360" w:lineRule="auto"/>
        <w:rPr>
          <w:b/>
        </w:rPr>
      </w:pPr>
      <w:r w:rsidRPr="00C056CD">
        <w:rPr>
          <w:b/>
        </w:rPr>
        <w:t>Research design</w:t>
      </w:r>
    </w:p>
    <w:p w14:paraId="69E31603" w14:textId="0E54A403" w:rsidR="00AB53B3" w:rsidRPr="00C056CD" w:rsidRDefault="00AB53B3" w:rsidP="00AB53B3">
      <w:pPr>
        <w:spacing w:line="360" w:lineRule="auto"/>
      </w:pPr>
      <w:r w:rsidRPr="00C056CD">
        <w:t xml:space="preserve">The present study draws on data from a multistage project. The first wave of data was collected </w:t>
      </w:r>
      <w:r w:rsidR="00901B46" w:rsidRPr="00C056CD">
        <w:t>in 2012</w:t>
      </w:r>
      <w:r w:rsidR="00EC7138" w:rsidRPr="00C056CD">
        <w:t>-2013</w:t>
      </w:r>
      <w:r w:rsidRPr="00C056CD">
        <w:t xml:space="preserve"> and the second wave in 2014-2015.</w:t>
      </w:r>
    </w:p>
    <w:p w14:paraId="47D06155" w14:textId="77777777" w:rsidR="00AB53B3" w:rsidRPr="00C056CD" w:rsidRDefault="00AB53B3" w:rsidP="00AB53B3">
      <w:pPr>
        <w:spacing w:line="360" w:lineRule="auto"/>
        <w:rPr>
          <w:b/>
        </w:rPr>
      </w:pPr>
      <w:r w:rsidRPr="00C056CD">
        <w:rPr>
          <w:b/>
        </w:rPr>
        <w:t>Survey instruments</w:t>
      </w:r>
    </w:p>
    <w:p w14:paraId="00A456E1" w14:textId="06D566C7" w:rsidR="00901DF8" w:rsidRPr="00C056CD" w:rsidRDefault="00AB53B3" w:rsidP="00AB53B3">
      <w:pPr>
        <w:spacing w:line="360" w:lineRule="auto"/>
      </w:pPr>
      <w:r w:rsidRPr="00C056CD">
        <w:t>The key outcome was quality of life measured by the WHOQoL-OLD.</w:t>
      </w:r>
      <w:r w:rsidR="00EC7138" w:rsidRPr="00C056CD">
        <w:rPr>
          <w:vertAlign w:val="superscript"/>
        </w:rPr>
        <w:t>22</w:t>
      </w:r>
      <w:r w:rsidRPr="00C056CD">
        <w:t xml:space="preserve"> This measure comprises 24 items on </w:t>
      </w:r>
      <w:r w:rsidR="005B6DF0" w:rsidRPr="00C056CD">
        <w:t xml:space="preserve">physical, </w:t>
      </w:r>
      <w:r w:rsidRPr="00C056CD">
        <w:t>psychological</w:t>
      </w:r>
      <w:r w:rsidR="005B6DF0" w:rsidRPr="00C056CD">
        <w:t>, social, and emotional</w:t>
      </w:r>
      <w:r w:rsidRPr="00C056CD">
        <w:t xml:space="preserve"> aspects of </w:t>
      </w:r>
      <w:r w:rsidR="00C10CCB" w:rsidRPr="00C056CD">
        <w:t>QoL</w:t>
      </w:r>
      <w:r w:rsidRPr="00C056CD">
        <w:t xml:space="preserve"> relevant </w:t>
      </w:r>
      <w:r w:rsidR="00BF057D" w:rsidRPr="00C056CD">
        <w:t xml:space="preserve">to older adults. Each </w:t>
      </w:r>
      <w:r w:rsidR="00EC7138" w:rsidRPr="00C056CD">
        <w:t>item</w:t>
      </w:r>
      <w:r w:rsidRPr="00C056CD">
        <w:t xml:space="preserve"> is scored between 1 and 5 on a Likert-type scale, with higher scores indicating higher levels of </w:t>
      </w:r>
      <w:r w:rsidR="00BF057D" w:rsidRPr="00C056CD">
        <w:t>QoL</w:t>
      </w:r>
      <w:r w:rsidRPr="00C056CD">
        <w:t xml:space="preserve">. </w:t>
      </w:r>
      <w:r w:rsidR="008D61E2" w:rsidRPr="00C056CD">
        <w:t>Coefficient alpha for this scale at baseline was .87.</w:t>
      </w:r>
    </w:p>
    <w:p w14:paraId="5EFE1326" w14:textId="77777777" w:rsidR="002B7F4F" w:rsidRPr="00C056CD" w:rsidRDefault="00AB53B3" w:rsidP="00AB53B3">
      <w:pPr>
        <w:spacing w:line="360" w:lineRule="auto"/>
      </w:pPr>
      <w:r w:rsidRPr="00C056CD">
        <w:t>Functional capacity was measured using 11 items from the OARS multidimensional functional assessment of older adults</w:t>
      </w:r>
      <w:r w:rsidR="00C970AC" w:rsidRPr="00C056CD">
        <w:t>; items are</w:t>
      </w:r>
      <w:r w:rsidRPr="00C056CD">
        <w:t xml:space="preserve"> scored on a 3-point Likert-type scale, with higher scores indicating higher levels of independence.</w:t>
      </w:r>
      <w:r w:rsidR="00EC7138" w:rsidRPr="00C056CD">
        <w:rPr>
          <w:vertAlign w:val="superscript"/>
        </w:rPr>
        <w:t>23</w:t>
      </w:r>
      <w:r w:rsidRPr="00C056CD">
        <w:t xml:space="preserve"> </w:t>
      </w:r>
      <w:r w:rsidR="002B7F4F" w:rsidRPr="00C056CD">
        <w:t>Coefficient alpha for this scale at baseline was .83.</w:t>
      </w:r>
    </w:p>
    <w:p w14:paraId="0AF0741F" w14:textId="7CDABE41" w:rsidR="002B7F4F" w:rsidRPr="00C056CD" w:rsidRDefault="005B6DF0" w:rsidP="00AB53B3">
      <w:pPr>
        <w:spacing w:line="360" w:lineRule="auto"/>
      </w:pPr>
      <w:r w:rsidRPr="00C056CD">
        <w:t>Resilience was measured using 13 items</w:t>
      </w:r>
      <w:r w:rsidR="00023AAB" w:rsidRPr="00C056CD">
        <w:t xml:space="preserve"> </w:t>
      </w:r>
      <w:r w:rsidR="00550E69" w:rsidRPr="00C056CD">
        <w:t xml:space="preserve">measured </w:t>
      </w:r>
      <w:r w:rsidR="00023AAB" w:rsidRPr="00C056CD">
        <w:t>on a 7-point Likert-type scale</w:t>
      </w:r>
      <w:r w:rsidRPr="00C056CD">
        <w:t>.</w:t>
      </w:r>
      <w:r w:rsidR="00EC7138" w:rsidRPr="00C056CD">
        <w:rPr>
          <w:vertAlign w:val="superscript"/>
        </w:rPr>
        <w:t>24</w:t>
      </w:r>
      <w:r w:rsidRPr="00C056CD">
        <w:t xml:space="preserve"> Social participation</w:t>
      </w:r>
      <w:r w:rsidR="00D91FBC" w:rsidRPr="00C056CD">
        <w:t xml:space="preserve"> was measured using the Community Integration Measure, which </w:t>
      </w:r>
      <w:r w:rsidR="00550E69" w:rsidRPr="00C056CD">
        <w:t xml:space="preserve">comprises </w:t>
      </w:r>
      <w:r w:rsidR="00D91FBC" w:rsidRPr="00C056CD">
        <w:t>10 items assessing the individual</w:t>
      </w:r>
      <w:r w:rsidR="00620E10" w:rsidRPr="00C056CD">
        <w:t>’</w:t>
      </w:r>
      <w:r w:rsidR="00D91FBC" w:rsidRPr="00C056CD">
        <w:t>s sense of belonging in the community</w:t>
      </w:r>
      <w:r w:rsidR="00EC7138" w:rsidRPr="00C056CD">
        <w:t>,</w:t>
      </w:r>
      <w:r w:rsidR="00D91FBC" w:rsidRPr="00C056CD">
        <w:t xml:space="preserve"> measured on a 5-point Likert-type scale</w:t>
      </w:r>
      <w:r w:rsidRPr="00C056CD">
        <w:t>.</w:t>
      </w:r>
      <w:r w:rsidR="00EC7138" w:rsidRPr="00C056CD">
        <w:rPr>
          <w:vertAlign w:val="superscript"/>
        </w:rPr>
        <w:t>25</w:t>
      </w:r>
      <w:r w:rsidRPr="00C056CD">
        <w:t xml:space="preserve"> </w:t>
      </w:r>
      <w:r w:rsidR="002B7F4F" w:rsidRPr="00C056CD">
        <w:t xml:space="preserve">Coefficient alpha for this scale at baseline was .91. </w:t>
      </w:r>
    </w:p>
    <w:p w14:paraId="000A9A6C" w14:textId="5431860D" w:rsidR="00901DF8" w:rsidRPr="00C056CD" w:rsidRDefault="00AB53B3" w:rsidP="00AB53B3">
      <w:pPr>
        <w:spacing w:line="360" w:lineRule="auto"/>
      </w:pPr>
      <w:r w:rsidRPr="00C056CD">
        <w:t>Self-rated health was measured using a single 5-point item asking participants, with higher scores indicating better perceived health. Financial adequacy was measured by a single 3-point item asking whether</w:t>
      </w:r>
      <w:r w:rsidR="00620E10" w:rsidRPr="00C056CD">
        <w:t xml:space="preserve"> the</w:t>
      </w:r>
      <w:r w:rsidRPr="00C056CD">
        <w:t xml:space="preserve"> participants </w:t>
      </w:r>
      <w:r w:rsidR="00C970AC" w:rsidRPr="00C056CD">
        <w:t>were</w:t>
      </w:r>
      <w:r w:rsidRPr="00C056CD">
        <w:t xml:space="preserve"> “comfortable”, </w:t>
      </w:r>
      <w:r w:rsidR="00C970AC" w:rsidRPr="00C056CD">
        <w:t xml:space="preserve">had </w:t>
      </w:r>
      <w:r w:rsidRPr="00C056CD">
        <w:t>“enough to get along”, or</w:t>
      </w:r>
      <w:r w:rsidR="00C970AC" w:rsidRPr="00C056CD">
        <w:t xml:space="preserve"> were</w:t>
      </w:r>
      <w:r w:rsidRPr="00C056CD">
        <w:t xml:space="preserve"> “unable to make ends meet”.</w:t>
      </w:r>
      <w:r w:rsidR="00D91FBC" w:rsidRPr="00C056CD">
        <w:t xml:space="preserve"> Education level</w:t>
      </w:r>
      <w:r w:rsidR="009337CA" w:rsidRPr="00C056CD">
        <w:t xml:space="preserve"> was </w:t>
      </w:r>
      <w:r w:rsidR="00EC7138" w:rsidRPr="00C056CD">
        <w:t>coded</w:t>
      </w:r>
      <w:r w:rsidR="009337CA" w:rsidRPr="00C056CD">
        <w:t xml:space="preserve"> </w:t>
      </w:r>
      <w:r w:rsidR="00114F9C" w:rsidRPr="00C056CD">
        <w:t xml:space="preserve">as either having completed formal education since </w:t>
      </w:r>
      <w:r w:rsidR="009337CA" w:rsidRPr="00C056CD">
        <w:t>high school</w:t>
      </w:r>
      <w:r w:rsidR="00114F9C" w:rsidRPr="00C056CD">
        <w:t xml:space="preserve"> or not</w:t>
      </w:r>
      <w:r w:rsidR="00D91FBC" w:rsidRPr="00C056CD">
        <w:t xml:space="preserve">. </w:t>
      </w:r>
      <w:r w:rsidR="00E00007" w:rsidRPr="00C056CD">
        <w:t xml:space="preserve">Living arrangement </w:t>
      </w:r>
      <w:r w:rsidR="00EC7138" w:rsidRPr="00C056CD">
        <w:t>compared</w:t>
      </w:r>
      <w:r w:rsidR="00E00007" w:rsidRPr="00C056CD">
        <w:t xml:space="preserve"> living alone </w:t>
      </w:r>
      <w:r w:rsidR="00EC7138" w:rsidRPr="00C056CD">
        <w:t>and</w:t>
      </w:r>
      <w:r w:rsidR="00E00007" w:rsidRPr="00C056CD">
        <w:t xml:space="preserve"> living with someone. </w:t>
      </w:r>
      <w:r w:rsidR="006E3F79" w:rsidRPr="00C056CD">
        <w:t>Age and gender were also recorded.</w:t>
      </w:r>
    </w:p>
    <w:p w14:paraId="2032D777" w14:textId="7E022CD1" w:rsidR="00AB53B3" w:rsidRPr="00C056CD" w:rsidRDefault="00E00007" w:rsidP="00AB53B3">
      <w:pPr>
        <w:spacing w:line="360" w:lineRule="auto"/>
      </w:pPr>
      <w:r w:rsidRPr="00C056CD">
        <w:t xml:space="preserve">Rurality was defined using the Australian Statistical Geography Standard (ASGC) </w:t>
      </w:r>
      <w:r w:rsidR="00DC6ECF" w:rsidRPr="00C056CD">
        <w:t>Remoteness Structure</w:t>
      </w:r>
      <w:r w:rsidRPr="00C056CD">
        <w:t>;</w:t>
      </w:r>
      <w:r w:rsidR="00EC7138" w:rsidRPr="00C056CD">
        <w:rPr>
          <w:vertAlign w:val="superscript"/>
        </w:rPr>
        <w:t>26</w:t>
      </w:r>
      <w:r w:rsidRPr="00C056CD">
        <w:t xml:space="preserve"> all participants living in </w:t>
      </w:r>
      <w:r w:rsidR="00905F24" w:rsidRPr="00C056CD">
        <w:t>Melbourne</w:t>
      </w:r>
      <w:r w:rsidR="006E3F79" w:rsidRPr="00C056CD">
        <w:t>, Victoria,</w:t>
      </w:r>
      <w:r w:rsidR="00C10CCB" w:rsidRPr="00C056CD">
        <w:t xml:space="preserve"> w</w:t>
      </w:r>
      <w:r w:rsidRPr="00C056CD">
        <w:t xml:space="preserve">ere grouped into the urban classification while </w:t>
      </w:r>
      <w:r w:rsidR="00905F24" w:rsidRPr="00C056CD">
        <w:t xml:space="preserve">those in </w:t>
      </w:r>
      <w:r w:rsidRPr="00C056CD">
        <w:t>regional or remote area</w:t>
      </w:r>
      <w:r w:rsidR="00C10CCB" w:rsidRPr="00C056CD">
        <w:t>s w</w:t>
      </w:r>
      <w:r w:rsidRPr="00C056CD">
        <w:t xml:space="preserve">ere grouped into the rural classification. According to the ASGC, all of Tasmania is defined as regional/remote, </w:t>
      </w:r>
      <w:r w:rsidR="00B8349A" w:rsidRPr="00C056CD">
        <w:t>so</w:t>
      </w:r>
      <w:r w:rsidRPr="00C056CD">
        <w:t xml:space="preserve"> there </w:t>
      </w:r>
      <w:r w:rsidR="00AC33B7" w:rsidRPr="00C056CD">
        <w:t>were</w:t>
      </w:r>
      <w:r w:rsidRPr="00C056CD">
        <w:t xml:space="preserve"> no urban Tasmania</w:t>
      </w:r>
      <w:r w:rsidR="00AC33B7" w:rsidRPr="00C056CD">
        <w:t>n</w:t>
      </w:r>
      <w:r w:rsidRPr="00C056CD">
        <w:t xml:space="preserve"> </w:t>
      </w:r>
      <w:r w:rsidR="00AC33B7" w:rsidRPr="00C056CD">
        <w:t>participants</w:t>
      </w:r>
      <w:r w:rsidRPr="00C056CD">
        <w:t>.</w:t>
      </w:r>
    </w:p>
    <w:p w14:paraId="7222C854" w14:textId="77777777" w:rsidR="00AB53B3" w:rsidRPr="00C056CD" w:rsidRDefault="00AB53B3" w:rsidP="00AB53B3">
      <w:pPr>
        <w:spacing w:line="360" w:lineRule="auto"/>
        <w:rPr>
          <w:b/>
        </w:rPr>
      </w:pPr>
      <w:r w:rsidRPr="00C056CD">
        <w:rPr>
          <w:b/>
        </w:rPr>
        <w:t>Procedure</w:t>
      </w:r>
    </w:p>
    <w:p w14:paraId="5A137A52" w14:textId="68A6CE47" w:rsidR="00E00007" w:rsidRPr="00C056CD" w:rsidRDefault="000B0125" w:rsidP="00535468">
      <w:pPr>
        <w:pStyle w:val="paragraph"/>
        <w:spacing w:line="360" w:lineRule="auto"/>
        <w:textAlignment w:val="baseline"/>
        <w:rPr>
          <w:rFonts w:asciiTheme="minorHAnsi" w:hAnsiTheme="minorHAnsi" w:cstheme="minorHAnsi"/>
          <w:sz w:val="22"/>
          <w:szCs w:val="22"/>
        </w:rPr>
      </w:pPr>
      <w:r w:rsidRPr="00C056CD">
        <w:rPr>
          <w:rFonts w:asciiTheme="minorHAnsi" w:hAnsiTheme="minorHAnsi" w:cstheme="minorHAnsi"/>
          <w:sz w:val="22"/>
          <w:szCs w:val="22"/>
          <w:lang w:val="en-GB"/>
        </w:rPr>
        <w:t>Recruitment w</w:t>
      </w:r>
      <w:r w:rsidR="00C970AC" w:rsidRPr="00C056CD">
        <w:rPr>
          <w:rFonts w:asciiTheme="minorHAnsi" w:hAnsiTheme="minorHAnsi" w:cstheme="minorHAnsi"/>
          <w:sz w:val="22"/>
          <w:szCs w:val="22"/>
          <w:lang w:val="en-GB"/>
        </w:rPr>
        <w:t>as a two-stage process. First, o</w:t>
      </w:r>
      <w:r w:rsidRPr="00C056CD">
        <w:rPr>
          <w:rFonts w:asciiTheme="minorHAnsi" w:hAnsiTheme="minorHAnsi" w:cstheme="minorHAnsi"/>
          <w:sz w:val="22"/>
          <w:szCs w:val="22"/>
          <w:lang w:val="en-GB"/>
        </w:rPr>
        <w:t xml:space="preserve">rganisations </w:t>
      </w:r>
      <w:r w:rsidR="00EC7138" w:rsidRPr="00C056CD">
        <w:rPr>
          <w:rFonts w:asciiTheme="minorHAnsi" w:hAnsiTheme="minorHAnsi" w:cstheme="minorHAnsi"/>
          <w:sz w:val="22"/>
          <w:szCs w:val="22"/>
          <w:lang w:val="en-GB"/>
        </w:rPr>
        <w:t>were recruited</w:t>
      </w:r>
      <w:r w:rsidRPr="00C056CD">
        <w:rPr>
          <w:rFonts w:asciiTheme="minorHAnsi" w:hAnsiTheme="minorHAnsi" w:cstheme="minorHAnsi"/>
          <w:sz w:val="22"/>
          <w:szCs w:val="22"/>
          <w:lang w:val="en-GB"/>
        </w:rPr>
        <w:t xml:space="preserve"> by approaching as many large and medium-sized aged care or housing providers as possible in </w:t>
      </w:r>
      <w:r w:rsidR="006E3F79" w:rsidRPr="00C056CD">
        <w:rPr>
          <w:rFonts w:asciiTheme="minorHAnsi" w:hAnsiTheme="minorHAnsi" w:cstheme="minorHAnsi"/>
          <w:sz w:val="22"/>
          <w:szCs w:val="22"/>
          <w:lang w:val="en-GB"/>
        </w:rPr>
        <w:t xml:space="preserve">two Australian states—Victoria </w:t>
      </w:r>
      <w:r w:rsidRPr="00C056CD">
        <w:rPr>
          <w:rFonts w:asciiTheme="minorHAnsi" w:hAnsiTheme="minorHAnsi" w:cstheme="minorHAnsi"/>
          <w:sz w:val="22"/>
          <w:szCs w:val="22"/>
          <w:lang w:val="en-GB"/>
        </w:rPr>
        <w:t>and Tasmania</w:t>
      </w:r>
      <w:r w:rsidR="006E3F79" w:rsidRPr="00C056CD">
        <w:rPr>
          <w:rFonts w:asciiTheme="minorHAnsi" w:hAnsiTheme="minorHAnsi" w:cstheme="minorHAnsi"/>
          <w:sz w:val="22"/>
          <w:szCs w:val="22"/>
          <w:lang w:val="en-GB"/>
        </w:rPr>
        <w:t xml:space="preserve">—and </w:t>
      </w:r>
      <w:r w:rsidRPr="00C056CD">
        <w:rPr>
          <w:rFonts w:asciiTheme="minorHAnsi" w:hAnsiTheme="minorHAnsi" w:cstheme="minorHAnsi"/>
          <w:sz w:val="22"/>
          <w:szCs w:val="22"/>
          <w:lang w:val="en-GB"/>
        </w:rPr>
        <w:t xml:space="preserve">inviting them to assist with the study. </w:t>
      </w:r>
      <w:r w:rsidR="008D61E2" w:rsidRPr="00C056CD">
        <w:rPr>
          <w:rFonts w:asciiTheme="minorHAnsi" w:hAnsiTheme="minorHAnsi" w:cstheme="minorHAnsi"/>
          <w:sz w:val="22"/>
          <w:szCs w:val="22"/>
        </w:rPr>
        <w:t xml:space="preserve">The study was initiated in services </w:t>
      </w:r>
      <w:r w:rsidR="002C4C0C" w:rsidRPr="00C056CD">
        <w:rPr>
          <w:rFonts w:asciiTheme="minorHAnsi" w:hAnsiTheme="minorHAnsi" w:cstheme="minorHAnsi"/>
          <w:sz w:val="22"/>
          <w:szCs w:val="22"/>
        </w:rPr>
        <w:t>managed</w:t>
      </w:r>
      <w:r w:rsidR="008D61E2" w:rsidRPr="00C056CD">
        <w:rPr>
          <w:rFonts w:asciiTheme="minorHAnsi" w:hAnsiTheme="minorHAnsi" w:cstheme="minorHAnsi"/>
          <w:sz w:val="22"/>
          <w:szCs w:val="22"/>
        </w:rPr>
        <w:t xml:space="preserve"> by Uniting AgeWell</w:t>
      </w:r>
      <w:r w:rsidR="002C4C0C" w:rsidRPr="00C056CD">
        <w:rPr>
          <w:rFonts w:asciiTheme="minorHAnsi" w:hAnsiTheme="minorHAnsi" w:cstheme="minorHAnsi"/>
          <w:sz w:val="22"/>
          <w:szCs w:val="22"/>
        </w:rPr>
        <w:t xml:space="preserve">, which provides aged care and housing </w:t>
      </w:r>
      <w:r w:rsidR="008D61E2" w:rsidRPr="00C056CD">
        <w:rPr>
          <w:rFonts w:asciiTheme="minorHAnsi" w:hAnsiTheme="minorHAnsi" w:cstheme="minorHAnsi"/>
          <w:sz w:val="22"/>
          <w:szCs w:val="22"/>
        </w:rPr>
        <w:t xml:space="preserve">in Victoria and Tasmania, but other services operating in these two states were </w:t>
      </w:r>
      <w:r w:rsidR="00A46346" w:rsidRPr="00C056CD">
        <w:rPr>
          <w:rFonts w:asciiTheme="minorHAnsi" w:hAnsiTheme="minorHAnsi" w:cstheme="minorHAnsi"/>
          <w:sz w:val="22"/>
          <w:szCs w:val="22"/>
        </w:rPr>
        <w:t>also recruited</w:t>
      </w:r>
      <w:r w:rsidR="008D61E2" w:rsidRPr="00C056CD">
        <w:rPr>
          <w:rFonts w:asciiTheme="minorHAnsi" w:hAnsiTheme="minorHAnsi" w:cstheme="minorHAnsi"/>
          <w:sz w:val="22"/>
          <w:szCs w:val="22"/>
        </w:rPr>
        <w:t xml:space="preserve">. </w:t>
      </w:r>
      <w:r w:rsidR="00EA3B10" w:rsidRPr="00C056CD">
        <w:rPr>
          <w:rFonts w:asciiTheme="minorHAnsi" w:hAnsiTheme="minorHAnsi" w:cstheme="minorHAnsi"/>
          <w:sz w:val="22"/>
          <w:szCs w:val="22"/>
          <w:lang w:val="en-GB"/>
        </w:rPr>
        <w:t>Organ</w:t>
      </w:r>
      <w:r w:rsidR="00112523" w:rsidRPr="00C056CD">
        <w:rPr>
          <w:rFonts w:asciiTheme="minorHAnsi" w:hAnsiTheme="minorHAnsi" w:cstheme="minorHAnsi"/>
          <w:sz w:val="22"/>
          <w:szCs w:val="22"/>
          <w:lang w:val="en-GB"/>
        </w:rPr>
        <w:t>i</w:t>
      </w:r>
      <w:r w:rsidR="00EA3B10" w:rsidRPr="00C056CD">
        <w:rPr>
          <w:rFonts w:asciiTheme="minorHAnsi" w:hAnsiTheme="minorHAnsi" w:cstheme="minorHAnsi"/>
          <w:sz w:val="22"/>
          <w:szCs w:val="22"/>
          <w:lang w:val="en-GB"/>
        </w:rPr>
        <w:t>sations</w:t>
      </w:r>
      <w:r w:rsidRPr="00C056CD">
        <w:rPr>
          <w:rFonts w:asciiTheme="minorHAnsi" w:hAnsiTheme="minorHAnsi" w:cstheme="minorHAnsi"/>
          <w:sz w:val="22"/>
          <w:szCs w:val="22"/>
          <w:lang w:val="en-GB"/>
        </w:rPr>
        <w:t xml:space="preserve"> were a mix of not-for</w:t>
      </w:r>
      <w:r w:rsidR="00F42DAF" w:rsidRPr="00C056CD">
        <w:rPr>
          <w:rFonts w:asciiTheme="minorHAnsi" w:hAnsiTheme="minorHAnsi" w:cstheme="minorHAnsi"/>
          <w:sz w:val="22"/>
          <w:szCs w:val="22"/>
          <w:lang w:val="en-GB"/>
        </w:rPr>
        <w:t>-</w:t>
      </w:r>
      <w:r w:rsidRPr="00C056CD">
        <w:rPr>
          <w:rFonts w:asciiTheme="minorHAnsi" w:hAnsiTheme="minorHAnsi" w:cstheme="minorHAnsi"/>
          <w:sz w:val="22"/>
          <w:szCs w:val="22"/>
          <w:lang w:val="en-GB"/>
        </w:rPr>
        <w:t xml:space="preserve">profit (n = 7) and for-profit (n = 4) and were providing housing and/or care. Procedures for recruiting within organisations varied and included distributing letters of invitation and attending community meetings. Participants </w:t>
      </w:r>
      <w:r w:rsidR="00C970AC" w:rsidRPr="00C056CD">
        <w:rPr>
          <w:rFonts w:asciiTheme="minorHAnsi" w:hAnsiTheme="minorHAnsi" w:cstheme="minorHAnsi"/>
          <w:sz w:val="22"/>
          <w:szCs w:val="22"/>
          <w:lang w:val="en-GB"/>
        </w:rPr>
        <w:t xml:space="preserve">(N = 424) </w:t>
      </w:r>
      <w:r w:rsidRPr="00C056CD">
        <w:rPr>
          <w:rFonts w:asciiTheme="minorHAnsi" w:hAnsiTheme="minorHAnsi" w:cstheme="minorHAnsi"/>
          <w:sz w:val="22"/>
          <w:szCs w:val="22"/>
          <w:lang w:val="en-GB"/>
        </w:rPr>
        <w:t>were</w:t>
      </w:r>
      <w:r w:rsidR="00C970AC" w:rsidRPr="00C056CD">
        <w:rPr>
          <w:rFonts w:asciiTheme="minorHAnsi" w:hAnsiTheme="minorHAnsi" w:cstheme="minorHAnsi"/>
          <w:sz w:val="22"/>
          <w:szCs w:val="22"/>
          <w:lang w:val="en-GB"/>
        </w:rPr>
        <w:t>:</w:t>
      </w:r>
      <w:r w:rsidRPr="00C056CD">
        <w:rPr>
          <w:rFonts w:asciiTheme="minorHAnsi" w:hAnsiTheme="minorHAnsi" w:cstheme="minorHAnsi"/>
          <w:sz w:val="22"/>
          <w:szCs w:val="22"/>
          <w:lang w:val="en-GB"/>
        </w:rPr>
        <w:t xml:space="preserve"> living in a range</w:t>
      </w:r>
      <w:r w:rsidR="00C970AC" w:rsidRPr="00C056CD">
        <w:rPr>
          <w:rFonts w:asciiTheme="minorHAnsi" w:hAnsiTheme="minorHAnsi" w:cstheme="minorHAnsi"/>
          <w:sz w:val="22"/>
          <w:szCs w:val="22"/>
          <w:lang w:val="en-GB"/>
        </w:rPr>
        <w:t xml:space="preserve"> of retirement housing settings;</w:t>
      </w:r>
      <w:r w:rsidRPr="00C056CD">
        <w:rPr>
          <w:rFonts w:asciiTheme="minorHAnsi" w:hAnsiTheme="minorHAnsi" w:cstheme="minorHAnsi"/>
          <w:sz w:val="22"/>
          <w:szCs w:val="22"/>
          <w:lang w:val="en-GB"/>
        </w:rPr>
        <w:t xml:space="preserve"> at home and receiving c</w:t>
      </w:r>
      <w:r w:rsidR="00AC33B7" w:rsidRPr="00C056CD">
        <w:rPr>
          <w:rFonts w:asciiTheme="minorHAnsi" w:hAnsiTheme="minorHAnsi" w:cstheme="minorHAnsi"/>
          <w:sz w:val="22"/>
          <w:szCs w:val="22"/>
          <w:lang w:val="en-GB"/>
        </w:rPr>
        <w:t>ommunity care services</w:t>
      </w:r>
      <w:r w:rsidR="00C970AC" w:rsidRPr="00C056CD">
        <w:rPr>
          <w:rFonts w:asciiTheme="minorHAnsi" w:hAnsiTheme="minorHAnsi" w:cstheme="minorHAnsi"/>
          <w:sz w:val="22"/>
          <w:szCs w:val="22"/>
          <w:lang w:val="en-GB"/>
        </w:rPr>
        <w:t>;</w:t>
      </w:r>
      <w:r w:rsidR="00AC33B7" w:rsidRPr="00C056CD">
        <w:rPr>
          <w:rFonts w:asciiTheme="minorHAnsi" w:hAnsiTheme="minorHAnsi" w:cstheme="minorHAnsi"/>
          <w:sz w:val="22"/>
          <w:szCs w:val="22"/>
          <w:lang w:val="en-GB"/>
        </w:rPr>
        <w:t xml:space="preserve"> or in </w:t>
      </w:r>
      <w:r w:rsidRPr="00C056CD">
        <w:rPr>
          <w:rFonts w:asciiTheme="minorHAnsi" w:hAnsiTheme="minorHAnsi" w:cstheme="minorHAnsi"/>
          <w:sz w:val="22"/>
          <w:szCs w:val="22"/>
          <w:lang w:val="en-GB"/>
        </w:rPr>
        <w:t xml:space="preserve">residential </w:t>
      </w:r>
      <w:r w:rsidR="00AC33B7" w:rsidRPr="00C056CD">
        <w:rPr>
          <w:rFonts w:asciiTheme="minorHAnsi" w:hAnsiTheme="minorHAnsi" w:cstheme="minorHAnsi"/>
          <w:sz w:val="22"/>
          <w:szCs w:val="22"/>
          <w:lang w:val="en-GB"/>
        </w:rPr>
        <w:t>care</w:t>
      </w:r>
      <w:r w:rsidRPr="00C056CD">
        <w:rPr>
          <w:rFonts w:asciiTheme="minorHAnsi" w:hAnsiTheme="minorHAnsi" w:cstheme="minorHAnsi"/>
          <w:sz w:val="22"/>
          <w:szCs w:val="22"/>
          <w:lang w:val="en-GB"/>
        </w:rPr>
        <w:t xml:space="preserve">. </w:t>
      </w:r>
      <w:r w:rsidR="00C970AC" w:rsidRPr="00C056CD">
        <w:rPr>
          <w:rStyle w:val="normaltextrun"/>
          <w:rFonts w:asciiTheme="minorHAnsi" w:hAnsiTheme="minorHAnsi" w:cstheme="minorHAnsi"/>
          <w:color w:val="000000"/>
          <w:sz w:val="22"/>
          <w:szCs w:val="22"/>
          <w:lang w:val="en-GB"/>
        </w:rPr>
        <w:t>Participants</w:t>
      </w:r>
      <w:r w:rsidRPr="00C056CD">
        <w:rPr>
          <w:rStyle w:val="normaltextrun"/>
          <w:rFonts w:asciiTheme="minorHAnsi" w:hAnsiTheme="minorHAnsi" w:cstheme="minorHAnsi"/>
          <w:color w:val="000000"/>
          <w:sz w:val="22"/>
          <w:szCs w:val="22"/>
          <w:lang w:val="en-GB"/>
        </w:rPr>
        <w:t xml:space="preserve"> could participate if they were: aged 55 years old or over; receiving housing and/or care from the organisations involved; able to understand and speak English; and physically and cognitively able to respond to questionnaires.</w:t>
      </w:r>
      <w:r w:rsidR="00E00007" w:rsidRPr="00C056CD">
        <w:rPr>
          <w:rStyle w:val="normaltextrun"/>
          <w:rFonts w:asciiTheme="minorHAnsi" w:hAnsiTheme="minorHAnsi" w:cstheme="minorHAnsi"/>
          <w:color w:val="000000"/>
          <w:sz w:val="22"/>
          <w:szCs w:val="22"/>
          <w:lang w:val="en-GB"/>
        </w:rPr>
        <w:t xml:space="preserve"> </w:t>
      </w:r>
      <w:r w:rsidR="00AC33B7" w:rsidRPr="00C056CD">
        <w:rPr>
          <w:rStyle w:val="normaltextrun"/>
          <w:rFonts w:asciiTheme="minorHAnsi" w:hAnsiTheme="minorHAnsi" w:cstheme="minorHAnsi"/>
          <w:color w:val="000000"/>
          <w:sz w:val="22"/>
          <w:szCs w:val="22"/>
          <w:lang w:val="en-GB"/>
        </w:rPr>
        <w:t>S</w:t>
      </w:r>
      <w:r w:rsidR="00AB53B3" w:rsidRPr="00C056CD">
        <w:rPr>
          <w:rFonts w:asciiTheme="minorHAnsi" w:hAnsiTheme="minorHAnsi" w:cstheme="minorHAnsi"/>
          <w:sz w:val="22"/>
          <w:szCs w:val="22"/>
        </w:rPr>
        <w:t>urvey</w:t>
      </w:r>
      <w:r w:rsidR="00AC33B7" w:rsidRPr="00C056CD">
        <w:rPr>
          <w:rFonts w:asciiTheme="minorHAnsi" w:hAnsiTheme="minorHAnsi" w:cstheme="minorHAnsi"/>
          <w:sz w:val="22"/>
          <w:szCs w:val="22"/>
        </w:rPr>
        <w:t>s</w:t>
      </w:r>
      <w:r w:rsidR="00AB53B3" w:rsidRPr="00C056CD">
        <w:rPr>
          <w:rFonts w:asciiTheme="minorHAnsi" w:hAnsiTheme="minorHAnsi" w:cstheme="minorHAnsi"/>
          <w:sz w:val="22"/>
          <w:szCs w:val="22"/>
        </w:rPr>
        <w:t xml:space="preserve"> </w:t>
      </w:r>
      <w:r w:rsidR="00AC33B7" w:rsidRPr="00C056CD">
        <w:rPr>
          <w:rFonts w:asciiTheme="minorHAnsi" w:hAnsiTheme="minorHAnsi" w:cstheme="minorHAnsi"/>
          <w:sz w:val="22"/>
          <w:szCs w:val="22"/>
        </w:rPr>
        <w:t>were</w:t>
      </w:r>
      <w:r w:rsidR="00AB53B3" w:rsidRPr="00C056CD">
        <w:rPr>
          <w:rFonts w:asciiTheme="minorHAnsi" w:hAnsiTheme="minorHAnsi" w:cstheme="minorHAnsi"/>
          <w:sz w:val="22"/>
          <w:szCs w:val="22"/>
        </w:rPr>
        <w:t xml:space="preserve"> administered in face-to-face interviews in participants’ homes</w:t>
      </w:r>
      <w:r w:rsidR="006E3F79" w:rsidRPr="00C056CD">
        <w:rPr>
          <w:rFonts w:asciiTheme="minorHAnsi" w:hAnsiTheme="minorHAnsi" w:cstheme="minorHAnsi"/>
          <w:sz w:val="22"/>
          <w:szCs w:val="22"/>
        </w:rPr>
        <w:t xml:space="preserve"> by staff from La Trobe University or Uniting AgeWell and took about an hour</w:t>
      </w:r>
      <w:r w:rsidR="00AB53B3" w:rsidRPr="00C056CD">
        <w:rPr>
          <w:rFonts w:asciiTheme="minorHAnsi" w:hAnsiTheme="minorHAnsi" w:cstheme="minorHAnsi"/>
          <w:sz w:val="22"/>
          <w:szCs w:val="22"/>
        </w:rPr>
        <w:t>. Ethics approval was obtained from La Trobe University (FHEC11/164).</w:t>
      </w:r>
    </w:p>
    <w:p w14:paraId="18C7838C" w14:textId="77777777" w:rsidR="00AB53B3" w:rsidRPr="00C056CD" w:rsidRDefault="00AB53B3" w:rsidP="00AB53B3">
      <w:pPr>
        <w:spacing w:line="360" w:lineRule="auto"/>
        <w:rPr>
          <w:b/>
        </w:rPr>
      </w:pPr>
      <w:r w:rsidRPr="00C056CD">
        <w:rPr>
          <w:b/>
        </w:rPr>
        <w:t>Statistical analysis</w:t>
      </w:r>
    </w:p>
    <w:p w14:paraId="48BF3F21" w14:textId="77777777" w:rsidR="00056641" w:rsidRPr="00C056CD" w:rsidRDefault="00AB53B3" w:rsidP="00AB53B3">
      <w:pPr>
        <w:spacing w:line="360" w:lineRule="auto"/>
        <w:rPr>
          <w:rStyle w:val="CommentReference"/>
          <w:sz w:val="22"/>
          <w:szCs w:val="22"/>
        </w:rPr>
      </w:pPr>
      <w:r w:rsidRPr="00C056CD">
        <w:t xml:space="preserve">All data were </w:t>
      </w:r>
      <w:r w:rsidR="00586869" w:rsidRPr="00C056CD">
        <w:t>analysed using SPSS 24</w:t>
      </w:r>
      <w:r w:rsidRPr="00C056CD">
        <w:t>, and checked for accuracy, missing values, and outliers</w:t>
      </w:r>
      <w:r w:rsidRPr="00C056CD">
        <w:rPr>
          <w:rStyle w:val="CommentReference"/>
          <w:sz w:val="22"/>
          <w:szCs w:val="22"/>
        </w:rPr>
        <w:t xml:space="preserve">. </w:t>
      </w:r>
      <w:r w:rsidR="00056641" w:rsidRPr="00C056CD">
        <w:rPr>
          <w:rStyle w:val="CommentReference"/>
          <w:sz w:val="22"/>
          <w:szCs w:val="22"/>
        </w:rPr>
        <w:t xml:space="preserve">Missing values were minimal as good rapport was achieved between interviewers and participants. </w:t>
      </w:r>
      <w:r w:rsidR="006E3F79" w:rsidRPr="00C056CD">
        <w:rPr>
          <w:rStyle w:val="CommentReference"/>
          <w:sz w:val="22"/>
          <w:szCs w:val="22"/>
        </w:rPr>
        <w:t xml:space="preserve">No outliers were detected. </w:t>
      </w:r>
    </w:p>
    <w:p w14:paraId="390E5D3D" w14:textId="04A4FE5F" w:rsidR="00550E69" w:rsidRPr="00C056CD" w:rsidRDefault="00AB53B3" w:rsidP="00AB53B3">
      <w:pPr>
        <w:spacing w:line="360" w:lineRule="auto"/>
      </w:pPr>
      <w:r w:rsidRPr="00C056CD">
        <w:t>Quality of life was calculated by averaging participants’ scores on the WHOQoL-OLD. Functional capacity was calculated by summing scores to form a scale with a (theoretical) minimum of 11 and max</w:t>
      </w:r>
      <w:r w:rsidR="00C970AC" w:rsidRPr="00C056CD">
        <w:t>imum of 33. Two of the response categories</w:t>
      </w:r>
      <w:r w:rsidRPr="00C056CD">
        <w:t xml:space="preserve"> for </w:t>
      </w:r>
      <w:r w:rsidR="00C970AC" w:rsidRPr="00C056CD">
        <w:t xml:space="preserve">the </w:t>
      </w:r>
      <w:r w:rsidRPr="00C056CD">
        <w:t>financial adequacy item, “enough to get along” and “unable to make ends meet”</w:t>
      </w:r>
      <w:r w:rsidR="00C970AC" w:rsidRPr="00C056CD">
        <w:t>,</w:t>
      </w:r>
      <w:r w:rsidRPr="00C056CD">
        <w:t xml:space="preserve"> were combined for analysis due to the low number of “unable to make ends meet” responses. </w:t>
      </w:r>
    </w:p>
    <w:p w14:paraId="771BBCA8" w14:textId="245BE1F4" w:rsidR="00AB53B3" w:rsidRPr="00C056CD" w:rsidRDefault="00EC7138" w:rsidP="00AB53B3">
      <w:pPr>
        <w:spacing w:line="360" w:lineRule="auto"/>
      </w:pPr>
      <w:r w:rsidRPr="00C056CD">
        <w:t xml:space="preserve">Independent sample </w:t>
      </w:r>
      <w:r w:rsidRPr="00C056CD">
        <w:rPr>
          <w:i/>
        </w:rPr>
        <w:t>t</w:t>
      </w:r>
      <w:r w:rsidRPr="00C056CD">
        <w:t xml:space="preserve">-tests were used to compare the means of those living in the two rural areas with those living in urban Melbourne. Multiple regression was used to determine predictors of baseline quality of life. </w:t>
      </w:r>
      <w:r w:rsidR="00550E69" w:rsidRPr="00C056CD">
        <w:t>R</w:t>
      </w:r>
      <w:r w:rsidR="00AE04D9" w:rsidRPr="00C056CD">
        <w:t>epeated</w:t>
      </w:r>
      <w:r w:rsidR="00550E69" w:rsidRPr="00C056CD">
        <w:t>-</w:t>
      </w:r>
      <w:r w:rsidR="00AE04D9" w:rsidRPr="00C056CD">
        <w:t xml:space="preserve">measures analysis of variance (ANOVA) was used to compare </w:t>
      </w:r>
      <w:r w:rsidR="00550E69" w:rsidRPr="00C056CD">
        <w:t>QoL</w:t>
      </w:r>
      <w:r w:rsidR="00AE04D9" w:rsidRPr="00C056CD">
        <w:t xml:space="preserve"> across the different locations over the </w:t>
      </w:r>
      <w:r w:rsidR="00620E10" w:rsidRPr="00C056CD">
        <w:t>two</w:t>
      </w:r>
      <w:r w:rsidR="00AE04D9" w:rsidRPr="00C056CD">
        <w:t xml:space="preserve"> </w:t>
      </w:r>
      <w:r w:rsidR="00905F24" w:rsidRPr="00C056CD">
        <w:t>waves of data collection</w:t>
      </w:r>
      <w:r w:rsidR="00AE04D9" w:rsidRPr="00C056CD">
        <w:t xml:space="preserve">, while controlling for </w:t>
      </w:r>
      <w:r w:rsidR="002038CB" w:rsidRPr="00C056CD">
        <w:t>age, gender</w:t>
      </w:r>
      <w:r w:rsidR="00F44BDB" w:rsidRPr="00C056CD">
        <w:t>,</w:t>
      </w:r>
      <w:r w:rsidR="002038CB" w:rsidRPr="00C056CD">
        <w:t xml:space="preserve"> and functional capacity.</w:t>
      </w:r>
      <w:r w:rsidRPr="00C056CD">
        <w:t xml:space="preserve"> </w:t>
      </w:r>
    </w:p>
    <w:p w14:paraId="6399B6F6" w14:textId="77777777" w:rsidR="006C5DF8" w:rsidRPr="00C056CD" w:rsidRDefault="003F75FF" w:rsidP="00965AB0">
      <w:pPr>
        <w:spacing w:line="360" w:lineRule="auto"/>
        <w:rPr>
          <w:b/>
        </w:rPr>
      </w:pPr>
      <w:r w:rsidRPr="00C056CD">
        <w:rPr>
          <w:b/>
        </w:rPr>
        <w:t>Results</w:t>
      </w:r>
    </w:p>
    <w:p w14:paraId="1B0CE2B2" w14:textId="5665FBB1" w:rsidR="000E0D90" w:rsidRPr="00C056CD" w:rsidRDefault="000E0D90" w:rsidP="00965AB0">
      <w:pPr>
        <w:spacing w:line="360" w:lineRule="auto"/>
      </w:pPr>
      <w:r w:rsidRPr="00C056CD">
        <w:t xml:space="preserve">At </w:t>
      </w:r>
      <w:r w:rsidR="001A0705" w:rsidRPr="00C056CD">
        <w:t>Time 1</w:t>
      </w:r>
      <w:r w:rsidR="00C970AC" w:rsidRPr="00C056CD">
        <w:t>,</w:t>
      </w:r>
      <w:r w:rsidRPr="00C056CD">
        <w:t xml:space="preserve"> th</w:t>
      </w:r>
      <w:r w:rsidR="0070757C" w:rsidRPr="00C056CD">
        <w:t>e sample included</w:t>
      </w:r>
      <w:r w:rsidRPr="00C056CD">
        <w:t xml:space="preserve"> 279 participants in </w:t>
      </w:r>
      <w:r w:rsidR="00621C15" w:rsidRPr="00C056CD">
        <w:t>urban</w:t>
      </w:r>
      <w:r w:rsidR="001A62A9" w:rsidRPr="00C056CD">
        <w:t xml:space="preserve"> </w:t>
      </w:r>
      <w:r w:rsidRPr="00C056CD">
        <w:t>Victoria</w:t>
      </w:r>
      <w:r w:rsidR="005B327A" w:rsidRPr="00C056CD">
        <w:t xml:space="preserve"> (Melbourne)</w:t>
      </w:r>
      <w:r w:rsidRPr="00C056CD">
        <w:t xml:space="preserve">, 98 in </w:t>
      </w:r>
      <w:r w:rsidR="00621C15" w:rsidRPr="00C056CD">
        <w:t>rural</w:t>
      </w:r>
      <w:r w:rsidR="001A62A9" w:rsidRPr="00C056CD">
        <w:t xml:space="preserve"> </w:t>
      </w:r>
      <w:r w:rsidRPr="00C056CD">
        <w:t xml:space="preserve">Victoria, and 47 in </w:t>
      </w:r>
      <w:r w:rsidR="00621C15" w:rsidRPr="00C056CD">
        <w:t>rural</w:t>
      </w:r>
      <w:r w:rsidR="001A62A9" w:rsidRPr="00C056CD">
        <w:t xml:space="preserve"> </w:t>
      </w:r>
      <w:r w:rsidRPr="00C056CD">
        <w:t>Tasmania</w:t>
      </w:r>
      <w:r w:rsidR="006F3767" w:rsidRPr="00C056CD">
        <w:t>, with an age range of 55 to 99 years</w:t>
      </w:r>
      <w:r w:rsidR="00C970AC" w:rsidRPr="00C056CD">
        <w:t xml:space="preserve"> (see </w:t>
      </w:r>
      <w:r w:rsidRPr="00C056CD">
        <w:t>Table</w:t>
      </w:r>
      <w:r w:rsidR="006F3767" w:rsidRPr="00C056CD">
        <w:t>s</w:t>
      </w:r>
      <w:r w:rsidRPr="00C056CD">
        <w:t xml:space="preserve"> </w:t>
      </w:r>
      <w:r w:rsidR="00905F24" w:rsidRPr="00C056CD">
        <w:t>1</w:t>
      </w:r>
      <w:r w:rsidRPr="00C056CD">
        <w:t xml:space="preserve"> </w:t>
      </w:r>
      <w:r w:rsidR="006F3767" w:rsidRPr="00C056CD">
        <w:t xml:space="preserve">and 2 </w:t>
      </w:r>
      <w:r w:rsidR="00C970AC" w:rsidRPr="00C056CD">
        <w:t>for participant characteristics)</w:t>
      </w:r>
      <w:r w:rsidRPr="00C056CD">
        <w:t>.</w:t>
      </w:r>
    </w:p>
    <w:p w14:paraId="5FE1E2BD" w14:textId="1C87BB34" w:rsidR="00905F24" w:rsidRPr="00C056CD" w:rsidRDefault="00905F24" w:rsidP="00905F24">
      <w:pPr>
        <w:spacing w:line="360" w:lineRule="auto"/>
        <w:jc w:val="center"/>
      </w:pPr>
      <w:r w:rsidRPr="00C056CD">
        <w:t>Insert Table 1 about here</w:t>
      </w:r>
    </w:p>
    <w:p w14:paraId="06ACFE49" w14:textId="61AAC32E" w:rsidR="003F75FF" w:rsidRPr="00C056CD" w:rsidRDefault="003F75FF" w:rsidP="00965AB0">
      <w:pPr>
        <w:spacing w:line="360" w:lineRule="auto"/>
      </w:pPr>
      <w:r w:rsidRPr="00C056CD">
        <w:t xml:space="preserve">Table </w:t>
      </w:r>
      <w:r w:rsidR="00905F24" w:rsidRPr="00C056CD">
        <w:t>2</w:t>
      </w:r>
      <w:r w:rsidR="00EC7138" w:rsidRPr="00C056CD">
        <w:t xml:space="preserve"> shows the means on</w:t>
      </w:r>
      <w:r w:rsidRPr="00C056CD">
        <w:t xml:space="preserve"> all the </w:t>
      </w:r>
      <w:r w:rsidR="00EC7138" w:rsidRPr="00C056CD">
        <w:t>measures</w:t>
      </w:r>
      <w:r w:rsidRPr="00C056CD">
        <w:t xml:space="preserve"> at </w:t>
      </w:r>
      <w:r w:rsidR="001A0705" w:rsidRPr="00C056CD">
        <w:t>Time 1</w:t>
      </w:r>
      <w:r w:rsidRPr="00C056CD">
        <w:t xml:space="preserve"> for those living in </w:t>
      </w:r>
      <w:r w:rsidR="000E0D90" w:rsidRPr="00C056CD">
        <w:t>each location</w:t>
      </w:r>
      <w:r w:rsidRPr="00C056CD">
        <w:t xml:space="preserve">. </w:t>
      </w:r>
      <w:r w:rsidR="00905F24" w:rsidRPr="00C056CD">
        <w:t>There were</w:t>
      </w:r>
      <w:r w:rsidRPr="00C056CD">
        <w:t xml:space="preserve"> significant differences </w:t>
      </w:r>
      <w:r w:rsidR="00905F24" w:rsidRPr="00C056CD">
        <w:t>between groups by location</w:t>
      </w:r>
      <w:r w:rsidR="001A62A9" w:rsidRPr="00C056CD">
        <w:t xml:space="preserve">. </w:t>
      </w:r>
      <w:r w:rsidR="00905F24" w:rsidRPr="00C056CD">
        <w:t xml:space="preserve">Participants living in </w:t>
      </w:r>
      <w:r w:rsidR="00621C15" w:rsidRPr="00C056CD">
        <w:t>rural</w:t>
      </w:r>
      <w:r w:rsidR="00905F24" w:rsidRPr="00C056CD">
        <w:t xml:space="preserve"> areas had</w:t>
      </w:r>
      <w:r w:rsidR="009337CA" w:rsidRPr="00C056CD">
        <w:t xml:space="preserve"> </w:t>
      </w:r>
      <w:r w:rsidR="001A62A9" w:rsidRPr="00C056CD">
        <w:t>lower</w:t>
      </w:r>
      <w:r w:rsidR="00C970AC" w:rsidRPr="00C056CD">
        <w:t xml:space="preserve"> self-rated</w:t>
      </w:r>
      <w:r w:rsidR="001A62A9" w:rsidRPr="00C056CD">
        <w:t xml:space="preserve"> </w:t>
      </w:r>
      <w:r w:rsidR="009337CA" w:rsidRPr="00C056CD">
        <w:t xml:space="preserve">health </w:t>
      </w:r>
      <w:r w:rsidR="00905F24" w:rsidRPr="00C056CD">
        <w:t>than those in u</w:t>
      </w:r>
      <w:r w:rsidR="00535468" w:rsidRPr="00C056CD">
        <w:t xml:space="preserve">rban </w:t>
      </w:r>
      <w:r w:rsidR="00EC7138" w:rsidRPr="00C056CD">
        <w:t>Victoria</w:t>
      </w:r>
      <w:r w:rsidR="001A62A9" w:rsidRPr="00C056CD">
        <w:t xml:space="preserve">. </w:t>
      </w:r>
      <w:r w:rsidR="00535468" w:rsidRPr="00C056CD">
        <w:t>Those in r</w:t>
      </w:r>
      <w:r w:rsidR="00621C15" w:rsidRPr="00C056CD">
        <w:t>ural</w:t>
      </w:r>
      <w:r w:rsidR="001A62A9" w:rsidRPr="00C056CD">
        <w:t xml:space="preserve"> Victoria </w:t>
      </w:r>
      <w:r w:rsidR="00BD0341" w:rsidRPr="00C056CD">
        <w:t>were older</w:t>
      </w:r>
      <w:r w:rsidR="00905F24" w:rsidRPr="00C056CD">
        <w:t xml:space="preserve"> than those in the </w:t>
      </w:r>
      <w:r w:rsidR="00EC7138" w:rsidRPr="00C056CD">
        <w:t>urban</w:t>
      </w:r>
      <w:r w:rsidR="00905F24" w:rsidRPr="00C056CD">
        <w:t xml:space="preserve"> area</w:t>
      </w:r>
      <w:r w:rsidR="00BD0341" w:rsidRPr="00C056CD">
        <w:t xml:space="preserve">, </w:t>
      </w:r>
      <w:r w:rsidR="00905F24" w:rsidRPr="00C056CD">
        <w:t xml:space="preserve">and </w:t>
      </w:r>
      <w:r w:rsidR="00BD0341" w:rsidRPr="00C056CD">
        <w:t xml:space="preserve">they </w:t>
      </w:r>
      <w:r w:rsidR="001A62A9" w:rsidRPr="00C056CD">
        <w:t>also had lower social partici</w:t>
      </w:r>
      <w:r w:rsidR="00BD0341" w:rsidRPr="00C056CD">
        <w:t xml:space="preserve">pation and functional capacity. </w:t>
      </w:r>
      <w:r w:rsidR="00620E10" w:rsidRPr="00C056CD">
        <w:t>T</w:t>
      </w:r>
      <w:r w:rsidR="00BD0341" w:rsidRPr="00C056CD">
        <w:t xml:space="preserve">hose recruited from </w:t>
      </w:r>
      <w:r w:rsidR="00621C15" w:rsidRPr="00C056CD">
        <w:t>rural</w:t>
      </w:r>
      <w:r w:rsidR="001A62A9" w:rsidRPr="00C056CD">
        <w:t xml:space="preserve"> Tasmania </w:t>
      </w:r>
      <w:r w:rsidR="00BD0341" w:rsidRPr="00C056CD">
        <w:t xml:space="preserve">were younger, </w:t>
      </w:r>
      <w:r w:rsidR="00905F24" w:rsidRPr="00C056CD">
        <w:t xml:space="preserve">were </w:t>
      </w:r>
      <w:r w:rsidR="00BD0341" w:rsidRPr="00C056CD">
        <w:t xml:space="preserve">less financially </w:t>
      </w:r>
      <w:r w:rsidR="00620E10" w:rsidRPr="00C056CD">
        <w:t>comfortable</w:t>
      </w:r>
      <w:r w:rsidR="00905F24" w:rsidRPr="00C056CD">
        <w:t>,</w:t>
      </w:r>
      <w:r w:rsidR="00BD0341" w:rsidRPr="00C056CD">
        <w:t xml:space="preserve"> and </w:t>
      </w:r>
      <w:r w:rsidR="00905F24" w:rsidRPr="00C056CD">
        <w:t>reported</w:t>
      </w:r>
      <w:r w:rsidR="001A62A9" w:rsidRPr="00C056CD">
        <w:t xml:space="preserve"> lower quality of life</w:t>
      </w:r>
      <w:r w:rsidR="00905F24" w:rsidRPr="00C056CD">
        <w:t xml:space="preserve"> than those in urban Victoria</w:t>
      </w:r>
      <w:r w:rsidR="001A62A9" w:rsidRPr="00C056CD">
        <w:t>.</w:t>
      </w:r>
    </w:p>
    <w:p w14:paraId="29B5D605" w14:textId="2B9B8798" w:rsidR="00905F24" w:rsidRPr="00C056CD" w:rsidRDefault="00905F24" w:rsidP="00905F24">
      <w:pPr>
        <w:spacing w:line="360" w:lineRule="auto"/>
        <w:jc w:val="center"/>
      </w:pPr>
      <w:r w:rsidRPr="00C056CD">
        <w:t>Insert Table 2 about here</w:t>
      </w:r>
    </w:p>
    <w:p w14:paraId="70D7957A" w14:textId="6BE48C06" w:rsidR="007F0493" w:rsidRPr="00C056CD" w:rsidRDefault="00AF4F84" w:rsidP="00965AB0">
      <w:pPr>
        <w:spacing w:line="360" w:lineRule="auto"/>
      </w:pPr>
      <w:r w:rsidRPr="00C056CD">
        <w:t>A further independen</w:t>
      </w:r>
      <w:r w:rsidR="00620E10" w:rsidRPr="00C056CD">
        <w:t>t</w:t>
      </w:r>
      <w:r w:rsidRPr="00C056CD">
        <w:t xml:space="preserve"> sample </w:t>
      </w:r>
      <w:r w:rsidRPr="00C056CD">
        <w:rPr>
          <w:i/>
        </w:rPr>
        <w:t>t</w:t>
      </w:r>
      <w:r w:rsidRPr="00C056CD">
        <w:t xml:space="preserve">-test was used to </w:t>
      </w:r>
      <w:r w:rsidR="00C970AC" w:rsidRPr="00C056CD">
        <w:t>compare</w:t>
      </w:r>
      <w:r w:rsidRPr="00C056CD">
        <w:t xml:space="preserve"> QoL between rural Victoria and rural Tasmania. </w:t>
      </w:r>
      <w:r w:rsidR="00550E69" w:rsidRPr="00C056CD">
        <w:t xml:space="preserve">Those living </w:t>
      </w:r>
      <w:r w:rsidR="00553E7F" w:rsidRPr="00C056CD">
        <w:t>in rural Victoria (</w:t>
      </w:r>
      <w:r w:rsidR="00553E7F" w:rsidRPr="00C056CD">
        <w:rPr>
          <w:i/>
        </w:rPr>
        <w:t>M</w:t>
      </w:r>
      <w:r w:rsidR="003C097B" w:rsidRPr="00C056CD">
        <w:t xml:space="preserve"> = 4.0</w:t>
      </w:r>
      <w:r w:rsidR="00553E7F" w:rsidRPr="00C056CD">
        <w:t xml:space="preserve">, </w:t>
      </w:r>
      <w:r w:rsidR="00553E7F" w:rsidRPr="00C056CD">
        <w:rPr>
          <w:i/>
        </w:rPr>
        <w:t>SD</w:t>
      </w:r>
      <w:r w:rsidR="003C097B" w:rsidRPr="00C056CD">
        <w:t xml:space="preserve"> = 0.4</w:t>
      </w:r>
      <w:r w:rsidR="00553E7F" w:rsidRPr="00C056CD">
        <w:t xml:space="preserve">) </w:t>
      </w:r>
      <w:r w:rsidR="00550E69" w:rsidRPr="00C056CD">
        <w:t xml:space="preserve">reported </w:t>
      </w:r>
      <w:r w:rsidR="00553E7F" w:rsidRPr="00C056CD">
        <w:t>higher quality of life than those in rural Tasmania (</w:t>
      </w:r>
      <w:r w:rsidR="00553E7F" w:rsidRPr="00C056CD">
        <w:rPr>
          <w:i/>
        </w:rPr>
        <w:t>M</w:t>
      </w:r>
      <w:r w:rsidR="003C097B" w:rsidRPr="00C056CD">
        <w:t xml:space="preserve"> = 3.8</w:t>
      </w:r>
      <w:r w:rsidR="00553E7F" w:rsidRPr="00C056CD">
        <w:t xml:space="preserve">, </w:t>
      </w:r>
      <w:r w:rsidR="00553E7F" w:rsidRPr="00C056CD">
        <w:rPr>
          <w:i/>
        </w:rPr>
        <w:t>SD</w:t>
      </w:r>
      <w:r w:rsidR="00553E7F" w:rsidRPr="00C056CD">
        <w:t xml:space="preserve"> = 0.5), </w:t>
      </w:r>
      <w:r w:rsidR="00553E7F" w:rsidRPr="00C056CD">
        <w:rPr>
          <w:i/>
        </w:rPr>
        <w:t>t</w:t>
      </w:r>
      <w:r w:rsidR="003C097B" w:rsidRPr="00C056CD">
        <w:t>(143) = 2.</w:t>
      </w:r>
      <w:r w:rsidR="00553E7F" w:rsidRPr="00C056CD">
        <w:t xml:space="preserve">8, </w:t>
      </w:r>
      <w:r w:rsidR="00553E7F" w:rsidRPr="00C056CD">
        <w:rPr>
          <w:i/>
        </w:rPr>
        <w:t>p</w:t>
      </w:r>
      <w:r w:rsidR="00553E7F" w:rsidRPr="00C056CD">
        <w:t xml:space="preserve"> = 0.006, </w:t>
      </w:r>
      <w:r w:rsidR="00553E7F" w:rsidRPr="00C056CD">
        <w:rPr>
          <w:i/>
        </w:rPr>
        <w:t>d</w:t>
      </w:r>
      <w:r w:rsidR="00553E7F" w:rsidRPr="00C056CD">
        <w:t xml:space="preserve"> = 0.21.</w:t>
      </w:r>
    </w:p>
    <w:p w14:paraId="198E4F4D" w14:textId="4DAED6FB" w:rsidR="00D10A23" w:rsidRPr="00C056CD" w:rsidRDefault="000F396E" w:rsidP="00965AB0">
      <w:pPr>
        <w:spacing w:line="360" w:lineRule="auto"/>
      </w:pPr>
      <w:r w:rsidRPr="00C056CD">
        <w:t>Three m</w:t>
      </w:r>
      <w:r w:rsidR="00D10A23" w:rsidRPr="00C056CD">
        <w:t xml:space="preserve">ultiple regression </w:t>
      </w:r>
      <w:r w:rsidRPr="00C056CD">
        <w:t xml:space="preserve">analyses were </w:t>
      </w:r>
      <w:r w:rsidR="00D10A23" w:rsidRPr="00C056CD">
        <w:t>conducted to determine which variables predicted QoL in urban Victoria (</w:t>
      </w:r>
      <w:r w:rsidR="00D10A23" w:rsidRPr="00C056CD">
        <w:rPr>
          <w:i/>
        </w:rPr>
        <w:t>R</w:t>
      </w:r>
      <w:r w:rsidR="00D10A23" w:rsidRPr="00C056CD">
        <w:rPr>
          <w:vertAlign w:val="superscript"/>
        </w:rPr>
        <w:t>2</w:t>
      </w:r>
      <w:r w:rsidR="00D10A23" w:rsidRPr="00C056CD">
        <w:t xml:space="preserve"> = 0.47, </w:t>
      </w:r>
      <w:r w:rsidR="00D10A23" w:rsidRPr="00C056CD">
        <w:rPr>
          <w:i/>
        </w:rPr>
        <w:t>F</w:t>
      </w:r>
      <w:r w:rsidR="003C097B" w:rsidRPr="00C056CD">
        <w:t>(9,238) = 23.6</w:t>
      </w:r>
      <w:r w:rsidR="00D10A23" w:rsidRPr="00C056CD">
        <w:t xml:space="preserve">, </w:t>
      </w:r>
      <w:r w:rsidR="00D10A23" w:rsidRPr="00C056CD">
        <w:rPr>
          <w:i/>
        </w:rPr>
        <w:t>p</w:t>
      </w:r>
      <w:r w:rsidR="00D10A23" w:rsidRPr="00C056CD">
        <w:t xml:space="preserve"> &lt;0.001), rural Victoria (</w:t>
      </w:r>
      <w:r w:rsidR="00D10A23" w:rsidRPr="00C056CD">
        <w:rPr>
          <w:i/>
        </w:rPr>
        <w:t>R</w:t>
      </w:r>
      <w:r w:rsidR="00D10A23" w:rsidRPr="00C056CD">
        <w:rPr>
          <w:vertAlign w:val="superscript"/>
        </w:rPr>
        <w:t>2</w:t>
      </w:r>
      <w:r w:rsidR="00D10A23" w:rsidRPr="00C056CD">
        <w:t xml:space="preserve"> = 0.51, </w:t>
      </w:r>
      <w:r w:rsidR="00D10A23" w:rsidRPr="00C056CD">
        <w:rPr>
          <w:i/>
        </w:rPr>
        <w:t>F</w:t>
      </w:r>
      <w:r w:rsidR="003C097B" w:rsidRPr="00C056CD">
        <w:t>(8,79) = 10.2</w:t>
      </w:r>
      <w:r w:rsidR="00D10A23" w:rsidRPr="00C056CD">
        <w:t xml:space="preserve">, </w:t>
      </w:r>
      <w:r w:rsidR="00D10A23" w:rsidRPr="00C056CD">
        <w:rPr>
          <w:i/>
        </w:rPr>
        <w:t>p</w:t>
      </w:r>
      <w:r w:rsidR="00D10A23" w:rsidRPr="00C056CD">
        <w:t xml:space="preserve"> &lt;.001), and rural Tasmania (</w:t>
      </w:r>
      <w:r w:rsidR="00D10A23" w:rsidRPr="00C056CD">
        <w:rPr>
          <w:i/>
        </w:rPr>
        <w:t>R</w:t>
      </w:r>
      <w:r w:rsidR="00D10A23" w:rsidRPr="00C056CD">
        <w:rPr>
          <w:vertAlign w:val="superscript"/>
        </w:rPr>
        <w:t>2</w:t>
      </w:r>
      <w:r w:rsidR="00D10A23" w:rsidRPr="00C056CD">
        <w:t xml:space="preserve"> = 0.79, </w:t>
      </w:r>
      <w:r w:rsidR="00D10A23" w:rsidRPr="00C056CD">
        <w:rPr>
          <w:i/>
        </w:rPr>
        <w:t>F</w:t>
      </w:r>
      <w:r w:rsidR="003C097B" w:rsidRPr="00C056CD">
        <w:t>(8,32) = 6.7</w:t>
      </w:r>
      <w:r w:rsidR="00D10A23" w:rsidRPr="00C056CD">
        <w:t xml:space="preserve">, </w:t>
      </w:r>
      <w:r w:rsidR="00D10A23" w:rsidRPr="00C056CD">
        <w:rPr>
          <w:i/>
        </w:rPr>
        <w:t>p</w:t>
      </w:r>
      <w:r w:rsidR="00D10A23" w:rsidRPr="00C056CD">
        <w:t xml:space="preserve"> &lt;0.001). </w:t>
      </w:r>
      <w:r w:rsidR="00C970AC" w:rsidRPr="00C056CD">
        <w:t>Results are summarised in T</w:t>
      </w:r>
      <w:r w:rsidR="00D10A23" w:rsidRPr="00C056CD">
        <w:t xml:space="preserve">able </w:t>
      </w:r>
      <w:r w:rsidR="00905F24" w:rsidRPr="00C056CD">
        <w:t>3</w:t>
      </w:r>
      <w:r w:rsidR="00D10A23" w:rsidRPr="00C056CD">
        <w:t>.</w:t>
      </w:r>
      <w:r w:rsidR="00987D48" w:rsidRPr="00C056CD">
        <w:t xml:space="preserve"> </w:t>
      </w:r>
      <w:r w:rsidR="00D10A23" w:rsidRPr="00C056CD">
        <w:t>The</w:t>
      </w:r>
      <w:r w:rsidRPr="00C056CD">
        <w:t>se</w:t>
      </w:r>
      <w:r w:rsidR="00D10A23" w:rsidRPr="00C056CD">
        <w:t xml:space="preserve"> </w:t>
      </w:r>
      <w:r w:rsidRPr="00C056CD">
        <w:t>analyses showed</w:t>
      </w:r>
      <w:r w:rsidR="00D10A23" w:rsidRPr="00C056CD">
        <w:t xml:space="preserve"> that resilience was the only significant predictor of quality of life in </w:t>
      </w:r>
      <w:r w:rsidRPr="00C056CD">
        <w:t>all</w:t>
      </w:r>
      <w:r w:rsidR="003C097B" w:rsidRPr="00C056CD">
        <w:t xml:space="preserve"> location</w:t>
      </w:r>
      <w:r w:rsidRPr="00C056CD">
        <w:t>s</w:t>
      </w:r>
      <w:r w:rsidR="00D10A23" w:rsidRPr="00C056CD">
        <w:t xml:space="preserve">. </w:t>
      </w:r>
      <w:r w:rsidRPr="00C056CD">
        <w:t>Additional predictors included:</w:t>
      </w:r>
      <w:r w:rsidR="00C55C39" w:rsidRPr="00C056CD">
        <w:t xml:space="preserve"> social participation</w:t>
      </w:r>
      <w:r w:rsidRPr="00C056CD">
        <w:t xml:space="preserve"> and functional capacity</w:t>
      </w:r>
      <w:r w:rsidR="00C55C39" w:rsidRPr="00C056CD">
        <w:t xml:space="preserve"> in </w:t>
      </w:r>
      <w:r w:rsidRPr="00C056CD">
        <w:t>urban Victoria;</w:t>
      </w:r>
      <w:r w:rsidR="00C55C39" w:rsidRPr="00C056CD">
        <w:t xml:space="preserve"> </w:t>
      </w:r>
      <w:r w:rsidRPr="00C056CD">
        <w:t xml:space="preserve">social participation in rural Victoria; and health status and female gender in </w:t>
      </w:r>
      <w:r w:rsidR="00C55C39" w:rsidRPr="00C056CD">
        <w:t>rural Tasmania.</w:t>
      </w:r>
      <w:r w:rsidRPr="00C056CD">
        <w:t xml:space="preserve">  </w:t>
      </w:r>
    </w:p>
    <w:p w14:paraId="45DE8106" w14:textId="01C9155A" w:rsidR="00905F24" w:rsidRPr="00C056CD" w:rsidRDefault="00905F24" w:rsidP="00905F24">
      <w:pPr>
        <w:spacing w:line="360" w:lineRule="auto"/>
        <w:jc w:val="center"/>
      </w:pPr>
      <w:r w:rsidRPr="00C056CD">
        <w:t>Insert Table 3 about here</w:t>
      </w:r>
    </w:p>
    <w:p w14:paraId="49A936E9" w14:textId="77777777" w:rsidR="00553E7F" w:rsidRPr="00C056CD" w:rsidRDefault="00553E7F" w:rsidP="00965AB0">
      <w:pPr>
        <w:spacing w:line="360" w:lineRule="auto"/>
        <w:rPr>
          <w:b/>
        </w:rPr>
      </w:pPr>
      <w:r w:rsidRPr="00C056CD">
        <w:rPr>
          <w:b/>
        </w:rPr>
        <w:t>Longitudinal</w:t>
      </w:r>
    </w:p>
    <w:p w14:paraId="7BAC525F" w14:textId="731DEFF3" w:rsidR="00506DF2" w:rsidRPr="00C056CD" w:rsidRDefault="009076E9" w:rsidP="00965AB0">
      <w:pPr>
        <w:spacing w:line="360" w:lineRule="auto"/>
      </w:pPr>
      <w:r w:rsidRPr="00C056CD">
        <w:t>The particip</w:t>
      </w:r>
      <w:r w:rsidR="00E30BF6" w:rsidRPr="00C056CD">
        <w:t>ation rate at follow-up was 75</w:t>
      </w:r>
      <w:r w:rsidRPr="00C056CD">
        <w:t xml:space="preserve">%. Altogether, 35 people had died, </w:t>
      </w:r>
      <w:r w:rsidR="00AF22E6" w:rsidRPr="00C056CD">
        <w:t xml:space="preserve">23 no longer wished to participate, 17 were too physically frail to participate, 15 had moved from the community to residential care and could not participate, 11 </w:t>
      </w:r>
      <w:r w:rsidR="00915E4D" w:rsidRPr="00C056CD">
        <w:t>were not contactable</w:t>
      </w:r>
      <w:r w:rsidR="000F396E" w:rsidRPr="00C056CD">
        <w:t>, and seven</w:t>
      </w:r>
      <w:r w:rsidR="00AF22E6" w:rsidRPr="00C056CD">
        <w:t xml:space="preserve"> had developed cognitive issues.</w:t>
      </w:r>
      <w:r w:rsidR="00A249C6" w:rsidRPr="00C056CD">
        <w:t xml:space="preserve"> A one-way between groups analysis of variance (ANOVA) </w:t>
      </w:r>
      <w:r w:rsidR="00E30BF6" w:rsidRPr="00C056CD">
        <w:t>showed</w:t>
      </w:r>
      <w:r w:rsidR="00A249C6" w:rsidRPr="00C056CD">
        <w:t xml:space="preserve"> no difference in attrition rates between locations, </w:t>
      </w:r>
      <w:r w:rsidR="00A249C6" w:rsidRPr="00C056CD">
        <w:rPr>
          <w:i/>
        </w:rPr>
        <w:t>F</w:t>
      </w:r>
      <w:r w:rsidR="003C097B" w:rsidRPr="00C056CD">
        <w:t>(2,421) = 0.5</w:t>
      </w:r>
      <w:r w:rsidR="00A249C6" w:rsidRPr="00C056CD">
        <w:t xml:space="preserve">, </w:t>
      </w:r>
      <w:r w:rsidR="00A249C6" w:rsidRPr="00C056CD">
        <w:rPr>
          <w:i/>
        </w:rPr>
        <w:t>p</w:t>
      </w:r>
      <w:r w:rsidR="00A249C6" w:rsidRPr="00C056CD">
        <w:t xml:space="preserve"> = .62.</w:t>
      </w:r>
    </w:p>
    <w:p w14:paraId="1CE0FC87" w14:textId="18B8ABE6" w:rsidR="00464020" w:rsidRPr="00C056CD" w:rsidRDefault="00565F0D" w:rsidP="00291821">
      <w:pPr>
        <w:spacing w:line="360" w:lineRule="auto"/>
      </w:pPr>
      <w:r w:rsidRPr="00C056CD">
        <w:t>Several</w:t>
      </w:r>
      <w:r w:rsidR="00794B55" w:rsidRPr="00C056CD">
        <w:t xml:space="preserve"> tests were used to examine</w:t>
      </w:r>
      <w:r w:rsidR="0053775A" w:rsidRPr="00C056CD">
        <w:t xml:space="preserve"> the effects of location on the quality of life of older people</w:t>
      </w:r>
      <w:r w:rsidR="00794B55" w:rsidRPr="00C056CD">
        <w:t xml:space="preserve"> over time. </w:t>
      </w:r>
      <w:r w:rsidR="00464020" w:rsidRPr="00C056CD">
        <w:t xml:space="preserve">A paired sample </w:t>
      </w:r>
      <w:r w:rsidR="00464020" w:rsidRPr="00C056CD">
        <w:rPr>
          <w:i/>
        </w:rPr>
        <w:t>t</w:t>
      </w:r>
      <w:r w:rsidRPr="00C056CD">
        <w:t>-</w:t>
      </w:r>
      <w:r w:rsidR="00464020" w:rsidRPr="00C056CD">
        <w:t xml:space="preserve">test was used to investigate change in QoL from </w:t>
      </w:r>
      <w:r w:rsidR="001A0705" w:rsidRPr="00C056CD">
        <w:t>Time 1</w:t>
      </w:r>
      <w:r w:rsidR="00464020" w:rsidRPr="00C056CD">
        <w:t xml:space="preserve"> to </w:t>
      </w:r>
      <w:r w:rsidR="000F396E" w:rsidRPr="00C056CD">
        <w:t>T</w:t>
      </w:r>
      <w:r w:rsidR="00464020" w:rsidRPr="00C056CD">
        <w:t xml:space="preserve">ime 2 in each location. The mean QoL in </w:t>
      </w:r>
      <w:r w:rsidR="00621C15" w:rsidRPr="00C056CD">
        <w:t>urban</w:t>
      </w:r>
      <w:r w:rsidR="00464020" w:rsidRPr="00C056CD">
        <w:t xml:space="preserve"> Victoria change from </w:t>
      </w:r>
      <w:r w:rsidR="001A0705" w:rsidRPr="00C056CD">
        <w:t>Time 1</w:t>
      </w:r>
      <w:r w:rsidR="00464020" w:rsidRPr="00C056CD">
        <w:t xml:space="preserve"> (</w:t>
      </w:r>
      <w:r w:rsidR="00464020" w:rsidRPr="00C056CD">
        <w:rPr>
          <w:i/>
        </w:rPr>
        <w:t xml:space="preserve">M </w:t>
      </w:r>
      <w:r w:rsidR="003C097B" w:rsidRPr="00C056CD">
        <w:t>= 4.1</w:t>
      </w:r>
      <w:r w:rsidR="00464020" w:rsidRPr="00C056CD">
        <w:t xml:space="preserve">, </w:t>
      </w:r>
      <w:r w:rsidR="00464020" w:rsidRPr="00C056CD">
        <w:rPr>
          <w:i/>
        </w:rPr>
        <w:t>SD</w:t>
      </w:r>
      <w:r w:rsidR="003C097B" w:rsidRPr="00C056CD">
        <w:t xml:space="preserve"> = 0.4</w:t>
      </w:r>
      <w:r w:rsidR="00464020" w:rsidRPr="00C056CD">
        <w:t xml:space="preserve">) to </w:t>
      </w:r>
      <w:r w:rsidR="000F396E" w:rsidRPr="00C056CD">
        <w:t>T</w:t>
      </w:r>
      <w:r w:rsidR="00464020" w:rsidRPr="00C056CD">
        <w:t>ime 2 (</w:t>
      </w:r>
      <w:r w:rsidR="00464020" w:rsidRPr="00C056CD">
        <w:rPr>
          <w:i/>
        </w:rPr>
        <w:t>M</w:t>
      </w:r>
      <w:r w:rsidR="003C097B" w:rsidRPr="00C056CD">
        <w:t xml:space="preserve"> = 4.1</w:t>
      </w:r>
      <w:r w:rsidR="00464020" w:rsidRPr="00C056CD">
        <w:t xml:space="preserve">, </w:t>
      </w:r>
      <w:r w:rsidR="00464020" w:rsidRPr="00C056CD">
        <w:rPr>
          <w:i/>
        </w:rPr>
        <w:t>SD</w:t>
      </w:r>
      <w:r w:rsidR="003C097B" w:rsidRPr="00C056CD">
        <w:t xml:space="preserve"> = 0.5</w:t>
      </w:r>
      <w:r w:rsidR="00464020" w:rsidRPr="00C056CD">
        <w:t xml:space="preserve">) was not significant, </w:t>
      </w:r>
      <w:r w:rsidR="00464020" w:rsidRPr="00C056CD">
        <w:rPr>
          <w:i/>
        </w:rPr>
        <w:t>t</w:t>
      </w:r>
      <w:r w:rsidR="003C097B" w:rsidRPr="00C056CD">
        <w:t>(209) = 0.8</w:t>
      </w:r>
      <w:r w:rsidR="00464020" w:rsidRPr="00C056CD">
        <w:t xml:space="preserve">, </w:t>
      </w:r>
      <w:r w:rsidR="00464020" w:rsidRPr="00C056CD">
        <w:rPr>
          <w:i/>
        </w:rPr>
        <w:t>p</w:t>
      </w:r>
      <w:r w:rsidR="00464020" w:rsidRPr="00C056CD">
        <w:t xml:space="preserve"> = .42. The mean QoL increase seen in </w:t>
      </w:r>
      <w:r w:rsidR="00621C15" w:rsidRPr="00C056CD">
        <w:t>rural</w:t>
      </w:r>
      <w:r w:rsidR="00464020" w:rsidRPr="00C056CD">
        <w:t xml:space="preserve"> </w:t>
      </w:r>
      <w:r w:rsidR="00AF4F84" w:rsidRPr="00C056CD">
        <w:t>Tasmania</w:t>
      </w:r>
      <w:r w:rsidR="00464020" w:rsidRPr="00C056CD">
        <w:t xml:space="preserve"> </w:t>
      </w:r>
      <w:r w:rsidRPr="00C056CD">
        <w:t xml:space="preserve">from </w:t>
      </w:r>
      <w:r w:rsidR="001A0705" w:rsidRPr="00C056CD">
        <w:t>Time 1</w:t>
      </w:r>
      <w:r w:rsidR="00464020" w:rsidRPr="00C056CD">
        <w:t xml:space="preserve"> (</w:t>
      </w:r>
      <w:r w:rsidR="00464020" w:rsidRPr="00C056CD">
        <w:rPr>
          <w:i/>
        </w:rPr>
        <w:t>M</w:t>
      </w:r>
      <w:r w:rsidR="003C097B" w:rsidRPr="00C056CD">
        <w:t xml:space="preserve"> = 3.9</w:t>
      </w:r>
      <w:r w:rsidR="00464020" w:rsidRPr="00C056CD">
        <w:t xml:space="preserve">, </w:t>
      </w:r>
      <w:r w:rsidR="00464020" w:rsidRPr="00C056CD">
        <w:rPr>
          <w:i/>
        </w:rPr>
        <w:t xml:space="preserve">SD </w:t>
      </w:r>
      <w:r w:rsidR="003C097B" w:rsidRPr="00C056CD">
        <w:t>= 0.5</w:t>
      </w:r>
      <w:r w:rsidR="000F396E" w:rsidRPr="00C056CD">
        <w:t>) to T</w:t>
      </w:r>
      <w:r w:rsidR="00464020" w:rsidRPr="00C056CD">
        <w:t>ime 2 (</w:t>
      </w:r>
      <w:r w:rsidR="00464020" w:rsidRPr="00C056CD">
        <w:rPr>
          <w:i/>
        </w:rPr>
        <w:t>M</w:t>
      </w:r>
      <w:r w:rsidR="003C097B" w:rsidRPr="00C056CD">
        <w:t xml:space="preserve"> = 4.0</w:t>
      </w:r>
      <w:r w:rsidR="00464020" w:rsidRPr="00C056CD">
        <w:t xml:space="preserve">, </w:t>
      </w:r>
      <w:r w:rsidR="00464020" w:rsidRPr="00C056CD">
        <w:rPr>
          <w:i/>
        </w:rPr>
        <w:t>SD</w:t>
      </w:r>
      <w:r w:rsidR="003C097B" w:rsidRPr="00C056CD">
        <w:t xml:space="preserve"> = 0.7</w:t>
      </w:r>
      <w:r w:rsidR="00464020" w:rsidRPr="00C056CD">
        <w:t xml:space="preserve">) was also not significant, </w:t>
      </w:r>
      <w:r w:rsidR="00464020" w:rsidRPr="00C056CD">
        <w:rPr>
          <w:i/>
        </w:rPr>
        <w:t>t</w:t>
      </w:r>
      <w:r w:rsidR="003C097B" w:rsidRPr="00C056CD">
        <w:t>(36) = -1.5</w:t>
      </w:r>
      <w:r w:rsidR="00464020" w:rsidRPr="00C056CD">
        <w:t xml:space="preserve">, </w:t>
      </w:r>
      <w:r w:rsidR="00464020" w:rsidRPr="00C056CD">
        <w:rPr>
          <w:i/>
        </w:rPr>
        <w:t>p</w:t>
      </w:r>
      <w:r w:rsidR="00464020" w:rsidRPr="00C056CD">
        <w:t xml:space="preserve"> = .14. </w:t>
      </w:r>
      <w:r w:rsidR="00291821" w:rsidRPr="00C056CD">
        <w:t>However, t</w:t>
      </w:r>
      <w:r w:rsidR="00464020" w:rsidRPr="00C056CD">
        <w:t xml:space="preserve">he decrease in QoL in </w:t>
      </w:r>
      <w:r w:rsidR="00621C15" w:rsidRPr="00C056CD">
        <w:t>rural</w:t>
      </w:r>
      <w:r w:rsidR="00464020" w:rsidRPr="00C056CD">
        <w:t xml:space="preserve"> Victoria from </w:t>
      </w:r>
      <w:r w:rsidR="001A0705" w:rsidRPr="00C056CD">
        <w:t>Time 1</w:t>
      </w:r>
      <w:r w:rsidR="00464020" w:rsidRPr="00C056CD">
        <w:t xml:space="preserve"> (</w:t>
      </w:r>
      <w:r w:rsidR="00464020" w:rsidRPr="00C056CD">
        <w:rPr>
          <w:i/>
        </w:rPr>
        <w:t>M</w:t>
      </w:r>
      <w:r w:rsidR="003C097B" w:rsidRPr="00C056CD">
        <w:t xml:space="preserve"> = 4.0</w:t>
      </w:r>
      <w:r w:rsidR="00464020" w:rsidRPr="00C056CD">
        <w:t xml:space="preserve">, </w:t>
      </w:r>
      <w:r w:rsidR="00464020" w:rsidRPr="00C056CD">
        <w:rPr>
          <w:i/>
        </w:rPr>
        <w:t>SD</w:t>
      </w:r>
      <w:r w:rsidR="003C097B" w:rsidRPr="00C056CD">
        <w:t xml:space="preserve"> = 0.4</w:t>
      </w:r>
      <w:r w:rsidR="000F396E" w:rsidRPr="00C056CD">
        <w:t>) to T</w:t>
      </w:r>
      <w:r w:rsidR="00464020" w:rsidRPr="00C056CD">
        <w:t>ime 2 (</w:t>
      </w:r>
      <w:r w:rsidR="00464020" w:rsidRPr="00C056CD">
        <w:rPr>
          <w:i/>
        </w:rPr>
        <w:t>M</w:t>
      </w:r>
      <w:r w:rsidR="003C097B" w:rsidRPr="00C056CD">
        <w:t xml:space="preserve"> = 3.</w:t>
      </w:r>
      <w:r w:rsidR="00464020" w:rsidRPr="00C056CD">
        <w:t xml:space="preserve">9, </w:t>
      </w:r>
      <w:r w:rsidR="00464020" w:rsidRPr="00C056CD">
        <w:rPr>
          <w:i/>
        </w:rPr>
        <w:t xml:space="preserve">SD </w:t>
      </w:r>
      <w:r w:rsidR="003C097B" w:rsidRPr="00C056CD">
        <w:t>= 0.5</w:t>
      </w:r>
      <w:r w:rsidR="00464020" w:rsidRPr="00C056CD">
        <w:t xml:space="preserve">) was significant, </w:t>
      </w:r>
      <w:r w:rsidR="00464020" w:rsidRPr="00C056CD">
        <w:rPr>
          <w:i/>
        </w:rPr>
        <w:t>t</w:t>
      </w:r>
      <w:r w:rsidR="003C097B" w:rsidRPr="00C056CD">
        <w:t>(68) = 2.5</w:t>
      </w:r>
      <w:r w:rsidR="00464020" w:rsidRPr="00C056CD">
        <w:t xml:space="preserve">, </w:t>
      </w:r>
      <w:r w:rsidR="00464020" w:rsidRPr="00C056CD">
        <w:rPr>
          <w:i/>
        </w:rPr>
        <w:t>p</w:t>
      </w:r>
      <w:r w:rsidR="00464020" w:rsidRPr="00C056CD">
        <w:t xml:space="preserve"> = .016, </w:t>
      </w:r>
      <w:r w:rsidR="00464020" w:rsidRPr="00C056CD">
        <w:rPr>
          <w:i/>
        </w:rPr>
        <w:t>d</w:t>
      </w:r>
      <w:r w:rsidR="003C097B" w:rsidRPr="00C056CD">
        <w:t xml:space="preserve"> = 0.33. </w:t>
      </w:r>
    </w:p>
    <w:p w14:paraId="1052EE2B" w14:textId="73B4D20E" w:rsidR="00EA4622" w:rsidRPr="00C056CD" w:rsidRDefault="00464020" w:rsidP="00291821">
      <w:pPr>
        <w:spacing w:line="360" w:lineRule="auto"/>
      </w:pPr>
      <w:r w:rsidRPr="00C056CD">
        <w:t xml:space="preserve">The interaction between time and location </w:t>
      </w:r>
      <w:r w:rsidR="00565F0D" w:rsidRPr="00C056CD">
        <w:t xml:space="preserve">in predicting change in QoL </w:t>
      </w:r>
      <w:r w:rsidRPr="00C056CD">
        <w:t>wa</w:t>
      </w:r>
      <w:r w:rsidR="00C10CCB" w:rsidRPr="00C056CD">
        <w:t xml:space="preserve">s investigated </w:t>
      </w:r>
      <w:r w:rsidR="00E30BF6" w:rsidRPr="00C056CD">
        <w:t>with</w:t>
      </w:r>
      <w:r w:rsidR="00794B55" w:rsidRPr="00C056CD">
        <w:t xml:space="preserve"> age, gender</w:t>
      </w:r>
      <w:r w:rsidR="003C097B" w:rsidRPr="00C056CD">
        <w:t>,</w:t>
      </w:r>
      <w:r w:rsidR="00794B55" w:rsidRPr="00C056CD">
        <w:t xml:space="preserve"> and functional capacity at </w:t>
      </w:r>
      <w:r w:rsidR="001A0705" w:rsidRPr="00C056CD">
        <w:t>Time 1</w:t>
      </w:r>
      <w:r w:rsidR="00794B55" w:rsidRPr="00C056CD">
        <w:t xml:space="preserve"> as covariates. </w:t>
      </w:r>
      <w:r w:rsidR="0053775A" w:rsidRPr="00C056CD">
        <w:t xml:space="preserve">An overall main effect for repeated measures showed a significant difference between the two </w:t>
      </w:r>
      <w:r w:rsidR="00291821" w:rsidRPr="00C056CD">
        <w:t>waves</w:t>
      </w:r>
      <w:r w:rsidR="0053775A" w:rsidRPr="00C056CD">
        <w:t xml:space="preserve">, </w:t>
      </w:r>
      <w:r w:rsidR="0053775A" w:rsidRPr="00C056CD">
        <w:rPr>
          <w:i/>
        </w:rPr>
        <w:t>F</w:t>
      </w:r>
      <w:r w:rsidR="0053775A" w:rsidRPr="00C056CD">
        <w:t xml:space="preserve"> (2,308) = 11.6, </w:t>
      </w:r>
      <w:r w:rsidR="0053775A" w:rsidRPr="00C056CD">
        <w:rPr>
          <w:i/>
        </w:rPr>
        <w:t>p</w:t>
      </w:r>
      <w:r w:rsidR="0053775A" w:rsidRPr="00C056CD">
        <w:t xml:space="preserve"> =.001, partial </w:t>
      </w:r>
      <w:r w:rsidR="0053775A" w:rsidRPr="00C056CD">
        <w:rPr>
          <w:i/>
        </w:rPr>
        <w:t>ɳ</w:t>
      </w:r>
      <w:r w:rsidR="0053775A" w:rsidRPr="00C056CD">
        <w:rPr>
          <w:i/>
          <w:vertAlign w:val="superscript"/>
        </w:rPr>
        <w:t>2</w:t>
      </w:r>
      <w:r w:rsidR="0053775A" w:rsidRPr="00C056CD">
        <w:t xml:space="preserve"> =.04. The mean quality of life rating during the </w:t>
      </w:r>
      <w:r w:rsidR="00C86E05" w:rsidRPr="00C056CD">
        <w:t>first wave of the study was 4.1</w:t>
      </w:r>
      <w:r w:rsidR="003C097B" w:rsidRPr="00C056CD">
        <w:t xml:space="preserve"> (SD = 0.4</w:t>
      </w:r>
      <w:r w:rsidR="0053775A" w:rsidRPr="00C056CD">
        <w:t>),</w:t>
      </w:r>
      <w:r w:rsidR="00C86E05" w:rsidRPr="00C056CD">
        <w:t xml:space="preserve"> which dropped to a mean of 4.0</w:t>
      </w:r>
      <w:r w:rsidR="003C097B" w:rsidRPr="00C056CD">
        <w:t xml:space="preserve"> (SD = 0.</w:t>
      </w:r>
      <w:r w:rsidR="0053775A" w:rsidRPr="00C056CD">
        <w:t>1).</w:t>
      </w:r>
      <w:r w:rsidR="006C5DF8" w:rsidRPr="00C056CD">
        <w:t xml:space="preserve"> </w:t>
      </w:r>
      <w:r w:rsidR="0053775A" w:rsidRPr="00C056CD">
        <w:t xml:space="preserve">The overall main effect for participant location was not significant, </w:t>
      </w:r>
      <w:r w:rsidR="0053775A" w:rsidRPr="00C056CD">
        <w:rPr>
          <w:i/>
        </w:rPr>
        <w:t>F</w:t>
      </w:r>
      <w:r w:rsidR="003C097B" w:rsidRPr="00C056CD">
        <w:t xml:space="preserve"> (2,308) = 2.</w:t>
      </w:r>
      <w:r w:rsidR="0053775A" w:rsidRPr="00C056CD">
        <w:t xml:space="preserve">6, </w:t>
      </w:r>
      <w:r w:rsidR="0053775A" w:rsidRPr="00C056CD">
        <w:rPr>
          <w:i/>
        </w:rPr>
        <w:t>p</w:t>
      </w:r>
      <w:r w:rsidR="0053775A" w:rsidRPr="00C056CD">
        <w:t xml:space="preserve"> =.079, partial </w:t>
      </w:r>
      <w:r w:rsidR="0053775A" w:rsidRPr="00C056CD">
        <w:rPr>
          <w:i/>
        </w:rPr>
        <w:t>ɳ</w:t>
      </w:r>
      <w:r w:rsidR="0053775A" w:rsidRPr="00C056CD">
        <w:rPr>
          <w:i/>
          <w:vertAlign w:val="superscript"/>
        </w:rPr>
        <w:t>2</w:t>
      </w:r>
      <w:r w:rsidR="0053775A" w:rsidRPr="00C056CD">
        <w:t xml:space="preserve"> =.02. The interaction between time and </w:t>
      </w:r>
      <w:r w:rsidR="000A7471" w:rsidRPr="00C056CD">
        <w:t>location</w:t>
      </w:r>
      <w:r w:rsidR="0053775A" w:rsidRPr="00C056CD">
        <w:t xml:space="preserve"> was not </w:t>
      </w:r>
      <w:r w:rsidR="006C5DF8" w:rsidRPr="00C056CD">
        <w:t>significant</w:t>
      </w:r>
      <w:r w:rsidR="0053775A" w:rsidRPr="00C056CD">
        <w:t xml:space="preserve">, </w:t>
      </w:r>
      <w:r w:rsidR="0053775A" w:rsidRPr="00C056CD">
        <w:rPr>
          <w:i/>
        </w:rPr>
        <w:t>F</w:t>
      </w:r>
      <w:r w:rsidR="0053775A" w:rsidRPr="00C056CD">
        <w:t xml:space="preserve"> (2,308) = 2.5, </w:t>
      </w:r>
      <w:r w:rsidR="0053775A" w:rsidRPr="00C056CD">
        <w:rPr>
          <w:i/>
        </w:rPr>
        <w:t>p</w:t>
      </w:r>
      <w:r w:rsidR="0053775A" w:rsidRPr="00C056CD">
        <w:t xml:space="preserve"> =.084, partial </w:t>
      </w:r>
      <w:r w:rsidR="0053775A" w:rsidRPr="00C056CD">
        <w:rPr>
          <w:i/>
        </w:rPr>
        <w:t>ɳ</w:t>
      </w:r>
      <w:r w:rsidR="0053775A" w:rsidRPr="00C056CD">
        <w:rPr>
          <w:i/>
          <w:vertAlign w:val="superscript"/>
        </w:rPr>
        <w:t>2</w:t>
      </w:r>
      <w:r w:rsidRPr="00C056CD">
        <w:t xml:space="preserve"> =.02. </w:t>
      </w:r>
    </w:p>
    <w:p w14:paraId="051BB839" w14:textId="77777777" w:rsidR="00886DB2" w:rsidRPr="00C056CD" w:rsidRDefault="00886DB2" w:rsidP="001A5091">
      <w:pPr>
        <w:tabs>
          <w:tab w:val="decimal" w:pos="765"/>
        </w:tabs>
        <w:spacing w:line="360" w:lineRule="auto"/>
        <w:rPr>
          <w:b/>
        </w:rPr>
      </w:pPr>
      <w:r w:rsidRPr="00C056CD">
        <w:rPr>
          <w:b/>
        </w:rPr>
        <w:t>Discussion</w:t>
      </w:r>
    </w:p>
    <w:p w14:paraId="13772433" w14:textId="44A20E57" w:rsidR="00886DB2" w:rsidRPr="00C056CD" w:rsidRDefault="00621C15" w:rsidP="00965AB0">
      <w:pPr>
        <w:spacing w:line="360" w:lineRule="auto"/>
      </w:pPr>
      <w:r w:rsidRPr="00C056CD">
        <w:t xml:space="preserve">During the initial wave of data collection, older people living in rural areas of Victoria rated their quality of life similarly to those living in urban Victoria. These results </w:t>
      </w:r>
      <w:r w:rsidR="003C097B" w:rsidRPr="00C056CD">
        <w:t>support</w:t>
      </w:r>
      <w:r w:rsidRPr="00C056CD">
        <w:t xml:space="preserve"> those obtained from </w:t>
      </w:r>
      <w:r w:rsidR="003C097B" w:rsidRPr="00C056CD">
        <w:t xml:space="preserve">an </w:t>
      </w:r>
      <w:r w:rsidRPr="00C056CD">
        <w:t>America</w:t>
      </w:r>
      <w:r w:rsidR="003C097B" w:rsidRPr="00C056CD">
        <w:t>n study</w:t>
      </w:r>
      <w:r w:rsidRPr="00C056CD">
        <w:t>.</w:t>
      </w:r>
      <w:r w:rsidR="000F396E" w:rsidRPr="00C056CD">
        <w:rPr>
          <w:vertAlign w:val="superscript"/>
        </w:rPr>
        <w:t>19</w:t>
      </w:r>
      <w:r w:rsidRPr="00C056CD">
        <w:t xml:space="preserve"> </w:t>
      </w:r>
      <w:r w:rsidR="00AF4F84" w:rsidRPr="00C056CD">
        <w:t xml:space="preserve">However, </w:t>
      </w:r>
      <w:r w:rsidR="003C097B" w:rsidRPr="00C056CD">
        <w:t xml:space="preserve">reported </w:t>
      </w:r>
      <w:r w:rsidR="00AF4F84" w:rsidRPr="00C056CD">
        <w:t xml:space="preserve">quality of life was </w:t>
      </w:r>
      <w:r w:rsidRPr="00C056CD">
        <w:t xml:space="preserve">lower </w:t>
      </w:r>
      <w:r w:rsidR="00AF4F84" w:rsidRPr="00C056CD">
        <w:t xml:space="preserve">in rural Tasmania </w:t>
      </w:r>
      <w:r w:rsidRPr="00C056CD">
        <w:t xml:space="preserve">than </w:t>
      </w:r>
      <w:r w:rsidR="00553E7F" w:rsidRPr="00C056CD">
        <w:t xml:space="preserve">either </w:t>
      </w:r>
      <w:r w:rsidRPr="00C056CD">
        <w:t xml:space="preserve">urban </w:t>
      </w:r>
      <w:r w:rsidR="00F62A8A" w:rsidRPr="00C056CD">
        <w:t xml:space="preserve">or rural </w:t>
      </w:r>
      <w:r w:rsidRPr="00C056CD">
        <w:t xml:space="preserve">Victoria. </w:t>
      </w:r>
      <w:r w:rsidR="000176EA" w:rsidRPr="00C056CD">
        <w:t xml:space="preserve">This may be due to the </w:t>
      </w:r>
      <w:r w:rsidR="00BE25B6" w:rsidRPr="00C056CD">
        <w:t xml:space="preserve">lower </w:t>
      </w:r>
      <w:r w:rsidR="000176EA" w:rsidRPr="00C056CD">
        <w:t xml:space="preserve">health </w:t>
      </w:r>
      <w:r w:rsidR="009A290A" w:rsidRPr="00C056CD">
        <w:t xml:space="preserve">and </w:t>
      </w:r>
      <w:r w:rsidR="00BE25B6" w:rsidRPr="00C056CD">
        <w:t xml:space="preserve">financial </w:t>
      </w:r>
      <w:r w:rsidR="003C097B" w:rsidRPr="00C056CD">
        <w:t>status</w:t>
      </w:r>
      <w:r w:rsidR="00BE25B6" w:rsidRPr="00C056CD">
        <w:t xml:space="preserve"> reported in the Tasmanian population in the current study</w:t>
      </w:r>
      <w:r w:rsidR="00DA064B" w:rsidRPr="00C056CD">
        <w:t xml:space="preserve">. </w:t>
      </w:r>
      <w:r w:rsidR="003C097B" w:rsidRPr="00C056CD">
        <w:t>This result is</w:t>
      </w:r>
      <w:r w:rsidR="00BE25B6" w:rsidRPr="00C056CD">
        <w:t xml:space="preserve"> consistent with Australian reports which have found </w:t>
      </w:r>
      <w:r w:rsidR="009A290A" w:rsidRPr="00C056CD">
        <w:t xml:space="preserve">economic </w:t>
      </w:r>
      <w:r w:rsidR="000176EA" w:rsidRPr="00C056CD">
        <w:t xml:space="preserve">gaps between Tasmania and </w:t>
      </w:r>
      <w:r w:rsidR="00944685" w:rsidRPr="00C056CD">
        <w:t>m</w:t>
      </w:r>
      <w:r w:rsidR="000176EA" w:rsidRPr="00C056CD">
        <w:t>ainland Australia</w:t>
      </w:r>
      <w:r w:rsidR="00BE25B6" w:rsidRPr="00C056CD">
        <w:t>,</w:t>
      </w:r>
      <w:r w:rsidR="00345021" w:rsidRPr="00C056CD">
        <w:rPr>
          <w:vertAlign w:val="superscript"/>
        </w:rPr>
        <w:t>27</w:t>
      </w:r>
      <w:r w:rsidR="00BE25B6" w:rsidRPr="00C056CD">
        <w:t xml:space="preserve"> as well as</w:t>
      </w:r>
      <w:r w:rsidR="009A290A" w:rsidRPr="00C056CD">
        <w:t xml:space="preserve"> </w:t>
      </w:r>
      <w:r w:rsidR="005A4899" w:rsidRPr="00C056CD">
        <w:t xml:space="preserve">lower health ratings, higher </w:t>
      </w:r>
      <w:r w:rsidR="003C097B" w:rsidRPr="00C056CD">
        <w:t>prevalence</w:t>
      </w:r>
      <w:r w:rsidR="005A4899" w:rsidRPr="00C056CD">
        <w:t xml:space="preserve"> o</w:t>
      </w:r>
      <w:r w:rsidR="003C097B" w:rsidRPr="00C056CD">
        <w:t xml:space="preserve">f mental health problems, and </w:t>
      </w:r>
      <w:r w:rsidR="005A4899" w:rsidRPr="00C056CD">
        <w:t>lower life expectancy.</w:t>
      </w:r>
      <w:r w:rsidR="00345021" w:rsidRPr="00C056CD">
        <w:rPr>
          <w:vertAlign w:val="superscript"/>
        </w:rPr>
        <w:t>28</w:t>
      </w:r>
      <w:r w:rsidR="00BE25B6" w:rsidRPr="00C056CD">
        <w:t xml:space="preserve"> </w:t>
      </w:r>
      <w:r w:rsidR="00EA5B8F" w:rsidRPr="00C056CD">
        <w:t xml:space="preserve">The current study demonstrated health </w:t>
      </w:r>
      <w:r w:rsidR="00345021" w:rsidRPr="00C056CD">
        <w:t>predicted</w:t>
      </w:r>
      <w:r w:rsidR="00EA5B8F" w:rsidRPr="00C056CD">
        <w:t xml:space="preserve"> QoL </w:t>
      </w:r>
      <w:r w:rsidR="00A3094C" w:rsidRPr="00C056CD">
        <w:t xml:space="preserve">only </w:t>
      </w:r>
      <w:r w:rsidR="00EA5B8F" w:rsidRPr="00C056CD">
        <w:t>for those living in rural Tasmania.</w:t>
      </w:r>
    </w:p>
    <w:p w14:paraId="0F360455" w14:textId="11B6D87E" w:rsidR="00AA213C" w:rsidRPr="00C056CD" w:rsidRDefault="00AA213C" w:rsidP="00965AB0">
      <w:pPr>
        <w:spacing w:line="360" w:lineRule="auto"/>
      </w:pPr>
      <w:r w:rsidRPr="00C056CD">
        <w:t xml:space="preserve">The only common factor associated with QoL </w:t>
      </w:r>
      <w:r w:rsidR="00C10CCB" w:rsidRPr="00C056CD">
        <w:t xml:space="preserve">in </w:t>
      </w:r>
      <w:r w:rsidR="00BE25B6" w:rsidRPr="00C056CD">
        <w:t>all three</w:t>
      </w:r>
      <w:r w:rsidRPr="00C056CD">
        <w:t xml:space="preserve"> location</w:t>
      </w:r>
      <w:r w:rsidR="006C5DF8" w:rsidRPr="00C056CD">
        <w:t>s</w:t>
      </w:r>
      <w:r w:rsidRPr="00C056CD">
        <w:t xml:space="preserve"> was resilience. </w:t>
      </w:r>
      <w:r w:rsidR="00B331D0" w:rsidRPr="00C056CD">
        <w:t xml:space="preserve">Many studies have reported that resilience contributes to QoL </w:t>
      </w:r>
      <w:r w:rsidR="003C097B" w:rsidRPr="00C056CD">
        <w:t>in older people</w:t>
      </w:r>
      <w:r w:rsidR="00C52D42" w:rsidRPr="00C056CD">
        <w:t>.</w:t>
      </w:r>
      <w:r w:rsidR="00345021" w:rsidRPr="00C056CD">
        <w:rPr>
          <w:vertAlign w:val="superscript"/>
        </w:rPr>
        <w:t>29-30</w:t>
      </w:r>
      <w:r w:rsidR="00AA4B6F" w:rsidRPr="00C056CD">
        <w:t xml:space="preserve"> </w:t>
      </w:r>
      <w:r w:rsidR="00FC3C7E" w:rsidRPr="00C056CD">
        <w:t>Greater r</w:t>
      </w:r>
      <w:r w:rsidR="00B331D0" w:rsidRPr="00C056CD">
        <w:t>esilience</w:t>
      </w:r>
      <w:r w:rsidR="00FC3C7E" w:rsidRPr="00C056CD">
        <w:t xml:space="preserve"> promotes the ability to adapt well to sources of stress through key characteristics such as strong coping skills, optimism, and positive thinking.</w:t>
      </w:r>
      <w:r w:rsidR="00345021" w:rsidRPr="00C056CD">
        <w:rPr>
          <w:vertAlign w:val="superscript"/>
        </w:rPr>
        <w:t>30-31</w:t>
      </w:r>
      <w:r w:rsidR="00FC3C7E" w:rsidRPr="00C056CD">
        <w:t xml:space="preserve"> </w:t>
      </w:r>
      <w:r w:rsidR="00345021" w:rsidRPr="00C056CD">
        <w:t>In addition, s</w:t>
      </w:r>
      <w:r w:rsidRPr="00C056CD">
        <w:t xml:space="preserve">ocial participation </w:t>
      </w:r>
      <w:r w:rsidR="00345021" w:rsidRPr="00C056CD">
        <w:t>predicted</w:t>
      </w:r>
      <w:r w:rsidR="00B331D0" w:rsidRPr="00C056CD">
        <w:t xml:space="preserve"> QoL in both Victorian </w:t>
      </w:r>
      <w:r w:rsidR="00E30BF6" w:rsidRPr="00C056CD">
        <w:t>locations</w:t>
      </w:r>
      <w:r w:rsidR="00B331D0" w:rsidRPr="00C056CD">
        <w:t xml:space="preserve">. The importance of social participation </w:t>
      </w:r>
      <w:r w:rsidR="00345021" w:rsidRPr="00C056CD">
        <w:t>for</w:t>
      </w:r>
      <w:r w:rsidR="00B331D0" w:rsidRPr="00C056CD">
        <w:t xml:space="preserve"> the QoL of older adults is </w:t>
      </w:r>
      <w:r w:rsidR="003C097B" w:rsidRPr="00C056CD">
        <w:t xml:space="preserve">also </w:t>
      </w:r>
      <w:r w:rsidR="00B331D0" w:rsidRPr="00C056CD">
        <w:t>consistent with prior research.</w:t>
      </w:r>
      <w:r w:rsidR="00345021" w:rsidRPr="00C056CD">
        <w:rPr>
          <w:vertAlign w:val="superscript"/>
        </w:rPr>
        <w:t>32</w:t>
      </w:r>
      <w:r w:rsidRPr="00C056CD">
        <w:t xml:space="preserve"> </w:t>
      </w:r>
    </w:p>
    <w:p w14:paraId="0B57A613" w14:textId="7BCADFD1" w:rsidR="00B50342" w:rsidRPr="00C056CD" w:rsidRDefault="00DA3B32" w:rsidP="00965AB0">
      <w:pPr>
        <w:spacing w:line="360" w:lineRule="auto"/>
      </w:pPr>
      <w:r w:rsidRPr="00C056CD">
        <w:t xml:space="preserve">The longitudinal data suggests that QoL overall decreased </w:t>
      </w:r>
      <w:r w:rsidR="00345021" w:rsidRPr="00C056CD">
        <w:t xml:space="preserve">slightly </w:t>
      </w:r>
      <w:r w:rsidRPr="00C056CD">
        <w:t xml:space="preserve">in participants over the course of the study. </w:t>
      </w:r>
      <w:r w:rsidR="00965AB0" w:rsidRPr="00C056CD">
        <w:t>However,</w:t>
      </w:r>
      <w:r w:rsidRPr="00C056CD">
        <w:t xml:space="preserve"> when each location was assessed independently</w:t>
      </w:r>
      <w:r w:rsidR="00C10CCB" w:rsidRPr="00C056CD">
        <w:t>,</w:t>
      </w:r>
      <w:r w:rsidRPr="00C056CD">
        <w:t xml:space="preserve"> only in rural Victoria </w:t>
      </w:r>
      <w:r w:rsidR="00291821" w:rsidRPr="00C056CD">
        <w:t>was this change</w:t>
      </w:r>
      <w:r w:rsidRPr="00C056CD">
        <w:t xml:space="preserve"> significant.</w:t>
      </w:r>
      <w:r w:rsidR="0097334A" w:rsidRPr="00C056CD">
        <w:t xml:space="preserve"> Prev</w:t>
      </w:r>
      <w:r w:rsidR="00F14010" w:rsidRPr="00C056CD">
        <w:t>ious research has established a</w:t>
      </w:r>
      <w:r w:rsidR="0097334A" w:rsidRPr="00C056CD">
        <w:t xml:space="preserve"> </w:t>
      </w:r>
      <w:r w:rsidR="00F14010" w:rsidRPr="00C056CD">
        <w:t>trend of decreasing QoL over time at older age</w:t>
      </w:r>
      <w:r w:rsidR="00913D45" w:rsidRPr="00C056CD">
        <w:t>s</w:t>
      </w:r>
      <w:r w:rsidR="00092BF4" w:rsidRPr="00C056CD">
        <w:t>.</w:t>
      </w:r>
      <w:r w:rsidR="00345021" w:rsidRPr="00C056CD">
        <w:rPr>
          <w:vertAlign w:val="superscript"/>
        </w:rPr>
        <w:t>9,33</w:t>
      </w:r>
      <w:r w:rsidR="00092BF4" w:rsidRPr="00C056CD">
        <w:t xml:space="preserve"> </w:t>
      </w:r>
      <w:r w:rsidR="00944685" w:rsidRPr="00C056CD">
        <w:t>I</w:t>
      </w:r>
      <w:r w:rsidR="00F14010" w:rsidRPr="00C056CD">
        <w:t xml:space="preserve">ncreasing age itself is not a predictor of </w:t>
      </w:r>
      <w:r w:rsidR="00913D45" w:rsidRPr="00C056CD">
        <w:t xml:space="preserve">lower </w:t>
      </w:r>
      <w:r w:rsidR="007F7223" w:rsidRPr="00C056CD">
        <w:t>QoL</w:t>
      </w:r>
      <w:r w:rsidR="00DF06DE" w:rsidRPr="00C056CD">
        <w:fldChar w:fldCharType="begin"/>
      </w:r>
      <w:r w:rsidR="006013A6" w:rsidRPr="00C056CD">
        <w:instrText xml:space="preserve"> ADDIN EN.CITE &lt;EndNote&gt;&lt;Cite&gt;&lt;Author&gt;Steptoe&lt;/Author&gt;&lt;Year&gt;2015&lt;/Year&gt;&lt;RecNum&gt;75&lt;/RecNum&gt;&lt;DisplayText&gt;(34)&lt;/DisplayText&gt;&lt;record&gt;&lt;rec-number&gt;75&lt;/rec-number&gt;&lt;foreign-keys&gt;&lt;key app="EN" db-id="s0vdeefptd5w2eerrflv0zw32xrsfzst00fw" timestamp="1536192577"&gt;75&lt;/key&gt;&lt;/foreign-keys&gt;&lt;ref-type name="Journal Article"&gt;17&lt;/ref-type&gt;&lt;contributors&gt;&lt;authors&gt;&lt;author&gt;Steptoe, Andrew&lt;/author&gt;&lt;author&gt;Deaton, Angus&lt;/author&gt;&lt;author&gt;Stone, Arthur A.&lt;/author&gt;&lt;/authors&gt;&lt;/contributors&gt;&lt;titles&gt;&lt;title&gt;Subjective wellbeing, health, and ageing&lt;/title&gt;&lt;secondary-title&gt;The Lancet&lt;/secondary-title&gt;&lt;/titles&gt;&lt;periodical&gt;&lt;full-title&gt;The Lancet&lt;/full-title&gt;&lt;/periodical&gt;&lt;pages&gt;640-648&lt;/pages&gt;&lt;volume&gt;385&lt;/volume&gt;&lt;number&gt;9968&lt;/number&gt;&lt;keywords&gt;&lt;keyword&gt;Arthritis -- Analysis&lt;/keyword&gt;&lt;keyword&gt;Elderly -- Analysis&lt;/keyword&gt;&lt;keyword&gt;Respiratory Tract Diseases -- Analysis&lt;/keyword&gt;&lt;keyword&gt;Health Policy -- Analysis&lt;/keyword&gt;&lt;keyword&gt;Epidemiology -- Analysis&lt;/keyword&gt;&lt;keyword&gt;Public Health -- Analysis&lt;/keyword&gt;&lt;keyword&gt;Coronary Heart Disease -- Analysis&lt;/keyword&gt;&lt;/keywords&gt;&lt;dates&gt;&lt;year&gt;2015&lt;/year&gt;&lt;/dates&gt;&lt;isbn&gt;0140-6736&lt;/isbn&gt;&lt;urls&gt;&lt;/urls&gt;&lt;/record&gt;&lt;/Cite&gt;&lt;/EndNote&gt;</w:instrText>
      </w:r>
      <w:r w:rsidR="00DF06DE" w:rsidRPr="00C056CD">
        <w:fldChar w:fldCharType="end"/>
      </w:r>
      <w:r w:rsidR="00F14010" w:rsidRPr="00C056CD">
        <w:t>,</w:t>
      </w:r>
      <w:r w:rsidR="00345021" w:rsidRPr="00C056CD">
        <w:rPr>
          <w:vertAlign w:val="superscript"/>
        </w:rPr>
        <w:t>34</w:t>
      </w:r>
      <w:r w:rsidR="00092BF4" w:rsidRPr="00C056CD">
        <w:t xml:space="preserve"> </w:t>
      </w:r>
      <w:r w:rsidR="00913D45" w:rsidRPr="00C056CD">
        <w:t xml:space="preserve">but </w:t>
      </w:r>
      <w:r w:rsidR="00F14010" w:rsidRPr="00C056CD">
        <w:t>as age-related comorbidities occur</w:t>
      </w:r>
      <w:r w:rsidR="00913D45" w:rsidRPr="00C056CD">
        <w:t>,</w:t>
      </w:r>
      <w:r w:rsidR="00092BF4" w:rsidRPr="00C056CD">
        <w:t xml:space="preserve"> QoL worsens</w:t>
      </w:r>
      <w:r w:rsidR="007500F3" w:rsidRPr="00C056CD">
        <w:t>.</w:t>
      </w:r>
      <w:r w:rsidR="00345021" w:rsidRPr="00C056CD">
        <w:rPr>
          <w:vertAlign w:val="superscript"/>
        </w:rPr>
        <w:t>9,10,33,34</w:t>
      </w:r>
      <w:r w:rsidR="00092BF4" w:rsidRPr="00C056CD">
        <w:t xml:space="preserve"> </w:t>
      </w:r>
      <w:r w:rsidR="0097334A" w:rsidRPr="00C056CD">
        <w:t xml:space="preserve">Further, the current study </w:t>
      </w:r>
      <w:r w:rsidR="00345021" w:rsidRPr="00C056CD">
        <w:t>found no</w:t>
      </w:r>
      <w:r w:rsidR="0097334A" w:rsidRPr="00C056CD">
        <w:t xml:space="preserve"> significant interaction between QoL changes over time and the location of participants.</w:t>
      </w:r>
      <w:r w:rsidRPr="00C056CD">
        <w:t xml:space="preserve">  </w:t>
      </w:r>
      <w:r w:rsidR="004551D1" w:rsidRPr="00C056CD">
        <w:t xml:space="preserve">This suggests that the </w:t>
      </w:r>
      <w:r w:rsidR="003C097B" w:rsidRPr="00C056CD">
        <w:t>rurality does</w:t>
      </w:r>
      <w:r w:rsidR="004551D1" w:rsidRPr="00C056CD">
        <w:t xml:space="preserve"> not play a significant role in determining </w:t>
      </w:r>
      <w:r w:rsidR="007F7223" w:rsidRPr="00C056CD">
        <w:t xml:space="preserve">change in </w:t>
      </w:r>
      <w:r w:rsidR="004551D1" w:rsidRPr="00C056CD">
        <w:t xml:space="preserve">an individual’s QoL as they age. </w:t>
      </w:r>
      <w:r w:rsidR="00F64418" w:rsidRPr="00C056CD">
        <w:t xml:space="preserve">These findings are supported </w:t>
      </w:r>
      <w:r w:rsidR="00067E95" w:rsidRPr="00C056CD">
        <w:t xml:space="preserve">by another Australian study </w:t>
      </w:r>
      <w:r w:rsidR="004551D1" w:rsidRPr="00C056CD">
        <w:t>investigating the wellness of rural Australians</w:t>
      </w:r>
      <w:r w:rsidR="00067E95" w:rsidRPr="00C056CD">
        <w:t>, in which</w:t>
      </w:r>
      <w:r w:rsidR="004551D1" w:rsidRPr="00C056CD">
        <w:t xml:space="preserve"> personal factors such as </w:t>
      </w:r>
      <w:r w:rsidR="00F64418" w:rsidRPr="00C056CD">
        <w:t xml:space="preserve">health, financial capability, loneliness, and size of social network were </w:t>
      </w:r>
      <w:r w:rsidR="007F7223" w:rsidRPr="00C056CD">
        <w:t>stronger</w:t>
      </w:r>
      <w:r w:rsidR="00F64418" w:rsidRPr="00C056CD">
        <w:t xml:space="preserve"> predictors of wellness than community</w:t>
      </w:r>
      <w:r w:rsidR="003C097B" w:rsidRPr="00C056CD">
        <w:t>-related</w:t>
      </w:r>
      <w:r w:rsidR="00F64418" w:rsidRPr="00C056CD">
        <w:t xml:space="preserve"> factors such as access to services and perception of the community.</w:t>
      </w:r>
      <w:r w:rsidR="00345021" w:rsidRPr="00C056CD">
        <w:rPr>
          <w:vertAlign w:val="superscript"/>
        </w:rPr>
        <w:t>35</w:t>
      </w:r>
      <w:r w:rsidR="00F64418" w:rsidRPr="00C056CD">
        <w:t xml:space="preserve"> The present study adds to the body of </w:t>
      </w:r>
      <w:r w:rsidR="00067E95" w:rsidRPr="00C056CD">
        <w:t xml:space="preserve">literature on </w:t>
      </w:r>
      <w:r w:rsidR="001C4E47" w:rsidRPr="00C056CD">
        <w:t xml:space="preserve">exploring </w:t>
      </w:r>
      <w:r w:rsidR="00067E95" w:rsidRPr="00C056CD">
        <w:t xml:space="preserve">the impact of </w:t>
      </w:r>
      <w:r w:rsidR="001C4E47" w:rsidRPr="00C056CD">
        <w:t>geographic location</w:t>
      </w:r>
      <w:r w:rsidR="00067E95" w:rsidRPr="00C056CD">
        <w:t xml:space="preserve"> on QoL.</w:t>
      </w:r>
    </w:p>
    <w:p w14:paraId="370DBFB8" w14:textId="2078DE47" w:rsidR="00987D48" w:rsidRPr="00C056CD" w:rsidRDefault="003C097B" w:rsidP="00965AB0">
      <w:pPr>
        <w:spacing w:line="360" w:lineRule="auto"/>
        <w:rPr>
          <w:noProof/>
        </w:rPr>
      </w:pPr>
      <w:r w:rsidRPr="00C056CD">
        <w:t xml:space="preserve">A limitation of the study is that </w:t>
      </w:r>
      <w:r w:rsidR="00987D48" w:rsidRPr="00C056CD">
        <w:t xml:space="preserve">participants were recruited </w:t>
      </w:r>
      <w:r w:rsidR="00972050" w:rsidRPr="00C056CD">
        <w:t xml:space="preserve">through service providers. This resulted in a sample in which all participants were receiving either assistance with housing </w:t>
      </w:r>
      <w:r w:rsidR="00E30BF6" w:rsidRPr="00C056CD">
        <w:t>and/</w:t>
      </w:r>
      <w:r w:rsidR="00972050" w:rsidRPr="00C056CD">
        <w:t xml:space="preserve">or some level of care, </w:t>
      </w:r>
      <w:r w:rsidR="00345021" w:rsidRPr="00C056CD">
        <w:t xml:space="preserve">either </w:t>
      </w:r>
      <w:r w:rsidR="00972050" w:rsidRPr="00C056CD">
        <w:t>in the community or in residential care</w:t>
      </w:r>
      <w:r w:rsidR="00987D48" w:rsidRPr="00C056CD">
        <w:t xml:space="preserve">.  </w:t>
      </w:r>
    </w:p>
    <w:p w14:paraId="59DA3C2D" w14:textId="02DB9FF2" w:rsidR="00410FD5" w:rsidRPr="00C056CD" w:rsidRDefault="00987D48" w:rsidP="00965AB0">
      <w:pPr>
        <w:spacing w:line="360" w:lineRule="auto"/>
      </w:pPr>
      <w:r w:rsidRPr="00C056CD">
        <w:rPr>
          <w:noProof/>
        </w:rPr>
        <w:t xml:space="preserve">Taken all together, the present study </w:t>
      </w:r>
      <w:r w:rsidRPr="00C056CD">
        <w:t xml:space="preserve">suggests that the location of older adults is not a critical factor to their QoL as they age. </w:t>
      </w:r>
      <w:r w:rsidR="00345021" w:rsidRPr="00C056CD">
        <w:t xml:space="preserve">Rather, </w:t>
      </w:r>
      <w:r w:rsidRPr="00C056CD">
        <w:t>QoL</w:t>
      </w:r>
      <w:r w:rsidR="00EF442E" w:rsidRPr="00C056CD">
        <w:t xml:space="preserve"> </w:t>
      </w:r>
      <w:r w:rsidR="00345021" w:rsidRPr="00C056CD">
        <w:t>was consisten</w:t>
      </w:r>
      <w:r w:rsidR="00E30BF6" w:rsidRPr="00C056CD">
        <w:t>tly associated with resilience</w:t>
      </w:r>
      <w:r w:rsidR="00EF442E" w:rsidRPr="00C056CD">
        <w:t>. T</w:t>
      </w:r>
      <w:r w:rsidRPr="00C056CD">
        <w:t>herefore</w:t>
      </w:r>
      <w:r w:rsidR="00913D45" w:rsidRPr="00C056CD">
        <w:t>,</w:t>
      </w:r>
      <w:r w:rsidRPr="00C056CD">
        <w:t xml:space="preserve"> </w:t>
      </w:r>
      <w:r w:rsidR="00341B48" w:rsidRPr="00C056CD">
        <w:t>resilience should be fostered</w:t>
      </w:r>
      <w:r w:rsidR="00FA51DB" w:rsidRPr="00C056CD">
        <w:t xml:space="preserve"> in older adults</w:t>
      </w:r>
      <w:r w:rsidR="00A3094C" w:rsidRPr="00C056CD">
        <w:t>, regardless of where they live</w:t>
      </w:r>
      <w:r w:rsidR="00FA51DB" w:rsidRPr="00C056CD">
        <w:t>.</w:t>
      </w:r>
      <w:r w:rsidR="00341B48" w:rsidRPr="00C056CD">
        <w:t xml:space="preserve"> </w:t>
      </w:r>
      <w:r w:rsidR="00CB399C" w:rsidRPr="00C056CD">
        <w:t xml:space="preserve"> </w:t>
      </w:r>
      <w:r w:rsidR="00FC287B" w:rsidRPr="00C056CD">
        <w:t>While there are few evaluations of programs to increase resilience in older people,</w:t>
      </w:r>
      <w:r w:rsidR="00FC287B" w:rsidRPr="00C056CD">
        <w:rPr>
          <w:vertAlign w:val="superscript"/>
        </w:rPr>
        <w:t>30</w:t>
      </w:r>
      <w:r w:rsidR="00FC287B" w:rsidRPr="00C056CD">
        <w:t xml:space="preserve"> research on assisting older adults to savour positive experiences and tools to strengthen relationships have shown promise.</w:t>
      </w:r>
      <w:r w:rsidR="00FC287B" w:rsidRPr="00C056CD">
        <w:rPr>
          <w:vertAlign w:val="superscript"/>
        </w:rPr>
        <w:t>36-37</w:t>
      </w:r>
    </w:p>
    <w:p w14:paraId="24436E87" w14:textId="77777777" w:rsidR="00410FD5" w:rsidRPr="00C056CD" w:rsidRDefault="00410FD5" w:rsidP="00464020">
      <w:pPr>
        <w:contextualSpacing/>
      </w:pPr>
    </w:p>
    <w:p w14:paraId="2BEA0904" w14:textId="77777777" w:rsidR="00A3094C" w:rsidRPr="00C056CD" w:rsidRDefault="00A3094C">
      <w:pPr>
        <w:rPr>
          <w:b/>
        </w:rPr>
      </w:pPr>
      <w:r w:rsidRPr="00C056CD">
        <w:rPr>
          <w:b/>
        </w:rPr>
        <w:br w:type="page"/>
      </w:r>
    </w:p>
    <w:p w14:paraId="4C76EC85" w14:textId="44953A4A" w:rsidR="00F62A8A" w:rsidRPr="00C056CD" w:rsidRDefault="00341B48" w:rsidP="00464020">
      <w:pPr>
        <w:contextualSpacing/>
        <w:rPr>
          <w:b/>
        </w:rPr>
      </w:pPr>
      <w:r w:rsidRPr="00C056CD">
        <w:rPr>
          <w:b/>
        </w:rPr>
        <w:t>References</w:t>
      </w:r>
    </w:p>
    <w:p w14:paraId="6B5310A0" w14:textId="77777777" w:rsidR="006013A6" w:rsidRPr="00C056CD" w:rsidRDefault="00EA4622" w:rsidP="006013A6">
      <w:pPr>
        <w:pStyle w:val="EndNoteBibliography"/>
        <w:spacing w:after="0"/>
        <w:rPr>
          <w:rFonts w:asciiTheme="minorHAnsi" w:hAnsiTheme="minorHAnsi" w:cstheme="minorHAnsi"/>
        </w:rPr>
      </w:pPr>
      <w:r w:rsidRPr="00C056CD">
        <w:rPr>
          <w:rFonts w:asciiTheme="minorHAnsi" w:hAnsiTheme="minorHAnsi" w:cstheme="minorHAnsi"/>
        </w:rPr>
        <w:fldChar w:fldCharType="begin"/>
      </w:r>
      <w:r w:rsidRPr="00C056CD">
        <w:rPr>
          <w:rFonts w:asciiTheme="minorHAnsi" w:hAnsiTheme="minorHAnsi" w:cstheme="minorHAnsi"/>
        </w:rPr>
        <w:instrText xml:space="preserve"> ADDIN EN.REFLIST </w:instrText>
      </w:r>
      <w:r w:rsidRPr="00C056CD">
        <w:rPr>
          <w:rFonts w:asciiTheme="minorHAnsi" w:hAnsiTheme="minorHAnsi" w:cstheme="minorHAnsi"/>
        </w:rPr>
        <w:fldChar w:fldCharType="separate"/>
      </w:r>
      <w:r w:rsidR="006013A6" w:rsidRPr="00C056CD">
        <w:rPr>
          <w:rFonts w:asciiTheme="minorHAnsi" w:hAnsiTheme="minorHAnsi" w:cstheme="minorHAnsi"/>
        </w:rPr>
        <w:t>1.</w:t>
      </w:r>
      <w:r w:rsidR="006013A6" w:rsidRPr="00C056CD">
        <w:rPr>
          <w:rFonts w:asciiTheme="minorHAnsi" w:hAnsiTheme="minorHAnsi" w:cstheme="minorHAnsi"/>
        </w:rPr>
        <w:tab/>
        <w:t>Australian Bureau of Statistics. Population by age and sex, Australia, States and Territories. Cat. No. 3101.0: Canberra; 2016.</w:t>
      </w:r>
    </w:p>
    <w:p w14:paraId="738F8011"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2.</w:t>
      </w:r>
      <w:r w:rsidRPr="00C056CD">
        <w:rPr>
          <w:rFonts w:asciiTheme="minorHAnsi" w:hAnsiTheme="minorHAnsi" w:cstheme="minorHAnsi"/>
        </w:rPr>
        <w:tab/>
        <w:t>Australian Bureau of Statistics. Population projections, Australia, 2012 (base) to 2101. Cat. No. 3222.0: Canberra; 2013.</w:t>
      </w:r>
    </w:p>
    <w:p w14:paraId="6B2ABD31"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3.</w:t>
      </w:r>
      <w:r w:rsidRPr="00C056CD">
        <w:rPr>
          <w:rFonts w:asciiTheme="minorHAnsi" w:hAnsiTheme="minorHAnsi" w:cstheme="minorHAnsi"/>
        </w:rPr>
        <w:tab/>
        <w:t>Davies A. Urban to rural elderly migration: Renewing and reinventing Australia's small rural towns. In: Dufty-Jones R, Connell J, editors. Rural change in Australia: Population, economy, environment. London and New York: Routledge; 2014. p. 43-56.</w:t>
      </w:r>
    </w:p>
    <w:p w14:paraId="11CAC673"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4.</w:t>
      </w:r>
      <w:r w:rsidRPr="00C056CD">
        <w:rPr>
          <w:rFonts w:asciiTheme="minorHAnsi" w:hAnsiTheme="minorHAnsi" w:cstheme="minorHAnsi"/>
        </w:rPr>
        <w:tab/>
        <w:t>Argent N, Griffin T, Smailes P. Migration and aging processes in non-metropolitan Australia: An Analysis of 30 years of dramatic change. In: Wilson T, Charles-Edwards E, Bell M, editors. Demography for planning and policy: Australian case studies. New York: Springer; 2016. p. 133-54.</w:t>
      </w:r>
    </w:p>
    <w:p w14:paraId="77C5EBC2"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5.</w:t>
      </w:r>
      <w:r w:rsidRPr="00C056CD">
        <w:rPr>
          <w:rFonts w:asciiTheme="minorHAnsi" w:hAnsiTheme="minorHAnsi" w:cstheme="minorHAnsi"/>
        </w:rPr>
        <w:tab/>
        <w:t>Gibson C. Rural change in Australia: Population, economy, environment. In: Dufty-Jones R, Connell J, editors. Rural place marketing, tourism and creativity: Entering the post-productivist countryside. London and New York: Routledge; 2014. p. 187-210.</w:t>
      </w:r>
    </w:p>
    <w:p w14:paraId="3214BF2B"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6.</w:t>
      </w:r>
      <w:r w:rsidRPr="00C056CD">
        <w:rPr>
          <w:rFonts w:asciiTheme="minorHAnsi" w:hAnsiTheme="minorHAnsi" w:cstheme="minorHAnsi"/>
        </w:rPr>
        <w:tab/>
        <w:t>World Health Organisation. Measuring quality of life: The World Health Organisation Quality of Life Instrument (WHOQOL). 1997.</w:t>
      </w:r>
    </w:p>
    <w:p w14:paraId="18598E46"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7.</w:t>
      </w:r>
      <w:r w:rsidRPr="00C056CD">
        <w:rPr>
          <w:rFonts w:asciiTheme="minorHAnsi" w:hAnsiTheme="minorHAnsi" w:cstheme="minorHAnsi"/>
        </w:rPr>
        <w:tab/>
        <w:t>Kojima G, Iliffe S, Jivraj S, Walters K. Association between frailty and quality of life among community-dwelling older people: A systematic review and meta-analysis. Journal of Epidemiology and Community Health. 2016;70(7).</w:t>
      </w:r>
    </w:p>
    <w:p w14:paraId="225FA1A0"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8.</w:t>
      </w:r>
      <w:r w:rsidRPr="00C056CD">
        <w:rPr>
          <w:rFonts w:asciiTheme="minorHAnsi" w:hAnsiTheme="minorHAnsi" w:cstheme="minorHAnsi"/>
        </w:rPr>
        <w:tab/>
        <w:t>Shankar A, Hamer M, McMunn A, Steptoe A. Social isolation and loneliness: Relationships with cognitive function during 4 years of follow-up in the English longitudinal study of ageing. Psychosomatic Medicine. 2013;75(2):161-70.</w:t>
      </w:r>
    </w:p>
    <w:p w14:paraId="28C67FB8"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9.</w:t>
      </w:r>
      <w:r w:rsidRPr="00C056CD">
        <w:rPr>
          <w:rFonts w:asciiTheme="minorHAnsi" w:hAnsiTheme="minorHAnsi" w:cstheme="minorHAnsi"/>
        </w:rPr>
        <w:tab/>
        <w:t>Rantakokko M, Portegijs E, Viljanen A, Iwarsson S, Kauppinen M, Rantanen T. Changes in life-space mobility and quality of life among community-dwelling older people: A 2-year follow-up study. Quality of Life Research. 2016;25(5):1189-97.</w:t>
      </w:r>
    </w:p>
    <w:p w14:paraId="447EB7AB"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10.</w:t>
      </w:r>
      <w:r w:rsidRPr="00C056CD">
        <w:rPr>
          <w:rFonts w:asciiTheme="minorHAnsi" w:hAnsiTheme="minorHAnsi" w:cstheme="minorHAnsi"/>
        </w:rPr>
        <w:tab/>
        <w:t>Cho J, Martin P, Poon LW. Successful aging and subjective well-being among oldest-old adults. The Gerontologist. 2015;55(1):132-43.</w:t>
      </w:r>
    </w:p>
    <w:p w14:paraId="3D817DBC"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11.</w:t>
      </w:r>
      <w:r w:rsidRPr="00C056CD">
        <w:rPr>
          <w:rFonts w:asciiTheme="minorHAnsi" w:hAnsiTheme="minorHAnsi" w:cstheme="minorHAnsi"/>
        </w:rPr>
        <w:tab/>
        <w:t>Menec V, Hutton L, Newall N, Nowicki S, Spina J, Veselyuk D. How 'age-friendly' are rural communities and what community characteristics are related to age-friendliness? The case of rural Manitoba, Canada. Ageing and Society. 2015;35(1):203-23.</w:t>
      </w:r>
    </w:p>
    <w:p w14:paraId="04190DE8"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12.</w:t>
      </w:r>
      <w:r w:rsidRPr="00C056CD">
        <w:rPr>
          <w:rFonts w:asciiTheme="minorHAnsi" w:hAnsiTheme="minorHAnsi" w:cstheme="minorHAnsi"/>
        </w:rPr>
        <w:tab/>
        <w:t>Ryser L, Halseth G. Resolving mobility constraints impeding rural seniors' access to regionalized services. Journal of Aging &amp; Social Policy. 2012;24(3):328-44.</w:t>
      </w:r>
    </w:p>
    <w:p w14:paraId="0968F7E4"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13.</w:t>
      </w:r>
      <w:r w:rsidRPr="00C056CD">
        <w:rPr>
          <w:rFonts w:asciiTheme="minorHAnsi" w:hAnsiTheme="minorHAnsi" w:cstheme="minorHAnsi"/>
        </w:rPr>
        <w:tab/>
        <w:t>Bond M, Brown JR, Wood J. Adapting to challenge: Examining older adult transportation in rural communities. Case Studies on Transport Policy. 2017;5(4):707-15.</w:t>
      </w:r>
    </w:p>
    <w:p w14:paraId="1B39D29D"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14.</w:t>
      </w:r>
      <w:r w:rsidRPr="00C056CD">
        <w:rPr>
          <w:rFonts w:asciiTheme="minorHAnsi" w:hAnsiTheme="minorHAnsi" w:cstheme="minorHAnsi"/>
        </w:rPr>
        <w:tab/>
        <w:t>Walsh K, Scharf T, Keating N. Social exclusion of older persons: A scoping review and conceptual framework. Social, Behavioural and Health Perspectives. 2017;14(1):81-98.</w:t>
      </w:r>
    </w:p>
    <w:p w14:paraId="7CB673EC"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15.</w:t>
      </w:r>
      <w:r w:rsidRPr="00C056CD">
        <w:rPr>
          <w:rFonts w:asciiTheme="minorHAnsi" w:hAnsiTheme="minorHAnsi" w:cstheme="minorHAnsi"/>
        </w:rPr>
        <w:tab/>
        <w:t>Douthit N, Kiv S, Dwolatzky T, Biswas S. Exposing some important barriers to health care access in the rural USA. Public Health. 2015;129(6):611-20.</w:t>
      </w:r>
    </w:p>
    <w:p w14:paraId="1122E61E"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16.</w:t>
      </w:r>
      <w:r w:rsidRPr="00C056CD">
        <w:rPr>
          <w:rFonts w:asciiTheme="minorHAnsi" w:hAnsiTheme="minorHAnsi" w:cstheme="minorHAnsi"/>
        </w:rPr>
        <w:tab/>
        <w:t>National Rural Health Alliance Inc. How many doctors are there in rural Australia? ; 2013.</w:t>
      </w:r>
    </w:p>
    <w:p w14:paraId="45D311D2"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17.</w:t>
      </w:r>
      <w:r w:rsidRPr="00C056CD">
        <w:rPr>
          <w:rFonts w:asciiTheme="minorHAnsi" w:hAnsiTheme="minorHAnsi" w:cstheme="minorHAnsi"/>
        </w:rPr>
        <w:tab/>
        <w:t>Winterton R, Warburton J. Healthy ageing in Australia's rural places: The contribution of older volunteers. Voluntary Sector Review. 2014;5(2):181-201.</w:t>
      </w:r>
    </w:p>
    <w:p w14:paraId="42FA09F7"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18.</w:t>
      </w:r>
      <w:r w:rsidRPr="00C056CD">
        <w:rPr>
          <w:rFonts w:asciiTheme="minorHAnsi" w:hAnsiTheme="minorHAnsi" w:cstheme="minorHAnsi"/>
        </w:rPr>
        <w:tab/>
        <w:t>Hodgkin S. "I'm older and more interested in my community": Older people's contributions to social capital. Australasian Journal on Ageing. 2012;31(1):34-9.</w:t>
      </w:r>
    </w:p>
    <w:p w14:paraId="46DF0569"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19.</w:t>
      </w:r>
      <w:r w:rsidRPr="00C056CD">
        <w:rPr>
          <w:rFonts w:asciiTheme="minorHAnsi" w:hAnsiTheme="minorHAnsi" w:cstheme="minorHAnsi"/>
        </w:rPr>
        <w:tab/>
        <w:t>Baernholdt M, Yan G, Hinton I, Rose K, Mattos M. Quality of life in rural and urban adults 65 years and older: Findings from the National Health and Nutrition Examination Survey. Journal of Rural Health. 2012;28(4):339-47.</w:t>
      </w:r>
    </w:p>
    <w:p w14:paraId="5B85967D"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20.</w:t>
      </w:r>
      <w:r w:rsidRPr="00C056CD">
        <w:rPr>
          <w:rFonts w:asciiTheme="minorHAnsi" w:hAnsiTheme="minorHAnsi" w:cstheme="minorHAnsi"/>
        </w:rPr>
        <w:tab/>
        <w:t>Kostka J, Borowiak E, Kostka T. Nutritional status and quality of life in different populations of older people in Poland. European Journal of Clinical Nutrition. 2014;68(11).</w:t>
      </w:r>
    </w:p>
    <w:p w14:paraId="5DD95D45"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21.</w:t>
      </w:r>
      <w:r w:rsidRPr="00C056CD">
        <w:rPr>
          <w:rFonts w:asciiTheme="minorHAnsi" w:hAnsiTheme="minorHAnsi" w:cstheme="minorHAnsi"/>
        </w:rPr>
        <w:tab/>
        <w:t>Zhou B, Chen K, Wang J, Wang H, Zhang S, Zheng W. Quality of life and related factors in the older rural and urban Chinese populations in Zhejiang Province. Journal of Applied Gerontology. 2011;30(2):199-225.</w:t>
      </w:r>
    </w:p>
    <w:p w14:paraId="744D9A11"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22.</w:t>
      </w:r>
      <w:r w:rsidRPr="00C056CD">
        <w:rPr>
          <w:rFonts w:asciiTheme="minorHAnsi" w:hAnsiTheme="minorHAnsi" w:cstheme="minorHAnsi"/>
        </w:rPr>
        <w:tab/>
        <w:t>Power M, Quinn K, Schmidt S. Development of the WHOQOL-Old module. Quality of Life Research. 2005;14(10):2197-214.</w:t>
      </w:r>
    </w:p>
    <w:p w14:paraId="65F88E74"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23.</w:t>
      </w:r>
      <w:r w:rsidRPr="00C056CD">
        <w:rPr>
          <w:rFonts w:asciiTheme="minorHAnsi" w:hAnsiTheme="minorHAnsi" w:cstheme="minorHAnsi"/>
        </w:rPr>
        <w:tab/>
        <w:t>Fillenbaum G. Multidimensional Functional Assessment of Older Adults: Lawrence Erlbaum Publishing; 1988.</w:t>
      </w:r>
    </w:p>
    <w:p w14:paraId="77D2FA7C"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24.</w:t>
      </w:r>
      <w:r w:rsidRPr="00C056CD">
        <w:rPr>
          <w:rFonts w:asciiTheme="minorHAnsi" w:hAnsiTheme="minorHAnsi" w:cstheme="minorHAnsi"/>
        </w:rPr>
        <w:tab/>
        <w:t>Wagnild GM, Young HM. Development and psychometric evaluation of the resilience scale. Journal of Nursing Measurement. 1993;1(2):165-78.</w:t>
      </w:r>
    </w:p>
    <w:p w14:paraId="1484A6C4"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25.</w:t>
      </w:r>
      <w:r w:rsidRPr="00C056CD">
        <w:rPr>
          <w:rFonts w:asciiTheme="minorHAnsi" w:hAnsiTheme="minorHAnsi" w:cstheme="minorHAnsi"/>
        </w:rPr>
        <w:tab/>
        <w:t>McColl MA, Davies D, Carlson P, Johnston J, Minnes P. The community intergration measure: Development and preliminary validation. Archives of Physical Medicine and Rehabilitation. 2001;82:429-34.</w:t>
      </w:r>
    </w:p>
    <w:p w14:paraId="7F4849B9"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26.</w:t>
      </w:r>
      <w:r w:rsidRPr="00C056CD">
        <w:rPr>
          <w:rFonts w:asciiTheme="minorHAnsi" w:hAnsiTheme="minorHAnsi" w:cstheme="minorHAnsi"/>
        </w:rPr>
        <w:tab/>
        <w:t>Australian Bureau of Statistics. Australian Statistical Geography Standard (ASGS): Volume 5 - Remoteness Structure, July 2016. Cat. No. 1270.0.55.005: Canberra; 2016.</w:t>
      </w:r>
    </w:p>
    <w:p w14:paraId="4B42FA07"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27.</w:t>
      </w:r>
      <w:r w:rsidRPr="00C056CD">
        <w:rPr>
          <w:rFonts w:asciiTheme="minorHAnsi" w:hAnsiTheme="minorHAnsi" w:cstheme="minorHAnsi"/>
        </w:rPr>
        <w:tab/>
        <w:t>Australian Bureau of Statistics. Household income and wealth, Australia: Summary of Results, 2015-16. 65230DO016: Canberra; 2017.</w:t>
      </w:r>
    </w:p>
    <w:p w14:paraId="2349136D"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28.</w:t>
      </w:r>
      <w:r w:rsidRPr="00C056CD">
        <w:rPr>
          <w:rFonts w:asciiTheme="minorHAnsi" w:hAnsiTheme="minorHAnsi" w:cstheme="minorHAnsi"/>
        </w:rPr>
        <w:tab/>
        <w:t>Population Health. State of public health 2013. In: Department of Health and Human Services Tasmania, editor. 2013.</w:t>
      </w:r>
    </w:p>
    <w:p w14:paraId="35608BCC"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29.</w:t>
      </w:r>
      <w:r w:rsidRPr="00C056CD">
        <w:rPr>
          <w:rFonts w:asciiTheme="minorHAnsi" w:hAnsiTheme="minorHAnsi" w:cstheme="minorHAnsi"/>
        </w:rPr>
        <w:tab/>
        <w:t>Stephens C, Breheny M, Mansvelt J. Healthy ageing from the perspective of older people: A capabilities approach to resilience. Psychology &amp; Health. 2014;30(6):1-29.</w:t>
      </w:r>
    </w:p>
    <w:p w14:paraId="4C5FCAD3"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30.</w:t>
      </w:r>
      <w:r w:rsidRPr="00C056CD">
        <w:rPr>
          <w:rFonts w:asciiTheme="minorHAnsi" w:hAnsiTheme="minorHAnsi" w:cstheme="minorHAnsi"/>
        </w:rPr>
        <w:tab/>
        <w:t>Macleod S, Musich S, Hawkins K, Alsgaard K, Wicker ER. The impact of resilience among older adults. Geriatric Nursing. 2016;37(4):266-72.</w:t>
      </w:r>
    </w:p>
    <w:p w14:paraId="5586F70B"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31.</w:t>
      </w:r>
      <w:r w:rsidRPr="00C056CD">
        <w:rPr>
          <w:rFonts w:asciiTheme="minorHAnsi" w:hAnsiTheme="minorHAnsi" w:cstheme="minorHAnsi"/>
        </w:rPr>
        <w:tab/>
        <w:t>Martin AvS, Distelberg B, Palmer BW, Jeste DV. Development of a new multidimensional individual and interpersonal resilience measure for older adults. Aging &amp; Mental Health. 2014;19(1):1-14.</w:t>
      </w:r>
    </w:p>
    <w:p w14:paraId="7B100C05"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32.</w:t>
      </w:r>
      <w:r w:rsidRPr="00C056CD">
        <w:rPr>
          <w:rFonts w:asciiTheme="minorHAnsi" w:hAnsiTheme="minorHAnsi" w:cstheme="minorHAnsi"/>
        </w:rPr>
        <w:tab/>
        <w:t>Nyqvist F, Forsman AK, Giuntoli G, Cattan M. Social capital as a resource for mental well-being in older people: A systematic review. Aging &amp; Mental Health. 2013;17(4):394-410.</w:t>
      </w:r>
    </w:p>
    <w:p w14:paraId="64B72C5C"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33.</w:t>
      </w:r>
      <w:r w:rsidRPr="00C056CD">
        <w:rPr>
          <w:rFonts w:asciiTheme="minorHAnsi" w:hAnsiTheme="minorHAnsi" w:cstheme="minorHAnsi"/>
        </w:rPr>
        <w:tab/>
        <w:t>Enkvist Å, Ekström H, Elmståhl S. What factors affect life satisfaction (LS) among the oldest-old? Archives of Gerontology and Geriatrics. 2011;54(1).</w:t>
      </w:r>
    </w:p>
    <w:p w14:paraId="1E5A7259" w14:textId="77777777"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34.</w:t>
      </w:r>
      <w:r w:rsidRPr="00C056CD">
        <w:rPr>
          <w:rFonts w:asciiTheme="minorHAnsi" w:hAnsiTheme="minorHAnsi" w:cstheme="minorHAnsi"/>
        </w:rPr>
        <w:tab/>
        <w:t>Steptoe A, Deaton A, Stone AA. Subjective wellbeing, health, and ageing. The Lancet. 2015;385(9968):640-8.</w:t>
      </w:r>
    </w:p>
    <w:p w14:paraId="7C7A82F8" w14:textId="1F703B6C" w:rsidR="006013A6" w:rsidRPr="00C056CD" w:rsidRDefault="006013A6" w:rsidP="006013A6">
      <w:pPr>
        <w:pStyle w:val="EndNoteBibliography"/>
        <w:spacing w:after="0"/>
        <w:rPr>
          <w:rFonts w:asciiTheme="minorHAnsi" w:hAnsiTheme="minorHAnsi" w:cstheme="minorHAnsi"/>
        </w:rPr>
      </w:pPr>
      <w:r w:rsidRPr="00C056CD">
        <w:rPr>
          <w:rFonts w:asciiTheme="minorHAnsi" w:hAnsiTheme="minorHAnsi" w:cstheme="minorHAnsi"/>
        </w:rPr>
        <w:t>35.</w:t>
      </w:r>
      <w:r w:rsidRPr="00C056CD">
        <w:rPr>
          <w:rFonts w:asciiTheme="minorHAnsi" w:hAnsiTheme="minorHAnsi" w:cstheme="minorHAnsi"/>
        </w:rPr>
        <w:tab/>
        <w:t>Hodgkin SP, Warburton J, Hancock S. Predicting wellness among rural older Australians: A cross- sectional study. Rural and remote health. 2018;18(3):4547.</w:t>
      </w:r>
    </w:p>
    <w:p w14:paraId="2FA47035" w14:textId="0B27F5E9" w:rsidR="00FC287B" w:rsidRPr="00C056CD" w:rsidRDefault="00FC287B" w:rsidP="006013A6">
      <w:pPr>
        <w:pStyle w:val="EndNoteBibliography"/>
        <w:spacing w:after="0"/>
        <w:rPr>
          <w:rFonts w:asciiTheme="minorHAnsi" w:hAnsiTheme="minorHAnsi" w:cstheme="minorHAnsi"/>
        </w:rPr>
      </w:pPr>
      <w:r w:rsidRPr="00C056CD">
        <w:rPr>
          <w:rFonts w:asciiTheme="minorHAnsi" w:hAnsiTheme="minorHAnsi" w:cstheme="minorHAnsi"/>
        </w:rPr>
        <w:t xml:space="preserve">36. </w:t>
      </w:r>
      <w:r w:rsidRPr="00C056CD">
        <w:rPr>
          <w:rFonts w:asciiTheme="minorHAnsi" w:hAnsiTheme="minorHAnsi" w:cstheme="minorHAnsi"/>
        </w:rPr>
        <w:tab/>
        <w:t>Smith JL, Hollinger-Smith L. Savoring, resilience, and psychological well-being in older adults. Aging Ment Health. 2015; 19(3):192-200.</w:t>
      </w:r>
    </w:p>
    <w:p w14:paraId="6401ACB7" w14:textId="61ED16F9" w:rsidR="00FC287B" w:rsidRPr="00C056CD" w:rsidRDefault="00FC287B" w:rsidP="006013A6">
      <w:pPr>
        <w:pStyle w:val="EndNoteBibliography"/>
        <w:spacing w:after="0"/>
        <w:rPr>
          <w:rFonts w:asciiTheme="minorHAnsi" w:hAnsiTheme="minorHAnsi" w:cstheme="minorHAnsi"/>
        </w:rPr>
      </w:pPr>
      <w:r w:rsidRPr="00C056CD">
        <w:rPr>
          <w:rFonts w:asciiTheme="minorHAnsi" w:hAnsiTheme="minorHAnsi" w:cstheme="minorHAnsi"/>
        </w:rPr>
        <w:t>37.</w:t>
      </w:r>
      <w:r w:rsidRPr="00C056CD">
        <w:rPr>
          <w:rFonts w:asciiTheme="minorHAnsi" w:hAnsiTheme="minorHAnsi" w:cstheme="minorHAnsi"/>
        </w:rPr>
        <w:tab/>
        <w:t>Lyubomirsky S, Della Porta MD. Boosting happiness, buttressing resilience: results from cognitive and behavioral interventions, In: Reich JW, Zautra AJ, Hall J, eds.</w:t>
      </w:r>
      <w:r w:rsidR="0016053D" w:rsidRPr="00C056CD">
        <w:rPr>
          <w:rFonts w:asciiTheme="minorHAnsi" w:hAnsiTheme="minorHAnsi" w:cstheme="minorHAnsi"/>
        </w:rPr>
        <w:t xml:space="preserve"> </w:t>
      </w:r>
      <w:r w:rsidRPr="00C056CD">
        <w:rPr>
          <w:rStyle w:val="Emphasis"/>
          <w:rFonts w:asciiTheme="minorHAnsi" w:hAnsiTheme="minorHAnsi" w:cstheme="minorHAnsi"/>
        </w:rPr>
        <w:t>Handbook of Adult Resilience: Concepts, Methods, and Applications</w:t>
      </w:r>
      <w:r w:rsidR="0016053D" w:rsidRPr="00C056CD">
        <w:rPr>
          <w:rFonts w:asciiTheme="minorHAnsi" w:hAnsiTheme="minorHAnsi" w:cstheme="minorHAnsi"/>
        </w:rPr>
        <w:t xml:space="preserve">. </w:t>
      </w:r>
      <w:r w:rsidRPr="00C056CD">
        <w:rPr>
          <w:rFonts w:asciiTheme="minorHAnsi" w:hAnsiTheme="minorHAnsi" w:cstheme="minorHAnsi"/>
        </w:rPr>
        <w:t>NY: Guilford Press</w:t>
      </w:r>
    </w:p>
    <w:p w14:paraId="51F50E20" w14:textId="747CC7F0" w:rsidR="00FC287B" w:rsidRPr="00C056CD" w:rsidRDefault="00EA4622" w:rsidP="00FC287B">
      <w:pPr>
        <w:rPr>
          <w:rFonts w:ascii="Arial" w:eastAsia="Times New Roman" w:hAnsi="Arial" w:cs="Arial"/>
          <w:color w:val="737373"/>
          <w:sz w:val="20"/>
          <w:szCs w:val="20"/>
          <w:lang w:eastAsia="en-AU"/>
        </w:rPr>
      </w:pPr>
      <w:r w:rsidRPr="00C056CD">
        <w:rPr>
          <w:rFonts w:cstheme="minorHAnsi"/>
        </w:rPr>
        <w:fldChar w:fldCharType="end"/>
      </w:r>
    </w:p>
    <w:p w14:paraId="3E9558E3" w14:textId="4801CACA" w:rsidR="00905F24" w:rsidRPr="00C056CD" w:rsidRDefault="00905F24" w:rsidP="00464020"/>
    <w:p w14:paraId="475A1F2B" w14:textId="77777777" w:rsidR="00905F24" w:rsidRPr="00C056CD" w:rsidRDefault="00905F24">
      <w:r w:rsidRPr="00C056CD">
        <w:br w:type="page"/>
      </w:r>
    </w:p>
    <w:p w14:paraId="676A97D3" w14:textId="77777777" w:rsidR="00905F24" w:rsidRPr="00C056CD" w:rsidRDefault="00905F24" w:rsidP="00905F24">
      <w:pPr>
        <w:contextualSpacing/>
      </w:pPr>
      <w:r w:rsidRPr="00C056CD">
        <w:t xml:space="preserve">Table 1. </w:t>
      </w:r>
    </w:p>
    <w:p w14:paraId="7F4F665F" w14:textId="6759B9F4" w:rsidR="00905F24" w:rsidRPr="00C056CD" w:rsidRDefault="00905F24" w:rsidP="00905F24">
      <w:pPr>
        <w:contextualSpacing/>
        <w:rPr>
          <w:i/>
        </w:rPr>
      </w:pPr>
      <w:r w:rsidRPr="00C056CD">
        <w:rPr>
          <w:i/>
        </w:rPr>
        <w:t xml:space="preserve">Frequencies for gender, living arrangement, and accommodation option at </w:t>
      </w:r>
      <w:r w:rsidR="001A0705" w:rsidRPr="00C056CD">
        <w:rPr>
          <w:i/>
        </w:rPr>
        <w:t>Time 1</w:t>
      </w:r>
    </w:p>
    <w:tbl>
      <w:tblPr>
        <w:tblStyle w:val="TableGrid"/>
        <w:tblW w:w="0" w:type="auto"/>
        <w:tblLook w:val="04A0" w:firstRow="1" w:lastRow="0" w:firstColumn="1" w:lastColumn="0" w:noHBand="0" w:noVBand="1"/>
      </w:tblPr>
      <w:tblGrid>
        <w:gridCol w:w="3721"/>
        <w:gridCol w:w="1519"/>
        <w:gridCol w:w="1843"/>
        <w:gridCol w:w="1706"/>
      </w:tblGrid>
      <w:tr w:rsidR="00905F24" w:rsidRPr="00C056CD" w14:paraId="43F2FFE6" w14:textId="77777777" w:rsidTr="001A5091">
        <w:tc>
          <w:tcPr>
            <w:tcW w:w="3721" w:type="dxa"/>
            <w:tcBorders>
              <w:top w:val="single" w:sz="4" w:space="0" w:color="auto"/>
              <w:left w:val="nil"/>
              <w:bottom w:val="nil"/>
              <w:right w:val="nil"/>
            </w:tcBorders>
          </w:tcPr>
          <w:p w14:paraId="241739DB" w14:textId="77777777" w:rsidR="00905F24" w:rsidRPr="00C056CD" w:rsidRDefault="00905F24" w:rsidP="003C097B"/>
        </w:tc>
        <w:tc>
          <w:tcPr>
            <w:tcW w:w="5068" w:type="dxa"/>
            <w:gridSpan w:val="3"/>
            <w:tcBorders>
              <w:left w:val="nil"/>
              <w:right w:val="nil"/>
            </w:tcBorders>
          </w:tcPr>
          <w:p w14:paraId="2A135D67" w14:textId="77777777" w:rsidR="00905F24" w:rsidRPr="00C056CD" w:rsidRDefault="00905F24" w:rsidP="003C097B">
            <w:pPr>
              <w:jc w:val="center"/>
            </w:pPr>
            <w:r w:rsidRPr="00C056CD">
              <w:t>Location</w:t>
            </w:r>
          </w:p>
        </w:tc>
      </w:tr>
      <w:tr w:rsidR="00905F24" w:rsidRPr="00C056CD" w14:paraId="27CA4C08" w14:textId="77777777" w:rsidTr="001A5091">
        <w:tc>
          <w:tcPr>
            <w:tcW w:w="3721" w:type="dxa"/>
            <w:tcBorders>
              <w:top w:val="nil"/>
              <w:left w:val="nil"/>
              <w:bottom w:val="single" w:sz="4" w:space="0" w:color="auto"/>
              <w:right w:val="nil"/>
            </w:tcBorders>
          </w:tcPr>
          <w:p w14:paraId="5C4FFF55" w14:textId="77777777" w:rsidR="00905F24" w:rsidRPr="00C056CD" w:rsidRDefault="00905F24" w:rsidP="003C097B"/>
        </w:tc>
        <w:tc>
          <w:tcPr>
            <w:tcW w:w="1519" w:type="dxa"/>
            <w:tcBorders>
              <w:left w:val="nil"/>
              <w:bottom w:val="single" w:sz="4" w:space="0" w:color="auto"/>
              <w:right w:val="nil"/>
            </w:tcBorders>
          </w:tcPr>
          <w:p w14:paraId="0403457C" w14:textId="77777777" w:rsidR="00905F24" w:rsidRPr="00C056CD" w:rsidRDefault="00905F24" w:rsidP="003C097B">
            <w:pPr>
              <w:jc w:val="center"/>
            </w:pPr>
            <w:r w:rsidRPr="00C056CD">
              <w:t xml:space="preserve">Urban Victoria </w:t>
            </w:r>
          </w:p>
        </w:tc>
        <w:tc>
          <w:tcPr>
            <w:tcW w:w="1843" w:type="dxa"/>
            <w:tcBorders>
              <w:left w:val="nil"/>
              <w:bottom w:val="single" w:sz="4" w:space="0" w:color="auto"/>
              <w:right w:val="nil"/>
            </w:tcBorders>
          </w:tcPr>
          <w:p w14:paraId="0C8D6537" w14:textId="77777777" w:rsidR="00905F24" w:rsidRPr="00C056CD" w:rsidRDefault="00905F24" w:rsidP="003C097B">
            <w:pPr>
              <w:jc w:val="center"/>
            </w:pPr>
            <w:r w:rsidRPr="00C056CD">
              <w:t xml:space="preserve">Rural Victoria </w:t>
            </w:r>
          </w:p>
        </w:tc>
        <w:tc>
          <w:tcPr>
            <w:tcW w:w="1706" w:type="dxa"/>
            <w:tcBorders>
              <w:left w:val="nil"/>
              <w:bottom w:val="single" w:sz="4" w:space="0" w:color="auto"/>
              <w:right w:val="nil"/>
            </w:tcBorders>
          </w:tcPr>
          <w:p w14:paraId="2770A72E" w14:textId="77777777" w:rsidR="00905F24" w:rsidRPr="00C056CD" w:rsidRDefault="00905F24" w:rsidP="003C097B">
            <w:pPr>
              <w:jc w:val="center"/>
            </w:pPr>
            <w:r w:rsidRPr="00C056CD">
              <w:t>Rural Tasmania</w:t>
            </w:r>
          </w:p>
        </w:tc>
      </w:tr>
      <w:tr w:rsidR="00905F24" w:rsidRPr="00C056CD" w14:paraId="1B03E300" w14:textId="77777777" w:rsidTr="001A5091">
        <w:tc>
          <w:tcPr>
            <w:tcW w:w="3721" w:type="dxa"/>
            <w:tcBorders>
              <w:left w:val="nil"/>
              <w:bottom w:val="nil"/>
              <w:right w:val="nil"/>
            </w:tcBorders>
          </w:tcPr>
          <w:p w14:paraId="16D38ADA" w14:textId="77777777" w:rsidR="00905F24" w:rsidRPr="00C056CD" w:rsidRDefault="00905F24" w:rsidP="003C097B">
            <w:r w:rsidRPr="00C056CD">
              <w:t>Gender</w:t>
            </w:r>
          </w:p>
          <w:p w14:paraId="4C828CA9" w14:textId="77777777" w:rsidR="00905F24" w:rsidRPr="00C056CD" w:rsidRDefault="00905F24" w:rsidP="003C097B">
            <w:pPr>
              <w:ind w:left="284"/>
            </w:pPr>
            <w:r w:rsidRPr="00C056CD">
              <w:t>Male</w:t>
            </w:r>
          </w:p>
          <w:p w14:paraId="475B0377" w14:textId="77777777" w:rsidR="00905F24" w:rsidRPr="00C056CD" w:rsidRDefault="00905F24" w:rsidP="003C097B">
            <w:pPr>
              <w:ind w:left="284"/>
            </w:pPr>
            <w:r w:rsidRPr="00C056CD">
              <w:t>Female</w:t>
            </w:r>
          </w:p>
        </w:tc>
        <w:tc>
          <w:tcPr>
            <w:tcW w:w="1519" w:type="dxa"/>
            <w:tcBorders>
              <w:left w:val="nil"/>
              <w:bottom w:val="nil"/>
              <w:right w:val="nil"/>
            </w:tcBorders>
          </w:tcPr>
          <w:p w14:paraId="09A0BE6E" w14:textId="77777777" w:rsidR="00905F24" w:rsidRPr="00C056CD" w:rsidRDefault="00905F24" w:rsidP="001A5091">
            <w:pPr>
              <w:tabs>
                <w:tab w:val="decimal" w:pos="765"/>
              </w:tabs>
            </w:pPr>
          </w:p>
          <w:p w14:paraId="76B63F66" w14:textId="77777777" w:rsidR="00905F24" w:rsidRPr="00C056CD" w:rsidRDefault="00905F24" w:rsidP="001A5091">
            <w:pPr>
              <w:tabs>
                <w:tab w:val="decimal" w:pos="765"/>
              </w:tabs>
            </w:pPr>
            <w:r w:rsidRPr="00C056CD">
              <w:t>99</w:t>
            </w:r>
          </w:p>
          <w:p w14:paraId="48AB2A29" w14:textId="77777777" w:rsidR="00905F24" w:rsidRPr="00C056CD" w:rsidRDefault="00905F24" w:rsidP="001A5091">
            <w:pPr>
              <w:tabs>
                <w:tab w:val="decimal" w:pos="765"/>
              </w:tabs>
            </w:pPr>
            <w:r w:rsidRPr="00C056CD">
              <w:t>180</w:t>
            </w:r>
          </w:p>
        </w:tc>
        <w:tc>
          <w:tcPr>
            <w:tcW w:w="1843" w:type="dxa"/>
            <w:tcBorders>
              <w:left w:val="nil"/>
              <w:bottom w:val="nil"/>
              <w:right w:val="nil"/>
            </w:tcBorders>
          </w:tcPr>
          <w:p w14:paraId="697D3558" w14:textId="77777777" w:rsidR="00905F24" w:rsidRPr="00C056CD" w:rsidRDefault="00905F24" w:rsidP="001A5091">
            <w:pPr>
              <w:tabs>
                <w:tab w:val="decimal" w:pos="765"/>
              </w:tabs>
            </w:pPr>
          </w:p>
          <w:p w14:paraId="037451A1" w14:textId="77777777" w:rsidR="00905F24" w:rsidRPr="00C056CD" w:rsidRDefault="00905F24" w:rsidP="001A5091">
            <w:pPr>
              <w:tabs>
                <w:tab w:val="decimal" w:pos="765"/>
              </w:tabs>
            </w:pPr>
            <w:r w:rsidRPr="00C056CD">
              <w:t>22</w:t>
            </w:r>
          </w:p>
          <w:p w14:paraId="206C4D1B" w14:textId="77777777" w:rsidR="00905F24" w:rsidRPr="00C056CD" w:rsidRDefault="00905F24" w:rsidP="001A5091">
            <w:pPr>
              <w:tabs>
                <w:tab w:val="decimal" w:pos="765"/>
              </w:tabs>
            </w:pPr>
            <w:r w:rsidRPr="00C056CD">
              <w:t>76</w:t>
            </w:r>
          </w:p>
        </w:tc>
        <w:tc>
          <w:tcPr>
            <w:tcW w:w="1706" w:type="dxa"/>
            <w:tcBorders>
              <w:left w:val="nil"/>
              <w:bottom w:val="nil"/>
              <w:right w:val="nil"/>
            </w:tcBorders>
          </w:tcPr>
          <w:p w14:paraId="75D6C073" w14:textId="77777777" w:rsidR="00905F24" w:rsidRPr="00C056CD" w:rsidRDefault="00905F24" w:rsidP="001A5091">
            <w:pPr>
              <w:tabs>
                <w:tab w:val="decimal" w:pos="765"/>
              </w:tabs>
            </w:pPr>
          </w:p>
          <w:p w14:paraId="4AA1EC18" w14:textId="77777777" w:rsidR="00905F24" w:rsidRPr="00C056CD" w:rsidRDefault="00905F24" w:rsidP="001A5091">
            <w:pPr>
              <w:tabs>
                <w:tab w:val="decimal" w:pos="765"/>
              </w:tabs>
            </w:pPr>
            <w:r w:rsidRPr="00C056CD">
              <w:t>19</w:t>
            </w:r>
          </w:p>
          <w:p w14:paraId="40EB3959" w14:textId="77777777" w:rsidR="00905F24" w:rsidRPr="00C056CD" w:rsidRDefault="00905F24" w:rsidP="001A5091">
            <w:pPr>
              <w:tabs>
                <w:tab w:val="decimal" w:pos="765"/>
              </w:tabs>
            </w:pPr>
            <w:r w:rsidRPr="00C056CD">
              <w:t>28</w:t>
            </w:r>
          </w:p>
        </w:tc>
      </w:tr>
      <w:tr w:rsidR="00905F24" w:rsidRPr="00C056CD" w14:paraId="1B0A977D" w14:textId="77777777" w:rsidTr="001A5091">
        <w:tc>
          <w:tcPr>
            <w:tcW w:w="3721" w:type="dxa"/>
            <w:tcBorders>
              <w:top w:val="nil"/>
              <w:left w:val="nil"/>
              <w:bottom w:val="nil"/>
              <w:right w:val="nil"/>
            </w:tcBorders>
          </w:tcPr>
          <w:p w14:paraId="7F283E67" w14:textId="77777777" w:rsidR="00905F24" w:rsidRPr="00C056CD" w:rsidRDefault="00905F24" w:rsidP="003C097B">
            <w:r w:rsidRPr="00C056CD">
              <w:t>Living arrangement</w:t>
            </w:r>
          </w:p>
          <w:p w14:paraId="45EEF997" w14:textId="77777777" w:rsidR="00905F24" w:rsidRPr="00C056CD" w:rsidRDefault="00905F24" w:rsidP="003C097B">
            <w:pPr>
              <w:ind w:left="284"/>
            </w:pPr>
            <w:r w:rsidRPr="00C056CD">
              <w:t>Living alone</w:t>
            </w:r>
          </w:p>
          <w:p w14:paraId="7BE9FF93" w14:textId="77777777" w:rsidR="00905F24" w:rsidRPr="00C056CD" w:rsidRDefault="00905F24" w:rsidP="003C097B">
            <w:pPr>
              <w:ind w:left="284"/>
            </w:pPr>
            <w:r w:rsidRPr="00C056CD">
              <w:t>Living with someone</w:t>
            </w:r>
          </w:p>
          <w:p w14:paraId="5AFEB5EB" w14:textId="77777777" w:rsidR="00905F24" w:rsidRPr="00C056CD" w:rsidRDefault="00905F24" w:rsidP="003C097B">
            <w:pPr>
              <w:ind w:left="284"/>
            </w:pPr>
            <w:r w:rsidRPr="00C056CD">
              <w:t>Missing value</w:t>
            </w:r>
          </w:p>
        </w:tc>
        <w:tc>
          <w:tcPr>
            <w:tcW w:w="1519" w:type="dxa"/>
            <w:tcBorders>
              <w:top w:val="nil"/>
              <w:left w:val="nil"/>
              <w:bottom w:val="nil"/>
              <w:right w:val="nil"/>
            </w:tcBorders>
          </w:tcPr>
          <w:p w14:paraId="7895DA99" w14:textId="77777777" w:rsidR="00905F24" w:rsidRPr="00C056CD" w:rsidRDefault="00905F24" w:rsidP="001A5091">
            <w:pPr>
              <w:tabs>
                <w:tab w:val="decimal" w:pos="765"/>
              </w:tabs>
            </w:pPr>
          </w:p>
          <w:p w14:paraId="27F024CE" w14:textId="77777777" w:rsidR="00905F24" w:rsidRPr="00C056CD" w:rsidRDefault="00905F24" w:rsidP="001A5091">
            <w:pPr>
              <w:tabs>
                <w:tab w:val="decimal" w:pos="765"/>
              </w:tabs>
            </w:pPr>
            <w:r w:rsidRPr="00C056CD">
              <w:t>139</w:t>
            </w:r>
          </w:p>
          <w:p w14:paraId="42C0CB2D" w14:textId="77777777" w:rsidR="00905F24" w:rsidRPr="00C056CD" w:rsidRDefault="00905F24" w:rsidP="001A5091">
            <w:pPr>
              <w:tabs>
                <w:tab w:val="decimal" w:pos="765"/>
              </w:tabs>
            </w:pPr>
            <w:r w:rsidRPr="00C056CD">
              <w:t>109</w:t>
            </w:r>
          </w:p>
          <w:p w14:paraId="793F5D1A" w14:textId="77777777" w:rsidR="00905F24" w:rsidRPr="00C056CD" w:rsidRDefault="00905F24" w:rsidP="001A5091">
            <w:pPr>
              <w:tabs>
                <w:tab w:val="decimal" w:pos="765"/>
              </w:tabs>
            </w:pPr>
            <w:r w:rsidRPr="00C056CD">
              <w:t>31</w:t>
            </w:r>
          </w:p>
        </w:tc>
        <w:tc>
          <w:tcPr>
            <w:tcW w:w="1843" w:type="dxa"/>
            <w:tcBorders>
              <w:top w:val="nil"/>
              <w:left w:val="nil"/>
              <w:bottom w:val="nil"/>
              <w:right w:val="nil"/>
            </w:tcBorders>
          </w:tcPr>
          <w:p w14:paraId="0EE3B3E5" w14:textId="77777777" w:rsidR="00905F24" w:rsidRPr="00C056CD" w:rsidRDefault="00905F24" w:rsidP="001A5091">
            <w:pPr>
              <w:tabs>
                <w:tab w:val="decimal" w:pos="765"/>
              </w:tabs>
            </w:pPr>
          </w:p>
          <w:p w14:paraId="50791EFF" w14:textId="77777777" w:rsidR="00905F24" w:rsidRPr="00C056CD" w:rsidRDefault="00905F24" w:rsidP="001A5091">
            <w:pPr>
              <w:tabs>
                <w:tab w:val="decimal" w:pos="765"/>
              </w:tabs>
            </w:pPr>
            <w:r w:rsidRPr="00C056CD">
              <w:t>70</w:t>
            </w:r>
          </w:p>
          <w:p w14:paraId="51A70F6D" w14:textId="77777777" w:rsidR="00905F24" w:rsidRPr="00C056CD" w:rsidRDefault="00905F24" w:rsidP="001A5091">
            <w:pPr>
              <w:tabs>
                <w:tab w:val="decimal" w:pos="765"/>
              </w:tabs>
            </w:pPr>
            <w:r w:rsidRPr="00C056CD">
              <w:t>18</w:t>
            </w:r>
          </w:p>
          <w:p w14:paraId="1107ACEE" w14:textId="77777777" w:rsidR="00905F24" w:rsidRPr="00C056CD" w:rsidRDefault="00905F24" w:rsidP="001A5091">
            <w:pPr>
              <w:tabs>
                <w:tab w:val="decimal" w:pos="765"/>
              </w:tabs>
            </w:pPr>
            <w:r w:rsidRPr="00C056CD">
              <w:t>10</w:t>
            </w:r>
          </w:p>
        </w:tc>
        <w:tc>
          <w:tcPr>
            <w:tcW w:w="1706" w:type="dxa"/>
            <w:tcBorders>
              <w:top w:val="nil"/>
              <w:left w:val="nil"/>
              <w:bottom w:val="nil"/>
              <w:right w:val="nil"/>
            </w:tcBorders>
          </w:tcPr>
          <w:p w14:paraId="6E81E240" w14:textId="77777777" w:rsidR="00905F24" w:rsidRPr="00C056CD" w:rsidRDefault="00905F24" w:rsidP="001A5091">
            <w:pPr>
              <w:tabs>
                <w:tab w:val="decimal" w:pos="765"/>
              </w:tabs>
            </w:pPr>
          </w:p>
          <w:p w14:paraId="07D1AF82" w14:textId="77777777" w:rsidR="00905F24" w:rsidRPr="00C056CD" w:rsidRDefault="00905F24" w:rsidP="001A5091">
            <w:pPr>
              <w:tabs>
                <w:tab w:val="decimal" w:pos="765"/>
              </w:tabs>
            </w:pPr>
            <w:r w:rsidRPr="00C056CD">
              <w:t>31</w:t>
            </w:r>
          </w:p>
          <w:p w14:paraId="1246C441" w14:textId="77777777" w:rsidR="00905F24" w:rsidRPr="00C056CD" w:rsidRDefault="00905F24" w:rsidP="001A5091">
            <w:pPr>
              <w:tabs>
                <w:tab w:val="decimal" w:pos="765"/>
              </w:tabs>
            </w:pPr>
            <w:r w:rsidRPr="00C056CD">
              <w:t>12</w:t>
            </w:r>
          </w:p>
          <w:p w14:paraId="3FE3A3AA" w14:textId="77777777" w:rsidR="00905F24" w:rsidRPr="00C056CD" w:rsidRDefault="00905F24" w:rsidP="001A5091">
            <w:pPr>
              <w:tabs>
                <w:tab w:val="decimal" w:pos="765"/>
              </w:tabs>
            </w:pPr>
            <w:r w:rsidRPr="00C056CD">
              <w:t>4</w:t>
            </w:r>
          </w:p>
        </w:tc>
      </w:tr>
      <w:tr w:rsidR="00905F24" w:rsidRPr="00C056CD" w14:paraId="50697903" w14:textId="77777777" w:rsidTr="001A5091">
        <w:tc>
          <w:tcPr>
            <w:tcW w:w="3721" w:type="dxa"/>
            <w:tcBorders>
              <w:top w:val="nil"/>
              <w:left w:val="nil"/>
              <w:bottom w:val="nil"/>
              <w:right w:val="nil"/>
            </w:tcBorders>
          </w:tcPr>
          <w:p w14:paraId="00624B04" w14:textId="77777777" w:rsidR="00905F24" w:rsidRPr="00C056CD" w:rsidRDefault="00905F24" w:rsidP="003C097B">
            <w:r w:rsidRPr="00C056CD">
              <w:t xml:space="preserve">Accommodation </w:t>
            </w:r>
          </w:p>
          <w:p w14:paraId="55E47932" w14:textId="77777777" w:rsidR="00905F24" w:rsidRPr="00C056CD" w:rsidRDefault="00905F24" w:rsidP="003C097B">
            <w:pPr>
              <w:ind w:left="284"/>
            </w:pPr>
            <w:r w:rsidRPr="00C056CD">
              <w:t>Private housing</w:t>
            </w:r>
          </w:p>
          <w:p w14:paraId="390A5B77" w14:textId="77777777" w:rsidR="00905F24" w:rsidRPr="00C056CD" w:rsidRDefault="00905F24" w:rsidP="003C097B">
            <w:pPr>
              <w:ind w:left="284"/>
            </w:pPr>
            <w:r w:rsidRPr="00C056CD">
              <w:t>Retirement village</w:t>
            </w:r>
          </w:p>
          <w:p w14:paraId="5D63C676" w14:textId="77777777" w:rsidR="00905F24" w:rsidRPr="00C056CD" w:rsidRDefault="00905F24" w:rsidP="003C097B">
            <w:pPr>
              <w:ind w:left="284"/>
            </w:pPr>
            <w:r w:rsidRPr="00C056CD">
              <w:t>Residential care</w:t>
            </w:r>
          </w:p>
        </w:tc>
        <w:tc>
          <w:tcPr>
            <w:tcW w:w="1519" w:type="dxa"/>
            <w:tcBorders>
              <w:top w:val="nil"/>
              <w:left w:val="nil"/>
              <w:bottom w:val="nil"/>
              <w:right w:val="nil"/>
            </w:tcBorders>
          </w:tcPr>
          <w:p w14:paraId="57C17BBA" w14:textId="77777777" w:rsidR="00905F24" w:rsidRPr="00C056CD" w:rsidRDefault="00905F24" w:rsidP="001A5091">
            <w:pPr>
              <w:tabs>
                <w:tab w:val="decimal" w:pos="765"/>
              </w:tabs>
            </w:pPr>
          </w:p>
          <w:p w14:paraId="34B466C3" w14:textId="77777777" w:rsidR="00905F24" w:rsidRPr="00C056CD" w:rsidRDefault="00905F24" w:rsidP="001A5091">
            <w:pPr>
              <w:tabs>
                <w:tab w:val="decimal" w:pos="765"/>
              </w:tabs>
            </w:pPr>
            <w:r w:rsidRPr="00C056CD">
              <w:t>26</w:t>
            </w:r>
          </w:p>
          <w:p w14:paraId="07D718AA" w14:textId="77777777" w:rsidR="00905F24" w:rsidRPr="00C056CD" w:rsidRDefault="00905F24" w:rsidP="001A5091">
            <w:pPr>
              <w:tabs>
                <w:tab w:val="decimal" w:pos="765"/>
              </w:tabs>
            </w:pPr>
            <w:r w:rsidRPr="00C056CD">
              <w:t>225</w:t>
            </w:r>
          </w:p>
          <w:p w14:paraId="61D9F2B8" w14:textId="77777777" w:rsidR="00905F24" w:rsidRPr="00C056CD" w:rsidRDefault="00905F24" w:rsidP="001A5091">
            <w:pPr>
              <w:tabs>
                <w:tab w:val="decimal" w:pos="765"/>
              </w:tabs>
            </w:pPr>
            <w:r w:rsidRPr="00C056CD">
              <w:t>28</w:t>
            </w:r>
          </w:p>
        </w:tc>
        <w:tc>
          <w:tcPr>
            <w:tcW w:w="1843" w:type="dxa"/>
            <w:tcBorders>
              <w:top w:val="nil"/>
              <w:left w:val="nil"/>
              <w:bottom w:val="nil"/>
              <w:right w:val="nil"/>
            </w:tcBorders>
          </w:tcPr>
          <w:p w14:paraId="01416932" w14:textId="77777777" w:rsidR="00905F24" w:rsidRPr="00C056CD" w:rsidRDefault="00905F24" w:rsidP="001A5091">
            <w:pPr>
              <w:tabs>
                <w:tab w:val="decimal" w:pos="765"/>
              </w:tabs>
            </w:pPr>
          </w:p>
          <w:p w14:paraId="456D494D" w14:textId="77777777" w:rsidR="00905F24" w:rsidRPr="00C056CD" w:rsidRDefault="00905F24" w:rsidP="001A5091">
            <w:pPr>
              <w:tabs>
                <w:tab w:val="decimal" w:pos="765"/>
              </w:tabs>
            </w:pPr>
            <w:r w:rsidRPr="00C056CD">
              <w:t>3</w:t>
            </w:r>
          </w:p>
          <w:p w14:paraId="0CA1FA46" w14:textId="77777777" w:rsidR="00905F24" w:rsidRPr="00C056CD" w:rsidRDefault="00905F24" w:rsidP="001A5091">
            <w:pPr>
              <w:tabs>
                <w:tab w:val="decimal" w:pos="765"/>
              </w:tabs>
            </w:pPr>
            <w:r w:rsidRPr="00C056CD">
              <w:t>85</w:t>
            </w:r>
          </w:p>
          <w:p w14:paraId="3D0B1291" w14:textId="77777777" w:rsidR="00905F24" w:rsidRPr="00C056CD" w:rsidRDefault="00905F24" w:rsidP="001A5091">
            <w:pPr>
              <w:tabs>
                <w:tab w:val="decimal" w:pos="765"/>
              </w:tabs>
            </w:pPr>
            <w:r w:rsidRPr="00C056CD">
              <w:t>10</w:t>
            </w:r>
          </w:p>
        </w:tc>
        <w:tc>
          <w:tcPr>
            <w:tcW w:w="1706" w:type="dxa"/>
            <w:tcBorders>
              <w:top w:val="nil"/>
              <w:left w:val="nil"/>
              <w:bottom w:val="nil"/>
              <w:right w:val="nil"/>
            </w:tcBorders>
          </w:tcPr>
          <w:p w14:paraId="6CD414EC" w14:textId="77777777" w:rsidR="00905F24" w:rsidRPr="00C056CD" w:rsidRDefault="00905F24" w:rsidP="001A5091">
            <w:pPr>
              <w:tabs>
                <w:tab w:val="decimal" w:pos="765"/>
              </w:tabs>
            </w:pPr>
          </w:p>
          <w:p w14:paraId="1F33902E" w14:textId="77777777" w:rsidR="00905F24" w:rsidRPr="00C056CD" w:rsidRDefault="00905F24" w:rsidP="001A5091">
            <w:pPr>
              <w:tabs>
                <w:tab w:val="decimal" w:pos="765"/>
              </w:tabs>
            </w:pPr>
            <w:r w:rsidRPr="00C056CD">
              <w:t>28</w:t>
            </w:r>
          </w:p>
          <w:p w14:paraId="182F04AA" w14:textId="77777777" w:rsidR="00905F24" w:rsidRPr="00C056CD" w:rsidRDefault="00905F24" w:rsidP="001A5091">
            <w:pPr>
              <w:tabs>
                <w:tab w:val="decimal" w:pos="765"/>
              </w:tabs>
            </w:pPr>
            <w:r w:rsidRPr="00C056CD">
              <w:t>10</w:t>
            </w:r>
          </w:p>
          <w:p w14:paraId="5ED299F7" w14:textId="77777777" w:rsidR="00905F24" w:rsidRPr="00C056CD" w:rsidRDefault="00905F24" w:rsidP="001A5091">
            <w:pPr>
              <w:tabs>
                <w:tab w:val="decimal" w:pos="765"/>
              </w:tabs>
            </w:pPr>
            <w:r w:rsidRPr="00C056CD">
              <w:t>1</w:t>
            </w:r>
          </w:p>
        </w:tc>
      </w:tr>
      <w:tr w:rsidR="00905F24" w:rsidRPr="00C056CD" w14:paraId="32F963D4" w14:textId="77777777" w:rsidTr="001A5091">
        <w:tc>
          <w:tcPr>
            <w:tcW w:w="3721" w:type="dxa"/>
            <w:tcBorders>
              <w:top w:val="nil"/>
              <w:left w:val="nil"/>
              <w:right w:val="nil"/>
            </w:tcBorders>
          </w:tcPr>
          <w:p w14:paraId="79545196" w14:textId="77777777" w:rsidR="00905F24" w:rsidRPr="00C056CD" w:rsidRDefault="00905F24" w:rsidP="003C097B">
            <w:r w:rsidRPr="00C056CD">
              <w:t>Education</w:t>
            </w:r>
          </w:p>
          <w:p w14:paraId="32CADE1B" w14:textId="77777777" w:rsidR="00905F24" w:rsidRPr="00C056CD" w:rsidRDefault="00905F24" w:rsidP="003C097B">
            <w:pPr>
              <w:ind w:left="284"/>
            </w:pPr>
            <w:r w:rsidRPr="00C056CD">
              <w:t>Has post-school formal education</w:t>
            </w:r>
          </w:p>
          <w:p w14:paraId="2BB779F7" w14:textId="77777777" w:rsidR="00905F24" w:rsidRPr="00C056CD" w:rsidRDefault="00905F24" w:rsidP="003C097B">
            <w:pPr>
              <w:ind w:left="284"/>
            </w:pPr>
            <w:r w:rsidRPr="00C056CD">
              <w:t>No post-school formal education</w:t>
            </w:r>
          </w:p>
        </w:tc>
        <w:tc>
          <w:tcPr>
            <w:tcW w:w="1519" w:type="dxa"/>
            <w:tcBorders>
              <w:top w:val="nil"/>
              <w:left w:val="nil"/>
              <w:right w:val="nil"/>
            </w:tcBorders>
          </w:tcPr>
          <w:p w14:paraId="38CECF80" w14:textId="77777777" w:rsidR="00905F24" w:rsidRPr="00C056CD" w:rsidRDefault="00905F24" w:rsidP="001A5091">
            <w:pPr>
              <w:tabs>
                <w:tab w:val="decimal" w:pos="765"/>
              </w:tabs>
            </w:pPr>
          </w:p>
          <w:p w14:paraId="70FB2203" w14:textId="77777777" w:rsidR="00905F24" w:rsidRPr="00C056CD" w:rsidRDefault="00905F24" w:rsidP="001A5091">
            <w:pPr>
              <w:tabs>
                <w:tab w:val="decimal" w:pos="765"/>
              </w:tabs>
            </w:pPr>
            <w:r w:rsidRPr="00C056CD">
              <w:t>199</w:t>
            </w:r>
          </w:p>
          <w:p w14:paraId="6D54B5FD" w14:textId="77777777" w:rsidR="00905F24" w:rsidRPr="00C056CD" w:rsidRDefault="00905F24" w:rsidP="001A5091">
            <w:pPr>
              <w:tabs>
                <w:tab w:val="decimal" w:pos="765"/>
              </w:tabs>
            </w:pPr>
            <w:r w:rsidRPr="00C056CD">
              <w:t>80</w:t>
            </w:r>
          </w:p>
        </w:tc>
        <w:tc>
          <w:tcPr>
            <w:tcW w:w="1843" w:type="dxa"/>
            <w:tcBorders>
              <w:top w:val="nil"/>
              <w:left w:val="nil"/>
              <w:right w:val="nil"/>
            </w:tcBorders>
          </w:tcPr>
          <w:p w14:paraId="65D69023" w14:textId="77777777" w:rsidR="00905F24" w:rsidRPr="00C056CD" w:rsidRDefault="00905F24" w:rsidP="001A5091">
            <w:pPr>
              <w:tabs>
                <w:tab w:val="decimal" w:pos="765"/>
              </w:tabs>
            </w:pPr>
          </w:p>
          <w:p w14:paraId="736477D6" w14:textId="77777777" w:rsidR="00905F24" w:rsidRPr="00C056CD" w:rsidRDefault="00905F24" w:rsidP="001A5091">
            <w:pPr>
              <w:tabs>
                <w:tab w:val="decimal" w:pos="765"/>
              </w:tabs>
            </w:pPr>
            <w:r w:rsidRPr="00C056CD">
              <w:t>62</w:t>
            </w:r>
          </w:p>
          <w:p w14:paraId="705646DF" w14:textId="77777777" w:rsidR="00905F24" w:rsidRPr="00C056CD" w:rsidRDefault="00905F24" w:rsidP="001A5091">
            <w:pPr>
              <w:tabs>
                <w:tab w:val="decimal" w:pos="765"/>
              </w:tabs>
            </w:pPr>
            <w:r w:rsidRPr="00C056CD">
              <w:t>36</w:t>
            </w:r>
          </w:p>
        </w:tc>
        <w:tc>
          <w:tcPr>
            <w:tcW w:w="1706" w:type="dxa"/>
            <w:tcBorders>
              <w:top w:val="nil"/>
              <w:left w:val="nil"/>
              <w:right w:val="nil"/>
            </w:tcBorders>
          </w:tcPr>
          <w:p w14:paraId="38E9DC36" w14:textId="77777777" w:rsidR="00905F24" w:rsidRPr="00C056CD" w:rsidRDefault="00905F24" w:rsidP="001A5091">
            <w:pPr>
              <w:tabs>
                <w:tab w:val="decimal" w:pos="765"/>
              </w:tabs>
            </w:pPr>
          </w:p>
          <w:p w14:paraId="7EB1DF8D" w14:textId="77777777" w:rsidR="00905F24" w:rsidRPr="00C056CD" w:rsidRDefault="00905F24" w:rsidP="001A5091">
            <w:pPr>
              <w:tabs>
                <w:tab w:val="decimal" w:pos="765"/>
              </w:tabs>
            </w:pPr>
            <w:r w:rsidRPr="00C056CD">
              <w:t>24</w:t>
            </w:r>
          </w:p>
          <w:p w14:paraId="08DA1F8F" w14:textId="77777777" w:rsidR="00905F24" w:rsidRPr="00C056CD" w:rsidRDefault="00905F24" w:rsidP="001A5091">
            <w:pPr>
              <w:tabs>
                <w:tab w:val="decimal" w:pos="765"/>
              </w:tabs>
            </w:pPr>
            <w:r w:rsidRPr="00C056CD">
              <w:t>23</w:t>
            </w:r>
          </w:p>
        </w:tc>
      </w:tr>
    </w:tbl>
    <w:p w14:paraId="24777C4E" w14:textId="77777777" w:rsidR="00905F24" w:rsidRPr="00C056CD" w:rsidRDefault="00905F24" w:rsidP="00905F24"/>
    <w:p w14:paraId="208002C6" w14:textId="697FA6DC" w:rsidR="00905F24" w:rsidRPr="00C056CD" w:rsidRDefault="00905F24">
      <w:r w:rsidRPr="00C056CD">
        <w:br w:type="page"/>
      </w:r>
    </w:p>
    <w:p w14:paraId="35994222" w14:textId="77777777" w:rsidR="00905F24" w:rsidRPr="00C056CD" w:rsidRDefault="00905F24" w:rsidP="00905F24">
      <w:pPr>
        <w:contextualSpacing/>
      </w:pPr>
      <w:r w:rsidRPr="00C056CD">
        <w:t xml:space="preserve">Table 2. </w:t>
      </w:r>
    </w:p>
    <w:p w14:paraId="538ADA5B" w14:textId="77777777" w:rsidR="00905F24" w:rsidRPr="00C056CD" w:rsidRDefault="00905F24" w:rsidP="00905F24">
      <w:pPr>
        <w:contextualSpacing/>
        <w:rPr>
          <w:i/>
        </w:rPr>
      </w:pPr>
      <w:r w:rsidRPr="00C056CD">
        <w:rPr>
          <w:i/>
        </w:rPr>
        <w:t>Means and differences for all variables</w:t>
      </w:r>
    </w:p>
    <w:tbl>
      <w:tblPr>
        <w:tblStyle w:val="TableGrid"/>
        <w:tblW w:w="0" w:type="auto"/>
        <w:tblLook w:val="04A0" w:firstRow="1" w:lastRow="0" w:firstColumn="1" w:lastColumn="0" w:noHBand="0" w:noVBand="1"/>
      </w:tblPr>
      <w:tblGrid>
        <w:gridCol w:w="2689"/>
        <w:gridCol w:w="1984"/>
        <w:gridCol w:w="2268"/>
        <w:gridCol w:w="2075"/>
      </w:tblGrid>
      <w:tr w:rsidR="00905F24" w:rsidRPr="00C056CD" w14:paraId="67DA904C" w14:textId="77777777" w:rsidTr="003C097B">
        <w:tc>
          <w:tcPr>
            <w:tcW w:w="2689" w:type="dxa"/>
            <w:tcBorders>
              <w:left w:val="nil"/>
              <w:bottom w:val="nil"/>
              <w:right w:val="nil"/>
            </w:tcBorders>
          </w:tcPr>
          <w:p w14:paraId="10E7C441" w14:textId="77777777" w:rsidR="00905F24" w:rsidRPr="00C056CD" w:rsidRDefault="00905F24" w:rsidP="003C097B"/>
        </w:tc>
        <w:tc>
          <w:tcPr>
            <w:tcW w:w="6327" w:type="dxa"/>
            <w:gridSpan w:val="3"/>
            <w:tcBorders>
              <w:left w:val="nil"/>
              <w:right w:val="nil"/>
            </w:tcBorders>
          </w:tcPr>
          <w:p w14:paraId="2660BA5F" w14:textId="77777777" w:rsidR="00905F24" w:rsidRPr="00C056CD" w:rsidRDefault="00905F24" w:rsidP="003C097B">
            <w:pPr>
              <w:jc w:val="center"/>
            </w:pPr>
            <w:r w:rsidRPr="00C056CD">
              <w:t>Location</w:t>
            </w:r>
          </w:p>
        </w:tc>
      </w:tr>
      <w:tr w:rsidR="00905F24" w:rsidRPr="00C056CD" w14:paraId="155E035C" w14:textId="77777777" w:rsidTr="003C097B">
        <w:tc>
          <w:tcPr>
            <w:tcW w:w="2689" w:type="dxa"/>
            <w:tcBorders>
              <w:top w:val="nil"/>
              <w:left w:val="nil"/>
              <w:bottom w:val="single" w:sz="4" w:space="0" w:color="auto"/>
              <w:right w:val="nil"/>
            </w:tcBorders>
          </w:tcPr>
          <w:p w14:paraId="46DE9FE1" w14:textId="77777777" w:rsidR="00905F24" w:rsidRPr="00C056CD" w:rsidRDefault="00905F24" w:rsidP="003C097B"/>
        </w:tc>
        <w:tc>
          <w:tcPr>
            <w:tcW w:w="1984" w:type="dxa"/>
            <w:tcBorders>
              <w:left w:val="nil"/>
              <w:bottom w:val="single" w:sz="4" w:space="0" w:color="auto"/>
              <w:right w:val="nil"/>
            </w:tcBorders>
          </w:tcPr>
          <w:p w14:paraId="65A866A2" w14:textId="77777777" w:rsidR="00905F24" w:rsidRPr="00C056CD" w:rsidRDefault="00905F24" w:rsidP="003C097B">
            <w:pPr>
              <w:jc w:val="center"/>
            </w:pPr>
            <w:r w:rsidRPr="00C056CD">
              <w:t xml:space="preserve">Urban Victoria </w:t>
            </w:r>
          </w:p>
        </w:tc>
        <w:tc>
          <w:tcPr>
            <w:tcW w:w="2268" w:type="dxa"/>
            <w:tcBorders>
              <w:left w:val="nil"/>
              <w:bottom w:val="single" w:sz="4" w:space="0" w:color="auto"/>
              <w:right w:val="nil"/>
            </w:tcBorders>
          </w:tcPr>
          <w:p w14:paraId="08764446" w14:textId="77777777" w:rsidR="00905F24" w:rsidRPr="00C056CD" w:rsidRDefault="00905F24" w:rsidP="003C097B">
            <w:pPr>
              <w:jc w:val="center"/>
            </w:pPr>
            <w:r w:rsidRPr="00C056CD">
              <w:t>Rural Victoria</w:t>
            </w:r>
          </w:p>
        </w:tc>
        <w:tc>
          <w:tcPr>
            <w:tcW w:w="2075" w:type="dxa"/>
            <w:tcBorders>
              <w:left w:val="nil"/>
              <w:bottom w:val="single" w:sz="4" w:space="0" w:color="auto"/>
              <w:right w:val="nil"/>
            </w:tcBorders>
          </w:tcPr>
          <w:p w14:paraId="3C25E8BA" w14:textId="77777777" w:rsidR="00905F24" w:rsidRPr="00C056CD" w:rsidRDefault="00905F24" w:rsidP="003C097B">
            <w:pPr>
              <w:jc w:val="center"/>
            </w:pPr>
            <w:r w:rsidRPr="00C056CD">
              <w:t xml:space="preserve">Rural Tasmania </w:t>
            </w:r>
          </w:p>
        </w:tc>
      </w:tr>
      <w:tr w:rsidR="00905F24" w:rsidRPr="00C056CD" w14:paraId="272D2AC8" w14:textId="77777777" w:rsidTr="003C097B">
        <w:tc>
          <w:tcPr>
            <w:tcW w:w="2689" w:type="dxa"/>
            <w:tcBorders>
              <w:left w:val="nil"/>
              <w:bottom w:val="nil"/>
              <w:right w:val="nil"/>
            </w:tcBorders>
          </w:tcPr>
          <w:p w14:paraId="52B3A774" w14:textId="77777777" w:rsidR="00905F24" w:rsidRPr="00C056CD" w:rsidRDefault="00905F24" w:rsidP="003C097B">
            <w:r w:rsidRPr="00C056CD">
              <w:t>Age</w:t>
            </w:r>
          </w:p>
        </w:tc>
        <w:tc>
          <w:tcPr>
            <w:tcW w:w="1984" w:type="dxa"/>
            <w:tcBorders>
              <w:left w:val="nil"/>
              <w:bottom w:val="nil"/>
              <w:right w:val="nil"/>
            </w:tcBorders>
          </w:tcPr>
          <w:p w14:paraId="512BEE79" w14:textId="77777777" w:rsidR="00905F24" w:rsidRPr="00C056CD" w:rsidRDefault="00905F24" w:rsidP="003C097B">
            <w:pPr>
              <w:tabs>
                <w:tab w:val="decimal" w:pos="315"/>
              </w:tabs>
              <w:jc w:val="center"/>
            </w:pPr>
            <w:r w:rsidRPr="00C056CD">
              <w:t>78.9</w:t>
            </w:r>
          </w:p>
        </w:tc>
        <w:tc>
          <w:tcPr>
            <w:tcW w:w="2268" w:type="dxa"/>
            <w:tcBorders>
              <w:left w:val="nil"/>
              <w:bottom w:val="nil"/>
              <w:right w:val="nil"/>
            </w:tcBorders>
          </w:tcPr>
          <w:p w14:paraId="1D686FED" w14:textId="77777777" w:rsidR="00905F24" w:rsidRPr="00C056CD" w:rsidRDefault="00905F24" w:rsidP="003C097B">
            <w:pPr>
              <w:tabs>
                <w:tab w:val="decimal" w:pos="1186"/>
              </w:tabs>
            </w:pPr>
            <w:r w:rsidRPr="00C056CD">
              <w:t>81.5**</w:t>
            </w:r>
          </w:p>
        </w:tc>
        <w:tc>
          <w:tcPr>
            <w:tcW w:w="2075" w:type="dxa"/>
            <w:tcBorders>
              <w:left w:val="nil"/>
              <w:bottom w:val="nil"/>
              <w:right w:val="nil"/>
            </w:tcBorders>
          </w:tcPr>
          <w:p w14:paraId="4A9A9404" w14:textId="77777777" w:rsidR="00905F24" w:rsidRPr="00C056CD" w:rsidRDefault="00905F24" w:rsidP="003C097B">
            <w:pPr>
              <w:tabs>
                <w:tab w:val="decimal" w:pos="1186"/>
              </w:tabs>
            </w:pPr>
            <w:r w:rsidRPr="00C056CD">
              <w:t>76.1*</w:t>
            </w:r>
          </w:p>
        </w:tc>
      </w:tr>
      <w:tr w:rsidR="00905F24" w:rsidRPr="00C056CD" w14:paraId="3C179410" w14:textId="77777777" w:rsidTr="003C097B">
        <w:tc>
          <w:tcPr>
            <w:tcW w:w="2689" w:type="dxa"/>
            <w:tcBorders>
              <w:top w:val="nil"/>
              <w:left w:val="nil"/>
              <w:bottom w:val="nil"/>
              <w:right w:val="nil"/>
            </w:tcBorders>
          </w:tcPr>
          <w:p w14:paraId="0ACEFF85" w14:textId="77777777" w:rsidR="00905F24" w:rsidRPr="00C056CD" w:rsidRDefault="00905F24" w:rsidP="003C097B">
            <w:r w:rsidRPr="00C056CD">
              <w:t>Financial adequacy</w:t>
            </w:r>
          </w:p>
        </w:tc>
        <w:tc>
          <w:tcPr>
            <w:tcW w:w="1984" w:type="dxa"/>
            <w:tcBorders>
              <w:top w:val="nil"/>
              <w:left w:val="nil"/>
              <w:bottom w:val="nil"/>
              <w:right w:val="nil"/>
            </w:tcBorders>
          </w:tcPr>
          <w:p w14:paraId="422D4205" w14:textId="77777777" w:rsidR="00905F24" w:rsidRPr="00C056CD" w:rsidRDefault="00905F24" w:rsidP="003C097B">
            <w:pPr>
              <w:tabs>
                <w:tab w:val="decimal" w:pos="315"/>
              </w:tabs>
              <w:jc w:val="center"/>
            </w:pPr>
            <w:r w:rsidRPr="00C056CD">
              <w:t>1.6</w:t>
            </w:r>
          </w:p>
        </w:tc>
        <w:tc>
          <w:tcPr>
            <w:tcW w:w="2268" w:type="dxa"/>
            <w:tcBorders>
              <w:top w:val="nil"/>
              <w:left w:val="nil"/>
              <w:bottom w:val="nil"/>
              <w:right w:val="nil"/>
            </w:tcBorders>
          </w:tcPr>
          <w:p w14:paraId="5D4A9634" w14:textId="77777777" w:rsidR="00905F24" w:rsidRPr="00C056CD" w:rsidRDefault="00905F24" w:rsidP="003C097B">
            <w:pPr>
              <w:tabs>
                <w:tab w:val="decimal" w:pos="1186"/>
              </w:tabs>
            </w:pPr>
            <w:r w:rsidRPr="00C056CD">
              <w:t>1.6</w:t>
            </w:r>
          </w:p>
        </w:tc>
        <w:tc>
          <w:tcPr>
            <w:tcW w:w="2075" w:type="dxa"/>
            <w:tcBorders>
              <w:top w:val="nil"/>
              <w:left w:val="nil"/>
              <w:bottom w:val="nil"/>
              <w:right w:val="nil"/>
            </w:tcBorders>
          </w:tcPr>
          <w:p w14:paraId="1171214F" w14:textId="77777777" w:rsidR="00905F24" w:rsidRPr="00C056CD" w:rsidRDefault="00905F24" w:rsidP="003C097B">
            <w:pPr>
              <w:tabs>
                <w:tab w:val="decimal" w:pos="1186"/>
              </w:tabs>
            </w:pPr>
            <w:r w:rsidRPr="00C056CD">
              <w:t>1.4*</w:t>
            </w:r>
          </w:p>
        </w:tc>
      </w:tr>
      <w:tr w:rsidR="00905F24" w:rsidRPr="00C056CD" w14:paraId="26FA8377" w14:textId="77777777" w:rsidTr="003C097B">
        <w:tc>
          <w:tcPr>
            <w:tcW w:w="2689" w:type="dxa"/>
            <w:tcBorders>
              <w:top w:val="nil"/>
              <w:left w:val="nil"/>
              <w:bottom w:val="nil"/>
              <w:right w:val="nil"/>
            </w:tcBorders>
          </w:tcPr>
          <w:p w14:paraId="6F9804C6" w14:textId="77777777" w:rsidR="00905F24" w:rsidRPr="00C056CD" w:rsidRDefault="00905F24" w:rsidP="003C097B">
            <w:r w:rsidRPr="00C056CD">
              <w:t>Health</w:t>
            </w:r>
          </w:p>
        </w:tc>
        <w:tc>
          <w:tcPr>
            <w:tcW w:w="1984" w:type="dxa"/>
            <w:tcBorders>
              <w:top w:val="nil"/>
              <w:left w:val="nil"/>
              <w:bottom w:val="nil"/>
              <w:right w:val="nil"/>
            </w:tcBorders>
          </w:tcPr>
          <w:p w14:paraId="35FC0D67" w14:textId="77777777" w:rsidR="00905F24" w:rsidRPr="00C056CD" w:rsidRDefault="00905F24" w:rsidP="003C097B">
            <w:pPr>
              <w:tabs>
                <w:tab w:val="decimal" w:pos="315"/>
              </w:tabs>
              <w:jc w:val="center"/>
            </w:pPr>
            <w:r w:rsidRPr="00C056CD">
              <w:t>3.1</w:t>
            </w:r>
          </w:p>
        </w:tc>
        <w:tc>
          <w:tcPr>
            <w:tcW w:w="2268" w:type="dxa"/>
            <w:tcBorders>
              <w:top w:val="nil"/>
              <w:left w:val="nil"/>
              <w:bottom w:val="nil"/>
              <w:right w:val="nil"/>
            </w:tcBorders>
          </w:tcPr>
          <w:p w14:paraId="219AEA6F" w14:textId="77777777" w:rsidR="00905F24" w:rsidRPr="00C056CD" w:rsidRDefault="00905F24" w:rsidP="003C097B">
            <w:pPr>
              <w:tabs>
                <w:tab w:val="decimal" w:pos="1186"/>
              </w:tabs>
            </w:pPr>
            <w:r w:rsidRPr="00C056CD">
              <w:t>2.7**</w:t>
            </w:r>
          </w:p>
        </w:tc>
        <w:tc>
          <w:tcPr>
            <w:tcW w:w="2075" w:type="dxa"/>
            <w:tcBorders>
              <w:top w:val="nil"/>
              <w:left w:val="nil"/>
              <w:bottom w:val="nil"/>
              <w:right w:val="nil"/>
            </w:tcBorders>
          </w:tcPr>
          <w:p w14:paraId="4F2058C6" w14:textId="77777777" w:rsidR="00905F24" w:rsidRPr="00C056CD" w:rsidRDefault="00905F24" w:rsidP="003C097B">
            <w:pPr>
              <w:tabs>
                <w:tab w:val="decimal" w:pos="1186"/>
              </w:tabs>
            </w:pPr>
            <w:r w:rsidRPr="00C056CD">
              <w:t>2.4***</w:t>
            </w:r>
          </w:p>
        </w:tc>
      </w:tr>
      <w:tr w:rsidR="00905F24" w:rsidRPr="00C056CD" w14:paraId="5527572A" w14:textId="77777777" w:rsidTr="003C097B">
        <w:tc>
          <w:tcPr>
            <w:tcW w:w="2689" w:type="dxa"/>
            <w:tcBorders>
              <w:top w:val="nil"/>
              <w:left w:val="nil"/>
              <w:bottom w:val="nil"/>
              <w:right w:val="nil"/>
            </w:tcBorders>
          </w:tcPr>
          <w:p w14:paraId="73923668" w14:textId="77777777" w:rsidR="00905F24" w:rsidRPr="00C056CD" w:rsidRDefault="00905F24" w:rsidP="003C097B">
            <w:r w:rsidRPr="00C056CD">
              <w:t>Functional capacity</w:t>
            </w:r>
          </w:p>
        </w:tc>
        <w:tc>
          <w:tcPr>
            <w:tcW w:w="1984" w:type="dxa"/>
            <w:tcBorders>
              <w:top w:val="nil"/>
              <w:left w:val="nil"/>
              <w:bottom w:val="nil"/>
              <w:right w:val="nil"/>
            </w:tcBorders>
          </w:tcPr>
          <w:p w14:paraId="4B3E2D3D" w14:textId="77777777" w:rsidR="00905F24" w:rsidRPr="00C056CD" w:rsidRDefault="00905F24" w:rsidP="003C097B">
            <w:pPr>
              <w:tabs>
                <w:tab w:val="decimal" w:pos="315"/>
              </w:tabs>
              <w:jc w:val="center"/>
            </w:pPr>
            <w:r w:rsidRPr="00C056CD">
              <w:t>3.2</w:t>
            </w:r>
          </w:p>
        </w:tc>
        <w:tc>
          <w:tcPr>
            <w:tcW w:w="2268" w:type="dxa"/>
            <w:tcBorders>
              <w:top w:val="nil"/>
              <w:left w:val="nil"/>
              <w:bottom w:val="nil"/>
              <w:right w:val="nil"/>
            </w:tcBorders>
          </w:tcPr>
          <w:p w14:paraId="2B5A67EF" w14:textId="77777777" w:rsidR="00905F24" w:rsidRPr="00C056CD" w:rsidRDefault="00905F24" w:rsidP="003C097B">
            <w:pPr>
              <w:tabs>
                <w:tab w:val="decimal" w:pos="1186"/>
              </w:tabs>
            </w:pPr>
            <w:r w:rsidRPr="00C056CD">
              <w:t>2.9*</w:t>
            </w:r>
          </w:p>
        </w:tc>
        <w:tc>
          <w:tcPr>
            <w:tcW w:w="2075" w:type="dxa"/>
            <w:tcBorders>
              <w:top w:val="nil"/>
              <w:left w:val="nil"/>
              <w:bottom w:val="nil"/>
              <w:right w:val="nil"/>
            </w:tcBorders>
          </w:tcPr>
          <w:p w14:paraId="46520F72" w14:textId="77777777" w:rsidR="00905F24" w:rsidRPr="00C056CD" w:rsidRDefault="00905F24" w:rsidP="003C097B">
            <w:pPr>
              <w:tabs>
                <w:tab w:val="decimal" w:pos="1186"/>
              </w:tabs>
            </w:pPr>
            <w:r w:rsidRPr="00C056CD">
              <w:t>3.2</w:t>
            </w:r>
          </w:p>
        </w:tc>
      </w:tr>
      <w:tr w:rsidR="00905F24" w:rsidRPr="00C056CD" w14:paraId="0D08F908" w14:textId="77777777" w:rsidTr="003C097B">
        <w:tc>
          <w:tcPr>
            <w:tcW w:w="2689" w:type="dxa"/>
            <w:tcBorders>
              <w:top w:val="nil"/>
              <w:left w:val="nil"/>
              <w:bottom w:val="nil"/>
              <w:right w:val="nil"/>
            </w:tcBorders>
          </w:tcPr>
          <w:p w14:paraId="6147BC6C" w14:textId="77777777" w:rsidR="00905F24" w:rsidRPr="00C056CD" w:rsidRDefault="00905F24" w:rsidP="003C097B">
            <w:r w:rsidRPr="00C056CD">
              <w:t>Social participation</w:t>
            </w:r>
          </w:p>
        </w:tc>
        <w:tc>
          <w:tcPr>
            <w:tcW w:w="1984" w:type="dxa"/>
            <w:tcBorders>
              <w:top w:val="nil"/>
              <w:left w:val="nil"/>
              <w:bottom w:val="nil"/>
              <w:right w:val="nil"/>
            </w:tcBorders>
          </w:tcPr>
          <w:p w14:paraId="18147718" w14:textId="77777777" w:rsidR="00905F24" w:rsidRPr="00C056CD" w:rsidRDefault="00905F24" w:rsidP="003C097B">
            <w:pPr>
              <w:tabs>
                <w:tab w:val="decimal" w:pos="315"/>
              </w:tabs>
              <w:jc w:val="center"/>
            </w:pPr>
            <w:r w:rsidRPr="00C056CD">
              <w:t>4.7</w:t>
            </w:r>
          </w:p>
        </w:tc>
        <w:tc>
          <w:tcPr>
            <w:tcW w:w="2268" w:type="dxa"/>
            <w:tcBorders>
              <w:top w:val="nil"/>
              <w:left w:val="nil"/>
              <w:bottom w:val="nil"/>
              <w:right w:val="nil"/>
            </w:tcBorders>
          </w:tcPr>
          <w:p w14:paraId="642990DC" w14:textId="77777777" w:rsidR="00905F24" w:rsidRPr="00C056CD" w:rsidRDefault="00905F24" w:rsidP="003C097B">
            <w:pPr>
              <w:tabs>
                <w:tab w:val="decimal" w:pos="1186"/>
              </w:tabs>
            </w:pPr>
            <w:r w:rsidRPr="00C056CD">
              <w:t>4.5**</w:t>
            </w:r>
          </w:p>
        </w:tc>
        <w:tc>
          <w:tcPr>
            <w:tcW w:w="2075" w:type="dxa"/>
            <w:tcBorders>
              <w:top w:val="nil"/>
              <w:left w:val="nil"/>
              <w:bottom w:val="nil"/>
              <w:right w:val="nil"/>
            </w:tcBorders>
          </w:tcPr>
          <w:p w14:paraId="29A72A28" w14:textId="77777777" w:rsidR="00905F24" w:rsidRPr="00C056CD" w:rsidRDefault="00905F24" w:rsidP="003C097B">
            <w:pPr>
              <w:tabs>
                <w:tab w:val="decimal" w:pos="1186"/>
              </w:tabs>
            </w:pPr>
            <w:r w:rsidRPr="00C056CD">
              <w:t>4.6</w:t>
            </w:r>
          </w:p>
        </w:tc>
      </w:tr>
      <w:tr w:rsidR="00905F24" w:rsidRPr="00C056CD" w14:paraId="4FF6D596" w14:textId="77777777" w:rsidTr="003C097B">
        <w:tc>
          <w:tcPr>
            <w:tcW w:w="2689" w:type="dxa"/>
            <w:tcBorders>
              <w:top w:val="nil"/>
              <w:left w:val="nil"/>
              <w:bottom w:val="nil"/>
              <w:right w:val="nil"/>
            </w:tcBorders>
          </w:tcPr>
          <w:p w14:paraId="2C4659BC" w14:textId="77777777" w:rsidR="00905F24" w:rsidRPr="00C056CD" w:rsidRDefault="00905F24" w:rsidP="003C097B">
            <w:r w:rsidRPr="00C056CD">
              <w:t>Resilience</w:t>
            </w:r>
          </w:p>
        </w:tc>
        <w:tc>
          <w:tcPr>
            <w:tcW w:w="1984" w:type="dxa"/>
            <w:tcBorders>
              <w:top w:val="nil"/>
              <w:left w:val="nil"/>
              <w:bottom w:val="nil"/>
              <w:right w:val="nil"/>
            </w:tcBorders>
          </w:tcPr>
          <w:p w14:paraId="21ED531F" w14:textId="77777777" w:rsidR="00905F24" w:rsidRPr="00C056CD" w:rsidRDefault="00905F24" w:rsidP="003C097B">
            <w:pPr>
              <w:tabs>
                <w:tab w:val="decimal" w:pos="315"/>
              </w:tabs>
              <w:jc w:val="center"/>
            </w:pPr>
            <w:r w:rsidRPr="00C056CD">
              <w:t>6.1</w:t>
            </w:r>
          </w:p>
        </w:tc>
        <w:tc>
          <w:tcPr>
            <w:tcW w:w="2268" w:type="dxa"/>
            <w:tcBorders>
              <w:top w:val="nil"/>
              <w:left w:val="nil"/>
              <w:bottom w:val="nil"/>
              <w:right w:val="nil"/>
            </w:tcBorders>
          </w:tcPr>
          <w:p w14:paraId="289A8D3A" w14:textId="77777777" w:rsidR="00905F24" w:rsidRPr="00C056CD" w:rsidRDefault="00905F24" w:rsidP="003C097B">
            <w:pPr>
              <w:tabs>
                <w:tab w:val="decimal" w:pos="1186"/>
              </w:tabs>
            </w:pPr>
            <w:r w:rsidRPr="00C056CD">
              <w:t>6.9</w:t>
            </w:r>
          </w:p>
        </w:tc>
        <w:tc>
          <w:tcPr>
            <w:tcW w:w="2075" w:type="dxa"/>
            <w:tcBorders>
              <w:top w:val="nil"/>
              <w:left w:val="nil"/>
              <w:bottom w:val="nil"/>
              <w:right w:val="nil"/>
            </w:tcBorders>
          </w:tcPr>
          <w:p w14:paraId="4C28B00E" w14:textId="77777777" w:rsidR="00905F24" w:rsidRPr="00C056CD" w:rsidRDefault="00905F24" w:rsidP="003C097B">
            <w:pPr>
              <w:tabs>
                <w:tab w:val="decimal" w:pos="1186"/>
              </w:tabs>
            </w:pPr>
            <w:r w:rsidRPr="00C056CD">
              <w:t>6.0</w:t>
            </w:r>
          </w:p>
        </w:tc>
      </w:tr>
      <w:tr w:rsidR="00905F24" w:rsidRPr="00C056CD" w14:paraId="468D9111" w14:textId="77777777" w:rsidTr="003C097B">
        <w:tc>
          <w:tcPr>
            <w:tcW w:w="2689" w:type="dxa"/>
            <w:tcBorders>
              <w:top w:val="nil"/>
              <w:left w:val="nil"/>
              <w:right w:val="nil"/>
            </w:tcBorders>
          </w:tcPr>
          <w:p w14:paraId="4B6CC6CA" w14:textId="77777777" w:rsidR="00905F24" w:rsidRPr="00C056CD" w:rsidRDefault="00905F24" w:rsidP="003C097B">
            <w:r w:rsidRPr="00C056CD">
              <w:t>Quality of life</w:t>
            </w:r>
          </w:p>
        </w:tc>
        <w:tc>
          <w:tcPr>
            <w:tcW w:w="1984" w:type="dxa"/>
            <w:tcBorders>
              <w:top w:val="nil"/>
              <w:left w:val="nil"/>
              <w:right w:val="nil"/>
            </w:tcBorders>
          </w:tcPr>
          <w:p w14:paraId="2713116B" w14:textId="77777777" w:rsidR="00905F24" w:rsidRPr="00C056CD" w:rsidRDefault="00905F24" w:rsidP="003C097B">
            <w:pPr>
              <w:tabs>
                <w:tab w:val="decimal" w:pos="315"/>
              </w:tabs>
              <w:jc w:val="center"/>
            </w:pPr>
            <w:r w:rsidRPr="00C056CD">
              <w:t>4.1</w:t>
            </w:r>
          </w:p>
        </w:tc>
        <w:tc>
          <w:tcPr>
            <w:tcW w:w="2268" w:type="dxa"/>
            <w:tcBorders>
              <w:top w:val="nil"/>
              <w:left w:val="nil"/>
              <w:right w:val="nil"/>
            </w:tcBorders>
          </w:tcPr>
          <w:p w14:paraId="21900E24" w14:textId="77777777" w:rsidR="00905F24" w:rsidRPr="00C056CD" w:rsidRDefault="00905F24" w:rsidP="003C097B">
            <w:pPr>
              <w:tabs>
                <w:tab w:val="decimal" w:pos="1186"/>
              </w:tabs>
            </w:pPr>
            <w:r w:rsidRPr="00C056CD">
              <w:t>4.0</w:t>
            </w:r>
          </w:p>
        </w:tc>
        <w:tc>
          <w:tcPr>
            <w:tcW w:w="2075" w:type="dxa"/>
            <w:tcBorders>
              <w:top w:val="nil"/>
              <w:left w:val="nil"/>
              <w:right w:val="nil"/>
            </w:tcBorders>
          </w:tcPr>
          <w:p w14:paraId="2E7B2D82" w14:textId="77777777" w:rsidR="00905F24" w:rsidRPr="00C056CD" w:rsidRDefault="00905F24" w:rsidP="003C097B">
            <w:pPr>
              <w:tabs>
                <w:tab w:val="decimal" w:pos="1186"/>
              </w:tabs>
            </w:pPr>
            <w:r w:rsidRPr="00C056CD">
              <w:t>3.8***</w:t>
            </w:r>
          </w:p>
        </w:tc>
      </w:tr>
    </w:tbl>
    <w:p w14:paraId="400325E6" w14:textId="3F345C8F" w:rsidR="00905F24" w:rsidRPr="00C056CD" w:rsidRDefault="00905F24" w:rsidP="00905F24">
      <w:pPr>
        <w:contextualSpacing/>
      </w:pPr>
      <w:r w:rsidRPr="00C056CD">
        <w:t xml:space="preserve">Note. Means of all variables are reported at </w:t>
      </w:r>
      <w:r w:rsidR="001A0705" w:rsidRPr="00C056CD">
        <w:t>Time 1</w:t>
      </w:r>
      <w:r w:rsidRPr="00C056CD">
        <w:t xml:space="preserve">. </w:t>
      </w:r>
    </w:p>
    <w:p w14:paraId="53D1B189" w14:textId="49F3245A" w:rsidR="00905F24" w:rsidRPr="00C056CD" w:rsidRDefault="00905F24" w:rsidP="00905F24">
      <w:r w:rsidRPr="00C056CD">
        <w:t>Significant</w:t>
      </w:r>
      <w:r w:rsidR="00EC7138" w:rsidRPr="00C056CD">
        <w:t xml:space="preserve"> differences from u</w:t>
      </w:r>
      <w:r w:rsidRPr="00C056CD">
        <w:t>rban Victoria: *p&lt;.05. **p&lt;.01. ***p&lt;.001.</w:t>
      </w:r>
    </w:p>
    <w:p w14:paraId="6131265A" w14:textId="70222461" w:rsidR="00905F24" w:rsidRPr="00C056CD" w:rsidRDefault="00905F24">
      <w:r w:rsidRPr="00C056CD">
        <w:br w:type="page"/>
      </w:r>
    </w:p>
    <w:p w14:paraId="252491D1" w14:textId="77777777" w:rsidR="00905F24" w:rsidRPr="00C056CD" w:rsidRDefault="00905F24" w:rsidP="00905F24">
      <w:r w:rsidRPr="00C056CD">
        <w:t>Table 3</w:t>
      </w:r>
    </w:p>
    <w:p w14:paraId="06FAD240" w14:textId="38A8F317" w:rsidR="00905F24" w:rsidRPr="00C056CD" w:rsidRDefault="00905F24" w:rsidP="00905F24">
      <w:pPr>
        <w:rPr>
          <w:i/>
        </w:rPr>
      </w:pPr>
      <w:r w:rsidRPr="00C056CD">
        <w:rPr>
          <w:i/>
        </w:rPr>
        <w:t>Summary of multiple regression a</w:t>
      </w:r>
      <w:r w:rsidR="001A5091" w:rsidRPr="00C056CD">
        <w:rPr>
          <w:i/>
        </w:rPr>
        <w:t>nalysis for variables predicting</w:t>
      </w:r>
      <w:r w:rsidRPr="00C056CD">
        <w:rPr>
          <w:i/>
        </w:rPr>
        <w:t xml:space="preserve"> quality of life   </w:t>
      </w:r>
    </w:p>
    <w:tbl>
      <w:tblPr>
        <w:tblStyle w:val="TableGrid"/>
        <w:tblW w:w="5000" w:type="pct"/>
        <w:tblLook w:val="04A0" w:firstRow="1" w:lastRow="0" w:firstColumn="1" w:lastColumn="0" w:noHBand="0" w:noVBand="1"/>
      </w:tblPr>
      <w:tblGrid>
        <w:gridCol w:w="1985"/>
        <w:gridCol w:w="1534"/>
        <w:gridCol w:w="946"/>
        <w:gridCol w:w="1327"/>
        <w:gridCol w:w="928"/>
        <w:gridCol w:w="1385"/>
        <w:gridCol w:w="921"/>
      </w:tblGrid>
      <w:tr w:rsidR="00905F24" w:rsidRPr="00C056CD" w14:paraId="093DD59A" w14:textId="77777777" w:rsidTr="00E408BD">
        <w:tc>
          <w:tcPr>
            <w:tcW w:w="1100" w:type="pct"/>
            <w:tcBorders>
              <w:left w:val="nil"/>
              <w:bottom w:val="nil"/>
              <w:right w:val="nil"/>
            </w:tcBorders>
          </w:tcPr>
          <w:p w14:paraId="5F609420" w14:textId="77777777" w:rsidR="00905F24" w:rsidRPr="00C056CD" w:rsidRDefault="00905F24" w:rsidP="003C097B"/>
        </w:tc>
        <w:tc>
          <w:tcPr>
            <w:tcW w:w="1374" w:type="pct"/>
            <w:gridSpan w:val="2"/>
            <w:tcBorders>
              <w:left w:val="nil"/>
              <w:right w:val="nil"/>
            </w:tcBorders>
          </w:tcPr>
          <w:p w14:paraId="171F7648" w14:textId="77777777" w:rsidR="00905F24" w:rsidRPr="00C056CD" w:rsidRDefault="00905F24" w:rsidP="003C097B">
            <w:pPr>
              <w:jc w:val="center"/>
              <w:rPr>
                <w:i/>
              </w:rPr>
            </w:pPr>
            <w:r w:rsidRPr="00C056CD">
              <w:t>Urban Victoria</w:t>
            </w:r>
          </w:p>
        </w:tc>
        <w:tc>
          <w:tcPr>
            <w:tcW w:w="1249" w:type="pct"/>
            <w:gridSpan w:val="2"/>
            <w:tcBorders>
              <w:left w:val="nil"/>
              <w:right w:val="nil"/>
            </w:tcBorders>
          </w:tcPr>
          <w:p w14:paraId="2D0955CA" w14:textId="77777777" w:rsidR="00905F24" w:rsidRPr="00C056CD" w:rsidRDefault="00905F24" w:rsidP="003C097B">
            <w:pPr>
              <w:jc w:val="center"/>
              <w:rPr>
                <w:i/>
              </w:rPr>
            </w:pPr>
            <w:r w:rsidRPr="00C056CD">
              <w:t>Rural Victoria</w:t>
            </w:r>
          </w:p>
        </w:tc>
        <w:tc>
          <w:tcPr>
            <w:tcW w:w="1277" w:type="pct"/>
            <w:gridSpan w:val="2"/>
            <w:tcBorders>
              <w:left w:val="nil"/>
              <w:right w:val="nil"/>
            </w:tcBorders>
          </w:tcPr>
          <w:p w14:paraId="5A2CF19C" w14:textId="77777777" w:rsidR="00905F24" w:rsidRPr="00C056CD" w:rsidRDefault="00905F24" w:rsidP="003C097B">
            <w:pPr>
              <w:jc w:val="center"/>
              <w:rPr>
                <w:i/>
              </w:rPr>
            </w:pPr>
            <w:r w:rsidRPr="00C056CD">
              <w:t>Rural Tasmania</w:t>
            </w:r>
          </w:p>
        </w:tc>
      </w:tr>
      <w:tr w:rsidR="00905F24" w:rsidRPr="00C056CD" w14:paraId="7BFF87CD" w14:textId="77777777" w:rsidTr="00E408BD">
        <w:tc>
          <w:tcPr>
            <w:tcW w:w="1100" w:type="pct"/>
            <w:tcBorders>
              <w:top w:val="nil"/>
              <w:left w:val="nil"/>
              <w:bottom w:val="single" w:sz="4" w:space="0" w:color="auto"/>
              <w:right w:val="nil"/>
            </w:tcBorders>
          </w:tcPr>
          <w:p w14:paraId="243825F3" w14:textId="77777777" w:rsidR="00905F24" w:rsidRPr="00C056CD" w:rsidRDefault="00905F24" w:rsidP="003C097B"/>
        </w:tc>
        <w:tc>
          <w:tcPr>
            <w:tcW w:w="850" w:type="pct"/>
            <w:tcBorders>
              <w:left w:val="nil"/>
              <w:bottom w:val="single" w:sz="4" w:space="0" w:color="auto"/>
              <w:right w:val="nil"/>
            </w:tcBorders>
          </w:tcPr>
          <w:p w14:paraId="1914AD2D" w14:textId="2D55530B" w:rsidR="00905F24" w:rsidRPr="00C056CD" w:rsidRDefault="00905F24" w:rsidP="003C097B">
            <w:r w:rsidRPr="00C056CD">
              <w:rPr>
                <w:i/>
              </w:rPr>
              <w:t>B</w:t>
            </w:r>
            <w:r w:rsidR="00291821" w:rsidRPr="00C056CD">
              <w:rPr>
                <w:i/>
              </w:rPr>
              <w:t xml:space="preserve"> </w:t>
            </w:r>
            <w:r w:rsidR="001A5091" w:rsidRPr="00C056CD">
              <w:rPr>
                <w:i/>
              </w:rPr>
              <w:br/>
            </w:r>
            <w:r w:rsidRPr="00C056CD">
              <w:t>(95%CI)</w:t>
            </w:r>
          </w:p>
        </w:tc>
        <w:tc>
          <w:tcPr>
            <w:tcW w:w="524" w:type="pct"/>
            <w:tcBorders>
              <w:left w:val="nil"/>
              <w:bottom w:val="single" w:sz="4" w:space="0" w:color="auto"/>
              <w:right w:val="nil"/>
            </w:tcBorders>
          </w:tcPr>
          <w:p w14:paraId="49445F47" w14:textId="77777777" w:rsidR="00905F24" w:rsidRPr="00C056CD" w:rsidRDefault="00905F24" w:rsidP="003C097B">
            <w:r w:rsidRPr="00C056CD">
              <w:rPr>
                <w:i/>
              </w:rPr>
              <w:t>p</w:t>
            </w:r>
          </w:p>
        </w:tc>
        <w:tc>
          <w:tcPr>
            <w:tcW w:w="735" w:type="pct"/>
            <w:tcBorders>
              <w:left w:val="nil"/>
              <w:bottom w:val="single" w:sz="4" w:space="0" w:color="auto"/>
              <w:right w:val="nil"/>
            </w:tcBorders>
          </w:tcPr>
          <w:p w14:paraId="5F080F04" w14:textId="3D5FA3D7" w:rsidR="00905F24" w:rsidRPr="00C056CD" w:rsidRDefault="00905F24" w:rsidP="003C097B">
            <w:r w:rsidRPr="00C056CD">
              <w:rPr>
                <w:i/>
              </w:rPr>
              <w:t>B</w:t>
            </w:r>
            <w:r w:rsidR="001A5091" w:rsidRPr="00C056CD">
              <w:rPr>
                <w:i/>
              </w:rPr>
              <w:br/>
            </w:r>
            <w:r w:rsidRPr="00C056CD">
              <w:t>(95%CI)</w:t>
            </w:r>
          </w:p>
        </w:tc>
        <w:tc>
          <w:tcPr>
            <w:tcW w:w="514" w:type="pct"/>
            <w:tcBorders>
              <w:left w:val="nil"/>
              <w:bottom w:val="single" w:sz="4" w:space="0" w:color="auto"/>
              <w:right w:val="nil"/>
            </w:tcBorders>
          </w:tcPr>
          <w:p w14:paraId="5334FFB1" w14:textId="77777777" w:rsidR="00905F24" w:rsidRPr="00C056CD" w:rsidRDefault="00905F24" w:rsidP="003C097B">
            <w:r w:rsidRPr="00C056CD">
              <w:rPr>
                <w:i/>
              </w:rPr>
              <w:t>p</w:t>
            </w:r>
          </w:p>
        </w:tc>
        <w:tc>
          <w:tcPr>
            <w:tcW w:w="767" w:type="pct"/>
            <w:tcBorders>
              <w:left w:val="nil"/>
              <w:bottom w:val="single" w:sz="4" w:space="0" w:color="auto"/>
              <w:right w:val="nil"/>
            </w:tcBorders>
          </w:tcPr>
          <w:p w14:paraId="33421114" w14:textId="191D3697" w:rsidR="00905F24" w:rsidRPr="00C056CD" w:rsidRDefault="00905F24" w:rsidP="003C097B">
            <w:r w:rsidRPr="00C056CD">
              <w:rPr>
                <w:i/>
              </w:rPr>
              <w:t>B</w:t>
            </w:r>
            <w:r w:rsidR="001A5091" w:rsidRPr="00C056CD">
              <w:rPr>
                <w:i/>
              </w:rPr>
              <w:br/>
            </w:r>
            <w:r w:rsidRPr="00C056CD">
              <w:t>(95%CI)</w:t>
            </w:r>
          </w:p>
        </w:tc>
        <w:tc>
          <w:tcPr>
            <w:tcW w:w="510" w:type="pct"/>
            <w:tcBorders>
              <w:left w:val="nil"/>
              <w:bottom w:val="single" w:sz="4" w:space="0" w:color="auto"/>
              <w:right w:val="nil"/>
            </w:tcBorders>
          </w:tcPr>
          <w:p w14:paraId="0895F5B3" w14:textId="77777777" w:rsidR="00905F24" w:rsidRPr="00C056CD" w:rsidRDefault="00905F24" w:rsidP="003C097B">
            <w:r w:rsidRPr="00C056CD">
              <w:rPr>
                <w:i/>
              </w:rPr>
              <w:t>p</w:t>
            </w:r>
          </w:p>
        </w:tc>
      </w:tr>
      <w:tr w:rsidR="00905F24" w:rsidRPr="00C056CD" w14:paraId="1689EC0E" w14:textId="77777777" w:rsidTr="00E408BD">
        <w:tc>
          <w:tcPr>
            <w:tcW w:w="1100" w:type="pct"/>
            <w:tcBorders>
              <w:left w:val="nil"/>
              <w:bottom w:val="nil"/>
              <w:right w:val="nil"/>
            </w:tcBorders>
          </w:tcPr>
          <w:p w14:paraId="1509B105" w14:textId="77777777" w:rsidR="00905F24" w:rsidRPr="00C056CD" w:rsidRDefault="00905F24" w:rsidP="003C097B">
            <w:r w:rsidRPr="00C056CD">
              <w:t>Gender</w:t>
            </w:r>
          </w:p>
        </w:tc>
        <w:tc>
          <w:tcPr>
            <w:tcW w:w="850" w:type="pct"/>
            <w:tcBorders>
              <w:left w:val="nil"/>
              <w:bottom w:val="nil"/>
              <w:right w:val="nil"/>
            </w:tcBorders>
          </w:tcPr>
          <w:p w14:paraId="2FD8D5DF" w14:textId="10C3FD46" w:rsidR="00905F24" w:rsidRPr="00C056CD" w:rsidRDefault="00905F24" w:rsidP="003C097B">
            <w:r w:rsidRPr="00C056CD">
              <w:t>-0.09</w:t>
            </w:r>
            <w:r w:rsidR="00291821" w:rsidRPr="00C056CD">
              <w:t xml:space="preserve"> </w:t>
            </w:r>
            <w:r w:rsidR="001A5091" w:rsidRPr="00C056CD">
              <w:br/>
            </w:r>
            <w:r w:rsidRPr="00C056CD">
              <w:t>(-0.1, 0.01)</w:t>
            </w:r>
          </w:p>
        </w:tc>
        <w:tc>
          <w:tcPr>
            <w:tcW w:w="524" w:type="pct"/>
            <w:tcBorders>
              <w:left w:val="nil"/>
              <w:bottom w:val="nil"/>
              <w:right w:val="nil"/>
            </w:tcBorders>
          </w:tcPr>
          <w:p w14:paraId="2C91A9AC" w14:textId="3DD5265B" w:rsidR="00905F24" w:rsidRPr="00C056CD" w:rsidRDefault="001A5091" w:rsidP="003C097B">
            <w:r w:rsidRPr="00C056CD">
              <w:t>0.08</w:t>
            </w:r>
          </w:p>
        </w:tc>
        <w:tc>
          <w:tcPr>
            <w:tcW w:w="735" w:type="pct"/>
            <w:tcBorders>
              <w:left w:val="nil"/>
              <w:bottom w:val="nil"/>
              <w:right w:val="nil"/>
            </w:tcBorders>
          </w:tcPr>
          <w:p w14:paraId="6B270745" w14:textId="0B1AB8F6" w:rsidR="00905F24" w:rsidRPr="00C056CD" w:rsidRDefault="00905F24" w:rsidP="003C097B">
            <w:r w:rsidRPr="00C056CD">
              <w:t>-0.06</w:t>
            </w:r>
            <w:r w:rsidR="00291821" w:rsidRPr="00C056CD">
              <w:t xml:space="preserve"> </w:t>
            </w:r>
            <w:r w:rsidR="001A5091" w:rsidRPr="00C056CD">
              <w:br/>
            </w:r>
            <w:r w:rsidRPr="00C056CD">
              <w:t>(-0.26,0.11)</w:t>
            </w:r>
          </w:p>
        </w:tc>
        <w:tc>
          <w:tcPr>
            <w:tcW w:w="514" w:type="pct"/>
            <w:tcBorders>
              <w:left w:val="nil"/>
              <w:bottom w:val="nil"/>
              <w:right w:val="nil"/>
            </w:tcBorders>
          </w:tcPr>
          <w:p w14:paraId="534ECF76" w14:textId="77777777" w:rsidR="00905F24" w:rsidRPr="00C056CD" w:rsidRDefault="00905F24" w:rsidP="003C097B">
            <w:r w:rsidRPr="00C056CD">
              <w:t>0.47</w:t>
            </w:r>
          </w:p>
        </w:tc>
        <w:tc>
          <w:tcPr>
            <w:tcW w:w="767" w:type="pct"/>
            <w:tcBorders>
              <w:left w:val="nil"/>
              <w:bottom w:val="nil"/>
              <w:right w:val="nil"/>
            </w:tcBorders>
          </w:tcPr>
          <w:p w14:paraId="1179C334" w14:textId="74F33F97" w:rsidR="00905F24" w:rsidRPr="00C056CD" w:rsidRDefault="00905F24" w:rsidP="003C097B">
            <w:r w:rsidRPr="00C056CD">
              <w:t>0.37</w:t>
            </w:r>
            <w:r w:rsidR="001A5091" w:rsidRPr="00C056CD">
              <w:t xml:space="preserve"> </w:t>
            </w:r>
            <w:r w:rsidR="00E408BD" w:rsidRPr="00C056CD">
              <w:br/>
            </w:r>
            <w:r w:rsidRPr="00C056CD">
              <w:t>(0.13,0.56)</w:t>
            </w:r>
          </w:p>
        </w:tc>
        <w:tc>
          <w:tcPr>
            <w:tcW w:w="510" w:type="pct"/>
            <w:tcBorders>
              <w:left w:val="nil"/>
              <w:bottom w:val="nil"/>
              <w:right w:val="nil"/>
            </w:tcBorders>
          </w:tcPr>
          <w:p w14:paraId="0742537F" w14:textId="77777777" w:rsidR="00905F24" w:rsidRPr="00C056CD" w:rsidRDefault="00905F24" w:rsidP="003C097B">
            <w:r w:rsidRPr="00C056CD">
              <w:t>0.003</w:t>
            </w:r>
          </w:p>
        </w:tc>
      </w:tr>
      <w:tr w:rsidR="00905F24" w:rsidRPr="00C056CD" w14:paraId="3B44DBB1" w14:textId="77777777" w:rsidTr="00E408BD">
        <w:tc>
          <w:tcPr>
            <w:tcW w:w="1100" w:type="pct"/>
            <w:tcBorders>
              <w:top w:val="nil"/>
              <w:left w:val="nil"/>
              <w:bottom w:val="nil"/>
              <w:right w:val="nil"/>
            </w:tcBorders>
          </w:tcPr>
          <w:p w14:paraId="4431A269" w14:textId="77777777" w:rsidR="00905F24" w:rsidRPr="00C056CD" w:rsidRDefault="00905F24" w:rsidP="003C097B">
            <w:r w:rsidRPr="00C056CD">
              <w:t>Age</w:t>
            </w:r>
          </w:p>
        </w:tc>
        <w:tc>
          <w:tcPr>
            <w:tcW w:w="850" w:type="pct"/>
            <w:tcBorders>
              <w:top w:val="nil"/>
              <w:left w:val="nil"/>
              <w:bottom w:val="nil"/>
              <w:right w:val="nil"/>
            </w:tcBorders>
          </w:tcPr>
          <w:p w14:paraId="3F30815E" w14:textId="49D825AB" w:rsidR="00905F24" w:rsidRPr="00C056CD" w:rsidRDefault="00905F24" w:rsidP="003C097B">
            <w:r w:rsidRPr="00C056CD">
              <w:t>-0.01</w:t>
            </w:r>
            <w:r w:rsidR="00291821" w:rsidRPr="00C056CD">
              <w:t xml:space="preserve"> </w:t>
            </w:r>
            <w:r w:rsidR="001A5091" w:rsidRPr="00C056CD">
              <w:br/>
            </w:r>
            <w:r w:rsidRPr="00C056CD">
              <w:t>(-0.01,0.01)</w:t>
            </w:r>
          </w:p>
        </w:tc>
        <w:tc>
          <w:tcPr>
            <w:tcW w:w="524" w:type="pct"/>
            <w:tcBorders>
              <w:top w:val="nil"/>
              <w:left w:val="nil"/>
              <w:bottom w:val="nil"/>
              <w:right w:val="nil"/>
            </w:tcBorders>
          </w:tcPr>
          <w:p w14:paraId="42DFCA37" w14:textId="77777777" w:rsidR="00905F24" w:rsidRPr="00C056CD" w:rsidRDefault="00905F24" w:rsidP="003C097B">
            <w:r w:rsidRPr="00C056CD">
              <w:t>0.85</w:t>
            </w:r>
          </w:p>
        </w:tc>
        <w:tc>
          <w:tcPr>
            <w:tcW w:w="735" w:type="pct"/>
            <w:tcBorders>
              <w:top w:val="nil"/>
              <w:left w:val="nil"/>
              <w:bottom w:val="nil"/>
              <w:right w:val="nil"/>
            </w:tcBorders>
          </w:tcPr>
          <w:p w14:paraId="1E5D7C5F" w14:textId="1B3668B2" w:rsidR="00905F24" w:rsidRPr="00C056CD" w:rsidRDefault="00905F24" w:rsidP="003C097B">
            <w:r w:rsidRPr="00C056CD">
              <w:t>0.03</w:t>
            </w:r>
            <w:r w:rsidR="00291821" w:rsidRPr="00C056CD">
              <w:t xml:space="preserve"> </w:t>
            </w:r>
            <w:r w:rsidR="001A5091" w:rsidRPr="00C056CD">
              <w:br/>
            </w:r>
            <w:r w:rsidRPr="00C056CD">
              <w:t>(-.01,0.01)</w:t>
            </w:r>
          </w:p>
        </w:tc>
        <w:tc>
          <w:tcPr>
            <w:tcW w:w="514" w:type="pct"/>
            <w:tcBorders>
              <w:top w:val="nil"/>
              <w:left w:val="nil"/>
              <w:bottom w:val="nil"/>
              <w:right w:val="nil"/>
            </w:tcBorders>
          </w:tcPr>
          <w:p w14:paraId="0378FA91" w14:textId="77777777" w:rsidR="00905F24" w:rsidRPr="00C056CD" w:rsidRDefault="00905F24" w:rsidP="003C097B">
            <w:r w:rsidRPr="00C056CD">
              <w:t>0.74</w:t>
            </w:r>
          </w:p>
        </w:tc>
        <w:tc>
          <w:tcPr>
            <w:tcW w:w="767" w:type="pct"/>
            <w:tcBorders>
              <w:top w:val="nil"/>
              <w:left w:val="nil"/>
              <w:bottom w:val="nil"/>
              <w:right w:val="nil"/>
            </w:tcBorders>
          </w:tcPr>
          <w:p w14:paraId="53314D0A" w14:textId="32DB864F" w:rsidR="00905F24" w:rsidRPr="00C056CD" w:rsidRDefault="00905F24" w:rsidP="003C097B">
            <w:r w:rsidRPr="00C056CD">
              <w:t>-0.1</w:t>
            </w:r>
            <w:r w:rsidR="001A5091" w:rsidRPr="00C056CD">
              <w:t xml:space="preserve"> </w:t>
            </w:r>
            <w:r w:rsidR="00E408BD" w:rsidRPr="00C056CD">
              <w:br/>
            </w:r>
            <w:r w:rsidRPr="00C056CD">
              <w:t>(-0.02,0.01)</w:t>
            </w:r>
          </w:p>
        </w:tc>
        <w:tc>
          <w:tcPr>
            <w:tcW w:w="510" w:type="pct"/>
            <w:tcBorders>
              <w:top w:val="nil"/>
              <w:left w:val="nil"/>
              <w:bottom w:val="nil"/>
              <w:right w:val="nil"/>
            </w:tcBorders>
          </w:tcPr>
          <w:p w14:paraId="25655399" w14:textId="77777777" w:rsidR="00905F24" w:rsidRPr="00C056CD" w:rsidRDefault="00905F24" w:rsidP="003C097B">
            <w:r w:rsidRPr="00C056CD">
              <w:t>0.49</w:t>
            </w:r>
          </w:p>
        </w:tc>
      </w:tr>
      <w:tr w:rsidR="00905F24" w:rsidRPr="00C056CD" w14:paraId="0A636CE5" w14:textId="77777777" w:rsidTr="00E408BD">
        <w:tc>
          <w:tcPr>
            <w:tcW w:w="1100" w:type="pct"/>
            <w:tcBorders>
              <w:top w:val="nil"/>
              <w:left w:val="nil"/>
              <w:bottom w:val="nil"/>
              <w:right w:val="nil"/>
            </w:tcBorders>
          </w:tcPr>
          <w:p w14:paraId="5BACD73C" w14:textId="77777777" w:rsidR="00905F24" w:rsidRPr="00C056CD" w:rsidRDefault="00905F24" w:rsidP="003C097B">
            <w:r w:rsidRPr="00C056CD">
              <w:t>Education</w:t>
            </w:r>
          </w:p>
        </w:tc>
        <w:tc>
          <w:tcPr>
            <w:tcW w:w="850" w:type="pct"/>
            <w:tcBorders>
              <w:top w:val="nil"/>
              <w:left w:val="nil"/>
              <w:bottom w:val="nil"/>
              <w:right w:val="nil"/>
            </w:tcBorders>
          </w:tcPr>
          <w:p w14:paraId="10CA1302" w14:textId="0429F6A7" w:rsidR="00905F24" w:rsidRPr="00C056CD" w:rsidRDefault="00905F24" w:rsidP="003C097B">
            <w:r w:rsidRPr="00C056CD">
              <w:t>-0.02</w:t>
            </w:r>
            <w:r w:rsidR="00291821" w:rsidRPr="00C056CD">
              <w:t xml:space="preserve"> </w:t>
            </w:r>
            <w:r w:rsidR="001A5091" w:rsidRPr="00C056CD">
              <w:br/>
            </w:r>
            <w:r w:rsidRPr="00C056CD">
              <w:t>(-0.11,0.07)</w:t>
            </w:r>
          </w:p>
        </w:tc>
        <w:tc>
          <w:tcPr>
            <w:tcW w:w="524" w:type="pct"/>
            <w:tcBorders>
              <w:top w:val="nil"/>
              <w:left w:val="nil"/>
              <w:bottom w:val="nil"/>
              <w:right w:val="nil"/>
            </w:tcBorders>
          </w:tcPr>
          <w:p w14:paraId="3347F105" w14:textId="77777777" w:rsidR="00905F24" w:rsidRPr="00C056CD" w:rsidRDefault="00905F24" w:rsidP="003C097B">
            <w:r w:rsidRPr="00C056CD">
              <w:t>0.73</w:t>
            </w:r>
          </w:p>
        </w:tc>
        <w:tc>
          <w:tcPr>
            <w:tcW w:w="735" w:type="pct"/>
            <w:tcBorders>
              <w:top w:val="nil"/>
              <w:left w:val="nil"/>
              <w:bottom w:val="nil"/>
              <w:right w:val="nil"/>
            </w:tcBorders>
          </w:tcPr>
          <w:p w14:paraId="69F6169E" w14:textId="115B3867" w:rsidR="00905F24" w:rsidRPr="00C056CD" w:rsidRDefault="00905F24" w:rsidP="003C097B">
            <w:r w:rsidRPr="00C056CD">
              <w:t>-0.02</w:t>
            </w:r>
            <w:r w:rsidR="00291821" w:rsidRPr="00C056CD">
              <w:t xml:space="preserve"> </w:t>
            </w:r>
            <w:r w:rsidR="001A5091" w:rsidRPr="00C056CD">
              <w:br/>
            </w:r>
            <w:r w:rsidRPr="00C056CD">
              <w:t>(-0.17,0.14)</w:t>
            </w:r>
          </w:p>
        </w:tc>
        <w:tc>
          <w:tcPr>
            <w:tcW w:w="514" w:type="pct"/>
            <w:tcBorders>
              <w:top w:val="nil"/>
              <w:left w:val="nil"/>
              <w:bottom w:val="nil"/>
              <w:right w:val="nil"/>
            </w:tcBorders>
          </w:tcPr>
          <w:p w14:paraId="20CEA862" w14:textId="77777777" w:rsidR="00905F24" w:rsidRPr="00C056CD" w:rsidRDefault="00905F24" w:rsidP="003C097B">
            <w:r w:rsidRPr="00C056CD">
              <w:t>0.84</w:t>
            </w:r>
          </w:p>
        </w:tc>
        <w:tc>
          <w:tcPr>
            <w:tcW w:w="767" w:type="pct"/>
            <w:tcBorders>
              <w:top w:val="nil"/>
              <w:left w:val="nil"/>
              <w:bottom w:val="nil"/>
              <w:right w:val="nil"/>
            </w:tcBorders>
          </w:tcPr>
          <w:p w14:paraId="331E6A2E" w14:textId="2ABC4151" w:rsidR="00905F24" w:rsidRPr="00C056CD" w:rsidRDefault="00905F24" w:rsidP="003C097B">
            <w:r w:rsidRPr="00C056CD">
              <w:t>0.14</w:t>
            </w:r>
            <w:r w:rsidR="001A5091" w:rsidRPr="00C056CD">
              <w:t xml:space="preserve"> </w:t>
            </w:r>
            <w:r w:rsidR="00E408BD" w:rsidRPr="00C056CD">
              <w:br/>
            </w:r>
            <w:r w:rsidRPr="00C056CD">
              <w:t>(-0.08,0.34)</w:t>
            </w:r>
          </w:p>
        </w:tc>
        <w:tc>
          <w:tcPr>
            <w:tcW w:w="510" w:type="pct"/>
            <w:tcBorders>
              <w:top w:val="nil"/>
              <w:left w:val="nil"/>
              <w:bottom w:val="nil"/>
              <w:right w:val="nil"/>
            </w:tcBorders>
          </w:tcPr>
          <w:p w14:paraId="30DC317E" w14:textId="77777777" w:rsidR="00905F24" w:rsidRPr="00C056CD" w:rsidRDefault="00905F24" w:rsidP="003C097B">
            <w:r w:rsidRPr="00C056CD">
              <w:t>0.22</w:t>
            </w:r>
          </w:p>
        </w:tc>
      </w:tr>
      <w:tr w:rsidR="00905F24" w:rsidRPr="00C056CD" w14:paraId="4085562B" w14:textId="77777777" w:rsidTr="00E408BD">
        <w:tc>
          <w:tcPr>
            <w:tcW w:w="1100" w:type="pct"/>
            <w:tcBorders>
              <w:top w:val="nil"/>
              <w:left w:val="nil"/>
              <w:bottom w:val="nil"/>
              <w:right w:val="nil"/>
            </w:tcBorders>
          </w:tcPr>
          <w:p w14:paraId="2355308F" w14:textId="77777777" w:rsidR="00905F24" w:rsidRPr="00C056CD" w:rsidRDefault="00905F24" w:rsidP="003C097B">
            <w:r w:rsidRPr="00C056CD">
              <w:t xml:space="preserve">Accommodation </w:t>
            </w:r>
          </w:p>
        </w:tc>
        <w:tc>
          <w:tcPr>
            <w:tcW w:w="850" w:type="pct"/>
            <w:tcBorders>
              <w:top w:val="nil"/>
              <w:left w:val="nil"/>
              <w:bottom w:val="nil"/>
              <w:right w:val="nil"/>
            </w:tcBorders>
          </w:tcPr>
          <w:p w14:paraId="1634AD9A" w14:textId="58E81CDD" w:rsidR="00905F24" w:rsidRPr="00C056CD" w:rsidRDefault="00905F24" w:rsidP="003C097B">
            <w:r w:rsidRPr="00C056CD">
              <w:t>-0.01</w:t>
            </w:r>
            <w:r w:rsidR="00291821" w:rsidRPr="00C056CD">
              <w:t xml:space="preserve"> </w:t>
            </w:r>
            <w:r w:rsidR="001A5091" w:rsidRPr="00C056CD">
              <w:br/>
            </w:r>
            <w:r w:rsidRPr="00C056CD">
              <w:t>(-0.71,0.55)</w:t>
            </w:r>
          </w:p>
        </w:tc>
        <w:tc>
          <w:tcPr>
            <w:tcW w:w="524" w:type="pct"/>
            <w:tcBorders>
              <w:top w:val="nil"/>
              <w:left w:val="nil"/>
              <w:bottom w:val="nil"/>
              <w:right w:val="nil"/>
            </w:tcBorders>
          </w:tcPr>
          <w:p w14:paraId="7DF4A3A4" w14:textId="44828BDA" w:rsidR="00905F24" w:rsidRPr="00C056CD" w:rsidRDefault="00905F24" w:rsidP="003C097B">
            <w:r w:rsidRPr="00C056CD">
              <w:t>0.8</w:t>
            </w:r>
            <w:r w:rsidR="001A5091" w:rsidRPr="00C056CD">
              <w:t>0</w:t>
            </w:r>
          </w:p>
        </w:tc>
        <w:tc>
          <w:tcPr>
            <w:tcW w:w="735" w:type="pct"/>
            <w:tcBorders>
              <w:top w:val="nil"/>
              <w:left w:val="nil"/>
              <w:bottom w:val="nil"/>
              <w:right w:val="nil"/>
            </w:tcBorders>
          </w:tcPr>
          <w:p w14:paraId="2D36BB59" w14:textId="747215DD" w:rsidR="00905F24" w:rsidRPr="00C056CD" w:rsidRDefault="00E408BD" w:rsidP="003C097B">
            <w:r w:rsidRPr="00C056CD">
              <w:t>NA</w:t>
            </w:r>
          </w:p>
        </w:tc>
        <w:tc>
          <w:tcPr>
            <w:tcW w:w="514" w:type="pct"/>
            <w:tcBorders>
              <w:top w:val="nil"/>
              <w:left w:val="nil"/>
              <w:bottom w:val="nil"/>
              <w:right w:val="nil"/>
            </w:tcBorders>
          </w:tcPr>
          <w:p w14:paraId="27BE070C" w14:textId="48CF160B" w:rsidR="00905F24" w:rsidRPr="00C056CD" w:rsidRDefault="00905F24" w:rsidP="003C097B"/>
        </w:tc>
        <w:tc>
          <w:tcPr>
            <w:tcW w:w="767" w:type="pct"/>
            <w:tcBorders>
              <w:top w:val="nil"/>
              <w:left w:val="nil"/>
              <w:bottom w:val="nil"/>
              <w:right w:val="nil"/>
            </w:tcBorders>
          </w:tcPr>
          <w:p w14:paraId="4021164D" w14:textId="5CD839EF" w:rsidR="00905F24" w:rsidRPr="00C056CD" w:rsidRDefault="00E408BD" w:rsidP="003C097B">
            <w:r w:rsidRPr="00C056CD">
              <w:t>NA</w:t>
            </w:r>
          </w:p>
        </w:tc>
        <w:tc>
          <w:tcPr>
            <w:tcW w:w="510" w:type="pct"/>
            <w:tcBorders>
              <w:top w:val="nil"/>
              <w:left w:val="nil"/>
              <w:bottom w:val="nil"/>
              <w:right w:val="nil"/>
            </w:tcBorders>
          </w:tcPr>
          <w:p w14:paraId="506151A0" w14:textId="0F074212" w:rsidR="00905F24" w:rsidRPr="00C056CD" w:rsidRDefault="00905F24" w:rsidP="003C097B"/>
        </w:tc>
      </w:tr>
      <w:tr w:rsidR="00905F24" w:rsidRPr="00C056CD" w14:paraId="668A7D2B" w14:textId="77777777" w:rsidTr="00E408BD">
        <w:tc>
          <w:tcPr>
            <w:tcW w:w="1100" w:type="pct"/>
            <w:tcBorders>
              <w:top w:val="nil"/>
              <w:left w:val="nil"/>
              <w:bottom w:val="nil"/>
              <w:right w:val="nil"/>
            </w:tcBorders>
          </w:tcPr>
          <w:p w14:paraId="564790CD" w14:textId="77777777" w:rsidR="00905F24" w:rsidRPr="00C056CD" w:rsidRDefault="00905F24" w:rsidP="003C097B">
            <w:r w:rsidRPr="00C056CD">
              <w:t>Financial adequacy</w:t>
            </w:r>
          </w:p>
        </w:tc>
        <w:tc>
          <w:tcPr>
            <w:tcW w:w="850" w:type="pct"/>
            <w:tcBorders>
              <w:top w:val="nil"/>
              <w:left w:val="nil"/>
              <w:bottom w:val="nil"/>
              <w:right w:val="nil"/>
            </w:tcBorders>
          </w:tcPr>
          <w:p w14:paraId="128AF8DE" w14:textId="5BA82CF7" w:rsidR="00905F24" w:rsidRPr="00C056CD" w:rsidRDefault="00291821" w:rsidP="003C097B">
            <w:r w:rsidRPr="00C056CD">
              <w:t xml:space="preserve">0.08 </w:t>
            </w:r>
            <w:r w:rsidR="001A5091" w:rsidRPr="00C056CD">
              <w:br/>
            </w:r>
            <w:r w:rsidR="00905F24" w:rsidRPr="00C056CD">
              <w:t>(-0.03,0.14)</w:t>
            </w:r>
          </w:p>
        </w:tc>
        <w:tc>
          <w:tcPr>
            <w:tcW w:w="524" w:type="pct"/>
            <w:tcBorders>
              <w:top w:val="nil"/>
              <w:left w:val="nil"/>
              <w:bottom w:val="nil"/>
              <w:right w:val="nil"/>
            </w:tcBorders>
          </w:tcPr>
          <w:p w14:paraId="787A21CE" w14:textId="77777777" w:rsidR="00905F24" w:rsidRPr="00C056CD" w:rsidRDefault="00905F24" w:rsidP="003C097B">
            <w:r w:rsidRPr="00C056CD">
              <w:t>0.18</w:t>
            </w:r>
          </w:p>
        </w:tc>
        <w:tc>
          <w:tcPr>
            <w:tcW w:w="735" w:type="pct"/>
            <w:tcBorders>
              <w:top w:val="nil"/>
              <w:left w:val="nil"/>
              <w:bottom w:val="nil"/>
              <w:right w:val="nil"/>
            </w:tcBorders>
          </w:tcPr>
          <w:p w14:paraId="006FCEC8" w14:textId="738F82AF" w:rsidR="00905F24" w:rsidRPr="00C056CD" w:rsidRDefault="00905F24" w:rsidP="003C097B">
            <w:r w:rsidRPr="00C056CD">
              <w:t>0.04</w:t>
            </w:r>
            <w:r w:rsidR="00291821" w:rsidRPr="00C056CD">
              <w:t xml:space="preserve"> </w:t>
            </w:r>
            <w:r w:rsidR="001A5091" w:rsidRPr="00C056CD">
              <w:br/>
            </w:r>
            <w:r w:rsidRPr="00C056CD">
              <w:t>(-.12,0.18)</w:t>
            </w:r>
          </w:p>
        </w:tc>
        <w:tc>
          <w:tcPr>
            <w:tcW w:w="514" w:type="pct"/>
            <w:tcBorders>
              <w:top w:val="nil"/>
              <w:left w:val="nil"/>
              <w:bottom w:val="nil"/>
              <w:right w:val="nil"/>
            </w:tcBorders>
          </w:tcPr>
          <w:p w14:paraId="5C5C7458" w14:textId="77777777" w:rsidR="00905F24" w:rsidRPr="00C056CD" w:rsidRDefault="00905F24" w:rsidP="003C097B">
            <w:r w:rsidRPr="00C056CD">
              <w:t>0.66</w:t>
            </w:r>
          </w:p>
        </w:tc>
        <w:tc>
          <w:tcPr>
            <w:tcW w:w="767" w:type="pct"/>
            <w:tcBorders>
              <w:top w:val="nil"/>
              <w:left w:val="nil"/>
              <w:bottom w:val="nil"/>
              <w:right w:val="nil"/>
            </w:tcBorders>
          </w:tcPr>
          <w:p w14:paraId="61E83BD2" w14:textId="1322983F" w:rsidR="00905F24" w:rsidRPr="00C056CD" w:rsidRDefault="00905F24" w:rsidP="003C097B">
            <w:r w:rsidRPr="00C056CD">
              <w:t>0.22</w:t>
            </w:r>
            <w:r w:rsidR="001A5091" w:rsidRPr="00C056CD">
              <w:t xml:space="preserve"> </w:t>
            </w:r>
            <w:r w:rsidR="00E408BD" w:rsidRPr="00C056CD">
              <w:br/>
            </w:r>
            <w:r w:rsidRPr="00C056CD">
              <w:t>(-0.02,0.43)</w:t>
            </w:r>
          </w:p>
        </w:tc>
        <w:tc>
          <w:tcPr>
            <w:tcW w:w="510" w:type="pct"/>
            <w:tcBorders>
              <w:top w:val="nil"/>
              <w:left w:val="nil"/>
              <w:bottom w:val="nil"/>
              <w:right w:val="nil"/>
            </w:tcBorders>
          </w:tcPr>
          <w:p w14:paraId="254BC327" w14:textId="77777777" w:rsidR="00905F24" w:rsidRPr="00C056CD" w:rsidRDefault="00905F24" w:rsidP="003C097B">
            <w:r w:rsidRPr="00C056CD">
              <w:t>0.08</w:t>
            </w:r>
          </w:p>
        </w:tc>
      </w:tr>
      <w:tr w:rsidR="00905F24" w:rsidRPr="00C056CD" w14:paraId="2523AA7F" w14:textId="77777777" w:rsidTr="00E408BD">
        <w:tc>
          <w:tcPr>
            <w:tcW w:w="1100" w:type="pct"/>
            <w:tcBorders>
              <w:top w:val="nil"/>
              <w:left w:val="nil"/>
              <w:bottom w:val="nil"/>
              <w:right w:val="nil"/>
            </w:tcBorders>
          </w:tcPr>
          <w:p w14:paraId="69F0B7D4" w14:textId="77777777" w:rsidR="00905F24" w:rsidRPr="00C056CD" w:rsidRDefault="00905F24" w:rsidP="003C097B">
            <w:r w:rsidRPr="00C056CD">
              <w:t>Health</w:t>
            </w:r>
          </w:p>
        </w:tc>
        <w:tc>
          <w:tcPr>
            <w:tcW w:w="850" w:type="pct"/>
            <w:tcBorders>
              <w:top w:val="nil"/>
              <w:left w:val="nil"/>
              <w:bottom w:val="nil"/>
              <w:right w:val="nil"/>
            </w:tcBorders>
          </w:tcPr>
          <w:p w14:paraId="52C93EB8" w14:textId="3F6FBD97" w:rsidR="00905F24" w:rsidRPr="00C056CD" w:rsidRDefault="001A5091" w:rsidP="003C097B">
            <w:r w:rsidRPr="00C056CD">
              <w:t>0.00</w:t>
            </w:r>
            <w:r w:rsidR="00291821" w:rsidRPr="00C056CD">
              <w:t xml:space="preserve"> </w:t>
            </w:r>
            <w:r w:rsidRPr="00C056CD">
              <w:br/>
            </w:r>
            <w:r w:rsidR="00905F24" w:rsidRPr="00C056CD">
              <w:t>(-0.04,0.04)</w:t>
            </w:r>
          </w:p>
        </w:tc>
        <w:tc>
          <w:tcPr>
            <w:tcW w:w="524" w:type="pct"/>
            <w:tcBorders>
              <w:top w:val="nil"/>
              <w:left w:val="nil"/>
              <w:bottom w:val="nil"/>
              <w:right w:val="nil"/>
            </w:tcBorders>
          </w:tcPr>
          <w:p w14:paraId="0D77F89B" w14:textId="77777777" w:rsidR="00905F24" w:rsidRPr="00C056CD" w:rsidRDefault="00905F24" w:rsidP="003C097B">
            <w:r w:rsidRPr="00C056CD">
              <w:t>0.95</w:t>
            </w:r>
          </w:p>
        </w:tc>
        <w:tc>
          <w:tcPr>
            <w:tcW w:w="735" w:type="pct"/>
            <w:tcBorders>
              <w:top w:val="nil"/>
              <w:left w:val="nil"/>
              <w:bottom w:val="nil"/>
              <w:right w:val="nil"/>
            </w:tcBorders>
          </w:tcPr>
          <w:p w14:paraId="4E890B07" w14:textId="791DA77B" w:rsidR="00905F24" w:rsidRPr="00C056CD" w:rsidRDefault="00905F24" w:rsidP="003C097B">
            <w:r w:rsidRPr="00C056CD">
              <w:t>0.18</w:t>
            </w:r>
            <w:r w:rsidR="00291821" w:rsidRPr="00C056CD">
              <w:t xml:space="preserve"> </w:t>
            </w:r>
            <w:r w:rsidR="001A5091" w:rsidRPr="00C056CD">
              <w:br/>
            </w:r>
            <w:r w:rsidR="00E408BD" w:rsidRPr="00C056CD">
              <w:t>(-0.00</w:t>
            </w:r>
            <w:r w:rsidRPr="00C056CD">
              <w:t>,0.16)</w:t>
            </w:r>
          </w:p>
        </w:tc>
        <w:tc>
          <w:tcPr>
            <w:tcW w:w="514" w:type="pct"/>
            <w:tcBorders>
              <w:top w:val="nil"/>
              <w:left w:val="nil"/>
              <w:bottom w:val="nil"/>
              <w:right w:val="nil"/>
            </w:tcBorders>
          </w:tcPr>
          <w:p w14:paraId="7A78F8A3" w14:textId="77777777" w:rsidR="00905F24" w:rsidRPr="00C056CD" w:rsidRDefault="00905F24" w:rsidP="003C097B">
            <w:r w:rsidRPr="00C056CD">
              <w:t>0.06</w:t>
            </w:r>
          </w:p>
        </w:tc>
        <w:tc>
          <w:tcPr>
            <w:tcW w:w="767" w:type="pct"/>
            <w:tcBorders>
              <w:top w:val="nil"/>
              <w:left w:val="nil"/>
              <w:bottom w:val="nil"/>
              <w:right w:val="nil"/>
            </w:tcBorders>
          </w:tcPr>
          <w:p w14:paraId="0DE7710A" w14:textId="14A3DA71" w:rsidR="00905F24" w:rsidRPr="00C056CD" w:rsidRDefault="00905F24" w:rsidP="003C097B">
            <w:r w:rsidRPr="00C056CD">
              <w:t>0.38</w:t>
            </w:r>
            <w:r w:rsidR="001A5091" w:rsidRPr="00C056CD">
              <w:t xml:space="preserve"> </w:t>
            </w:r>
            <w:r w:rsidRPr="00C056CD">
              <w:t>(0.06,0.27)</w:t>
            </w:r>
          </w:p>
        </w:tc>
        <w:tc>
          <w:tcPr>
            <w:tcW w:w="510" w:type="pct"/>
            <w:tcBorders>
              <w:top w:val="nil"/>
              <w:left w:val="nil"/>
              <w:bottom w:val="nil"/>
              <w:right w:val="nil"/>
            </w:tcBorders>
          </w:tcPr>
          <w:p w14:paraId="02E84ECC" w14:textId="77777777" w:rsidR="00905F24" w:rsidRPr="00C056CD" w:rsidRDefault="00905F24" w:rsidP="003C097B">
            <w:r w:rsidRPr="00C056CD">
              <w:t>0.003</w:t>
            </w:r>
          </w:p>
        </w:tc>
      </w:tr>
      <w:tr w:rsidR="00905F24" w:rsidRPr="00C056CD" w14:paraId="1FF81ED2" w14:textId="77777777" w:rsidTr="00E408BD">
        <w:tc>
          <w:tcPr>
            <w:tcW w:w="1100" w:type="pct"/>
            <w:tcBorders>
              <w:top w:val="nil"/>
              <w:left w:val="nil"/>
              <w:bottom w:val="nil"/>
              <w:right w:val="nil"/>
            </w:tcBorders>
          </w:tcPr>
          <w:p w14:paraId="6450A16E" w14:textId="77777777" w:rsidR="00905F24" w:rsidRPr="00C056CD" w:rsidRDefault="00905F24" w:rsidP="003C097B">
            <w:r w:rsidRPr="00C056CD">
              <w:t>Functional capacity</w:t>
            </w:r>
          </w:p>
        </w:tc>
        <w:tc>
          <w:tcPr>
            <w:tcW w:w="850" w:type="pct"/>
            <w:tcBorders>
              <w:top w:val="nil"/>
              <w:left w:val="nil"/>
              <w:bottom w:val="nil"/>
              <w:right w:val="nil"/>
            </w:tcBorders>
          </w:tcPr>
          <w:p w14:paraId="044DDAE5" w14:textId="57D95919" w:rsidR="00905F24" w:rsidRPr="00C056CD" w:rsidRDefault="00905F24" w:rsidP="003C097B">
            <w:r w:rsidRPr="00C056CD">
              <w:t>0.12</w:t>
            </w:r>
            <w:r w:rsidR="00291821" w:rsidRPr="00C056CD">
              <w:t xml:space="preserve"> </w:t>
            </w:r>
            <w:r w:rsidR="001A5091" w:rsidRPr="00C056CD">
              <w:br/>
            </w:r>
            <w:r w:rsidRPr="00C056CD">
              <w:t>(0.01,0.1)</w:t>
            </w:r>
          </w:p>
        </w:tc>
        <w:tc>
          <w:tcPr>
            <w:tcW w:w="524" w:type="pct"/>
            <w:tcBorders>
              <w:top w:val="nil"/>
              <w:left w:val="nil"/>
              <w:bottom w:val="nil"/>
              <w:right w:val="nil"/>
            </w:tcBorders>
          </w:tcPr>
          <w:p w14:paraId="39D3462E" w14:textId="273478FE" w:rsidR="00905F24" w:rsidRPr="00C056CD" w:rsidRDefault="001A5091" w:rsidP="003C097B">
            <w:r w:rsidRPr="00C056CD">
              <w:t>0.02</w:t>
            </w:r>
          </w:p>
        </w:tc>
        <w:tc>
          <w:tcPr>
            <w:tcW w:w="735" w:type="pct"/>
            <w:tcBorders>
              <w:top w:val="nil"/>
              <w:left w:val="nil"/>
              <w:bottom w:val="nil"/>
              <w:right w:val="nil"/>
            </w:tcBorders>
          </w:tcPr>
          <w:p w14:paraId="79381505" w14:textId="75AD2073" w:rsidR="00905F24" w:rsidRPr="00C056CD" w:rsidRDefault="00905F24" w:rsidP="003C097B">
            <w:r w:rsidRPr="00C056CD">
              <w:t>0.05</w:t>
            </w:r>
            <w:r w:rsidR="00291821" w:rsidRPr="00C056CD">
              <w:t xml:space="preserve"> </w:t>
            </w:r>
            <w:r w:rsidR="001A5091" w:rsidRPr="00C056CD">
              <w:br/>
            </w:r>
            <w:r w:rsidRPr="00C056CD">
              <w:t>(-0.06,0.1)</w:t>
            </w:r>
          </w:p>
        </w:tc>
        <w:tc>
          <w:tcPr>
            <w:tcW w:w="514" w:type="pct"/>
            <w:tcBorders>
              <w:top w:val="nil"/>
              <w:left w:val="nil"/>
              <w:bottom w:val="nil"/>
              <w:right w:val="nil"/>
            </w:tcBorders>
          </w:tcPr>
          <w:p w14:paraId="778B5780" w14:textId="77777777" w:rsidR="00905F24" w:rsidRPr="00C056CD" w:rsidRDefault="00905F24" w:rsidP="003C097B">
            <w:r w:rsidRPr="00C056CD">
              <w:t>0.62</w:t>
            </w:r>
          </w:p>
        </w:tc>
        <w:tc>
          <w:tcPr>
            <w:tcW w:w="767" w:type="pct"/>
            <w:tcBorders>
              <w:top w:val="nil"/>
              <w:left w:val="nil"/>
              <w:bottom w:val="nil"/>
              <w:right w:val="nil"/>
            </w:tcBorders>
          </w:tcPr>
          <w:p w14:paraId="37A8BEEA" w14:textId="313757DE" w:rsidR="00905F24" w:rsidRPr="00C056CD" w:rsidRDefault="00905F24" w:rsidP="003C097B">
            <w:r w:rsidRPr="00C056CD">
              <w:t>0.13</w:t>
            </w:r>
            <w:r w:rsidR="001A5091" w:rsidRPr="00C056CD">
              <w:t xml:space="preserve"> </w:t>
            </w:r>
            <w:r w:rsidR="00E408BD" w:rsidRPr="00C056CD">
              <w:br/>
            </w:r>
            <w:r w:rsidRPr="00C056CD">
              <w:t>(-0.06,0.18)</w:t>
            </w:r>
          </w:p>
        </w:tc>
        <w:tc>
          <w:tcPr>
            <w:tcW w:w="510" w:type="pct"/>
            <w:tcBorders>
              <w:top w:val="nil"/>
              <w:left w:val="nil"/>
              <w:bottom w:val="nil"/>
              <w:right w:val="nil"/>
            </w:tcBorders>
          </w:tcPr>
          <w:p w14:paraId="5FB0E2C2" w14:textId="77777777" w:rsidR="00905F24" w:rsidRPr="00C056CD" w:rsidRDefault="00905F24" w:rsidP="003C097B">
            <w:r w:rsidRPr="00C056CD">
              <w:t>0.33</w:t>
            </w:r>
          </w:p>
        </w:tc>
      </w:tr>
      <w:tr w:rsidR="00905F24" w:rsidRPr="00C056CD" w14:paraId="74CBFD66" w14:textId="77777777" w:rsidTr="00E408BD">
        <w:tc>
          <w:tcPr>
            <w:tcW w:w="1100" w:type="pct"/>
            <w:tcBorders>
              <w:top w:val="nil"/>
              <w:left w:val="nil"/>
              <w:bottom w:val="nil"/>
              <w:right w:val="nil"/>
            </w:tcBorders>
          </w:tcPr>
          <w:p w14:paraId="0CC318D0" w14:textId="21336D59" w:rsidR="00905F24" w:rsidRPr="00C056CD" w:rsidRDefault="000F396E" w:rsidP="003C097B">
            <w:r w:rsidRPr="00C056CD">
              <w:t>Social p</w:t>
            </w:r>
            <w:r w:rsidR="00905F24" w:rsidRPr="00C056CD">
              <w:t>articipation</w:t>
            </w:r>
          </w:p>
        </w:tc>
        <w:tc>
          <w:tcPr>
            <w:tcW w:w="850" w:type="pct"/>
            <w:tcBorders>
              <w:top w:val="nil"/>
              <w:left w:val="nil"/>
              <w:bottom w:val="nil"/>
              <w:right w:val="nil"/>
            </w:tcBorders>
          </w:tcPr>
          <w:p w14:paraId="339B91B8" w14:textId="483BE827" w:rsidR="00905F24" w:rsidRPr="00C056CD" w:rsidRDefault="00905F24" w:rsidP="003C097B">
            <w:r w:rsidRPr="00C056CD">
              <w:t>0.31</w:t>
            </w:r>
            <w:r w:rsidR="001A5091" w:rsidRPr="00C056CD">
              <w:br/>
            </w:r>
            <w:r w:rsidRPr="00C056CD">
              <w:t>(0.2,0.4)</w:t>
            </w:r>
          </w:p>
        </w:tc>
        <w:tc>
          <w:tcPr>
            <w:tcW w:w="524" w:type="pct"/>
            <w:tcBorders>
              <w:top w:val="nil"/>
              <w:left w:val="nil"/>
              <w:bottom w:val="nil"/>
              <w:right w:val="nil"/>
            </w:tcBorders>
          </w:tcPr>
          <w:p w14:paraId="7232157C" w14:textId="77777777" w:rsidR="00905F24" w:rsidRPr="00C056CD" w:rsidRDefault="00905F24" w:rsidP="003C097B">
            <w:r w:rsidRPr="00C056CD">
              <w:t>&lt;0.001</w:t>
            </w:r>
          </w:p>
        </w:tc>
        <w:tc>
          <w:tcPr>
            <w:tcW w:w="735" w:type="pct"/>
            <w:tcBorders>
              <w:top w:val="nil"/>
              <w:left w:val="nil"/>
              <w:bottom w:val="nil"/>
              <w:right w:val="nil"/>
            </w:tcBorders>
          </w:tcPr>
          <w:p w14:paraId="066F277E" w14:textId="0DC2DEE8" w:rsidR="00905F24" w:rsidRPr="00C056CD" w:rsidRDefault="00905F24" w:rsidP="003C097B">
            <w:r w:rsidRPr="00C056CD">
              <w:t>0.23</w:t>
            </w:r>
            <w:r w:rsidR="00291821" w:rsidRPr="00C056CD">
              <w:t xml:space="preserve"> </w:t>
            </w:r>
            <w:r w:rsidR="001A5091" w:rsidRPr="00C056CD">
              <w:br/>
            </w:r>
            <w:r w:rsidRPr="00C056CD">
              <w:t>(0.07,0.45)</w:t>
            </w:r>
          </w:p>
        </w:tc>
        <w:tc>
          <w:tcPr>
            <w:tcW w:w="514" w:type="pct"/>
            <w:tcBorders>
              <w:top w:val="nil"/>
              <w:left w:val="nil"/>
              <w:bottom w:val="nil"/>
              <w:right w:val="nil"/>
            </w:tcBorders>
          </w:tcPr>
          <w:p w14:paraId="714AC08C" w14:textId="77777777" w:rsidR="00905F24" w:rsidRPr="00C056CD" w:rsidRDefault="00905F24" w:rsidP="003C097B">
            <w:r w:rsidRPr="00C056CD">
              <w:t>0.009</w:t>
            </w:r>
          </w:p>
        </w:tc>
        <w:tc>
          <w:tcPr>
            <w:tcW w:w="767" w:type="pct"/>
            <w:tcBorders>
              <w:top w:val="nil"/>
              <w:left w:val="nil"/>
              <w:bottom w:val="nil"/>
              <w:right w:val="nil"/>
            </w:tcBorders>
          </w:tcPr>
          <w:p w14:paraId="5BC9A867" w14:textId="3332B538" w:rsidR="00905F24" w:rsidRPr="00C056CD" w:rsidRDefault="00905F24" w:rsidP="003C097B">
            <w:r w:rsidRPr="00C056CD">
              <w:t>0.1</w:t>
            </w:r>
            <w:r w:rsidR="00E408BD" w:rsidRPr="00C056CD">
              <w:br/>
            </w:r>
            <w:r w:rsidRPr="00C056CD">
              <w:t>(-0.24,0.49)</w:t>
            </w:r>
          </w:p>
        </w:tc>
        <w:tc>
          <w:tcPr>
            <w:tcW w:w="510" w:type="pct"/>
            <w:tcBorders>
              <w:top w:val="nil"/>
              <w:left w:val="nil"/>
              <w:bottom w:val="nil"/>
              <w:right w:val="single" w:sz="4" w:space="0" w:color="auto"/>
            </w:tcBorders>
          </w:tcPr>
          <w:p w14:paraId="624E66D6" w14:textId="14DC6255" w:rsidR="00905F24" w:rsidRPr="00C056CD" w:rsidRDefault="00905F24" w:rsidP="003C097B">
            <w:r w:rsidRPr="00C056CD">
              <w:t>0.5</w:t>
            </w:r>
            <w:r w:rsidR="001A5091" w:rsidRPr="00C056CD">
              <w:t>0</w:t>
            </w:r>
          </w:p>
        </w:tc>
      </w:tr>
      <w:tr w:rsidR="00905F24" w:rsidRPr="00C056CD" w14:paraId="224BFAFA" w14:textId="77777777" w:rsidTr="00E408BD">
        <w:tc>
          <w:tcPr>
            <w:tcW w:w="1100" w:type="pct"/>
            <w:tcBorders>
              <w:top w:val="nil"/>
              <w:left w:val="nil"/>
              <w:right w:val="nil"/>
            </w:tcBorders>
          </w:tcPr>
          <w:p w14:paraId="50C53434" w14:textId="77777777" w:rsidR="00905F24" w:rsidRPr="00C056CD" w:rsidRDefault="00905F24" w:rsidP="003C097B">
            <w:r w:rsidRPr="00C056CD">
              <w:t>Resilience</w:t>
            </w:r>
          </w:p>
        </w:tc>
        <w:tc>
          <w:tcPr>
            <w:tcW w:w="850" w:type="pct"/>
            <w:tcBorders>
              <w:top w:val="nil"/>
              <w:left w:val="nil"/>
              <w:right w:val="nil"/>
            </w:tcBorders>
          </w:tcPr>
          <w:p w14:paraId="38709C5D" w14:textId="3CC92199" w:rsidR="00905F24" w:rsidRPr="00C056CD" w:rsidRDefault="00905F24" w:rsidP="003C097B">
            <w:r w:rsidRPr="00C056CD">
              <w:t>0.49</w:t>
            </w:r>
            <w:r w:rsidR="001A5091" w:rsidRPr="00C056CD">
              <w:br/>
            </w:r>
            <w:r w:rsidRPr="00C056CD">
              <w:t>(0.23,0.35)</w:t>
            </w:r>
          </w:p>
        </w:tc>
        <w:tc>
          <w:tcPr>
            <w:tcW w:w="524" w:type="pct"/>
            <w:tcBorders>
              <w:top w:val="nil"/>
              <w:left w:val="nil"/>
              <w:right w:val="nil"/>
            </w:tcBorders>
          </w:tcPr>
          <w:p w14:paraId="532B5DB9" w14:textId="77777777" w:rsidR="00905F24" w:rsidRPr="00C056CD" w:rsidRDefault="00905F24" w:rsidP="003C097B">
            <w:r w:rsidRPr="00C056CD">
              <w:t>&lt;0.001</w:t>
            </w:r>
          </w:p>
        </w:tc>
        <w:tc>
          <w:tcPr>
            <w:tcW w:w="735" w:type="pct"/>
            <w:tcBorders>
              <w:top w:val="nil"/>
              <w:left w:val="nil"/>
              <w:right w:val="nil"/>
            </w:tcBorders>
          </w:tcPr>
          <w:p w14:paraId="41B7560D" w14:textId="07EE18F7" w:rsidR="00905F24" w:rsidRPr="00C056CD" w:rsidRDefault="00905F24" w:rsidP="003C097B">
            <w:r w:rsidRPr="00C056CD">
              <w:t>0.53</w:t>
            </w:r>
            <w:r w:rsidR="001A5091" w:rsidRPr="00C056CD">
              <w:br/>
            </w:r>
            <w:r w:rsidRPr="00C056CD">
              <w:t>(0.19,0.38)</w:t>
            </w:r>
          </w:p>
        </w:tc>
        <w:tc>
          <w:tcPr>
            <w:tcW w:w="514" w:type="pct"/>
            <w:tcBorders>
              <w:top w:val="nil"/>
              <w:left w:val="nil"/>
              <w:right w:val="nil"/>
            </w:tcBorders>
          </w:tcPr>
          <w:p w14:paraId="316D1461" w14:textId="77777777" w:rsidR="00905F24" w:rsidRPr="00C056CD" w:rsidRDefault="00905F24" w:rsidP="003C097B">
            <w:r w:rsidRPr="00C056CD">
              <w:t>&lt;0.001</w:t>
            </w:r>
          </w:p>
        </w:tc>
        <w:tc>
          <w:tcPr>
            <w:tcW w:w="767" w:type="pct"/>
            <w:tcBorders>
              <w:top w:val="nil"/>
              <w:left w:val="nil"/>
              <w:right w:val="nil"/>
            </w:tcBorders>
          </w:tcPr>
          <w:p w14:paraId="40B3970B" w14:textId="3B5EE974" w:rsidR="00905F24" w:rsidRPr="00C056CD" w:rsidRDefault="00905F24" w:rsidP="003C097B">
            <w:r w:rsidRPr="00C056CD">
              <w:t>0.47</w:t>
            </w:r>
            <w:r w:rsidR="00E408BD" w:rsidRPr="00C056CD">
              <w:br/>
            </w:r>
            <w:r w:rsidRPr="00C056CD">
              <w:t>(0.09,0.37)</w:t>
            </w:r>
          </w:p>
        </w:tc>
        <w:tc>
          <w:tcPr>
            <w:tcW w:w="510" w:type="pct"/>
            <w:tcBorders>
              <w:top w:val="nil"/>
              <w:left w:val="nil"/>
            </w:tcBorders>
          </w:tcPr>
          <w:p w14:paraId="44B6579D" w14:textId="77777777" w:rsidR="00905F24" w:rsidRPr="00C056CD" w:rsidRDefault="00905F24" w:rsidP="003C097B">
            <w:r w:rsidRPr="00C056CD">
              <w:t>0.002</w:t>
            </w:r>
          </w:p>
        </w:tc>
      </w:tr>
    </w:tbl>
    <w:p w14:paraId="57E81399" w14:textId="1B357CD9" w:rsidR="00905F24" w:rsidRDefault="00905F24" w:rsidP="00905F24">
      <w:r w:rsidRPr="00C056CD">
        <w:t xml:space="preserve">Note. </w:t>
      </w:r>
      <w:r w:rsidRPr="00C056CD">
        <w:rPr>
          <w:i/>
        </w:rPr>
        <w:t xml:space="preserve">Accommodation </w:t>
      </w:r>
      <w:r w:rsidR="00E408BD" w:rsidRPr="00C056CD">
        <w:rPr>
          <w:i/>
        </w:rPr>
        <w:t>was coded as residential care versus</w:t>
      </w:r>
      <w:r w:rsidRPr="00C056CD">
        <w:rPr>
          <w:i/>
        </w:rPr>
        <w:t xml:space="preserve"> private housin</w:t>
      </w:r>
      <w:r w:rsidR="00291821" w:rsidRPr="00C056CD">
        <w:rPr>
          <w:i/>
        </w:rPr>
        <w:t>g and retirement village living</w:t>
      </w:r>
      <w:r w:rsidRPr="00C056CD">
        <w:rPr>
          <w:i/>
        </w:rPr>
        <w:t xml:space="preserve"> </w:t>
      </w:r>
      <w:r w:rsidR="00E408BD" w:rsidRPr="00C056CD">
        <w:rPr>
          <w:i/>
        </w:rPr>
        <w:t>(applicable only to respondents living in urban Victoria)</w:t>
      </w:r>
      <w:bookmarkStart w:id="0" w:name="_GoBack"/>
      <w:bookmarkEnd w:id="0"/>
    </w:p>
    <w:p w14:paraId="68DA98CB" w14:textId="57C229D2" w:rsidR="00291821" w:rsidRDefault="00291821"/>
    <w:sectPr w:rsidR="00291821" w:rsidSect="00A3094C">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95AC0" w14:textId="77777777" w:rsidR="0080384C" w:rsidRDefault="0080384C" w:rsidP="00CB3245">
      <w:pPr>
        <w:spacing w:after="0" w:line="240" w:lineRule="auto"/>
      </w:pPr>
      <w:r>
        <w:separator/>
      </w:r>
    </w:p>
  </w:endnote>
  <w:endnote w:type="continuationSeparator" w:id="0">
    <w:p w14:paraId="4474AAB5" w14:textId="77777777" w:rsidR="0080384C" w:rsidRDefault="0080384C" w:rsidP="00CB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863131"/>
      <w:docPartObj>
        <w:docPartGallery w:val="Page Numbers (Bottom of Page)"/>
        <w:docPartUnique/>
      </w:docPartObj>
    </w:sdtPr>
    <w:sdtEndPr>
      <w:rPr>
        <w:noProof/>
      </w:rPr>
    </w:sdtEndPr>
    <w:sdtContent>
      <w:p w14:paraId="2E68554E" w14:textId="787EB684" w:rsidR="00CB3245" w:rsidRDefault="00CB32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AC30A6" w14:textId="77777777" w:rsidR="00CB3245" w:rsidRDefault="00CB3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3B86B" w14:textId="77777777" w:rsidR="0080384C" w:rsidRDefault="0080384C" w:rsidP="00CB3245">
      <w:pPr>
        <w:spacing w:after="0" w:line="240" w:lineRule="auto"/>
      </w:pPr>
      <w:r>
        <w:separator/>
      </w:r>
    </w:p>
  </w:footnote>
  <w:footnote w:type="continuationSeparator" w:id="0">
    <w:p w14:paraId="1B626CD3" w14:textId="77777777" w:rsidR="0080384C" w:rsidRDefault="0080384C" w:rsidP="00CB3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672B7"/>
    <w:multiLevelType w:val="hybridMultilevel"/>
    <w:tmpl w:val="36B65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475C95"/>
    <w:multiLevelType w:val="hybridMultilevel"/>
    <w:tmpl w:val="0E902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vdeefptd5w2eerrflv0zw32xrsfzst00fw&quot;&gt;my place for life endnote&lt;record-ids&gt;&lt;item&gt;1&lt;/item&gt;&lt;item&gt;3&lt;/item&gt;&lt;item&gt;4&lt;/item&gt;&lt;item&gt;5&lt;/item&gt;&lt;item&gt;17&lt;/item&gt;&lt;item&gt;39&lt;/item&gt;&lt;item&gt;40&lt;/item&gt;&lt;item&gt;45&lt;/item&gt;&lt;item&gt;46&lt;/item&gt;&lt;item&gt;47&lt;/item&gt;&lt;item&gt;54&lt;/item&gt;&lt;item&gt;55&lt;/item&gt;&lt;item&gt;56&lt;/item&gt;&lt;item&gt;57&lt;/item&gt;&lt;item&gt;61&lt;/item&gt;&lt;item&gt;62&lt;/item&gt;&lt;item&gt;63&lt;/item&gt;&lt;item&gt;64&lt;/item&gt;&lt;item&gt;65&lt;/item&gt;&lt;item&gt;66&lt;/item&gt;&lt;item&gt;68&lt;/item&gt;&lt;item&gt;69&lt;/item&gt;&lt;item&gt;70&lt;/item&gt;&lt;item&gt;71&lt;/item&gt;&lt;item&gt;72&lt;/item&gt;&lt;item&gt;74&lt;/item&gt;&lt;item&gt;75&lt;/item&gt;&lt;item&gt;76&lt;/item&gt;&lt;item&gt;77&lt;/item&gt;&lt;item&gt;78&lt;/item&gt;&lt;item&gt;79&lt;/item&gt;&lt;item&gt;80&lt;/item&gt;&lt;item&gt;81&lt;/item&gt;&lt;item&gt;82&lt;/item&gt;&lt;item&gt;83&lt;/item&gt;&lt;item&gt;84&lt;/item&gt;&lt;/record-ids&gt;&lt;/item&gt;&lt;/Libraries&gt;"/>
  </w:docVars>
  <w:rsids>
    <w:rsidRoot w:val="003F75FF"/>
    <w:rsid w:val="000176EA"/>
    <w:rsid w:val="00023AAB"/>
    <w:rsid w:val="00056641"/>
    <w:rsid w:val="00065299"/>
    <w:rsid w:val="00067E95"/>
    <w:rsid w:val="00086E0E"/>
    <w:rsid w:val="00090465"/>
    <w:rsid w:val="00092BF4"/>
    <w:rsid w:val="000A7471"/>
    <w:rsid w:val="000B0125"/>
    <w:rsid w:val="000C1331"/>
    <w:rsid w:val="000E0D90"/>
    <w:rsid w:val="000F396E"/>
    <w:rsid w:val="00112523"/>
    <w:rsid w:val="00114F9C"/>
    <w:rsid w:val="001229C6"/>
    <w:rsid w:val="00123F3A"/>
    <w:rsid w:val="00125264"/>
    <w:rsid w:val="00132414"/>
    <w:rsid w:val="00137124"/>
    <w:rsid w:val="0016053D"/>
    <w:rsid w:val="00162BF3"/>
    <w:rsid w:val="001941C7"/>
    <w:rsid w:val="00194695"/>
    <w:rsid w:val="001A0705"/>
    <w:rsid w:val="001A5091"/>
    <w:rsid w:val="001A62A9"/>
    <w:rsid w:val="001C4E47"/>
    <w:rsid w:val="001D64B0"/>
    <w:rsid w:val="001E27AC"/>
    <w:rsid w:val="002004A3"/>
    <w:rsid w:val="002038CB"/>
    <w:rsid w:val="00233E47"/>
    <w:rsid w:val="0024447A"/>
    <w:rsid w:val="00244CF8"/>
    <w:rsid w:val="002539BF"/>
    <w:rsid w:val="00277D28"/>
    <w:rsid w:val="00285B80"/>
    <w:rsid w:val="00290D88"/>
    <w:rsid w:val="00291821"/>
    <w:rsid w:val="002A511F"/>
    <w:rsid w:val="002B7F4F"/>
    <w:rsid w:val="002C4C0C"/>
    <w:rsid w:val="002D692F"/>
    <w:rsid w:val="002D6CAF"/>
    <w:rsid w:val="002F09A6"/>
    <w:rsid w:val="00303D90"/>
    <w:rsid w:val="003149A3"/>
    <w:rsid w:val="00322B0D"/>
    <w:rsid w:val="0032487F"/>
    <w:rsid w:val="00335C4A"/>
    <w:rsid w:val="003363E0"/>
    <w:rsid w:val="00341B48"/>
    <w:rsid w:val="00345021"/>
    <w:rsid w:val="003559CD"/>
    <w:rsid w:val="003569BB"/>
    <w:rsid w:val="003725FB"/>
    <w:rsid w:val="00375642"/>
    <w:rsid w:val="003C097B"/>
    <w:rsid w:val="003C5A98"/>
    <w:rsid w:val="003D1500"/>
    <w:rsid w:val="003F75FF"/>
    <w:rsid w:val="00401828"/>
    <w:rsid w:val="00404A39"/>
    <w:rsid w:val="00410FD5"/>
    <w:rsid w:val="0042569D"/>
    <w:rsid w:val="004444ED"/>
    <w:rsid w:val="004551D1"/>
    <w:rsid w:val="00464020"/>
    <w:rsid w:val="004E0955"/>
    <w:rsid w:val="004E77A4"/>
    <w:rsid w:val="00506069"/>
    <w:rsid w:val="00506DF2"/>
    <w:rsid w:val="00535468"/>
    <w:rsid w:val="0053775A"/>
    <w:rsid w:val="00550E69"/>
    <w:rsid w:val="00553E7F"/>
    <w:rsid w:val="00565F0D"/>
    <w:rsid w:val="00571978"/>
    <w:rsid w:val="00586869"/>
    <w:rsid w:val="005A4899"/>
    <w:rsid w:val="005B327A"/>
    <w:rsid w:val="005B6DF0"/>
    <w:rsid w:val="006013A6"/>
    <w:rsid w:val="00620E10"/>
    <w:rsid w:val="00621C15"/>
    <w:rsid w:val="00633D1C"/>
    <w:rsid w:val="00647C08"/>
    <w:rsid w:val="006548F3"/>
    <w:rsid w:val="006C256A"/>
    <w:rsid w:val="006C5DF8"/>
    <w:rsid w:val="006D0B5C"/>
    <w:rsid w:val="006E3F79"/>
    <w:rsid w:val="006F3767"/>
    <w:rsid w:val="0070757C"/>
    <w:rsid w:val="0071413B"/>
    <w:rsid w:val="00716AFC"/>
    <w:rsid w:val="0073028C"/>
    <w:rsid w:val="0074321F"/>
    <w:rsid w:val="007500F3"/>
    <w:rsid w:val="00766C3B"/>
    <w:rsid w:val="007809FA"/>
    <w:rsid w:val="00790C9F"/>
    <w:rsid w:val="00794B55"/>
    <w:rsid w:val="007C212F"/>
    <w:rsid w:val="007E5CC9"/>
    <w:rsid w:val="007F0493"/>
    <w:rsid w:val="007F7223"/>
    <w:rsid w:val="0080384C"/>
    <w:rsid w:val="00803E1B"/>
    <w:rsid w:val="00813103"/>
    <w:rsid w:val="00883443"/>
    <w:rsid w:val="00886DB2"/>
    <w:rsid w:val="00894D54"/>
    <w:rsid w:val="008B7193"/>
    <w:rsid w:val="008D61E2"/>
    <w:rsid w:val="008D73F2"/>
    <w:rsid w:val="008E4D34"/>
    <w:rsid w:val="00901B46"/>
    <w:rsid w:val="00901DF8"/>
    <w:rsid w:val="00905F24"/>
    <w:rsid w:val="009076E9"/>
    <w:rsid w:val="00913D45"/>
    <w:rsid w:val="00915E4D"/>
    <w:rsid w:val="009336D9"/>
    <w:rsid w:val="009337CA"/>
    <w:rsid w:val="00944685"/>
    <w:rsid w:val="0095086F"/>
    <w:rsid w:val="00965AB0"/>
    <w:rsid w:val="00972050"/>
    <w:rsid w:val="0097334A"/>
    <w:rsid w:val="00977673"/>
    <w:rsid w:val="00977941"/>
    <w:rsid w:val="00982143"/>
    <w:rsid w:val="00987D48"/>
    <w:rsid w:val="009A290A"/>
    <w:rsid w:val="009E0856"/>
    <w:rsid w:val="009E7346"/>
    <w:rsid w:val="009F4686"/>
    <w:rsid w:val="00A0514B"/>
    <w:rsid w:val="00A238DE"/>
    <w:rsid w:val="00A249C6"/>
    <w:rsid w:val="00A3094C"/>
    <w:rsid w:val="00A43859"/>
    <w:rsid w:val="00A46346"/>
    <w:rsid w:val="00A65F47"/>
    <w:rsid w:val="00A67072"/>
    <w:rsid w:val="00AA213C"/>
    <w:rsid w:val="00AA4B6F"/>
    <w:rsid w:val="00AB1D3C"/>
    <w:rsid w:val="00AB53B3"/>
    <w:rsid w:val="00AC33B7"/>
    <w:rsid w:val="00AC5045"/>
    <w:rsid w:val="00AE04D9"/>
    <w:rsid w:val="00AF22E6"/>
    <w:rsid w:val="00AF4601"/>
    <w:rsid w:val="00AF4F84"/>
    <w:rsid w:val="00B331D0"/>
    <w:rsid w:val="00B3446A"/>
    <w:rsid w:val="00B50342"/>
    <w:rsid w:val="00B562B8"/>
    <w:rsid w:val="00B77D51"/>
    <w:rsid w:val="00B8349A"/>
    <w:rsid w:val="00B85C33"/>
    <w:rsid w:val="00BB28A3"/>
    <w:rsid w:val="00BB7CB0"/>
    <w:rsid w:val="00BD0341"/>
    <w:rsid w:val="00BE25B6"/>
    <w:rsid w:val="00BF057D"/>
    <w:rsid w:val="00C056CD"/>
    <w:rsid w:val="00C10CCB"/>
    <w:rsid w:val="00C221A2"/>
    <w:rsid w:val="00C26E74"/>
    <w:rsid w:val="00C36865"/>
    <w:rsid w:val="00C52D42"/>
    <w:rsid w:val="00C55C39"/>
    <w:rsid w:val="00C860F8"/>
    <w:rsid w:val="00C86E05"/>
    <w:rsid w:val="00C8762A"/>
    <w:rsid w:val="00C9179E"/>
    <w:rsid w:val="00C970AC"/>
    <w:rsid w:val="00CB3245"/>
    <w:rsid w:val="00CB399C"/>
    <w:rsid w:val="00CE61C1"/>
    <w:rsid w:val="00CF37CA"/>
    <w:rsid w:val="00D10A23"/>
    <w:rsid w:val="00D14873"/>
    <w:rsid w:val="00D23679"/>
    <w:rsid w:val="00D2531F"/>
    <w:rsid w:val="00D269AD"/>
    <w:rsid w:val="00D41EA8"/>
    <w:rsid w:val="00D55703"/>
    <w:rsid w:val="00D70D31"/>
    <w:rsid w:val="00D75AD6"/>
    <w:rsid w:val="00D91FBC"/>
    <w:rsid w:val="00DA064B"/>
    <w:rsid w:val="00DA3B32"/>
    <w:rsid w:val="00DA4596"/>
    <w:rsid w:val="00DB5C85"/>
    <w:rsid w:val="00DC20A0"/>
    <w:rsid w:val="00DC6ECF"/>
    <w:rsid w:val="00DF06DE"/>
    <w:rsid w:val="00E00007"/>
    <w:rsid w:val="00E03C87"/>
    <w:rsid w:val="00E262A1"/>
    <w:rsid w:val="00E30BF6"/>
    <w:rsid w:val="00E408BD"/>
    <w:rsid w:val="00E46115"/>
    <w:rsid w:val="00E603B5"/>
    <w:rsid w:val="00E66024"/>
    <w:rsid w:val="00E75EB6"/>
    <w:rsid w:val="00EA3B10"/>
    <w:rsid w:val="00EA4622"/>
    <w:rsid w:val="00EA5B8F"/>
    <w:rsid w:val="00EB0D39"/>
    <w:rsid w:val="00EC7138"/>
    <w:rsid w:val="00EF442E"/>
    <w:rsid w:val="00F07C12"/>
    <w:rsid w:val="00F14010"/>
    <w:rsid w:val="00F153F6"/>
    <w:rsid w:val="00F24D5C"/>
    <w:rsid w:val="00F378E3"/>
    <w:rsid w:val="00F42DAF"/>
    <w:rsid w:val="00F44BDB"/>
    <w:rsid w:val="00F62A8A"/>
    <w:rsid w:val="00F64418"/>
    <w:rsid w:val="00FA51DB"/>
    <w:rsid w:val="00FC287B"/>
    <w:rsid w:val="00FC3C7E"/>
    <w:rsid w:val="00FE51E1"/>
    <w:rsid w:val="00FE6F78"/>
    <w:rsid w:val="00FE7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2C4C"/>
  <w15:docId w15:val="{395C75B3-138A-40D4-B96B-CB1F29E3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A462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A4622"/>
    <w:rPr>
      <w:rFonts w:ascii="Calibri" w:hAnsi="Calibri" w:cs="Calibri"/>
      <w:noProof/>
      <w:lang w:val="en-US"/>
    </w:rPr>
  </w:style>
  <w:style w:type="paragraph" w:customStyle="1" w:styleId="EndNoteBibliography">
    <w:name w:val="EndNote Bibliography"/>
    <w:basedOn w:val="Normal"/>
    <w:link w:val="EndNoteBibliographyChar"/>
    <w:rsid w:val="00EA462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A4622"/>
    <w:rPr>
      <w:rFonts w:ascii="Calibri" w:hAnsi="Calibri" w:cs="Calibri"/>
      <w:noProof/>
      <w:lang w:val="en-US"/>
    </w:rPr>
  </w:style>
  <w:style w:type="character" w:styleId="Hyperlink">
    <w:name w:val="Hyperlink"/>
    <w:basedOn w:val="DefaultParagraphFont"/>
    <w:uiPriority w:val="99"/>
    <w:unhideWhenUsed/>
    <w:rsid w:val="00F153F6"/>
    <w:rPr>
      <w:color w:val="0563C1" w:themeColor="hyperlink"/>
      <w:u w:val="single"/>
    </w:rPr>
  </w:style>
  <w:style w:type="character" w:styleId="CommentReference">
    <w:name w:val="annotation reference"/>
    <w:basedOn w:val="DefaultParagraphFont"/>
    <w:uiPriority w:val="99"/>
    <w:semiHidden/>
    <w:unhideWhenUsed/>
    <w:rsid w:val="00AB53B3"/>
    <w:rPr>
      <w:sz w:val="16"/>
      <w:szCs w:val="16"/>
    </w:rPr>
  </w:style>
  <w:style w:type="paragraph" w:styleId="ListParagraph">
    <w:name w:val="List Paragraph"/>
    <w:basedOn w:val="Normal"/>
    <w:uiPriority w:val="34"/>
    <w:qFormat/>
    <w:rsid w:val="00E603B5"/>
    <w:pPr>
      <w:ind w:left="720"/>
      <w:contextualSpacing/>
    </w:pPr>
  </w:style>
  <w:style w:type="paragraph" w:styleId="CommentText">
    <w:name w:val="annotation text"/>
    <w:basedOn w:val="Normal"/>
    <w:link w:val="CommentTextChar"/>
    <w:uiPriority w:val="99"/>
    <w:semiHidden/>
    <w:unhideWhenUsed/>
    <w:rsid w:val="00D14873"/>
    <w:pPr>
      <w:spacing w:line="240" w:lineRule="auto"/>
    </w:pPr>
    <w:rPr>
      <w:sz w:val="20"/>
      <w:szCs w:val="20"/>
    </w:rPr>
  </w:style>
  <w:style w:type="character" w:customStyle="1" w:styleId="CommentTextChar">
    <w:name w:val="Comment Text Char"/>
    <w:basedOn w:val="DefaultParagraphFont"/>
    <w:link w:val="CommentText"/>
    <w:uiPriority w:val="99"/>
    <w:semiHidden/>
    <w:rsid w:val="00D14873"/>
    <w:rPr>
      <w:sz w:val="20"/>
      <w:szCs w:val="20"/>
    </w:rPr>
  </w:style>
  <w:style w:type="paragraph" w:styleId="CommentSubject">
    <w:name w:val="annotation subject"/>
    <w:basedOn w:val="CommentText"/>
    <w:next w:val="CommentText"/>
    <w:link w:val="CommentSubjectChar"/>
    <w:uiPriority w:val="99"/>
    <w:semiHidden/>
    <w:unhideWhenUsed/>
    <w:rsid w:val="00D14873"/>
    <w:rPr>
      <w:b/>
      <w:bCs/>
    </w:rPr>
  </w:style>
  <w:style w:type="character" w:customStyle="1" w:styleId="CommentSubjectChar">
    <w:name w:val="Comment Subject Char"/>
    <w:basedOn w:val="CommentTextChar"/>
    <w:link w:val="CommentSubject"/>
    <w:uiPriority w:val="99"/>
    <w:semiHidden/>
    <w:rsid w:val="00D14873"/>
    <w:rPr>
      <w:b/>
      <w:bCs/>
      <w:sz w:val="20"/>
      <w:szCs w:val="20"/>
    </w:rPr>
  </w:style>
  <w:style w:type="paragraph" w:styleId="BalloonText">
    <w:name w:val="Balloon Text"/>
    <w:basedOn w:val="Normal"/>
    <w:link w:val="BalloonTextChar"/>
    <w:uiPriority w:val="99"/>
    <w:semiHidden/>
    <w:unhideWhenUsed/>
    <w:rsid w:val="00D14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873"/>
    <w:rPr>
      <w:rFonts w:ascii="Segoe UI" w:hAnsi="Segoe UI" w:cs="Segoe UI"/>
      <w:sz w:val="18"/>
      <w:szCs w:val="18"/>
    </w:rPr>
  </w:style>
  <w:style w:type="paragraph" w:customStyle="1" w:styleId="paragraph">
    <w:name w:val="paragraph"/>
    <w:basedOn w:val="Normal"/>
    <w:rsid w:val="00550E69"/>
    <w:pPr>
      <w:spacing w:after="0"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50E69"/>
  </w:style>
  <w:style w:type="character" w:customStyle="1" w:styleId="eop">
    <w:name w:val="eop"/>
    <w:basedOn w:val="DefaultParagraphFont"/>
    <w:rsid w:val="00550E69"/>
  </w:style>
  <w:style w:type="character" w:styleId="UnresolvedMention">
    <w:name w:val="Unresolved Mention"/>
    <w:basedOn w:val="DefaultParagraphFont"/>
    <w:uiPriority w:val="99"/>
    <w:semiHidden/>
    <w:unhideWhenUsed/>
    <w:rsid w:val="00F378E3"/>
    <w:rPr>
      <w:color w:val="808080"/>
      <w:shd w:val="clear" w:color="auto" w:fill="E6E6E6"/>
    </w:rPr>
  </w:style>
  <w:style w:type="paragraph" w:styleId="Header">
    <w:name w:val="header"/>
    <w:basedOn w:val="Normal"/>
    <w:link w:val="HeaderChar"/>
    <w:uiPriority w:val="99"/>
    <w:unhideWhenUsed/>
    <w:rsid w:val="00CB3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45"/>
  </w:style>
  <w:style w:type="paragraph" w:styleId="Footer">
    <w:name w:val="footer"/>
    <w:basedOn w:val="Normal"/>
    <w:link w:val="FooterChar"/>
    <w:uiPriority w:val="99"/>
    <w:unhideWhenUsed/>
    <w:rsid w:val="00CB3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45"/>
  </w:style>
  <w:style w:type="character" w:styleId="Strong">
    <w:name w:val="Strong"/>
    <w:basedOn w:val="DefaultParagraphFont"/>
    <w:uiPriority w:val="22"/>
    <w:qFormat/>
    <w:rsid w:val="00FC287B"/>
    <w:rPr>
      <w:b/>
      <w:bCs/>
    </w:rPr>
  </w:style>
  <w:style w:type="character" w:styleId="Emphasis">
    <w:name w:val="Emphasis"/>
    <w:basedOn w:val="DefaultParagraphFont"/>
    <w:uiPriority w:val="20"/>
    <w:qFormat/>
    <w:rsid w:val="00FC28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163115">
      <w:bodyDiv w:val="1"/>
      <w:marLeft w:val="0"/>
      <w:marRight w:val="0"/>
      <w:marTop w:val="0"/>
      <w:marBottom w:val="0"/>
      <w:divBdr>
        <w:top w:val="none" w:sz="0" w:space="0" w:color="auto"/>
        <w:left w:val="none" w:sz="0" w:space="0" w:color="auto"/>
        <w:bottom w:val="none" w:sz="0" w:space="0" w:color="auto"/>
        <w:right w:val="none" w:sz="0" w:space="0" w:color="auto"/>
      </w:divBdr>
      <w:divsChild>
        <w:div w:id="1000497959">
          <w:marLeft w:val="0"/>
          <w:marRight w:val="0"/>
          <w:marTop w:val="0"/>
          <w:marBottom w:val="0"/>
          <w:divBdr>
            <w:top w:val="none" w:sz="0" w:space="0" w:color="auto"/>
            <w:left w:val="none" w:sz="0" w:space="0" w:color="auto"/>
            <w:bottom w:val="none" w:sz="0" w:space="0" w:color="auto"/>
            <w:right w:val="none" w:sz="0" w:space="0" w:color="auto"/>
          </w:divBdr>
        </w:div>
        <w:div w:id="1885175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56166-EEBC-478D-BF5B-0F97D3D7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3718</Words>
  <Characters>21195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Hancock</dc:creator>
  <cp:lastModifiedBy>Yvonne Wells</cp:lastModifiedBy>
  <cp:revision>4</cp:revision>
  <dcterms:created xsi:type="dcterms:W3CDTF">2019-06-26T08:53:00Z</dcterms:created>
  <dcterms:modified xsi:type="dcterms:W3CDTF">2021-01-15T03:00:00Z</dcterms:modified>
</cp:coreProperties>
</file>