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A22A" w14:textId="77777777" w:rsidR="00CA04CD" w:rsidRPr="00B67483" w:rsidRDefault="00CA04CD" w:rsidP="00CA04CD">
      <w:pPr>
        <w:spacing w:line="480" w:lineRule="auto"/>
        <w:rPr>
          <w:b/>
        </w:rPr>
      </w:pPr>
      <w:r>
        <w:rPr>
          <w:b/>
        </w:rPr>
        <w:t>What happens after school? Exploring post-school outcomes for a group of autistic and non-autistic Australian youth</w:t>
      </w:r>
    </w:p>
    <w:p w14:paraId="2F14234A" w14:textId="77777777" w:rsidR="00CA04CD" w:rsidRDefault="00CA04CD" w:rsidP="00CA04CD">
      <w:pPr>
        <w:spacing w:line="480" w:lineRule="auto"/>
      </w:pPr>
    </w:p>
    <w:p w14:paraId="329A9571" w14:textId="77777777" w:rsidR="00CA04CD" w:rsidRDefault="00CA04CD" w:rsidP="00CA04CD">
      <w:pPr>
        <w:spacing w:line="480" w:lineRule="auto"/>
      </w:pPr>
      <w:r w:rsidRPr="00553ADD">
        <w:t>Rebecca L</w:t>
      </w:r>
      <w:r>
        <w:t>.</w:t>
      </w:r>
      <w:r w:rsidRPr="00553ADD">
        <w:t xml:space="preserve"> </w:t>
      </w:r>
      <w:proofErr w:type="spellStart"/>
      <w:proofErr w:type="gramStart"/>
      <w:r w:rsidRPr="00553ADD">
        <w:t>Flower</w:t>
      </w:r>
      <w:r w:rsidRPr="00553ADD">
        <w:rPr>
          <w:vertAlign w:val="superscript"/>
        </w:rPr>
        <w:t>a,</w:t>
      </w:r>
      <w:r>
        <w:rPr>
          <w:vertAlign w:val="superscript"/>
        </w:rPr>
        <w:t>b</w:t>
      </w:r>
      <w:proofErr w:type="gramEnd"/>
      <w:r>
        <w:rPr>
          <w:vertAlign w:val="superscript"/>
        </w:rPr>
        <w:t>,c</w:t>
      </w:r>
      <w:proofErr w:type="spellEnd"/>
      <w:r w:rsidRPr="00553ADD">
        <w:t>, Amanda L</w:t>
      </w:r>
      <w:r>
        <w:t>.</w:t>
      </w:r>
      <w:r w:rsidRPr="00553ADD">
        <w:t xml:space="preserve"> </w:t>
      </w:r>
      <w:proofErr w:type="spellStart"/>
      <w:r w:rsidRPr="00553ADD">
        <w:t>Richdale</w:t>
      </w:r>
      <w:r>
        <w:rPr>
          <w:vertAlign w:val="superscript"/>
        </w:rPr>
        <w:t>b</w:t>
      </w:r>
      <w:r w:rsidRPr="00553ADD">
        <w:rPr>
          <w:vertAlign w:val="superscript"/>
        </w:rPr>
        <w:t>,</w:t>
      </w:r>
      <w:r>
        <w:rPr>
          <w:vertAlign w:val="superscript"/>
        </w:rPr>
        <w:t>c</w:t>
      </w:r>
      <w:proofErr w:type="spellEnd"/>
      <w:r w:rsidRPr="00553ADD">
        <w:t xml:space="preserve">, &amp; Lauren </w:t>
      </w:r>
      <w:r>
        <w:t xml:space="preserve">P. </w:t>
      </w:r>
      <w:proofErr w:type="spellStart"/>
      <w:r w:rsidRPr="00553ADD">
        <w:t>Lawson</w:t>
      </w:r>
      <w:r>
        <w:rPr>
          <w:vertAlign w:val="superscript"/>
        </w:rPr>
        <w:t>b</w:t>
      </w:r>
      <w:r w:rsidRPr="00553ADD">
        <w:rPr>
          <w:vertAlign w:val="superscript"/>
        </w:rPr>
        <w:t>,</w:t>
      </w:r>
      <w:r>
        <w:rPr>
          <w:vertAlign w:val="superscript"/>
        </w:rPr>
        <w:t>c</w:t>
      </w:r>
      <w:proofErr w:type="spellEnd"/>
      <w:r w:rsidRPr="00242EF6">
        <w:t xml:space="preserve"> </w:t>
      </w:r>
    </w:p>
    <w:p w14:paraId="6F63D56F" w14:textId="77777777" w:rsidR="00CA04CD" w:rsidRPr="00BB6F3C" w:rsidRDefault="00CA04CD" w:rsidP="00CA04CD">
      <w:pPr>
        <w:pStyle w:val="Affiliation"/>
        <w:spacing w:before="0" w:line="480" w:lineRule="auto"/>
        <w:rPr>
          <w:i w:val="0"/>
        </w:rPr>
      </w:pPr>
      <w:r>
        <w:rPr>
          <w:i w:val="0"/>
          <w:vertAlign w:val="superscript"/>
        </w:rPr>
        <w:t xml:space="preserve">a </w:t>
      </w:r>
      <w:r>
        <w:rPr>
          <w:i w:val="0"/>
        </w:rPr>
        <w:t xml:space="preserve">Department of Psychology and Counselling, </w:t>
      </w:r>
      <w:r w:rsidRPr="00AF27F2">
        <w:rPr>
          <w:i w:val="0"/>
        </w:rPr>
        <w:t xml:space="preserve">School of Psychology and Public Health, La Trobe University, </w:t>
      </w:r>
      <w:r>
        <w:rPr>
          <w:i w:val="0"/>
        </w:rPr>
        <w:t>Bendigo</w:t>
      </w:r>
      <w:r w:rsidRPr="00AF27F2">
        <w:rPr>
          <w:i w:val="0"/>
        </w:rPr>
        <w:t>, Australia</w:t>
      </w:r>
    </w:p>
    <w:p w14:paraId="63FFE4CE" w14:textId="77777777" w:rsidR="00CA04CD" w:rsidRDefault="00CA04CD" w:rsidP="00CA04CD">
      <w:pPr>
        <w:pStyle w:val="Affiliation"/>
        <w:spacing w:before="0" w:line="480" w:lineRule="auto"/>
        <w:rPr>
          <w:i w:val="0"/>
        </w:rPr>
      </w:pPr>
      <w:r>
        <w:rPr>
          <w:i w:val="0"/>
          <w:vertAlign w:val="superscript"/>
        </w:rPr>
        <w:t>b</w:t>
      </w:r>
      <w:r w:rsidRPr="00AF27F2">
        <w:rPr>
          <w:i w:val="0"/>
        </w:rPr>
        <w:t xml:space="preserve"> Olga Tennison Autism Research Centre, School of Psychology and Public Health, La Trobe University, Melbourne, Australia </w:t>
      </w:r>
    </w:p>
    <w:p w14:paraId="6AF998D0" w14:textId="77777777" w:rsidR="00CA04CD" w:rsidRDefault="00CA04CD" w:rsidP="00CA04CD">
      <w:pPr>
        <w:pStyle w:val="Affiliation"/>
        <w:spacing w:before="0" w:line="480" w:lineRule="auto"/>
        <w:rPr>
          <w:i w:val="0"/>
        </w:rPr>
      </w:pPr>
      <w:r>
        <w:rPr>
          <w:i w:val="0"/>
          <w:vertAlign w:val="superscript"/>
        </w:rPr>
        <w:t>c</w:t>
      </w:r>
      <w:r>
        <w:rPr>
          <w:i w:val="0"/>
        </w:rPr>
        <w:t xml:space="preserve"> </w:t>
      </w:r>
      <w:r w:rsidRPr="00875A86">
        <w:rPr>
          <w:i w:val="0"/>
        </w:rPr>
        <w:t xml:space="preserve">Cooperative Research Centre for Living with Autism (Autism CRC), </w:t>
      </w:r>
      <w:r>
        <w:rPr>
          <w:i w:val="0"/>
        </w:rPr>
        <w:t xml:space="preserve">Long Pocket, </w:t>
      </w:r>
      <w:r w:rsidRPr="00875A86">
        <w:rPr>
          <w:i w:val="0"/>
        </w:rPr>
        <w:t>Brisbane, Queensland, Australia</w:t>
      </w:r>
    </w:p>
    <w:p w14:paraId="04684593" w14:textId="77777777" w:rsidR="00CA04CD" w:rsidRDefault="00CA04CD" w:rsidP="00CA04CD">
      <w:pPr>
        <w:spacing w:line="480" w:lineRule="auto"/>
      </w:pPr>
    </w:p>
    <w:p w14:paraId="2F41BBFF" w14:textId="77777777" w:rsidR="00CA04CD" w:rsidRPr="006744E1" w:rsidRDefault="00CA04CD" w:rsidP="00CA04CD">
      <w:pPr>
        <w:pStyle w:val="Affiliation"/>
        <w:spacing w:before="0" w:line="480" w:lineRule="auto"/>
        <w:rPr>
          <w:i w:val="0"/>
        </w:rPr>
      </w:pPr>
      <w:r>
        <w:rPr>
          <w:i w:val="0"/>
        </w:rPr>
        <w:t>ORCID:</w:t>
      </w:r>
    </w:p>
    <w:p w14:paraId="07D5E3D5" w14:textId="77777777" w:rsidR="00CA04CD" w:rsidRPr="006744E1" w:rsidRDefault="00CA04CD" w:rsidP="00CA04CD">
      <w:pPr>
        <w:spacing w:line="480" w:lineRule="auto"/>
      </w:pPr>
      <w:r w:rsidRPr="006744E1">
        <w:t xml:space="preserve">Rebecca Flower: </w:t>
      </w:r>
      <w:hyperlink r:id="rId11" w:history="1">
        <w:r w:rsidRPr="006744E1">
          <w:rPr>
            <w:rStyle w:val="Hyperlink"/>
            <w:color w:val="auto"/>
            <w:u w:val="none"/>
          </w:rPr>
          <w:t>https://orcid.org/0000-0002-0480-5215</w:t>
        </w:r>
      </w:hyperlink>
    </w:p>
    <w:p w14:paraId="33920CB7" w14:textId="77777777" w:rsidR="00CA04CD" w:rsidRPr="006744E1" w:rsidRDefault="00CA04CD" w:rsidP="00CA04CD">
      <w:pPr>
        <w:spacing w:line="480" w:lineRule="auto"/>
      </w:pPr>
      <w:r w:rsidRPr="006744E1">
        <w:t xml:space="preserve">Amanda Richdale: </w:t>
      </w:r>
      <w:hyperlink r:id="rId12" w:history="1">
        <w:r w:rsidRPr="006744E1">
          <w:rPr>
            <w:rStyle w:val="Hyperlink"/>
            <w:color w:val="auto"/>
            <w:u w:val="none"/>
          </w:rPr>
          <w:t>https://orcid.org/0000-0003-4911-7181</w:t>
        </w:r>
      </w:hyperlink>
    </w:p>
    <w:p w14:paraId="04FE9403" w14:textId="77777777" w:rsidR="00CA04CD" w:rsidRPr="00274A3A" w:rsidRDefault="00CA04CD" w:rsidP="00CA04CD">
      <w:pPr>
        <w:spacing w:line="480" w:lineRule="auto"/>
      </w:pPr>
      <w:r>
        <w:t>Lauren Lawson</w:t>
      </w:r>
      <w:r w:rsidRPr="00420026">
        <w:t>:</w:t>
      </w:r>
      <w:r>
        <w:t xml:space="preserve"> </w:t>
      </w:r>
      <w:r w:rsidRPr="00690587">
        <w:t>https://orcid.org/0000-0003-4783-8065</w:t>
      </w:r>
    </w:p>
    <w:p w14:paraId="3580EE2A" w14:textId="77777777" w:rsidR="00CA04CD" w:rsidRDefault="00CA04CD" w:rsidP="00CA04CD">
      <w:pPr>
        <w:pStyle w:val="Affiliation"/>
        <w:spacing w:before="0" w:line="480" w:lineRule="auto"/>
        <w:rPr>
          <w:i w:val="0"/>
        </w:rPr>
      </w:pPr>
    </w:p>
    <w:p w14:paraId="2E3D8824" w14:textId="77777777" w:rsidR="00CA04CD" w:rsidRPr="00F87173" w:rsidRDefault="00CA04CD" w:rsidP="00CA04CD">
      <w:pPr>
        <w:pStyle w:val="Affiliation"/>
        <w:spacing w:before="0" w:line="480" w:lineRule="auto"/>
        <w:rPr>
          <w:i w:val="0"/>
        </w:rPr>
      </w:pPr>
      <w:r w:rsidRPr="008B13B4">
        <w:rPr>
          <w:i w:val="0"/>
        </w:rPr>
        <w:t xml:space="preserve">Word </w:t>
      </w:r>
      <w:r w:rsidRPr="007806FF">
        <w:rPr>
          <w:i w:val="0"/>
        </w:rPr>
        <w:t>count: 3754</w:t>
      </w:r>
    </w:p>
    <w:p w14:paraId="099CA07A" w14:textId="77777777" w:rsidR="00CA04CD" w:rsidRPr="00CD0FE0" w:rsidRDefault="00CA04CD" w:rsidP="00CA04CD">
      <w:pPr>
        <w:spacing w:line="480" w:lineRule="auto"/>
        <w:rPr>
          <w:szCs w:val="20"/>
        </w:rPr>
      </w:pPr>
      <w:r w:rsidRPr="00CD0FE0">
        <w:rPr>
          <w:szCs w:val="20"/>
        </w:rPr>
        <w:t>Corr</w:t>
      </w:r>
      <w:r>
        <w:rPr>
          <w:szCs w:val="20"/>
        </w:rPr>
        <w:t>e</w:t>
      </w:r>
      <w:r w:rsidRPr="00CD0FE0">
        <w:rPr>
          <w:szCs w:val="20"/>
        </w:rPr>
        <w:t xml:space="preserve">spondence concerning this article should be addressed to:  </w:t>
      </w:r>
    </w:p>
    <w:p w14:paraId="58C5222A" w14:textId="77777777" w:rsidR="00CA04CD" w:rsidRPr="00CD0FE0" w:rsidRDefault="00CA04CD" w:rsidP="00CA04CD">
      <w:pPr>
        <w:spacing w:line="480" w:lineRule="auto"/>
        <w:rPr>
          <w:szCs w:val="20"/>
        </w:rPr>
      </w:pPr>
      <w:r>
        <w:rPr>
          <w:szCs w:val="20"/>
        </w:rPr>
        <w:t>Rebecca Flower</w:t>
      </w:r>
      <w:r w:rsidRPr="00CD0FE0">
        <w:rPr>
          <w:szCs w:val="20"/>
        </w:rPr>
        <w:t>, PhD</w:t>
      </w:r>
    </w:p>
    <w:p w14:paraId="1DBC87CA" w14:textId="77777777" w:rsidR="00CA04CD" w:rsidRPr="00CD0FE0" w:rsidRDefault="00CA04CD" w:rsidP="00CA04CD">
      <w:pPr>
        <w:spacing w:line="480" w:lineRule="auto"/>
        <w:rPr>
          <w:szCs w:val="20"/>
        </w:rPr>
      </w:pPr>
      <w:r w:rsidRPr="00897CA4">
        <w:rPr>
          <w:iCs/>
          <w:szCs w:val="20"/>
        </w:rPr>
        <w:t>Department of Psychology and Counselling</w:t>
      </w:r>
      <w:r w:rsidRPr="00CD0FE0">
        <w:rPr>
          <w:szCs w:val="20"/>
        </w:rPr>
        <w:t>, School of Psychology and Public Health</w:t>
      </w:r>
    </w:p>
    <w:p w14:paraId="64B224C0" w14:textId="77777777" w:rsidR="00CA04CD" w:rsidRPr="00CD0FE0" w:rsidRDefault="00CA04CD" w:rsidP="00CA04CD">
      <w:pPr>
        <w:spacing w:line="480" w:lineRule="auto"/>
        <w:rPr>
          <w:szCs w:val="20"/>
        </w:rPr>
      </w:pPr>
      <w:r w:rsidRPr="00CD0FE0">
        <w:rPr>
          <w:szCs w:val="20"/>
        </w:rPr>
        <w:t xml:space="preserve">La Trobe University, </w:t>
      </w:r>
      <w:r>
        <w:rPr>
          <w:szCs w:val="20"/>
        </w:rPr>
        <w:t>Bendigo</w:t>
      </w:r>
      <w:r w:rsidRPr="00CD0FE0">
        <w:rPr>
          <w:szCs w:val="20"/>
        </w:rPr>
        <w:t>, Victoria 3</w:t>
      </w:r>
      <w:r>
        <w:rPr>
          <w:szCs w:val="20"/>
        </w:rPr>
        <w:t>552</w:t>
      </w:r>
      <w:r w:rsidRPr="00CD0FE0">
        <w:rPr>
          <w:szCs w:val="20"/>
        </w:rPr>
        <w:t>, Australia</w:t>
      </w:r>
    </w:p>
    <w:p w14:paraId="2138C7D2" w14:textId="77777777" w:rsidR="00CA04CD" w:rsidRDefault="00CA04CD" w:rsidP="00CA04CD">
      <w:pPr>
        <w:spacing w:line="480" w:lineRule="auto"/>
        <w:rPr>
          <w:rStyle w:val="Hyperlink"/>
          <w:szCs w:val="20"/>
        </w:rPr>
      </w:pPr>
      <w:r w:rsidRPr="00934FBA">
        <w:rPr>
          <w:szCs w:val="20"/>
        </w:rPr>
        <w:t>Phone: +61 03 5444 7126 Email</w:t>
      </w:r>
      <w:r w:rsidRPr="00CD0FE0">
        <w:rPr>
          <w:szCs w:val="20"/>
        </w:rPr>
        <w:t xml:space="preserve">: </w:t>
      </w:r>
      <w:hyperlink r:id="rId13" w:history="1">
        <w:r>
          <w:rPr>
            <w:rStyle w:val="Hyperlink"/>
            <w:szCs w:val="20"/>
          </w:rPr>
          <w:t>r</w:t>
        </w:r>
        <w:r w:rsidRPr="001F633F">
          <w:rPr>
            <w:rStyle w:val="Hyperlink"/>
            <w:szCs w:val="20"/>
          </w:rPr>
          <w:t>.</w:t>
        </w:r>
        <w:r>
          <w:rPr>
            <w:rStyle w:val="Hyperlink"/>
            <w:szCs w:val="20"/>
          </w:rPr>
          <w:t>f</w:t>
        </w:r>
        <w:r w:rsidRPr="001F633F">
          <w:rPr>
            <w:rStyle w:val="Hyperlink"/>
            <w:szCs w:val="20"/>
          </w:rPr>
          <w:t>lower@latrobe.edu.au</w:t>
        </w:r>
      </w:hyperlink>
      <w:r>
        <w:rPr>
          <w:rStyle w:val="Hyperlink"/>
          <w:szCs w:val="20"/>
        </w:rPr>
        <w:br w:type="page"/>
      </w:r>
    </w:p>
    <w:p w14:paraId="1A56969D" w14:textId="77777777" w:rsidR="00CA04CD" w:rsidRDefault="00CA04CD" w:rsidP="00CA04CD">
      <w:pPr>
        <w:spacing w:line="480" w:lineRule="auto"/>
        <w:rPr>
          <w:b/>
        </w:rPr>
        <w:sectPr w:rsidR="00CA04CD">
          <w:headerReference w:type="default" r:id="rId14"/>
          <w:footerReference w:type="default" r:id="rId15"/>
          <w:pgSz w:w="11906" w:h="16838"/>
          <w:pgMar w:top="1440" w:right="1440" w:bottom="1440" w:left="1440" w:header="708" w:footer="708" w:gutter="0"/>
          <w:cols w:space="708"/>
          <w:docGrid w:linePitch="360"/>
        </w:sectPr>
      </w:pPr>
    </w:p>
    <w:p w14:paraId="06DCB7EA" w14:textId="77777777" w:rsidR="00CA04CD" w:rsidRDefault="00CA04CD" w:rsidP="00CA04CD">
      <w:pPr>
        <w:spacing w:line="480" w:lineRule="auto"/>
        <w:jc w:val="center"/>
      </w:pPr>
      <w:r>
        <w:lastRenderedPageBreak/>
        <w:t>Acknowledgements</w:t>
      </w:r>
    </w:p>
    <w:p w14:paraId="5C884C4B" w14:textId="77777777" w:rsidR="00CA04CD" w:rsidRDefault="00CA04CD" w:rsidP="00CA04CD">
      <w:pPr>
        <w:spacing w:after="0" w:line="480" w:lineRule="auto"/>
        <w:rPr>
          <w:rFonts w:eastAsia="Times New Roman" w:cs="Arial"/>
          <w:lang w:eastAsia="en-AU"/>
        </w:rPr>
      </w:pPr>
      <w:r w:rsidRPr="00DA25FF">
        <w:rPr>
          <w:rFonts w:eastAsia="Times New Roman" w:cs="Arial"/>
          <w:lang w:eastAsia="en-AU"/>
        </w:rPr>
        <w:t>The authors acknowledge the financial support of the Cooperative Research Centre for Living with Autism (Autism CRC), established and supported under the Australian Government's Cooperative Research Centres Program</w:t>
      </w:r>
      <w:r>
        <w:rPr>
          <w:rFonts w:eastAsia="Times New Roman" w:cs="Arial"/>
          <w:lang w:eastAsia="en-AU"/>
        </w:rPr>
        <w:t>. RF and LL’s positions were supported by the Autism CRC at the time this manuscript was written.</w:t>
      </w:r>
    </w:p>
    <w:p w14:paraId="73E3D39A" w14:textId="77777777" w:rsidR="00CA04CD" w:rsidRDefault="00CA04CD" w:rsidP="00CA04CD">
      <w:pPr>
        <w:spacing w:line="480" w:lineRule="auto"/>
      </w:pPr>
    </w:p>
    <w:p w14:paraId="0639AC8A" w14:textId="77777777" w:rsidR="00CA04CD" w:rsidRDefault="00CA04CD" w:rsidP="00CA04CD">
      <w:pPr>
        <w:spacing w:line="480" w:lineRule="auto"/>
        <w:jc w:val="center"/>
      </w:pPr>
      <w:r>
        <w:t xml:space="preserve">Abstract </w:t>
      </w:r>
    </w:p>
    <w:p w14:paraId="6D9CEBB1" w14:textId="77777777" w:rsidR="00CA04CD" w:rsidRPr="00166E6D" w:rsidRDefault="00CA04CD" w:rsidP="00CA04CD">
      <w:pPr>
        <w:spacing w:line="480" w:lineRule="auto"/>
      </w:pPr>
      <w:r w:rsidRPr="00D21D46">
        <w:t>Young autistic Australians are less likely to attend higher education and have lower employment rates than non-autistic Australians (Australian Bureau of Statistics, 2017). Few studies have examined post-school outcomes among this population. Using data from the first phase of a national longitudinal study including autistic (n = 79) and non</w:t>
      </w:r>
      <w:r>
        <w:t>-</w:t>
      </w:r>
      <w:r w:rsidRPr="00D21D46">
        <w:t>autistic (n = 107) 17-25-year olds, we found young autistic adults were a) less likely to be employed, b) more likely to attend technical and further education (TAFE) than university, c) more likely to enrol in higher education on a part-time basis and d) less likely to be engaged in both higher education and employment, than their non-autistic peers. Findings highlight a need to understand post-school trajectories of young autistic adults</w:t>
      </w:r>
      <w:r>
        <w:t>.</w:t>
      </w:r>
    </w:p>
    <w:p w14:paraId="747AF14B" w14:textId="2B87B94B" w:rsidR="003D7EBC" w:rsidRDefault="003D7EBC" w:rsidP="00166E6D">
      <w:pPr>
        <w:spacing w:line="480" w:lineRule="auto"/>
        <w:jc w:val="center"/>
      </w:pPr>
    </w:p>
    <w:p w14:paraId="10DC2D38" w14:textId="69BF6EF2" w:rsidR="003D7EBC" w:rsidRDefault="003D7EBC" w:rsidP="00166E6D">
      <w:pPr>
        <w:spacing w:line="480" w:lineRule="auto"/>
        <w:jc w:val="center"/>
      </w:pPr>
    </w:p>
    <w:p w14:paraId="70101D31" w14:textId="77777777" w:rsidR="003D7EBC" w:rsidRPr="00166E6D" w:rsidRDefault="003D7EBC" w:rsidP="00166E6D">
      <w:pPr>
        <w:spacing w:line="480" w:lineRule="auto"/>
        <w:jc w:val="center"/>
      </w:pPr>
    </w:p>
    <w:p w14:paraId="5478E7E1" w14:textId="77777777" w:rsidR="003D7EBC" w:rsidRDefault="003D7EBC" w:rsidP="002A3017">
      <w:pPr>
        <w:spacing w:line="480" w:lineRule="auto"/>
        <w:sectPr w:rsidR="003D7EBC">
          <w:headerReference w:type="default" r:id="rId16"/>
          <w:footerReference w:type="default" r:id="rId17"/>
          <w:pgSz w:w="11906" w:h="16838"/>
          <w:pgMar w:top="1440" w:right="1440" w:bottom="1440" w:left="1440" w:header="708" w:footer="708" w:gutter="0"/>
          <w:cols w:space="708"/>
          <w:docGrid w:linePitch="360"/>
        </w:sectPr>
      </w:pPr>
    </w:p>
    <w:p w14:paraId="3D647ED3" w14:textId="3ACC9943" w:rsidR="003D7EBC" w:rsidRDefault="003D7EBC" w:rsidP="003D7EBC">
      <w:pPr>
        <w:spacing w:line="480" w:lineRule="auto"/>
        <w:jc w:val="center"/>
      </w:pPr>
      <w:r w:rsidRPr="00166E6D">
        <w:lastRenderedPageBreak/>
        <w:t xml:space="preserve">What happens after school? Exploring post-school </w:t>
      </w:r>
      <w:r w:rsidR="000A20D7">
        <w:t>outcomes</w:t>
      </w:r>
      <w:r w:rsidR="000A20D7" w:rsidRPr="00166E6D">
        <w:t xml:space="preserve"> </w:t>
      </w:r>
      <w:r w:rsidRPr="00166E6D">
        <w:t>for a group of autistic and non-autistic Australian youth</w:t>
      </w:r>
    </w:p>
    <w:p w14:paraId="565F5EF2" w14:textId="3E3A9FE6" w:rsidR="0054161C" w:rsidRDefault="00506297" w:rsidP="002A3017">
      <w:pPr>
        <w:spacing w:line="480" w:lineRule="auto"/>
      </w:pPr>
      <w:r>
        <w:t>Autism spectrum disorder (hereafter referred to as ‘autism’ and individuals with a diagnosis as ‘autistic’</w:t>
      </w:r>
      <w:r>
        <w:rPr>
          <w:rStyle w:val="FootnoteReference"/>
        </w:rPr>
        <w:footnoteReference w:id="1"/>
      </w:r>
      <w:r>
        <w:t xml:space="preserve">) is a neurodevelopmental </w:t>
      </w:r>
      <w:r w:rsidR="00204D8E">
        <w:t xml:space="preserve">condition </w:t>
      </w:r>
      <w:r>
        <w:t>characterised by challenges with social communication and interaction and engagement in restricted, repetitive behaviours, interests and activities</w:t>
      </w:r>
      <w:r w:rsidR="007E2AA5">
        <w:t xml:space="preserve"> and </w:t>
      </w:r>
      <w:r w:rsidR="00852A71">
        <w:t>sensory sensitivities</w:t>
      </w:r>
      <w:r w:rsidR="007E3AE9">
        <w:t xml:space="preserve"> (</w:t>
      </w:r>
      <w:r w:rsidR="007E3AE9" w:rsidRPr="003D17FD">
        <w:rPr>
          <w:lang w:val="en-AU"/>
        </w:rPr>
        <w:t>American Psychiatric Association</w:t>
      </w:r>
      <w:r w:rsidR="007E3AE9">
        <w:rPr>
          <w:lang w:val="en-AU"/>
        </w:rPr>
        <w:t>, 2013</w:t>
      </w:r>
      <w:r w:rsidR="007E3AE9">
        <w:t>)</w:t>
      </w:r>
      <w:r>
        <w:t xml:space="preserve">. </w:t>
      </w:r>
      <w:r w:rsidR="00204D8E">
        <w:t>While</w:t>
      </w:r>
      <w:r>
        <w:t xml:space="preserve"> understanding of auti</w:t>
      </w:r>
      <w:r w:rsidR="00204D8E">
        <w:t>sm is increasingly evolving,</w:t>
      </w:r>
      <w:r>
        <w:t xml:space="preserve"> current estimates suggest approximately 1 in 59 individuals is autistic (</w:t>
      </w:r>
      <w:proofErr w:type="spellStart"/>
      <w:r w:rsidR="003B3B3A">
        <w:rPr>
          <w:bCs/>
          <w:lang w:val="en-AU"/>
        </w:rPr>
        <w:t>Baio</w:t>
      </w:r>
      <w:proofErr w:type="spellEnd"/>
      <w:r w:rsidR="003B3B3A">
        <w:rPr>
          <w:bCs/>
          <w:lang w:val="en-AU"/>
        </w:rPr>
        <w:t xml:space="preserve"> et al.</w:t>
      </w:r>
      <w:r w:rsidR="003B3B3A" w:rsidRPr="00CB5462">
        <w:rPr>
          <w:bCs/>
          <w:lang w:val="en-AU"/>
        </w:rPr>
        <w:t xml:space="preserve"> 201</w:t>
      </w:r>
      <w:r w:rsidR="003B3B3A">
        <w:rPr>
          <w:bCs/>
          <w:lang w:val="en-AU"/>
        </w:rPr>
        <w:t>8</w:t>
      </w:r>
      <w:r>
        <w:t xml:space="preserve">). </w:t>
      </w:r>
      <w:r w:rsidR="003E35E7">
        <w:t>K</w:t>
      </w:r>
      <w:r>
        <w:t xml:space="preserve">nowledge </w:t>
      </w:r>
      <w:r w:rsidR="00CA11D3">
        <w:t xml:space="preserve">concerning </w:t>
      </w:r>
      <w:r w:rsidR="003E35E7">
        <w:t xml:space="preserve">autism in </w:t>
      </w:r>
      <w:r>
        <w:t xml:space="preserve">adulthood is </w:t>
      </w:r>
      <w:r w:rsidR="00BF5744">
        <w:t>limited</w:t>
      </w:r>
      <w:r>
        <w:t>, and research investigating challenges</w:t>
      </w:r>
      <w:r w:rsidR="00116D1C">
        <w:t xml:space="preserve"> and needs among</w:t>
      </w:r>
      <w:r>
        <w:t xml:space="preserve"> this population is in its infancy</w:t>
      </w:r>
      <w:r w:rsidR="00001566">
        <w:t xml:space="preserve"> (</w:t>
      </w:r>
      <w:r w:rsidR="00A502D0">
        <w:t xml:space="preserve">Damiano, </w:t>
      </w:r>
      <w:proofErr w:type="spellStart"/>
      <w:r w:rsidR="00A502D0">
        <w:t>Mazefsky</w:t>
      </w:r>
      <w:proofErr w:type="spellEnd"/>
      <w:r w:rsidR="00A502D0">
        <w:t xml:space="preserve">, White, &amp; </w:t>
      </w:r>
      <w:proofErr w:type="spellStart"/>
      <w:r w:rsidR="00A502D0">
        <w:t>Dich</w:t>
      </w:r>
      <w:r w:rsidR="000B4E3F">
        <w:t>t</w:t>
      </w:r>
      <w:r w:rsidR="00A502D0">
        <w:t>er</w:t>
      </w:r>
      <w:proofErr w:type="spellEnd"/>
      <w:r w:rsidR="000B4E3F">
        <w:t>, 2014</w:t>
      </w:r>
      <w:r w:rsidR="00001566">
        <w:t>)</w:t>
      </w:r>
      <w:r>
        <w:t>.</w:t>
      </w:r>
      <w:r w:rsidR="0054161C">
        <w:t xml:space="preserve"> </w:t>
      </w:r>
      <w:r w:rsidR="00C026CF">
        <w:t>What</w:t>
      </w:r>
      <w:r w:rsidR="0054161C">
        <w:t xml:space="preserve"> </w:t>
      </w:r>
      <w:r w:rsidR="00C026CF">
        <w:t xml:space="preserve">is </w:t>
      </w:r>
      <w:r w:rsidR="0054161C">
        <w:t xml:space="preserve">apparent from the available literature are the challenges experienced by </w:t>
      </w:r>
      <w:r w:rsidR="00EB26A0">
        <w:t>transition-</w:t>
      </w:r>
      <w:r w:rsidR="0054161C">
        <w:t>aged</w:t>
      </w:r>
      <w:r w:rsidR="00AE27FC">
        <w:t xml:space="preserve"> </w:t>
      </w:r>
      <w:r w:rsidR="0054161C">
        <w:t xml:space="preserve">youth in navigating </w:t>
      </w:r>
      <w:r w:rsidR="00660EF0">
        <w:t>employment and higher education</w:t>
      </w:r>
      <w:r w:rsidR="000B0A6F">
        <w:t xml:space="preserve"> (</w:t>
      </w:r>
      <w:r w:rsidR="00660EF0">
        <w:t>e.g.,</w:t>
      </w:r>
      <w:r w:rsidR="00B76605">
        <w:t xml:space="preserve"> Taylor &amp; </w:t>
      </w:r>
      <w:proofErr w:type="spellStart"/>
      <w:r w:rsidR="00B76605">
        <w:t>DaWalt</w:t>
      </w:r>
      <w:proofErr w:type="spellEnd"/>
      <w:r w:rsidR="00B76605">
        <w:t xml:space="preserve">, 2017; </w:t>
      </w:r>
      <w:r w:rsidR="00451634">
        <w:t xml:space="preserve">Taylor &amp; Seltzer, 2011; </w:t>
      </w:r>
      <w:r w:rsidR="009D3D73">
        <w:t>Shattuck et al., 2012</w:t>
      </w:r>
      <w:r w:rsidR="000B0A6F">
        <w:t>)</w:t>
      </w:r>
      <w:r w:rsidR="00540AB9">
        <w:t xml:space="preserve">, and at least in Australia, </w:t>
      </w:r>
      <w:r w:rsidR="006F634A">
        <w:t>there are</w:t>
      </w:r>
      <w:r w:rsidR="00540AB9">
        <w:t xml:space="preserve"> </w:t>
      </w:r>
      <w:r w:rsidR="000B0A6F">
        <w:t xml:space="preserve">limited services available to </w:t>
      </w:r>
      <w:r w:rsidR="00F44FE7">
        <w:t>meet the needs of young autistic adults</w:t>
      </w:r>
      <w:r w:rsidR="006C1546">
        <w:t xml:space="preserve"> without a co-occurring intellectual disability</w:t>
      </w:r>
      <w:r w:rsidR="00F44FE7">
        <w:t xml:space="preserve"> (</w:t>
      </w:r>
      <w:r w:rsidR="00FD1A85">
        <w:rPr>
          <w:bCs/>
        </w:rPr>
        <w:t>Neary, Gilmore, &amp; Ashburner, 2015</w:t>
      </w:r>
      <w:r w:rsidR="00F44FE7">
        <w:t>)</w:t>
      </w:r>
      <w:r w:rsidR="000B0A6F">
        <w:t>. While available Australian data suggest that autistic adults attend university less frequently than non-autistic adults and are less likely to be employed (</w:t>
      </w:r>
      <w:r w:rsidR="00CF71B8" w:rsidRPr="00A6166D">
        <w:t>Australian Bureau of Statistics</w:t>
      </w:r>
      <w:r w:rsidR="00CF71B8">
        <w:t xml:space="preserve"> [ABS], </w:t>
      </w:r>
      <w:r w:rsidR="00CF71B8" w:rsidRPr="00A6166D">
        <w:t>201</w:t>
      </w:r>
      <w:r w:rsidR="00217727">
        <w:t>9</w:t>
      </w:r>
      <w:r w:rsidR="000B0A6F">
        <w:t xml:space="preserve">), few studies have examined </w:t>
      </w:r>
      <w:r w:rsidR="001012CD">
        <w:t xml:space="preserve">post-school </w:t>
      </w:r>
      <w:r w:rsidR="00034816">
        <w:t>outcomes</w:t>
      </w:r>
      <w:r w:rsidR="001012CD">
        <w:t xml:space="preserve"> among this population</w:t>
      </w:r>
      <w:r w:rsidR="000B0A6F" w:rsidRPr="00B2065C">
        <w:t>. The current study address</w:t>
      </w:r>
      <w:r w:rsidR="0048119D" w:rsidRPr="00B2065C">
        <w:t>ed</w:t>
      </w:r>
      <w:r w:rsidR="000B0A6F" w:rsidRPr="00B2065C">
        <w:t xml:space="preserve"> this gap by examining data from the first time point of a national longitudinal study, to determine rates of employment and further education</w:t>
      </w:r>
      <w:r w:rsidR="000D3EA4" w:rsidRPr="00B2065C">
        <w:t xml:space="preserve"> among </w:t>
      </w:r>
      <w:r w:rsidR="00B0187A" w:rsidRPr="00B2065C">
        <w:t>transition-</w:t>
      </w:r>
      <w:r w:rsidR="007E7428" w:rsidRPr="00B2065C">
        <w:t xml:space="preserve">aged </w:t>
      </w:r>
      <w:r w:rsidR="00B0187A" w:rsidRPr="00B2065C">
        <w:t xml:space="preserve">young </w:t>
      </w:r>
      <w:r w:rsidR="007E7428" w:rsidRPr="00B2065C">
        <w:t xml:space="preserve">autistic </w:t>
      </w:r>
      <w:r w:rsidR="00B0187A" w:rsidRPr="00B2065C">
        <w:t>adults</w:t>
      </w:r>
      <w:r w:rsidR="000B0A6F" w:rsidRPr="00B2065C">
        <w:t>.</w:t>
      </w:r>
      <w:r w:rsidR="000B0A6F">
        <w:t xml:space="preserve"> </w:t>
      </w:r>
    </w:p>
    <w:p w14:paraId="3D890AEF" w14:textId="2B07A7BE" w:rsidR="00123DBA" w:rsidRPr="00166E6D" w:rsidRDefault="00B74689" w:rsidP="00166E6D">
      <w:pPr>
        <w:spacing w:line="480" w:lineRule="auto"/>
        <w:jc w:val="center"/>
        <w:rPr>
          <w:i/>
        </w:rPr>
      </w:pPr>
      <w:r w:rsidRPr="00166E6D">
        <w:rPr>
          <w:i/>
        </w:rPr>
        <w:t>Autism and higher education</w:t>
      </w:r>
    </w:p>
    <w:p w14:paraId="500850BF" w14:textId="6D30320D" w:rsidR="00687317" w:rsidRDefault="005D2A0D" w:rsidP="002A3017">
      <w:pPr>
        <w:spacing w:line="480" w:lineRule="auto"/>
        <w:rPr>
          <w:bCs/>
        </w:rPr>
      </w:pPr>
      <w:r>
        <w:rPr>
          <w:bCs/>
        </w:rPr>
        <w:lastRenderedPageBreak/>
        <w:t>From the available literature, w</w:t>
      </w:r>
      <w:r w:rsidR="00123DBA">
        <w:rPr>
          <w:bCs/>
        </w:rPr>
        <w:t xml:space="preserve">e know that autistic individuals are less likely to complete </w:t>
      </w:r>
      <w:r w:rsidR="00AD40DF">
        <w:rPr>
          <w:bCs/>
        </w:rPr>
        <w:t xml:space="preserve">a </w:t>
      </w:r>
      <w:r w:rsidR="00123DBA">
        <w:rPr>
          <w:bCs/>
        </w:rPr>
        <w:t>university</w:t>
      </w:r>
      <w:r w:rsidR="00A3470F">
        <w:rPr>
          <w:bCs/>
        </w:rPr>
        <w:t xml:space="preserve"> degree</w:t>
      </w:r>
      <w:r w:rsidR="008308D9">
        <w:rPr>
          <w:bCs/>
        </w:rPr>
        <w:t xml:space="preserve"> than their non-autistic peers</w:t>
      </w:r>
      <w:r w:rsidR="00123DBA">
        <w:rPr>
          <w:bCs/>
        </w:rPr>
        <w:t xml:space="preserve"> (</w:t>
      </w:r>
      <w:r w:rsidR="00926CBF">
        <w:rPr>
          <w:bCs/>
        </w:rPr>
        <w:t>ABS, 201</w:t>
      </w:r>
      <w:r w:rsidR="00607CB6">
        <w:rPr>
          <w:bCs/>
        </w:rPr>
        <w:t>9</w:t>
      </w:r>
      <w:r w:rsidR="00123DBA">
        <w:rPr>
          <w:bCs/>
        </w:rPr>
        <w:t xml:space="preserve">) and </w:t>
      </w:r>
      <w:r w:rsidR="00BA2A9C">
        <w:rPr>
          <w:bCs/>
        </w:rPr>
        <w:t xml:space="preserve">are </w:t>
      </w:r>
      <w:r w:rsidR="00123DBA">
        <w:rPr>
          <w:bCs/>
        </w:rPr>
        <w:t>likely to experience challenges while at university (</w:t>
      </w:r>
      <w:r w:rsidR="003424A8">
        <w:rPr>
          <w:bCs/>
        </w:rPr>
        <w:t>e.g., Neary</w:t>
      </w:r>
      <w:r w:rsidR="00FD1A85">
        <w:rPr>
          <w:bCs/>
        </w:rPr>
        <w:t xml:space="preserve"> et al., </w:t>
      </w:r>
      <w:r w:rsidR="003424A8">
        <w:rPr>
          <w:bCs/>
        </w:rPr>
        <w:t>2015</w:t>
      </w:r>
      <w:r w:rsidR="00DA333A">
        <w:rPr>
          <w:bCs/>
        </w:rPr>
        <w:t xml:space="preserve">; </w:t>
      </w:r>
      <w:proofErr w:type="spellStart"/>
      <w:r w:rsidR="00FE7D51">
        <w:rPr>
          <w:rFonts w:eastAsia="Times New Roman"/>
          <w:lang w:val="en-US" w:eastAsia="en-GB"/>
        </w:rPr>
        <w:t>Nuske</w:t>
      </w:r>
      <w:proofErr w:type="spellEnd"/>
      <w:r w:rsidR="00FE7D51">
        <w:rPr>
          <w:rFonts w:eastAsia="Times New Roman"/>
          <w:lang w:val="en-US" w:eastAsia="en-GB"/>
        </w:rPr>
        <w:t xml:space="preserve">, </w:t>
      </w:r>
      <w:proofErr w:type="spellStart"/>
      <w:r w:rsidR="00FE7D51">
        <w:rPr>
          <w:rFonts w:eastAsia="Times New Roman"/>
          <w:lang w:val="en-US" w:eastAsia="en-GB"/>
        </w:rPr>
        <w:t>Rillota</w:t>
      </w:r>
      <w:proofErr w:type="spellEnd"/>
      <w:r w:rsidR="00FE7D51">
        <w:rPr>
          <w:rFonts w:eastAsia="Times New Roman"/>
          <w:lang w:val="en-US" w:eastAsia="en-GB"/>
        </w:rPr>
        <w:t xml:space="preserve">, </w:t>
      </w:r>
      <w:proofErr w:type="spellStart"/>
      <w:r w:rsidR="00FE7D51">
        <w:rPr>
          <w:rFonts w:eastAsia="Times New Roman"/>
          <w:lang w:val="en-US" w:eastAsia="en-GB"/>
        </w:rPr>
        <w:t>Bellon</w:t>
      </w:r>
      <w:proofErr w:type="spellEnd"/>
      <w:r w:rsidR="00FE7D51">
        <w:rPr>
          <w:rFonts w:eastAsia="Times New Roman"/>
          <w:lang w:val="en-US" w:eastAsia="en-GB"/>
        </w:rPr>
        <w:t>, &amp; Richdale, 2019</w:t>
      </w:r>
      <w:r w:rsidR="00123DBA">
        <w:rPr>
          <w:bCs/>
        </w:rPr>
        <w:t xml:space="preserve">). </w:t>
      </w:r>
      <w:r w:rsidR="00246FD0">
        <w:rPr>
          <w:bCs/>
        </w:rPr>
        <w:t xml:space="preserve">In </w:t>
      </w:r>
      <w:r w:rsidR="00AD40DF">
        <w:rPr>
          <w:bCs/>
        </w:rPr>
        <w:t xml:space="preserve">one </w:t>
      </w:r>
      <w:r w:rsidR="00246FD0">
        <w:rPr>
          <w:bCs/>
        </w:rPr>
        <w:t xml:space="preserve">Australian study, </w:t>
      </w:r>
      <w:r w:rsidR="002B4A3F">
        <w:t xml:space="preserve">Anderson, Carter, </w:t>
      </w:r>
      <w:r w:rsidR="00687AE4">
        <w:t>and</w:t>
      </w:r>
      <w:r w:rsidR="002B4A3F">
        <w:t xml:space="preserve"> Stephenson</w:t>
      </w:r>
      <w:r w:rsidR="002B4A3F">
        <w:rPr>
          <w:bCs/>
        </w:rPr>
        <w:t xml:space="preserve"> (2018) </w:t>
      </w:r>
      <w:r>
        <w:rPr>
          <w:bCs/>
        </w:rPr>
        <w:t>found that</w:t>
      </w:r>
      <w:r w:rsidR="00246FD0">
        <w:rPr>
          <w:bCs/>
        </w:rPr>
        <w:t xml:space="preserve"> </w:t>
      </w:r>
      <w:r>
        <w:rPr>
          <w:bCs/>
        </w:rPr>
        <w:t>those who attend</w:t>
      </w:r>
      <w:r w:rsidR="00AD0CC1">
        <w:rPr>
          <w:bCs/>
        </w:rPr>
        <w:t>ed</w:t>
      </w:r>
      <w:r>
        <w:rPr>
          <w:bCs/>
        </w:rPr>
        <w:t xml:space="preserve"> university may be hesitant to disclose their autism</w:t>
      </w:r>
      <w:r w:rsidR="009B4D90">
        <w:rPr>
          <w:bCs/>
        </w:rPr>
        <w:t xml:space="preserve"> for reasons such as </w:t>
      </w:r>
      <w:r w:rsidR="00F14BC6">
        <w:rPr>
          <w:bCs/>
        </w:rPr>
        <w:t xml:space="preserve">not feeling it was necessary, wanting to try university on their own, or being unsure how to go about doing </w:t>
      </w:r>
      <w:r w:rsidR="00F14BC6" w:rsidRPr="002F602F">
        <w:rPr>
          <w:bCs/>
        </w:rPr>
        <w:t>so</w:t>
      </w:r>
      <w:r w:rsidR="002B4A3F" w:rsidRPr="002F602F">
        <w:rPr>
          <w:bCs/>
        </w:rPr>
        <w:t>.</w:t>
      </w:r>
      <w:r w:rsidRPr="002F602F">
        <w:rPr>
          <w:bCs/>
        </w:rPr>
        <w:t xml:space="preserve"> </w:t>
      </w:r>
      <w:r w:rsidR="002F602F">
        <w:rPr>
          <w:bCs/>
        </w:rPr>
        <w:t>T</w:t>
      </w:r>
      <w:r w:rsidR="00AD0CC1" w:rsidRPr="002F602F">
        <w:rPr>
          <w:bCs/>
        </w:rPr>
        <w:t>hey</w:t>
      </w:r>
      <w:r w:rsidR="00AD0CC1">
        <w:rPr>
          <w:bCs/>
        </w:rPr>
        <w:t xml:space="preserve"> </w:t>
      </w:r>
      <w:r w:rsidR="002F602F">
        <w:rPr>
          <w:bCs/>
        </w:rPr>
        <w:t xml:space="preserve">also </w:t>
      </w:r>
      <w:r w:rsidR="00AD0CC1">
        <w:rPr>
          <w:bCs/>
        </w:rPr>
        <w:t xml:space="preserve">found that </w:t>
      </w:r>
      <w:r w:rsidR="00F14BC6">
        <w:rPr>
          <w:bCs/>
        </w:rPr>
        <w:t xml:space="preserve">many </w:t>
      </w:r>
      <w:r w:rsidR="00AD0CC1">
        <w:rPr>
          <w:bCs/>
        </w:rPr>
        <w:t xml:space="preserve">do </w:t>
      </w:r>
      <w:r w:rsidR="00F14BC6">
        <w:rPr>
          <w:bCs/>
        </w:rPr>
        <w:t>not utilise supports that are available within university</w:t>
      </w:r>
      <w:r w:rsidR="00F14BC6" w:rsidRPr="004C0904">
        <w:rPr>
          <w:bCs/>
        </w:rPr>
        <w:t xml:space="preserve">. </w:t>
      </w:r>
      <w:r w:rsidR="00687AE4" w:rsidRPr="004C0904">
        <w:rPr>
          <w:bCs/>
        </w:rPr>
        <w:t>Similarly, Cai and Richdale (</w:t>
      </w:r>
      <w:r w:rsidR="004C0904" w:rsidRPr="004C0904">
        <w:rPr>
          <w:bCs/>
        </w:rPr>
        <w:t>201</w:t>
      </w:r>
      <w:r w:rsidR="00231C6E">
        <w:rPr>
          <w:bCs/>
        </w:rPr>
        <w:t>6</w:t>
      </w:r>
      <w:r w:rsidR="00687AE4" w:rsidRPr="004C0904">
        <w:rPr>
          <w:bCs/>
        </w:rPr>
        <w:t xml:space="preserve">) found that many </w:t>
      </w:r>
      <w:r w:rsidR="00246FD0">
        <w:rPr>
          <w:bCs/>
        </w:rPr>
        <w:t xml:space="preserve">Australian </w:t>
      </w:r>
      <w:r w:rsidR="00FF1C56">
        <w:rPr>
          <w:bCs/>
        </w:rPr>
        <w:t xml:space="preserve">students attending </w:t>
      </w:r>
      <w:r w:rsidR="00246FD0">
        <w:rPr>
          <w:bCs/>
        </w:rPr>
        <w:t>university</w:t>
      </w:r>
      <w:r w:rsidR="00440215">
        <w:rPr>
          <w:bCs/>
        </w:rPr>
        <w:t xml:space="preserve"> or technical and further education (TAFE)</w:t>
      </w:r>
      <w:r w:rsidR="00687AE4" w:rsidRPr="004C0904">
        <w:rPr>
          <w:bCs/>
        </w:rPr>
        <w:t xml:space="preserve"> </w:t>
      </w:r>
      <w:r w:rsidR="00BD5074" w:rsidRPr="004C0904">
        <w:rPr>
          <w:bCs/>
        </w:rPr>
        <w:t>did</w:t>
      </w:r>
      <w:r w:rsidR="0037794D">
        <w:rPr>
          <w:bCs/>
        </w:rPr>
        <w:t xml:space="preserve"> </w:t>
      </w:r>
      <w:r w:rsidR="00BD5074" w:rsidRPr="004C0904">
        <w:rPr>
          <w:bCs/>
        </w:rPr>
        <w:t>n</w:t>
      </w:r>
      <w:r w:rsidR="0037794D">
        <w:rPr>
          <w:bCs/>
        </w:rPr>
        <w:t>o</w:t>
      </w:r>
      <w:r w:rsidR="00BD5074" w:rsidRPr="004C0904">
        <w:rPr>
          <w:bCs/>
        </w:rPr>
        <w:t>t</w:t>
      </w:r>
      <w:r w:rsidR="00687AE4" w:rsidRPr="004C0904">
        <w:rPr>
          <w:bCs/>
        </w:rPr>
        <w:t xml:space="preserve"> disclose their autism</w:t>
      </w:r>
      <w:r w:rsidR="004C0904" w:rsidRPr="004C0904">
        <w:rPr>
          <w:bCs/>
        </w:rPr>
        <w:t xml:space="preserve"> </w:t>
      </w:r>
      <w:r w:rsidR="006B705A">
        <w:rPr>
          <w:bCs/>
        </w:rPr>
        <w:t xml:space="preserve">diagnosis </w:t>
      </w:r>
      <w:r w:rsidR="00687AE4" w:rsidRPr="004C0904">
        <w:rPr>
          <w:bCs/>
        </w:rPr>
        <w:t xml:space="preserve">until </w:t>
      </w:r>
      <w:r w:rsidR="00817BE3">
        <w:rPr>
          <w:bCs/>
        </w:rPr>
        <w:t xml:space="preserve">after </w:t>
      </w:r>
      <w:r w:rsidR="00BD5074" w:rsidRPr="004C0904">
        <w:rPr>
          <w:bCs/>
        </w:rPr>
        <w:t>a significant</w:t>
      </w:r>
      <w:r w:rsidR="00687AE4" w:rsidRPr="004C0904">
        <w:rPr>
          <w:bCs/>
        </w:rPr>
        <w:t xml:space="preserve"> </w:t>
      </w:r>
      <w:r w:rsidR="004C0904" w:rsidRPr="004C0904">
        <w:rPr>
          <w:bCs/>
        </w:rPr>
        <w:t>problem had occurred</w:t>
      </w:r>
      <w:r w:rsidR="00D442CD">
        <w:rPr>
          <w:bCs/>
        </w:rPr>
        <w:t xml:space="preserve"> and support was needed</w:t>
      </w:r>
      <w:r w:rsidR="00687AE4" w:rsidRPr="004C0904">
        <w:rPr>
          <w:bCs/>
        </w:rPr>
        <w:t>.</w:t>
      </w:r>
      <w:r w:rsidR="006E5F7C">
        <w:rPr>
          <w:bCs/>
        </w:rPr>
        <w:t xml:space="preserve"> </w:t>
      </w:r>
      <w:r w:rsidR="005066F5">
        <w:rPr>
          <w:bCs/>
        </w:rPr>
        <w:t xml:space="preserve">While the transition into </w:t>
      </w:r>
      <w:r w:rsidR="00C20ADA">
        <w:rPr>
          <w:bCs/>
        </w:rPr>
        <w:t xml:space="preserve">post-school education </w:t>
      </w:r>
      <w:r w:rsidR="005066F5">
        <w:rPr>
          <w:bCs/>
        </w:rPr>
        <w:t>can be challeng</w:t>
      </w:r>
      <w:r w:rsidR="00C20ADA">
        <w:rPr>
          <w:bCs/>
        </w:rPr>
        <w:t>ing</w:t>
      </w:r>
      <w:r w:rsidR="005066F5">
        <w:rPr>
          <w:bCs/>
        </w:rPr>
        <w:t>, recent research has indicated that those who are near completion or who have recently completed university have a concern about the</w:t>
      </w:r>
      <w:r w:rsidR="00A34D9E">
        <w:rPr>
          <w:bCs/>
        </w:rPr>
        <w:t>n</w:t>
      </w:r>
      <w:r w:rsidR="00A05D92">
        <w:rPr>
          <w:bCs/>
        </w:rPr>
        <w:t xml:space="preserve"> </w:t>
      </w:r>
      <w:r w:rsidR="000809D0">
        <w:rPr>
          <w:bCs/>
        </w:rPr>
        <w:t>transitioning into employment following completion of their degree</w:t>
      </w:r>
      <w:r w:rsidR="005066F5">
        <w:rPr>
          <w:bCs/>
        </w:rPr>
        <w:t xml:space="preserve"> (Vincent, 2019).</w:t>
      </w:r>
    </w:p>
    <w:p w14:paraId="29C6C1EA" w14:textId="5FBADCE4" w:rsidR="00FF3866" w:rsidRPr="00166E6D" w:rsidRDefault="00FF3866" w:rsidP="00166E6D">
      <w:pPr>
        <w:spacing w:line="480" w:lineRule="auto"/>
        <w:jc w:val="center"/>
        <w:rPr>
          <w:bCs/>
          <w:i/>
        </w:rPr>
      </w:pPr>
      <w:r w:rsidRPr="00166E6D">
        <w:rPr>
          <w:i/>
        </w:rPr>
        <w:t>Autism and employment</w:t>
      </w:r>
    </w:p>
    <w:p w14:paraId="4BE5BF45" w14:textId="58099A5E" w:rsidR="005920C8" w:rsidRPr="00F81882" w:rsidRDefault="005920C8" w:rsidP="002A3017">
      <w:pPr>
        <w:spacing w:line="480" w:lineRule="auto"/>
      </w:pPr>
      <w:r>
        <w:t xml:space="preserve">In Australia, our best estimate for the autistic </w:t>
      </w:r>
      <w:r w:rsidR="008652FF">
        <w:t>labour participation</w:t>
      </w:r>
      <w:r>
        <w:t xml:space="preserve"> rate</w:t>
      </w:r>
      <w:r w:rsidRPr="008B73C0">
        <w:t xml:space="preserve"> is </w:t>
      </w:r>
      <w:r w:rsidR="00E6388D" w:rsidRPr="008B73C0">
        <w:t>38</w:t>
      </w:r>
      <w:r w:rsidRPr="008B73C0">
        <w:t>%, which is lower than individuals with (</w:t>
      </w:r>
      <w:r w:rsidR="008C77E2" w:rsidRPr="008B73C0">
        <w:t>53</w:t>
      </w:r>
      <w:r w:rsidRPr="008B73C0">
        <w:t>%) and without a disability (</w:t>
      </w:r>
      <w:r w:rsidR="008C77E2" w:rsidRPr="008B73C0">
        <w:t>8</w:t>
      </w:r>
      <w:r w:rsidR="00C4003A" w:rsidRPr="008B73C0">
        <w:t>4</w:t>
      </w:r>
      <w:r w:rsidRPr="008B73C0">
        <w:t>%</w:t>
      </w:r>
      <w:r w:rsidR="004A3CE9" w:rsidRPr="008B73C0">
        <w:t>; ABS, 201</w:t>
      </w:r>
      <w:r w:rsidR="00C4003A" w:rsidRPr="008B73C0">
        <w:t>9</w:t>
      </w:r>
      <w:r w:rsidRPr="008B73C0">
        <w:t>).</w:t>
      </w:r>
      <w:r w:rsidR="00DC0023">
        <w:t xml:space="preserve"> That is, there are significantly fewer autistic individuals employed or </w:t>
      </w:r>
      <w:r w:rsidR="00971D65">
        <w:t>actively seeking employment and available to start.</w:t>
      </w:r>
      <w:r>
        <w:t xml:space="preserve"> </w:t>
      </w:r>
      <w:r w:rsidR="00D9354B">
        <w:t xml:space="preserve">Specific challenges </w:t>
      </w:r>
      <w:r w:rsidR="00085024">
        <w:t xml:space="preserve">in </w:t>
      </w:r>
      <w:r w:rsidR="002E73DF">
        <w:t xml:space="preserve">seeking </w:t>
      </w:r>
      <w:r w:rsidR="00D9354B">
        <w:t>employment</w:t>
      </w:r>
      <w:r w:rsidR="00AE7F5D">
        <w:t xml:space="preserve"> </w:t>
      </w:r>
      <w:r w:rsidR="00AE7F5D" w:rsidRPr="00FE3D67">
        <w:t>reported</w:t>
      </w:r>
      <w:r w:rsidR="00D9354B" w:rsidRPr="00FE3D67">
        <w:t xml:space="preserve"> </w:t>
      </w:r>
      <w:r w:rsidR="00681D88" w:rsidRPr="00FE3D67">
        <w:t xml:space="preserve">for autistic individuals </w:t>
      </w:r>
      <w:r w:rsidR="00AE7F5D" w:rsidRPr="00FE3D67">
        <w:t xml:space="preserve">include </w:t>
      </w:r>
      <w:r w:rsidR="002A2A87" w:rsidRPr="00FE3D67">
        <w:t xml:space="preserve">navigating the job application process </w:t>
      </w:r>
      <w:r w:rsidR="00681D88" w:rsidRPr="00FE3D67">
        <w:t>(</w:t>
      </w:r>
      <w:r w:rsidR="00FE3D67" w:rsidRPr="00FE3D67">
        <w:t xml:space="preserve">Lorenz, </w:t>
      </w:r>
      <w:proofErr w:type="spellStart"/>
      <w:r w:rsidR="00FE3D67" w:rsidRPr="00FE3D67">
        <w:t>Frischling</w:t>
      </w:r>
      <w:proofErr w:type="spellEnd"/>
      <w:r w:rsidR="00FE3D67" w:rsidRPr="00FE3D67">
        <w:t>,</w:t>
      </w:r>
      <w:r w:rsidR="00817BE3">
        <w:t xml:space="preserve"> </w:t>
      </w:r>
      <w:proofErr w:type="spellStart"/>
      <w:r w:rsidR="00FE3D67" w:rsidRPr="00FE3D67">
        <w:t>Cuadros</w:t>
      </w:r>
      <w:proofErr w:type="spellEnd"/>
      <w:r w:rsidR="00FE3D67" w:rsidRPr="00FE3D67">
        <w:t>,</w:t>
      </w:r>
      <w:r w:rsidR="00817BE3">
        <w:t xml:space="preserve"> </w:t>
      </w:r>
      <w:r w:rsidR="00FE3D67" w:rsidRPr="00FE3D67">
        <w:t xml:space="preserve">&amp; </w:t>
      </w:r>
      <w:proofErr w:type="spellStart"/>
      <w:r w:rsidR="00FE3D67" w:rsidRPr="00FE3D67">
        <w:t>Heinitz</w:t>
      </w:r>
      <w:proofErr w:type="spellEnd"/>
      <w:r w:rsidR="00FE3D67" w:rsidRPr="00FE3D67">
        <w:t>, 2016)</w:t>
      </w:r>
      <w:r w:rsidR="00681D88" w:rsidRPr="00FE3D67">
        <w:t xml:space="preserve">, </w:t>
      </w:r>
      <w:r w:rsidR="009562AD" w:rsidRPr="00FE3D67">
        <w:t>passing</w:t>
      </w:r>
      <w:r w:rsidR="00F07166" w:rsidRPr="00FE3D67">
        <w:t xml:space="preserve"> successfully</w:t>
      </w:r>
      <w:r w:rsidR="009562AD" w:rsidRPr="00FE3D67">
        <w:t xml:space="preserve"> through the job interview (</w:t>
      </w:r>
      <w:r w:rsidR="001620BA" w:rsidRPr="00D07E73">
        <w:t xml:space="preserve">Strickland, Coles, &amp; Southern, </w:t>
      </w:r>
      <w:r w:rsidR="00C21B24" w:rsidRPr="00D07E73">
        <w:t>2013</w:t>
      </w:r>
      <w:r w:rsidR="009562AD" w:rsidRPr="00D07E73">
        <w:t>),</w:t>
      </w:r>
      <w:r w:rsidR="00271A8D" w:rsidRPr="00D07E73">
        <w:t xml:space="preserve"> determining whether or not to disclose one’s autism diagnosis (Higgins, Koch, Boughfman, &amp; Vierstra, 2008)</w:t>
      </w:r>
      <w:r w:rsidR="00914E97" w:rsidRPr="00D07E73">
        <w:t>, and</w:t>
      </w:r>
      <w:r w:rsidR="00934FBA" w:rsidRPr="00D07E73">
        <w:t>,</w:t>
      </w:r>
      <w:r w:rsidR="009562AD" w:rsidRPr="00D07E73">
        <w:t xml:space="preserve"> </w:t>
      </w:r>
      <w:r w:rsidR="00D35A19" w:rsidRPr="00D07E73">
        <w:t>similar to non-autistic young adults (</w:t>
      </w:r>
      <w:r w:rsidR="005D1AAE" w:rsidRPr="00D07E73">
        <w:t xml:space="preserve">Scurry &amp; </w:t>
      </w:r>
      <w:r w:rsidR="00C024C2" w:rsidRPr="00D07E73">
        <w:t>Blenk</w:t>
      </w:r>
      <w:r w:rsidR="00191310" w:rsidRPr="00D07E73">
        <w:t>in</w:t>
      </w:r>
      <w:r w:rsidR="00D07E73" w:rsidRPr="00D07E73">
        <w:t>sopp, 2011</w:t>
      </w:r>
      <w:r w:rsidR="00D35A19" w:rsidRPr="00D07E73">
        <w:t>),</w:t>
      </w:r>
      <w:r w:rsidR="00D35A19">
        <w:t xml:space="preserve"> </w:t>
      </w:r>
      <w:r w:rsidR="000E3668">
        <w:t xml:space="preserve">gaining </w:t>
      </w:r>
      <w:r w:rsidR="000E3668" w:rsidRPr="00AA2BB3">
        <w:t xml:space="preserve">employment in an area aligned with one’s </w:t>
      </w:r>
      <w:r w:rsidR="00AA2BB3" w:rsidRPr="00AA2BB3">
        <w:t xml:space="preserve">level of </w:t>
      </w:r>
      <w:r w:rsidR="000E3668" w:rsidRPr="00AA2BB3">
        <w:t xml:space="preserve">education (Baldwin, Costley, &amp; Warren, </w:t>
      </w:r>
      <w:r w:rsidR="000E3668" w:rsidRPr="008F276B">
        <w:t>2014)</w:t>
      </w:r>
      <w:r w:rsidR="00914E97">
        <w:t xml:space="preserve">. </w:t>
      </w:r>
    </w:p>
    <w:p w14:paraId="081CB562" w14:textId="4AF5E3C7" w:rsidR="00E44B0D" w:rsidRDefault="009C4928" w:rsidP="002A3017">
      <w:pPr>
        <w:spacing w:line="480" w:lineRule="auto"/>
        <w:ind w:firstLine="720"/>
      </w:pPr>
      <w:r w:rsidRPr="00F81882">
        <w:lastRenderedPageBreak/>
        <w:t xml:space="preserve">While there are several thousand autistic job seekers, available services do not have the capacity to meet the needs of autistic individuals, highlighting an area of urgent need in Australia (e.g., Parliament of Victoria Family and Community Development Committee, 2017). </w:t>
      </w:r>
      <w:r w:rsidR="009562AD" w:rsidRPr="00F81882">
        <w:t xml:space="preserve">While </w:t>
      </w:r>
      <w:r w:rsidR="00A57234" w:rsidRPr="00F81882">
        <w:t xml:space="preserve">government funded employment </w:t>
      </w:r>
      <w:r w:rsidR="00B67895" w:rsidRPr="00F81882">
        <w:t xml:space="preserve">support </w:t>
      </w:r>
      <w:r w:rsidR="00A57234" w:rsidRPr="00F81882">
        <w:t>services are available to most autistic Australians (</w:t>
      </w:r>
      <w:r w:rsidR="009710B0" w:rsidRPr="00F81882">
        <w:t xml:space="preserve">via </w:t>
      </w:r>
      <w:r w:rsidR="00A57234" w:rsidRPr="00F81882">
        <w:t>disability</w:t>
      </w:r>
      <w:r w:rsidR="00A57234">
        <w:t xml:space="preserve"> employment service</w:t>
      </w:r>
      <w:r w:rsidR="00B67895">
        <w:t xml:space="preserve"> [DES]</w:t>
      </w:r>
      <w:r w:rsidR="00A57234">
        <w:t xml:space="preserve"> providers), DES providers have </w:t>
      </w:r>
      <w:r w:rsidR="005F0EB7">
        <w:t xml:space="preserve">largely </w:t>
      </w:r>
      <w:r w:rsidR="00090174">
        <w:t>low</w:t>
      </w:r>
      <w:r w:rsidR="00C35254">
        <w:t xml:space="preserve"> </w:t>
      </w:r>
      <w:r w:rsidR="00090174">
        <w:t xml:space="preserve">rate of successful </w:t>
      </w:r>
      <w:r w:rsidR="00C35254">
        <w:t xml:space="preserve">placement </w:t>
      </w:r>
      <w:r w:rsidR="002B5335">
        <w:t xml:space="preserve">of autistic clients into employment </w:t>
      </w:r>
      <w:r w:rsidR="00D3667D">
        <w:t>(</w:t>
      </w:r>
      <w:r w:rsidR="00F61CF6">
        <w:t xml:space="preserve">Australian Government </w:t>
      </w:r>
      <w:r w:rsidR="00F61CF6" w:rsidRPr="00643833">
        <w:rPr>
          <w:color w:val="000000" w:themeColor="text1"/>
        </w:rPr>
        <w:t>Department of Jobs and Small Business, 2017</w:t>
      </w:r>
      <w:r w:rsidR="00D3667D" w:rsidRPr="00643833">
        <w:rPr>
          <w:color w:val="000000" w:themeColor="text1"/>
        </w:rPr>
        <w:t>)</w:t>
      </w:r>
      <w:r w:rsidR="001459F9" w:rsidRPr="00643833">
        <w:rPr>
          <w:color w:val="000000" w:themeColor="text1"/>
        </w:rPr>
        <w:t>.</w:t>
      </w:r>
      <w:r w:rsidR="00663FE6" w:rsidRPr="00643833">
        <w:rPr>
          <w:color w:val="000000" w:themeColor="text1"/>
        </w:rPr>
        <w:t xml:space="preserve"> Further,</w:t>
      </w:r>
      <w:r w:rsidR="00C45DFD" w:rsidRPr="00643833">
        <w:rPr>
          <w:color w:val="000000" w:themeColor="text1"/>
        </w:rPr>
        <w:t xml:space="preserve"> a recent </w:t>
      </w:r>
      <w:r w:rsidR="00663FE6" w:rsidRPr="00643833">
        <w:rPr>
          <w:color w:val="000000" w:themeColor="text1"/>
        </w:rPr>
        <w:t>Victorian S</w:t>
      </w:r>
      <w:r w:rsidR="00C45DFD" w:rsidRPr="00643833">
        <w:rPr>
          <w:color w:val="000000" w:themeColor="text1"/>
        </w:rPr>
        <w:t xml:space="preserve">tate </w:t>
      </w:r>
      <w:r w:rsidR="00663FE6" w:rsidRPr="00643833">
        <w:rPr>
          <w:color w:val="000000" w:themeColor="text1"/>
        </w:rPr>
        <w:t>G</w:t>
      </w:r>
      <w:r w:rsidR="00C45DFD" w:rsidRPr="00643833">
        <w:rPr>
          <w:color w:val="000000" w:themeColor="text1"/>
        </w:rPr>
        <w:t xml:space="preserve">overnment inquiry </w:t>
      </w:r>
      <w:r w:rsidR="00C35254" w:rsidRPr="00643833">
        <w:rPr>
          <w:color w:val="000000" w:themeColor="text1"/>
        </w:rPr>
        <w:t>indicate</w:t>
      </w:r>
      <w:r w:rsidR="00663FE6" w:rsidRPr="00643833">
        <w:rPr>
          <w:color w:val="000000" w:themeColor="text1"/>
        </w:rPr>
        <w:t>d</w:t>
      </w:r>
      <w:r w:rsidR="004D050B" w:rsidRPr="00643833">
        <w:rPr>
          <w:color w:val="000000" w:themeColor="text1"/>
        </w:rPr>
        <w:t xml:space="preserve"> </w:t>
      </w:r>
      <w:r w:rsidR="00981090" w:rsidRPr="00643833">
        <w:rPr>
          <w:color w:val="000000" w:themeColor="text1"/>
        </w:rPr>
        <w:t xml:space="preserve">that DES experience </w:t>
      </w:r>
      <w:r w:rsidR="00090174" w:rsidRPr="00643833">
        <w:rPr>
          <w:color w:val="000000" w:themeColor="text1"/>
        </w:rPr>
        <w:t>challenges in working with the autistic population</w:t>
      </w:r>
      <w:r w:rsidR="00663FE6" w:rsidRPr="00643833">
        <w:rPr>
          <w:color w:val="000000" w:themeColor="text1"/>
        </w:rPr>
        <w:t>, at least in Victoria</w:t>
      </w:r>
      <w:r w:rsidR="00090174" w:rsidRPr="00643833">
        <w:rPr>
          <w:color w:val="000000" w:themeColor="text1"/>
        </w:rPr>
        <w:t xml:space="preserve"> (</w:t>
      </w:r>
      <w:r w:rsidR="003534EB" w:rsidRPr="00643833">
        <w:rPr>
          <w:color w:val="000000" w:themeColor="text1"/>
        </w:rPr>
        <w:t xml:space="preserve">Parliament </w:t>
      </w:r>
      <w:r w:rsidR="003534EB" w:rsidRPr="009D4CA8">
        <w:t>of Victoria Family and Community Development Committee</w:t>
      </w:r>
      <w:r w:rsidR="007C6BCA" w:rsidRPr="009D4CA8">
        <w:t>, 2017)</w:t>
      </w:r>
      <w:r w:rsidR="00090174" w:rsidRPr="009D4CA8">
        <w:t>.</w:t>
      </w:r>
      <w:r w:rsidR="007202DC" w:rsidRPr="009D4CA8">
        <w:t xml:space="preserve"> </w:t>
      </w:r>
      <w:r w:rsidR="00B62F2F" w:rsidRPr="009D4CA8">
        <w:t xml:space="preserve">DES </w:t>
      </w:r>
      <w:r w:rsidR="00055507" w:rsidRPr="009D4CA8">
        <w:t xml:space="preserve">providers </w:t>
      </w:r>
      <w:r w:rsidR="007539FF" w:rsidRPr="009D4CA8">
        <w:t xml:space="preserve">have no requirement </w:t>
      </w:r>
      <w:r w:rsidR="00055507" w:rsidRPr="009D4CA8">
        <w:t>for autism training</w:t>
      </w:r>
      <w:r w:rsidR="00C57166" w:rsidRPr="009D4CA8">
        <w:t xml:space="preserve"> (Australian Government Department of Social Services, 2018)</w:t>
      </w:r>
      <w:r w:rsidR="007539FF" w:rsidRPr="009D4CA8">
        <w:t xml:space="preserve">, and </w:t>
      </w:r>
      <w:r w:rsidR="007539FF" w:rsidRPr="008C1E88">
        <w:t xml:space="preserve">to our knowledge there </w:t>
      </w:r>
      <w:r w:rsidR="00745EAC">
        <w:t>are</w:t>
      </w:r>
      <w:r w:rsidR="007539FF" w:rsidRPr="008C1E88">
        <w:t xml:space="preserve"> no data looking at the efficacy of DES services for autistic people. </w:t>
      </w:r>
      <w:r w:rsidR="008C1E88">
        <w:t>W</w:t>
      </w:r>
      <w:r w:rsidR="00DA6B8C" w:rsidRPr="008C1E88">
        <w:t>hile there</w:t>
      </w:r>
      <w:r w:rsidR="00DA6B8C">
        <w:t xml:space="preserve"> are autism specific School Leaver Employment Support </w:t>
      </w:r>
      <w:r w:rsidR="00E96372">
        <w:t xml:space="preserve">(SLES) </w:t>
      </w:r>
      <w:r w:rsidR="00DA6B8C">
        <w:t xml:space="preserve">programs (e.g., Aspect Capable) and autism hiring programs (e.g., Specialisterne Australia, DXC Technology) that target young autistic </w:t>
      </w:r>
      <w:r w:rsidR="006B30E4">
        <w:t>adults</w:t>
      </w:r>
      <w:r w:rsidR="00DA6B8C">
        <w:t xml:space="preserve">, these remain infrequent and unavailable to </w:t>
      </w:r>
      <w:r w:rsidR="00CF285C">
        <w:t>most</w:t>
      </w:r>
      <w:r w:rsidR="00DA6B8C">
        <w:t xml:space="preserve"> autistic Australians. </w:t>
      </w:r>
      <w:r w:rsidR="00C84175" w:rsidRPr="00C84175">
        <w:t>The apparent lack of understanding of autism in the Australian community presents an additional barrier</w:t>
      </w:r>
      <w:r w:rsidR="00130A51" w:rsidRPr="00C84175">
        <w:t xml:space="preserve"> </w:t>
      </w:r>
      <w:r w:rsidR="00130A51">
        <w:t xml:space="preserve">for autistic individuals in gaining mainstream employment </w:t>
      </w:r>
      <w:r w:rsidR="00130A51" w:rsidRPr="000011E6">
        <w:t>(</w:t>
      </w:r>
      <w:r w:rsidR="000011E6" w:rsidRPr="000011E6">
        <w:t xml:space="preserve">Jones, </w:t>
      </w:r>
      <w:proofErr w:type="spellStart"/>
      <w:r w:rsidR="00D14843">
        <w:t>Akram</w:t>
      </w:r>
      <w:proofErr w:type="spellEnd"/>
      <w:r w:rsidR="00D14843">
        <w:t xml:space="preserve">, </w:t>
      </w:r>
      <w:r w:rsidR="007B6AB8">
        <w:t xml:space="preserve">Murphy, Myers, </w:t>
      </w:r>
      <w:r w:rsidR="00ED6ADE">
        <w:t>&amp; Vickers, 2018</w:t>
      </w:r>
      <w:r w:rsidR="00130A51" w:rsidRPr="000011E6">
        <w:t>).</w:t>
      </w:r>
      <w:r w:rsidR="00C84175">
        <w:t xml:space="preserve"> </w:t>
      </w:r>
      <w:r w:rsidR="00D34DFE">
        <w:t xml:space="preserve">For example, </w:t>
      </w:r>
      <w:r w:rsidR="003855FA">
        <w:t xml:space="preserve">without an understanding of autism and the needs of autistic employees, </w:t>
      </w:r>
      <w:r w:rsidR="00D34DFE">
        <w:t xml:space="preserve">employers </w:t>
      </w:r>
      <w:r w:rsidR="009929D6">
        <w:t>may have concerns about the cost of adjustments (</w:t>
      </w:r>
      <w:r w:rsidR="00AD565A">
        <w:t xml:space="preserve">McFarlin, </w:t>
      </w:r>
      <w:r w:rsidR="00452E28">
        <w:t>Song, &amp; Son</w:t>
      </w:r>
      <w:r w:rsidR="0056277A">
        <w:t>n</w:t>
      </w:r>
      <w:r w:rsidR="00452E28">
        <w:t xml:space="preserve">tag, </w:t>
      </w:r>
      <w:r w:rsidR="0056277A">
        <w:t>1991</w:t>
      </w:r>
      <w:r w:rsidR="009929D6">
        <w:t xml:space="preserve">), </w:t>
      </w:r>
      <w:r w:rsidR="003855FA">
        <w:t xml:space="preserve">despite preliminary </w:t>
      </w:r>
      <w:r w:rsidR="00D754E3">
        <w:t>evidence suggesting hiring autistic employees doesn’t come at an additional cost (</w:t>
      </w:r>
      <w:r w:rsidR="00471C45">
        <w:t>Scott et al</w:t>
      </w:r>
      <w:r w:rsidR="00471C45" w:rsidRPr="008C1E88">
        <w:t xml:space="preserve">., 2017). </w:t>
      </w:r>
      <w:r w:rsidR="00126262" w:rsidRPr="008C1E88">
        <w:t xml:space="preserve">Further, </w:t>
      </w:r>
      <w:r w:rsidR="004769E3" w:rsidRPr="008C1E88">
        <w:t>in simulated</w:t>
      </w:r>
      <w:r w:rsidR="004769E3">
        <w:t xml:space="preserve"> job interviews, autistic </w:t>
      </w:r>
      <w:r w:rsidR="00051BD6">
        <w:t>‘job candidates’</w:t>
      </w:r>
      <w:r w:rsidR="004769E3">
        <w:t xml:space="preserve"> have been rated </w:t>
      </w:r>
      <w:r w:rsidR="00051BD6">
        <w:t>less favourably than non-autistic candidates (</w:t>
      </w:r>
      <w:r w:rsidR="009C5572" w:rsidRPr="00D42CDD">
        <w:t xml:space="preserve">Cage </w:t>
      </w:r>
      <w:r w:rsidR="009C5572">
        <w:t>&amp;</w:t>
      </w:r>
      <w:r w:rsidR="009C5572" w:rsidRPr="00D42CDD">
        <w:t xml:space="preserve"> Burton</w:t>
      </w:r>
      <w:r w:rsidR="009C5572">
        <w:t>, 2</w:t>
      </w:r>
      <w:r w:rsidR="009C5572" w:rsidRPr="00D42CDD">
        <w:t>019</w:t>
      </w:r>
      <w:r w:rsidR="009C5572">
        <w:t xml:space="preserve">). </w:t>
      </w:r>
    </w:p>
    <w:p w14:paraId="7F83E34C" w14:textId="4B6E20D9" w:rsidR="006E043F" w:rsidRDefault="00E44B0D" w:rsidP="002A3017">
      <w:pPr>
        <w:spacing w:line="480" w:lineRule="auto"/>
        <w:ind w:firstLine="720"/>
        <w:rPr>
          <w:b/>
        </w:rPr>
      </w:pPr>
      <w:r w:rsidRPr="00E44B0D">
        <w:rPr>
          <w:rFonts w:eastAsia="Times New Roman"/>
          <w:lang w:val="en-AU" w:eastAsia="en-GB"/>
        </w:rPr>
        <w:lastRenderedPageBreak/>
        <w:t xml:space="preserve">Among </w:t>
      </w:r>
      <w:r w:rsidR="00345595">
        <w:rPr>
          <w:rFonts w:eastAsia="Times New Roman"/>
          <w:lang w:val="en-AU" w:eastAsia="en-GB"/>
        </w:rPr>
        <w:t xml:space="preserve">autistic </w:t>
      </w:r>
      <w:r w:rsidR="005D76C2" w:rsidRPr="00E44B0D">
        <w:rPr>
          <w:rFonts w:eastAsia="Times New Roman"/>
          <w:lang w:val="en-AU" w:eastAsia="en-GB"/>
        </w:rPr>
        <w:t>transition</w:t>
      </w:r>
      <w:r w:rsidR="005D76C2">
        <w:rPr>
          <w:rFonts w:eastAsia="Times New Roman"/>
          <w:lang w:val="en-AU" w:eastAsia="en-GB"/>
        </w:rPr>
        <w:t>-</w:t>
      </w:r>
      <w:r w:rsidRPr="00E44B0D">
        <w:rPr>
          <w:rFonts w:eastAsia="Times New Roman"/>
          <w:lang w:val="en-AU" w:eastAsia="en-GB"/>
        </w:rPr>
        <w:t>aged youth</w:t>
      </w:r>
      <w:r w:rsidR="00345595">
        <w:rPr>
          <w:rFonts w:eastAsia="Times New Roman"/>
          <w:lang w:val="en-AU" w:eastAsia="en-GB"/>
        </w:rPr>
        <w:t xml:space="preserve">, </w:t>
      </w:r>
      <w:r w:rsidRPr="00E44B0D">
        <w:rPr>
          <w:rFonts w:eastAsia="Times New Roman"/>
          <w:lang w:val="en-AU" w:eastAsia="en-GB"/>
        </w:rPr>
        <w:t xml:space="preserve">successfully gaining employment has been cited as a </w:t>
      </w:r>
      <w:proofErr w:type="gramStart"/>
      <w:r w:rsidR="007D13B7">
        <w:rPr>
          <w:rFonts w:eastAsia="Times New Roman"/>
          <w:lang w:val="en-AU" w:eastAsia="en-GB"/>
        </w:rPr>
        <w:t>particular</w:t>
      </w:r>
      <w:r w:rsidRPr="00E44B0D">
        <w:rPr>
          <w:rFonts w:eastAsia="Times New Roman"/>
          <w:lang w:val="en-AU" w:eastAsia="en-GB"/>
        </w:rPr>
        <w:t xml:space="preserve"> challenge</w:t>
      </w:r>
      <w:proofErr w:type="gramEnd"/>
      <w:r w:rsidRPr="00E44B0D">
        <w:rPr>
          <w:rFonts w:eastAsia="Times New Roman"/>
          <w:lang w:val="en-AU" w:eastAsia="en-GB"/>
        </w:rPr>
        <w:t xml:space="preserve"> (e.g., Roux et al., 2013; Shattuck et al., 2012), and vocational outcomes among this group have been </w:t>
      </w:r>
      <w:r w:rsidR="00701A8F">
        <w:rPr>
          <w:rFonts w:eastAsia="Times New Roman"/>
          <w:lang w:val="en-AU" w:eastAsia="en-GB"/>
        </w:rPr>
        <w:t>reported</w:t>
      </w:r>
      <w:r w:rsidRPr="00E44B0D">
        <w:rPr>
          <w:rFonts w:eastAsia="Times New Roman"/>
          <w:lang w:val="en-AU" w:eastAsia="en-GB"/>
        </w:rPr>
        <w:t xml:space="preserve"> as low (e.g., </w:t>
      </w:r>
      <w:r w:rsidR="005F46E2">
        <w:rPr>
          <w:rFonts w:eastAsia="Times New Roman"/>
          <w:lang w:val="en-AU" w:eastAsia="en-GB"/>
        </w:rPr>
        <w:t>L</w:t>
      </w:r>
      <w:r w:rsidRPr="00E44B0D">
        <w:rPr>
          <w:rFonts w:eastAsia="Times New Roman"/>
          <w:lang w:val="en-AU" w:eastAsia="en-GB"/>
        </w:rPr>
        <w:t>ounds Taylor &amp; Seltzer, 2011).</w:t>
      </w:r>
      <w:r w:rsidR="00970DEA">
        <w:rPr>
          <w:rFonts w:eastAsia="Times New Roman"/>
          <w:lang w:val="en-AU" w:eastAsia="en-GB"/>
        </w:rPr>
        <w:t xml:space="preserve"> </w:t>
      </w:r>
      <w:bookmarkStart w:id="0" w:name="_Hlk36411028"/>
      <w:r w:rsidR="00294265">
        <w:rPr>
          <w:rFonts w:eastAsia="Times New Roman"/>
          <w:lang w:val="en-AU" w:eastAsia="en-GB"/>
        </w:rPr>
        <w:t>F</w:t>
      </w:r>
      <w:r w:rsidR="00970DEA" w:rsidRPr="008C1E88">
        <w:rPr>
          <w:rFonts w:eastAsia="Times New Roman"/>
          <w:lang w:val="en-AU" w:eastAsia="en-GB"/>
        </w:rPr>
        <w:t>or</w:t>
      </w:r>
      <w:r w:rsidR="00970DEA">
        <w:rPr>
          <w:rFonts w:eastAsia="Times New Roman"/>
          <w:lang w:val="en-AU" w:eastAsia="en-GB"/>
        </w:rPr>
        <w:t xml:space="preserve"> those who </w:t>
      </w:r>
      <w:r w:rsidR="007D13B7">
        <w:rPr>
          <w:rFonts w:eastAsia="Times New Roman"/>
          <w:lang w:val="en-AU" w:eastAsia="en-GB"/>
        </w:rPr>
        <w:t xml:space="preserve">do </w:t>
      </w:r>
      <w:r w:rsidR="00970DEA">
        <w:rPr>
          <w:rFonts w:eastAsia="Times New Roman"/>
          <w:lang w:val="en-AU" w:eastAsia="en-GB"/>
        </w:rPr>
        <w:t xml:space="preserve">gain employment, </w:t>
      </w:r>
      <w:r w:rsidR="00552320">
        <w:rPr>
          <w:rFonts w:eastAsia="Times New Roman"/>
          <w:lang w:val="en-AU" w:eastAsia="en-GB"/>
        </w:rPr>
        <w:t>individuals may</w:t>
      </w:r>
      <w:r w:rsidR="00A03F26">
        <w:rPr>
          <w:rFonts w:eastAsia="Times New Roman"/>
          <w:lang w:val="en-AU" w:eastAsia="en-GB"/>
        </w:rPr>
        <w:t xml:space="preserve"> </w:t>
      </w:r>
      <w:r w:rsidR="009A01A7">
        <w:rPr>
          <w:rFonts w:eastAsia="Times New Roman"/>
          <w:lang w:val="en-AU" w:eastAsia="en-GB"/>
        </w:rPr>
        <w:t xml:space="preserve">face </w:t>
      </w:r>
      <w:r w:rsidR="00A03F26">
        <w:rPr>
          <w:rFonts w:eastAsia="Times New Roman"/>
          <w:lang w:val="en-AU" w:eastAsia="en-GB"/>
        </w:rPr>
        <w:t>employment in unskilled roles</w:t>
      </w:r>
      <w:r w:rsidR="00A87E9D">
        <w:rPr>
          <w:rFonts w:eastAsia="Times New Roman"/>
          <w:lang w:val="en-AU" w:eastAsia="en-GB"/>
        </w:rPr>
        <w:t xml:space="preserve"> </w:t>
      </w:r>
      <w:r w:rsidR="00A87E9D" w:rsidRPr="00C77DA4">
        <w:rPr>
          <w:rFonts w:eastAsia="Times New Roman"/>
          <w:lang w:val="en-AU" w:eastAsia="en-GB"/>
        </w:rPr>
        <w:t>more often than their non-autistic counterparts</w:t>
      </w:r>
      <w:r w:rsidR="00A03F26" w:rsidRPr="00C77DA4">
        <w:rPr>
          <w:rFonts w:eastAsia="Times New Roman"/>
          <w:lang w:val="en-AU" w:eastAsia="en-GB"/>
        </w:rPr>
        <w:t xml:space="preserve"> (e.g., Neary et al., </w:t>
      </w:r>
      <w:r w:rsidR="00A87E9D" w:rsidRPr="00C77DA4">
        <w:rPr>
          <w:rFonts w:eastAsia="Times New Roman"/>
          <w:lang w:val="en-AU" w:eastAsia="en-GB"/>
        </w:rPr>
        <w:t>2015)</w:t>
      </w:r>
      <w:r w:rsidR="00552320" w:rsidRPr="00C77DA4">
        <w:rPr>
          <w:rFonts w:eastAsia="Times New Roman"/>
          <w:lang w:val="en-AU" w:eastAsia="en-GB"/>
        </w:rPr>
        <w:t xml:space="preserve"> </w:t>
      </w:r>
      <w:r w:rsidR="009A01A7" w:rsidRPr="00C77DA4">
        <w:rPr>
          <w:rFonts w:eastAsia="Times New Roman"/>
          <w:lang w:val="en-AU" w:eastAsia="en-GB"/>
        </w:rPr>
        <w:t xml:space="preserve">or </w:t>
      </w:r>
      <w:r w:rsidR="00552320" w:rsidRPr="00C77DA4">
        <w:rPr>
          <w:rFonts w:eastAsia="Times New Roman"/>
          <w:lang w:val="en-AU" w:eastAsia="en-GB"/>
        </w:rPr>
        <w:t>face disruption</w:t>
      </w:r>
      <w:r w:rsidR="00E10B03" w:rsidRPr="00C77DA4">
        <w:rPr>
          <w:rFonts w:eastAsia="Times New Roman"/>
          <w:lang w:val="en-AU" w:eastAsia="en-GB"/>
        </w:rPr>
        <w:t>s</w:t>
      </w:r>
      <w:r w:rsidR="00970DEA" w:rsidRPr="00C77DA4">
        <w:rPr>
          <w:rFonts w:eastAsia="Times New Roman"/>
          <w:lang w:val="en-AU" w:eastAsia="en-GB"/>
        </w:rPr>
        <w:t xml:space="preserve"> </w:t>
      </w:r>
      <w:r w:rsidR="009A01A7" w:rsidRPr="00C77DA4">
        <w:rPr>
          <w:rFonts w:eastAsia="Times New Roman"/>
          <w:lang w:val="en-AU" w:eastAsia="en-GB"/>
        </w:rPr>
        <w:t xml:space="preserve">such as </w:t>
      </w:r>
      <w:r w:rsidR="00661694">
        <w:rPr>
          <w:rFonts w:eastAsia="Times New Roman"/>
          <w:lang w:val="en-AU" w:eastAsia="en-GB"/>
        </w:rPr>
        <w:t>having their employment terminated</w:t>
      </w:r>
      <w:r w:rsidR="00C77DA4" w:rsidRPr="00C77DA4">
        <w:rPr>
          <w:rFonts w:eastAsia="Times New Roman"/>
          <w:lang w:val="en-AU" w:eastAsia="en-GB"/>
        </w:rPr>
        <w:t>,</w:t>
      </w:r>
      <w:r w:rsidR="00593545" w:rsidRPr="00C77DA4">
        <w:rPr>
          <w:rFonts w:eastAsia="Times New Roman"/>
          <w:lang w:val="en-AU" w:eastAsia="en-GB"/>
        </w:rPr>
        <w:t xml:space="preserve"> </w:t>
      </w:r>
      <w:r w:rsidR="002677EE" w:rsidRPr="00C77DA4">
        <w:rPr>
          <w:rFonts w:eastAsia="Times New Roman"/>
          <w:lang w:val="en-AU" w:eastAsia="en-GB"/>
        </w:rPr>
        <w:t xml:space="preserve">due to </w:t>
      </w:r>
      <w:r w:rsidR="00D41559">
        <w:rPr>
          <w:rFonts w:eastAsia="Times New Roman"/>
          <w:lang w:val="en-AU" w:eastAsia="en-GB"/>
        </w:rPr>
        <w:t xml:space="preserve">factors such as </w:t>
      </w:r>
      <w:r w:rsidR="00C77DA4" w:rsidRPr="00C77DA4">
        <w:rPr>
          <w:rFonts w:eastAsia="Times New Roman"/>
          <w:lang w:val="en-AU" w:eastAsia="en-GB"/>
        </w:rPr>
        <w:t xml:space="preserve">social communication challenges (see </w:t>
      </w:r>
      <w:r w:rsidR="00102AD5">
        <w:rPr>
          <w:rFonts w:eastAsia="Times New Roman"/>
          <w:lang w:val="en-AU" w:eastAsia="en-GB"/>
        </w:rPr>
        <w:t xml:space="preserve">Black et al., 2020; </w:t>
      </w:r>
      <w:r w:rsidR="00C77DA4" w:rsidRPr="00C77DA4">
        <w:rPr>
          <w:rFonts w:eastAsia="Times New Roman"/>
          <w:lang w:val="en-AU" w:eastAsia="en-GB"/>
        </w:rPr>
        <w:t xml:space="preserve">Chen, Leader, Sung, </w:t>
      </w:r>
      <w:r w:rsidR="00311E37">
        <w:rPr>
          <w:rFonts w:eastAsia="Times New Roman"/>
          <w:lang w:val="en-AU" w:eastAsia="en-GB"/>
        </w:rPr>
        <w:t>&amp;</w:t>
      </w:r>
      <w:r w:rsidR="00C77DA4" w:rsidRPr="00C77DA4">
        <w:rPr>
          <w:rFonts w:eastAsia="Times New Roman"/>
          <w:lang w:val="en-AU" w:eastAsia="en-GB"/>
        </w:rPr>
        <w:t xml:space="preserve"> Leahy, 2015)</w:t>
      </w:r>
      <w:r w:rsidR="007D13B7" w:rsidRPr="00C77DA4">
        <w:rPr>
          <w:rFonts w:eastAsia="Times New Roman"/>
          <w:lang w:val="en-AU" w:eastAsia="en-GB"/>
        </w:rPr>
        <w:t>.</w:t>
      </w:r>
      <w:r w:rsidR="00BA1224" w:rsidRPr="00C77DA4">
        <w:rPr>
          <w:b/>
        </w:rPr>
        <w:t xml:space="preserve"> </w:t>
      </w:r>
      <w:bookmarkEnd w:id="0"/>
      <w:r w:rsidR="008761BE" w:rsidRPr="00C77DA4">
        <w:t>While the</w:t>
      </w:r>
      <w:r w:rsidR="008761BE">
        <w:t xml:space="preserve"> available literature highlights challenges for autistic youth in </w:t>
      </w:r>
      <w:r w:rsidR="00E52161">
        <w:t xml:space="preserve">the </w:t>
      </w:r>
      <w:r w:rsidR="008761BE">
        <w:t xml:space="preserve">years following school </w:t>
      </w:r>
      <w:r w:rsidR="00C93789">
        <w:t>regarding</w:t>
      </w:r>
      <w:r w:rsidR="008761BE">
        <w:t xml:space="preserve"> both higher education and employment, research specific to this population in Australia has to date been limited (Anderson et al., 2018). </w:t>
      </w:r>
      <w:r w:rsidR="003826E5">
        <w:t>Indeed, the Australian Autism Research Council highlights employment as a priority research area</w:t>
      </w:r>
      <w:r w:rsidR="00CC336F">
        <w:t xml:space="preserve"> </w:t>
      </w:r>
      <w:r w:rsidR="00547669">
        <w:t>(</w:t>
      </w:r>
      <w:r w:rsidR="00547669" w:rsidRPr="00547669">
        <w:t>https://www.autismcrc.com.au/aarc</w:t>
      </w:r>
      <w:r w:rsidR="00547669">
        <w:t>)</w:t>
      </w:r>
      <w:r w:rsidR="003826E5">
        <w:t xml:space="preserve">. </w:t>
      </w:r>
    </w:p>
    <w:p w14:paraId="0D6451D6" w14:textId="1BD8E351" w:rsidR="00B22D23" w:rsidRPr="008269C0" w:rsidRDefault="007918B8" w:rsidP="002A3017">
      <w:pPr>
        <w:spacing w:line="480" w:lineRule="auto"/>
        <w:ind w:firstLine="720"/>
        <w:rPr>
          <w:b/>
        </w:rPr>
      </w:pPr>
      <w:r>
        <w:t>T</w:t>
      </w:r>
      <w:r w:rsidR="00197BB5">
        <w:t>he</w:t>
      </w:r>
      <w:r w:rsidR="00195CDD">
        <w:t xml:space="preserve"> aim of the current study was to</w:t>
      </w:r>
      <w:r w:rsidR="004532CD">
        <w:t xml:space="preserve"> explore post-school </w:t>
      </w:r>
      <w:r w:rsidR="00D774AE">
        <w:t xml:space="preserve">outcomes </w:t>
      </w:r>
      <w:r w:rsidR="004532CD">
        <w:t xml:space="preserve">for a cohort of Australian </w:t>
      </w:r>
      <w:r w:rsidR="0026617B">
        <w:t xml:space="preserve">autistic </w:t>
      </w:r>
      <w:r w:rsidR="004532CD">
        <w:t>individuals</w:t>
      </w:r>
      <w:r w:rsidR="00F72D98">
        <w:t xml:space="preserve"> without a co-occurring intellectual disability</w:t>
      </w:r>
      <w:r w:rsidR="00170F40">
        <w:t>,</w:t>
      </w:r>
      <w:r w:rsidR="004532CD">
        <w:t xml:space="preserve"> aged </w:t>
      </w:r>
      <w:r w:rsidR="0040472D">
        <w:t>1</w:t>
      </w:r>
      <w:r w:rsidR="00BA5003">
        <w:t>7</w:t>
      </w:r>
      <w:r w:rsidR="0040472D">
        <w:t>-</w:t>
      </w:r>
      <w:r w:rsidR="004532CD">
        <w:t xml:space="preserve">25 years and compare this </w:t>
      </w:r>
      <w:r w:rsidR="00D858A7">
        <w:t xml:space="preserve">pattern of activity </w:t>
      </w:r>
      <w:r w:rsidR="004532CD">
        <w:t xml:space="preserve">to a cohort of </w:t>
      </w:r>
      <w:r w:rsidR="008737EB">
        <w:t>similar-</w:t>
      </w:r>
      <w:r w:rsidR="008C7AEA">
        <w:t>aged</w:t>
      </w:r>
      <w:r w:rsidR="008737EB">
        <w:t>,</w:t>
      </w:r>
      <w:r w:rsidR="008C7AEA">
        <w:t xml:space="preserve"> </w:t>
      </w:r>
      <w:r w:rsidR="004532CD">
        <w:t xml:space="preserve">non-autistic individuals. It was hypothesised that autistic individuals would be </w:t>
      </w:r>
      <w:r w:rsidR="00EE0A95">
        <w:t xml:space="preserve">a) </w:t>
      </w:r>
      <w:r w:rsidR="004532CD">
        <w:t xml:space="preserve">less likely to be engaged in higher education </w:t>
      </w:r>
      <w:r w:rsidR="009E52FE">
        <w:t>(HE)</w:t>
      </w:r>
      <w:r w:rsidR="008737EB">
        <w:t>;</w:t>
      </w:r>
      <w:r w:rsidR="004532CD">
        <w:t xml:space="preserve"> and b) </w:t>
      </w:r>
      <w:r w:rsidR="006C0E5F">
        <w:t>less likel</w:t>
      </w:r>
      <w:r w:rsidR="008D3F98">
        <w:t>y to be employed</w:t>
      </w:r>
      <w:r w:rsidR="00EE0A95">
        <w:t>, compared to non-autistic individuals</w:t>
      </w:r>
      <w:r w:rsidR="008D3F98">
        <w:t xml:space="preserve">. </w:t>
      </w:r>
      <w:r w:rsidR="00456268">
        <w:t xml:space="preserve">Additionally, type of higher education </w:t>
      </w:r>
      <w:r w:rsidR="00265BD1">
        <w:t>(e.g., TAFE/</w:t>
      </w:r>
      <w:r w:rsidR="001446E1">
        <w:t>c</w:t>
      </w:r>
      <w:r w:rsidR="00312AD4">
        <w:t>ommunity c</w:t>
      </w:r>
      <w:r w:rsidR="00265BD1">
        <w:t xml:space="preserve">ollege, university) </w:t>
      </w:r>
      <w:r w:rsidR="00456268">
        <w:t>and e</w:t>
      </w:r>
      <w:r w:rsidR="00F87208">
        <w:t>nrolment</w:t>
      </w:r>
      <w:r w:rsidR="00265BD1">
        <w:t xml:space="preserve"> </w:t>
      </w:r>
      <w:r w:rsidR="00BA4A50">
        <w:t xml:space="preserve">(e.g., </w:t>
      </w:r>
      <w:r w:rsidR="004F6A05">
        <w:t>full</w:t>
      </w:r>
      <w:r w:rsidR="00BA4A50">
        <w:t xml:space="preserve">-time, </w:t>
      </w:r>
      <w:r w:rsidR="004F6A05">
        <w:t>part</w:t>
      </w:r>
      <w:r w:rsidR="00BA4A50">
        <w:t xml:space="preserve">-time) </w:t>
      </w:r>
      <w:r w:rsidR="00456268">
        <w:t>w</w:t>
      </w:r>
      <w:r w:rsidR="00197BB5">
        <w:t>as</w:t>
      </w:r>
      <w:r w:rsidR="00456268">
        <w:t xml:space="preserve"> explored</w:t>
      </w:r>
      <w:r w:rsidR="00265BD1">
        <w:t>, as to our knowledge this has not yet been examined in Australia</w:t>
      </w:r>
      <w:r w:rsidR="00456268">
        <w:t xml:space="preserve">. </w:t>
      </w:r>
      <w:r w:rsidR="00231661">
        <w:t>Given the paucity of data among this cohort, we sought to examine these data in detail, to determine</w:t>
      </w:r>
      <w:r w:rsidR="00051560">
        <w:t xml:space="preserve"> the type of HE </w:t>
      </w:r>
      <w:r w:rsidR="00714396">
        <w:t>in which young autistic adults are engaged and</w:t>
      </w:r>
      <w:r w:rsidR="00051560">
        <w:t xml:space="preserve"> </w:t>
      </w:r>
      <w:r w:rsidR="005D7AAF">
        <w:t xml:space="preserve">to </w:t>
      </w:r>
      <w:r w:rsidR="00051560">
        <w:t xml:space="preserve">separate those who are </w:t>
      </w:r>
      <w:r w:rsidR="00E96E80">
        <w:t xml:space="preserve">engaged in one </w:t>
      </w:r>
      <w:r w:rsidR="005D7AAF">
        <w:t>or</w:t>
      </w:r>
      <w:r w:rsidR="00E96E80">
        <w:t xml:space="preserve"> multiple</w:t>
      </w:r>
      <w:r w:rsidR="00433275">
        <w:t xml:space="preserve"> post-school</w:t>
      </w:r>
      <w:r w:rsidR="00E96E80">
        <w:t xml:space="preserve"> activities. </w:t>
      </w:r>
      <w:r w:rsidR="00714396">
        <w:t xml:space="preserve">At present, we are unaware of </w:t>
      </w:r>
      <w:r w:rsidR="00855E97">
        <w:t>such</w:t>
      </w:r>
      <w:r w:rsidR="00714396">
        <w:t xml:space="preserve"> data </w:t>
      </w:r>
      <w:r w:rsidR="005D7AAF">
        <w:t xml:space="preserve">being </w:t>
      </w:r>
      <w:r w:rsidR="00714396">
        <w:t xml:space="preserve">presented elsewhere. </w:t>
      </w:r>
    </w:p>
    <w:p w14:paraId="2523FD9E" w14:textId="4E8E60A8" w:rsidR="00B22D23" w:rsidRPr="00166E6D" w:rsidRDefault="00B22D23" w:rsidP="002A3017">
      <w:pPr>
        <w:spacing w:line="480" w:lineRule="auto"/>
        <w:jc w:val="center"/>
      </w:pPr>
      <w:r w:rsidRPr="00166E6D">
        <w:t>Method</w:t>
      </w:r>
    </w:p>
    <w:p w14:paraId="471EEE70" w14:textId="68C19704" w:rsidR="00B22D23" w:rsidRPr="00166E6D" w:rsidRDefault="00B22D23" w:rsidP="00166E6D">
      <w:pPr>
        <w:spacing w:line="480" w:lineRule="auto"/>
        <w:jc w:val="center"/>
        <w:rPr>
          <w:i/>
        </w:rPr>
      </w:pPr>
      <w:r w:rsidRPr="00166E6D">
        <w:rPr>
          <w:i/>
        </w:rPr>
        <w:lastRenderedPageBreak/>
        <w:t>Participants</w:t>
      </w:r>
    </w:p>
    <w:p w14:paraId="65CB6AB0" w14:textId="6A956DE5" w:rsidR="00B22D23" w:rsidRPr="009E05E6" w:rsidRDefault="009305EF" w:rsidP="002A3017">
      <w:pPr>
        <w:spacing w:line="480" w:lineRule="auto"/>
      </w:pPr>
      <w:r>
        <w:rPr>
          <w:rFonts w:eastAsia="Times New Roman"/>
          <w:lang w:eastAsia="en-GB"/>
        </w:rPr>
        <w:t>All d</w:t>
      </w:r>
      <w:r w:rsidR="00B22D23">
        <w:rPr>
          <w:rFonts w:eastAsia="Times New Roman"/>
          <w:lang w:eastAsia="en-GB"/>
        </w:rPr>
        <w:t xml:space="preserve">ata </w:t>
      </w:r>
      <w:r w:rsidR="004C59BD">
        <w:rPr>
          <w:rFonts w:eastAsia="Times New Roman"/>
          <w:lang w:eastAsia="en-GB"/>
        </w:rPr>
        <w:t>were</w:t>
      </w:r>
      <w:r w:rsidR="00B22D23">
        <w:rPr>
          <w:rFonts w:eastAsia="Times New Roman"/>
          <w:lang w:eastAsia="en-GB"/>
        </w:rPr>
        <w:t xml:space="preserve"> extracted from the first phase of </w:t>
      </w:r>
      <w:r w:rsidR="00265BD1">
        <w:rPr>
          <w:rFonts w:eastAsia="Times New Roman"/>
          <w:lang w:eastAsia="en-GB"/>
        </w:rPr>
        <w:t xml:space="preserve">the </w:t>
      </w:r>
      <w:r w:rsidR="00062092">
        <w:rPr>
          <w:rFonts w:eastAsia="Times New Roman"/>
          <w:lang w:eastAsia="en-GB"/>
        </w:rPr>
        <w:t>[name-</w:t>
      </w:r>
      <w:r w:rsidR="00265BD1">
        <w:rPr>
          <w:rFonts w:eastAsia="Times New Roman"/>
          <w:lang w:eastAsia="en-GB"/>
        </w:rPr>
        <w:t>blinded for review</w:t>
      </w:r>
      <w:r w:rsidR="00062092">
        <w:rPr>
          <w:rFonts w:eastAsia="Times New Roman"/>
          <w:lang w:eastAsia="en-GB"/>
        </w:rPr>
        <w:t>]</w:t>
      </w:r>
      <w:r w:rsidR="00265BD1">
        <w:rPr>
          <w:rFonts w:eastAsia="Times New Roman"/>
          <w:lang w:eastAsia="en-GB"/>
        </w:rPr>
        <w:t xml:space="preserve"> study, a</w:t>
      </w:r>
      <w:r w:rsidR="00B22D23">
        <w:rPr>
          <w:rFonts w:eastAsia="Times New Roman"/>
          <w:lang w:eastAsia="en-GB"/>
        </w:rPr>
        <w:t xml:space="preserve"> national</w:t>
      </w:r>
      <w:r w:rsidR="00201736">
        <w:rPr>
          <w:rFonts w:eastAsia="Times New Roman"/>
          <w:lang w:eastAsia="en-GB"/>
        </w:rPr>
        <w:t>,</w:t>
      </w:r>
      <w:r w:rsidR="00B22D23">
        <w:rPr>
          <w:rFonts w:eastAsia="Times New Roman"/>
          <w:lang w:eastAsia="en-GB"/>
        </w:rPr>
        <w:t xml:space="preserve"> longitudinal</w:t>
      </w:r>
      <w:r w:rsidR="00201736">
        <w:rPr>
          <w:rFonts w:eastAsia="Times New Roman"/>
          <w:lang w:eastAsia="en-GB"/>
        </w:rPr>
        <w:t>,</w:t>
      </w:r>
      <w:r w:rsidR="00B22D23">
        <w:rPr>
          <w:rFonts w:eastAsia="Times New Roman"/>
          <w:lang w:eastAsia="en-GB"/>
        </w:rPr>
        <w:t xml:space="preserve"> online study of autistic and non-autistic </w:t>
      </w:r>
      <w:r w:rsidR="001E5B20">
        <w:rPr>
          <w:rFonts w:eastAsia="Times New Roman"/>
          <w:lang w:eastAsia="en-GB"/>
        </w:rPr>
        <w:t>yo</w:t>
      </w:r>
      <w:r w:rsidR="00D70508">
        <w:rPr>
          <w:rFonts w:eastAsia="Times New Roman"/>
          <w:lang w:eastAsia="en-GB"/>
        </w:rPr>
        <w:t>u</w:t>
      </w:r>
      <w:r w:rsidR="001E5B20">
        <w:rPr>
          <w:rFonts w:eastAsia="Times New Roman"/>
          <w:lang w:eastAsia="en-GB"/>
        </w:rPr>
        <w:t xml:space="preserve">ng people </w:t>
      </w:r>
      <w:r w:rsidR="00B22D23">
        <w:rPr>
          <w:rFonts w:eastAsia="Times New Roman"/>
          <w:lang w:eastAsia="en-GB"/>
        </w:rPr>
        <w:t>aged between</w:t>
      </w:r>
      <w:r w:rsidR="00F27EC1">
        <w:rPr>
          <w:rFonts w:eastAsia="Times New Roman"/>
          <w:lang w:eastAsia="en-GB"/>
        </w:rPr>
        <w:t xml:space="preserve"> 15</w:t>
      </w:r>
      <w:r w:rsidR="001E5B20">
        <w:rPr>
          <w:rFonts w:eastAsia="Times New Roman"/>
          <w:lang w:eastAsia="en-GB"/>
        </w:rPr>
        <w:t xml:space="preserve"> and </w:t>
      </w:r>
      <w:r w:rsidR="00B22D23">
        <w:rPr>
          <w:rFonts w:eastAsia="Times New Roman"/>
          <w:lang w:eastAsia="en-GB"/>
        </w:rPr>
        <w:t>25 years</w:t>
      </w:r>
      <w:r>
        <w:rPr>
          <w:rStyle w:val="FootnoteReference"/>
          <w:rFonts w:eastAsia="Times New Roman"/>
          <w:lang w:eastAsia="en-GB"/>
        </w:rPr>
        <w:footnoteReference w:id="2"/>
      </w:r>
      <w:r w:rsidR="005312CC">
        <w:rPr>
          <w:rFonts w:eastAsia="Times New Roman"/>
          <w:lang w:eastAsia="en-GB"/>
        </w:rPr>
        <w:t>.</w:t>
      </w:r>
      <w:r w:rsidR="00B22D23">
        <w:rPr>
          <w:rFonts w:eastAsia="Times New Roman"/>
          <w:lang w:eastAsia="en-GB"/>
        </w:rPr>
        <w:t xml:space="preserve"> </w:t>
      </w:r>
      <w:r w:rsidR="00B22D23" w:rsidRPr="0093518A">
        <w:rPr>
          <w:rFonts w:eastAsia="Times New Roman"/>
          <w:bCs/>
          <w:lang w:val="en-US" w:eastAsia="en-GB"/>
        </w:rPr>
        <w:t>Respondents</w:t>
      </w:r>
      <w:r w:rsidR="00B22D23">
        <w:rPr>
          <w:rFonts w:eastAsia="Times New Roman"/>
          <w:bCs/>
          <w:lang w:val="en-US" w:eastAsia="en-GB"/>
        </w:rPr>
        <w:t xml:space="preserve"> </w:t>
      </w:r>
      <w:r w:rsidR="005312CC">
        <w:rPr>
          <w:rFonts w:eastAsia="Times New Roman"/>
          <w:bCs/>
          <w:lang w:val="en-US" w:eastAsia="en-GB"/>
        </w:rPr>
        <w:t xml:space="preserve">in the present sample </w:t>
      </w:r>
      <w:r w:rsidR="00B22D23" w:rsidRPr="00C817C0">
        <w:rPr>
          <w:rFonts w:eastAsia="Times New Roman"/>
          <w:bCs/>
          <w:lang w:val="en-US" w:eastAsia="en-GB"/>
        </w:rPr>
        <w:t>were</w:t>
      </w:r>
      <w:r w:rsidR="00B22D23" w:rsidRPr="00C817C0">
        <w:rPr>
          <w:rFonts w:eastAsia="Times New Roman"/>
          <w:bCs/>
          <w:i/>
          <w:lang w:val="en-US" w:eastAsia="en-GB"/>
        </w:rPr>
        <w:t xml:space="preserve"> N </w:t>
      </w:r>
      <w:r w:rsidR="00B22D23" w:rsidRPr="00C817C0">
        <w:rPr>
          <w:rFonts w:eastAsia="Times New Roman"/>
          <w:bCs/>
          <w:lang w:val="en-US" w:eastAsia="en-GB"/>
        </w:rPr>
        <w:t>=</w:t>
      </w:r>
      <w:r w:rsidR="00B22D23">
        <w:rPr>
          <w:rFonts w:eastAsia="Times New Roman"/>
          <w:bCs/>
          <w:lang w:val="en-US" w:eastAsia="en-GB"/>
        </w:rPr>
        <w:t xml:space="preserve"> </w:t>
      </w:r>
      <w:r w:rsidR="00E922D5" w:rsidRPr="00047EA3">
        <w:rPr>
          <w:rFonts w:eastAsia="Times New Roman"/>
          <w:bCs/>
          <w:lang w:val="en-US" w:eastAsia="en-GB"/>
        </w:rPr>
        <w:t>186</w:t>
      </w:r>
      <w:r w:rsidR="00B22D23" w:rsidRPr="00047EA3">
        <w:rPr>
          <w:rFonts w:eastAsia="Times New Roman"/>
          <w:bCs/>
          <w:lang w:val="en-US" w:eastAsia="en-GB"/>
        </w:rPr>
        <w:t xml:space="preserve"> individuals</w:t>
      </w:r>
      <w:r w:rsidR="005312CC">
        <w:rPr>
          <w:rFonts w:eastAsia="Times New Roman"/>
          <w:bCs/>
          <w:lang w:val="en-US" w:eastAsia="en-GB"/>
        </w:rPr>
        <w:t xml:space="preserve"> </w:t>
      </w:r>
      <w:r w:rsidR="000A787B">
        <w:rPr>
          <w:rFonts w:eastAsia="Times New Roman"/>
          <w:bCs/>
          <w:lang w:val="en-US" w:eastAsia="en-GB"/>
        </w:rPr>
        <w:t xml:space="preserve">who had completed high school </w:t>
      </w:r>
      <w:r w:rsidR="005312CC">
        <w:rPr>
          <w:rFonts w:eastAsia="Times New Roman"/>
          <w:lang w:eastAsia="en-GB"/>
        </w:rPr>
        <w:t>(</w:t>
      </w:r>
      <w:r w:rsidR="005312CC" w:rsidRPr="00AD5E3C">
        <w:rPr>
          <w:rFonts w:eastAsia="Times New Roman"/>
          <w:i/>
          <w:lang w:eastAsia="en-GB"/>
        </w:rPr>
        <w:t>M</w:t>
      </w:r>
      <w:r w:rsidR="00A87D69" w:rsidRPr="00047EA3">
        <w:rPr>
          <w:rFonts w:eastAsia="Times New Roman"/>
          <w:bCs/>
          <w:vertAlign w:val="subscript"/>
          <w:lang w:val="en-US" w:eastAsia="en-GB"/>
        </w:rPr>
        <w:t>age</w:t>
      </w:r>
      <w:r w:rsidR="005312CC">
        <w:rPr>
          <w:rFonts w:eastAsia="Times New Roman"/>
          <w:lang w:eastAsia="en-GB"/>
        </w:rPr>
        <w:t xml:space="preserve"> = 19.39</w:t>
      </w:r>
      <w:r w:rsidR="001E5B20">
        <w:rPr>
          <w:rFonts w:eastAsia="Times New Roman"/>
          <w:lang w:eastAsia="en-GB"/>
        </w:rPr>
        <w:t xml:space="preserve"> years</w:t>
      </w:r>
      <w:r w:rsidR="005312CC">
        <w:rPr>
          <w:rFonts w:eastAsia="Times New Roman"/>
          <w:lang w:eastAsia="en-GB"/>
        </w:rPr>
        <w:t xml:space="preserve">, </w:t>
      </w:r>
      <w:r w:rsidR="005312CC" w:rsidRPr="00AD5E3C">
        <w:rPr>
          <w:rFonts w:eastAsia="Times New Roman"/>
          <w:i/>
          <w:lang w:eastAsia="en-GB"/>
        </w:rPr>
        <w:t>SD</w:t>
      </w:r>
      <w:r w:rsidR="00A87D69" w:rsidRPr="00047EA3">
        <w:rPr>
          <w:rFonts w:eastAsia="Times New Roman"/>
          <w:bCs/>
          <w:vertAlign w:val="subscript"/>
          <w:lang w:val="en-US" w:eastAsia="en-GB"/>
        </w:rPr>
        <w:t>age</w:t>
      </w:r>
      <w:r w:rsidR="005312CC">
        <w:rPr>
          <w:rFonts w:eastAsia="Times New Roman"/>
          <w:lang w:eastAsia="en-GB"/>
        </w:rPr>
        <w:t xml:space="preserve"> = 2.33)</w:t>
      </w:r>
      <w:r w:rsidR="00B22D23" w:rsidRPr="00047EA3">
        <w:rPr>
          <w:rFonts w:eastAsia="Times New Roman"/>
          <w:bCs/>
          <w:lang w:val="en-US" w:eastAsia="en-GB"/>
        </w:rPr>
        <w:t xml:space="preserve">, of whom </w:t>
      </w:r>
      <w:r w:rsidR="00B22D23" w:rsidRPr="00047EA3">
        <w:rPr>
          <w:rFonts w:eastAsia="Times New Roman"/>
          <w:bCs/>
          <w:i/>
          <w:lang w:val="en-US" w:eastAsia="en-GB"/>
        </w:rPr>
        <w:t>n =</w:t>
      </w:r>
      <w:r w:rsidR="00B22D23" w:rsidRPr="00047EA3">
        <w:rPr>
          <w:rFonts w:eastAsia="Times New Roman"/>
          <w:bCs/>
          <w:lang w:val="en-US" w:eastAsia="en-GB"/>
        </w:rPr>
        <w:t xml:space="preserve"> </w:t>
      </w:r>
      <w:r w:rsidR="00E922D5" w:rsidRPr="00047EA3">
        <w:rPr>
          <w:rFonts w:eastAsia="Times New Roman"/>
          <w:bCs/>
          <w:lang w:val="en-US" w:eastAsia="en-GB"/>
        </w:rPr>
        <w:t>79</w:t>
      </w:r>
      <w:r w:rsidR="00B22D23" w:rsidRPr="00047EA3">
        <w:rPr>
          <w:rFonts w:eastAsia="Times New Roman"/>
          <w:bCs/>
          <w:lang w:val="en-US" w:eastAsia="en-GB"/>
        </w:rPr>
        <w:t xml:space="preserve"> identified as autistic </w:t>
      </w:r>
      <w:r w:rsidR="005666CB" w:rsidRPr="00047EA3">
        <w:rPr>
          <w:rFonts w:eastAsia="Times New Roman"/>
          <w:bCs/>
          <w:lang w:val="en-US" w:eastAsia="en-GB"/>
        </w:rPr>
        <w:t>(</w:t>
      </w:r>
      <w:r w:rsidR="00B45D66" w:rsidRPr="00047EA3">
        <w:rPr>
          <w:rFonts w:eastAsia="Times New Roman"/>
          <w:bCs/>
          <w:lang w:val="en-US" w:eastAsia="en-GB"/>
        </w:rPr>
        <w:t xml:space="preserve">43 </w:t>
      </w:r>
      <w:r w:rsidR="00236724" w:rsidRPr="00047EA3">
        <w:rPr>
          <w:rFonts w:eastAsia="Times New Roman"/>
          <w:bCs/>
          <w:lang w:val="en-US" w:eastAsia="en-GB"/>
        </w:rPr>
        <w:t xml:space="preserve">males, </w:t>
      </w:r>
      <w:r w:rsidR="00B45D66" w:rsidRPr="00047EA3">
        <w:rPr>
          <w:rFonts w:eastAsia="Times New Roman"/>
          <w:bCs/>
          <w:lang w:val="en-US" w:eastAsia="en-GB"/>
        </w:rPr>
        <w:t>35</w:t>
      </w:r>
      <w:r w:rsidR="00236724" w:rsidRPr="00047EA3">
        <w:rPr>
          <w:rFonts w:eastAsia="Times New Roman"/>
          <w:bCs/>
          <w:lang w:val="en-US" w:eastAsia="en-GB"/>
        </w:rPr>
        <w:t xml:space="preserve"> females</w:t>
      </w:r>
      <w:r w:rsidR="006F328B" w:rsidRPr="00047EA3">
        <w:rPr>
          <w:rFonts w:eastAsia="Times New Roman"/>
          <w:bCs/>
          <w:lang w:val="en-US" w:eastAsia="en-GB"/>
        </w:rPr>
        <w:t xml:space="preserve">, </w:t>
      </w:r>
      <w:r w:rsidR="006F328B" w:rsidRPr="00047EA3">
        <w:rPr>
          <w:rFonts w:eastAsia="Times New Roman"/>
          <w:bCs/>
          <w:i/>
          <w:iCs/>
          <w:lang w:val="en-US" w:eastAsia="en-GB"/>
        </w:rPr>
        <w:t>M</w:t>
      </w:r>
      <w:r w:rsidR="006F328B" w:rsidRPr="00047EA3">
        <w:rPr>
          <w:rFonts w:eastAsia="Times New Roman"/>
          <w:bCs/>
          <w:i/>
          <w:iCs/>
          <w:vertAlign w:val="subscript"/>
          <w:lang w:val="en-US" w:eastAsia="en-GB"/>
        </w:rPr>
        <w:t>a</w:t>
      </w:r>
      <w:r w:rsidR="006F328B" w:rsidRPr="00047EA3">
        <w:rPr>
          <w:rFonts w:eastAsia="Times New Roman"/>
          <w:bCs/>
          <w:vertAlign w:val="subscript"/>
          <w:lang w:val="en-US" w:eastAsia="en-GB"/>
        </w:rPr>
        <w:t>ge</w:t>
      </w:r>
      <w:r w:rsidR="006F328B" w:rsidRPr="00047EA3">
        <w:rPr>
          <w:rFonts w:eastAsia="Times New Roman"/>
          <w:bCs/>
          <w:lang w:val="en-US" w:eastAsia="en-GB"/>
        </w:rPr>
        <w:t xml:space="preserve"> = </w:t>
      </w:r>
      <w:r w:rsidR="00CC53E9" w:rsidRPr="00047EA3">
        <w:rPr>
          <w:rFonts w:eastAsia="Times New Roman"/>
          <w:bCs/>
          <w:lang w:val="en-US" w:eastAsia="en-GB"/>
        </w:rPr>
        <w:t>20.25</w:t>
      </w:r>
      <w:r w:rsidR="009520C8">
        <w:rPr>
          <w:rFonts w:eastAsia="Times New Roman"/>
          <w:bCs/>
          <w:lang w:val="en-US" w:eastAsia="en-GB"/>
        </w:rPr>
        <w:t xml:space="preserve"> </w:t>
      </w:r>
      <w:r w:rsidR="001E5B20">
        <w:rPr>
          <w:rFonts w:eastAsia="Times New Roman"/>
          <w:bCs/>
          <w:lang w:val="en-US" w:eastAsia="en-GB"/>
        </w:rPr>
        <w:t>years,</w:t>
      </w:r>
      <w:r w:rsidR="00CC53E9" w:rsidRPr="00047EA3">
        <w:rPr>
          <w:rFonts w:eastAsia="Times New Roman"/>
          <w:bCs/>
          <w:lang w:val="en-US" w:eastAsia="en-GB"/>
        </w:rPr>
        <w:t xml:space="preserve"> </w:t>
      </w:r>
      <w:proofErr w:type="spellStart"/>
      <w:r w:rsidR="006F328B" w:rsidRPr="00047EA3">
        <w:rPr>
          <w:rFonts w:eastAsia="Times New Roman"/>
          <w:bCs/>
          <w:i/>
          <w:iCs/>
          <w:lang w:val="en-US" w:eastAsia="en-GB"/>
        </w:rPr>
        <w:t>SD</w:t>
      </w:r>
      <w:r w:rsidR="006F328B" w:rsidRPr="00047EA3">
        <w:rPr>
          <w:rFonts w:eastAsia="Times New Roman"/>
          <w:bCs/>
          <w:vertAlign w:val="subscript"/>
          <w:lang w:val="en-US" w:eastAsia="en-GB"/>
        </w:rPr>
        <w:t>age</w:t>
      </w:r>
      <w:proofErr w:type="spellEnd"/>
      <w:r w:rsidR="006F328B" w:rsidRPr="00047EA3">
        <w:rPr>
          <w:rFonts w:eastAsia="Times New Roman"/>
          <w:bCs/>
          <w:lang w:val="en-US" w:eastAsia="en-GB"/>
        </w:rPr>
        <w:t xml:space="preserve"> = </w:t>
      </w:r>
      <w:r w:rsidR="00047EA3" w:rsidRPr="00047EA3">
        <w:rPr>
          <w:rFonts w:eastAsia="Times New Roman"/>
          <w:bCs/>
          <w:lang w:val="en-US" w:eastAsia="en-GB"/>
        </w:rPr>
        <w:t>2.20</w:t>
      </w:r>
      <w:r w:rsidR="00442A50" w:rsidRPr="000D0FEF">
        <w:rPr>
          <w:rFonts w:eastAsia="Times New Roman"/>
          <w:bCs/>
          <w:lang w:val="en-US" w:eastAsia="en-GB"/>
        </w:rPr>
        <w:t xml:space="preserve">, range </w:t>
      </w:r>
      <w:r w:rsidR="000D0FEF" w:rsidRPr="000D0FEF">
        <w:rPr>
          <w:rFonts w:eastAsia="Times New Roman"/>
          <w:bCs/>
          <w:lang w:val="en-US" w:eastAsia="en-GB"/>
        </w:rPr>
        <w:t>17</w:t>
      </w:r>
      <w:r w:rsidR="00442A50" w:rsidRPr="000D0FEF">
        <w:rPr>
          <w:rFonts w:eastAsia="Times New Roman"/>
          <w:bCs/>
          <w:lang w:val="en-US" w:eastAsia="en-GB"/>
        </w:rPr>
        <w:t>-</w:t>
      </w:r>
      <w:r w:rsidR="000D0FEF" w:rsidRPr="000D0FEF">
        <w:rPr>
          <w:rFonts w:eastAsia="Times New Roman"/>
          <w:bCs/>
          <w:lang w:val="en-US" w:eastAsia="en-GB"/>
        </w:rPr>
        <w:t>25</w:t>
      </w:r>
      <w:r w:rsidR="00442A50" w:rsidRPr="000D0FEF">
        <w:rPr>
          <w:rFonts w:eastAsia="Times New Roman"/>
          <w:bCs/>
          <w:lang w:val="en-US" w:eastAsia="en-GB"/>
        </w:rPr>
        <w:t xml:space="preserve"> years</w:t>
      </w:r>
      <w:r w:rsidR="00236724" w:rsidRPr="000D0FEF">
        <w:rPr>
          <w:rFonts w:eastAsia="Times New Roman"/>
          <w:bCs/>
          <w:lang w:val="en-US" w:eastAsia="en-GB"/>
        </w:rPr>
        <w:t xml:space="preserve">) </w:t>
      </w:r>
      <w:r w:rsidR="00B22D23" w:rsidRPr="000D0FEF">
        <w:rPr>
          <w:rFonts w:eastAsia="Times New Roman"/>
          <w:bCs/>
          <w:lang w:val="en-US" w:eastAsia="en-GB"/>
        </w:rPr>
        <w:t>and</w:t>
      </w:r>
      <w:r w:rsidR="00B22D23" w:rsidRPr="00053E23">
        <w:rPr>
          <w:rFonts w:eastAsia="Times New Roman"/>
          <w:bCs/>
          <w:lang w:val="en-US" w:eastAsia="en-GB"/>
        </w:rPr>
        <w:t xml:space="preserve"> </w:t>
      </w:r>
      <w:r w:rsidR="00B22D23" w:rsidRPr="00053E23">
        <w:rPr>
          <w:rFonts w:eastAsia="Times New Roman"/>
          <w:bCs/>
          <w:i/>
          <w:lang w:val="en-US" w:eastAsia="en-GB"/>
        </w:rPr>
        <w:t>n</w:t>
      </w:r>
      <w:r w:rsidR="00B22D23" w:rsidRPr="00053E23">
        <w:rPr>
          <w:rFonts w:eastAsia="Times New Roman"/>
          <w:bCs/>
          <w:lang w:val="en-US" w:eastAsia="en-GB"/>
        </w:rPr>
        <w:t xml:space="preserve"> = 1</w:t>
      </w:r>
      <w:r w:rsidR="006F328B">
        <w:rPr>
          <w:rFonts w:eastAsia="Times New Roman"/>
          <w:bCs/>
          <w:lang w:val="en-US" w:eastAsia="en-GB"/>
        </w:rPr>
        <w:t>07</w:t>
      </w:r>
      <w:r w:rsidR="00B22D23">
        <w:rPr>
          <w:rFonts w:eastAsia="Times New Roman"/>
          <w:bCs/>
          <w:lang w:val="en-US" w:eastAsia="en-GB"/>
        </w:rPr>
        <w:t xml:space="preserve"> identified as non-</w:t>
      </w:r>
      <w:r w:rsidR="00B22D23" w:rsidRPr="005034DA">
        <w:rPr>
          <w:rFonts w:eastAsia="Times New Roman"/>
          <w:bCs/>
          <w:lang w:val="en-US" w:eastAsia="en-GB"/>
        </w:rPr>
        <w:t>autistic (</w:t>
      </w:r>
      <w:r w:rsidR="00B95280" w:rsidRPr="005034DA">
        <w:rPr>
          <w:rFonts w:eastAsia="Times New Roman"/>
          <w:bCs/>
          <w:lang w:val="en-US" w:eastAsia="en-GB"/>
        </w:rPr>
        <w:t>26</w:t>
      </w:r>
      <w:r w:rsidR="00B22D23" w:rsidRPr="005034DA">
        <w:rPr>
          <w:rFonts w:eastAsia="Times New Roman"/>
          <w:bCs/>
          <w:lang w:val="en-US" w:eastAsia="en-GB"/>
        </w:rPr>
        <w:t xml:space="preserve"> male</w:t>
      </w:r>
      <w:r w:rsidR="00236724" w:rsidRPr="005034DA">
        <w:rPr>
          <w:rFonts w:eastAsia="Times New Roman"/>
          <w:bCs/>
          <w:lang w:val="en-US" w:eastAsia="en-GB"/>
        </w:rPr>
        <w:t>s</w:t>
      </w:r>
      <w:r w:rsidR="00B22D23" w:rsidRPr="005034DA">
        <w:rPr>
          <w:rFonts w:eastAsia="Times New Roman"/>
          <w:bCs/>
          <w:lang w:val="en-US" w:eastAsia="en-GB"/>
        </w:rPr>
        <w:t xml:space="preserve">, </w:t>
      </w:r>
      <w:r w:rsidR="00B95280" w:rsidRPr="005034DA">
        <w:rPr>
          <w:rFonts w:eastAsia="Times New Roman"/>
          <w:bCs/>
          <w:lang w:val="en-US" w:eastAsia="en-GB"/>
        </w:rPr>
        <w:t>81</w:t>
      </w:r>
      <w:r w:rsidR="00236724" w:rsidRPr="005034DA">
        <w:rPr>
          <w:rFonts w:eastAsia="Times New Roman"/>
          <w:bCs/>
          <w:lang w:val="en-US" w:eastAsia="en-GB"/>
        </w:rPr>
        <w:t xml:space="preserve"> </w:t>
      </w:r>
      <w:r w:rsidR="00B22D23" w:rsidRPr="005034DA">
        <w:rPr>
          <w:rFonts w:eastAsia="Times New Roman"/>
          <w:bCs/>
          <w:lang w:val="en-US" w:eastAsia="en-GB"/>
        </w:rPr>
        <w:t>female</w:t>
      </w:r>
      <w:r w:rsidR="00236724" w:rsidRPr="005034DA">
        <w:rPr>
          <w:rFonts w:eastAsia="Times New Roman"/>
          <w:bCs/>
          <w:lang w:val="en-US" w:eastAsia="en-GB"/>
        </w:rPr>
        <w:t>s</w:t>
      </w:r>
      <w:r w:rsidR="006F328B" w:rsidRPr="005034DA">
        <w:rPr>
          <w:rFonts w:eastAsia="Times New Roman"/>
          <w:bCs/>
          <w:lang w:val="en-US" w:eastAsia="en-GB"/>
        </w:rPr>
        <w:t xml:space="preserve">, </w:t>
      </w:r>
      <w:r w:rsidR="006F328B" w:rsidRPr="005034DA">
        <w:rPr>
          <w:rFonts w:eastAsia="Times New Roman"/>
          <w:bCs/>
          <w:i/>
          <w:iCs/>
          <w:lang w:val="en-US" w:eastAsia="en-GB"/>
        </w:rPr>
        <w:t>M</w:t>
      </w:r>
      <w:r w:rsidR="006F328B" w:rsidRPr="005034DA">
        <w:rPr>
          <w:rFonts w:eastAsia="Times New Roman"/>
          <w:bCs/>
          <w:i/>
          <w:iCs/>
          <w:vertAlign w:val="subscript"/>
          <w:lang w:val="en-US" w:eastAsia="en-GB"/>
        </w:rPr>
        <w:t>a</w:t>
      </w:r>
      <w:r w:rsidR="006F328B" w:rsidRPr="005034DA">
        <w:rPr>
          <w:rFonts w:eastAsia="Times New Roman"/>
          <w:bCs/>
          <w:vertAlign w:val="subscript"/>
          <w:lang w:val="en-US" w:eastAsia="en-GB"/>
        </w:rPr>
        <w:t>ge</w:t>
      </w:r>
      <w:r w:rsidR="006F328B" w:rsidRPr="005034DA">
        <w:rPr>
          <w:rFonts w:eastAsia="Times New Roman"/>
          <w:bCs/>
          <w:lang w:val="en-US" w:eastAsia="en-GB"/>
        </w:rPr>
        <w:t xml:space="preserve"> = </w:t>
      </w:r>
      <w:r w:rsidR="00507FFD" w:rsidRPr="005034DA">
        <w:rPr>
          <w:rFonts w:eastAsia="Times New Roman"/>
          <w:bCs/>
          <w:lang w:val="en-US" w:eastAsia="en-GB"/>
        </w:rPr>
        <w:t xml:space="preserve">20.15 </w:t>
      </w:r>
      <w:r w:rsidR="001E5B20">
        <w:rPr>
          <w:rFonts w:eastAsia="Times New Roman"/>
          <w:bCs/>
          <w:lang w:val="en-US" w:eastAsia="en-GB"/>
        </w:rPr>
        <w:t xml:space="preserve">years, </w:t>
      </w:r>
      <w:proofErr w:type="spellStart"/>
      <w:r w:rsidR="006F328B" w:rsidRPr="005034DA">
        <w:rPr>
          <w:rFonts w:eastAsia="Times New Roman"/>
          <w:bCs/>
          <w:i/>
          <w:iCs/>
          <w:lang w:val="en-US" w:eastAsia="en-GB"/>
        </w:rPr>
        <w:t>SD</w:t>
      </w:r>
      <w:r w:rsidR="006F328B" w:rsidRPr="005034DA">
        <w:rPr>
          <w:rFonts w:eastAsia="Times New Roman"/>
          <w:bCs/>
          <w:vertAlign w:val="subscript"/>
          <w:lang w:val="en-US" w:eastAsia="en-GB"/>
        </w:rPr>
        <w:t>age</w:t>
      </w:r>
      <w:proofErr w:type="spellEnd"/>
      <w:r w:rsidR="006F328B" w:rsidRPr="005034DA">
        <w:rPr>
          <w:rFonts w:eastAsia="Times New Roman"/>
          <w:bCs/>
          <w:lang w:val="en-US" w:eastAsia="en-GB"/>
        </w:rPr>
        <w:t xml:space="preserve"> =</w:t>
      </w:r>
      <w:r w:rsidR="00A7635C" w:rsidRPr="005034DA">
        <w:rPr>
          <w:rFonts w:eastAsia="Times New Roman"/>
          <w:bCs/>
          <w:lang w:val="en-US" w:eastAsia="en-GB"/>
        </w:rPr>
        <w:t xml:space="preserve"> </w:t>
      </w:r>
      <w:r w:rsidR="00A7635C" w:rsidRPr="00EC520A">
        <w:rPr>
          <w:rFonts w:eastAsia="Times New Roman"/>
          <w:bCs/>
          <w:lang w:val="en-US" w:eastAsia="en-GB"/>
        </w:rPr>
        <w:t>1.90</w:t>
      </w:r>
      <w:r w:rsidR="00442A50" w:rsidRPr="00EC520A">
        <w:rPr>
          <w:rFonts w:eastAsia="Times New Roman"/>
          <w:bCs/>
          <w:lang w:val="en-US" w:eastAsia="en-GB"/>
        </w:rPr>
        <w:t xml:space="preserve">, range </w:t>
      </w:r>
      <w:r w:rsidR="00EC520A" w:rsidRPr="00EC520A">
        <w:rPr>
          <w:rFonts w:eastAsia="Times New Roman"/>
          <w:bCs/>
          <w:lang w:val="en-US" w:eastAsia="en-GB"/>
        </w:rPr>
        <w:t>17</w:t>
      </w:r>
      <w:r w:rsidR="00442A50" w:rsidRPr="00EC520A">
        <w:rPr>
          <w:rFonts w:eastAsia="Times New Roman"/>
          <w:bCs/>
          <w:lang w:val="en-US" w:eastAsia="en-GB"/>
        </w:rPr>
        <w:t>-</w:t>
      </w:r>
      <w:r w:rsidR="00EC520A" w:rsidRPr="00EC520A">
        <w:rPr>
          <w:rFonts w:eastAsia="Times New Roman"/>
          <w:bCs/>
          <w:lang w:val="en-US" w:eastAsia="en-GB"/>
        </w:rPr>
        <w:t>24</w:t>
      </w:r>
      <w:r w:rsidR="00442A50" w:rsidRPr="00EC520A">
        <w:rPr>
          <w:rFonts w:eastAsia="Times New Roman"/>
          <w:bCs/>
          <w:lang w:val="en-US" w:eastAsia="en-GB"/>
        </w:rPr>
        <w:t xml:space="preserve"> years</w:t>
      </w:r>
      <w:r w:rsidR="00B22D23" w:rsidRPr="00EC520A">
        <w:rPr>
          <w:rFonts w:eastAsia="Times New Roman"/>
          <w:bCs/>
          <w:lang w:val="en-US" w:eastAsia="en-GB"/>
        </w:rPr>
        <w:t>).</w:t>
      </w:r>
      <w:r w:rsidR="0069150E">
        <w:rPr>
          <w:rFonts w:eastAsia="Times New Roman"/>
          <w:bCs/>
          <w:lang w:val="en-US" w:eastAsia="en-GB"/>
        </w:rPr>
        <w:t xml:space="preserve"> </w:t>
      </w:r>
      <w:r w:rsidR="002F717E">
        <w:t xml:space="preserve">All participants in the autism sample had a </w:t>
      </w:r>
      <w:r w:rsidR="002F717E" w:rsidRPr="00AA3DB3">
        <w:t>self-reported</w:t>
      </w:r>
      <w:r w:rsidR="004611C2">
        <w:t>,</w:t>
      </w:r>
      <w:r w:rsidR="002F717E" w:rsidRPr="00AA3DB3">
        <w:t xml:space="preserve"> clinical diagnosis </w:t>
      </w:r>
      <w:r w:rsidR="002F717E">
        <w:t>of a</w:t>
      </w:r>
      <w:r w:rsidR="00AC74C7">
        <w:t>utism</w:t>
      </w:r>
      <w:r w:rsidR="00DD2286">
        <w:t>, and no</w:t>
      </w:r>
      <w:r w:rsidR="002B7804">
        <w:t>ne</w:t>
      </w:r>
      <w:r w:rsidR="00DD2286">
        <w:t xml:space="preserve"> reported</w:t>
      </w:r>
      <w:r w:rsidR="004611C2">
        <w:t xml:space="preserve"> an</w:t>
      </w:r>
      <w:r w:rsidR="00DD2286">
        <w:t xml:space="preserve"> intellectual disability</w:t>
      </w:r>
      <w:r w:rsidR="00AC74C7">
        <w:t xml:space="preserve">. </w:t>
      </w:r>
      <w:r w:rsidR="0089135F">
        <w:t>None of the non-autistic individuals reported a</w:t>
      </w:r>
      <w:r w:rsidR="009E05E6">
        <w:t>n</w:t>
      </w:r>
      <w:r w:rsidR="0089135F">
        <w:t xml:space="preserve"> intellectual disability.</w:t>
      </w:r>
      <w:r w:rsidR="003F208D">
        <w:t xml:space="preserve"> </w:t>
      </w:r>
    </w:p>
    <w:p w14:paraId="0BE1A959" w14:textId="15CD5685" w:rsidR="007B6377" w:rsidRDefault="007B6377" w:rsidP="00166E6D">
      <w:pPr>
        <w:spacing w:line="480" w:lineRule="auto"/>
        <w:jc w:val="center"/>
        <w:rPr>
          <w:rFonts w:eastAsia="Times New Roman"/>
          <w:i/>
          <w:lang w:val="en-US" w:eastAsia="en-GB"/>
        </w:rPr>
      </w:pPr>
      <w:r w:rsidRPr="00166E6D">
        <w:rPr>
          <w:rFonts w:eastAsia="Times New Roman"/>
          <w:i/>
          <w:lang w:val="en-US" w:eastAsia="en-GB"/>
        </w:rPr>
        <w:t>M</w:t>
      </w:r>
      <w:r w:rsidR="00D60508" w:rsidRPr="00166E6D">
        <w:rPr>
          <w:rFonts w:eastAsia="Times New Roman"/>
          <w:i/>
          <w:lang w:val="en-US" w:eastAsia="en-GB"/>
        </w:rPr>
        <w:t>easures</w:t>
      </w:r>
    </w:p>
    <w:p w14:paraId="219EFC32" w14:textId="14E7E540" w:rsidR="00D772B0" w:rsidRDefault="00FC74B0" w:rsidP="00DB2D69">
      <w:pPr>
        <w:spacing w:line="480" w:lineRule="auto"/>
        <w:ind w:firstLine="720"/>
        <w:rPr>
          <w:rFonts w:eastAsia="Times New Roman"/>
          <w:bCs/>
          <w:lang w:val="en-US" w:eastAsia="en-GB"/>
        </w:rPr>
      </w:pPr>
      <w:r>
        <w:rPr>
          <w:rFonts w:eastAsia="Times New Roman"/>
          <w:bCs/>
          <w:lang w:val="en-US" w:eastAsia="en-GB"/>
        </w:rPr>
        <w:t>In addition to</w:t>
      </w:r>
      <w:r w:rsidR="00D772B0" w:rsidRPr="00FC74B0">
        <w:rPr>
          <w:rFonts w:eastAsia="Times New Roman"/>
          <w:bCs/>
          <w:lang w:val="en-US" w:eastAsia="en-GB"/>
        </w:rPr>
        <w:t xml:space="preserve"> providing demographic information including </w:t>
      </w:r>
      <w:r w:rsidR="001D5F42" w:rsidRPr="00FC74B0">
        <w:rPr>
          <w:rFonts w:eastAsia="Times New Roman"/>
          <w:bCs/>
          <w:lang w:val="en-US" w:eastAsia="en-GB"/>
        </w:rPr>
        <w:t xml:space="preserve">diagnostic information, </w:t>
      </w:r>
      <w:r w:rsidR="00D772B0" w:rsidRPr="00FC74B0">
        <w:rPr>
          <w:rFonts w:eastAsia="Times New Roman"/>
          <w:bCs/>
          <w:lang w:val="en-US" w:eastAsia="en-GB"/>
        </w:rPr>
        <w:t xml:space="preserve">age and </w:t>
      </w:r>
      <w:r w:rsidR="006522E6">
        <w:rPr>
          <w:rFonts w:eastAsia="Times New Roman"/>
          <w:bCs/>
          <w:lang w:val="en-US" w:eastAsia="en-GB"/>
        </w:rPr>
        <w:t>gender</w:t>
      </w:r>
      <w:r w:rsidR="00D772B0" w:rsidRPr="00FC74B0">
        <w:rPr>
          <w:rFonts w:eastAsia="Times New Roman"/>
          <w:bCs/>
          <w:lang w:val="en-US" w:eastAsia="en-GB"/>
        </w:rPr>
        <w:t xml:space="preserve"> (male/female</w:t>
      </w:r>
      <w:r w:rsidR="006522E6">
        <w:rPr>
          <w:rStyle w:val="FootnoteReference"/>
          <w:rFonts w:eastAsia="Times New Roman"/>
          <w:bCs/>
          <w:lang w:val="en-US" w:eastAsia="en-GB"/>
        </w:rPr>
        <w:footnoteReference w:id="3"/>
      </w:r>
      <w:r w:rsidR="00D772B0" w:rsidRPr="00FC74B0">
        <w:rPr>
          <w:rFonts w:eastAsia="Times New Roman"/>
          <w:bCs/>
          <w:lang w:val="en-US" w:eastAsia="en-GB"/>
        </w:rPr>
        <w:t>)</w:t>
      </w:r>
      <w:r w:rsidR="001D5F42" w:rsidRPr="00FC74B0">
        <w:rPr>
          <w:rFonts w:eastAsia="Times New Roman"/>
          <w:bCs/>
          <w:lang w:val="en-US" w:eastAsia="en-GB"/>
        </w:rPr>
        <w:t>, participants completed the AQ-</w:t>
      </w:r>
      <w:r w:rsidR="001D5F42" w:rsidRPr="004B3C4B">
        <w:rPr>
          <w:rFonts w:eastAsia="Times New Roman"/>
          <w:bCs/>
          <w:lang w:val="en-US" w:eastAsia="en-GB"/>
        </w:rPr>
        <w:t>short</w:t>
      </w:r>
      <w:r w:rsidR="00B84202" w:rsidRPr="004B3C4B">
        <w:rPr>
          <w:rFonts w:eastAsia="Times New Roman"/>
          <w:bCs/>
          <w:lang w:val="en-US" w:eastAsia="en-GB"/>
        </w:rPr>
        <w:t xml:space="preserve">, </w:t>
      </w:r>
      <w:r w:rsidRPr="004B3C4B">
        <w:rPr>
          <w:rFonts w:eastAsia="Times New Roman"/>
          <w:bCs/>
          <w:lang w:val="en-US" w:eastAsia="en-GB"/>
        </w:rPr>
        <w:t xml:space="preserve">a </w:t>
      </w:r>
      <w:r w:rsidR="002A034C" w:rsidRPr="004B3C4B">
        <w:rPr>
          <w:rFonts w:eastAsia="Times New Roman"/>
          <w:bCs/>
          <w:lang w:val="en-US" w:eastAsia="en-GB"/>
        </w:rPr>
        <w:t xml:space="preserve">28-item </w:t>
      </w:r>
      <w:r w:rsidRPr="004B3C4B">
        <w:rPr>
          <w:rFonts w:eastAsia="Times New Roman"/>
          <w:bCs/>
          <w:lang w:val="en-US" w:eastAsia="en-GB"/>
        </w:rPr>
        <w:t>measure used t</w:t>
      </w:r>
      <w:r w:rsidR="002A034C" w:rsidRPr="004B3C4B">
        <w:rPr>
          <w:rFonts w:eastAsia="Times New Roman"/>
          <w:bCs/>
          <w:lang w:val="en-US" w:eastAsia="en-GB"/>
        </w:rPr>
        <w:t>o broadly</w:t>
      </w:r>
      <w:r w:rsidR="002A034C">
        <w:rPr>
          <w:rFonts w:eastAsia="Times New Roman"/>
          <w:bCs/>
          <w:lang w:val="en-US" w:eastAsia="en-GB"/>
        </w:rPr>
        <w:t xml:space="preserve"> assess autistic traits</w:t>
      </w:r>
      <w:r w:rsidR="004B3C4B">
        <w:rPr>
          <w:rFonts w:eastAsia="Times New Roman"/>
          <w:bCs/>
          <w:lang w:val="en-US" w:eastAsia="en-GB"/>
        </w:rPr>
        <w:t xml:space="preserve"> (Hoekstra et al., 2011).</w:t>
      </w:r>
    </w:p>
    <w:p w14:paraId="20066193" w14:textId="076F3659" w:rsidR="007B6377" w:rsidRPr="003F20B9" w:rsidRDefault="003F20B9" w:rsidP="004B3C4B">
      <w:pPr>
        <w:spacing w:line="480" w:lineRule="auto"/>
        <w:ind w:firstLine="720"/>
        <w:rPr>
          <w:rFonts w:eastAsia="Times New Roman"/>
          <w:bCs/>
          <w:lang w:val="en-US" w:eastAsia="en-GB"/>
        </w:rPr>
      </w:pPr>
      <w:r w:rsidRPr="000E4C74">
        <w:rPr>
          <w:rFonts w:eastAsia="Times New Roman"/>
          <w:bCs/>
          <w:lang w:val="en-US" w:eastAsia="en-GB"/>
        </w:rPr>
        <w:t xml:space="preserve">A series of direct questions </w:t>
      </w:r>
      <w:r w:rsidRPr="00093B1D">
        <w:rPr>
          <w:rFonts w:eastAsia="Times New Roman"/>
          <w:bCs/>
          <w:lang w:val="en-US" w:eastAsia="en-GB"/>
        </w:rPr>
        <w:t>were asked to establish employment (e.g., ‘</w:t>
      </w:r>
      <w:r w:rsidR="000E4C74" w:rsidRPr="00093B1D">
        <w:rPr>
          <w:rFonts w:eastAsia="Times New Roman"/>
          <w:bCs/>
          <w:lang w:val="en-US" w:eastAsia="en-GB"/>
        </w:rPr>
        <w:t>Are you currently employed or have a job?</w:t>
      </w:r>
      <w:r w:rsidRPr="00093B1D">
        <w:rPr>
          <w:rFonts w:eastAsia="Times New Roman"/>
          <w:bCs/>
          <w:lang w:val="en-US" w:eastAsia="en-GB"/>
        </w:rPr>
        <w:t>’) and education</w:t>
      </w:r>
      <w:r w:rsidR="006117C5">
        <w:rPr>
          <w:rFonts w:eastAsia="Times New Roman"/>
          <w:bCs/>
          <w:lang w:val="en-US" w:eastAsia="en-GB"/>
        </w:rPr>
        <w:t xml:space="preserve"> </w:t>
      </w:r>
      <w:r w:rsidRPr="00093B1D">
        <w:rPr>
          <w:rFonts w:eastAsia="Times New Roman"/>
          <w:bCs/>
          <w:lang w:val="en-US" w:eastAsia="en-GB"/>
        </w:rPr>
        <w:t>(e.g., ‘</w:t>
      </w:r>
      <w:r w:rsidR="00093B1D" w:rsidRPr="00093B1D">
        <w:rPr>
          <w:rFonts w:eastAsia="Times New Roman"/>
          <w:bCs/>
          <w:lang w:val="en-US" w:eastAsia="en-GB"/>
        </w:rPr>
        <w:t>Do you currently study at high school, university or</w:t>
      </w:r>
      <w:r w:rsidR="00B44372">
        <w:rPr>
          <w:rFonts w:eastAsia="Times New Roman"/>
          <w:bCs/>
          <w:lang w:val="en-US" w:eastAsia="en-GB"/>
        </w:rPr>
        <w:t xml:space="preserve"> TAFE/</w:t>
      </w:r>
      <w:r w:rsidR="00093B1D" w:rsidRPr="00093B1D">
        <w:rPr>
          <w:rFonts w:eastAsia="Times New Roman"/>
          <w:bCs/>
          <w:lang w:val="en-US" w:eastAsia="en-GB"/>
        </w:rPr>
        <w:t>community college?</w:t>
      </w:r>
      <w:r w:rsidRPr="00093B1D">
        <w:rPr>
          <w:rFonts w:eastAsia="Times New Roman"/>
          <w:bCs/>
          <w:lang w:val="en-US" w:eastAsia="en-GB"/>
        </w:rPr>
        <w:t xml:space="preserve">’) status. The </w:t>
      </w:r>
      <w:r w:rsidR="00225F27">
        <w:rPr>
          <w:rFonts w:eastAsia="Times New Roman"/>
          <w:bCs/>
          <w:lang w:val="en-US" w:eastAsia="en-GB"/>
        </w:rPr>
        <w:t xml:space="preserve">Modified version of the </w:t>
      </w:r>
      <w:r w:rsidRPr="00093B1D">
        <w:rPr>
          <w:rFonts w:eastAsia="Times New Roman"/>
          <w:bCs/>
          <w:lang w:val="en-US" w:eastAsia="en-GB"/>
        </w:rPr>
        <w:t>Vocational</w:t>
      </w:r>
      <w:r>
        <w:rPr>
          <w:rFonts w:eastAsia="Times New Roman"/>
          <w:bCs/>
          <w:lang w:val="en-US" w:eastAsia="en-GB"/>
        </w:rPr>
        <w:t xml:space="preserve"> </w:t>
      </w:r>
      <w:r w:rsidRPr="002E7E6B">
        <w:rPr>
          <w:rFonts w:eastAsia="Times New Roman"/>
          <w:bCs/>
          <w:lang w:val="en-US" w:eastAsia="en-GB"/>
        </w:rPr>
        <w:t xml:space="preserve">Index </w:t>
      </w:r>
      <w:r w:rsidR="008B64AF">
        <w:rPr>
          <w:rFonts w:eastAsia="Times New Roman"/>
          <w:bCs/>
          <w:lang w:val="en-US" w:eastAsia="en-GB"/>
        </w:rPr>
        <w:t xml:space="preserve">for Adults with Autism </w:t>
      </w:r>
      <w:r w:rsidRPr="002E7E6B">
        <w:rPr>
          <w:rFonts w:eastAsia="Times New Roman"/>
          <w:bCs/>
          <w:lang w:val="en-US" w:eastAsia="en-GB"/>
        </w:rPr>
        <w:t>(</w:t>
      </w:r>
      <w:r w:rsidR="00225F27">
        <w:rPr>
          <w:rFonts w:eastAsia="Times New Roman"/>
          <w:bCs/>
          <w:lang w:val="en-US" w:eastAsia="en-GB"/>
        </w:rPr>
        <w:t>M-VIAA</w:t>
      </w:r>
      <w:r w:rsidR="008B64AF">
        <w:rPr>
          <w:rFonts w:eastAsia="Times New Roman"/>
          <w:bCs/>
          <w:lang w:val="en-US" w:eastAsia="en-GB"/>
        </w:rPr>
        <w:t>; Sahin et al., in press)</w:t>
      </w:r>
      <w:r w:rsidR="006548B8">
        <w:rPr>
          <w:rFonts w:eastAsia="Times New Roman"/>
          <w:bCs/>
          <w:lang w:val="en-US" w:eastAsia="en-GB"/>
        </w:rPr>
        <w:t>,</w:t>
      </w:r>
      <w:r w:rsidR="00675B70">
        <w:rPr>
          <w:rFonts w:eastAsia="Times New Roman"/>
          <w:bCs/>
          <w:lang w:val="en-US" w:eastAsia="en-GB"/>
        </w:rPr>
        <w:t xml:space="preserve"> </w:t>
      </w:r>
      <w:r w:rsidRPr="002E7E6B">
        <w:rPr>
          <w:rFonts w:eastAsia="Times New Roman"/>
          <w:bCs/>
          <w:lang w:val="en-US" w:eastAsia="en-GB"/>
        </w:rPr>
        <w:t>was used to provide the number of hours</w:t>
      </w:r>
      <w:r w:rsidR="00526F7E">
        <w:rPr>
          <w:rFonts w:eastAsia="Times New Roman"/>
          <w:bCs/>
          <w:lang w:val="en-US" w:eastAsia="en-GB"/>
        </w:rPr>
        <w:t xml:space="preserve"> per week</w:t>
      </w:r>
      <w:r w:rsidRPr="002E7E6B">
        <w:rPr>
          <w:rFonts w:eastAsia="Times New Roman"/>
          <w:bCs/>
          <w:lang w:val="en-US" w:eastAsia="en-GB"/>
        </w:rPr>
        <w:t xml:space="preserve"> worked </w:t>
      </w:r>
      <w:r w:rsidR="004C7883">
        <w:rPr>
          <w:rFonts w:eastAsia="Times New Roman"/>
          <w:bCs/>
          <w:lang w:val="en-US" w:eastAsia="en-GB"/>
        </w:rPr>
        <w:t>or</w:t>
      </w:r>
      <w:r w:rsidR="00526F7E">
        <w:rPr>
          <w:rFonts w:eastAsia="Times New Roman"/>
          <w:bCs/>
          <w:lang w:val="en-US" w:eastAsia="en-GB"/>
        </w:rPr>
        <w:t xml:space="preserve"> spent in H</w:t>
      </w:r>
      <w:r w:rsidR="004C7883">
        <w:rPr>
          <w:rFonts w:eastAsia="Times New Roman"/>
          <w:bCs/>
          <w:lang w:val="en-US" w:eastAsia="en-GB"/>
        </w:rPr>
        <w:t>E</w:t>
      </w:r>
      <w:r w:rsidRPr="002E7E6B">
        <w:rPr>
          <w:rFonts w:eastAsia="Times New Roman"/>
          <w:bCs/>
          <w:lang w:val="en-US" w:eastAsia="en-GB"/>
        </w:rPr>
        <w:t>, and a</w:t>
      </w:r>
      <w:r w:rsidR="00A061C5" w:rsidRPr="002E7E6B">
        <w:rPr>
          <w:rFonts w:eastAsia="Times New Roman"/>
          <w:bCs/>
          <w:lang w:val="en-US" w:eastAsia="en-GB"/>
        </w:rPr>
        <w:t xml:space="preserve">n adapted version of the </w:t>
      </w:r>
      <w:r w:rsidR="00A061C5" w:rsidRPr="00223FAC">
        <w:rPr>
          <w:rFonts w:eastAsia="Times New Roman"/>
          <w:bCs/>
          <w:lang w:val="en-US" w:eastAsia="en-GB"/>
        </w:rPr>
        <w:lastRenderedPageBreak/>
        <w:t>Labour Force Survey (</w:t>
      </w:r>
      <w:r w:rsidR="00A061C5" w:rsidRPr="00223FAC">
        <w:t>A</w:t>
      </w:r>
      <w:r w:rsidR="000230D8" w:rsidRPr="00223FAC">
        <w:t>BS</w:t>
      </w:r>
      <w:r w:rsidR="00A061C5" w:rsidRPr="00223FAC">
        <w:t xml:space="preserve">, 2014) was used to gather information about job seeking behaviour in the weeks prior to </w:t>
      </w:r>
      <w:r w:rsidR="006E7E31" w:rsidRPr="00223FAC">
        <w:t>participation</w:t>
      </w:r>
      <w:r w:rsidR="000A2CCF" w:rsidRPr="00223FAC">
        <w:t xml:space="preserve"> (e.g.</w:t>
      </w:r>
      <w:r w:rsidR="00D3543C" w:rsidRPr="00223FAC">
        <w:t xml:space="preserve">, ‘Are you looking for </w:t>
      </w:r>
      <w:r w:rsidR="00223FAC" w:rsidRPr="00223FAC">
        <w:t>work or a job?’</w:t>
      </w:r>
      <w:r w:rsidR="007A5DCA" w:rsidRPr="00223FAC">
        <w:t>)</w:t>
      </w:r>
      <w:r w:rsidR="006E7E31" w:rsidRPr="00223FAC">
        <w:t>.</w:t>
      </w:r>
      <w:r w:rsidR="00357020">
        <w:t xml:space="preserve"> </w:t>
      </w:r>
    </w:p>
    <w:p w14:paraId="5255B3E4" w14:textId="519B4428" w:rsidR="007B6377" w:rsidRPr="00166E6D" w:rsidRDefault="00AF0E0D" w:rsidP="00166E6D">
      <w:pPr>
        <w:spacing w:line="480" w:lineRule="auto"/>
        <w:jc w:val="center"/>
        <w:rPr>
          <w:rFonts w:eastAsia="Times New Roman"/>
          <w:i/>
          <w:lang w:val="en-US" w:eastAsia="en-GB"/>
        </w:rPr>
      </w:pPr>
      <w:r w:rsidRPr="00166E6D">
        <w:rPr>
          <w:rFonts w:eastAsia="Times New Roman"/>
          <w:i/>
          <w:lang w:val="en-US" w:eastAsia="en-GB"/>
        </w:rPr>
        <w:t>Procedure</w:t>
      </w:r>
    </w:p>
    <w:p w14:paraId="4BD54C0F" w14:textId="292F9228" w:rsidR="006720B5" w:rsidRDefault="0056309B" w:rsidP="00DB2D69">
      <w:pPr>
        <w:spacing w:line="480" w:lineRule="auto"/>
        <w:ind w:firstLine="720"/>
        <w:rPr>
          <w:rFonts w:eastAsia="Times New Roman"/>
          <w:bCs/>
          <w:lang w:val="en-US" w:eastAsia="en-GB"/>
        </w:rPr>
      </w:pPr>
      <w:r>
        <w:rPr>
          <w:rFonts w:eastAsia="Times New Roman"/>
          <w:bCs/>
          <w:lang w:val="en-US" w:eastAsia="en-GB"/>
        </w:rPr>
        <w:t xml:space="preserve">Following </w:t>
      </w:r>
      <w:r w:rsidR="007912BA">
        <w:rPr>
          <w:rFonts w:eastAsia="Times New Roman"/>
          <w:bCs/>
          <w:lang w:val="en-US" w:eastAsia="en-GB"/>
        </w:rPr>
        <w:t>u</w:t>
      </w:r>
      <w:r w:rsidR="004C7883">
        <w:rPr>
          <w:rFonts w:eastAsia="Times New Roman"/>
          <w:bCs/>
          <w:lang w:val="en-US" w:eastAsia="en-GB"/>
        </w:rPr>
        <w:t>niversity ethics</w:t>
      </w:r>
      <w:r w:rsidR="008F2BD5" w:rsidRPr="008F2BD5">
        <w:rPr>
          <w:rFonts w:eastAsia="Times New Roman"/>
          <w:bCs/>
          <w:lang w:val="en-US" w:eastAsia="en-GB"/>
        </w:rPr>
        <w:t xml:space="preserve"> approval</w:t>
      </w:r>
      <w:r w:rsidR="00CF7862">
        <w:rPr>
          <w:rFonts w:eastAsia="Times New Roman"/>
          <w:bCs/>
          <w:lang w:val="en-US" w:eastAsia="en-GB"/>
        </w:rPr>
        <w:t>,</w:t>
      </w:r>
      <w:r w:rsidR="000A31FB">
        <w:rPr>
          <w:rFonts w:eastAsia="Times New Roman"/>
          <w:bCs/>
          <w:lang w:val="en-US" w:eastAsia="en-GB"/>
        </w:rPr>
        <w:t xml:space="preserve"> autistic</w:t>
      </w:r>
      <w:r w:rsidR="008F2BD5">
        <w:rPr>
          <w:rFonts w:eastAsia="Times New Roman"/>
          <w:bCs/>
          <w:lang w:val="en-US" w:eastAsia="en-GB"/>
        </w:rPr>
        <w:t xml:space="preserve"> and non-autistic individuals</w:t>
      </w:r>
      <w:r w:rsidR="00A604D0">
        <w:rPr>
          <w:rFonts w:eastAsia="Times New Roman"/>
          <w:bCs/>
          <w:lang w:val="en-US" w:eastAsia="en-GB"/>
        </w:rPr>
        <w:t xml:space="preserve"> aged 15-25 years</w:t>
      </w:r>
      <w:r w:rsidR="008F2BD5">
        <w:rPr>
          <w:rFonts w:eastAsia="Times New Roman"/>
          <w:bCs/>
          <w:lang w:val="en-US" w:eastAsia="en-GB"/>
        </w:rPr>
        <w:t xml:space="preserve"> were invited to participate </w:t>
      </w:r>
      <w:r w:rsidR="00D432A9">
        <w:rPr>
          <w:rFonts w:eastAsia="Times New Roman"/>
          <w:bCs/>
          <w:lang w:val="en-US" w:eastAsia="en-GB"/>
        </w:rPr>
        <w:t>in a national longitudinal study including three time points (baseline, 12 months, 24 months)</w:t>
      </w:r>
      <w:r w:rsidR="00E74D7F">
        <w:rPr>
          <w:rFonts w:eastAsia="Times New Roman"/>
          <w:bCs/>
          <w:lang w:val="en-US" w:eastAsia="en-GB"/>
        </w:rPr>
        <w:t>; recruitment occurred</w:t>
      </w:r>
      <w:r w:rsidR="00791898">
        <w:rPr>
          <w:rFonts w:eastAsia="Times New Roman"/>
          <w:bCs/>
          <w:lang w:val="en-US" w:eastAsia="en-GB"/>
        </w:rPr>
        <w:t xml:space="preserve"> between 201</w:t>
      </w:r>
      <w:r w:rsidR="00E74D7F">
        <w:rPr>
          <w:rFonts w:eastAsia="Times New Roman"/>
          <w:bCs/>
          <w:lang w:val="en-US" w:eastAsia="en-GB"/>
        </w:rPr>
        <w:t>5</w:t>
      </w:r>
      <w:r w:rsidR="00791898">
        <w:rPr>
          <w:rFonts w:eastAsia="Times New Roman"/>
          <w:bCs/>
          <w:lang w:val="en-US" w:eastAsia="en-GB"/>
        </w:rPr>
        <w:t>-2018</w:t>
      </w:r>
      <w:r w:rsidR="00D432A9">
        <w:rPr>
          <w:rFonts w:eastAsia="Times New Roman"/>
          <w:bCs/>
          <w:lang w:val="en-US" w:eastAsia="en-GB"/>
        </w:rPr>
        <w:t>. Advertisem</w:t>
      </w:r>
      <w:r w:rsidR="00706FB0">
        <w:rPr>
          <w:rFonts w:eastAsia="Times New Roman"/>
          <w:bCs/>
          <w:lang w:val="en-US" w:eastAsia="en-GB"/>
        </w:rPr>
        <w:t xml:space="preserve">ents were placed on websites and social media accounts for autism specific organisations </w:t>
      </w:r>
      <w:r w:rsidR="001E68E6">
        <w:rPr>
          <w:rFonts w:eastAsia="Times New Roman"/>
          <w:bCs/>
          <w:lang w:val="en-US" w:eastAsia="en-GB"/>
        </w:rPr>
        <w:t xml:space="preserve">nationally </w:t>
      </w:r>
      <w:r w:rsidR="00706FB0">
        <w:rPr>
          <w:rFonts w:eastAsia="Times New Roman"/>
          <w:bCs/>
          <w:lang w:val="en-US" w:eastAsia="en-GB"/>
        </w:rPr>
        <w:t xml:space="preserve">(e.g., </w:t>
      </w:r>
      <w:r w:rsidR="00CC22FF">
        <w:rPr>
          <w:rFonts w:eastAsia="Times New Roman"/>
          <w:bCs/>
          <w:lang w:val="en-US" w:eastAsia="en-GB"/>
        </w:rPr>
        <w:t>[blinded for review]</w:t>
      </w:r>
      <w:r w:rsidR="00293F42">
        <w:rPr>
          <w:rFonts w:eastAsia="Times New Roman"/>
          <w:bCs/>
          <w:lang w:val="en-US" w:eastAsia="en-GB"/>
        </w:rPr>
        <w:t xml:space="preserve">), university </w:t>
      </w:r>
      <w:r w:rsidR="00791898">
        <w:rPr>
          <w:rFonts w:eastAsia="Times New Roman"/>
          <w:bCs/>
          <w:lang w:val="en-US" w:eastAsia="en-GB"/>
        </w:rPr>
        <w:t>and TAF</w:t>
      </w:r>
      <w:r w:rsidR="000230D8">
        <w:rPr>
          <w:rFonts w:eastAsia="Times New Roman"/>
          <w:bCs/>
          <w:lang w:val="en-US" w:eastAsia="en-GB"/>
        </w:rPr>
        <w:t xml:space="preserve">E </w:t>
      </w:r>
      <w:r w:rsidR="00293F42">
        <w:rPr>
          <w:rFonts w:eastAsia="Times New Roman"/>
          <w:bCs/>
          <w:lang w:val="en-US" w:eastAsia="en-GB"/>
        </w:rPr>
        <w:t>networks</w:t>
      </w:r>
      <w:r w:rsidR="00791898">
        <w:rPr>
          <w:rFonts w:eastAsia="Times New Roman"/>
          <w:bCs/>
          <w:lang w:val="en-US" w:eastAsia="en-GB"/>
        </w:rPr>
        <w:t>, and broad social media sites (e.g.</w:t>
      </w:r>
      <w:r w:rsidR="00A97D54">
        <w:rPr>
          <w:rFonts w:eastAsia="Times New Roman"/>
          <w:bCs/>
          <w:lang w:val="en-US" w:eastAsia="en-GB"/>
        </w:rPr>
        <w:t>,</w:t>
      </w:r>
      <w:r w:rsidR="00791898">
        <w:rPr>
          <w:rFonts w:eastAsia="Times New Roman"/>
          <w:bCs/>
          <w:lang w:val="en-US" w:eastAsia="en-GB"/>
        </w:rPr>
        <w:t xml:space="preserve"> Gumtree)</w:t>
      </w:r>
      <w:r w:rsidR="00B239B3">
        <w:rPr>
          <w:rFonts w:eastAsia="Times New Roman"/>
          <w:bCs/>
          <w:lang w:val="en-US" w:eastAsia="en-GB"/>
        </w:rPr>
        <w:t xml:space="preserve">. Additionally, </w:t>
      </w:r>
      <w:r w:rsidR="006548B8">
        <w:rPr>
          <w:rFonts w:eastAsia="Times New Roman"/>
          <w:bCs/>
          <w:lang w:val="en-US" w:eastAsia="en-GB"/>
        </w:rPr>
        <w:t>some</w:t>
      </w:r>
      <w:r w:rsidR="00AC6183">
        <w:rPr>
          <w:rFonts w:eastAsia="Times New Roman"/>
          <w:bCs/>
          <w:lang w:val="en-US" w:eastAsia="en-GB"/>
        </w:rPr>
        <w:t xml:space="preserve"> </w:t>
      </w:r>
      <w:r w:rsidR="00B239B3">
        <w:rPr>
          <w:rFonts w:eastAsia="Times New Roman"/>
          <w:bCs/>
          <w:lang w:val="en-US" w:eastAsia="en-GB"/>
        </w:rPr>
        <w:t>participants</w:t>
      </w:r>
      <w:r w:rsidR="006548B8">
        <w:rPr>
          <w:rFonts w:eastAsia="Times New Roman"/>
          <w:bCs/>
          <w:lang w:val="en-US" w:eastAsia="en-GB"/>
        </w:rPr>
        <w:t xml:space="preserve">, primarily in the </w:t>
      </w:r>
      <w:r w:rsidR="005329B9">
        <w:rPr>
          <w:rFonts w:eastAsia="Times New Roman"/>
          <w:bCs/>
          <w:lang w:val="en-US" w:eastAsia="en-GB"/>
        </w:rPr>
        <w:t xml:space="preserve">non-autistic </w:t>
      </w:r>
      <w:r w:rsidR="006548B8">
        <w:rPr>
          <w:rFonts w:eastAsia="Times New Roman"/>
          <w:bCs/>
          <w:lang w:val="en-US" w:eastAsia="en-GB"/>
        </w:rPr>
        <w:t>group,</w:t>
      </w:r>
      <w:r w:rsidR="00B239B3">
        <w:rPr>
          <w:rFonts w:eastAsia="Times New Roman"/>
          <w:bCs/>
          <w:lang w:val="en-US" w:eastAsia="en-GB"/>
        </w:rPr>
        <w:t xml:space="preserve"> were recruited from</w:t>
      </w:r>
      <w:r w:rsidR="00B239B3" w:rsidRPr="00B239B3">
        <w:rPr>
          <w:rFonts w:eastAsia="Times New Roman"/>
          <w:bCs/>
          <w:lang w:val="en-US" w:eastAsia="en-GB"/>
        </w:rPr>
        <w:t xml:space="preserve"> </w:t>
      </w:r>
      <w:r w:rsidR="00424FA6">
        <w:rPr>
          <w:rFonts w:eastAsia="Times New Roman"/>
          <w:bCs/>
          <w:lang w:val="en-US" w:eastAsia="en-GB"/>
        </w:rPr>
        <w:t>the</w:t>
      </w:r>
      <w:r w:rsidR="004F6A0B">
        <w:rPr>
          <w:rFonts w:eastAsia="Times New Roman"/>
          <w:bCs/>
          <w:lang w:val="en-US" w:eastAsia="en-GB"/>
        </w:rPr>
        <w:t xml:space="preserve"> </w:t>
      </w:r>
      <w:r w:rsidR="00B239B3" w:rsidRPr="00B239B3">
        <w:rPr>
          <w:rFonts w:eastAsia="Times New Roman"/>
          <w:bCs/>
          <w:lang w:val="en-US" w:eastAsia="en-GB"/>
        </w:rPr>
        <w:t>online</w:t>
      </w:r>
      <w:r w:rsidR="00B239B3">
        <w:rPr>
          <w:rFonts w:eastAsia="Times New Roman"/>
          <w:bCs/>
          <w:lang w:val="en-US" w:eastAsia="en-GB"/>
        </w:rPr>
        <w:t xml:space="preserve"> </w:t>
      </w:r>
      <w:r w:rsidR="00791898">
        <w:rPr>
          <w:rFonts w:eastAsia="Times New Roman"/>
          <w:bCs/>
          <w:lang w:val="en-US" w:eastAsia="en-GB"/>
        </w:rPr>
        <w:t xml:space="preserve">recruitment </w:t>
      </w:r>
      <w:r w:rsidR="00B239B3">
        <w:rPr>
          <w:rFonts w:eastAsia="Times New Roman"/>
          <w:bCs/>
          <w:lang w:val="en-US" w:eastAsia="en-GB"/>
        </w:rPr>
        <w:t xml:space="preserve">platform </w:t>
      </w:r>
      <w:r w:rsidR="001E68E6" w:rsidRPr="0069150E">
        <w:rPr>
          <w:rFonts w:eastAsia="Times New Roman"/>
          <w:bCs/>
          <w:lang w:val="en-US" w:eastAsia="en-GB"/>
        </w:rPr>
        <w:t>Rulo</w:t>
      </w:r>
      <w:r w:rsidR="00791898" w:rsidRPr="0069150E">
        <w:rPr>
          <w:rFonts w:eastAsia="Times New Roman"/>
          <w:bCs/>
          <w:lang w:val="en-US" w:eastAsia="en-GB"/>
        </w:rPr>
        <w:t xml:space="preserve"> (</w:t>
      </w:r>
      <w:r w:rsidR="0069150E" w:rsidRPr="0069150E">
        <w:t>https://rulo.io/</w:t>
      </w:r>
      <w:r w:rsidR="00791898" w:rsidRPr="0069150E">
        <w:rPr>
          <w:rFonts w:eastAsia="Times New Roman"/>
          <w:bCs/>
          <w:lang w:val="en-US" w:eastAsia="en-GB"/>
        </w:rPr>
        <w:t>)</w:t>
      </w:r>
      <w:r w:rsidR="00B239B3" w:rsidRPr="0069150E">
        <w:rPr>
          <w:rFonts w:eastAsia="Times New Roman"/>
          <w:bCs/>
          <w:lang w:val="en-US" w:eastAsia="en-GB"/>
        </w:rPr>
        <w:t>.</w:t>
      </w:r>
      <w:r w:rsidR="00464F47">
        <w:rPr>
          <w:rFonts w:eastAsia="Times New Roman"/>
          <w:bCs/>
          <w:lang w:val="en-US" w:eastAsia="en-GB"/>
        </w:rPr>
        <w:t xml:space="preserve"> </w:t>
      </w:r>
      <w:r w:rsidR="00C00F5A">
        <w:rPr>
          <w:rFonts w:eastAsia="Times New Roman"/>
          <w:bCs/>
          <w:lang w:val="en-US" w:eastAsia="en-GB"/>
        </w:rPr>
        <w:t>Interested individuals contacted the researchers for a</w:t>
      </w:r>
      <w:r w:rsidR="00791898">
        <w:rPr>
          <w:rFonts w:eastAsia="Times New Roman"/>
          <w:bCs/>
          <w:lang w:val="en-US" w:eastAsia="en-GB"/>
        </w:rPr>
        <w:t xml:space="preserve">n information sheet and </w:t>
      </w:r>
      <w:r w:rsidR="00C00F5A">
        <w:rPr>
          <w:rFonts w:eastAsia="Times New Roman"/>
          <w:bCs/>
          <w:lang w:val="en-US" w:eastAsia="en-GB"/>
        </w:rPr>
        <w:t>consent form</w:t>
      </w:r>
      <w:r w:rsidR="00791898">
        <w:rPr>
          <w:rStyle w:val="FootnoteReference"/>
          <w:rFonts w:eastAsia="Times New Roman"/>
          <w:bCs/>
          <w:lang w:val="en-US" w:eastAsia="en-GB"/>
        </w:rPr>
        <w:footnoteReference w:id="4"/>
      </w:r>
      <w:r w:rsidR="00C00F5A">
        <w:rPr>
          <w:rFonts w:eastAsia="Times New Roman"/>
          <w:bCs/>
          <w:lang w:val="en-US" w:eastAsia="en-GB"/>
        </w:rPr>
        <w:t xml:space="preserve">, and following receipt of signed </w:t>
      </w:r>
      <w:r w:rsidR="00791898">
        <w:rPr>
          <w:rFonts w:eastAsia="Times New Roman"/>
          <w:bCs/>
          <w:lang w:val="en-US" w:eastAsia="en-GB"/>
        </w:rPr>
        <w:t>consent</w:t>
      </w:r>
      <w:r w:rsidR="0010271A">
        <w:rPr>
          <w:rFonts w:eastAsia="Times New Roman"/>
          <w:bCs/>
          <w:lang w:val="en-US" w:eastAsia="en-GB"/>
        </w:rPr>
        <w:t>, including parent consent where participants were &lt;18 years,</w:t>
      </w:r>
      <w:r w:rsidR="00C92BDA">
        <w:rPr>
          <w:rFonts w:eastAsia="Times New Roman"/>
          <w:bCs/>
          <w:lang w:val="en-US" w:eastAsia="en-GB"/>
        </w:rPr>
        <w:t xml:space="preserve"> they</w:t>
      </w:r>
      <w:r w:rsidR="00C00F5A">
        <w:rPr>
          <w:rFonts w:eastAsia="Times New Roman"/>
          <w:bCs/>
          <w:lang w:val="en-US" w:eastAsia="en-GB"/>
        </w:rPr>
        <w:t xml:space="preserve"> were sent an individuali</w:t>
      </w:r>
      <w:r w:rsidR="00C9022B">
        <w:rPr>
          <w:rFonts w:eastAsia="Times New Roman"/>
          <w:bCs/>
          <w:lang w:val="en-US" w:eastAsia="en-GB"/>
        </w:rPr>
        <w:t>sed</w:t>
      </w:r>
      <w:r w:rsidR="00C00F5A">
        <w:rPr>
          <w:rFonts w:eastAsia="Times New Roman"/>
          <w:bCs/>
          <w:lang w:val="en-US" w:eastAsia="en-GB"/>
        </w:rPr>
        <w:t xml:space="preserve"> </w:t>
      </w:r>
      <w:r w:rsidR="00F335E4">
        <w:rPr>
          <w:rFonts w:eastAsia="Times New Roman"/>
          <w:bCs/>
          <w:lang w:val="en-US" w:eastAsia="en-GB"/>
        </w:rPr>
        <w:t>link for a survey hosted through Qualtrics (</w:t>
      </w:r>
      <w:r w:rsidR="00690DB8">
        <w:rPr>
          <w:rFonts w:eastAsia="Times New Roman"/>
          <w:bCs/>
          <w:lang w:val="en-US" w:eastAsia="en-GB"/>
        </w:rPr>
        <w:t>Qualtrics, 2018)</w:t>
      </w:r>
      <w:r w:rsidR="00F335E4">
        <w:rPr>
          <w:rFonts w:eastAsia="Times New Roman"/>
          <w:bCs/>
          <w:lang w:val="en-US" w:eastAsia="en-GB"/>
        </w:rPr>
        <w:t xml:space="preserve">. </w:t>
      </w:r>
      <w:r w:rsidR="00791898">
        <w:rPr>
          <w:rFonts w:eastAsia="Times New Roman"/>
          <w:bCs/>
          <w:lang w:val="en-US" w:eastAsia="en-GB"/>
        </w:rPr>
        <w:t xml:space="preserve">A hardcopy survey was </w:t>
      </w:r>
      <w:r w:rsidR="00000BBA">
        <w:rPr>
          <w:rFonts w:eastAsia="Times New Roman"/>
          <w:bCs/>
          <w:lang w:val="en-US" w:eastAsia="en-GB"/>
        </w:rPr>
        <w:t xml:space="preserve">available </w:t>
      </w:r>
      <w:r w:rsidR="00F371E6">
        <w:rPr>
          <w:rFonts w:eastAsia="Times New Roman"/>
          <w:bCs/>
          <w:lang w:val="en-US" w:eastAsia="en-GB"/>
        </w:rPr>
        <w:t>on request.</w:t>
      </w:r>
    </w:p>
    <w:p w14:paraId="5F980D6C" w14:textId="67801EDE" w:rsidR="006720B5" w:rsidRPr="00166E6D" w:rsidRDefault="006720B5" w:rsidP="00166E6D">
      <w:pPr>
        <w:spacing w:line="480" w:lineRule="auto"/>
        <w:jc w:val="center"/>
        <w:rPr>
          <w:rFonts w:eastAsia="Times New Roman"/>
          <w:i/>
          <w:lang w:val="en-US" w:eastAsia="en-GB"/>
        </w:rPr>
      </w:pPr>
      <w:r w:rsidRPr="00166E6D">
        <w:rPr>
          <w:rFonts w:eastAsia="Times New Roman"/>
          <w:i/>
          <w:lang w:val="en-US" w:eastAsia="en-GB"/>
        </w:rPr>
        <w:t>Data analysis</w:t>
      </w:r>
    </w:p>
    <w:p w14:paraId="60C66E4C" w14:textId="6C1098C2" w:rsidR="00631536" w:rsidRPr="00F371E6" w:rsidRDefault="00A06417" w:rsidP="00DB2D69">
      <w:pPr>
        <w:spacing w:line="480" w:lineRule="auto"/>
        <w:ind w:firstLine="720"/>
        <w:rPr>
          <w:rFonts w:eastAsia="Times New Roman"/>
          <w:bCs/>
          <w:lang w:val="en-US" w:eastAsia="en-GB"/>
        </w:rPr>
      </w:pPr>
      <w:r>
        <w:rPr>
          <w:rFonts w:eastAsia="Times New Roman"/>
          <w:lang w:val="en-US" w:eastAsia="en-GB"/>
        </w:rPr>
        <w:t xml:space="preserve">Only participants who had </w:t>
      </w:r>
      <w:r w:rsidR="0027444E">
        <w:rPr>
          <w:rFonts w:eastAsia="Times New Roman"/>
          <w:lang w:val="en-US" w:eastAsia="en-GB"/>
        </w:rPr>
        <w:t xml:space="preserve">completed </w:t>
      </w:r>
      <w:r>
        <w:rPr>
          <w:rFonts w:eastAsia="Times New Roman"/>
          <w:lang w:val="en-US" w:eastAsia="en-GB"/>
        </w:rPr>
        <w:t xml:space="preserve">high school </w:t>
      </w:r>
      <w:r w:rsidR="00612707" w:rsidRPr="00665D51">
        <w:rPr>
          <w:rFonts w:eastAsia="Times New Roman"/>
          <w:lang w:val="en-US" w:eastAsia="en-GB"/>
        </w:rPr>
        <w:t>(age</w:t>
      </w:r>
      <w:r w:rsidR="00FE3536" w:rsidRPr="00665D51">
        <w:rPr>
          <w:rFonts w:eastAsia="Times New Roman"/>
          <w:lang w:val="en-US" w:eastAsia="en-GB"/>
        </w:rPr>
        <w:t xml:space="preserve">s </w:t>
      </w:r>
      <w:r w:rsidR="00F371E6" w:rsidRPr="00665D51">
        <w:rPr>
          <w:rFonts w:eastAsia="Times New Roman"/>
          <w:lang w:val="en-US" w:eastAsia="en-GB"/>
        </w:rPr>
        <w:t>17</w:t>
      </w:r>
      <w:r w:rsidRPr="00665D51">
        <w:rPr>
          <w:rFonts w:eastAsia="Times New Roman"/>
          <w:lang w:val="en-US" w:eastAsia="en-GB"/>
        </w:rPr>
        <w:t>-25 years</w:t>
      </w:r>
      <w:r w:rsidR="00612707" w:rsidRPr="00665D51">
        <w:rPr>
          <w:rFonts w:eastAsia="Times New Roman"/>
          <w:lang w:val="en-US" w:eastAsia="en-GB"/>
        </w:rPr>
        <w:t xml:space="preserve">) </w:t>
      </w:r>
      <w:r w:rsidRPr="00665D51">
        <w:rPr>
          <w:rFonts w:eastAsia="Times New Roman"/>
          <w:lang w:val="en-US" w:eastAsia="en-GB"/>
        </w:rPr>
        <w:t>are</w:t>
      </w:r>
      <w:r>
        <w:rPr>
          <w:rFonts w:eastAsia="Times New Roman"/>
          <w:lang w:val="en-US" w:eastAsia="en-GB"/>
        </w:rPr>
        <w:t xml:space="preserve"> included here</w:t>
      </w:r>
      <w:r w:rsidR="00612707">
        <w:rPr>
          <w:rFonts w:eastAsia="Times New Roman"/>
          <w:lang w:val="en-US" w:eastAsia="en-GB"/>
        </w:rPr>
        <w:t>. All</w:t>
      </w:r>
      <w:r>
        <w:rPr>
          <w:rFonts w:eastAsia="Times New Roman"/>
          <w:lang w:val="en-US" w:eastAsia="en-GB"/>
        </w:rPr>
        <w:t xml:space="preserve"> analyses were conducted at the item leve</w:t>
      </w:r>
      <w:r w:rsidR="00612707">
        <w:rPr>
          <w:rFonts w:eastAsia="Times New Roman"/>
          <w:lang w:val="en-US" w:eastAsia="en-GB"/>
        </w:rPr>
        <w:t xml:space="preserve">l; </w:t>
      </w:r>
      <w:r>
        <w:rPr>
          <w:rFonts w:eastAsia="Times New Roman"/>
          <w:lang w:val="en-US" w:eastAsia="en-GB"/>
        </w:rPr>
        <w:t>those with missing data were excluded from specific analyses for these items but retained in the data set. Chi-square tests of ind</w:t>
      </w:r>
      <w:r w:rsidR="00F371E6">
        <w:rPr>
          <w:rFonts w:eastAsia="Times New Roman"/>
          <w:lang w:val="en-US" w:eastAsia="en-GB"/>
        </w:rPr>
        <w:t xml:space="preserve">ependence </w:t>
      </w:r>
      <w:r>
        <w:rPr>
          <w:rFonts w:eastAsia="Times New Roman"/>
          <w:lang w:val="en-US" w:eastAsia="en-GB"/>
        </w:rPr>
        <w:t xml:space="preserve">and </w:t>
      </w:r>
      <w:r w:rsidR="00171F09">
        <w:rPr>
          <w:rFonts w:eastAsia="Times New Roman"/>
          <w:lang w:val="en-US" w:eastAsia="en-GB"/>
        </w:rPr>
        <w:t>in</w:t>
      </w:r>
      <w:r>
        <w:rPr>
          <w:rFonts w:eastAsia="Times New Roman"/>
          <w:lang w:val="en-US" w:eastAsia="en-GB"/>
        </w:rPr>
        <w:t xml:space="preserve">dependent groups </w:t>
      </w:r>
      <w:r w:rsidRPr="00171F09">
        <w:rPr>
          <w:rFonts w:eastAsia="Times New Roman"/>
          <w:i/>
          <w:iCs/>
          <w:lang w:val="en-US" w:eastAsia="en-GB"/>
        </w:rPr>
        <w:t>t-</w:t>
      </w:r>
      <w:r>
        <w:rPr>
          <w:rFonts w:eastAsia="Times New Roman"/>
          <w:lang w:val="en-US" w:eastAsia="en-GB"/>
        </w:rPr>
        <w:t>test</w:t>
      </w:r>
      <w:r w:rsidR="00171F09">
        <w:rPr>
          <w:rFonts w:eastAsia="Times New Roman"/>
          <w:lang w:val="en-US" w:eastAsia="en-GB"/>
        </w:rPr>
        <w:t>s</w:t>
      </w:r>
      <w:r>
        <w:rPr>
          <w:rFonts w:eastAsia="Times New Roman"/>
          <w:lang w:val="en-US" w:eastAsia="en-GB"/>
        </w:rPr>
        <w:t xml:space="preserve"> have been used to analyse data.</w:t>
      </w:r>
      <w:r w:rsidR="006720B5">
        <w:rPr>
          <w:rFonts w:eastAsia="Times New Roman"/>
          <w:lang w:val="en-US" w:eastAsia="en-GB"/>
        </w:rPr>
        <w:t xml:space="preserve"> </w:t>
      </w:r>
      <w:r w:rsidR="006720B5" w:rsidRPr="00B92067">
        <w:t xml:space="preserve">The magnitude of effect size for Cramer’s </w:t>
      </w:r>
      <w:r w:rsidR="006720B5" w:rsidRPr="00B92067">
        <w:rPr>
          <w:i/>
        </w:rPr>
        <w:t>V</w:t>
      </w:r>
      <w:r w:rsidR="006720B5" w:rsidRPr="00B92067">
        <w:t xml:space="preserve"> </w:t>
      </w:r>
      <w:r w:rsidR="00EE026A">
        <w:t>was</w:t>
      </w:r>
      <w:r w:rsidR="006720B5" w:rsidRPr="00B92067">
        <w:t xml:space="preserve"> interpreted using Cohen’s criteria; namely for</w:t>
      </w:r>
      <w:r w:rsidR="006720B5" w:rsidRPr="00B92067">
        <w:rPr>
          <w:i/>
          <w:iCs/>
        </w:rPr>
        <w:t xml:space="preserve"> df</w:t>
      </w:r>
      <w:r w:rsidR="006720B5" w:rsidRPr="00B92067">
        <w:t xml:space="preserve"> = 1, 0.10, 0.30, and 0.50 as small, medium, and large effects, respectively</w:t>
      </w:r>
      <w:r w:rsidR="006720B5" w:rsidRPr="003347AC">
        <w:t>. For</w:t>
      </w:r>
      <w:r w:rsidR="006720B5" w:rsidRPr="003347AC">
        <w:rPr>
          <w:i/>
          <w:iCs/>
        </w:rPr>
        <w:t xml:space="preserve"> df</w:t>
      </w:r>
      <w:r w:rsidR="006720B5" w:rsidRPr="003347AC">
        <w:t xml:space="preserve"> = </w:t>
      </w:r>
      <w:r w:rsidR="00E57535" w:rsidRPr="003347AC">
        <w:t>3</w:t>
      </w:r>
      <w:r w:rsidR="006720B5" w:rsidRPr="003347AC">
        <w:t>, 0.0</w:t>
      </w:r>
      <w:r w:rsidR="00E57535" w:rsidRPr="003347AC">
        <w:t>6</w:t>
      </w:r>
      <w:r w:rsidR="006720B5" w:rsidRPr="003347AC">
        <w:t>, 0.</w:t>
      </w:r>
      <w:r w:rsidR="003347AC" w:rsidRPr="003347AC">
        <w:t>17</w:t>
      </w:r>
      <w:r w:rsidR="006720B5" w:rsidRPr="003347AC">
        <w:t xml:space="preserve">, and </w:t>
      </w:r>
      <w:r w:rsidR="006720B5" w:rsidRPr="003347AC">
        <w:lastRenderedPageBreak/>
        <w:t>0.</w:t>
      </w:r>
      <w:r w:rsidR="003347AC" w:rsidRPr="003347AC">
        <w:t>29</w:t>
      </w:r>
      <w:r w:rsidR="006720B5" w:rsidRPr="003347AC">
        <w:t xml:space="preserve"> as small, medium, and large effects, respectively (see Cohen, 1988).</w:t>
      </w:r>
      <w:r w:rsidR="000E7693" w:rsidRPr="003347AC">
        <w:t xml:space="preserve"> The magnitude</w:t>
      </w:r>
      <w:r w:rsidR="000E7693" w:rsidRPr="005467E2">
        <w:t xml:space="preserve"> of effect size </w:t>
      </w:r>
      <w:proofErr w:type="spellStart"/>
      <w:r w:rsidR="000E7693" w:rsidRPr="005467E2">
        <w:t xml:space="preserve">for </w:t>
      </w:r>
      <w:r w:rsidR="000E7693">
        <w:rPr>
          <w:i/>
        </w:rPr>
        <w:t>d</w:t>
      </w:r>
      <w:proofErr w:type="spellEnd"/>
      <w:r w:rsidR="000E7693" w:rsidRPr="005467E2">
        <w:t xml:space="preserve"> </w:t>
      </w:r>
      <w:r w:rsidR="000E7693">
        <w:t>was</w:t>
      </w:r>
      <w:r w:rsidR="000E7693" w:rsidRPr="005467E2">
        <w:t xml:space="preserve"> interpreted using Cohen’s criteria; namely, </w:t>
      </w:r>
      <w:r w:rsidR="000E7693">
        <w:t>0</w:t>
      </w:r>
      <w:r w:rsidR="000E7693" w:rsidRPr="005467E2">
        <w:t>.</w:t>
      </w:r>
      <w:r w:rsidR="000E7693">
        <w:t>2</w:t>
      </w:r>
      <w:r w:rsidR="000E7693" w:rsidRPr="005467E2">
        <w:t xml:space="preserve">, </w:t>
      </w:r>
      <w:r w:rsidR="000E7693">
        <w:t>0.5</w:t>
      </w:r>
      <w:r w:rsidR="000E7693" w:rsidRPr="005467E2">
        <w:t xml:space="preserve">, and </w:t>
      </w:r>
      <w:r w:rsidR="000E7693">
        <w:t>0.8</w:t>
      </w:r>
      <w:r w:rsidR="000E7693" w:rsidRPr="005467E2">
        <w:t xml:space="preserve"> as small, medium, and large effects, respectively (see Cohen, 19</w:t>
      </w:r>
      <w:r w:rsidR="000E7693">
        <w:t>88</w:t>
      </w:r>
      <w:r w:rsidR="000E7693" w:rsidRPr="005467E2">
        <w:t>).</w:t>
      </w:r>
    </w:p>
    <w:p w14:paraId="77737464" w14:textId="2C26CDD9" w:rsidR="00774703" w:rsidRPr="00166E6D" w:rsidRDefault="000E3ABF" w:rsidP="00774703">
      <w:pPr>
        <w:spacing w:line="480" w:lineRule="auto"/>
        <w:jc w:val="center"/>
        <w:rPr>
          <w:rFonts w:eastAsia="Times New Roman"/>
          <w:bCs/>
          <w:lang w:val="en-US" w:eastAsia="en-GB"/>
        </w:rPr>
      </w:pPr>
      <w:r w:rsidRPr="00166E6D">
        <w:rPr>
          <w:rFonts w:eastAsia="Times New Roman"/>
          <w:bCs/>
          <w:lang w:val="en-US" w:eastAsia="en-GB"/>
        </w:rPr>
        <w:t>Results</w:t>
      </w:r>
    </w:p>
    <w:p w14:paraId="0C31716A" w14:textId="4BCFAF61" w:rsidR="006F5B0C" w:rsidRDefault="0012736A" w:rsidP="00232CB0">
      <w:pPr>
        <w:spacing w:after="0" w:line="480" w:lineRule="auto"/>
      </w:pPr>
      <w:r>
        <w:rPr>
          <w:rFonts w:eastAsia="Times New Roman"/>
          <w:lang w:val="en-US" w:eastAsia="en-GB"/>
        </w:rPr>
        <w:t xml:space="preserve">There were no differences with regard to </w:t>
      </w:r>
      <w:r w:rsidRPr="00733D9C">
        <w:rPr>
          <w:rFonts w:eastAsia="Times New Roman"/>
          <w:lang w:val="en-US" w:eastAsia="en-GB"/>
        </w:rPr>
        <w:t>the age of the two sampl</w:t>
      </w:r>
      <w:r w:rsidR="0073383D" w:rsidRPr="00733D9C">
        <w:rPr>
          <w:rFonts w:eastAsia="Times New Roman"/>
          <w:lang w:val="en-US" w:eastAsia="en-GB"/>
        </w:rPr>
        <w:t>es</w:t>
      </w:r>
      <w:r w:rsidR="00CF6E52" w:rsidRPr="00733D9C">
        <w:rPr>
          <w:rFonts w:eastAsia="Times New Roman"/>
          <w:lang w:val="en-US" w:eastAsia="en-GB"/>
        </w:rPr>
        <w:t xml:space="preserve">, </w:t>
      </w:r>
      <w:r w:rsidR="00CF6E52" w:rsidRPr="00733D9C">
        <w:rPr>
          <w:rFonts w:eastAsia="Times New Roman"/>
          <w:i/>
          <w:iCs/>
          <w:lang w:val="en-US" w:eastAsia="en-GB"/>
        </w:rPr>
        <w:t>t</w:t>
      </w:r>
      <w:r w:rsidR="009868B3" w:rsidRPr="00733D9C">
        <w:rPr>
          <w:rFonts w:eastAsia="Times New Roman"/>
          <w:lang w:val="en-US" w:eastAsia="en-GB"/>
        </w:rPr>
        <w:t>(</w:t>
      </w:r>
      <w:r w:rsidR="007B560A" w:rsidRPr="00733D9C">
        <w:rPr>
          <w:rFonts w:eastAsia="Times New Roman"/>
          <w:lang w:val="en-US" w:eastAsia="en-GB"/>
        </w:rPr>
        <w:t>171</w:t>
      </w:r>
      <w:r w:rsidR="009868B3" w:rsidRPr="00733D9C">
        <w:rPr>
          <w:rFonts w:eastAsia="Times New Roman"/>
          <w:lang w:val="en-US" w:eastAsia="en-GB"/>
        </w:rPr>
        <w:t xml:space="preserve">) = </w:t>
      </w:r>
      <w:r w:rsidR="003C418E" w:rsidRPr="00733D9C">
        <w:rPr>
          <w:rFonts w:eastAsia="Times New Roman"/>
          <w:lang w:val="en-US" w:eastAsia="en-GB"/>
        </w:rPr>
        <w:t xml:space="preserve">-.01, </w:t>
      </w:r>
      <w:r w:rsidR="003C418E" w:rsidRPr="00733D9C">
        <w:rPr>
          <w:rFonts w:eastAsia="Times New Roman"/>
          <w:i/>
          <w:iCs/>
          <w:lang w:val="en-US" w:eastAsia="en-GB"/>
        </w:rPr>
        <w:t>p</w:t>
      </w:r>
      <w:r w:rsidR="003C418E" w:rsidRPr="00733D9C">
        <w:rPr>
          <w:rFonts w:eastAsia="Times New Roman"/>
          <w:lang w:val="en-US" w:eastAsia="en-GB"/>
        </w:rPr>
        <w:t xml:space="preserve"> = </w:t>
      </w:r>
      <w:r w:rsidR="007B560A" w:rsidRPr="00733D9C">
        <w:rPr>
          <w:rFonts w:eastAsia="Times New Roman"/>
          <w:lang w:val="en-US" w:eastAsia="en-GB"/>
        </w:rPr>
        <w:t>.996</w:t>
      </w:r>
      <w:r w:rsidRPr="00733D9C">
        <w:rPr>
          <w:rFonts w:eastAsia="Times New Roman"/>
          <w:lang w:val="en-US" w:eastAsia="en-GB"/>
        </w:rPr>
        <w:t>, howe</w:t>
      </w:r>
      <w:r w:rsidR="00916147" w:rsidRPr="00733D9C">
        <w:rPr>
          <w:rFonts w:eastAsia="Times New Roman"/>
          <w:lang w:val="en-US" w:eastAsia="en-GB"/>
        </w:rPr>
        <w:t xml:space="preserve">ver there were significantly more </w:t>
      </w:r>
      <w:r w:rsidR="004D24B7" w:rsidRPr="00733D9C">
        <w:rPr>
          <w:rFonts w:eastAsia="Times New Roman"/>
          <w:lang w:val="en-US" w:eastAsia="en-GB"/>
        </w:rPr>
        <w:t>females in the non-autistic group</w:t>
      </w:r>
      <w:r w:rsidR="0012637B" w:rsidRPr="00733D9C">
        <w:rPr>
          <w:rFonts w:eastAsia="Times New Roman"/>
          <w:lang w:val="en-US" w:eastAsia="en-GB"/>
        </w:rPr>
        <w:t xml:space="preserve"> </w:t>
      </w:r>
      <w:r w:rsidR="009004FD" w:rsidRPr="00733D9C">
        <w:rPr>
          <w:rFonts w:eastAsia="Times New Roman"/>
          <w:lang w:val="en-US" w:eastAsia="en-GB"/>
        </w:rPr>
        <w:t xml:space="preserve">(77%) compared to the autistic group </w:t>
      </w:r>
      <w:r w:rsidR="0012637B" w:rsidRPr="00733D9C">
        <w:rPr>
          <w:rFonts w:eastAsia="Times New Roman"/>
          <w:lang w:val="en-US" w:eastAsia="en-GB"/>
        </w:rPr>
        <w:t>(</w:t>
      </w:r>
      <w:r w:rsidR="004F4FD5" w:rsidRPr="00733D9C">
        <w:rPr>
          <w:rFonts w:eastAsia="Times New Roman"/>
          <w:lang w:val="en-US" w:eastAsia="en-GB"/>
        </w:rPr>
        <w:t xml:space="preserve">44%; </w:t>
      </w:r>
      <w:r w:rsidR="00F92292" w:rsidRPr="00733D9C">
        <w:rPr>
          <w:rFonts w:eastAsia="Arial"/>
        </w:rPr>
        <w:t>χ</w:t>
      </w:r>
      <w:r w:rsidR="00F92292" w:rsidRPr="00733D9C">
        <w:rPr>
          <w:rFonts w:eastAsia="Arial"/>
          <w:vertAlign w:val="superscript"/>
        </w:rPr>
        <w:t>2</w:t>
      </w:r>
      <w:r w:rsidR="00F92292" w:rsidRPr="00733D9C">
        <w:rPr>
          <w:rFonts w:eastAsia="Arial"/>
        </w:rPr>
        <w:t xml:space="preserve"> (1)</w:t>
      </w:r>
      <w:r w:rsidR="00F92292" w:rsidRPr="00733D9C">
        <w:rPr>
          <w:rFonts w:eastAsia="Arial"/>
          <w:vertAlign w:val="superscript"/>
        </w:rPr>
        <w:t xml:space="preserve"> </w:t>
      </w:r>
      <w:r w:rsidR="00F92292" w:rsidRPr="00733D9C">
        <w:rPr>
          <w:rFonts w:eastAsia="Arial"/>
        </w:rPr>
        <w:t xml:space="preserve">= </w:t>
      </w:r>
      <w:r w:rsidR="000F0B4F" w:rsidRPr="00733D9C">
        <w:rPr>
          <w:rFonts w:eastAsia="Arial"/>
        </w:rPr>
        <w:t>20.04</w:t>
      </w:r>
      <w:r w:rsidR="00F92292" w:rsidRPr="00733D9C">
        <w:rPr>
          <w:rFonts w:eastAsia="Arial"/>
        </w:rPr>
        <w:t xml:space="preserve">, </w:t>
      </w:r>
      <w:r w:rsidR="00F92292" w:rsidRPr="00733D9C">
        <w:rPr>
          <w:rFonts w:eastAsia="Arial"/>
          <w:i/>
          <w:iCs/>
        </w:rPr>
        <w:t xml:space="preserve">p </w:t>
      </w:r>
      <w:r w:rsidR="000F0B4F" w:rsidRPr="00733D9C">
        <w:rPr>
          <w:rFonts w:eastAsia="Arial"/>
        </w:rPr>
        <w:t>&lt; .001</w:t>
      </w:r>
      <w:r w:rsidR="00F92292" w:rsidRPr="00733D9C">
        <w:rPr>
          <w:rFonts w:eastAsia="Arial"/>
        </w:rPr>
        <w:t>,</w:t>
      </w:r>
      <w:r w:rsidR="00F92292" w:rsidRPr="00733D9C">
        <w:rPr>
          <w:rFonts w:eastAsia="Arial"/>
          <w:i/>
          <w:iCs/>
        </w:rPr>
        <w:t xml:space="preserve"> V</w:t>
      </w:r>
      <w:r w:rsidR="00F92292" w:rsidRPr="00733D9C">
        <w:rPr>
          <w:rFonts w:eastAsia="Arial"/>
        </w:rPr>
        <w:t xml:space="preserve"> = .</w:t>
      </w:r>
      <w:r w:rsidR="004707C7" w:rsidRPr="00733D9C">
        <w:rPr>
          <w:rFonts w:eastAsia="Arial"/>
        </w:rPr>
        <w:t>34</w:t>
      </w:r>
      <w:r w:rsidR="0012637B" w:rsidRPr="00733D9C">
        <w:rPr>
          <w:rFonts w:eastAsia="Times New Roman"/>
          <w:lang w:val="en-US" w:eastAsia="en-GB"/>
        </w:rPr>
        <w:t>)</w:t>
      </w:r>
      <w:r w:rsidR="004D24B7" w:rsidRPr="00733D9C">
        <w:rPr>
          <w:rFonts w:eastAsia="Times New Roman"/>
          <w:lang w:val="en-US" w:eastAsia="en-GB"/>
        </w:rPr>
        <w:t>.</w:t>
      </w:r>
      <w:r w:rsidR="000A7425" w:rsidRPr="00733D9C">
        <w:t xml:space="preserve"> As might be expected, the autistic group</w:t>
      </w:r>
      <w:r w:rsidR="00774ED4" w:rsidRPr="00733D9C">
        <w:t xml:space="preserve"> (</w:t>
      </w:r>
      <w:r w:rsidR="00774ED4" w:rsidRPr="00733D9C">
        <w:rPr>
          <w:i/>
          <w:iCs/>
        </w:rPr>
        <w:t>M</w:t>
      </w:r>
      <w:r w:rsidR="00774ED4" w:rsidRPr="00733D9C">
        <w:t xml:space="preserve"> = 77.04, </w:t>
      </w:r>
      <w:r w:rsidR="00774ED4" w:rsidRPr="00733D9C">
        <w:rPr>
          <w:i/>
          <w:iCs/>
        </w:rPr>
        <w:t>SD</w:t>
      </w:r>
      <w:r w:rsidR="00774ED4" w:rsidRPr="00733D9C">
        <w:t xml:space="preserve"> = 10.91)</w:t>
      </w:r>
      <w:r w:rsidR="000A7425" w:rsidRPr="00733D9C">
        <w:t xml:space="preserve"> had a significantly higher score </w:t>
      </w:r>
      <w:r w:rsidR="00D62183" w:rsidRPr="00733D9C">
        <w:t xml:space="preserve">on the AQ-short </w:t>
      </w:r>
      <w:r w:rsidR="000A7425" w:rsidRPr="00733D9C">
        <w:t>than the non-autistic group</w:t>
      </w:r>
      <w:r w:rsidR="000A7425" w:rsidRPr="00733D9C">
        <w:rPr>
          <w:rStyle w:val="FootnoteReference"/>
        </w:rPr>
        <w:footnoteReference w:id="5"/>
      </w:r>
      <w:r w:rsidR="000A7425" w:rsidRPr="00733D9C">
        <w:t xml:space="preserve"> </w:t>
      </w:r>
      <w:r w:rsidR="00774ED4" w:rsidRPr="00733D9C">
        <w:t>(</w:t>
      </w:r>
      <w:r w:rsidR="00774ED4" w:rsidRPr="00733D9C">
        <w:rPr>
          <w:i/>
          <w:iCs/>
        </w:rPr>
        <w:t>M</w:t>
      </w:r>
      <w:r w:rsidR="00774ED4" w:rsidRPr="00733D9C">
        <w:t xml:space="preserve"> = 61.21, </w:t>
      </w:r>
      <w:r w:rsidR="00774ED4" w:rsidRPr="00733D9C">
        <w:rPr>
          <w:i/>
          <w:iCs/>
        </w:rPr>
        <w:t>SD</w:t>
      </w:r>
      <w:r w:rsidR="00774ED4" w:rsidRPr="00733D9C">
        <w:t xml:space="preserve"> = 11.76)</w:t>
      </w:r>
      <w:r w:rsidR="000A7425" w:rsidRPr="00733D9C">
        <w:t xml:space="preserve">, </w:t>
      </w:r>
      <w:r w:rsidR="000A7425" w:rsidRPr="00733D9C">
        <w:rPr>
          <w:i/>
          <w:iCs/>
        </w:rPr>
        <w:t>t</w:t>
      </w:r>
      <w:r w:rsidR="000A7425" w:rsidRPr="00733D9C">
        <w:t xml:space="preserve">(182) = -9.30, </w:t>
      </w:r>
      <w:r w:rsidR="000A7425" w:rsidRPr="00733D9C">
        <w:rPr>
          <w:i/>
          <w:iCs/>
        </w:rPr>
        <w:t>p</w:t>
      </w:r>
      <w:r w:rsidR="000A7425" w:rsidRPr="00733D9C">
        <w:t xml:space="preserve"> </w:t>
      </w:r>
      <w:r w:rsidR="000A7425" w:rsidRPr="00733D9C">
        <w:rPr>
          <w:i/>
          <w:iCs/>
        </w:rPr>
        <w:t>&lt;</w:t>
      </w:r>
      <w:r w:rsidR="000A7425" w:rsidRPr="00733D9C">
        <w:t xml:space="preserve"> .001,</w:t>
      </w:r>
      <w:r w:rsidR="000A7425" w:rsidRPr="00733D9C">
        <w:rPr>
          <w:i/>
          <w:iCs/>
        </w:rPr>
        <w:t xml:space="preserve"> d</w:t>
      </w:r>
      <w:r w:rsidR="000A7425" w:rsidRPr="00733D9C">
        <w:t xml:space="preserve"> = 1.39.</w:t>
      </w:r>
      <w:r w:rsidR="00F71669" w:rsidRPr="00733D9C">
        <w:t xml:space="preserve"> </w:t>
      </w:r>
      <w:r w:rsidR="00F71669" w:rsidRPr="00733D9C">
        <w:rPr>
          <w:rFonts w:eastAsia="Times New Roman"/>
          <w:lang w:val="en-US" w:eastAsia="en-GB"/>
        </w:rPr>
        <w:t>See Table</w:t>
      </w:r>
      <w:r w:rsidR="00F71669">
        <w:rPr>
          <w:rFonts w:eastAsia="Times New Roman"/>
          <w:lang w:val="en-US" w:eastAsia="en-GB"/>
        </w:rPr>
        <w:t xml:space="preserve"> I for HE variables.</w:t>
      </w:r>
    </w:p>
    <w:p w14:paraId="76E78FDD" w14:textId="1D0495E9" w:rsidR="00774703" w:rsidRPr="00370644" w:rsidRDefault="00774703" w:rsidP="00370644">
      <w:pPr>
        <w:spacing w:after="0" w:line="480" w:lineRule="auto"/>
        <w:jc w:val="center"/>
        <w:rPr>
          <w:i/>
          <w:iCs/>
        </w:rPr>
      </w:pPr>
      <w:r>
        <w:rPr>
          <w:i/>
          <w:iCs/>
        </w:rPr>
        <w:t>Higher education</w:t>
      </w:r>
    </w:p>
    <w:p w14:paraId="5EBA73A0" w14:textId="0B601593" w:rsidR="00AC25C5" w:rsidRDefault="00872B5E" w:rsidP="00D4170A">
      <w:pPr>
        <w:spacing w:line="480" w:lineRule="auto"/>
        <w:ind w:firstLine="720"/>
        <w:rPr>
          <w:rFonts w:eastAsia="Times New Roman"/>
          <w:lang w:val="en-US" w:eastAsia="en-GB"/>
        </w:rPr>
      </w:pPr>
      <w:r>
        <w:rPr>
          <w:rFonts w:eastAsia="Arial"/>
        </w:rPr>
        <w:t>T</w:t>
      </w:r>
      <w:r w:rsidR="004F55A5" w:rsidRPr="0013653D">
        <w:rPr>
          <w:rFonts w:eastAsia="Arial"/>
        </w:rPr>
        <w:t>here</w:t>
      </w:r>
      <w:r w:rsidR="004F55A5" w:rsidRPr="00AF72E4">
        <w:rPr>
          <w:rFonts w:eastAsia="Arial"/>
        </w:rPr>
        <w:t xml:space="preserve"> was </w:t>
      </w:r>
      <w:r w:rsidR="00761974">
        <w:rPr>
          <w:rFonts w:eastAsia="Arial"/>
        </w:rPr>
        <w:t>no</w:t>
      </w:r>
      <w:r w:rsidR="004F55A5" w:rsidRPr="00AF72E4">
        <w:rPr>
          <w:rFonts w:eastAsia="Arial"/>
        </w:rPr>
        <w:t xml:space="preserve"> significant </w:t>
      </w:r>
      <w:r>
        <w:rPr>
          <w:rFonts w:eastAsia="Arial"/>
        </w:rPr>
        <w:t>difference</w:t>
      </w:r>
      <w:r w:rsidR="001579C3">
        <w:rPr>
          <w:rFonts w:eastAsia="Arial"/>
        </w:rPr>
        <w:t xml:space="preserve"> in the </w:t>
      </w:r>
      <w:r w:rsidR="00DA24C0">
        <w:rPr>
          <w:rFonts w:eastAsia="Arial"/>
        </w:rPr>
        <w:t>proportion</w:t>
      </w:r>
      <w:r w:rsidR="001579C3">
        <w:rPr>
          <w:rFonts w:eastAsia="Arial"/>
        </w:rPr>
        <w:t xml:space="preserve"> of </w:t>
      </w:r>
      <w:r>
        <w:rPr>
          <w:rFonts w:eastAsia="Arial"/>
        </w:rPr>
        <w:t>autistic and non-autistic individuals engaged in HE</w:t>
      </w:r>
      <w:r w:rsidR="00D925B7">
        <w:rPr>
          <w:rFonts w:eastAsia="Arial"/>
        </w:rPr>
        <w:t xml:space="preserve"> or</w:t>
      </w:r>
      <w:r w:rsidR="00463C6E">
        <w:rPr>
          <w:rFonts w:eastAsia="Arial"/>
        </w:rPr>
        <w:t xml:space="preserve"> of those who</w:t>
      </w:r>
      <w:r w:rsidR="00D925B7">
        <w:rPr>
          <w:rFonts w:eastAsia="Arial"/>
        </w:rPr>
        <w:t xml:space="preserve"> had already</w:t>
      </w:r>
      <w:r w:rsidR="00216EA1">
        <w:rPr>
          <w:rFonts w:eastAsia="Arial"/>
        </w:rPr>
        <w:t xml:space="preserve"> </w:t>
      </w:r>
      <w:r w:rsidR="00D925B7">
        <w:rPr>
          <w:rFonts w:eastAsia="Arial"/>
        </w:rPr>
        <w:t>completed HE.</w:t>
      </w:r>
      <w:r w:rsidR="00636DC7" w:rsidRPr="007357C7">
        <w:rPr>
          <w:rFonts w:eastAsia="Times New Roman"/>
          <w:lang w:val="en-US" w:eastAsia="en-GB"/>
        </w:rPr>
        <w:t xml:space="preserve"> </w:t>
      </w:r>
      <w:r w:rsidR="003B45C6">
        <w:rPr>
          <w:rFonts w:eastAsia="Times New Roman"/>
          <w:lang w:val="en-US" w:eastAsia="en-GB"/>
        </w:rPr>
        <w:t>A significantly larger proportion of a</w:t>
      </w:r>
      <w:r w:rsidR="00DC21FC">
        <w:rPr>
          <w:rFonts w:eastAsia="Times New Roman"/>
          <w:lang w:val="en-US" w:eastAsia="en-GB"/>
        </w:rPr>
        <w:t xml:space="preserve">utistic students </w:t>
      </w:r>
      <w:r w:rsidR="003B45C6">
        <w:rPr>
          <w:rFonts w:eastAsia="Times New Roman"/>
          <w:lang w:val="en-US" w:eastAsia="en-GB"/>
        </w:rPr>
        <w:t>compared</w:t>
      </w:r>
      <w:r w:rsidR="008E4F8C">
        <w:rPr>
          <w:rFonts w:eastAsia="Times New Roman"/>
          <w:lang w:val="en-US" w:eastAsia="en-GB"/>
        </w:rPr>
        <w:t xml:space="preserve"> </w:t>
      </w:r>
      <w:r w:rsidR="00413402">
        <w:rPr>
          <w:rFonts w:eastAsia="Times New Roman"/>
          <w:lang w:val="en-US" w:eastAsia="en-GB"/>
        </w:rPr>
        <w:t xml:space="preserve">to </w:t>
      </w:r>
      <w:r w:rsidR="008E4F8C">
        <w:rPr>
          <w:rFonts w:eastAsia="Times New Roman"/>
          <w:lang w:val="en-US" w:eastAsia="en-GB"/>
        </w:rPr>
        <w:t xml:space="preserve">non-autistic students </w:t>
      </w:r>
      <w:r w:rsidR="003B45C6">
        <w:rPr>
          <w:rFonts w:eastAsia="Times New Roman"/>
          <w:lang w:val="en-US" w:eastAsia="en-GB"/>
        </w:rPr>
        <w:t>were</w:t>
      </w:r>
      <w:r w:rsidR="00DC21FC">
        <w:rPr>
          <w:rFonts w:eastAsia="Times New Roman"/>
          <w:lang w:val="en-US" w:eastAsia="en-GB"/>
        </w:rPr>
        <w:t xml:space="preserve"> engaged in part-time </w:t>
      </w:r>
      <w:r w:rsidR="008E4F8C">
        <w:rPr>
          <w:rFonts w:eastAsia="Times New Roman"/>
          <w:lang w:val="en-US" w:eastAsia="en-GB"/>
        </w:rPr>
        <w:t>rather than full-time</w:t>
      </w:r>
      <w:r w:rsidR="00C432DB">
        <w:rPr>
          <w:rFonts w:eastAsia="Times New Roman"/>
          <w:lang w:val="en-US" w:eastAsia="en-GB"/>
        </w:rPr>
        <w:t xml:space="preserve"> study</w:t>
      </w:r>
      <w:r w:rsidR="00C44D71">
        <w:rPr>
          <w:rFonts w:eastAsia="Times New Roman"/>
          <w:lang w:val="en-US" w:eastAsia="en-GB"/>
        </w:rPr>
        <w:t>, with a medium effect</w:t>
      </w:r>
      <w:r w:rsidR="007918B8">
        <w:rPr>
          <w:rFonts w:eastAsia="Times New Roman"/>
          <w:lang w:val="en-US" w:eastAsia="en-GB"/>
        </w:rPr>
        <w:t xml:space="preserve"> size</w:t>
      </w:r>
      <w:r w:rsidR="008E4F8C">
        <w:rPr>
          <w:rFonts w:eastAsia="Times New Roman"/>
          <w:lang w:val="en-US" w:eastAsia="en-GB"/>
        </w:rPr>
        <w:t xml:space="preserve">. </w:t>
      </w:r>
      <w:r w:rsidR="00F87622">
        <w:rPr>
          <w:rFonts w:eastAsia="Times New Roman"/>
          <w:lang w:val="en-US" w:eastAsia="en-GB"/>
        </w:rPr>
        <w:t>Finally, a</w:t>
      </w:r>
      <w:r w:rsidR="008830DA">
        <w:rPr>
          <w:rFonts w:eastAsia="Times New Roman"/>
          <w:lang w:val="en-US" w:eastAsia="en-GB"/>
        </w:rPr>
        <w:t xml:space="preserve"> significantly higher frequency of autistic students </w:t>
      </w:r>
      <w:r w:rsidR="00B3075E">
        <w:rPr>
          <w:rFonts w:eastAsia="Times New Roman"/>
          <w:lang w:val="en-US" w:eastAsia="en-GB"/>
        </w:rPr>
        <w:t xml:space="preserve">than non-autistic students reported studying at </w:t>
      </w:r>
      <w:r w:rsidR="001446E1">
        <w:t>TAFE/community college</w:t>
      </w:r>
      <w:r w:rsidR="001446E1" w:rsidDel="001446E1">
        <w:rPr>
          <w:rFonts w:eastAsia="Times New Roman"/>
          <w:lang w:val="en-US" w:eastAsia="en-GB"/>
        </w:rPr>
        <w:t xml:space="preserve"> </w:t>
      </w:r>
      <w:r w:rsidR="00B3075E">
        <w:rPr>
          <w:rFonts w:eastAsia="Times New Roman"/>
          <w:lang w:val="en-US" w:eastAsia="en-GB"/>
        </w:rPr>
        <w:t>rather than university</w:t>
      </w:r>
      <w:r w:rsidR="002C3EA8">
        <w:rPr>
          <w:rFonts w:eastAsia="Times New Roman"/>
          <w:lang w:val="en-US" w:eastAsia="en-GB"/>
        </w:rPr>
        <w:t>, with a medium effect size</w:t>
      </w:r>
      <w:r w:rsidR="00B3075E">
        <w:rPr>
          <w:rFonts w:eastAsia="Times New Roman"/>
          <w:lang w:val="en-US" w:eastAsia="en-GB"/>
        </w:rPr>
        <w:t xml:space="preserve">. </w:t>
      </w:r>
    </w:p>
    <w:p w14:paraId="6CF339D1" w14:textId="30735553" w:rsidR="00A80D9E" w:rsidRDefault="00A80D9E" w:rsidP="003F229D">
      <w:pPr>
        <w:spacing w:after="0" w:line="480" w:lineRule="auto"/>
        <w:jc w:val="center"/>
      </w:pPr>
      <w:r>
        <w:t>[INSERT TABLE I HERE]</w:t>
      </w:r>
    </w:p>
    <w:p w14:paraId="539D170F" w14:textId="23426703" w:rsidR="00774703" w:rsidRPr="006F430B" w:rsidRDefault="00774703" w:rsidP="003F229D">
      <w:pPr>
        <w:spacing w:after="0" w:line="480" w:lineRule="auto"/>
        <w:jc w:val="center"/>
        <w:rPr>
          <w:rFonts w:eastAsia="Times New Roman"/>
          <w:i/>
          <w:iCs/>
          <w:lang w:val="en-US" w:eastAsia="en-GB"/>
        </w:rPr>
      </w:pPr>
      <w:r w:rsidRPr="006F430B">
        <w:rPr>
          <w:i/>
          <w:iCs/>
        </w:rPr>
        <w:t xml:space="preserve">Employment </w:t>
      </w:r>
    </w:p>
    <w:p w14:paraId="75AAA4BA" w14:textId="01127467" w:rsidR="004C0658" w:rsidRPr="00AC25C5" w:rsidRDefault="002C3EA8" w:rsidP="00C717FB">
      <w:pPr>
        <w:spacing w:line="480" w:lineRule="auto"/>
        <w:rPr>
          <w:rFonts w:eastAsia="Arial"/>
        </w:rPr>
      </w:pPr>
      <w:r w:rsidRPr="00461A44">
        <w:rPr>
          <w:rFonts w:eastAsia="Times New Roman"/>
          <w:lang w:val="en-US" w:eastAsia="en-GB"/>
        </w:rPr>
        <w:t>Regarding</w:t>
      </w:r>
      <w:r w:rsidR="00F87622" w:rsidRPr="00461A44">
        <w:rPr>
          <w:rFonts w:eastAsia="Times New Roman"/>
          <w:lang w:val="en-US" w:eastAsia="en-GB"/>
        </w:rPr>
        <w:t xml:space="preserve"> employment, </w:t>
      </w:r>
      <w:r w:rsidR="00860F02" w:rsidRPr="00461A44">
        <w:rPr>
          <w:rFonts w:eastAsia="Arial"/>
        </w:rPr>
        <w:t>a significantly smaller proportion of</w:t>
      </w:r>
      <w:r w:rsidR="00FA7395" w:rsidRPr="00461A44">
        <w:rPr>
          <w:rFonts w:eastAsia="Arial"/>
        </w:rPr>
        <w:t xml:space="preserve"> </w:t>
      </w:r>
      <w:r w:rsidR="00287AC9" w:rsidRPr="00461A44">
        <w:rPr>
          <w:rFonts w:eastAsia="Arial"/>
        </w:rPr>
        <w:t>autistic</w:t>
      </w:r>
      <w:r w:rsidR="00860F02" w:rsidRPr="00461A44">
        <w:rPr>
          <w:rFonts w:eastAsia="Arial"/>
        </w:rPr>
        <w:t xml:space="preserve"> individuals</w:t>
      </w:r>
      <w:r w:rsidR="00AF05C3" w:rsidRPr="00461A44">
        <w:rPr>
          <w:rFonts w:eastAsia="Arial"/>
        </w:rPr>
        <w:t xml:space="preserve"> (</w:t>
      </w:r>
      <w:r w:rsidR="008164FE" w:rsidRPr="00461A44">
        <w:rPr>
          <w:rFonts w:eastAsia="Arial"/>
        </w:rPr>
        <w:t>34.6</w:t>
      </w:r>
      <w:r w:rsidR="00AF05C3" w:rsidRPr="00461A44">
        <w:rPr>
          <w:rFonts w:eastAsia="Arial"/>
        </w:rPr>
        <w:t>%)</w:t>
      </w:r>
      <w:r w:rsidR="00AB6444" w:rsidRPr="00461A44">
        <w:rPr>
          <w:rFonts w:eastAsia="Arial"/>
        </w:rPr>
        <w:t xml:space="preserve"> </w:t>
      </w:r>
      <w:r w:rsidR="00A51935" w:rsidRPr="00461A44">
        <w:rPr>
          <w:rFonts w:eastAsia="Arial"/>
        </w:rPr>
        <w:t>were</w:t>
      </w:r>
      <w:r w:rsidR="00AB6444" w:rsidRPr="00461A44">
        <w:rPr>
          <w:rFonts w:eastAsia="Arial"/>
        </w:rPr>
        <w:t xml:space="preserve"> employed compared to</w:t>
      </w:r>
      <w:r w:rsidR="00287AC9" w:rsidRPr="00461A44">
        <w:rPr>
          <w:rFonts w:eastAsia="Arial"/>
        </w:rPr>
        <w:t xml:space="preserve"> non-autistic individuals</w:t>
      </w:r>
      <w:r w:rsidR="00C717FB" w:rsidRPr="00461A44">
        <w:rPr>
          <w:rFonts w:eastAsia="Arial"/>
        </w:rPr>
        <w:t xml:space="preserve"> (</w:t>
      </w:r>
      <w:r w:rsidR="008164FE" w:rsidRPr="00461A44">
        <w:rPr>
          <w:rFonts w:eastAsia="Arial"/>
        </w:rPr>
        <w:t>68.2</w:t>
      </w:r>
      <w:r w:rsidR="00C717FB" w:rsidRPr="00461A44">
        <w:rPr>
          <w:rFonts w:eastAsia="Arial"/>
        </w:rPr>
        <w:t>%)</w:t>
      </w:r>
      <w:r w:rsidRPr="00461A44">
        <w:rPr>
          <w:rFonts w:eastAsia="Arial"/>
        </w:rPr>
        <w:t xml:space="preserve">, </w:t>
      </w:r>
      <w:r w:rsidR="004D2F2A" w:rsidRPr="00461A44">
        <w:rPr>
          <w:rFonts w:eastAsia="Arial"/>
        </w:rPr>
        <w:t>χ</w:t>
      </w:r>
      <w:r w:rsidR="004D2F2A" w:rsidRPr="00461A44">
        <w:rPr>
          <w:rFonts w:eastAsia="Arial"/>
          <w:vertAlign w:val="superscript"/>
        </w:rPr>
        <w:t>2</w:t>
      </w:r>
      <w:r w:rsidR="004D2F2A" w:rsidRPr="00461A44">
        <w:rPr>
          <w:rFonts w:eastAsia="Arial"/>
        </w:rPr>
        <w:t xml:space="preserve"> (1)</w:t>
      </w:r>
      <w:r w:rsidR="004D2F2A" w:rsidRPr="00461A44">
        <w:rPr>
          <w:rFonts w:eastAsia="Arial"/>
          <w:vertAlign w:val="superscript"/>
        </w:rPr>
        <w:t xml:space="preserve"> </w:t>
      </w:r>
      <w:r w:rsidR="004D2F2A" w:rsidRPr="00461A44">
        <w:rPr>
          <w:rFonts w:eastAsia="Arial"/>
        </w:rPr>
        <w:t xml:space="preserve">= 20.52, </w:t>
      </w:r>
      <w:r w:rsidR="004D2F2A" w:rsidRPr="00461A44">
        <w:rPr>
          <w:rFonts w:eastAsia="Arial"/>
          <w:i/>
          <w:iCs/>
        </w:rPr>
        <w:t xml:space="preserve">p </w:t>
      </w:r>
      <w:r w:rsidR="004D2F2A" w:rsidRPr="00461A44">
        <w:rPr>
          <w:rFonts w:eastAsia="Arial"/>
        </w:rPr>
        <w:t>&lt; .001,</w:t>
      </w:r>
      <w:r w:rsidR="004D2F2A" w:rsidRPr="00461A44">
        <w:rPr>
          <w:rFonts w:eastAsia="Arial"/>
          <w:i/>
          <w:iCs/>
        </w:rPr>
        <w:t xml:space="preserve"> V</w:t>
      </w:r>
      <w:r w:rsidR="004D2F2A" w:rsidRPr="00461A44">
        <w:rPr>
          <w:rFonts w:eastAsia="Arial"/>
        </w:rPr>
        <w:t xml:space="preserve"> = .33, </w:t>
      </w:r>
      <w:r w:rsidRPr="00461A44">
        <w:rPr>
          <w:rFonts w:eastAsia="Arial"/>
        </w:rPr>
        <w:t>with a medium effect size</w:t>
      </w:r>
      <w:r w:rsidR="007F34C4" w:rsidRPr="00461A44">
        <w:rPr>
          <w:rFonts w:eastAsia="Arial"/>
        </w:rPr>
        <w:t xml:space="preserve">. </w:t>
      </w:r>
      <w:r w:rsidR="00904CCE" w:rsidRPr="00461A44">
        <w:rPr>
          <w:rFonts w:eastAsia="Arial"/>
        </w:rPr>
        <w:t>Exploring</w:t>
      </w:r>
      <w:r w:rsidR="00291A0C">
        <w:rPr>
          <w:rFonts w:eastAsia="Arial"/>
        </w:rPr>
        <w:t xml:space="preserve"> the differences in the number of hours worked </w:t>
      </w:r>
      <w:r w:rsidR="00291A0C">
        <w:rPr>
          <w:rFonts w:eastAsia="Arial"/>
        </w:rPr>
        <w:lastRenderedPageBreak/>
        <w:t xml:space="preserve">weekly </w:t>
      </w:r>
      <w:r w:rsidR="00291A0C" w:rsidRPr="00B02E89">
        <w:rPr>
          <w:rFonts w:eastAsia="Arial"/>
        </w:rPr>
        <w:t>revealed that</w:t>
      </w:r>
      <w:r w:rsidR="00EC4F5F" w:rsidRPr="00B02E89">
        <w:rPr>
          <w:rFonts w:eastAsia="Arial"/>
        </w:rPr>
        <w:t xml:space="preserve"> of those employed</w:t>
      </w:r>
      <w:r w:rsidR="00F36B47" w:rsidRPr="00B02E89">
        <w:rPr>
          <w:rFonts w:eastAsia="Arial"/>
        </w:rPr>
        <w:t xml:space="preserve"> </w:t>
      </w:r>
      <w:r w:rsidR="00EC4F5F" w:rsidRPr="00B02E89">
        <w:rPr>
          <w:rFonts w:eastAsia="Arial"/>
        </w:rPr>
        <w:t>there were no differences reported in hours worked weekly</w:t>
      </w:r>
      <w:r w:rsidR="00F36B47" w:rsidRPr="00B02E89">
        <w:rPr>
          <w:rFonts w:eastAsia="Arial"/>
        </w:rPr>
        <w:t xml:space="preserve"> between </w:t>
      </w:r>
      <w:r w:rsidR="00F36B47" w:rsidRPr="005B2CB7">
        <w:rPr>
          <w:rFonts w:eastAsia="Arial"/>
        </w:rPr>
        <w:t>autistic (</w:t>
      </w:r>
      <w:r w:rsidR="00A237F8" w:rsidRPr="005B2CB7">
        <w:rPr>
          <w:rFonts w:eastAsia="Arial"/>
          <w:i/>
          <w:iCs/>
        </w:rPr>
        <w:t>M</w:t>
      </w:r>
      <w:r w:rsidR="00A237F8" w:rsidRPr="005B2CB7">
        <w:rPr>
          <w:rFonts w:eastAsia="Arial"/>
        </w:rPr>
        <w:t xml:space="preserve"> = </w:t>
      </w:r>
      <w:r w:rsidR="00996944" w:rsidRPr="005B2CB7">
        <w:rPr>
          <w:rFonts w:eastAsia="Arial"/>
        </w:rPr>
        <w:t>18.</w:t>
      </w:r>
      <w:r w:rsidR="00B02E89" w:rsidRPr="005B2CB7">
        <w:rPr>
          <w:rFonts w:eastAsia="Arial"/>
        </w:rPr>
        <w:t>58</w:t>
      </w:r>
      <w:r w:rsidR="00E55C1F" w:rsidRPr="005B2CB7">
        <w:rPr>
          <w:rFonts w:eastAsia="Arial"/>
        </w:rPr>
        <w:t xml:space="preserve"> hours</w:t>
      </w:r>
      <w:r w:rsidR="00A237F8" w:rsidRPr="005B2CB7">
        <w:rPr>
          <w:rFonts w:eastAsia="Arial"/>
        </w:rPr>
        <w:t xml:space="preserve">, </w:t>
      </w:r>
      <w:r w:rsidR="00A237F8" w:rsidRPr="005B2CB7">
        <w:rPr>
          <w:rFonts w:eastAsia="Arial"/>
          <w:i/>
          <w:iCs/>
        </w:rPr>
        <w:t>SD</w:t>
      </w:r>
      <w:r w:rsidR="00A237F8" w:rsidRPr="005B2CB7">
        <w:rPr>
          <w:rFonts w:eastAsia="Arial"/>
        </w:rPr>
        <w:t xml:space="preserve"> = </w:t>
      </w:r>
      <w:r w:rsidR="004E15D0" w:rsidRPr="005B2CB7">
        <w:rPr>
          <w:rFonts w:eastAsia="Arial"/>
        </w:rPr>
        <w:t>12.</w:t>
      </w:r>
      <w:r w:rsidR="00B02E89" w:rsidRPr="005B2CB7">
        <w:rPr>
          <w:rFonts w:eastAsia="Arial"/>
        </w:rPr>
        <w:t>26</w:t>
      </w:r>
      <w:r w:rsidR="00F36B47" w:rsidRPr="005B2CB7">
        <w:rPr>
          <w:rFonts w:eastAsia="Arial"/>
        </w:rPr>
        <w:t xml:space="preserve">) and non-autistic </w:t>
      </w:r>
      <w:r w:rsidR="00996944" w:rsidRPr="005B2CB7">
        <w:rPr>
          <w:rFonts w:eastAsia="Arial"/>
        </w:rPr>
        <w:t>(</w:t>
      </w:r>
      <w:r w:rsidR="00B02E89" w:rsidRPr="005B2CB7">
        <w:rPr>
          <w:rFonts w:eastAsia="Arial"/>
          <w:i/>
          <w:iCs/>
        </w:rPr>
        <w:t>M</w:t>
      </w:r>
      <w:r w:rsidR="00B02E89" w:rsidRPr="005B2CB7">
        <w:rPr>
          <w:rFonts w:eastAsia="Arial"/>
        </w:rPr>
        <w:t xml:space="preserve"> = </w:t>
      </w:r>
      <w:r w:rsidR="00480793" w:rsidRPr="005B2CB7">
        <w:rPr>
          <w:rFonts w:eastAsia="Arial"/>
        </w:rPr>
        <w:t>19.8</w:t>
      </w:r>
      <w:r w:rsidR="00E03683" w:rsidRPr="005B2CB7">
        <w:rPr>
          <w:rFonts w:eastAsia="Arial"/>
        </w:rPr>
        <w:t>0</w:t>
      </w:r>
      <w:r w:rsidR="00E55C1F" w:rsidRPr="005B2CB7">
        <w:rPr>
          <w:rFonts w:eastAsia="Arial"/>
        </w:rPr>
        <w:t xml:space="preserve"> hours</w:t>
      </w:r>
      <w:r w:rsidR="000E279F" w:rsidRPr="005B2CB7">
        <w:rPr>
          <w:rFonts w:eastAsia="Arial"/>
        </w:rPr>
        <w:t xml:space="preserve">; </w:t>
      </w:r>
      <w:r w:rsidR="00B02E89" w:rsidRPr="005B2CB7">
        <w:rPr>
          <w:rFonts w:eastAsia="Arial"/>
          <w:i/>
          <w:iCs/>
        </w:rPr>
        <w:t>SD</w:t>
      </w:r>
      <w:r w:rsidR="00B02E89" w:rsidRPr="005B2CB7">
        <w:rPr>
          <w:rFonts w:eastAsia="Arial"/>
        </w:rPr>
        <w:t xml:space="preserve"> = 12.77</w:t>
      </w:r>
      <w:r w:rsidR="00996944" w:rsidRPr="005B2CB7">
        <w:rPr>
          <w:rFonts w:eastAsia="Arial"/>
        </w:rPr>
        <w:t xml:space="preserve">) </w:t>
      </w:r>
      <w:r w:rsidR="00F36B47" w:rsidRPr="005B2CB7">
        <w:rPr>
          <w:rFonts w:eastAsia="Arial"/>
        </w:rPr>
        <w:t>individuals</w:t>
      </w:r>
      <w:r w:rsidR="00EC4F5F" w:rsidRPr="005B2CB7">
        <w:rPr>
          <w:rFonts w:eastAsia="Arial"/>
        </w:rPr>
        <w:t xml:space="preserve">, </w:t>
      </w:r>
      <w:r w:rsidR="00EC4F5F" w:rsidRPr="005B2CB7">
        <w:rPr>
          <w:rFonts w:eastAsia="Arial"/>
          <w:i/>
          <w:iCs/>
        </w:rPr>
        <w:t>t</w:t>
      </w:r>
      <w:r w:rsidR="00480793" w:rsidRPr="005B2CB7">
        <w:rPr>
          <w:rFonts w:eastAsia="Arial"/>
        </w:rPr>
        <w:t>(</w:t>
      </w:r>
      <w:r w:rsidR="00F80A7F" w:rsidRPr="005B2CB7">
        <w:rPr>
          <w:rFonts w:eastAsia="Arial"/>
        </w:rPr>
        <w:t>90</w:t>
      </w:r>
      <w:r w:rsidR="00480793" w:rsidRPr="005B2CB7">
        <w:rPr>
          <w:rFonts w:eastAsia="Arial"/>
        </w:rPr>
        <w:t>)</w:t>
      </w:r>
      <w:r w:rsidR="00F80A7F" w:rsidRPr="005B2CB7">
        <w:rPr>
          <w:rFonts w:eastAsia="Arial"/>
        </w:rPr>
        <w:t xml:space="preserve"> = </w:t>
      </w:r>
      <w:r w:rsidR="00080114" w:rsidRPr="005B2CB7">
        <w:rPr>
          <w:rFonts w:eastAsia="Arial"/>
        </w:rPr>
        <w:t xml:space="preserve">0.41, </w:t>
      </w:r>
      <w:r w:rsidR="00080114" w:rsidRPr="005B2CB7">
        <w:rPr>
          <w:rFonts w:eastAsia="Arial"/>
          <w:i/>
          <w:iCs/>
        </w:rPr>
        <w:t>p</w:t>
      </w:r>
      <w:r w:rsidR="00080114" w:rsidRPr="005B2CB7">
        <w:rPr>
          <w:rFonts w:eastAsia="Arial"/>
        </w:rPr>
        <w:t xml:space="preserve"> = .680</w:t>
      </w:r>
      <w:r w:rsidR="00E07063" w:rsidRPr="005B2CB7">
        <w:rPr>
          <w:rFonts w:eastAsia="Arial"/>
        </w:rPr>
        <w:t xml:space="preserve">, </w:t>
      </w:r>
      <w:r w:rsidR="00E07063" w:rsidRPr="005B2CB7">
        <w:rPr>
          <w:rFonts w:eastAsia="Arial"/>
          <w:i/>
          <w:iCs/>
        </w:rPr>
        <w:t>d</w:t>
      </w:r>
      <w:r w:rsidR="00E07063" w:rsidRPr="005B2CB7">
        <w:rPr>
          <w:rFonts w:eastAsia="Arial"/>
        </w:rPr>
        <w:t xml:space="preserve"> = </w:t>
      </w:r>
      <w:r w:rsidR="006C4372" w:rsidRPr="005B2CB7">
        <w:rPr>
          <w:rFonts w:eastAsia="Arial"/>
        </w:rPr>
        <w:t>0</w:t>
      </w:r>
      <w:r w:rsidR="00E07063" w:rsidRPr="005B2CB7">
        <w:rPr>
          <w:rFonts w:eastAsia="Arial"/>
        </w:rPr>
        <w:t>.09</w:t>
      </w:r>
      <w:r w:rsidR="00D61B7D" w:rsidRPr="005B2CB7">
        <w:rPr>
          <w:rFonts w:eastAsia="Arial"/>
        </w:rPr>
        <w:t>.</w:t>
      </w:r>
      <w:r w:rsidR="00D61B7D">
        <w:rPr>
          <w:rFonts w:eastAsia="Arial"/>
        </w:rPr>
        <w:t xml:space="preserve"> </w:t>
      </w:r>
    </w:p>
    <w:p w14:paraId="0DB92CF1" w14:textId="392D145D" w:rsidR="00FF38AE" w:rsidRPr="00166E6D" w:rsidRDefault="00FF38AE" w:rsidP="00166E6D">
      <w:pPr>
        <w:spacing w:line="480" w:lineRule="auto"/>
        <w:jc w:val="center"/>
        <w:rPr>
          <w:rFonts w:eastAsia="Times New Roman"/>
          <w:bCs/>
          <w:i/>
          <w:lang w:val="en-US" w:eastAsia="en-GB"/>
        </w:rPr>
      </w:pPr>
      <w:r w:rsidRPr="00166E6D">
        <w:rPr>
          <w:rFonts w:eastAsia="Times New Roman"/>
          <w:bCs/>
          <w:i/>
          <w:lang w:val="en-US" w:eastAsia="en-GB"/>
        </w:rPr>
        <w:t>All post school activities</w:t>
      </w:r>
    </w:p>
    <w:p w14:paraId="30BC2169" w14:textId="6538A623" w:rsidR="0038577F" w:rsidRDefault="001C4050" w:rsidP="00DB2D69">
      <w:pPr>
        <w:spacing w:line="480" w:lineRule="auto"/>
        <w:ind w:firstLine="720"/>
        <w:rPr>
          <w:rFonts w:eastAsia="Arial"/>
        </w:rPr>
      </w:pPr>
      <w:r w:rsidRPr="004176C4">
        <w:rPr>
          <w:rFonts w:eastAsia="Times New Roman"/>
          <w:lang w:val="en-US" w:eastAsia="en-GB"/>
        </w:rPr>
        <w:t>To consider</w:t>
      </w:r>
      <w:r w:rsidR="00B94C01" w:rsidRPr="004176C4">
        <w:rPr>
          <w:rFonts w:eastAsia="Times New Roman"/>
          <w:lang w:val="en-US" w:eastAsia="en-GB"/>
        </w:rPr>
        <w:t xml:space="preserve"> all post-school</w:t>
      </w:r>
      <w:r w:rsidRPr="004176C4">
        <w:rPr>
          <w:rFonts w:eastAsia="Times New Roman"/>
          <w:lang w:val="en-US" w:eastAsia="en-GB"/>
        </w:rPr>
        <w:t xml:space="preserve"> </w:t>
      </w:r>
      <w:r w:rsidR="00B94C01" w:rsidRPr="004176C4">
        <w:rPr>
          <w:rFonts w:eastAsia="Times New Roman"/>
          <w:lang w:val="en-US" w:eastAsia="en-GB"/>
        </w:rPr>
        <w:t>activity</w:t>
      </w:r>
      <w:r w:rsidR="000A1A3F" w:rsidRPr="004176C4">
        <w:rPr>
          <w:rFonts w:eastAsia="Times New Roman"/>
          <w:lang w:val="en-US" w:eastAsia="en-GB"/>
        </w:rPr>
        <w:t xml:space="preserve"> and those engaged in multiple activities</w:t>
      </w:r>
      <w:r w:rsidR="000F5BAC" w:rsidRPr="004176C4">
        <w:rPr>
          <w:rFonts w:eastAsia="Times New Roman"/>
          <w:lang w:val="en-US" w:eastAsia="en-GB"/>
        </w:rPr>
        <w:t>,</w:t>
      </w:r>
      <w:r w:rsidRPr="004176C4">
        <w:rPr>
          <w:rFonts w:eastAsia="Times New Roman"/>
          <w:lang w:val="en-US" w:eastAsia="en-GB"/>
        </w:rPr>
        <w:t xml:space="preserve"> current education </w:t>
      </w:r>
      <w:r w:rsidRPr="009E7A24">
        <w:rPr>
          <w:rFonts w:eastAsia="Times New Roman"/>
          <w:lang w:val="en-US" w:eastAsia="en-GB"/>
        </w:rPr>
        <w:t>and employment we</w:t>
      </w:r>
      <w:r w:rsidR="00080D81" w:rsidRPr="009E7A24">
        <w:rPr>
          <w:rFonts w:eastAsia="Times New Roman"/>
          <w:lang w:val="en-US" w:eastAsia="en-GB"/>
        </w:rPr>
        <w:t>re</w:t>
      </w:r>
      <w:r w:rsidRPr="009E7A24">
        <w:rPr>
          <w:rFonts w:eastAsia="Times New Roman"/>
          <w:lang w:val="en-US" w:eastAsia="en-GB"/>
        </w:rPr>
        <w:t xml:space="preserve"> combined into a ‘post-school activities’ variable with options ‘No HE or employment’, ‘HE only’, ‘HE and employment’, and ‘Employment only’</w:t>
      </w:r>
      <w:r w:rsidR="00F628F1" w:rsidRPr="009E7A24">
        <w:rPr>
          <w:rFonts w:eastAsia="Times New Roman"/>
          <w:lang w:val="en-US" w:eastAsia="en-GB"/>
        </w:rPr>
        <w:t xml:space="preserve"> (Table </w:t>
      </w:r>
      <w:r w:rsidR="00156826">
        <w:rPr>
          <w:rFonts w:eastAsia="Times New Roman"/>
          <w:lang w:val="en-US" w:eastAsia="en-GB"/>
        </w:rPr>
        <w:t>II</w:t>
      </w:r>
      <w:r w:rsidR="00F628F1" w:rsidRPr="009E7A24">
        <w:rPr>
          <w:rFonts w:eastAsia="Times New Roman"/>
          <w:lang w:val="en-US" w:eastAsia="en-GB"/>
        </w:rPr>
        <w:t>)</w:t>
      </w:r>
      <w:r w:rsidRPr="009E7A24">
        <w:rPr>
          <w:rFonts w:eastAsia="Times New Roman"/>
          <w:lang w:val="en-US" w:eastAsia="en-GB"/>
        </w:rPr>
        <w:t xml:space="preserve">. </w:t>
      </w:r>
      <w:r w:rsidR="0033694C" w:rsidRPr="009E7A24">
        <w:rPr>
          <w:rFonts w:eastAsia="Times New Roman"/>
          <w:lang w:val="en-US" w:eastAsia="en-GB"/>
        </w:rPr>
        <w:t>A chi-square analysis</w:t>
      </w:r>
      <w:r w:rsidR="001C5802" w:rsidRPr="009E7A24">
        <w:rPr>
          <w:rFonts w:eastAsia="Times New Roman"/>
          <w:lang w:val="en-US" w:eastAsia="en-GB"/>
        </w:rPr>
        <w:t xml:space="preserve"> between the </w:t>
      </w:r>
      <w:r w:rsidR="00325C06" w:rsidRPr="009E7A24">
        <w:rPr>
          <w:rFonts w:eastAsia="Times New Roman"/>
          <w:lang w:val="en-US" w:eastAsia="en-GB"/>
        </w:rPr>
        <w:t>four</w:t>
      </w:r>
      <w:r w:rsidR="001C5802" w:rsidRPr="009E7A24">
        <w:rPr>
          <w:rFonts w:eastAsia="Times New Roman"/>
          <w:lang w:val="en-US" w:eastAsia="en-GB"/>
        </w:rPr>
        <w:t xml:space="preserve"> categories</w:t>
      </w:r>
      <w:r w:rsidR="0033694C" w:rsidRPr="00325C06">
        <w:rPr>
          <w:rFonts w:eastAsia="Times New Roman"/>
          <w:lang w:val="en-US" w:eastAsia="en-GB"/>
        </w:rPr>
        <w:t xml:space="preserve"> revealed</w:t>
      </w:r>
      <w:r w:rsidR="00E5061B" w:rsidRPr="00325C06">
        <w:rPr>
          <w:rFonts w:eastAsia="Times New Roman"/>
          <w:lang w:val="en-US" w:eastAsia="en-GB"/>
        </w:rPr>
        <w:t xml:space="preserve"> a statistically significant difference between groups</w:t>
      </w:r>
      <w:r w:rsidR="003347AC">
        <w:rPr>
          <w:rFonts w:eastAsia="Times New Roman"/>
          <w:lang w:val="en-US" w:eastAsia="en-GB"/>
        </w:rPr>
        <w:t xml:space="preserve"> with a large effect size</w:t>
      </w:r>
      <w:r w:rsidR="00E5061B" w:rsidRPr="00325C06">
        <w:rPr>
          <w:rFonts w:eastAsia="Times New Roman"/>
          <w:lang w:val="en-US" w:eastAsia="en-GB"/>
        </w:rPr>
        <w:t xml:space="preserve">, </w:t>
      </w:r>
      <w:r w:rsidR="00E5061B" w:rsidRPr="00325C06">
        <w:rPr>
          <w:rFonts w:eastAsia="Arial"/>
        </w:rPr>
        <w:t>χ</w:t>
      </w:r>
      <w:r w:rsidR="00E5061B" w:rsidRPr="00325C06">
        <w:rPr>
          <w:rFonts w:eastAsia="Arial"/>
          <w:vertAlign w:val="superscript"/>
        </w:rPr>
        <w:t>2</w:t>
      </w:r>
      <w:r w:rsidR="00E5061B" w:rsidRPr="00325C06">
        <w:rPr>
          <w:rFonts w:eastAsia="Arial"/>
        </w:rPr>
        <w:t xml:space="preserve"> (</w:t>
      </w:r>
      <w:r w:rsidR="00325C06">
        <w:rPr>
          <w:rFonts w:eastAsia="Arial"/>
        </w:rPr>
        <w:t>3</w:t>
      </w:r>
      <w:r w:rsidR="00E5061B" w:rsidRPr="00325C06">
        <w:rPr>
          <w:rFonts w:eastAsia="Arial"/>
        </w:rPr>
        <w:t>)</w:t>
      </w:r>
      <w:r w:rsidR="00E5061B" w:rsidRPr="00325C06">
        <w:rPr>
          <w:rFonts w:eastAsia="Arial"/>
          <w:vertAlign w:val="superscript"/>
        </w:rPr>
        <w:t xml:space="preserve"> </w:t>
      </w:r>
      <w:r w:rsidR="00E5061B" w:rsidRPr="00325C06">
        <w:rPr>
          <w:rFonts w:eastAsia="Arial"/>
        </w:rPr>
        <w:t xml:space="preserve">= </w:t>
      </w:r>
      <w:r w:rsidR="00F379C5" w:rsidRPr="00325C06">
        <w:rPr>
          <w:rFonts w:eastAsia="Arial"/>
        </w:rPr>
        <w:t>2</w:t>
      </w:r>
      <w:r w:rsidR="00695367">
        <w:rPr>
          <w:rFonts w:eastAsia="Arial"/>
        </w:rPr>
        <w:t>4</w:t>
      </w:r>
      <w:r w:rsidR="00F379C5" w:rsidRPr="00325C06">
        <w:rPr>
          <w:rFonts w:eastAsia="Arial"/>
        </w:rPr>
        <w:t>.</w:t>
      </w:r>
      <w:r w:rsidR="00695367">
        <w:rPr>
          <w:rFonts w:eastAsia="Arial"/>
        </w:rPr>
        <w:t>3</w:t>
      </w:r>
      <w:r w:rsidR="00E164DD" w:rsidRPr="00325C06">
        <w:rPr>
          <w:rFonts w:eastAsia="Arial"/>
        </w:rPr>
        <w:t>3</w:t>
      </w:r>
      <w:r w:rsidR="00E5061B" w:rsidRPr="00325C06">
        <w:rPr>
          <w:rFonts w:eastAsia="Arial"/>
        </w:rPr>
        <w:t xml:space="preserve">, </w:t>
      </w:r>
      <w:r w:rsidR="00E5061B" w:rsidRPr="00325C06">
        <w:rPr>
          <w:rFonts w:eastAsia="Arial"/>
          <w:i/>
          <w:iCs/>
        </w:rPr>
        <w:t xml:space="preserve">p </w:t>
      </w:r>
      <w:r w:rsidR="008D07CE" w:rsidRPr="00325C06">
        <w:rPr>
          <w:rFonts w:eastAsia="Arial"/>
        </w:rPr>
        <w:t>&lt; .001</w:t>
      </w:r>
      <w:r w:rsidR="00FC2F30" w:rsidRPr="00325C06">
        <w:rPr>
          <w:rFonts w:eastAsia="Arial"/>
        </w:rPr>
        <w:t xml:space="preserve">, </w:t>
      </w:r>
      <w:r w:rsidR="00FC2F30" w:rsidRPr="00325C06">
        <w:rPr>
          <w:rFonts w:eastAsia="Arial"/>
          <w:i/>
          <w:iCs/>
        </w:rPr>
        <w:t>V</w:t>
      </w:r>
      <w:r w:rsidR="00FC2F30" w:rsidRPr="00325C06">
        <w:rPr>
          <w:rFonts w:eastAsia="Arial"/>
        </w:rPr>
        <w:t xml:space="preserve"> = </w:t>
      </w:r>
      <w:r w:rsidR="004D2A91" w:rsidRPr="00325C06">
        <w:rPr>
          <w:rFonts w:eastAsia="Arial"/>
        </w:rPr>
        <w:t>.3</w:t>
      </w:r>
      <w:r w:rsidR="00C120A7">
        <w:rPr>
          <w:rFonts w:eastAsia="Arial"/>
        </w:rPr>
        <w:t>6</w:t>
      </w:r>
      <w:r w:rsidR="008D07CE" w:rsidRPr="00325C06">
        <w:rPr>
          <w:rFonts w:eastAsia="Arial"/>
        </w:rPr>
        <w:t>.</w:t>
      </w:r>
    </w:p>
    <w:p w14:paraId="494A6EA5" w14:textId="31A49033" w:rsidR="004B2155" w:rsidRDefault="00615310" w:rsidP="00615310">
      <w:pPr>
        <w:spacing w:line="480" w:lineRule="auto"/>
        <w:jc w:val="center"/>
        <w:rPr>
          <w:rFonts w:eastAsia="Arial"/>
        </w:rPr>
      </w:pPr>
      <w:r>
        <w:rPr>
          <w:rFonts w:eastAsia="Arial"/>
        </w:rPr>
        <w:t>[INSERT TABLE II HERE]</w:t>
      </w:r>
    </w:p>
    <w:p w14:paraId="113CCBAC" w14:textId="77777777" w:rsidR="00615310" w:rsidRPr="00186230" w:rsidRDefault="00615310" w:rsidP="00615310">
      <w:pPr>
        <w:spacing w:line="480" w:lineRule="auto"/>
        <w:jc w:val="center"/>
        <w:rPr>
          <w:rFonts w:eastAsia="Times New Roman"/>
          <w:lang w:val="en-US" w:eastAsia="en-GB"/>
        </w:rPr>
      </w:pPr>
    </w:p>
    <w:p w14:paraId="6E6AA28E" w14:textId="31266763" w:rsidR="00CB0E11" w:rsidRDefault="000279CB" w:rsidP="00615310">
      <w:pPr>
        <w:spacing w:line="480" w:lineRule="auto"/>
        <w:ind w:firstLine="720"/>
        <w:rPr>
          <w:rFonts w:eastAsia="Times New Roman"/>
          <w:lang w:val="en-US" w:eastAsia="en-GB"/>
        </w:rPr>
      </w:pPr>
      <w:r w:rsidRPr="00186230">
        <w:rPr>
          <w:rFonts w:eastAsia="Times New Roman"/>
          <w:lang w:val="en-US" w:eastAsia="en-GB"/>
        </w:rPr>
        <w:t>Inspecting adjusted standardized residuals at each level</w:t>
      </w:r>
      <w:r w:rsidR="004254F6" w:rsidRPr="00186230">
        <w:rPr>
          <w:rFonts w:eastAsia="Times New Roman"/>
          <w:lang w:val="en-US" w:eastAsia="en-GB"/>
        </w:rPr>
        <w:t xml:space="preserve"> for those </w:t>
      </w:r>
      <w:r w:rsidR="006F4758" w:rsidRPr="00186230">
        <w:rPr>
          <w:rFonts w:eastAsia="Times New Roman"/>
          <w:lang w:val="en-US" w:eastAsia="en-GB"/>
        </w:rPr>
        <w:t>±</w:t>
      </w:r>
      <w:r w:rsidR="004254F6" w:rsidRPr="00186230">
        <w:rPr>
          <w:rFonts w:eastAsia="Times New Roman"/>
          <w:i/>
          <w:iCs/>
          <w:lang w:val="en-US" w:eastAsia="en-GB"/>
        </w:rPr>
        <w:t xml:space="preserve"> z</w:t>
      </w:r>
      <w:r w:rsidR="004254F6" w:rsidRPr="00186230">
        <w:rPr>
          <w:rFonts w:eastAsia="Times New Roman"/>
          <w:lang w:val="en-US" w:eastAsia="en-GB"/>
        </w:rPr>
        <w:t xml:space="preserve"> = 1.96</w:t>
      </w:r>
      <w:r w:rsidR="00C17204" w:rsidRPr="00186230">
        <w:rPr>
          <w:rFonts w:eastAsia="Times New Roman"/>
          <w:lang w:val="en-US" w:eastAsia="en-GB"/>
        </w:rPr>
        <w:t xml:space="preserve"> </w:t>
      </w:r>
      <w:r w:rsidR="00413A2B" w:rsidRPr="00186230">
        <w:rPr>
          <w:rFonts w:eastAsia="Times New Roman"/>
          <w:lang w:val="en-US" w:eastAsia="en-GB"/>
        </w:rPr>
        <w:t xml:space="preserve">revealed no differences between </w:t>
      </w:r>
      <w:r w:rsidR="003F156A" w:rsidRPr="00186230">
        <w:rPr>
          <w:rFonts w:eastAsia="Times New Roman"/>
          <w:lang w:val="en-US" w:eastAsia="en-GB"/>
        </w:rPr>
        <w:t>the</w:t>
      </w:r>
      <w:r w:rsidR="0008346B" w:rsidRPr="00186230">
        <w:rPr>
          <w:rFonts w:eastAsia="Times New Roman"/>
          <w:lang w:val="en-US" w:eastAsia="en-GB"/>
        </w:rPr>
        <w:t xml:space="preserve"> proportion </w:t>
      </w:r>
      <w:r w:rsidR="003F156A" w:rsidRPr="00186230">
        <w:rPr>
          <w:rFonts w:eastAsia="Times New Roman"/>
          <w:lang w:val="en-US" w:eastAsia="en-GB"/>
        </w:rPr>
        <w:t xml:space="preserve">of </w:t>
      </w:r>
      <w:r w:rsidR="0008346B" w:rsidRPr="00186230">
        <w:rPr>
          <w:rFonts w:eastAsia="Times New Roman"/>
          <w:lang w:val="en-US" w:eastAsia="en-GB"/>
        </w:rPr>
        <w:t>autistic/non-autistic individuals</w:t>
      </w:r>
      <w:r w:rsidR="007E6DD2" w:rsidRPr="00186230">
        <w:rPr>
          <w:rFonts w:eastAsia="Times New Roman"/>
          <w:lang w:val="en-US" w:eastAsia="en-GB"/>
        </w:rPr>
        <w:t xml:space="preserve"> in </w:t>
      </w:r>
      <w:r w:rsidR="003F156A" w:rsidRPr="00186230">
        <w:rPr>
          <w:rFonts w:eastAsia="Times New Roman"/>
          <w:lang w:val="en-US" w:eastAsia="en-GB"/>
        </w:rPr>
        <w:t>the ‘Employment only’ category</w:t>
      </w:r>
      <w:r w:rsidR="003F156A" w:rsidRPr="006A1DD7">
        <w:rPr>
          <w:rFonts w:eastAsia="Times New Roman"/>
          <w:lang w:val="en-US" w:eastAsia="en-GB"/>
        </w:rPr>
        <w:t xml:space="preserve">. Differences were evident however between the number of those in the </w:t>
      </w:r>
      <w:r w:rsidR="00E100BB" w:rsidRPr="006A1DD7">
        <w:rPr>
          <w:rFonts w:eastAsia="Times New Roman"/>
          <w:lang w:val="en-US" w:eastAsia="en-GB"/>
        </w:rPr>
        <w:t xml:space="preserve">‘No HE or </w:t>
      </w:r>
      <w:r w:rsidR="00E100BB" w:rsidRPr="009E7A24">
        <w:rPr>
          <w:rFonts w:eastAsia="Times New Roman"/>
          <w:lang w:val="en-US" w:eastAsia="en-GB"/>
        </w:rPr>
        <w:t xml:space="preserve">employment’ group (more autistic individuals, </w:t>
      </w:r>
      <w:r w:rsidR="00E100BB" w:rsidRPr="009E7A24">
        <w:rPr>
          <w:rFonts w:eastAsia="Times New Roman"/>
          <w:i/>
          <w:iCs/>
          <w:lang w:val="en-US" w:eastAsia="en-GB"/>
        </w:rPr>
        <w:t>z</w:t>
      </w:r>
      <w:r w:rsidR="00E100BB" w:rsidRPr="009E7A24">
        <w:rPr>
          <w:rFonts w:eastAsia="Times New Roman"/>
          <w:lang w:val="en-US" w:eastAsia="en-GB"/>
        </w:rPr>
        <w:t xml:space="preserve"> = </w:t>
      </w:r>
      <w:r w:rsidR="006A1DD7" w:rsidRPr="009E7A24">
        <w:rPr>
          <w:rFonts w:eastAsia="Times New Roman"/>
          <w:lang w:val="en-US" w:eastAsia="en-GB"/>
        </w:rPr>
        <w:t>2.10</w:t>
      </w:r>
      <w:r w:rsidR="00E100BB" w:rsidRPr="009E7A24">
        <w:rPr>
          <w:rFonts w:eastAsia="Times New Roman"/>
          <w:lang w:val="en-US" w:eastAsia="en-GB"/>
        </w:rPr>
        <w:t>)</w:t>
      </w:r>
      <w:r w:rsidR="006A1DD7" w:rsidRPr="009E7A24">
        <w:rPr>
          <w:rFonts w:eastAsia="Times New Roman"/>
          <w:lang w:val="en-US" w:eastAsia="en-GB"/>
        </w:rPr>
        <w:t>, the</w:t>
      </w:r>
      <w:r w:rsidR="00E100BB" w:rsidRPr="009E7A24">
        <w:rPr>
          <w:rFonts w:eastAsia="Times New Roman"/>
          <w:lang w:val="en-US" w:eastAsia="en-GB"/>
        </w:rPr>
        <w:t xml:space="preserve"> </w:t>
      </w:r>
      <w:r w:rsidR="003F156A" w:rsidRPr="009E7A24">
        <w:rPr>
          <w:rFonts w:eastAsia="Times New Roman"/>
          <w:lang w:val="en-US" w:eastAsia="en-GB"/>
        </w:rPr>
        <w:t>‘HE only’ group (more autistic individuals</w:t>
      </w:r>
      <w:r w:rsidR="00A71F3A" w:rsidRPr="009E7A24">
        <w:rPr>
          <w:rFonts w:eastAsia="Times New Roman"/>
          <w:lang w:val="en-US" w:eastAsia="en-GB"/>
        </w:rPr>
        <w:t>;</w:t>
      </w:r>
      <w:r w:rsidR="003536DE" w:rsidRPr="009E7A24">
        <w:rPr>
          <w:rFonts w:eastAsia="Times New Roman"/>
          <w:lang w:val="en-US" w:eastAsia="en-GB"/>
        </w:rPr>
        <w:t xml:space="preserve"> </w:t>
      </w:r>
      <w:r w:rsidR="003536DE" w:rsidRPr="009E7A24">
        <w:rPr>
          <w:rFonts w:eastAsia="Times New Roman"/>
          <w:i/>
          <w:iCs/>
          <w:lang w:val="en-US" w:eastAsia="en-GB"/>
        </w:rPr>
        <w:t xml:space="preserve">z </w:t>
      </w:r>
      <w:r w:rsidR="003536DE" w:rsidRPr="009E7A24">
        <w:rPr>
          <w:rFonts w:eastAsia="Times New Roman"/>
          <w:lang w:val="en-US" w:eastAsia="en-GB"/>
        </w:rPr>
        <w:t xml:space="preserve">= </w:t>
      </w:r>
      <w:r w:rsidR="00CA1677" w:rsidRPr="009E7A24">
        <w:rPr>
          <w:rFonts w:eastAsia="Times New Roman"/>
          <w:lang w:val="en-US" w:eastAsia="en-GB"/>
        </w:rPr>
        <w:t>3</w:t>
      </w:r>
      <w:r w:rsidR="00A71F3A" w:rsidRPr="009E7A24">
        <w:rPr>
          <w:rFonts w:eastAsia="Times New Roman"/>
          <w:lang w:val="en-US" w:eastAsia="en-GB"/>
        </w:rPr>
        <w:t>.</w:t>
      </w:r>
      <w:r w:rsidR="00CA1677" w:rsidRPr="009E7A24">
        <w:rPr>
          <w:rFonts w:eastAsia="Times New Roman"/>
          <w:lang w:val="en-US" w:eastAsia="en-GB"/>
        </w:rPr>
        <w:t>60</w:t>
      </w:r>
      <w:r w:rsidR="003F156A" w:rsidRPr="009E7A24">
        <w:rPr>
          <w:rFonts w:eastAsia="Times New Roman"/>
          <w:lang w:val="en-US" w:eastAsia="en-GB"/>
        </w:rPr>
        <w:t xml:space="preserve">), and </w:t>
      </w:r>
      <w:r w:rsidR="00CE63BA" w:rsidRPr="009E7A24">
        <w:rPr>
          <w:rFonts w:eastAsia="Times New Roman"/>
          <w:lang w:val="en-US" w:eastAsia="en-GB"/>
        </w:rPr>
        <w:t>those engaged in both</w:t>
      </w:r>
      <w:r w:rsidR="001E3CD9" w:rsidRPr="009E7A24">
        <w:rPr>
          <w:rFonts w:eastAsia="Times New Roman"/>
          <w:lang w:val="en-US" w:eastAsia="en-GB"/>
        </w:rPr>
        <w:t xml:space="preserve"> </w:t>
      </w:r>
      <w:r w:rsidR="003F156A" w:rsidRPr="009E7A24">
        <w:rPr>
          <w:rFonts w:eastAsia="Times New Roman"/>
          <w:lang w:val="en-US" w:eastAsia="en-GB"/>
        </w:rPr>
        <w:t>‘</w:t>
      </w:r>
      <w:r w:rsidR="001C01D8" w:rsidRPr="009E7A24">
        <w:rPr>
          <w:rFonts w:eastAsia="Times New Roman"/>
          <w:lang w:val="en-US" w:eastAsia="en-GB"/>
        </w:rPr>
        <w:t>HE and employment’</w:t>
      </w:r>
      <w:r w:rsidR="00CE63BA" w:rsidRPr="009E7A24">
        <w:rPr>
          <w:rFonts w:eastAsia="Times New Roman"/>
          <w:lang w:val="en-US" w:eastAsia="en-GB"/>
        </w:rPr>
        <w:t xml:space="preserve"> </w:t>
      </w:r>
      <w:r w:rsidR="001C01D8" w:rsidRPr="009E7A24">
        <w:rPr>
          <w:rFonts w:eastAsia="Times New Roman"/>
          <w:lang w:val="en-US" w:eastAsia="en-GB"/>
        </w:rPr>
        <w:t>(more non-autistic individuals</w:t>
      </w:r>
      <w:r w:rsidR="00A71F3A" w:rsidRPr="009E7A24">
        <w:rPr>
          <w:rFonts w:eastAsia="Times New Roman"/>
          <w:lang w:val="en-US" w:eastAsia="en-GB"/>
        </w:rPr>
        <w:t>;</w:t>
      </w:r>
      <w:r w:rsidR="00A71F3A" w:rsidRPr="009E7A24">
        <w:rPr>
          <w:rFonts w:eastAsia="Times New Roman"/>
          <w:i/>
          <w:iCs/>
          <w:lang w:val="en-US" w:eastAsia="en-GB"/>
        </w:rPr>
        <w:t xml:space="preserve"> z</w:t>
      </w:r>
      <w:r w:rsidR="00A71F3A" w:rsidRPr="009E7A24">
        <w:rPr>
          <w:rFonts w:eastAsia="Times New Roman"/>
          <w:lang w:val="en-US" w:eastAsia="en-GB"/>
        </w:rPr>
        <w:t xml:space="preserve"> = </w:t>
      </w:r>
      <w:r w:rsidR="00A61DD4" w:rsidRPr="009E7A24">
        <w:rPr>
          <w:rFonts w:eastAsia="Times New Roman"/>
          <w:lang w:val="en-US" w:eastAsia="en-GB"/>
        </w:rPr>
        <w:t>4.</w:t>
      </w:r>
      <w:r w:rsidR="009E7A24" w:rsidRPr="009E7A24">
        <w:rPr>
          <w:rFonts w:eastAsia="Times New Roman"/>
          <w:lang w:val="en-US" w:eastAsia="en-GB"/>
        </w:rPr>
        <w:t>50</w:t>
      </w:r>
      <w:r w:rsidR="00604A75" w:rsidRPr="009E7A24">
        <w:rPr>
          <w:rFonts w:eastAsia="Times New Roman"/>
          <w:lang w:val="en-US" w:eastAsia="en-GB"/>
        </w:rPr>
        <w:t>)</w:t>
      </w:r>
      <w:r w:rsidR="00CE63BA" w:rsidRPr="009E7A24">
        <w:rPr>
          <w:rFonts w:eastAsia="Times New Roman"/>
          <w:lang w:val="en-US" w:eastAsia="en-GB"/>
        </w:rPr>
        <w:t>.</w:t>
      </w:r>
    </w:p>
    <w:p w14:paraId="2BE55F76" w14:textId="7019CD40" w:rsidR="00B003C3" w:rsidRDefault="00BD4B64" w:rsidP="00CB0E11">
      <w:pPr>
        <w:spacing w:line="480" w:lineRule="auto"/>
        <w:ind w:firstLine="720"/>
        <w:rPr>
          <w:rFonts w:eastAsia="Times New Roman"/>
          <w:lang w:val="en-US" w:eastAsia="en-GB"/>
        </w:rPr>
      </w:pPr>
      <w:r w:rsidRPr="00B101B4">
        <w:rPr>
          <w:rFonts w:eastAsia="Times New Roman"/>
          <w:lang w:val="en-US" w:eastAsia="en-GB"/>
        </w:rPr>
        <w:t xml:space="preserve">Only </w:t>
      </w:r>
      <w:r w:rsidR="00C51762" w:rsidRPr="00B101B4">
        <w:rPr>
          <w:rFonts w:eastAsia="Times New Roman"/>
          <w:lang w:val="en-US" w:eastAsia="en-GB"/>
        </w:rPr>
        <w:t>11</w:t>
      </w:r>
      <w:r w:rsidRPr="00B101B4">
        <w:rPr>
          <w:rFonts w:eastAsia="Times New Roman"/>
          <w:lang w:val="en-US" w:eastAsia="en-GB"/>
        </w:rPr>
        <w:t xml:space="preserve"> individuals (</w:t>
      </w:r>
      <w:r w:rsidR="00E7033A" w:rsidRPr="00B101B4">
        <w:rPr>
          <w:rFonts w:eastAsia="Times New Roman"/>
          <w:lang w:val="en-US" w:eastAsia="en-GB"/>
        </w:rPr>
        <w:t xml:space="preserve">eight autistic, three non-autistic) were neither engaged in HE </w:t>
      </w:r>
      <w:r w:rsidR="00FE51E6" w:rsidRPr="00B101B4">
        <w:rPr>
          <w:rFonts w:eastAsia="Times New Roman"/>
          <w:lang w:val="en-US" w:eastAsia="en-GB"/>
        </w:rPr>
        <w:t>n</w:t>
      </w:r>
      <w:r w:rsidR="00E7033A" w:rsidRPr="00B101B4">
        <w:rPr>
          <w:rFonts w:eastAsia="Times New Roman"/>
          <w:lang w:val="en-US" w:eastAsia="en-GB"/>
        </w:rPr>
        <w:t xml:space="preserve">or employed. Of these, </w:t>
      </w:r>
      <w:r w:rsidR="00393C61" w:rsidRPr="00B101B4">
        <w:rPr>
          <w:rFonts w:eastAsia="Times New Roman"/>
          <w:lang w:val="en-US" w:eastAsia="en-GB"/>
        </w:rPr>
        <w:t>five had completed high school</w:t>
      </w:r>
      <w:r w:rsidR="00A165CB" w:rsidRPr="00B101B4">
        <w:rPr>
          <w:rFonts w:eastAsia="Times New Roman"/>
          <w:lang w:val="en-US" w:eastAsia="en-GB"/>
        </w:rPr>
        <w:t xml:space="preserve"> (</w:t>
      </w:r>
      <w:r w:rsidR="00024707" w:rsidRPr="00B101B4">
        <w:rPr>
          <w:rFonts w:eastAsia="Times New Roman"/>
          <w:lang w:val="en-US" w:eastAsia="en-GB"/>
        </w:rPr>
        <w:t>3</w:t>
      </w:r>
      <w:r w:rsidR="00A165CB" w:rsidRPr="00B101B4">
        <w:rPr>
          <w:rFonts w:eastAsia="Times New Roman"/>
          <w:lang w:val="en-US" w:eastAsia="en-GB"/>
        </w:rPr>
        <w:t xml:space="preserve"> autistic, </w:t>
      </w:r>
      <w:r w:rsidR="00024707" w:rsidRPr="00B101B4">
        <w:rPr>
          <w:rFonts w:eastAsia="Times New Roman"/>
          <w:lang w:val="en-US" w:eastAsia="en-GB"/>
        </w:rPr>
        <w:t>2</w:t>
      </w:r>
      <w:r w:rsidR="00A165CB" w:rsidRPr="00B101B4">
        <w:rPr>
          <w:rFonts w:eastAsia="Times New Roman"/>
          <w:lang w:val="en-US" w:eastAsia="en-GB"/>
        </w:rPr>
        <w:t xml:space="preserve"> non-autistic)</w:t>
      </w:r>
      <w:r w:rsidR="00393C61" w:rsidRPr="00B101B4">
        <w:rPr>
          <w:rFonts w:eastAsia="Times New Roman"/>
          <w:lang w:val="en-US" w:eastAsia="en-GB"/>
        </w:rPr>
        <w:t xml:space="preserve">, </w:t>
      </w:r>
      <w:r w:rsidR="00525602" w:rsidRPr="00B101B4">
        <w:rPr>
          <w:rFonts w:eastAsia="Times New Roman"/>
          <w:lang w:val="en-US" w:eastAsia="en-GB"/>
        </w:rPr>
        <w:t xml:space="preserve">five had completed a TAFE </w:t>
      </w:r>
      <w:r w:rsidR="0075245E" w:rsidRPr="00B101B4">
        <w:rPr>
          <w:rFonts w:eastAsia="Times New Roman"/>
          <w:lang w:val="en-US" w:eastAsia="en-GB"/>
        </w:rPr>
        <w:t>Certificate or Diploma</w:t>
      </w:r>
      <w:r w:rsidR="00A165CB" w:rsidRPr="00B101B4">
        <w:rPr>
          <w:rFonts w:eastAsia="Times New Roman"/>
          <w:lang w:val="en-US" w:eastAsia="en-GB"/>
        </w:rPr>
        <w:t xml:space="preserve"> (</w:t>
      </w:r>
      <w:r w:rsidR="00B422C1" w:rsidRPr="00B101B4">
        <w:rPr>
          <w:rFonts w:eastAsia="Times New Roman"/>
          <w:lang w:val="en-US" w:eastAsia="en-GB"/>
        </w:rPr>
        <w:t>4</w:t>
      </w:r>
      <w:r w:rsidR="00A165CB" w:rsidRPr="00B101B4">
        <w:rPr>
          <w:rFonts w:eastAsia="Times New Roman"/>
          <w:lang w:val="en-US" w:eastAsia="en-GB"/>
        </w:rPr>
        <w:t xml:space="preserve"> autistic, </w:t>
      </w:r>
      <w:r w:rsidR="00B422C1" w:rsidRPr="00B101B4">
        <w:rPr>
          <w:rFonts w:eastAsia="Times New Roman"/>
          <w:lang w:val="en-US" w:eastAsia="en-GB"/>
        </w:rPr>
        <w:t>1</w:t>
      </w:r>
      <w:r w:rsidR="00A165CB" w:rsidRPr="00B101B4">
        <w:rPr>
          <w:rFonts w:eastAsia="Times New Roman"/>
          <w:lang w:val="en-US" w:eastAsia="en-GB"/>
        </w:rPr>
        <w:t xml:space="preserve"> non-autistic)</w:t>
      </w:r>
      <w:r w:rsidR="0075245E" w:rsidRPr="00B101B4">
        <w:rPr>
          <w:rFonts w:eastAsia="Times New Roman"/>
          <w:lang w:val="en-US" w:eastAsia="en-GB"/>
        </w:rPr>
        <w:t>, and one</w:t>
      </w:r>
      <w:r w:rsidR="000B4DF8" w:rsidRPr="00B101B4">
        <w:rPr>
          <w:rFonts w:eastAsia="Times New Roman"/>
          <w:lang w:val="en-US" w:eastAsia="en-GB"/>
        </w:rPr>
        <w:t xml:space="preserve"> (autistic)</w:t>
      </w:r>
      <w:r w:rsidR="0075245E" w:rsidRPr="00B101B4">
        <w:rPr>
          <w:rFonts w:eastAsia="Times New Roman"/>
          <w:lang w:val="en-US" w:eastAsia="en-GB"/>
        </w:rPr>
        <w:t xml:space="preserve"> had completed an undergraduate university degree. </w:t>
      </w:r>
      <w:r w:rsidR="008324AE" w:rsidRPr="00B101B4">
        <w:rPr>
          <w:rFonts w:eastAsia="Times New Roman"/>
          <w:lang w:val="en-US" w:eastAsia="en-GB"/>
        </w:rPr>
        <w:t xml:space="preserve">Each of the three non-autistic, and </w:t>
      </w:r>
      <w:r w:rsidR="00B71647" w:rsidRPr="00B101B4">
        <w:rPr>
          <w:rFonts w:eastAsia="Times New Roman"/>
          <w:lang w:val="en-US" w:eastAsia="en-GB"/>
        </w:rPr>
        <w:t xml:space="preserve">five of the </w:t>
      </w:r>
      <w:r w:rsidR="00B71647" w:rsidRPr="00B101B4">
        <w:rPr>
          <w:rFonts w:eastAsia="Times New Roman"/>
          <w:lang w:val="en-US" w:eastAsia="en-GB"/>
        </w:rPr>
        <w:lastRenderedPageBreak/>
        <w:t>eight autistic individuals reported actively seeking employment</w:t>
      </w:r>
      <w:r w:rsidR="000F16B2" w:rsidRPr="00B101B4">
        <w:rPr>
          <w:rFonts w:eastAsia="Times New Roman"/>
          <w:lang w:val="en-US" w:eastAsia="en-GB"/>
        </w:rPr>
        <w:t>, but had been unsuccessful</w:t>
      </w:r>
      <w:r w:rsidR="00BF7D8B" w:rsidRPr="00B101B4">
        <w:rPr>
          <w:rFonts w:eastAsia="Times New Roman"/>
          <w:lang w:val="en-US" w:eastAsia="en-GB"/>
        </w:rPr>
        <w:t xml:space="preserve"> at the time of data collection</w:t>
      </w:r>
      <w:r w:rsidR="00B71647" w:rsidRPr="00B101B4">
        <w:rPr>
          <w:rFonts w:eastAsia="Times New Roman"/>
          <w:lang w:val="en-US" w:eastAsia="en-GB"/>
        </w:rPr>
        <w:t xml:space="preserve">. </w:t>
      </w:r>
    </w:p>
    <w:p w14:paraId="72BC7707" w14:textId="47669AEE" w:rsidR="00212CC8" w:rsidRPr="00B101B4" w:rsidRDefault="00212CC8" w:rsidP="00CB0E11">
      <w:pPr>
        <w:spacing w:line="480" w:lineRule="auto"/>
        <w:ind w:firstLine="720"/>
        <w:rPr>
          <w:rFonts w:eastAsia="Times New Roman"/>
          <w:lang w:val="en-US" w:eastAsia="en-GB"/>
        </w:rPr>
      </w:pPr>
      <w:r>
        <w:rPr>
          <w:rFonts w:eastAsia="Times New Roman"/>
          <w:lang w:val="en-US" w:eastAsia="en-GB"/>
        </w:rPr>
        <w:t xml:space="preserve">For those engaged only in HE, we explored how many </w:t>
      </w:r>
      <w:r w:rsidR="00081FE0">
        <w:rPr>
          <w:rFonts w:eastAsia="Times New Roman"/>
          <w:lang w:val="en-US" w:eastAsia="en-GB"/>
        </w:rPr>
        <w:t xml:space="preserve">people </w:t>
      </w:r>
      <w:r>
        <w:rPr>
          <w:rFonts w:eastAsia="Times New Roman"/>
          <w:lang w:val="en-US" w:eastAsia="en-GB"/>
        </w:rPr>
        <w:t xml:space="preserve">were seeking employment at the time of survey completion. </w:t>
      </w:r>
      <w:r w:rsidR="00C410F7" w:rsidRPr="009E7A24">
        <w:rPr>
          <w:rFonts w:eastAsia="Times New Roman"/>
          <w:lang w:val="en-US" w:eastAsia="en-GB"/>
        </w:rPr>
        <w:t xml:space="preserve">A chi-square analysis </w:t>
      </w:r>
      <w:r w:rsidR="001C5DB4">
        <w:rPr>
          <w:rFonts w:eastAsia="Times New Roman"/>
          <w:lang w:val="en-US" w:eastAsia="en-GB"/>
        </w:rPr>
        <w:t>indicated</w:t>
      </w:r>
      <w:r w:rsidR="00C410F7" w:rsidRPr="00325C06">
        <w:rPr>
          <w:rFonts w:eastAsia="Times New Roman"/>
          <w:lang w:val="en-US" w:eastAsia="en-GB"/>
        </w:rPr>
        <w:t xml:space="preserve"> a statistically significant difference between groups</w:t>
      </w:r>
      <w:r w:rsidR="00FB0D5C">
        <w:rPr>
          <w:rFonts w:eastAsia="Times New Roman"/>
          <w:lang w:val="en-US" w:eastAsia="en-GB"/>
        </w:rPr>
        <w:t>, whereby the autistic individuals (</w:t>
      </w:r>
      <w:r w:rsidR="00090703">
        <w:rPr>
          <w:rFonts w:eastAsia="Times New Roman"/>
          <w:lang w:val="en-US" w:eastAsia="en-GB"/>
        </w:rPr>
        <w:t>51.2%</w:t>
      </w:r>
      <w:r w:rsidR="00FB0D5C">
        <w:rPr>
          <w:rFonts w:eastAsia="Times New Roman"/>
          <w:lang w:val="en-US" w:eastAsia="en-GB"/>
        </w:rPr>
        <w:t xml:space="preserve">) were less likely to be </w:t>
      </w:r>
      <w:r w:rsidR="00FB0D5C" w:rsidRPr="00A71618">
        <w:rPr>
          <w:rFonts w:eastAsia="Times New Roman"/>
          <w:lang w:val="en-US" w:eastAsia="en-GB"/>
        </w:rPr>
        <w:t>seeking employment than the non-autistic individuals (</w:t>
      </w:r>
      <w:r w:rsidR="006B07AB" w:rsidRPr="00A71618">
        <w:rPr>
          <w:rFonts w:eastAsia="Times New Roman"/>
          <w:lang w:val="en-US" w:eastAsia="en-GB"/>
        </w:rPr>
        <w:t>74.2</w:t>
      </w:r>
      <w:r w:rsidR="00FB0D5C" w:rsidRPr="00A71618">
        <w:rPr>
          <w:rFonts w:eastAsia="Times New Roman"/>
          <w:lang w:val="en-US" w:eastAsia="en-GB"/>
        </w:rPr>
        <w:t>%)</w:t>
      </w:r>
      <w:r w:rsidR="0074191C">
        <w:rPr>
          <w:rFonts w:eastAsia="Times New Roman"/>
          <w:lang w:val="en-US" w:eastAsia="en-GB"/>
        </w:rPr>
        <w:t>,</w:t>
      </w:r>
      <w:r w:rsidR="00C410F7" w:rsidRPr="00A71618">
        <w:rPr>
          <w:rFonts w:eastAsia="Times New Roman"/>
          <w:lang w:val="en-US" w:eastAsia="en-GB"/>
        </w:rPr>
        <w:t xml:space="preserve"> with a </w:t>
      </w:r>
      <w:r w:rsidR="00A71618" w:rsidRPr="00A71618">
        <w:rPr>
          <w:rFonts w:eastAsia="Times New Roman"/>
          <w:lang w:val="en-US" w:eastAsia="en-GB"/>
        </w:rPr>
        <w:t xml:space="preserve">small to medium </w:t>
      </w:r>
      <w:r w:rsidR="00C410F7" w:rsidRPr="00A71618">
        <w:rPr>
          <w:rFonts w:eastAsia="Times New Roman"/>
          <w:lang w:val="en-US" w:eastAsia="en-GB"/>
        </w:rPr>
        <w:t xml:space="preserve">effect size, </w:t>
      </w:r>
      <w:r w:rsidR="00C410F7" w:rsidRPr="00A71618">
        <w:rPr>
          <w:rFonts w:eastAsia="Arial"/>
        </w:rPr>
        <w:t>χ</w:t>
      </w:r>
      <w:r w:rsidR="00C410F7" w:rsidRPr="00A71618">
        <w:rPr>
          <w:rFonts w:eastAsia="Arial"/>
          <w:vertAlign w:val="superscript"/>
        </w:rPr>
        <w:t>2</w:t>
      </w:r>
      <w:r w:rsidR="00C410F7" w:rsidRPr="00A71618">
        <w:rPr>
          <w:rFonts w:eastAsia="Arial"/>
        </w:rPr>
        <w:t xml:space="preserve"> (</w:t>
      </w:r>
      <w:r w:rsidR="00835691" w:rsidRPr="00A71618">
        <w:rPr>
          <w:rFonts w:eastAsia="Arial"/>
        </w:rPr>
        <w:t>1</w:t>
      </w:r>
      <w:r w:rsidR="00C410F7" w:rsidRPr="00A71618">
        <w:rPr>
          <w:rFonts w:eastAsia="Arial"/>
        </w:rPr>
        <w:t>)</w:t>
      </w:r>
      <w:r w:rsidR="00C410F7" w:rsidRPr="00A71618">
        <w:rPr>
          <w:rFonts w:eastAsia="Arial"/>
          <w:vertAlign w:val="superscript"/>
        </w:rPr>
        <w:t xml:space="preserve"> </w:t>
      </w:r>
      <w:r w:rsidR="00C410F7" w:rsidRPr="00A71618">
        <w:rPr>
          <w:rFonts w:eastAsia="Arial"/>
        </w:rPr>
        <w:t xml:space="preserve">= </w:t>
      </w:r>
      <w:r w:rsidR="000521F4" w:rsidRPr="00A71618">
        <w:rPr>
          <w:rFonts w:eastAsia="Arial"/>
        </w:rPr>
        <w:t>4.01</w:t>
      </w:r>
      <w:r w:rsidR="00C410F7" w:rsidRPr="00A71618">
        <w:rPr>
          <w:rFonts w:eastAsia="Arial"/>
        </w:rPr>
        <w:t xml:space="preserve">, </w:t>
      </w:r>
      <w:r w:rsidR="00C410F7" w:rsidRPr="00A71618">
        <w:rPr>
          <w:rFonts w:eastAsia="Arial"/>
          <w:i/>
          <w:iCs/>
        </w:rPr>
        <w:t xml:space="preserve">p </w:t>
      </w:r>
      <w:r w:rsidR="00C410F7" w:rsidRPr="00A71618">
        <w:rPr>
          <w:rFonts w:eastAsia="Arial"/>
        </w:rPr>
        <w:t>&lt; .0</w:t>
      </w:r>
      <w:r w:rsidR="00BE6DF1" w:rsidRPr="00A71618">
        <w:rPr>
          <w:rFonts w:eastAsia="Arial"/>
        </w:rPr>
        <w:t>45</w:t>
      </w:r>
      <w:r w:rsidR="00C410F7" w:rsidRPr="00A71618">
        <w:rPr>
          <w:rFonts w:eastAsia="Arial"/>
        </w:rPr>
        <w:t xml:space="preserve">, </w:t>
      </w:r>
      <w:r w:rsidR="00C410F7" w:rsidRPr="00A71618">
        <w:rPr>
          <w:rFonts w:eastAsia="Arial"/>
          <w:i/>
          <w:iCs/>
        </w:rPr>
        <w:t>V</w:t>
      </w:r>
      <w:r w:rsidR="00C410F7" w:rsidRPr="00A71618">
        <w:rPr>
          <w:rFonts w:eastAsia="Arial"/>
        </w:rPr>
        <w:t xml:space="preserve"> = .</w:t>
      </w:r>
      <w:r w:rsidR="00A71618" w:rsidRPr="00A71618">
        <w:rPr>
          <w:rFonts w:eastAsia="Arial"/>
        </w:rPr>
        <w:t>23</w:t>
      </w:r>
      <w:r w:rsidR="00C410F7" w:rsidRPr="00A71618">
        <w:rPr>
          <w:rFonts w:eastAsia="Arial"/>
        </w:rPr>
        <w:t>.</w:t>
      </w:r>
    </w:p>
    <w:p w14:paraId="0D30F46A" w14:textId="7EA73ADD" w:rsidR="00994C80" w:rsidRPr="00385E36" w:rsidRDefault="00994C80" w:rsidP="00BE7C78">
      <w:pPr>
        <w:spacing w:line="480" w:lineRule="auto"/>
        <w:ind w:firstLine="720"/>
        <w:rPr>
          <w:rFonts w:eastAsia="Arial"/>
          <w:highlight w:val="yellow"/>
        </w:rPr>
      </w:pPr>
      <w:r w:rsidRPr="00A337F7">
        <w:rPr>
          <w:rFonts w:eastAsia="Times New Roman"/>
          <w:lang w:val="en-US" w:eastAsia="en-GB"/>
        </w:rPr>
        <w:t>For those engaged only in employment, we explored number of hours worked and found</w:t>
      </w:r>
      <w:r w:rsidR="00E65F4B" w:rsidRPr="00A337F7">
        <w:rPr>
          <w:rFonts w:eastAsia="Times New Roman"/>
          <w:lang w:val="en-US" w:eastAsia="en-GB"/>
        </w:rPr>
        <w:t xml:space="preserve"> that those in</w:t>
      </w:r>
      <w:r w:rsidRPr="00A337F7">
        <w:rPr>
          <w:rFonts w:eastAsia="Times New Roman"/>
          <w:lang w:val="en-US" w:eastAsia="en-GB"/>
        </w:rPr>
        <w:t xml:space="preserve"> the autistic group (</w:t>
      </w:r>
      <w:r w:rsidR="00B254D0" w:rsidRPr="00A337F7">
        <w:rPr>
          <w:rFonts w:eastAsia="Times New Roman"/>
          <w:lang w:val="en-US" w:eastAsia="en-GB"/>
        </w:rPr>
        <w:t xml:space="preserve">sample numbers provided </w:t>
      </w:r>
      <w:r w:rsidR="00476A65" w:rsidRPr="00A337F7">
        <w:rPr>
          <w:rFonts w:eastAsia="Times New Roman"/>
          <w:lang w:val="en-US" w:eastAsia="en-GB"/>
        </w:rPr>
        <w:t xml:space="preserve">here </w:t>
      </w:r>
      <w:r w:rsidR="005F529E" w:rsidRPr="00A337F7">
        <w:rPr>
          <w:rFonts w:eastAsia="Times New Roman"/>
          <w:lang w:val="en-US" w:eastAsia="en-GB"/>
        </w:rPr>
        <w:t xml:space="preserve">for each group due to </w:t>
      </w:r>
      <w:r w:rsidR="00476A65" w:rsidRPr="00A337F7">
        <w:rPr>
          <w:rFonts w:eastAsia="Times New Roman"/>
          <w:lang w:val="en-US" w:eastAsia="en-GB"/>
        </w:rPr>
        <w:t xml:space="preserve">some missing data for hours worked; </w:t>
      </w:r>
      <w:r w:rsidR="000615AF" w:rsidRPr="00A337F7">
        <w:rPr>
          <w:rFonts w:eastAsia="Times New Roman"/>
          <w:i/>
          <w:iCs/>
          <w:lang w:val="en-US" w:eastAsia="en-GB"/>
        </w:rPr>
        <w:t>n</w:t>
      </w:r>
      <w:r w:rsidR="000615AF" w:rsidRPr="00A337F7">
        <w:rPr>
          <w:rFonts w:eastAsia="Times New Roman"/>
          <w:lang w:val="en-US" w:eastAsia="en-GB"/>
        </w:rPr>
        <w:t xml:space="preserve"> = </w:t>
      </w:r>
      <w:r w:rsidR="004B7817" w:rsidRPr="00A337F7">
        <w:rPr>
          <w:rFonts w:eastAsia="Times New Roman"/>
          <w:lang w:val="en-US" w:eastAsia="en-GB"/>
        </w:rPr>
        <w:t xml:space="preserve">11, </w:t>
      </w:r>
      <w:bookmarkStart w:id="1" w:name="_Hlk36987876"/>
      <w:r w:rsidRPr="00A337F7">
        <w:rPr>
          <w:rFonts w:eastAsia="Times New Roman"/>
          <w:i/>
          <w:iCs/>
          <w:lang w:val="en-US" w:eastAsia="en-GB"/>
        </w:rPr>
        <w:t>M</w:t>
      </w:r>
      <w:r w:rsidRPr="00A337F7">
        <w:rPr>
          <w:rFonts w:eastAsia="Times New Roman"/>
          <w:lang w:val="en-US" w:eastAsia="en-GB"/>
        </w:rPr>
        <w:t xml:space="preserve"> = </w:t>
      </w:r>
      <w:r w:rsidR="00C7462C" w:rsidRPr="00A337F7">
        <w:rPr>
          <w:rFonts w:eastAsia="Times New Roman"/>
          <w:lang w:val="en-US" w:eastAsia="en-GB"/>
        </w:rPr>
        <w:t>21.46</w:t>
      </w:r>
      <w:r w:rsidR="002F288A" w:rsidRPr="00A337F7">
        <w:rPr>
          <w:rFonts w:eastAsia="Times New Roman"/>
          <w:lang w:val="en-US" w:eastAsia="en-GB"/>
        </w:rPr>
        <w:t xml:space="preserve"> hours</w:t>
      </w:r>
      <w:r w:rsidRPr="00A337F7">
        <w:rPr>
          <w:rFonts w:eastAsia="Times New Roman"/>
          <w:lang w:val="en-US" w:eastAsia="en-GB"/>
        </w:rPr>
        <w:t xml:space="preserve">, </w:t>
      </w:r>
      <w:r w:rsidRPr="00A337F7">
        <w:rPr>
          <w:rFonts w:eastAsia="Times New Roman"/>
          <w:i/>
          <w:iCs/>
          <w:lang w:val="en-US" w:eastAsia="en-GB"/>
        </w:rPr>
        <w:t>SD</w:t>
      </w:r>
      <w:r w:rsidRPr="00A337F7">
        <w:rPr>
          <w:rFonts w:eastAsia="Times New Roman"/>
          <w:lang w:val="en-US" w:eastAsia="en-GB"/>
        </w:rPr>
        <w:t xml:space="preserve"> = </w:t>
      </w:r>
      <w:r w:rsidR="00730902" w:rsidRPr="00A337F7">
        <w:rPr>
          <w:rFonts w:eastAsia="Times New Roman"/>
          <w:lang w:val="en-US" w:eastAsia="en-GB"/>
        </w:rPr>
        <w:t>13.37</w:t>
      </w:r>
      <w:bookmarkEnd w:id="1"/>
      <w:r w:rsidRPr="00A337F7">
        <w:rPr>
          <w:rFonts w:eastAsia="Times New Roman"/>
          <w:lang w:val="en-US" w:eastAsia="en-GB"/>
        </w:rPr>
        <w:t>), were working</w:t>
      </w:r>
      <w:r w:rsidR="00E65F4B" w:rsidRPr="00A337F7">
        <w:rPr>
          <w:rFonts w:eastAsia="Times New Roman"/>
          <w:lang w:val="en-US" w:eastAsia="en-GB"/>
        </w:rPr>
        <w:t xml:space="preserve"> significantly fewer</w:t>
      </w:r>
      <w:r w:rsidR="00E11AB1" w:rsidRPr="00A337F7">
        <w:rPr>
          <w:rFonts w:eastAsia="Times New Roman"/>
          <w:lang w:val="en-US" w:eastAsia="en-GB"/>
        </w:rPr>
        <w:t xml:space="preserve"> hours</w:t>
      </w:r>
      <w:r w:rsidRPr="00A337F7">
        <w:rPr>
          <w:rFonts w:eastAsia="Times New Roman"/>
          <w:lang w:val="en-US" w:eastAsia="en-GB"/>
        </w:rPr>
        <w:t xml:space="preserve"> than</w:t>
      </w:r>
      <w:r w:rsidR="00E65F4B" w:rsidRPr="00A337F7">
        <w:rPr>
          <w:rFonts w:eastAsia="Times New Roman"/>
          <w:lang w:val="en-US" w:eastAsia="en-GB"/>
        </w:rPr>
        <w:t xml:space="preserve"> those in</w:t>
      </w:r>
      <w:r w:rsidRPr="00A337F7">
        <w:rPr>
          <w:rFonts w:eastAsia="Times New Roman"/>
          <w:lang w:val="en-US" w:eastAsia="en-GB"/>
        </w:rPr>
        <w:t xml:space="preserve"> the non-autistic group (</w:t>
      </w:r>
      <w:r w:rsidR="004B7817" w:rsidRPr="00A337F7">
        <w:rPr>
          <w:rFonts w:eastAsia="Times New Roman"/>
          <w:i/>
          <w:iCs/>
          <w:lang w:val="en-US" w:eastAsia="en-GB"/>
        </w:rPr>
        <w:t>n</w:t>
      </w:r>
      <w:r w:rsidR="004B7817" w:rsidRPr="00A337F7">
        <w:rPr>
          <w:rFonts w:eastAsia="Times New Roman"/>
          <w:lang w:val="en-US" w:eastAsia="en-GB"/>
        </w:rPr>
        <w:t xml:space="preserve"> = 15, </w:t>
      </w:r>
      <w:r w:rsidRPr="00A337F7">
        <w:rPr>
          <w:rFonts w:eastAsia="Times New Roman"/>
          <w:i/>
          <w:iCs/>
          <w:lang w:val="en-US" w:eastAsia="en-GB"/>
        </w:rPr>
        <w:t>M</w:t>
      </w:r>
      <w:r w:rsidRPr="00A337F7">
        <w:rPr>
          <w:rFonts w:eastAsia="Times New Roman"/>
          <w:lang w:val="en-US" w:eastAsia="en-GB"/>
        </w:rPr>
        <w:t xml:space="preserve"> =</w:t>
      </w:r>
      <w:r w:rsidR="00E11AB1" w:rsidRPr="00A337F7">
        <w:rPr>
          <w:rFonts w:eastAsia="Times New Roman"/>
          <w:lang w:val="en-US" w:eastAsia="en-GB"/>
        </w:rPr>
        <w:t xml:space="preserve"> 35.33</w:t>
      </w:r>
      <w:r w:rsidRPr="00A337F7">
        <w:rPr>
          <w:rFonts w:eastAsia="Times New Roman"/>
          <w:lang w:val="en-US" w:eastAsia="en-GB"/>
        </w:rPr>
        <w:t xml:space="preserve"> </w:t>
      </w:r>
      <w:r w:rsidR="002F288A" w:rsidRPr="00A337F7">
        <w:rPr>
          <w:rFonts w:eastAsia="Times New Roman"/>
          <w:lang w:val="en-US" w:eastAsia="en-GB"/>
        </w:rPr>
        <w:t>hours</w:t>
      </w:r>
      <w:r w:rsidRPr="00A337F7">
        <w:rPr>
          <w:rFonts w:eastAsia="Times New Roman"/>
          <w:lang w:val="en-US" w:eastAsia="en-GB"/>
        </w:rPr>
        <w:t xml:space="preserve">, </w:t>
      </w:r>
      <w:r w:rsidRPr="00A337F7">
        <w:rPr>
          <w:rFonts w:eastAsia="Times New Roman"/>
          <w:i/>
          <w:iCs/>
          <w:lang w:val="en-US" w:eastAsia="en-GB"/>
        </w:rPr>
        <w:t>SD</w:t>
      </w:r>
      <w:r w:rsidRPr="00A337F7">
        <w:rPr>
          <w:rFonts w:eastAsia="Times New Roman"/>
          <w:lang w:val="en-US" w:eastAsia="en-GB"/>
        </w:rPr>
        <w:t xml:space="preserve"> =</w:t>
      </w:r>
      <w:r w:rsidR="00626111" w:rsidRPr="00A337F7">
        <w:rPr>
          <w:rFonts w:eastAsia="Times New Roman"/>
          <w:lang w:val="en-US" w:eastAsia="en-GB"/>
        </w:rPr>
        <w:t xml:space="preserve"> 10.55</w:t>
      </w:r>
      <w:r w:rsidRPr="00A337F7">
        <w:rPr>
          <w:rFonts w:eastAsia="Times New Roman"/>
          <w:lang w:val="en-US" w:eastAsia="en-GB"/>
        </w:rPr>
        <w:t>),</w:t>
      </w:r>
      <w:r w:rsidRPr="00A337F7">
        <w:rPr>
          <w:rFonts w:eastAsia="Arial"/>
          <w:i/>
          <w:iCs/>
        </w:rPr>
        <w:t xml:space="preserve"> t</w:t>
      </w:r>
      <w:r w:rsidRPr="00A337F7">
        <w:rPr>
          <w:rFonts w:eastAsia="Arial"/>
        </w:rPr>
        <w:t>(</w:t>
      </w:r>
      <w:r w:rsidR="00730902" w:rsidRPr="00A337F7">
        <w:rPr>
          <w:rFonts w:eastAsia="Arial"/>
        </w:rPr>
        <w:t>24</w:t>
      </w:r>
      <w:r w:rsidRPr="00A337F7">
        <w:rPr>
          <w:rFonts w:eastAsia="Arial"/>
        </w:rPr>
        <w:t xml:space="preserve">) = </w:t>
      </w:r>
      <w:r w:rsidR="00730902" w:rsidRPr="00A337F7">
        <w:rPr>
          <w:rFonts w:eastAsia="Arial"/>
        </w:rPr>
        <w:t>2.96</w:t>
      </w:r>
      <w:r w:rsidRPr="00A337F7">
        <w:rPr>
          <w:rFonts w:eastAsia="Arial"/>
        </w:rPr>
        <w:t xml:space="preserve">, </w:t>
      </w:r>
      <w:r w:rsidRPr="00A337F7">
        <w:rPr>
          <w:rFonts w:eastAsia="Arial"/>
          <w:i/>
          <w:iCs/>
        </w:rPr>
        <w:t>p</w:t>
      </w:r>
      <w:r w:rsidRPr="00A337F7">
        <w:rPr>
          <w:rFonts w:eastAsia="Arial"/>
        </w:rPr>
        <w:t xml:space="preserve"> = .</w:t>
      </w:r>
      <w:r w:rsidR="00733149" w:rsidRPr="00DE4272">
        <w:rPr>
          <w:rFonts w:eastAsia="Arial"/>
        </w:rPr>
        <w:t>007</w:t>
      </w:r>
      <w:r w:rsidR="001178A0" w:rsidRPr="00DE4272">
        <w:rPr>
          <w:rFonts w:eastAsia="Arial"/>
        </w:rPr>
        <w:t xml:space="preserve">, </w:t>
      </w:r>
      <w:r w:rsidR="001178A0" w:rsidRPr="00DE4272">
        <w:rPr>
          <w:rFonts w:eastAsia="Arial"/>
          <w:i/>
          <w:iCs/>
        </w:rPr>
        <w:t>d</w:t>
      </w:r>
      <w:r w:rsidR="001178A0" w:rsidRPr="00DE4272">
        <w:rPr>
          <w:rFonts w:eastAsia="Arial"/>
        </w:rPr>
        <w:t xml:space="preserve"> = 1.16</w:t>
      </w:r>
      <w:r w:rsidR="006D0F6F" w:rsidRPr="00DE4272">
        <w:rPr>
          <w:rFonts w:eastAsia="Arial"/>
        </w:rPr>
        <w:t xml:space="preserve">, with a large effect size. </w:t>
      </w:r>
      <w:r w:rsidR="00AB5B13" w:rsidRPr="00DE4272">
        <w:rPr>
          <w:rFonts w:eastAsia="Arial"/>
        </w:rPr>
        <w:t>We also explored hours worked among those engaged in both HE and</w:t>
      </w:r>
      <w:r w:rsidR="00A467CF" w:rsidRPr="00DE4272">
        <w:rPr>
          <w:rFonts w:eastAsia="Arial"/>
        </w:rPr>
        <w:t xml:space="preserve"> </w:t>
      </w:r>
      <w:r w:rsidR="00AB5B13" w:rsidRPr="00DE4272">
        <w:rPr>
          <w:rFonts w:eastAsia="Arial"/>
        </w:rPr>
        <w:t>employment</w:t>
      </w:r>
      <w:r w:rsidR="00973055" w:rsidRPr="00DE4272">
        <w:rPr>
          <w:rFonts w:eastAsia="Arial"/>
        </w:rPr>
        <w:t>.</w:t>
      </w:r>
      <w:r w:rsidR="00A467CF" w:rsidRPr="00DE4272">
        <w:rPr>
          <w:rFonts w:eastAsia="Arial"/>
        </w:rPr>
        <w:t xml:space="preserve"> </w:t>
      </w:r>
      <w:r w:rsidR="00973055" w:rsidRPr="00DE4272">
        <w:rPr>
          <w:rFonts w:eastAsia="Arial"/>
        </w:rPr>
        <w:t xml:space="preserve">Given differences in the proportion studying full-time and part-time, we </w:t>
      </w:r>
      <w:r w:rsidR="00A467CF" w:rsidRPr="00DE4272">
        <w:rPr>
          <w:rFonts w:eastAsia="Arial"/>
        </w:rPr>
        <w:t>look</w:t>
      </w:r>
      <w:r w:rsidR="00973055" w:rsidRPr="00DE4272">
        <w:rPr>
          <w:rFonts w:eastAsia="Arial"/>
        </w:rPr>
        <w:t>ed</w:t>
      </w:r>
      <w:r w:rsidR="00A467CF" w:rsidRPr="00DE4272">
        <w:rPr>
          <w:rFonts w:eastAsia="Arial"/>
        </w:rPr>
        <w:t xml:space="preserve"> only at </w:t>
      </w:r>
      <w:r w:rsidR="00973055" w:rsidRPr="00DE4272">
        <w:rPr>
          <w:rFonts w:eastAsia="Arial"/>
        </w:rPr>
        <w:t xml:space="preserve">hours worked </w:t>
      </w:r>
      <w:r w:rsidR="00DB4224">
        <w:rPr>
          <w:rFonts w:eastAsia="Arial"/>
        </w:rPr>
        <w:t xml:space="preserve">for </w:t>
      </w:r>
      <w:r w:rsidR="00BE7C78" w:rsidRPr="00DE4272">
        <w:rPr>
          <w:rFonts w:eastAsia="Arial"/>
        </w:rPr>
        <w:t>t</w:t>
      </w:r>
      <w:r w:rsidR="00A467CF" w:rsidRPr="00DE4272">
        <w:rPr>
          <w:rFonts w:eastAsia="Arial"/>
        </w:rPr>
        <w:t>hose who were engaged in</w:t>
      </w:r>
      <w:r w:rsidR="00AC3219" w:rsidRPr="00DE4272">
        <w:rPr>
          <w:rFonts w:eastAsia="Arial"/>
        </w:rPr>
        <w:t xml:space="preserve"> a full-time</w:t>
      </w:r>
      <w:r w:rsidR="00A467CF" w:rsidRPr="00DE4272">
        <w:rPr>
          <w:rFonts w:eastAsia="Arial"/>
        </w:rPr>
        <w:t xml:space="preserve"> </w:t>
      </w:r>
      <w:r w:rsidR="00803EDE" w:rsidRPr="00DE4272">
        <w:rPr>
          <w:rFonts w:eastAsia="Arial"/>
        </w:rPr>
        <w:t xml:space="preserve">HE </w:t>
      </w:r>
      <w:proofErr w:type="gramStart"/>
      <w:r w:rsidR="00AC3219" w:rsidRPr="00DE4272">
        <w:rPr>
          <w:rFonts w:eastAsia="Arial"/>
        </w:rPr>
        <w:t>study</w:t>
      </w:r>
      <w:proofErr w:type="gramEnd"/>
      <w:r w:rsidR="00AC3219" w:rsidRPr="00DE4272">
        <w:rPr>
          <w:rFonts w:eastAsia="Arial"/>
        </w:rPr>
        <w:t xml:space="preserve"> load </w:t>
      </w:r>
      <w:r w:rsidR="00803EDE" w:rsidRPr="00DE4272">
        <w:rPr>
          <w:rFonts w:eastAsia="Arial"/>
        </w:rPr>
        <w:t>and</w:t>
      </w:r>
      <w:r w:rsidR="00A467CF" w:rsidRPr="00DE4272">
        <w:rPr>
          <w:rFonts w:eastAsia="Arial"/>
        </w:rPr>
        <w:t xml:space="preserve"> </w:t>
      </w:r>
      <w:r w:rsidR="00DB4224">
        <w:rPr>
          <w:rFonts w:eastAsia="Arial"/>
        </w:rPr>
        <w:t xml:space="preserve">who </w:t>
      </w:r>
      <w:r w:rsidR="00150B88">
        <w:rPr>
          <w:rFonts w:eastAsia="Arial"/>
        </w:rPr>
        <w:t>were also employed</w:t>
      </w:r>
      <w:r w:rsidR="00A467CF" w:rsidRPr="00DE4272">
        <w:rPr>
          <w:rFonts w:eastAsia="Arial"/>
        </w:rPr>
        <w:t xml:space="preserve"> (80% of the non-autistic group, and </w:t>
      </w:r>
      <w:r w:rsidR="00803EDE" w:rsidRPr="00DE4272">
        <w:rPr>
          <w:rFonts w:eastAsia="Arial"/>
        </w:rPr>
        <w:t>53% of the autistic group). We</w:t>
      </w:r>
      <w:r w:rsidR="00AB5B13" w:rsidRPr="00DE4272">
        <w:rPr>
          <w:rFonts w:eastAsia="Arial"/>
        </w:rPr>
        <w:t xml:space="preserve"> found </w:t>
      </w:r>
      <w:r w:rsidR="00ED4D5C" w:rsidRPr="00DE4272">
        <w:rPr>
          <w:rFonts w:eastAsia="Arial"/>
        </w:rPr>
        <w:t xml:space="preserve">no differences </w:t>
      </w:r>
      <w:r w:rsidR="00C80B8A" w:rsidRPr="00DE4272">
        <w:rPr>
          <w:rFonts w:eastAsia="Arial"/>
        </w:rPr>
        <w:t xml:space="preserve">in hours worked between the autistic (n = 7; </w:t>
      </w:r>
      <w:r w:rsidR="00C80B8A" w:rsidRPr="00DE4272">
        <w:rPr>
          <w:rFonts w:eastAsia="Arial"/>
          <w:i/>
          <w:iCs/>
          <w:lang w:val="en-US"/>
        </w:rPr>
        <w:t>M</w:t>
      </w:r>
      <w:r w:rsidR="00C80B8A" w:rsidRPr="00DE4272">
        <w:rPr>
          <w:rFonts w:eastAsia="Arial"/>
          <w:lang w:val="en-US"/>
        </w:rPr>
        <w:t xml:space="preserve"> = </w:t>
      </w:r>
      <w:r w:rsidR="00071192" w:rsidRPr="00DE4272">
        <w:rPr>
          <w:rFonts w:eastAsia="Arial"/>
          <w:lang w:val="en-US"/>
        </w:rPr>
        <w:t>11.36</w:t>
      </w:r>
      <w:r w:rsidR="00C80B8A" w:rsidRPr="00DE4272">
        <w:rPr>
          <w:rFonts w:eastAsia="Arial"/>
          <w:lang w:val="en-US"/>
        </w:rPr>
        <w:t xml:space="preserve"> hours, </w:t>
      </w:r>
      <w:r w:rsidR="00C80B8A" w:rsidRPr="00DE4272">
        <w:rPr>
          <w:rFonts w:eastAsia="Arial"/>
          <w:i/>
          <w:iCs/>
          <w:lang w:val="en-US"/>
        </w:rPr>
        <w:t>SD</w:t>
      </w:r>
      <w:r w:rsidR="00C80B8A" w:rsidRPr="00DE4272">
        <w:rPr>
          <w:rFonts w:eastAsia="Arial"/>
          <w:lang w:val="en-US"/>
        </w:rPr>
        <w:t xml:space="preserve"> = </w:t>
      </w:r>
      <w:r w:rsidR="00071192" w:rsidRPr="00DE4272">
        <w:rPr>
          <w:rFonts w:eastAsia="Arial"/>
          <w:lang w:val="en-US"/>
        </w:rPr>
        <w:t>6.41</w:t>
      </w:r>
      <w:r w:rsidR="00C80B8A" w:rsidRPr="00DE4272">
        <w:rPr>
          <w:rFonts w:eastAsia="Arial"/>
        </w:rPr>
        <w:t>), and non-autistic (n = 44</w:t>
      </w:r>
      <w:r w:rsidR="00071192" w:rsidRPr="00DE4272">
        <w:rPr>
          <w:rFonts w:eastAsia="Arial"/>
        </w:rPr>
        <w:t xml:space="preserve">; </w:t>
      </w:r>
      <w:r w:rsidR="00071192" w:rsidRPr="00DE4272">
        <w:rPr>
          <w:rFonts w:eastAsia="Arial"/>
          <w:i/>
          <w:iCs/>
        </w:rPr>
        <w:t>M</w:t>
      </w:r>
      <w:r w:rsidR="00071192" w:rsidRPr="00DE4272">
        <w:rPr>
          <w:rFonts w:eastAsia="Arial"/>
        </w:rPr>
        <w:t xml:space="preserve"> = </w:t>
      </w:r>
      <w:r w:rsidR="00385E36" w:rsidRPr="00DE4272">
        <w:rPr>
          <w:rFonts w:eastAsia="Arial"/>
        </w:rPr>
        <w:t xml:space="preserve">13.65 hours, </w:t>
      </w:r>
      <w:r w:rsidR="00385E36" w:rsidRPr="00DE4272">
        <w:rPr>
          <w:rFonts w:eastAsia="Arial"/>
          <w:i/>
          <w:iCs/>
        </w:rPr>
        <w:t>SD</w:t>
      </w:r>
      <w:r w:rsidR="00385E36" w:rsidRPr="00DE4272">
        <w:rPr>
          <w:rFonts w:eastAsia="Arial"/>
        </w:rPr>
        <w:t xml:space="preserve"> = 7.42</w:t>
      </w:r>
      <w:r w:rsidR="00C80B8A" w:rsidRPr="00DE4272">
        <w:rPr>
          <w:rFonts w:eastAsia="Arial"/>
        </w:rPr>
        <w:t>), individuals studying full-time and employed</w:t>
      </w:r>
      <w:r w:rsidR="00AD0704" w:rsidRPr="00DE4272">
        <w:rPr>
          <w:rFonts w:eastAsia="Times New Roman"/>
          <w:lang w:val="en-US" w:eastAsia="en-GB"/>
        </w:rPr>
        <w:t>,</w:t>
      </w:r>
      <w:r w:rsidR="00AD0704" w:rsidRPr="00DE4272">
        <w:rPr>
          <w:rFonts w:eastAsia="Arial"/>
          <w:i/>
          <w:iCs/>
        </w:rPr>
        <w:t xml:space="preserve"> t</w:t>
      </w:r>
      <w:r w:rsidR="00AD0704" w:rsidRPr="00DE4272">
        <w:rPr>
          <w:rFonts w:eastAsia="Arial"/>
        </w:rPr>
        <w:t xml:space="preserve">(48) = </w:t>
      </w:r>
      <w:r w:rsidR="00D90B3B" w:rsidRPr="00DE4272">
        <w:rPr>
          <w:rFonts w:eastAsia="Arial"/>
        </w:rPr>
        <w:t>0.77</w:t>
      </w:r>
      <w:r w:rsidR="00AD0704" w:rsidRPr="00DE4272">
        <w:rPr>
          <w:rFonts w:eastAsia="Arial"/>
        </w:rPr>
        <w:t xml:space="preserve">, </w:t>
      </w:r>
      <w:r w:rsidR="00AD0704" w:rsidRPr="00DE4272">
        <w:rPr>
          <w:rFonts w:eastAsia="Arial"/>
          <w:i/>
          <w:iCs/>
        </w:rPr>
        <w:t>p</w:t>
      </w:r>
      <w:r w:rsidR="00AD0704" w:rsidRPr="00DE4272">
        <w:rPr>
          <w:rFonts w:eastAsia="Arial"/>
        </w:rPr>
        <w:t xml:space="preserve"> = .</w:t>
      </w:r>
      <w:r w:rsidR="00D90B3B" w:rsidRPr="00DE4272">
        <w:rPr>
          <w:rFonts w:eastAsia="Arial"/>
        </w:rPr>
        <w:t>444.</w:t>
      </w:r>
    </w:p>
    <w:p w14:paraId="65BC24D0" w14:textId="1E51E66E" w:rsidR="005D4BD1" w:rsidRPr="00166E6D" w:rsidRDefault="005D4BD1" w:rsidP="002A3017">
      <w:pPr>
        <w:spacing w:line="480" w:lineRule="auto"/>
        <w:jc w:val="center"/>
        <w:rPr>
          <w:rFonts w:eastAsia="Times New Roman"/>
          <w:bCs/>
          <w:lang w:val="en-US" w:eastAsia="en-GB"/>
        </w:rPr>
      </w:pPr>
      <w:r w:rsidRPr="00166E6D">
        <w:rPr>
          <w:rFonts w:eastAsia="Times New Roman"/>
          <w:bCs/>
          <w:lang w:val="en-US" w:eastAsia="en-GB"/>
        </w:rPr>
        <w:t>Discussion</w:t>
      </w:r>
    </w:p>
    <w:p w14:paraId="75069F5A" w14:textId="2515E816" w:rsidR="005A7179" w:rsidRDefault="00981646" w:rsidP="00DB2D69">
      <w:pPr>
        <w:spacing w:line="480" w:lineRule="auto"/>
        <w:ind w:firstLine="720"/>
        <w:rPr>
          <w:rFonts w:eastAsia="Times New Roman"/>
          <w:lang w:val="en-US" w:eastAsia="en-GB"/>
        </w:rPr>
      </w:pPr>
      <w:r>
        <w:rPr>
          <w:rFonts w:eastAsia="Times New Roman"/>
          <w:lang w:val="en-US" w:eastAsia="en-GB"/>
        </w:rPr>
        <w:t xml:space="preserve">In the </w:t>
      </w:r>
      <w:r w:rsidRPr="00FC6470">
        <w:rPr>
          <w:rFonts w:eastAsia="Times New Roman"/>
          <w:lang w:val="en-US" w:eastAsia="en-GB"/>
        </w:rPr>
        <w:t>current study we investigated the post-school activities of a sample of young autistic adults and compared this to a sample of same-aged</w:t>
      </w:r>
      <w:r w:rsidR="00F93097">
        <w:rPr>
          <w:rFonts w:eastAsia="Times New Roman"/>
          <w:lang w:val="en-US" w:eastAsia="en-GB"/>
        </w:rPr>
        <w:t>,</w:t>
      </w:r>
      <w:r w:rsidRPr="00FC6470">
        <w:rPr>
          <w:rFonts w:eastAsia="Times New Roman"/>
          <w:lang w:val="en-US" w:eastAsia="en-GB"/>
        </w:rPr>
        <w:t xml:space="preserve"> non-autistic peers. </w:t>
      </w:r>
      <w:r w:rsidR="007C5A62" w:rsidRPr="00FC6470">
        <w:rPr>
          <w:rFonts w:eastAsia="Times New Roman"/>
          <w:lang w:val="en-US" w:eastAsia="en-GB"/>
        </w:rPr>
        <w:t xml:space="preserve">As anticipated, we found </w:t>
      </w:r>
      <w:r w:rsidR="00D53AD2">
        <w:rPr>
          <w:rFonts w:eastAsia="Times New Roman"/>
          <w:lang w:val="en-US" w:eastAsia="en-GB"/>
        </w:rPr>
        <w:t>several</w:t>
      </w:r>
      <w:r w:rsidR="00FC6470" w:rsidRPr="00FC6470">
        <w:rPr>
          <w:rFonts w:eastAsia="Times New Roman"/>
          <w:lang w:val="en-US" w:eastAsia="en-GB"/>
        </w:rPr>
        <w:t xml:space="preserve"> differences between the groups </w:t>
      </w:r>
      <w:r w:rsidR="00506A52" w:rsidRPr="00FC6470">
        <w:rPr>
          <w:rFonts w:eastAsia="Times New Roman"/>
          <w:lang w:val="en-US" w:eastAsia="en-GB"/>
        </w:rPr>
        <w:t>regarding</w:t>
      </w:r>
      <w:r w:rsidR="007C5A62" w:rsidRPr="00FC6470">
        <w:rPr>
          <w:rFonts w:eastAsia="Times New Roman"/>
          <w:lang w:val="en-US" w:eastAsia="en-GB"/>
        </w:rPr>
        <w:t xml:space="preserve"> </w:t>
      </w:r>
      <w:r w:rsidR="00F93097">
        <w:rPr>
          <w:rFonts w:eastAsia="Times New Roman"/>
          <w:lang w:val="en-US" w:eastAsia="en-GB"/>
        </w:rPr>
        <w:t xml:space="preserve">both </w:t>
      </w:r>
      <w:r w:rsidR="007C5A62" w:rsidRPr="00FC6470">
        <w:rPr>
          <w:rFonts w:eastAsia="Times New Roman"/>
          <w:lang w:val="en-US" w:eastAsia="en-GB"/>
        </w:rPr>
        <w:t xml:space="preserve">employment </w:t>
      </w:r>
      <w:r w:rsidR="007040BA">
        <w:rPr>
          <w:rFonts w:eastAsia="Times New Roman"/>
          <w:lang w:val="en-US" w:eastAsia="en-GB"/>
        </w:rPr>
        <w:t>and</w:t>
      </w:r>
      <w:r w:rsidR="007C5A62" w:rsidRPr="00FC6470">
        <w:rPr>
          <w:rFonts w:eastAsia="Times New Roman"/>
          <w:lang w:val="en-US" w:eastAsia="en-GB"/>
        </w:rPr>
        <w:t xml:space="preserve"> education.</w:t>
      </w:r>
      <w:r w:rsidR="00952AA4">
        <w:rPr>
          <w:rFonts w:eastAsia="Times New Roman"/>
          <w:lang w:val="en-US" w:eastAsia="en-GB"/>
        </w:rPr>
        <w:t xml:space="preserve"> </w:t>
      </w:r>
      <w:r w:rsidR="004B4434">
        <w:rPr>
          <w:rFonts w:eastAsia="Times New Roman"/>
          <w:lang w:val="en-US" w:eastAsia="en-GB"/>
        </w:rPr>
        <w:t>Our first hypothesis</w:t>
      </w:r>
      <w:r w:rsidR="00683CD9">
        <w:rPr>
          <w:rFonts w:eastAsia="Times New Roman"/>
          <w:lang w:val="en-US" w:eastAsia="en-GB"/>
        </w:rPr>
        <w:t>,</w:t>
      </w:r>
      <w:r w:rsidR="004B4434">
        <w:rPr>
          <w:rFonts w:eastAsia="Times New Roman"/>
          <w:lang w:val="en-US" w:eastAsia="en-GB"/>
        </w:rPr>
        <w:t xml:space="preserve"> that autistic individuals would be less likely to be engaged in HE than </w:t>
      </w:r>
      <w:r w:rsidR="00417A8E">
        <w:rPr>
          <w:rFonts w:eastAsia="Times New Roman"/>
          <w:lang w:val="en-US" w:eastAsia="en-GB"/>
        </w:rPr>
        <w:lastRenderedPageBreak/>
        <w:t>non-autistic individuals</w:t>
      </w:r>
      <w:r w:rsidR="000006E2">
        <w:rPr>
          <w:rFonts w:eastAsia="Times New Roman"/>
          <w:lang w:val="en-US" w:eastAsia="en-GB"/>
        </w:rPr>
        <w:t xml:space="preserve"> was not supported</w:t>
      </w:r>
      <w:r w:rsidR="00796346">
        <w:rPr>
          <w:rFonts w:eastAsia="Times New Roman"/>
          <w:lang w:val="en-US" w:eastAsia="en-GB"/>
        </w:rPr>
        <w:t xml:space="preserve">; a </w:t>
      </w:r>
      <w:r w:rsidR="00417A8E">
        <w:rPr>
          <w:rFonts w:eastAsia="Times New Roman"/>
          <w:lang w:val="en-US" w:eastAsia="en-GB"/>
        </w:rPr>
        <w:t xml:space="preserve">similar number </w:t>
      </w:r>
      <w:r w:rsidR="00490D75">
        <w:rPr>
          <w:rFonts w:eastAsia="Times New Roman"/>
          <w:lang w:val="en-US" w:eastAsia="en-GB"/>
        </w:rPr>
        <w:t xml:space="preserve">in each group </w:t>
      </w:r>
      <w:r w:rsidR="00481C5A">
        <w:rPr>
          <w:rFonts w:eastAsia="Times New Roman"/>
          <w:lang w:val="en-US" w:eastAsia="en-GB"/>
        </w:rPr>
        <w:t xml:space="preserve">were </w:t>
      </w:r>
      <w:r w:rsidR="00417A8E">
        <w:rPr>
          <w:rFonts w:eastAsia="Times New Roman"/>
          <w:lang w:val="en-US" w:eastAsia="en-GB"/>
        </w:rPr>
        <w:t xml:space="preserve">engaged in HE. This </w:t>
      </w:r>
      <w:r w:rsidR="00FB1D02">
        <w:rPr>
          <w:rFonts w:eastAsia="Times New Roman"/>
          <w:lang w:val="en-US" w:eastAsia="en-GB"/>
        </w:rPr>
        <w:t>contrasts with</w:t>
      </w:r>
      <w:r w:rsidR="00721FCC">
        <w:rPr>
          <w:rFonts w:eastAsia="Times New Roman"/>
          <w:lang w:val="en-US" w:eastAsia="en-GB"/>
        </w:rPr>
        <w:t xml:space="preserve"> current </w:t>
      </w:r>
      <w:r w:rsidR="00481C5A">
        <w:rPr>
          <w:rFonts w:eastAsia="Times New Roman"/>
          <w:lang w:val="en-US" w:eastAsia="en-GB"/>
        </w:rPr>
        <w:t xml:space="preserve">ABS </w:t>
      </w:r>
      <w:r w:rsidR="00EA784B">
        <w:rPr>
          <w:rFonts w:eastAsia="Times New Roman"/>
          <w:lang w:val="en-US" w:eastAsia="en-GB"/>
        </w:rPr>
        <w:t>data</w:t>
      </w:r>
      <w:r w:rsidR="00EF6DB3">
        <w:rPr>
          <w:rFonts w:eastAsia="Times New Roman"/>
          <w:lang w:val="en-US" w:eastAsia="en-GB"/>
        </w:rPr>
        <w:t xml:space="preserve"> (201</w:t>
      </w:r>
      <w:r w:rsidR="00607CB6">
        <w:rPr>
          <w:rFonts w:eastAsia="Times New Roman"/>
          <w:lang w:val="en-US" w:eastAsia="en-GB"/>
        </w:rPr>
        <w:t>9</w:t>
      </w:r>
      <w:r w:rsidR="00EF6DB3">
        <w:rPr>
          <w:rFonts w:eastAsia="Times New Roman"/>
          <w:lang w:val="en-US" w:eastAsia="en-GB"/>
        </w:rPr>
        <w:t>)</w:t>
      </w:r>
      <w:r w:rsidR="00EA784B">
        <w:rPr>
          <w:rFonts w:eastAsia="Times New Roman"/>
          <w:lang w:val="en-US" w:eastAsia="en-GB"/>
        </w:rPr>
        <w:t>, which indicates that autistic indiv</w:t>
      </w:r>
      <w:r w:rsidR="00EF6DB3">
        <w:rPr>
          <w:rFonts w:eastAsia="Times New Roman"/>
          <w:lang w:val="en-US" w:eastAsia="en-GB"/>
        </w:rPr>
        <w:t>iduals are less likely to engage in education following high school. However, th</w:t>
      </w:r>
      <w:r w:rsidR="00CF279C">
        <w:rPr>
          <w:rFonts w:eastAsia="Times New Roman"/>
          <w:lang w:val="en-US" w:eastAsia="en-GB"/>
        </w:rPr>
        <w:t>is</w:t>
      </w:r>
      <w:r w:rsidR="00EF6DB3">
        <w:rPr>
          <w:rFonts w:eastAsia="Times New Roman"/>
          <w:lang w:val="en-US" w:eastAsia="en-GB"/>
        </w:rPr>
        <w:t xml:space="preserve"> difference may be explained by </w:t>
      </w:r>
      <w:r w:rsidR="00237C12">
        <w:rPr>
          <w:rFonts w:eastAsia="Times New Roman"/>
          <w:lang w:val="en-US" w:eastAsia="en-GB"/>
        </w:rPr>
        <w:t xml:space="preserve">our study </w:t>
      </w:r>
      <w:r w:rsidR="00EF6DB3">
        <w:rPr>
          <w:rFonts w:eastAsia="Times New Roman"/>
          <w:lang w:val="en-US" w:eastAsia="en-GB"/>
        </w:rPr>
        <w:t>not includ</w:t>
      </w:r>
      <w:r w:rsidR="00820107">
        <w:rPr>
          <w:rFonts w:eastAsia="Times New Roman"/>
          <w:lang w:val="en-US" w:eastAsia="en-GB"/>
        </w:rPr>
        <w:t>ing</w:t>
      </w:r>
      <w:r w:rsidR="00EF6DB3">
        <w:rPr>
          <w:rFonts w:eastAsia="Times New Roman"/>
          <w:lang w:val="en-US" w:eastAsia="en-GB"/>
        </w:rPr>
        <w:t xml:space="preserve"> individuals with a co-occurring intellectual disability. </w:t>
      </w:r>
      <w:r w:rsidR="00B15D48">
        <w:rPr>
          <w:rFonts w:eastAsia="Times New Roman"/>
          <w:lang w:val="en-US" w:eastAsia="en-GB"/>
        </w:rPr>
        <w:t xml:space="preserve">Differences between groups were evident, however, </w:t>
      </w:r>
      <w:r w:rsidR="00CF7EEA">
        <w:rPr>
          <w:rFonts w:eastAsia="Times New Roman"/>
          <w:lang w:val="en-US" w:eastAsia="en-GB"/>
        </w:rPr>
        <w:t xml:space="preserve">in </w:t>
      </w:r>
      <w:r w:rsidR="00DE68D4">
        <w:rPr>
          <w:rFonts w:eastAsia="Times New Roman"/>
          <w:lang w:val="en-US" w:eastAsia="en-GB"/>
        </w:rPr>
        <w:t xml:space="preserve">HE </w:t>
      </w:r>
      <w:r w:rsidR="00CF7EEA">
        <w:rPr>
          <w:rFonts w:eastAsia="Times New Roman"/>
          <w:lang w:val="en-US" w:eastAsia="en-GB"/>
        </w:rPr>
        <w:t>workload, with autistic individuals bein</w:t>
      </w:r>
      <w:r w:rsidR="00577251">
        <w:rPr>
          <w:rFonts w:eastAsia="Times New Roman"/>
          <w:lang w:val="en-US" w:eastAsia="en-GB"/>
        </w:rPr>
        <w:t>g more likely to study par</w:t>
      </w:r>
      <w:r w:rsidR="00BF25B3">
        <w:rPr>
          <w:rFonts w:eastAsia="Times New Roman"/>
          <w:lang w:val="en-US" w:eastAsia="en-GB"/>
        </w:rPr>
        <w:t>t</w:t>
      </w:r>
      <w:r w:rsidR="00CE231F">
        <w:rPr>
          <w:rFonts w:eastAsia="Times New Roman"/>
          <w:lang w:val="en-US" w:eastAsia="en-GB"/>
        </w:rPr>
        <w:t>-</w:t>
      </w:r>
      <w:r w:rsidR="00577251">
        <w:rPr>
          <w:rFonts w:eastAsia="Times New Roman"/>
          <w:lang w:val="en-US" w:eastAsia="en-GB"/>
        </w:rPr>
        <w:t xml:space="preserve">time. </w:t>
      </w:r>
      <w:r w:rsidR="002478E3">
        <w:rPr>
          <w:rFonts w:eastAsia="Times New Roman"/>
          <w:lang w:val="en-US" w:eastAsia="en-GB"/>
        </w:rPr>
        <w:t xml:space="preserve">Part-time study </w:t>
      </w:r>
      <w:r w:rsidR="005D0ED9">
        <w:rPr>
          <w:rFonts w:eastAsia="Times New Roman"/>
          <w:lang w:val="en-US" w:eastAsia="en-GB"/>
        </w:rPr>
        <w:t>may relate</w:t>
      </w:r>
      <w:r w:rsidR="002478E3">
        <w:rPr>
          <w:rFonts w:eastAsia="Times New Roman"/>
          <w:lang w:val="en-US" w:eastAsia="en-GB"/>
        </w:rPr>
        <w:t xml:space="preserve"> to</w:t>
      </w:r>
      <w:r w:rsidR="005D0ED9">
        <w:rPr>
          <w:rFonts w:eastAsia="Times New Roman"/>
          <w:lang w:val="en-US" w:eastAsia="en-GB"/>
        </w:rPr>
        <w:t xml:space="preserve"> issues associated with executive function difficulties and mental health problems reported for Australian HE students (Cai &amp; Richdale, 2016), as part-time study is likely to be less stressful than studying full-time. </w:t>
      </w:r>
    </w:p>
    <w:p w14:paraId="4CF31369" w14:textId="1BB44D68" w:rsidR="00B55D7E" w:rsidRDefault="005A7179" w:rsidP="002A3017">
      <w:pPr>
        <w:spacing w:line="480" w:lineRule="auto"/>
        <w:ind w:firstLine="720"/>
        <w:rPr>
          <w:rFonts w:eastAsia="Times New Roman"/>
          <w:lang w:val="en-US" w:eastAsia="en-GB"/>
        </w:rPr>
      </w:pPr>
      <w:r>
        <w:rPr>
          <w:rFonts w:eastAsia="Times New Roman"/>
          <w:lang w:val="en-US" w:eastAsia="en-GB"/>
        </w:rPr>
        <w:t>Differences</w:t>
      </w:r>
      <w:r w:rsidR="00577251">
        <w:rPr>
          <w:rFonts w:eastAsia="Times New Roman"/>
          <w:lang w:val="en-US" w:eastAsia="en-GB"/>
        </w:rPr>
        <w:t xml:space="preserve"> </w:t>
      </w:r>
      <w:r w:rsidR="005D1272">
        <w:rPr>
          <w:rFonts w:eastAsia="Times New Roman"/>
          <w:lang w:val="en-US" w:eastAsia="en-GB"/>
        </w:rPr>
        <w:t xml:space="preserve">were </w:t>
      </w:r>
      <w:r w:rsidR="000A48EC">
        <w:rPr>
          <w:rFonts w:eastAsia="Times New Roman"/>
          <w:lang w:val="en-US" w:eastAsia="en-GB"/>
        </w:rPr>
        <w:t xml:space="preserve">also </w:t>
      </w:r>
      <w:r>
        <w:rPr>
          <w:rFonts w:eastAsia="Times New Roman"/>
          <w:lang w:val="en-US" w:eastAsia="en-GB"/>
        </w:rPr>
        <w:t xml:space="preserve">evident </w:t>
      </w:r>
      <w:r w:rsidR="00B15D48">
        <w:rPr>
          <w:rFonts w:eastAsia="Times New Roman"/>
          <w:lang w:val="en-US" w:eastAsia="en-GB"/>
        </w:rPr>
        <w:t xml:space="preserve">in the type of </w:t>
      </w:r>
      <w:r w:rsidR="000A48EC">
        <w:rPr>
          <w:rFonts w:eastAsia="Times New Roman"/>
          <w:lang w:val="en-US" w:eastAsia="en-GB"/>
        </w:rPr>
        <w:t>HE</w:t>
      </w:r>
      <w:r w:rsidR="00B15D48">
        <w:rPr>
          <w:rFonts w:eastAsia="Times New Roman"/>
          <w:lang w:val="en-US" w:eastAsia="en-GB"/>
        </w:rPr>
        <w:t xml:space="preserve">, with autistic individuals more likely to attend </w:t>
      </w:r>
      <w:r w:rsidR="005528AF">
        <w:rPr>
          <w:rFonts w:eastAsia="Times New Roman"/>
          <w:lang w:val="en-US" w:eastAsia="en-GB"/>
        </w:rPr>
        <w:t>technical and further education (</w:t>
      </w:r>
      <w:r w:rsidR="00B15D48">
        <w:rPr>
          <w:rFonts w:eastAsia="Times New Roman"/>
          <w:lang w:val="en-US" w:eastAsia="en-GB"/>
        </w:rPr>
        <w:t>TAFE</w:t>
      </w:r>
      <w:r w:rsidR="005528AF">
        <w:rPr>
          <w:rFonts w:eastAsia="Times New Roman"/>
          <w:lang w:val="en-US" w:eastAsia="en-GB"/>
        </w:rPr>
        <w:t>)</w:t>
      </w:r>
      <w:r w:rsidR="00B15D48">
        <w:rPr>
          <w:rFonts w:eastAsia="Times New Roman"/>
          <w:lang w:val="en-US" w:eastAsia="en-GB"/>
        </w:rPr>
        <w:t xml:space="preserve"> or </w:t>
      </w:r>
      <w:r w:rsidR="001446E1">
        <w:rPr>
          <w:rFonts w:eastAsia="Times New Roman"/>
          <w:lang w:val="en-US" w:eastAsia="en-GB"/>
        </w:rPr>
        <w:t xml:space="preserve">community </w:t>
      </w:r>
      <w:r w:rsidR="00B15D48">
        <w:rPr>
          <w:rFonts w:eastAsia="Times New Roman"/>
          <w:lang w:val="en-US" w:eastAsia="en-GB"/>
        </w:rPr>
        <w:t>college than</w:t>
      </w:r>
      <w:r w:rsidR="00DD66A1">
        <w:rPr>
          <w:rFonts w:eastAsia="Times New Roman"/>
          <w:lang w:val="en-US" w:eastAsia="en-GB"/>
        </w:rPr>
        <w:t xml:space="preserve"> their non-autistic counterparts.</w:t>
      </w:r>
      <w:r w:rsidR="00577251">
        <w:rPr>
          <w:rFonts w:eastAsia="Times New Roman"/>
          <w:lang w:val="en-US" w:eastAsia="en-GB"/>
        </w:rPr>
        <w:t xml:space="preserve"> </w:t>
      </w:r>
      <w:r w:rsidR="005826CA">
        <w:rPr>
          <w:rFonts w:eastAsia="Times New Roman"/>
          <w:lang w:val="en-US" w:eastAsia="en-GB"/>
        </w:rPr>
        <w:t>This is perhaps unsurpri</w:t>
      </w:r>
      <w:r w:rsidR="00346B51">
        <w:rPr>
          <w:rFonts w:eastAsia="Times New Roman"/>
          <w:lang w:val="en-US" w:eastAsia="en-GB"/>
        </w:rPr>
        <w:t xml:space="preserve">sing as TAFE </w:t>
      </w:r>
      <w:r w:rsidR="00FF2147">
        <w:rPr>
          <w:rFonts w:eastAsia="Times New Roman"/>
          <w:lang w:val="en-US" w:eastAsia="en-GB"/>
        </w:rPr>
        <w:t>programs</w:t>
      </w:r>
      <w:r w:rsidR="00833A42">
        <w:rPr>
          <w:rFonts w:eastAsia="Times New Roman"/>
          <w:lang w:val="en-US" w:eastAsia="en-GB"/>
        </w:rPr>
        <w:t xml:space="preserve"> </w:t>
      </w:r>
      <w:r w:rsidR="004102E6">
        <w:rPr>
          <w:rFonts w:eastAsia="Times New Roman"/>
          <w:lang w:val="en-US" w:eastAsia="en-GB"/>
        </w:rPr>
        <w:t>are often more structured</w:t>
      </w:r>
      <w:r w:rsidR="0009190D">
        <w:rPr>
          <w:rFonts w:eastAsia="Times New Roman"/>
          <w:lang w:val="en-US" w:eastAsia="en-GB"/>
        </w:rPr>
        <w:t>, with smaller classes</w:t>
      </w:r>
      <w:r w:rsidR="00F8701A">
        <w:rPr>
          <w:rFonts w:eastAsia="Times New Roman"/>
          <w:lang w:val="en-US" w:eastAsia="en-GB"/>
        </w:rPr>
        <w:t>,</w:t>
      </w:r>
      <w:r w:rsidR="004102E6">
        <w:rPr>
          <w:rFonts w:eastAsia="Times New Roman"/>
          <w:lang w:val="en-US" w:eastAsia="en-GB"/>
        </w:rPr>
        <w:t xml:space="preserve"> and</w:t>
      </w:r>
      <w:r w:rsidR="0009190D">
        <w:rPr>
          <w:rFonts w:eastAsia="Times New Roman"/>
          <w:lang w:val="en-US" w:eastAsia="en-GB"/>
        </w:rPr>
        <w:t xml:space="preserve"> are </w:t>
      </w:r>
      <w:r w:rsidR="005273E8">
        <w:rPr>
          <w:rFonts w:eastAsia="Times New Roman"/>
          <w:lang w:val="en-US" w:eastAsia="en-GB"/>
        </w:rPr>
        <w:t xml:space="preserve">generally </w:t>
      </w:r>
      <w:r w:rsidR="004102E6">
        <w:rPr>
          <w:rFonts w:eastAsia="Times New Roman"/>
          <w:lang w:val="en-US" w:eastAsia="en-GB"/>
        </w:rPr>
        <w:t xml:space="preserve">shorter than university </w:t>
      </w:r>
      <w:r w:rsidR="00833A42">
        <w:rPr>
          <w:rFonts w:eastAsia="Times New Roman"/>
          <w:lang w:val="en-US" w:eastAsia="en-GB"/>
        </w:rPr>
        <w:t>programs</w:t>
      </w:r>
      <w:r w:rsidR="00A66E59">
        <w:rPr>
          <w:rFonts w:eastAsia="Times New Roman"/>
          <w:lang w:val="en-US" w:eastAsia="en-GB"/>
        </w:rPr>
        <w:t>.</w:t>
      </w:r>
      <w:r w:rsidR="004102E6">
        <w:rPr>
          <w:rFonts w:eastAsia="Times New Roman"/>
          <w:lang w:val="en-US" w:eastAsia="en-GB"/>
        </w:rPr>
        <w:t xml:space="preserve"> </w:t>
      </w:r>
      <w:r w:rsidR="00A66E59">
        <w:rPr>
          <w:rFonts w:eastAsia="Times New Roman"/>
          <w:lang w:val="en-US" w:eastAsia="en-GB"/>
        </w:rPr>
        <w:t>M</w:t>
      </w:r>
      <w:r w:rsidR="00E53A0C">
        <w:rPr>
          <w:rFonts w:eastAsia="Times New Roman"/>
          <w:lang w:val="en-US" w:eastAsia="en-GB"/>
        </w:rPr>
        <w:t xml:space="preserve">any </w:t>
      </w:r>
      <w:r w:rsidR="004102E6">
        <w:rPr>
          <w:rFonts w:eastAsia="Times New Roman"/>
          <w:lang w:val="en-US" w:eastAsia="en-GB"/>
        </w:rPr>
        <w:t>autistic individuals</w:t>
      </w:r>
      <w:r w:rsidR="00E53A0C">
        <w:rPr>
          <w:rFonts w:eastAsia="Times New Roman"/>
          <w:lang w:val="en-US" w:eastAsia="en-GB"/>
        </w:rPr>
        <w:t xml:space="preserve"> prefer structure (</w:t>
      </w:r>
      <w:r w:rsidR="00B034EC" w:rsidRPr="007F772A">
        <w:t>American Psychiatric Association, 2013</w:t>
      </w:r>
      <w:r w:rsidR="00E53A0C">
        <w:rPr>
          <w:rFonts w:eastAsia="Times New Roman"/>
          <w:lang w:val="en-US" w:eastAsia="en-GB"/>
        </w:rPr>
        <w:t>), and there is evidence that autistic people benefit from vocational education and training (</w:t>
      </w:r>
      <w:r w:rsidR="00091054">
        <w:rPr>
          <w:rFonts w:eastAsia="Times New Roman"/>
          <w:lang w:val="en-US" w:eastAsia="en-GB"/>
        </w:rPr>
        <w:t>Flower, Hedley, Spoor, &amp; Dissanayake, 2019</w:t>
      </w:r>
      <w:r w:rsidR="00E53A0C">
        <w:rPr>
          <w:rFonts w:eastAsia="Times New Roman"/>
          <w:lang w:val="en-US" w:eastAsia="en-GB"/>
        </w:rPr>
        <w:t xml:space="preserve">), which is </w:t>
      </w:r>
      <w:r w:rsidR="00FD1631">
        <w:rPr>
          <w:rFonts w:eastAsia="Times New Roman"/>
          <w:lang w:val="en-US" w:eastAsia="en-GB"/>
        </w:rPr>
        <w:t>usually</w:t>
      </w:r>
      <w:r w:rsidR="00E53A0C">
        <w:rPr>
          <w:rFonts w:eastAsia="Times New Roman"/>
          <w:lang w:val="en-US" w:eastAsia="en-GB"/>
        </w:rPr>
        <w:t xml:space="preserve"> provided in the </w:t>
      </w:r>
      <w:r w:rsidR="008955F8">
        <w:rPr>
          <w:rFonts w:eastAsia="Times New Roman"/>
          <w:lang w:val="en-US" w:eastAsia="en-GB"/>
        </w:rPr>
        <w:t xml:space="preserve">Australian </w:t>
      </w:r>
      <w:r w:rsidR="00E53A0C">
        <w:rPr>
          <w:rFonts w:eastAsia="Times New Roman"/>
          <w:lang w:val="en-US" w:eastAsia="en-GB"/>
        </w:rPr>
        <w:t xml:space="preserve">TAFE setting. </w:t>
      </w:r>
      <w:r w:rsidR="008955F8">
        <w:rPr>
          <w:rFonts w:eastAsia="Times New Roman"/>
          <w:lang w:val="en-US" w:eastAsia="en-GB"/>
        </w:rPr>
        <w:t>W</w:t>
      </w:r>
      <w:r w:rsidR="007B293C">
        <w:rPr>
          <w:rFonts w:eastAsia="Times New Roman"/>
          <w:lang w:val="en-US" w:eastAsia="en-GB"/>
        </w:rPr>
        <w:t xml:space="preserve">hile some </w:t>
      </w:r>
      <w:r w:rsidR="008955F8">
        <w:rPr>
          <w:rFonts w:eastAsia="Times New Roman"/>
          <w:lang w:val="en-US" w:eastAsia="en-GB"/>
        </w:rPr>
        <w:t xml:space="preserve">Australian </w:t>
      </w:r>
      <w:r w:rsidR="007B293C">
        <w:rPr>
          <w:rFonts w:eastAsia="Times New Roman"/>
          <w:lang w:val="en-US" w:eastAsia="en-GB"/>
        </w:rPr>
        <w:t>TAFEs/</w:t>
      </w:r>
      <w:r w:rsidR="001446E1">
        <w:rPr>
          <w:rFonts w:eastAsia="Times New Roman"/>
          <w:lang w:val="en-US" w:eastAsia="en-GB"/>
        </w:rPr>
        <w:t xml:space="preserve">community </w:t>
      </w:r>
      <w:r w:rsidR="007B293C">
        <w:rPr>
          <w:rFonts w:eastAsia="Times New Roman"/>
          <w:lang w:val="en-US" w:eastAsia="en-GB"/>
        </w:rPr>
        <w:t xml:space="preserve">colleges may offer degree programs, </w:t>
      </w:r>
      <w:r w:rsidR="00010E69">
        <w:rPr>
          <w:rFonts w:eastAsia="Times New Roman"/>
          <w:lang w:val="en-US" w:eastAsia="en-GB"/>
        </w:rPr>
        <w:t>they</w:t>
      </w:r>
      <w:r w:rsidR="007B293C">
        <w:rPr>
          <w:rFonts w:eastAsia="Times New Roman"/>
          <w:lang w:val="en-US" w:eastAsia="en-GB"/>
        </w:rPr>
        <w:t xml:space="preserve"> primarily offer certificate, diploma and trade qualifications in more practical</w:t>
      </w:r>
      <w:r w:rsidR="005C24C6">
        <w:rPr>
          <w:rFonts w:eastAsia="Times New Roman"/>
          <w:lang w:val="en-US" w:eastAsia="en-GB"/>
        </w:rPr>
        <w:t>,</w:t>
      </w:r>
      <w:r w:rsidR="007B293C">
        <w:rPr>
          <w:rFonts w:eastAsia="Times New Roman"/>
          <w:lang w:val="en-US" w:eastAsia="en-GB"/>
        </w:rPr>
        <w:t xml:space="preserve"> work-related areas, and some courses may offer articulation with a university degree. </w:t>
      </w:r>
      <w:r w:rsidR="0088441A">
        <w:rPr>
          <w:rFonts w:eastAsia="Times New Roman"/>
          <w:lang w:val="en-US" w:eastAsia="en-GB"/>
        </w:rPr>
        <w:t>Smaller classes</w:t>
      </w:r>
      <w:r w:rsidR="00FD1631">
        <w:rPr>
          <w:rFonts w:eastAsia="Times New Roman"/>
          <w:lang w:val="en-US" w:eastAsia="en-GB"/>
        </w:rPr>
        <w:t>,</w:t>
      </w:r>
      <w:r w:rsidR="0088441A">
        <w:rPr>
          <w:rFonts w:eastAsia="Times New Roman"/>
          <w:lang w:val="en-US" w:eastAsia="en-GB"/>
        </w:rPr>
        <w:t xml:space="preserve"> as opposed to large lectures</w:t>
      </w:r>
      <w:r w:rsidR="00FD1631">
        <w:rPr>
          <w:rFonts w:eastAsia="Times New Roman"/>
          <w:lang w:val="en-US" w:eastAsia="en-GB"/>
        </w:rPr>
        <w:t>,</w:t>
      </w:r>
      <w:r w:rsidR="0088441A">
        <w:rPr>
          <w:rFonts w:eastAsia="Times New Roman"/>
          <w:lang w:val="en-US" w:eastAsia="en-GB"/>
        </w:rPr>
        <w:t xml:space="preserve"> may also </w:t>
      </w:r>
      <w:r w:rsidR="00471AB5">
        <w:rPr>
          <w:rFonts w:eastAsia="Times New Roman"/>
          <w:lang w:val="en-US" w:eastAsia="en-GB"/>
        </w:rPr>
        <w:t xml:space="preserve">better </w:t>
      </w:r>
      <w:r w:rsidR="0088441A">
        <w:rPr>
          <w:rFonts w:eastAsia="Times New Roman"/>
          <w:lang w:val="en-US" w:eastAsia="en-GB"/>
        </w:rPr>
        <w:t>suit autistic individuals</w:t>
      </w:r>
      <w:r w:rsidR="00471AB5">
        <w:rPr>
          <w:rFonts w:eastAsia="Times New Roman"/>
          <w:lang w:val="en-US" w:eastAsia="en-GB"/>
        </w:rPr>
        <w:t>’ learning needs</w:t>
      </w:r>
      <w:r w:rsidR="0088441A">
        <w:rPr>
          <w:rFonts w:eastAsia="Times New Roman"/>
          <w:lang w:val="en-US" w:eastAsia="en-GB"/>
        </w:rPr>
        <w:t xml:space="preserve">. </w:t>
      </w:r>
      <w:r w:rsidR="00B652EF">
        <w:rPr>
          <w:rFonts w:eastAsia="Times New Roman"/>
          <w:lang w:val="en-US" w:eastAsia="en-GB"/>
        </w:rPr>
        <w:t xml:space="preserve">To our knowledge this is the first </w:t>
      </w:r>
      <w:r w:rsidR="00096713">
        <w:rPr>
          <w:rFonts w:eastAsia="Times New Roman"/>
          <w:lang w:val="en-US" w:eastAsia="en-GB"/>
        </w:rPr>
        <w:t xml:space="preserve">Australian </w:t>
      </w:r>
      <w:r w:rsidR="00B652EF">
        <w:rPr>
          <w:rFonts w:eastAsia="Times New Roman"/>
          <w:lang w:val="en-US" w:eastAsia="en-GB"/>
        </w:rPr>
        <w:t xml:space="preserve">study to investigate types of HE attended when comparing autistic and non-autistic young adults’ HE participation. </w:t>
      </w:r>
      <w:r w:rsidR="007E2622">
        <w:rPr>
          <w:rFonts w:eastAsia="Times New Roman"/>
          <w:lang w:val="en-US" w:eastAsia="en-GB"/>
        </w:rPr>
        <w:t xml:space="preserve">Initiatives </w:t>
      </w:r>
      <w:r w:rsidR="005E0A1E">
        <w:rPr>
          <w:rFonts w:eastAsia="Times New Roman"/>
          <w:lang w:val="en-US" w:eastAsia="en-GB"/>
        </w:rPr>
        <w:t>such as the Neurodiversity Hub (</w:t>
      </w:r>
      <w:r w:rsidR="00091054" w:rsidRPr="00091054">
        <w:t>https://www.neurodiversityhub.org/</w:t>
      </w:r>
      <w:r w:rsidR="005E0A1E">
        <w:rPr>
          <w:rFonts w:eastAsia="Times New Roman"/>
          <w:lang w:val="en-US" w:eastAsia="en-GB"/>
        </w:rPr>
        <w:t xml:space="preserve">) </w:t>
      </w:r>
      <w:r w:rsidR="000C5E8E">
        <w:rPr>
          <w:rFonts w:eastAsia="Times New Roman"/>
          <w:lang w:val="en-US" w:eastAsia="en-GB"/>
        </w:rPr>
        <w:t>tend to focus on university education</w:t>
      </w:r>
      <w:r w:rsidR="00846F96">
        <w:rPr>
          <w:rFonts w:eastAsia="Times New Roman"/>
          <w:lang w:val="en-US" w:eastAsia="en-GB"/>
        </w:rPr>
        <w:t xml:space="preserve">, </w:t>
      </w:r>
      <w:r w:rsidR="000C5E8E">
        <w:rPr>
          <w:rFonts w:eastAsia="Times New Roman"/>
          <w:lang w:val="en-US" w:eastAsia="en-GB"/>
        </w:rPr>
        <w:t xml:space="preserve">and </w:t>
      </w:r>
      <w:r w:rsidR="005E0A1E">
        <w:rPr>
          <w:rFonts w:eastAsia="Times New Roman"/>
          <w:lang w:val="en-US" w:eastAsia="en-GB"/>
        </w:rPr>
        <w:t>work alongside universities</w:t>
      </w:r>
      <w:r w:rsidR="00E84C6E">
        <w:rPr>
          <w:rFonts w:eastAsia="Times New Roman"/>
          <w:lang w:val="en-US" w:eastAsia="en-GB"/>
        </w:rPr>
        <w:t xml:space="preserve"> to offer resour</w:t>
      </w:r>
      <w:r w:rsidR="008E3230">
        <w:rPr>
          <w:rFonts w:eastAsia="Times New Roman"/>
          <w:lang w:val="en-US" w:eastAsia="en-GB"/>
        </w:rPr>
        <w:t xml:space="preserve">ces for students and staff, and connections with industry. </w:t>
      </w:r>
      <w:r w:rsidR="008E3230">
        <w:rPr>
          <w:rFonts w:eastAsia="Times New Roman"/>
          <w:lang w:val="en-US" w:eastAsia="en-GB"/>
        </w:rPr>
        <w:lastRenderedPageBreak/>
        <w:t>O</w:t>
      </w:r>
      <w:r w:rsidR="002944E1">
        <w:rPr>
          <w:rFonts w:eastAsia="Times New Roman"/>
          <w:lang w:val="en-US" w:eastAsia="en-GB"/>
        </w:rPr>
        <w:t xml:space="preserve">ur data suggest </w:t>
      </w:r>
      <w:r w:rsidR="005E0A1E">
        <w:rPr>
          <w:rFonts w:eastAsia="Times New Roman"/>
          <w:lang w:val="en-US" w:eastAsia="en-GB"/>
        </w:rPr>
        <w:t>TAFE</w:t>
      </w:r>
      <w:r w:rsidR="001446E1">
        <w:rPr>
          <w:rFonts w:eastAsia="Times New Roman"/>
          <w:lang w:val="en-US" w:eastAsia="en-GB"/>
        </w:rPr>
        <w:t>/community college</w:t>
      </w:r>
      <w:r w:rsidR="005E0A1E">
        <w:rPr>
          <w:rFonts w:eastAsia="Times New Roman"/>
          <w:lang w:val="en-US" w:eastAsia="en-GB"/>
        </w:rPr>
        <w:t xml:space="preserve"> </w:t>
      </w:r>
      <w:r w:rsidR="0021196B">
        <w:rPr>
          <w:rFonts w:eastAsia="Times New Roman"/>
          <w:lang w:val="en-US" w:eastAsia="en-GB"/>
        </w:rPr>
        <w:t>providers</w:t>
      </w:r>
      <w:r w:rsidR="00846F96">
        <w:rPr>
          <w:rFonts w:eastAsia="Times New Roman"/>
          <w:lang w:val="en-US" w:eastAsia="en-GB"/>
        </w:rPr>
        <w:t xml:space="preserve"> need to </w:t>
      </w:r>
      <w:r w:rsidR="00794CDD">
        <w:rPr>
          <w:rFonts w:eastAsia="Times New Roman"/>
          <w:lang w:val="en-US" w:eastAsia="en-GB"/>
        </w:rPr>
        <w:t>be included in these initiatives too</w:t>
      </w:r>
      <w:r w:rsidR="005E0A1E">
        <w:rPr>
          <w:rFonts w:eastAsia="Times New Roman"/>
          <w:lang w:val="en-US" w:eastAsia="en-GB"/>
        </w:rPr>
        <w:t xml:space="preserve">. </w:t>
      </w:r>
      <w:r w:rsidR="001C71EF">
        <w:rPr>
          <w:rFonts w:eastAsia="Times New Roman"/>
          <w:lang w:val="en-US" w:eastAsia="en-GB"/>
        </w:rPr>
        <w:t xml:space="preserve">Further, </w:t>
      </w:r>
      <w:r w:rsidR="00635C55">
        <w:rPr>
          <w:rFonts w:eastAsia="Times New Roman"/>
          <w:lang w:val="en-US" w:eastAsia="en-GB"/>
        </w:rPr>
        <w:t xml:space="preserve">to best support autistic students, </w:t>
      </w:r>
      <w:r w:rsidR="001C71EF">
        <w:rPr>
          <w:rFonts w:eastAsia="Times New Roman"/>
          <w:lang w:val="en-US" w:eastAsia="en-GB"/>
        </w:rPr>
        <w:t xml:space="preserve">it is important that TAFE </w:t>
      </w:r>
      <w:r w:rsidR="00AA4EB6">
        <w:rPr>
          <w:rFonts w:eastAsia="Times New Roman"/>
          <w:lang w:val="en-US" w:eastAsia="en-GB"/>
        </w:rPr>
        <w:t xml:space="preserve">and </w:t>
      </w:r>
      <w:r w:rsidR="0088450A">
        <w:rPr>
          <w:rFonts w:eastAsia="Times New Roman"/>
          <w:lang w:val="en-US" w:eastAsia="en-GB"/>
        </w:rPr>
        <w:t>c</w:t>
      </w:r>
      <w:r w:rsidR="00AA4EB6">
        <w:rPr>
          <w:rFonts w:eastAsia="Times New Roman"/>
          <w:lang w:val="en-US" w:eastAsia="en-GB"/>
        </w:rPr>
        <w:t xml:space="preserve">ommunity college providers </w:t>
      </w:r>
      <w:r w:rsidR="00635C55">
        <w:rPr>
          <w:rFonts w:eastAsia="Times New Roman"/>
          <w:lang w:val="en-US" w:eastAsia="en-GB"/>
        </w:rPr>
        <w:t xml:space="preserve">have an awareness and understanding of autism, and recognise </w:t>
      </w:r>
      <w:r w:rsidR="001916F0">
        <w:rPr>
          <w:rFonts w:eastAsia="Times New Roman"/>
          <w:lang w:val="en-US" w:eastAsia="en-GB"/>
        </w:rPr>
        <w:t>an individual approach to support is required (</w:t>
      </w:r>
      <w:r w:rsidR="00855958">
        <w:rPr>
          <w:rFonts w:eastAsia="Times New Roman"/>
          <w:lang w:val="en-US" w:eastAsia="en-GB"/>
        </w:rPr>
        <w:t>Anderson, Ste</w:t>
      </w:r>
      <w:r w:rsidR="004D5F39">
        <w:rPr>
          <w:rFonts w:eastAsia="Times New Roman"/>
          <w:lang w:val="en-US" w:eastAsia="en-GB"/>
        </w:rPr>
        <w:t xml:space="preserve">phenson, &amp; Carter, 2017; </w:t>
      </w:r>
      <w:r w:rsidR="001916F0">
        <w:rPr>
          <w:rFonts w:eastAsia="Times New Roman"/>
          <w:lang w:val="en-US" w:eastAsia="en-GB"/>
        </w:rPr>
        <w:t>Nuske</w:t>
      </w:r>
      <w:r w:rsidR="00FE7D51">
        <w:rPr>
          <w:rFonts w:eastAsia="Times New Roman"/>
          <w:lang w:val="en-US" w:eastAsia="en-GB"/>
        </w:rPr>
        <w:t xml:space="preserve"> et al., </w:t>
      </w:r>
      <w:r w:rsidR="00855958">
        <w:rPr>
          <w:rFonts w:eastAsia="Times New Roman"/>
          <w:lang w:val="en-US" w:eastAsia="en-GB"/>
        </w:rPr>
        <w:t>2019)</w:t>
      </w:r>
      <w:r w:rsidR="00F72D17">
        <w:rPr>
          <w:rFonts w:eastAsia="Times New Roman"/>
          <w:lang w:val="en-US" w:eastAsia="en-GB"/>
        </w:rPr>
        <w:t xml:space="preserve">. </w:t>
      </w:r>
      <w:r w:rsidR="00F72D17" w:rsidRPr="00F72D17">
        <w:rPr>
          <w:rFonts w:eastAsia="Times New Roman"/>
          <w:lang w:val="en-US" w:eastAsia="en-GB"/>
        </w:rPr>
        <w:t>Additionally, all HE providers need to provide evidence-based support strategies for autistic adults to ensure success for this population</w:t>
      </w:r>
      <w:r w:rsidR="00F72D17">
        <w:rPr>
          <w:rFonts w:eastAsia="Times New Roman"/>
          <w:lang w:val="en-US" w:eastAsia="en-GB"/>
        </w:rPr>
        <w:t>.</w:t>
      </w:r>
    </w:p>
    <w:p w14:paraId="5CD9DB03" w14:textId="349557AA" w:rsidR="00090C68" w:rsidRDefault="005C4518" w:rsidP="002A3017">
      <w:pPr>
        <w:spacing w:line="480" w:lineRule="auto"/>
        <w:ind w:firstLine="720"/>
        <w:rPr>
          <w:rFonts w:eastAsia="Times New Roman"/>
          <w:lang w:val="en-US" w:eastAsia="en-GB"/>
        </w:rPr>
      </w:pPr>
      <w:r w:rsidRPr="00A625EB">
        <w:rPr>
          <w:rFonts w:eastAsia="Times New Roman"/>
          <w:lang w:val="en-US" w:eastAsia="en-GB"/>
        </w:rPr>
        <w:t>The second hypothesis</w:t>
      </w:r>
      <w:r w:rsidR="00E67CE1" w:rsidRPr="00A625EB">
        <w:rPr>
          <w:rFonts w:eastAsia="Times New Roman"/>
          <w:lang w:val="en-US" w:eastAsia="en-GB"/>
        </w:rPr>
        <w:t>,</w:t>
      </w:r>
      <w:r w:rsidRPr="00A625EB">
        <w:rPr>
          <w:rFonts w:eastAsia="Times New Roman"/>
          <w:lang w:val="en-US" w:eastAsia="en-GB"/>
        </w:rPr>
        <w:t xml:space="preserve"> that autistic individuals </w:t>
      </w:r>
      <w:r w:rsidR="00332BC2" w:rsidRPr="00A625EB">
        <w:rPr>
          <w:rFonts w:eastAsia="Times New Roman"/>
          <w:lang w:val="en-US" w:eastAsia="en-GB"/>
        </w:rPr>
        <w:t>would be</w:t>
      </w:r>
      <w:r w:rsidRPr="00A625EB">
        <w:rPr>
          <w:rFonts w:eastAsia="Times New Roman"/>
          <w:lang w:val="en-US" w:eastAsia="en-GB"/>
        </w:rPr>
        <w:t xml:space="preserve"> less likely to be employed</w:t>
      </w:r>
      <w:r w:rsidR="00E67CE1" w:rsidRPr="00A625EB">
        <w:rPr>
          <w:rFonts w:eastAsia="Times New Roman"/>
          <w:lang w:val="en-US" w:eastAsia="en-GB"/>
        </w:rPr>
        <w:t>,</w:t>
      </w:r>
      <w:r w:rsidR="00441E30" w:rsidRPr="00A625EB">
        <w:rPr>
          <w:rFonts w:eastAsia="Times New Roman"/>
          <w:lang w:val="en-US" w:eastAsia="en-GB"/>
        </w:rPr>
        <w:t xml:space="preserve"> was supported</w:t>
      </w:r>
      <w:r w:rsidR="00727CD4" w:rsidRPr="00A625EB">
        <w:rPr>
          <w:rFonts w:eastAsia="Times New Roman"/>
          <w:lang w:val="en-US" w:eastAsia="en-GB"/>
        </w:rPr>
        <w:t>.</w:t>
      </w:r>
      <w:r w:rsidR="00441E30">
        <w:rPr>
          <w:rFonts w:eastAsia="Times New Roman"/>
          <w:lang w:val="en-US" w:eastAsia="en-GB"/>
        </w:rPr>
        <w:t xml:space="preserve"> </w:t>
      </w:r>
      <w:r w:rsidR="00C02119" w:rsidRPr="00FF4863">
        <w:rPr>
          <w:rFonts w:eastAsia="Times New Roman"/>
          <w:lang w:val="en-US" w:eastAsia="en-GB"/>
        </w:rPr>
        <w:t xml:space="preserve">When examining </w:t>
      </w:r>
      <w:r w:rsidR="00A21E3D" w:rsidRPr="00FF4863">
        <w:rPr>
          <w:rFonts w:eastAsia="Times New Roman"/>
          <w:lang w:val="en-US" w:eastAsia="en-GB"/>
        </w:rPr>
        <w:t xml:space="preserve">those only engaged in employment, there were no group differences. However, </w:t>
      </w:r>
      <w:r w:rsidR="00C14568" w:rsidRPr="00FF4863">
        <w:rPr>
          <w:rFonts w:eastAsia="Times New Roman"/>
          <w:lang w:val="en-US" w:eastAsia="en-GB"/>
        </w:rPr>
        <w:t>this finding is not without</w:t>
      </w:r>
      <w:r w:rsidR="00A21E3D" w:rsidRPr="00FF4863">
        <w:rPr>
          <w:rFonts w:eastAsia="Times New Roman"/>
          <w:lang w:val="en-US" w:eastAsia="en-GB"/>
        </w:rPr>
        <w:t xml:space="preserve"> caveats</w:t>
      </w:r>
      <w:r w:rsidR="00C14568" w:rsidRPr="00FF4863">
        <w:rPr>
          <w:rFonts w:eastAsia="Times New Roman"/>
          <w:lang w:val="en-US" w:eastAsia="en-GB"/>
        </w:rPr>
        <w:t>, as</w:t>
      </w:r>
      <w:r w:rsidR="00A21E3D" w:rsidRPr="00FF4863">
        <w:rPr>
          <w:rFonts w:eastAsia="Times New Roman"/>
          <w:lang w:val="en-US" w:eastAsia="en-GB"/>
        </w:rPr>
        <w:t xml:space="preserve"> there were also more autistic individuals among those seeking work, in the group neither employe</w:t>
      </w:r>
      <w:r w:rsidR="00E54E13" w:rsidRPr="00FF4863">
        <w:rPr>
          <w:rFonts w:eastAsia="Times New Roman"/>
          <w:lang w:val="en-US" w:eastAsia="en-GB"/>
        </w:rPr>
        <w:t>d</w:t>
      </w:r>
      <w:r w:rsidR="00A21E3D" w:rsidRPr="00FF4863">
        <w:rPr>
          <w:rFonts w:eastAsia="Times New Roman"/>
          <w:lang w:val="en-US" w:eastAsia="en-GB"/>
        </w:rPr>
        <w:t xml:space="preserve"> nor engaged in HE.</w:t>
      </w:r>
      <w:r w:rsidR="00A21E3D" w:rsidRPr="007B0902">
        <w:rPr>
          <w:rFonts w:eastAsia="Times New Roman"/>
          <w:lang w:val="en-US" w:eastAsia="en-GB"/>
        </w:rPr>
        <w:t xml:space="preserve"> </w:t>
      </w:r>
      <w:r w:rsidR="005F0417" w:rsidRPr="007B0902">
        <w:rPr>
          <w:rFonts w:eastAsia="Times New Roman"/>
          <w:lang w:val="en-US" w:eastAsia="en-GB"/>
        </w:rPr>
        <w:t xml:space="preserve">When </w:t>
      </w:r>
      <w:r w:rsidR="0002448A" w:rsidRPr="007B0902">
        <w:rPr>
          <w:rFonts w:eastAsia="Times New Roman"/>
          <w:lang w:val="en-US" w:eastAsia="en-GB"/>
        </w:rPr>
        <w:t>examining</w:t>
      </w:r>
      <w:r w:rsidR="000F631A" w:rsidRPr="007B0902">
        <w:rPr>
          <w:rFonts w:eastAsia="Times New Roman"/>
          <w:lang w:val="en-US" w:eastAsia="en-GB"/>
        </w:rPr>
        <w:t xml:space="preserve"> </w:t>
      </w:r>
      <w:r w:rsidR="005F0417" w:rsidRPr="007B0902">
        <w:rPr>
          <w:rFonts w:eastAsia="Times New Roman"/>
          <w:lang w:val="en-US" w:eastAsia="en-GB"/>
        </w:rPr>
        <w:t>number of hours worked</w:t>
      </w:r>
      <w:r w:rsidR="00090C68" w:rsidRPr="007B0902">
        <w:rPr>
          <w:rFonts w:eastAsia="Times New Roman"/>
          <w:lang w:val="en-US" w:eastAsia="en-GB"/>
        </w:rPr>
        <w:t xml:space="preserve"> by those employed</w:t>
      </w:r>
      <w:r w:rsidR="005F0417" w:rsidRPr="007B0902">
        <w:rPr>
          <w:rFonts w:eastAsia="Times New Roman"/>
          <w:lang w:val="en-US" w:eastAsia="en-GB"/>
        </w:rPr>
        <w:t xml:space="preserve">, we found no </w:t>
      </w:r>
      <w:r w:rsidR="00E636E2" w:rsidRPr="007B0902">
        <w:rPr>
          <w:rFonts w:eastAsia="Times New Roman"/>
          <w:lang w:val="en-US" w:eastAsia="en-GB"/>
        </w:rPr>
        <w:t xml:space="preserve">group </w:t>
      </w:r>
      <w:r w:rsidR="005F0417" w:rsidRPr="007B0902">
        <w:rPr>
          <w:rFonts w:eastAsia="Times New Roman"/>
          <w:lang w:val="en-US" w:eastAsia="en-GB"/>
        </w:rPr>
        <w:t>difference</w:t>
      </w:r>
      <w:r w:rsidR="00090C68" w:rsidRPr="007B0902">
        <w:rPr>
          <w:rFonts w:eastAsia="Times New Roman"/>
          <w:lang w:val="en-US" w:eastAsia="en-GB"/>
        </w:rPr>
        <w:t xml:space="preserve"> among those </w:t>
      </w:r>
      <w:r w:rsidR="001D6017" w:rsidRPr="007B0902">
        <w:rPr>
          <w:rFonts w:eastAsia="Times New Roman"/>
          <w:lang w:val="en-US" w:eastAsia="en-GB"/>
        </w:rPr>
        <w:t xml:space="preserve">both </w:t>
      </w:r>
      <w:r w:rsidR="0023029C" w:rsidRPr="007B0902">
        <w:rPr>
          <w:rFonts w:eastAsia="Times New Roman"/>
          <w:lang w:val="en-US" w:eastAsia="en-GB"/>
        </w:rPr>
        <w:t xml:space="preserve">employed </w:t>
      </w:r>
      <w:r w:rsidR="00090C68" w:rsidRPr="007B0902">
        <w:rPr>
          <w:rFonts w:eastAsia="Times New Roman"/>
          <w:lang w:val="en-US" w:eastAsia="en-GB"/>
        </w:rPr>
        <w:t>and studying. However, among those only engaged in employment, autistic individuals were working fewer hours per week</w:t>
      </w:r>
      <w:r w:rsidR="00AC605E" w:rsidRPr="007B0902">
        <w:rPr>
          <w:rFonts w:eastAsia="Times New Roman"/>
          <w:lang w:val="en-US" w:eastAsia="en-GB"/>
        </w:rPr>
        <w:t xml:space="preserve"> than their non-autistic</w:t>
      </w:r>
      <w:r w:rsidR="00AC605E">
        <w:rPr>
          <w:rFonts w:eastAsia="Times New Roman"/>
          <w:lang w:val="en-US" w:eastAsia="en-GB"/>
        </w:rPr>
        <w:t xml:space="preserve"> counterparts</w:t>
      </w:r>
      <w:r w:rsidR="005F0417">
        <w:rPr>
          <w:rFonts w:eastAsia="Times New Roman"/>
          <w:lang w:val="en-US" w:eastAsia="en-GB"/>
        </w:rPr>
        <w:t>.</w:t>
      </w:r>
      <w:r w:rsidR="007D6933">
        <w:rPr>
          <w:rFonts w:eastAsia="Times New Roman"/>
          <w:lang w:val="en-US" w:eastAsia="en-GB"/>
        </w:rPr>
        <w:t xml:space="preserve"> </w:t>
      </w:r>
      <w:r w:rsidR="00B76E71">
        <w:rPr>
          <w:rFonts w:eastAsia="Times New Roman"/>
          <w:lang w:val="en-US" w:eastAsia="en-GB"/>
        </w:rPr>
        <w:t>Interestingly,</w:t>
      </w:r>
      <w:r w:rsidR="00BE5293">
        <w:rPr>
          <w:rFonts w:eastAsia="Times New Roman"/>
          <w:lang w:val="en-US" w:eastAsia="en-GB"/>
        </w:rPr>
        <w:t xml:space="preserve"> </w:t>
      </w:r>
      <w:r w:rsidR="00BD7453">
        <w:rPr>
          <w:rFonts w:eastAsia="Times New Roman"/>
          <w:lang w:val="en-US" w:eastAsia="en-GB"/>
        </w:rPr>
        <w:t xml:space="preserve">when including </w:t>
      </w:r>
      <w:r w:rsidR="00F072FB">
        <w:rPr>
          <w:rFonts w:eastAsia="Times New Roman"/>
          <w:lang w:val="en-US" w:eastAsia="en-GB"/>
        </w:rPr>
        <w:t>those who were</w:t>
      </w:r>
      <w:r w:rsidR="00587782">
        <w:rPr>
          <w:rFonts w:eastAsia="Times New Roman"/>
          <w:lang w:val="en-US" w:eastAsia="en-GB"/>
        </w:rPr>
        <w:t xml:space="preserve"> </w:t>
      </w:r>
      <w:r w:rsidR="00F072FB">
        <w:rPr>
          <w:rFonts w:eastAsia="Times New Roman"/>
          <w:lang w:val="en-US" w:eastAsia="en-GB"/>
        </w:rPr>
        <w:t>also engaged in HE</w:t>
      </w:r>
      <w:r w:rsidR="00BE5293">
        <w:rPr>
          <w:rFonts w:eastAsia="Times New Roman"/>
          <w:lang w:val="en-US" w:eastAsia="en-GB"/>
        </w:rPr>
        <w:t>,</w:t>
      </w:r>
      <w:r w:rsidR="00090C68" w:rsidRPr="00090C68">
        <w:rPr>
          <w:rFonts w:eastAsia="Times New Roman"/>
          <w:lang w:eastAsia="en-GB"/>
        </w:rPr>
        <w:t xml:space="preserve"> the non-autistic group were employed at a rate </w:t>
      </w:r>
      <w:r w:rsidR="00090C68">
        <w:rPr>
          <w:rFonts w:eastAsia="Times New Roman"/>
          <w:lang w:eastAsia="en-GB"/>
        </w:rPr>
        <w:t>(68%)</w:t>
      </w:r>
      <w:r w:rsidR="00AD7A9F">
        <w:rPr>
          <w:rFonts w:eastAsia="Times New Roman"/>
          <w:lang w:eastAsia="en-GB"/>
        </w:rPr>
        <w:t>, which is</w:t>
      </w:r>
      <w:r w:rsidR="00090C68">
        <w:rPr>
          <w:rFonts w:eastAsia="Times New Roman"/>
          <w:lang w:eastAsia="en-GB"/>
        </w:rPr>
        <w:t xml:space="preserve"> </w:t>
      </w:r>
      <w:r w:rsidR="00090C68" w:rsidRPr="00090C68">
        <w:rPr>
          <w:rFonts w:eastAsia="Times New Roman"/>
          <w:lang w:eastAsia="en-GB"/>
        </w:rPr>
        <w:t>above the national average for 15-24 year old</w:t>
      </w:r>
      <w:r w:rsidR="001B6F38">
        <w:rPr>
          <w:rFonts w:eastAsia="Times New Roman"/>
          <w:lang w:eastAsia="en-GB"/>
        </w:rPr>
        <w:t xml:space="preserve"> Australians</w:t>
      </w:r>
      <w:r w:rsidR="00090C68" w:rsidRPr="00090C68">
        <w:rPr>
          <w:rFonts w:eastAsia="Times New Roman"/>
          <w:lang w:eastAsia="en-GB"/>
        </w:rPr>
        <w:t xml:space="preserve"> </w:t>
      </w:r>
      <w:r w:rsidR="00090C68">
        <w:rPr>
          <w:rFonts w:eastAsia="Times New Roman"/>
          <w:lang w:eastAsia="en-GB"/>
        </w:rPr>
        <w:t>(</w:t>
      </w:r>
      <w:r w:rsidR="002E757E">
        <w:rPr>
          <w:rFonts w:eastAsia="Times New Roman"/>
          <w:lang w:eastAsia="en-GB"/>
        </w:rPr>
        <w:t>58.7</w:t>
      </w:r>
      <w:r w:rsidR="00090C68" w:rsidRPr="00090C68">
        <w:rPr>
          <w:rFonts w:eastAsia="Times New Roman"/>
          <w:lang w:eastAsia="en-GB"/>
        </w:rPr>
        <w:t>%</w:t>
      </w:r>
      <w:r w:rsidR="00090C68">
        <w:rPr>
          <w:rFonts w:eastAsia="Times New Roman"/>
          <w:lang w:eastAsia="en-GB"/>
        </w:rPr>
        <w:t xml:space="preserve">; </w:t>
      </w:r>
      <w:r w:rsidR="00090C68" w:rsidRPr="00090C68">
        <w:rPr>
          <w:rFonts w:eastAsia="Times New Roman"/>
          <w:lang w:eastAsia="en-GB"/>
        </w:rPr>
        <w:t>ABS, 2</w:t>
      </w:r>
      <w:r w:rsidR="00AB11D6">
        <w:rPr>
          <w:rFonts w:eastAsia="Times New Roman"/>
          <w:lang w:eastAsia="en-GB"/>
        </w:rPr>
        <w:t>019)</w:t>
      </w:r>
      <w:r w:rsidR="00090C68" w:rsidRPr="00090C68">
        <w:rPr>
          <w:rFonts w:eastAsia="Times New Roman"/>
          <w:lang w:eastAsia="en-GB"/>
        </w:rPr>
        <w:t xml:space="preserve">, </w:t>
      </w:r>
      <w:r w:rsidR="00B76E71">
        <w:rPr>
          <w:rFonts w:eastAsia="Times New Roman"/>
          <w:lang w:eastAsia="en-GB"/>
        </w:rPr>
        <w:t xml:space="preserve">while </w:t>
      </w:r>
      <w:r w:rsidR="00090C68" w:rsidRPr="00090C68">
        <w:rPr>
          <w:rFonts w:eastAsia="Times New Roman"/>
          <w:lang w:eastAsia="en-GB"/>
        </w:rPr>
        <w:t>the</w:t>
      </w:r>
      <w:r w:rsidR="00090C68">
        <w:rPr>
          <w:rFonts w:eastAsia="Times New Roman"/>
          <w:lang w:eastAsia="en-GB"/>
        </w:rPr>
        <w:t xml:space="preserve"> autistic group were employed at a rate (35%)</w:t>
      </w:r>
      <w:r w:rsidR="00AD7A9F">
        <w:rPr>
          <w:rFonts w:eastAsia="Times New Roman"/>
          <w:lang w:eastAsia="en-GB"/>
        </w:rPr>
        <w:t xml:space="preserve">, </w:t>
      </w:r>
      <w:r w:rsidR="005A4A31" w:rsidRPr="007B0902">
        <w:rPr>
          <w:rFonts w:eastAsia="Times New Roman"/>
          <w:lang w:eastAsia="en-GB"/>
        </w:rPr>
        <w:t>also above</w:t>
      </w:r>
      <w:r w:rsidR="00B76E71" w:rsidRPr="007B0902">
        <w:rPr>
          <w:rFonts w:eastAsia="Times New Roman"/>
          <w:lang w:eastAsia="en-GB"/>
        </w:rPr>
        <w:t xml:space="preserve"> </w:t>
      </w:r>
      <w:r w:rsidR="00A625EB" w:rsidRPr="007B0902">
        <w:rPr>
          <w:rFonts w:eastAsia="Times New Roman"/>
          <w:lang w:eastAsia="en-GB"/>
        </w:rPr>
        <w:t xml:space="preserve">the current best estimate </w:t>
      </w:r>
      <w:r w:rsidR="00EB2065" w:rsidRPr="007B0902">
        <w:rPr>
          <w:rFonts w:eastAsia="Times New Roman"/>
          <w:lang w:eastAsia="en-GB"/>
        </w:rPr>
        <w:t xml:space="preserve">employment rate </w:t>
      </w:r>
      <w:r w:rsidR="00A625EB" w:rsidRPr="007B0902">
        <w:rPr>
          <w:rFonts w:eastAsia="Times New Roman"/>
          <w:lang w:eastAsia="en-GB"/>
        </w:rPr>
        <w:t>for</w:t>
      </w:r>
      <w:r w:rsidR="00090C68" w:rsidRPr="007B0902">
        <w:rPr>
          <w:rFonts w:eastAsia="Times New Roman"/>
          <w:lang w:eastAsia="en-GB"/>
        </w:rPr>
        <w:t xml:space="preserve"> autistic Australians (2</w:t>
      </w:r>
      <w:r w:rsidR="00EC26BB" w:rsidRPr="007B0902">
        <w:rPr>
          <w:rFonts w:eastAsia="Times New Roman"/>
          <w:lang w:eastAsia="en-GB"/>
        </w:rPr>
        <w:t>7</w:t>
      </w:r>
      <w:r w:rsidR="00090C68" w:rsidRPr="007B0902">
        <w:rPr>
          <w:rFonts w:eastAsia="Times New Roman"/>
          <w:lang w:eastAsia="en-GB"/>
        </w:rPr>
        <w:t>%; ABS, 201</w:t>
      </w:r>
      <w:r w:rsidR="00607CB6" w:rsidRPr="007B0902">
        <w:rPr>
          <w:rFonts w:eastAsia="Times New Roman"/>
          <w:lang w:eastAsia="en-GB"/>
        </w:rPr>
        <w:t>9</w:t>
      </w:r>
      <w:r w:rsidR="00090C68" w:rsidRPr="007B0902">
        <w:rPr>
          <w:rFonts w:eastAsia="Times New Roman"/>
          <w:lang w:eastAsia="en-GB"/>
        </w:rPr>
        <w:t xml:space="preserve">). </w:t>
      </w:r>
      <w:r w:rsidR="00AD7A9F" w:rsidRPr="007B0902">
        <w:rPr>
          <w:rFonts w:eastAsia="Times New Roman"/>
          <w:lang w:eastAsia="en-GB"/>
        </w:rPr>
        <w:t>Nevertheless</w:t>
      </w:r>
      <w:r w:rsidR="002551E3" w:rsidRPr="007B0902">
        <w:rPr>
          <w:rFonts w:eastAsia="Times New Roman"/>
          <w:lang w:eastAsia="en-GB"/>
        </w:rPr>
        <w:t xml:space="preserve">, the rate of employment for the autistic group was still well below that of their non-autistic peers. </w:t>
      </w:r>
      <w:r w:rsidR="00833D64" w:rsidRPr="007B0902">
        <w:rPr>
          <w:rFonts w:eastAsia="Times New Roman"/>
          <w:lang w:eastAsia="en-GB"/>
        </w:rPr>
        <w:t>Furthermore, given that an average, full-time working week (without overtime) in Australia is 35</w:t>
      </w:r>
      <w:r w:rsidR="00833D64">
        <w:rPr>
          <w:rFonts w:eastAsia="Times New Roman"/>
          <w:lang w:eastAsia="en-GB"/>
        </w:rPr>
        <w:t xml:space="preserve"> hours</w:t>
      </w:r>
      <w:r w:rsidR="00D14BB6">
        <w:rPr>
          <w:rFonts w:eastAsia="Times New Roman"/>
          <w:lang w:eastAsia="en-GB"/>
        </w:rPr>
        <w:t xml:space="preserve"> (7 hours per day)</w:t>
      </w:r>
      <w:r w:rsidR="00833D64">
        <w:rPr>
          <w:rFonts w:eastAsia="Times New Roman"/>
          <w:lang w:eastAsia="en-GB"/>
        </w:rPr>
        <w:t xml:space="preserve">, </w:t>
      </w:r>
      <w:r w:rsidR="00AC688C">
        <w:rPr>
          <w:rFonts w:eastAsia="Times New Roman"/>
          <w:lang w:eastAsia="en-GB"/>
        </w:rPr>
        <w:t xml:space="preserve">young non-autistic adults tended to be employed full-time while those with autism </w:t>
      </w:r>
      <w:r w:rsidR="00D14BB6">
        <w:rPr>
          <w:rFonts w:eastAsia="Times New Roman"/>
          <w:lang w:eastAsia="en-GB"/>
        </w:rPr>
        <w:t xml:space="preserve">averaged </w:t>
      </w:r>
      <w:r w:rsidR="00A2019B">
        <w:rPr>
          <w:rFonts w:eastAsia="Times New Roman"/>
          <w:lang w:eastAsia="en-GB"/>
        </w:rPr>
        <w:t xml:space="preserve">hours equivalent to </w:t>
      </w:r>
      <w:r w:rsidR="00200669">
        <w:rPr>
          <w:rFonts w:eastAsia="Times New Roman"/>
          <w:lang w:eastAsia="en-GB"/>
        </w:rPr>
        <w:t>three</w:t>
      </w:r>
      <w:r w:rsidR="00D14BB6">
        <w:rPr>
          <w:rFonts w:eastAsia="Times New Roman"/>
          <w:lang w:eastAsia="en-GB"/>
        </w:rPr>
        <w:t xml:space="preserve"> days per week. </w:t>
      </w:r>
    </w:p>
    <w:p w14:paraId="7F12011A" w14:textId="6050F2CB" w:rsidR="00062AB0" w:rsidRPr="00FE24E7" w:rsidRDefault="00205677" w:rsidP="00FE24E7">
      <w:pPr>
        <w:spacing w:line="480" w:lineRule="auto"/>
        <w:ind w:firstLine="720"/>
        <w:rPr>
          <w:rFonts w:eastAsia="Times New Roman"/>
          <w:lang w:eastAsia="en-GB"/>
        </w:rPr>
      </w:pPr>
      <w:r>
        <w:rPr>
          <w:rFonts w:eastAsia="Times New Roman"/>
          <w:lang w:val="en-US" w:eastAsia="en-GB"/>
        </w:rPr>
        <w:t>A</w:t>
      </w:r>
      <w:r w:rsidR="00272DC4">
        <w:rPr>
          <w:rFonts w:eastAsia="Times New Roman"/>
          <w:lang w:val="en-US" w:eastAsia="en-GB"/>
        </w:rPr>
        <w:t xml:space="preserve">utistic individuals were more likely to be engaged solely in HE than non-autistic </w:t>
      </w:r>
      <w:r w:rsidR="00272DC4" w:rsidRPr="002D003D">
        <w:rPr>
          <w:rFonts w:eastAsia="Times New Roman"/>
          <w:lang w:val="en-US" w:eastAsia="en-GB"/>
        </w:rPr>
        <w:t xml:space="preserve">individuals, </w:t>
      </w:r>
      <w:r w:rsidR="002142DC" w:rsidRPr="002D003D">
        <w:rPr>
          <w:rFonts w:eastAsia="Times New Roman"/>
          <w:lang w:val="en-US" w:eastAsia="en-GB"/>
        </w:rPr>
        <w:t xml:space="preserve">while </w:t>
      </w:r>
      <w:r w:rsidR="00272DC4" w:rsidRPr="002D003D">
        <w:rPr>
          <w:rFonts w:eastAsia="Times New Roman"/>
          <w:lang w:val="en-US" w:eastAsia="en-GB"/>
        </w:rPr>
        <w:t xml:space="preserve">non-autistic individuals were more likely to be </w:t>
      </w:r>
      <w:r w:rsidR="00576B61" w:rsidRPr="002D003D">
        <w:rPr>
          <w:rFonts w:eastAsia="Times New Roman"/>
          <w:lang w:val="en-US" w:eastAsia="en-GB"/>
        </w:rPr>
        <w:t xml:space="preserve">both </w:t>
      </w:r>
      <w:r w:rsidR="00272DC4" w:rsidRPr="002D003D">
        <w:rPr>
          <w:rFonts w:eastAsia="Times New Roman"/>
          <w:lang w:val="en-US" w:eastAsia="en-GB"/>
        </w:rPr>
        <w:t>employed and</w:t>
      </w:r>
      <w:r w:rsidR="00403EC5" w:rsidRPr="002D003D">
        <w:rPr>
          <w:rFonts w:eastAsia="Times New Roman"/>
          <w:lang w:val="en-US" w:eastAsia="en-GB"/>
        </w:rPr>
        <w:t xml:space="preserve"> enrolled</w:t>
      </w:r>
      <w:r w:rsidR="00272DC4" w:rsidRPr="002D003D">
        <w:rPr>
          <w:rFonts w:eastAsia="Times New Roman"/>
          <w:lang w:val="en-US" w:eastAsia="en-GB"/>
        </w:rPr>
        <w:t xml:space="preserve"> </w:t>
      </w:r>
      <w:proofErr w:type="gramStart"/>
      <w:r w:rsidR="00272DC4" w:rsidRPr="002D003D">
        <w:rPr>
          <w:rFonts w:eastAsia="Times New Roman"/>
          <w:lang w:val="en-US" w:eastAsia="en-GB"/>
        </w:rPr>
        <w:lastRenderedPageBreak/>
        <w:t>in</w:t>
      </w:r>
      <w:proofErr w:type="gramEnd"/>
      <w:r w:rsidR="00272DC4" w:rsidRPr="002D003D">
        <w:rPr>
          <w:rFonts w:eastAsia="Times New Roman"/>
          <w:lang w:val="en-US" w:eastAsia="en-GB"/>
        </w:rPr>
        <w:t xml:space="preserve"> HE. </w:t>
      </w:r>
      <w:bookmarkStart w:id="2" w:name="_Hlk36411749"/>
      <w:r w:rsidR="000C427B" w:rsidRPr="002D003D">
        <w:rPr>
          <w:rFonts w:eastAsia="Times New Roman"/>
          <w:lang w:val="en-US" w:eastAsia="en-GB"/>
        </w:rPr>
        <w:t xml:space="preserve">Given findings of past studies indicating that autistic individuals experience </w:t>
      </w:r>
      <w:r w:rsidR="00772C95" w:rsidRPr="002D003D">
        <w:rPr>
          <w:rFonts w:eastAsia="Times New Roman"/>
          <w:lang w:val="en-US" w:eastAsia="en-GB"/>
        </w:rPr>
        <w:t xml:space="preserve">many </w:t>
      </w:r>
      <w:r w:rsidR="000C427B" w:rsidRPr="002D003D">
        <w:rPr>
          <w:rFonts w:eastAsia="Times New Roman"/>
          <w:lang w:val="en-US" w:eastAsia="en-GB"/>
        </w:rPr>
        <w:t xml:space="preserve">challenges completing HE (e.g., </w:t>
      </w:r>
      <w:r w:rsidR="00DF2581" w:rsidRPr="002D003D">
        <w:rPr>
          <w:rFonts w:eastAsia="Times New Roman"/>
          <w:lang w:val="en-US" w:eastAsia="en-GB"/>
        </w:rPr>
        <w:t xml:space="preserve">relating to executive functioning, communication challenges, and co-occurring conditions; </w:t>
      </w:r>
      <w:r w:rsidR="001A5059" w:rsidRPr="002D003D">
        <w:rPr>
          <w:rFonts w:eastAsia="Times New Roman"/>
          <w:lang w:val="en-US" w:eastAsia="en-GB"/>
        </w:rPr>
        <w:t xml:space="preserve">See </w:t>
      </w:r>
      <w:r w:rsidR="000C427B" w:rsidRPr="002D003D">
        <w:rPr>
          <w:rFonts w:eastAsia="Times New Roman"/>
          <w:lang w:val="en-US" w:eastAsia="en-GB"/>
        </w:rPr>
        <w:t>Cai &amp; Richdale</w:t>
      </w:r>
      <w:r w:rsidR="00D07026" w:rsidRPr="002D003D">
        <w:rPr>
          <w:rFonts w:eastAsia="Times New Roman"/>
          <w:lang w:val="en-US" w:eastAsia="en-GB"/>
        </w:rPr>
        <w:t>, 2016</w:t>
      </w:r>
      <w:r w:rsidR="005F5746" w:rsidRPr="002D003D">
        <w:rPr>
          <w:rFonts w:eastAsia="Times New Roman"/>
          <w:lang w:val="en-US" w:eastAsia="en-GB"/>
        </w:rPr>
        <w:t>; Nuske</w:t>
      </w:r>
      <w:r w:rsidR="007808A1" w:rsidRPr="002D003D">
        <w:rPr>
          <w:rFonts w:eastAsia="Times New Roman"/>
          <w:lang w:val="en-US" w:eastAsia="en-GB"/>
        </w:rPr>
        <w:t xml:space="preserve"> et al., 2019</w:t>
      </w:r>
      <w:r w:rsidR="000C427B" w:rsidRPr="002D003D">
        <w:rPr>
          <w:rFonts w:eastAsia="Times New Roman"/>
          <w:lang w:val="en-US" w:eastAsia="en-GB"/>
        </w:rPr>
        <w:t xml:space="preserve">), </w:t>
      </w:r>
      <w:r w:rsidR="0034221A" w:rsidRPr="002D003D">
        <w:rPr>
          <w:rFonts w:eastAsia="Times New Roman"/>
          <w:lang w:val="en-US" w:eastAsia="en-GB"/>
        </w:rPr>
        <w:t xml:space="preserve">it </w:t>
      </w:r>
      <w:r w:rsidR="00576B61" w:rsidRPr="002D003D">
        <w:rPr>
          <w:rFonts w:eastAsia="Times New Roman"/>
          <w:lang w:val="en-US" w:eastAsia="en-GB"/>
        </w:rPr>
        <w:t>seems logical</w:t>
      </w:r>
      <w:r w:rsidR="0034221A" w:rsidRPr="002D003D">
        <w:rPr>
          <w:rFonts w:eastAsia="Times New Roman"/>
          <w:lang w:val="en-US" w:eastAsia="en-GB"/>
        </w:rPr>
        <w:t xml:space="preserve"> th</w:t>
      </w:r>
      <w:r w:rsidR="002D003D">
        <w:rPr>
          <w:rFonts w:eastAsia="Times New Roman"/>
          <w:lang w:val="en-US" w:eastAsia="en-GB"/>
        </w:rPr>
        <w:t>e autistic individuals</w:t>
      </w:r>
      <w:r w:rsidR="0034221A" w:rsidRPr="002D003D">
        <w:rPr>
          <w:rFonts w:eastAsia="Times New Roman"/>
          <w:lang w:val="en-US" w:eastAsia="en-GB"/>
        </w:rPr>
        <w:t xml:space="preserve"> would be less likely to be engaged in</w:t>
      </w:r>
      <w:r w:rsidR="00F819F6" w:rsidRPr="002D003D">
        <w:rPr>
          <w:rFonts w:eastAsia="Times New Roman"/>
          <w:lang w:val="en-US" w:eastAsia="en-GB"/>
        </w:rPr>
        <w:t xml:space="preserve"> both</w:t>
      </w:r>
      <w:r w:rsidR="0034221A" w:rsidRPr="002D003D">
        <w:rPr>
          <w:rFonts w:eastAsia="Times New Roman"/>
          <w:lang w:val="en-US" w:eastAsia="en-GB"/>
        </w:rPr>
        <w:t xml:space="preserve"> education and employment</w:t>
      </w:r>
      <w:r w:rsidR="00F819F6" w:rsidRPr="002D003D">
        <w:rPr>
          <w:rFonts w:eastAsia="Times New Roman"/>
          <w:lang w:val="en-US" w:eastAsia="en-GB"/>
        </w:rPr>
        <w:t xml:space="preserve">. </w:t>
      </w:r>
      <w:bookmarkEnd w:id="2"/>
      <w:r w:rsidR="007E5D9C">
        <w:rPr>
          <w:rFonts w:eastAsia="Times New Roman"/>
          <w:lang w:val="en-US" w:eastAsia="en-GB"/>
        </w:rPr>
        <w:t xml:space="preserve">This was supported by </w:t>
      </w:r>
      <w:r w:rsidR="006B23EA">
        <w:rPr>
          <w:rFonts w:eastAsia="Times New Roman"/>
          <w:lang w:val="en-US" w:eastAsia="en-GB"/>
        </w:rPr>
        <w:t xml:space="preserve">data on those seeking employment at the time of survey completion. While 51% of the autistic group enrolled </w:t>
      </w:r>
      <w:proofErr w:type="gramStart"/>
      <w:r w:rsidR="006B23EA">
        <w:rPr>
          <w:rFonts w:eastAsia="Times New Roman"/>
          <w:lang w:val="en-US" w:eastAsia="en-GB"/>
        </w:rPr>
        <w:t>in</w:t>
      </w:r>
      <w:proofErr w:type="gramEnd"/>
      <w:r w:rsidR="006B23EA">
        <w:rPr>
          <w:rFonts w:eastAsia="Times New Roman"/>
          <w:lang w:val="en-US" w:eastAsia="en-GB"/>
        </w:rPr>
        <w:t xml:space="preserve"> HE were seeking employment</w:t>
      </w:r>
      <w:r w:rsidR="00053A18">
        <w:rPr>
          <w:rFonts w:eastAsia="Times New Roman"/>
          <w:lang w:val="en-US" w:eastAsia="en-GB"/>
        </w:rPr>
        <w:t xml:space="preserve">, </w:t>
      </w:r>
      <w:r w:rsidR="00361E5D">
        <w:rPr>
          <w:rFonts w:eastAsia="Times New Roman"/>
          <w:lang w:val="en-US" w:eastAsia="en-GB"/>
        </w:rPr>
        <w:t xml:space="preserve">74% of the non-autistic group were seeking employment. The discrepancy between groups </w:t>
      </w:r>
      <w:r w:rsidR="008F4183">
        <w:rPr>
          <w:rFonts w:eastAsia="Times New Roman"/>
          <w:lang w:val="en-US" w:eastAsia="en-GB"/>
        </w:rPr>
        <w:t xml:space="preserve">on seeking employment </w:t>
      </w:r>
      <w:r w:rsidR="00E92C69">
        <w:rPr>
          <w:rFonts w:eastAsia="Times New Roman"/>
          <w:lang w:val="en-US" w:eastAsia="en-GB"/>
        </w:rPr>
        <w:t xml:space="preserve">while enrolled in HE </w:t>
      </w:r>
      <w:r w:rsidR="004E288D">
        <w:rPr>
          <w:rFonts w:eastAsia="Times New Roman"/>
          <w:lang w:val="en-US" w:eastAsia="en-GB"/>
        </w:rPr>
        <w:t xml:space="preserve">suggests that </w:t>
      </w:r>
      <w:r w:rsidR="00A7657A">
        <w:rPr>
          <w:rFonts w:eastAsia="Times New Roman"/>
          <w:lang w:val="en-US" w:eastAsia="en-GB"/>
        </w:rPr>
        <w:t xml:space="preserve">although </w:t>
      </w:r>
      <w:r w:rsidR="004E288D">
        <w:rPr>
          <w:rFonts w:eastAsia="Times New Roman"/>
          <w:lang w:val="en-US" w:eastAsia="en-GB"/>
        </w:rPr>
        <w:t xml:space="preserve">many autistic individuals </w:t>
      </w:r>
      <w:r w:rsidR="0021384B">
        <w:rPr>
          <w:rFonts w:eastAsia="Times New Roman"/>
          <w:lang w:val="en-US" w:eastAsia="en-GB"/>
        </w:rPr>
        <w:t>do seek</w:t>
      </w:r>
      <w:r w:rsidR="004E288D">
        <w:rPr>
          <w:rFonts w:eastAsia="Times New Roman"/>
          <w:lang w:val="en-US" w:eastAsia="en-GB"/>
        </w:rPr>
        <w:t xml:space="preserve"> both HE and employment,</w:t>
      </w:r>
      <w:r w:rsidR="00A7657A">
        <w:rPr>
          <w:rFonts w:eastAsia="Times New Roman"/>
          <w:lang w:val="en-US" w:eastAsia="en-GB"/>
        </w:rPr>
        <w:t xml:space="preserve"> th</w:t>
      </w:r>
      <w:r w:rsidR="00556F02">
        <w:rPr>
          <w:rFonts w:eastAsia="Times New Roman"/>
          <w:lang w:val="en-US" w:eastAsia="en-GB"/>
        </w:rPr>
        <w:t>is</w:t>
      </w:r>
      <w:r w:rsidR="00A7657A">
        <w:rPr>
          <w:rFonts w:eastAsia="Times New Roman"/>
          <w:lang w:val="en-US" w:eastAsia="en-GB"/>
        </w:rPr>
        <w:t xml:space="preserve"> proportion is </w:t>
      </w:r>
      <w:r w:rsidR="00556F02">
        <w:rPr>
          <w:rFonts w:eastAsia="Times New Roman"/>
          <w:lang w:val="en-US" w:eastAsia="en-GB"/>
        </w:rPr>
        <w:t>lower than</w:t>
      </w:r>
      <w:r w:rsidR="00A7657A">
        <w:rPr>
          <w:rFonts w:eastAsia="Times New Roman"/>
          <w:lang w:val="en-US" w:eastAsia="en-GB"/>
        </w:rPr>
        <w:t xml:space="preserve"> </w:t>
      </w:r>
      <w:r w:rsidR="00C469A5">
        <w:rPr>
          <w:rFonts w:eastAsia="Times New Roman"/>
          <w:lang w:val="en-US" w:eastAsia="en-GB"/>
        </w:rPr>
        <w:t xml:space="preserve">for </w:t>
      </w:r>
      <w:r w:rsidR="00DA44C3">
        <w:rPr>
          <w:rFonts w:eastAsia="Times New Roman"/>
          <w:lang w:val="en-US" w:eastAsia="en-GB"/>
        </w:rPr>
        <w:t xml:space="preserve">non-autistic </w:t>
      </w:r>
      <w:r w:rsidR="00556F02">
        <w:rPr>
          <w:rFonts w:eastAsia="Times New Roman"/>
          <w:lang w:val="en-US" w:eastAsia="en-GB"/>
        </w:rPr>
        <w:t>HE students</w:t>
      </w:r>
      <w:r w:rsidR="00DF6EB2">
        <w:rPr>
          <w:rFonts w:eastAsia="Times New Roman"/>
          <w:lang w:val="en-US" w:eastAsia="en-GB"/>
        </w:rPr>
        <w:t>.</w:t>
      </w:r>
      <w:r w:rsidR="00FE24E7">
        <w:rPr>
          <w:rFonts w:eastAsia="Times New Roman"/>
          <w:lang w:val="en-US" w:eastAsia="en-GB"/>
        </w:rPr>
        <w:t xml:space="preserve"> </w:t>
      </w:r>
      <w:r w:rsidR="00FE24E7" w:rsidRPr="00FE24E7">
        <w:rPr>
          <w:rFonts w:eastAsia="Times New Roman"/>
          <w:lang w:eastAsia="en-GB"/>
        </w:rPr>
        <w:t>It is possible that some autistic adults do not seek employment while enrolled in HE due to difficulties managing multiple responsibilities</w:t>
      </w:r>
      <w:r w:rsidR="007A1674">
        <w:rPr>
          <w:rFonts w:eastAsia="Times New Roman"/>
          <w:lang w:eastAsia="en-GB"/>
        </w:rPr>
        <w:t>;</w:t>
      </w:r>
      <w:r w:rsidR="000B710B">
        <w:rPr>
          <w:rFonts w:eastAsia="Times New Roman"/>
          <w:lang w:eastAsia="en-GB"/>
        </w:rPr>
        <w:t xml:space="preserve"> </w:t>
      </w:r>
      <w:r w:rsidR="007A1674">
        <w:rPr>
          <w:rFonts w:eastAsia="Times New Roman"/>
          <w:lang w:eastAsia="en-GB"/>
        </w:rPr>
        <w:t>this</w:t>
      </w:r>
      <w:r w:rsidR="000B710B">
        <w:rPr>
          <w:rFonts w:eastAsia="Times New Roman"/>
          <w:lang w:eastAsia="en-GB"/>
        </w:rPr>
        <w:t xml:space="preserve"> may relate</w:t>
      </w:r>
      <w:r w:rsidR="00FE24E7" w:rsidRPr="00FE24E7">
        <w:rPr>
          <w:rFonts w:eastAsia="Times New Roman"/>
          <w:lang w:eastAsia="en-GB"/>
        </w:rPr>
        <w:t xml:space="preserve"> to executive functioning challenges</w:t>
      </w:r>
      <w:r w:rsidR="009B2947">
        <w:rPr>
          <w:rFonts w:eastAsia="Times New Roman"/>
          <w:lang w:eastAsia="en-GB"/>
        </w:rPr>
        <w:t xml:space="preserve"> </w:t>
      </w:r>
      <w:r w:rsidR="00FE24E7" w:rsidRPr="00FE24E7">
        <w:rPr>
          <w:rFonts w:eastAsia="Times New Roman"/>
          <w:lang w:eastAsia="en-GB"/>
        </w:rPr>
        <w:t xml:space="preserve">noted </w:t>
      </w:r>
      <w:r w:rsidR="000B710B">
        <w:rPr>
          <w:rFonts w:eastAsia="Times New Roman"/>
          <w:lang w:eastAsia="en-GB"/>
        </w:rPr>
        <w:t>previously (</w:t>
      </w:r>
      <w:r w:rsidR="00FE24E7" w:rsidRPr="00FE24E7">
        <w:rPr>
          <w:rFonts w:eastAsia="Times New Roman"/>
          <w:lang w:eastAsia="en-GB"/>
        </w:rPr>
        <w:t xml:space="preserve">Cai &amp; Richdale, 2016). However, this may lead to a potential disadvantage following graduation for autistic individuals </w:t>
      </w:r>
      <w:r w:rsidR="00E17288">
        <w:rPr>
          <w:rFonts w:eastAsia="Times New Roman"/>
          <w:lang w:eastAsia="en-GB"/>
        </w:rPr>
        <w:t>as</w:t>
      </w:r>
      <w:r w:rsidR="00FE24E7" w:rsidRPr="00FE24E7">
        <w:rPr>
          <w:rFonts w:eastAsia="Times New Roman"/>
          <w:lang w:eastAsia="en-GB"/>
        </w:rPr>
        <w:t xml:space="preserve"> work experience during HE enrolment</w:t>
      </w:r>
      <w:r w:rsidR="00364A68">
        <w:rPr>
          <w:rFonts w:eastAsia="Times New Roman"/>
          <w:lang w:eastAsia="en-GB"/>
        </w:rPr>
        <w:t xml:space="preserve"> can </w:t>
      </w:r>
      <w:r w:rsidR="007B322D">
        <w:rPr>
          <w:rFonts w:eastAsia="Times New Roman"/>
          <w:lang w:eastAsia="en-GB"/>
        </w:rPr>
        <w:t>assist with</w:t>
      </w:r>
      <w:r w:rsidR="00364A68">
        <w:rPr>
          <w:rFonts w:eastAsia="Times New Roman"/>
          <w:lang w:eastAsia="en-GB"/>
        </w:rPr>
        <w:t xml:space="preserve"> </w:t>
      </w:r>
      <w:r w:rsidR="007B322D">
        <w:rPr>
          <w:rFonts w:eastAsia="Times New Roman"/>
          <w:lang w:eastAsia="en-GB"/>
        </w:rPr>
        <w:t xml:space="preserve">gaining </w:t>
      </w:r>
      <w:r w:rsidR="00364A68">
        <w:rPr>
          <w:rFonts w:eastAsia="Times New Roman"/>
          <w:lang w:eastAsia="en-GB"/>
        </w:rPr>
        <w:t>post</w:t>
      </w:r>
      <w:r w:rsidR="007B322D">
        <w:rPr>
          <w:rFonts w:eastAsia="Times New Roman"/>
          <w:lang w:eastAsia="en-GB"/>
        </w:rPr>
        <w:t>-HE</w:t>
      </w:r>
      <w:r w:rsidR="00364A68">
        <w:rPr>
          <w:rFonts w:eastAsia="Times New Roman"/>
          <w:lang w:eastAsia="en-GB"/>
        </w:rPr>
        <w:t xml:space="preserve"> </w:t>
      </w:r>
      <w:r w:rsidR="007B322D">
        <w:rPr>
          <w:rFonts w:eastAsia="Times New Roman"/>
          <w:lang w:eastAsia="en-GB"/>
        </w:rPr>
        <w:t>employment</w:t>
      </w:r>
      <w:r w:rsidR="00FE24E7" w:rsidRPr="00FE24E7">
        <w:rPr>
          <w:rFonts w:eastAsia="Times New Roman"/>
          <w:lang w:eastAsia="en-GB"/>
        </w:rPr>
        <w:t>.</w:t>
      </w:r>
      <w:r w:rsidR="00FE24E7">
        <w:rPr>
          <w:rFonts w:eastAsia="Times New Roman"/>
          <w:lang w:eastAsia="en-GB"/>
        </w:rPr>
        <w:t xml:space="preserve"> </w:t>
      </w:r>
      <w:r w:rsidR="00F402B6">
        <w:rPr>
          <w:rFonts w:eastAsia="Times New Roman"/>
          <w:lang w:eastAsia="en-GB"/>
        </w:rPr>
        <w:t xml:space="preserve">Thus, </w:t>
      </w:r>
      <w:r w:rsidR="00F402B6">
        <w:rPr>
          <w:rFonts w:eastAsia="Times New Roman"/>
          <w:lang w:val="en-US" w:eastAsia="en-GB"/>
        </w:rPr>
        <w:t>u</w:t>
      </w:r>
      <w:r w:rsidR="00BB4CF0">
        <w:rPr>
          <w:rFonts w:eastAsia="Times New Roman"/>
          <w:lang w:val="en-US" w:eastAsia="en-GB"/>
        </w:rPr>
        <w:t>nlike their non-autistic counterparts</w:t>
      </w:r>
      <w:r w:rsidR="00A804EE">
        <w:rPr>
          <w:rFonts w:eastAsia="Times New Roman"/>
          <w:lang w:val="en-US" w:eastAsia="en-GB"/>
        </w:rPr>
        <w:t>,</w:t>
      </w:r>
      <w:r w:rsidR="00BB4CF0">
        <w:rPr>
          <w:rFonts w:eastAsia="Times New Roman"/>
          <w:lang w:val="en-US" w:eastAsia="en-GB"/>
        </w:rPr>
        <w:t xml:space="preserve"> </w:t>
      </w:r>
      <w:r w:rsidR="003F497D">
        <w:rPr>
          <w:rFonts w:eastAsia="Times New Roman"/>
          <w:lang w:val="en-US" w:eastAsia="en-GB"/>
        </w:rPr>
        <w:t xml:space="preserve">many </w:t>
      </w:r>
      <w:r w:rsidR="003B20A5">
        <w:rPr>
          <w:rFonts w:eastAsia="Times New Roman"/>
          <w:lang w:val="en-US" w:eastAsia="en-GB"/>
        </w:rPr>
        <w:t xml:space="preserve">young autistic adults </w:t>
      </w:r>
      <w:r w:rsidR="00F402B6">
        <w:rPr>
          <w:rFonts w:eastAsia="Times New Roman"/>
          <w:lang w:val="en-US" w:eastAsia="en-GB"/>
        </w:rPr>
        <w:t xml:space="preserve">may </w:t>
      </w:r>
      <w:r w:rsidR="00BB4CF0">
        <w:rPr>
          <w:rFonts w:eastAsia="Times New Roman"/>
          <w:lang w:val="en-US" w:eastAsia="en-GB"/>
        </w:rPr>
        <w:t xml:space="preserve">have no work-experience </w:t>
      </w:r>
      <w:r w:rsidR="00BF05DC">
        <w:rPr>
          <w:rFonts w:eastAsia="Times New Roman"/>
          <w:lang w:val="en-US" w:eastAsia="en-GB"/>
        </w:rPr>
        <w:t xml:space="preserve">to enhance </w:t>
      </w:r>
      <w:r w:rsidR="00D41499">
        <w:rPr>
          <w:rFonts w:eastAsia="Times New Roman"/>
          <w:lang w:val="en-US" w:eastAsia="en-GB"/>
        </w:rPr>
        <w:t>their</w:t>
      </w:r>
      <w:r w:rsidR="00BF05DC">
        <w:rPr>
          <w:rFonts w:eastAsia="Times New Roman"/>
          <w:lang w:val="en-US" w:eastAsia="en-GB"/>
        </w:rPr>
        <w:t xml:space="preserve"> </w:t>
      </w:r>
      <w:r w:rsidR="00527D52">
        <w:rPr>
          <w:rFonts w:eastAsia="Times New Roman"/>
          <w:lang w:val="en-US" w:eastAsia="en-GB"/>
        </w:rPr>
        <w:t>perceived employability when</w:t>
      </w:r>
      <w:r w:rsidR="00285695">
        <w:rPr>
          <w:rFonts w:eastAsia="Times New Roman"/>
          <w:lang w:val="en-US" w:eastAsia="en-GB"/>
        </w:rPr>
        <w:t xml:space="preserve"> </w:t>
      </w:r>
      <w:r w:rsidR="00926BCC">
        <w:rPr>
          <w:rFonts w:eastAsia="Times New Roman"/>
          <w:lang w:val="en-US" w:eastAsia="en-GB"/>
        </w:rPr>
        <w:t>seeking a job after graduation</w:t>
      </w:r>
      <w:r w:rsidR="0034221A">
        <w:rPr>
          <w:rFonts w:eastAsia="Times New Roman"/>
          <w:lang w:val="en-US" w:eastAsia="en-GB"/>
        </w:rPr>
        <w:t xml:space="preserve">. </w:t>
      </w:r>
      <w:r w:rsidR="00BE6842">
        <w:rPr>
          <w:rFonts w:eastAsia="Times New Roman"/>
          <w:lang w:val="en-US" w:eastAsia="en-GB"/>
        </w:rPr>
        <w:t xml:space="preserve">This </w:t>
      </w:r>
      <w:r w:rsidR="00772C95">
        <w:rPr>
          <w:rFonts w:eastAsia="Times New Roman"/>
          <w:lang w:val="en-US" w:eastAsia="en-GB"/>
        </w:rPr>
        <w:t xml:space="preserve">work </w:t>
      </w:r>
      <w:r w:rsidR="00BE6842">
        <w:rPr>
          <w:rFonts w:eastAsia="Times New Roman"/>
          <w:lang w:val="en-US" w:eastAsia="en-GB"/>
        </w:rPr>
        <w:t>pattern also</w:t>
      </w:r>
      <w:r w:rsidR="00916570">
        <w:rPr>
          <w:rFonts w:eastAsia="Times New Roman"/>
          <w:lang w:val="en-US" w:eastAsia="en-GB"/>
        </w:rPr>
        <w:t xml:space="preserve"> </w:t>
      </w:r>
      <w:r w:rsidR="0034221A">
        <w:rPr>
          <w:rFonts w:eastAsia="Times New Roman"/>
          <w:lang w:val="en-US" w:eastAsia="en-GB"/>
        </w:rPr>
        <w:t xml:space="preserve">means that autistic individuals are </w:t>
      </w:r>
      <w:r w:rsidR="00BB498D">
        <w:rPr>
          <w:rFonts w:eastAsia="Times New Roman"/>
          <w:lang w:val="en-US" w:eastAsia="en-GB"/>
        </w:rPr>
        <w:t xml:space="preserve">prevented from gaining </w:t>
      </w:r>
      <w:r w:rsidR="002348CF">
        <w:rPr>
          <w:rFonts w:eastAsia="Times New Roman"/>
          <w:lang w:val="en-US" w:eastAsia="en-GB"/>
        </w:rPr>
        <w:t>skills</w:t>
      </w:r>
      <w:r w:rsidR="000D4D0E">
        <w:rPr>
          <w:rFonts w:eastAsia="Times New Roman"/>
          <w:lang w:val="en-US" w:eastAsia="en-GB"/>
        </w:rPr>
        <w:t>,</w:t>
      </w:r>
      <w:r w:rsidR="002348CF">
        <w:rPr>
          <w:rFonts w:eastAsia="Times New Roman"/>
          <w:lang w:val="en-US" w:eastAsia="en-GB"/>
        </w:rPr>
        <w:t xml:space="preserve"> opportunities</w:t>
      </w:r>
      <w:r w:rsidR="000D4D0E">
        <w:rPr>
          <w:rFonts w:eastAsia="Times New Roman"/>
          <w:lang w:val="en-US" w:eastAsia="en-GB"/>
        </w:rPr>
        <w:t>, and ultimately independence</w:t>
      </w:r>
      <w:r w:rsidR="002348CF">
        <w:rPr>
          <w:rFonts w:eastAsia="Times New Roman"/>
          <w:lang w:val="en-US" w:eastAsia="en-GB"/>
        </w:rPr>
        <w:t xml:space="preserve"> </w:t>
      </w:r>
      <w:r w:rsidR="00BB498D">
        <w:rPr>
          <w:rFonts w:eastAsia="Times New Roman"/>
          <w:lang w:val="en-US" w:eastAsia="en-GB"/>
        </w:rPr>
        <w:t>at a similar rate to their non-autistic peers</w:t>
      </w:r>
      <w:r w:rsidR="008E10AF">
        <w:rPr>
          <w:rFonts w:eastAsia="Times New Roman"/>
          <w:lang w:val="en-US" w:eastAsia="en-GB"/>
        </w:rPr>
        <w:t xml:space="preserve"> if they </w:t>
      </w:r>
      <w:r w:rsidR="00BE6842">
        <w:rPr>
          <w:rFonts w:eastAsia="Times New Roman"/>
          <w:lang w:val="en-US" w:eastAsia="en-GB"/>
        </w:rPr>
        <w:t xml:space="preserve">do not or </w:t>
      </w:r>
      <w:r w:rsidR="008E10AF">
        <w:rPr>
          <w:rFonts w:eastAsia="Times New Roman"/>
          <w:lang w:val="en-US" w:eastAsia="en-GB"/>
        </w:rPr>
        <w:t>cannot earn a wage while studying</w:t>
      </w:r>
      <w:r w:rsidR="00CA3197">
        <w:rPr>
          <w:rFonts w:eastAsia="Times New Roman"/>
          <w:lang w:val="en-US" w:eastAsia="en-GB"/>
        </w:rPr>
        <w:t>.</w:t>
      </w:r>
      <w:r w:rsidR="00916570">
        <w:rPr>
          <w:rFonts w:eastAsia="Times New Roman"/>
          <w:lang w:val="en-US" w:eastAsia="en-GB"/>
        </w:rPr>
        <w:t xml:space="preserve"> </w:t>
      </w:r>
      <w:r w:rsidR="00CA3197">
        <w:rPr>
          <w:rFonts w:eastAsia="Times New Roman"/>
          <w:lang w:val="en-US" w:eastAsia="en-GB"/>
        </w:rPr>
        <w:t xml:space="preserve">This education and work pattern </w:t>
      </w:r>
      <w:r w:rsidR="002348CF">
        <w:rPr>
          <w:rFonts w:eastAsia="Times New Roman"/>
          <w:lang w:val="en-US" w:eastAsia="en-GB"/>
        </w:rPr>
        <w:t xml:space="preserve">of young autistic adults </w:t>
      </w:r>
      <w:r w:rsidR="00BB498D">
        <w:rPr>
          <w:rFonts w:eastAsia="Times New Roman"/>
          <w:lang w:val="en-US" w:eastAsia="en-GB"/>
        </w:rPr>
        <w:t xml:space="preserve">warrants further investigation. </w:t>
      </w:r>
    </w:p>
    <w:p w14:paraId="1CB69557" w14:textId="7DAFD04A" w:rsidR="005D4BD1" w:rsidRPr="00166E6D" w:rsidRDefault="00591F21" w:rsidP="00166E6D">
      <w:pPr>
        <w:spacing w:line="480" w:lineRule="auto"/>
        <w:jc w:val="center"/>
        <w:rPr>
          <w:rFonts w:eastAsia="Times New Roman"/>
          <w:bCs/>
          <w:i/>
          <w:lang w:val="en-US" w:eastAsia="en-GB"/>
        </w:rPr>
      </w:pPr>
      <w:r w:rsidRPr="00166E6D">
        <w:rPr>
          <w:rFonts w:eastAsia="Times New Roman"/>
          <w:bCs/>
          <w:i/>
          <w:lang w:val="en-US" w:eastAsia="en-GB"/>
        </w:rPr>
        <w:t xml:space="preserve">Strengths and </w:t>
      </w:r>
      <w:r w:rsidR="005D4BD1" w:rsidRPr="00166E6D">
        <w:rPr>
          <w:rFonts w:eastAsia="Times New Roman"/>
          <w:bCs/>
          <w:i/>
          <w:lang w:val="en-US" w:eastAsia="en-GB"/>
        </w:rPr>
        <w:t>Limitations</w:t>
      </w:r>
    </w:p>
    <w:p w14:paraId="3724458C" w14:textId="3DF00846" w:rsidR="00AF0E0D" w:rsidRPr="005169CF" w:rsidRDefault="005C1334" w:rsidP="00213B17">
      <w:pPr>
        <w:spacing w:line="480" w:lineRule="auto"/>
        <w:ind w:firstLine="720"/>
        <w:rPr>
          <w:rFonts w:eastAsia="Times New Roman"/>
          <w:lang w:val="en-US" w:eastAsia="en-GB"/>
        </w:rPr>
      </w:pPr>
      <w:r>
        <w:rPr>
          <w:rFonts w:eastAsia="Times New Roman"/>
          <w:lang w:val="en-US" w:eastAsia="en-GB"/>
        </w:rPr>
        <w:t>To our knowledge,</w:t>
      </w:r>
      <w:r w:rsidR="009C7637" w:rsidRPr="00FC6470">
        <w:rPr>
          <w:rFonts w:eastAsia="Times New Roman"/>
          <w:lang w:val="en-US" w:eastAsia="en-GB"/>
        </w:rPr>
        <w:t xml:space="preserve"> this</w:t>
      </w:r>
      <w:r w:rsidR="009C7637">
        <w:rPr>
          <w:rFonts w:eastAsia="Times New Roman"/>
          <w:lang w:val="en-US" w:eastAsia="en-GB"/>
        </w:rPr>
        <w:t xml:space="preserve"> </w:t>
      </w:r>
      <w:r>
        <w:rPr>
          <w:rFonts w:eastAsia="Times New Roman"/>
          <w:lang w:val="en-US" w:eastAsia="en-GB"/>
        </w:rPr>
        <w:t>is</w:t>
      </w:r>
      <w:r w:rsidR="009C7637">
        <w:rPr>
          <w:rFonts w:eastAsia="Times New Roman"/>
          <w:lang w:val="en-US" w:eastAsia="en-GB"/>
        </w:rPr>
        <w:t xml:space="preserve"> the first Australian study that has </w:t>
      </w:r>
      <w:r w:rsidR="00C47E38">
        <w:rPr>
          <w:rFonts w:eastAsia="Times New Roman"/>
          <w:lang w:val="en-US" w:eastAsia="en-GB"/>
        </w:rPr>
        <w:t xml:space="preserve">both </w:t>
      </w:r>
      <w:r w:rsidR="009C7637">
        <w:rPr>
          <w:rFonts w:eastAsia="Times New Roman"/>
          <w:lang w:val="en-US" w:eastAsia="en-GB"/>
        </w:rPr>
        <w:t>compared post-school outcomes for autistic and non-autistic young adults</w:t>
      </w:r>
      <w:r w:rsidR="00446FDA">
        <w:rPr>
          <w:rFonts w:eastAsia="Times New Roman"/>
          <w:lang w:val="en-US" w:eastAsia="en-GB"/>
        </w:rPr>
        <w:t xml:space="preserve"> and examin</w:t>
      </w:r>
      <w:r w:rsidR="00C47E38">
        <w:rPr>
          <w:rFonts w:eastAsia="Times New Roman"/>
          <w:lang w:val="en-US" w:eastAsia="en-GB"/>
        </w:rPr>
        <w:t>ed</w:t>
      </w:r>
      <w:r w:rsidR="00446FDA">
        <w:rPr>
          <w:rFonts w:eastAsia="Times New Roman"/>
          <w:lang w:val="en-US" w:eastAsia="en-GB"/>
        </w:rPr>
        <w:t xml:space="preserve"> HE across university and vocational training sectors (TAFE/</w:t>
      </w:r>
      <w:r w:rsidR="001446E1">
        <w:rPr>
          <w:rFonts w:eastAsia="Times New Roman"/>
          <w:lang w:val="en-US" w:eastAsia="en-GB"/>
        </w:rPr>
        <w:t xml:space="preserve">community </w:t>
      </w:r>
      <w:r w:rsidR="00446FDA">
        <w:rPr>
          <w:rFonts w:eastAsia="Times New Roman"/>
          <w:lang w:val="en-US" w:eastAsia="en-GB"/>
        </w:rPr>
        <w:t>college)</w:t>
      </w:r>
      <w:r w:rsidR="00C47E38">
        <w:rPr>
          <w:rFonts w:eastAsia="Times New Roman"/>
          <w:lang w:val="en-US" w:eastAsia="en-GB"/>
        </w:rPr>
        <w:t>.</w:t>
      </w:r>
      <w:r w:rsidR="00FC442F">
        <w:rPr>
          <w:rFonts w:eastAsia="Times New Roman"/>
          <w:bCs/>
          <w:lang w:val="en-US" w:eastAsia="en-GB"/>
        </w:rPr>
        <w:t xml:space="preserve"> Primary </w:t>
      </w:r>
      <w:r w:rsidR="00676443">
        <w:rPr>
          <w:rFonts w:eastAsia="Times New Roman"/>
          <w:bCs/>
          <w:lang w:val="en-US" w:eastAsia="en-GB"/>
        </w:rPr>
        <w:t>limitation</w:t>
      </w:r>
      <w:r w:rsidR="00FC442F">
        <w:rPr>
          <w:rFonts w:eastAsia="Times New Roman"/>
          <w:bCs/>
          <w:lang w:val="en-US" w:eastAsia="en-GB"/>
        </w:rPr>
        <w:t>s</w:t>
      </w:r>
      <w:r w:rsidR="00676443">
        <w:rPr>
          <w:rFonts w:eastAsia="Times New Roman"/>
          <w:bCs/>
          <w:lang w:val="en-US" w:eastAsia="en-GB"/>
        </w:rPr>
        <w:t xml:space="preserve"> of </w:t>
      </w:r>
      <w:r w:rsidR="00676443">
        <w:rPr>
          <w:rFonts w:eastAsia="Times New Roman"/>
          <w:bCs/>
          <w:lang w:val="en-US" w:eastAsia="en-GB"/>
        </w:rPr>
        <w:lastRenderedPageBreak/>
        <w:t xml:space="preserve">the study </w:t>
      </w:r>
      <w:r w:rsidR="00FC442F">
        <w:rPr>
          <w:rFonts w:eastAsia="Times New Roman"/>
          <w:bCs/>
          <w:lang w:val="en-US" w:eastAsia="en-GB"/>
        </w:rPr>
        <w:t xml:space="preserve">were </w:t>
      </w:r>
      <w:r w:rsidR="00217590">
        <w:rPr>
          <w:rFonts w:eastAsia="Times New Roman"/>
          <w:bCs/>
          <w:lang w:val="en-US" w:eastAsia="en-GB"/>
        </w:rPr>
        <w:t>reliance of self-reported autism diagnosis</w:t>
      </w:r>
      <w:r w:rsidR="00FC442F">
        <w:rPr>
          <w:rFonts w:eastAsia="Times New Roman"/>
          <w:bCs/>
          <w:lang w:val="en-US" w:eastAsia="en-GB"/>
        </w:rPr>
        <w:t xml:space="preserve"> and modest sample size</w:t>
      </w:r>
      <w:r w:rsidR="00217590">
        <w:rPr>
          <w:rFonts w:eastAsia="Times New Roman"/>
          <w:bCs/>
          <w:lang w:val="en-US" w:eastAsia="en-GB"/>
        </w:rPr>
        <w:t xml:space="preserve">. </w:t>
      </w:r>
      <w:r w:rsidR="00ED2260">
        <w:rPr>
          <w:rFonts w:eastAsia="Times New Roman"/>
          <w:bCs/>
          <w:lang w:val="en-US" w:eastAsia="en-GB"/>
        </w:rPr>
        <w:t>G</w:t>
      </w:r>
      <w:r w:rsidR="003A2D23" w:rsidRPr="00ED2260">
        <w:rPr>
          <w:rFonts w:eastAsia="Times New Roman"/>
          <w:bCs/>
          <w:lang w:val="en-US" w:eastAsia="en-GB"/>
        </w:rPr>
        <w:t>iven</w:t>
      </w:r>
      <w:r w:rsidR="003A2D23">
        <w:rPr>
          <w:rFonts w:eastAsia="Times New Roman"/>
          <w:bCs/>
          <w:lang w:val="en-US" w:eastAsia="en-GB"/>
        </w:rPr>
        <w:t xml:space="preserve"> </w:t>
      </w:r>
      <w:r w:rsidR="005B02F0">
        <w:rPr>
          <w:rFonts w:eastAsia="Times New Roman"/>
          <w:bCs/>
          <w:lang w:val="en-US" w:eastAsia="en-GB"/>
        </w:rPr>
        <w:t>data were drawn from</w:t>
      </w:r>
      <w:r w:rsidR="003A2D23">
        <w:rPr>
          <w:rFonts w:eastAsia="Times New Roman"/>
          <w:bCs/>
          <w:lang w:val="en-US" w:eastAsia="en-GB"/>
        </w:rPr>
        <w:t xml:space="preserve"> a longitudinal study examining a range of </w:t>
      </w:r>
      <w:r w:rsidR="00D04453">
        <w:rPr>
          <w:rFonts w:eastAsia="Times New Roman"/>
          <w:bCs/>
          <w:lang w:val="en-US" w:eastAsia="en-GB"/>
        </w:rPr>
        <w:t xml:space="preserve">variables </w:t>
      </w:r>
      <w:r w:rsidR="005B02F0">
        <w:rPr>
          <w:rFonts w:eastAsia="Times New Roman"/>
          <w:bCs/>
          <w:lang w:val="en-US" w:eastAsia="en-GB"/>
        </w:rPr>
        <w:t>(e.g., mental</w:t>
      </w:r>
      <w:r w:rsidR="001A0822">
        <w:rPr>
          <w:rFonts w:eastAsia="Times New Roman"/>
          <w:bCs/>
          <w:lang w:val="en-US" w:eastAsia="en-GB"/>
        </w:rPr>
        <w:t xml:space="preserve"> health, wellbeing, physical health),</w:t>
      </w:r>
      <w:r w:rsidR="00D53C98">
        <w:rPr>
          <w:rFonts w:eastAsia="Times New Roman"/>
          <w:bCs/>
          <w:lang w:val="en-US" w:eastAsia="en-GB"/>
        </w:rPr>
        <w:t xml:space="preserve"> </w:t>
      </w:r>
      <w:r w:rsidR="00C93ECF">
        <w:rPr>
          <w:rFonts w:eastAsia="Times New Roman"/>
          <w:bCs/>
          <w:lang w:val="en-US" w:eastAsia="en-GB"/>
        </w:rPr>
        <w:t xml:space="preserve">there were limitations on </w:t>
      </w:r>
      <w:r w:rsidR="00D53C98">
        <w:rPr>
          <w:rFonts w:eastAsia="Times New Roman"/>
          <w:bCs/>
          <w:lang w:val="en-US" w:eastAsia="en-GB"/>
        </w:rPr>
        <w:t>the</w:t>
      </w:r>
      <w:r w:rsidR="00EC2C3B">
        <w:rPr>
          <w:rFonts w:eastAsia="Times New Roman"/>
          <w:bCs/>
          <w:lang w:val="en-US" w:eastAsia="en-GB"/>
        </w:rPr>
        <w:t xml:space="preserve"> </w:t>
      </w:r>
      <w:r w:rsidR="006D259D">
        <w:rPr>
          <w:rFonts w:eastAsia="Times New Roman"/>
          <w:bCs/>
          <w:lang w:val="en-US" w:eastAsia="en-GB"/>
        </w:rPr>
        <w:t xml:space="preserve">amount of </w:t>
      </w:r>
      <w:r w:rsidR="00EC2C3B">
        <w:rPr>
          <w:rFonts w:eastAsia="Times New Roman"/>
          <w:bCs/>
          <w:lang w:val="en-US" w:eastAsia="en-GB"/>
        </w:rPr>
        <w:t>information</w:t>
      </w:r>
      <w:r w:rsidR="006D259D">
        <w:rPr>
          <w:rFonts w:eastAsia="Times New Roman"/>
          <w:bCs/>
          <w:lang w:val="en-US" w:eastAsia="en-GB"/>
        </w:rPr>
        <w:t xml:space="preserve"> that could be gathered</w:t>
      </w:r>
      <w:r w:rsidR="00EC2C3B">
        <w:rPr>
          <w:rFonts w:eastAsia="Times New Roman"/>
          <w:bCs/>
          <w:lang w:val="en-US" w:eastAsia="en-GB"/>
        </w:rPr>
        <w:t xml:space="preserve"> about employment experience</w:t>
      </w:r>
      <w:r w:rsidR="00C93ECF">
        <w:rPr>
          <w:rFonts w:eastAsia="Times New Roman"/>
          <w:bCs/>
          <w:lang w:val="en-US" w:eastAsia="en-GB"/>
        </w:rPr>
        <w:t>s</w:t>
      </w:r>
      <w:r w:rsidR="006D259D">
        <w:rPr>
          <w:rFonts w:eastAsia="Times New Roman"/>
          <w:bCs/>
          <w:lang w:val="en-US" w:eastAsia="en-GB"/>
        </w:rPr>
        <w:t xml:space="preserve">. </w:t>
      </w:r>
      <w:r w:rsidR="00BF5C07">
        <w:rPr>
          <w:rFonts w:eastAsia="Times New Roman"/>
          <w:bCs/>
          <w:lang w:val="en-US" w:eastAsia="en-GB"/>
        </w:rPr>
        <w:t>Thus</w:t>
      </w:r>
      <w:r w:rsidR="00B10FBA">
        <w:rPr>
          <w:rFonts w:eastAsia="Times New Roman"/>
          <w:bCs/>
          <w:lang w:val="en-US" w:eastAsia="en-GB"/>
        </w:rPr>
        <w:t>,</w:t>
      </w:r>
      <w:r w:rsidR="00BF5C07">
        <w:rPr>
          <w:rFonts w:eastAsia="Times New Roman"/>
          <w:bCs/>
          <w:lang w:val="en-US" w:eastAsia="en-GB"/>
        </w:rPr>
        <w:t xml:space="preserve"> we</w:t>
      </w:r>
      <w:r w:rsidR="006316C4">
        <w:rPr>
          <w:rFonts w:eastAsia="Times New Roman"/>
          <w:bCs/>
          <w:lang w:val="en-US" w:eastAsia="en-GB"/>
        </w:rPr>
        <w:t xml:space="preserve"> were not able to fully explore </w:t>
      </w:r>
      <w:r w:rsidR="00725B29">
        <w:rPr>
          <w:rFonts w:eastAsia="Times New Roman"/>
          <w:bCs/>
          <w:lang w:val="en-US" w:eastAsia="en-GB"/>
        </w:rPr>
        <w:t>whether those</w:t>
      </w:r>
      <w:r w:rsidR="006316C4">
        <w:rPr>
          <w:rFonts w:eastAsia="Times New Roman"/>
          <w:bCs/>
          <w:lang w:val="en-US" w:eastAsia="en-GB"/>
        </w:rPr>
        <w:t xml:space="preserve"> you</w:t>
      </w:r>
      <w:r w:rsidR="007A7231">
        <w:rPr>
          <w:rFonts w:eastAsia="Times New Roman"/>
          <w:bCs/>
          <w:lang w:val="en-US" w:eastAsia="en-GB"/>
        </w:rPr>
        <w:t>n</w:t>
      </w:r>
      <w:r w:rsidR="006316C4">
        <w:rPr>
          <w:rFonts w:eastAsia="Times New Roman"/>
          <w:bCs/>
          <w:lang w:val="en-US" w:eastAsia="en-GB"/>
        </w:rPr>
        <w:t>g autistic adults</w:t>
      </w:r>
      <w:r w:rsidR="007A7231">
        <w:rPr>
          <w:rFonts w:eastAsia="Times New Roman"/>
          <w:bCs/>
          <w:lang w:val="en-US" w:eastAsia="en-GB"/>
        </w:rPr>
        <w:t xml:space="preserve"> </w:t>
      </w:r>
      <w:r w:rsidR="00725B29">
        <w:rPr>
          <w:rFonts w:eastAsia="Times New Roman"/>
          <w:bCs/>
          <w:lang w:val="en-US" w:eastAsia="en-GB"/>
        </w:rPr>
        <w:t>who were</w:t>
      </w:r>
      <w:r w:rsidR="00B10FBA">
        <w:rPr>
          <w:rFonts w:eastAsia="Times New Roman"/>
          <w:bCs/>
          <w:lang w:val="en-US" w:eastAsia="en-GB"/>
        </w:rPr>
        <w:t xml:space="preserve"> only engaged in employment</w:t>
      </w:r>
      <w:r w:rsidR="00725B29">
        <w:rPr>
          <w:rFonts w:eastAsia="Times New Roman"/>
          <w:bCs/>
          <w:lang w:val="en-US" w:eastAsia="en-GB"/>
        </w:rPr>
        <w:t xml:space="preserve"> were under-employed, which has been reported</w:t>
      </w:r>
      <w:r w:rsidR="007A7231">
        <w:rPr>
          <w:rFonts w:eastAsia="Times New Roman"/>
          <w:bCs/>
          <w:lang w:val="en-US" w:eastAsia="en-GB"/>
        </w:rPr>
        <w:t xml:space="preserve"> previously</w:t>
      </w:r>
      <w:r w:rsidR="00725B29">
        <w:rPr>
          <w:rFonts w:eastAsia="Times New Roman"/>
          <w:bCs/>
          <w:lang w:val="en-US" w:eastAsia="en-GB"/>
        </w:rPr>
        <w:t xml:space="preserve"> as a common challenge</w:t>
      </w:r>
      <w:r w:rsidR="00273000">
        <w:rPr>
          <w:rFonts w:eastAsia="Times New Roman"/>
          <w:bCs/>
          <w:lang w:val="en-US" w:eastAsia="en-GB"/>
        </w:rPr>
        <w:t xml:space="preserve"> among autistic people</w:t>
      </w:r>
      <w:r w:rsidR="00725B29">
        <w:rPr>
          <w:rFonts w:eastAsia="Times New Roman"/>
          <w:bCs/>
          <w:lang w:val="en-US" w:eastAsia="en-GB"/>
        </w:rPr>
        <w:t xml:space="preserve"> (e.g., Baldwin et al., 2014</w:t>
      </w:r>
      <w:r w:rsidR="00725B29" w:rsidRPr="002D73C9">
        <w:rPr>
          <w:rFonts w:eastAsia="Times New Roman"/>
          <w:bCs/>
          <w:lang w:val="en-US" w:eastAsia="en-GB"/>
        </w:rPr>
        <w:t>).</w:t>
      </w:r>
      <w:r w:rsidR="00B10FBA" w:rsidRPr="002D73C9">
        <w:rPr>
          <w:rFonts w:eastAsia="Times New Roman"/>
          <w:bCs/>
          <w:lang w:val="en-US" w:eastAsia="en-GB"/>
        </w:rPr>
        <w:t xml:space="preserve"> </w:t>
      </w:r>
      <w:r w:rsidR="002D73C9">
        <w:rPr>
          <w:rFonts w:eastAsia="Times New Roman"/>
          <w:bCs/>
          <w:lang w:val="en-US" w:eastAsia="en-GB"/>
        </w:rPr>
        <w:t>Additionally</w:t>
      </w:r>
      <w:r w:rsidR="002B59BA" w:rsidRPr="002D73C9">
        <w:rPr>
          <w:rFonts w:eastAsia="Times New Roman"/>
          <w:bCs/>
          <w:lang w:val="en-US" w:eastAsia="en-GB"/>
        </w:rPr>
        <w:t>, we</w:t>
      </w:r>
      <w:r w:rsidR="008279AD">
        <w:rPr>
          <w:rFonts w:eastAsia="Times New Roman"/>
          <w:bCs/>
          <w:lang w:val="en-US" w:eastAsia="en-GB"/>
        </w:rPr>
        <w:t xml:space="preserve"> did not measure </w:t>
      </w:r>
      <w:r w:rsidR="00030E5D">
        <w:rPr>
          <w:rFonts w:eastAsia="Times New Roman"/>
          <w:bCs/>
          <w:lang w:val="en-US" w:eastAsia="en-GB"/>
        </w:rPr>
        <w:t>whether</w:t>
      </w:r>
      <w:r w:rsidR="00B10FBA">
        <w:rPr>
          <w:rFonts w:eastAsia="Times New Roman"/>
          <w:bCs/>
          <w:lang w:val="en-US" w:eastAsia="en-GB"/>
        </w:rPr>
        <w:t xml:space="preserve"> working hours align</w:t>
      </w:r>
      <w:r w:rsidR="00030E5D">
        <w:rPr>
          <w:rFonts w:eastAsia="Times New Roman"/>
          <w:bCs/>
          <w:lang w:val="en-US" w:eastAsia="en-GB"/>
        </w:rPr>
        <w:t>ed</w:t>
      </w:r>
      <w:r w:rsidR="00B10FBA">
        <w:rPr>
          <w:rFonts w:eastAsia="Times New Roman"/>
          <w:bCs/>
          <w:lang w:val="en-US" w:eastAsia="en-GB"/>
        </w:rPr>
        <w:t xml:space="preserve"> with</w:t>
      </w:r>
      <w:r w:rsidR="00030E5D">
        <w:rPr>
          <w:rFonts w:eastAsia="Times New Roman"/>
          <w:bCs/>
          <w:lang w:val="en-US" w:eastAsia="en-GB"/>
        </w:rPr>
        <w:t xml:space="preserve"> </w:t>
      </w:r>
      <w:r w:rsidR="00B10FBA">
        <w:rPr>
          <w:rFonts w:eastAsia="Times New Roman"/>
          <w:bCs/>
          <w:lang w:val="en-US" w:eastAsia="en-GB"/>
        </w:rPr>
        <w:t xml:space="preserve">individual preferences, </w:t>
      </w:r>
      <w:r w:rsidR="00030E5D">
        <w:rPr>
          <w:rFonts w:eastAsia="Times New Roman"/>
          <w:bCs/>
          <w:lang w:val="en-US" w:eastAsia="en-GB"/>
        </w:rPr>
        <w:t>rather than being indicative</w:t>
      </w:r>
      <w:r w:rsidR="00B10FBA">
        <w:rPr>
          <w:rFonts w:eastAsia="Times New Roman"/>
          <w:bCs/>
          <w:lang w:val="en-US" w:eastAsia="en-GB"/>
        </w:rPr>
        <w:t xml:space="preserve"> of under-employment</w:t>
      </w:r>
      <w:r w:rsidR="002918F9">
        <w:rPr>
          <w:rFonts w:eastAsia="Times New Roman"/>
          <w:bCs/>
          <w:lang w:val="en-US" w:eastAsia="en-GB"/>
        </w:rPr>
        <w:t xml:space="preserve">, or whether </w:t>
      </w:r>
      <w:r w:rsidR="002B59BA">
        <w:rPr>
          <w:rFonts w:eastAsia="Times New Roman"/>
          <w:bCs/>
          <w:lang w:val="en-US" w:eastAsia="en-GB"/>
        </w:rPr>
        <w:t>individuals were</w:t>
      </w:r>
      <w:r w:rsidR="002918F9">
        <w:rPr>
          <w:rFonts w:eastAsia="Times New Roman"/>
          <w:bCs/>
          <w:lang w:val="en-US" w:eastAsia="en-GB"/>
        </w:rPr>
        <w:t xml:space="preserve"> under-employed</w:t>
      </w:r>
      <w:r w:rsidR="002B59BA">
        <w:rPr>
          <w:rFonts w:eastAsia="Times New Roman"/>
          <w:bCs/>
          <w:lang w:val="en-US" w:eastAsia="en-GB"/>
        </w:rPr>
        <w:t xml:space="preserve"> relative</w:t>
      </w:r>
      <w:r w:rsidR="002918F9">
        <w:rPr>
          <w:rFonts w:eastAsia="Times New Roman"/>
          <w:bCs/>
          <w:lang w:val="en-US" w:eastAsia="en-GB"/>
        </w:rPr>
        <w:t xml:space="preserve"> to their qualifications and experience</w:t>
      </w:r>
      <w:r w:rsidR="00151F21">
        <w:rPr>
          <w:rFonts w:eastAsia="Times New Roman"/>
          <w:bCs/>
          <w:lang w:val="en-US" w:eastAsia="en-GB"/>
        </w:rPr>
        <w:t xml:space="preserve"> (although this may be an issue </w:t>
      </w:r>
      <w:r w:rsidR="00151F21" w:rsidRPr="00B412C0">
        <w:rPr>
          <w:rFonts w:eastAsia="Times New Roman"/>
          <w:bCs/>
          <w:lang w:val="en-US" w:eastAsia="en-GB"/>
        </w:rPr>
        <w:t>across both groups)</w:t>
      </w:r>
      <w:r w:rsidR="00B10FBA" w:rsidRPr="00B412C0">
        <w:rPr>
          <w:rFonts w:eastAsia="Times New Roman"/>
          <w:bCs/>
          <w:lang w:val="en-US" w:eastAsia="en-GB"/>
        </w:rPr>
        <w:t>.</w:t>
      </w:r>
      <w:r w:rsidR="00EB61F2" w:rsidRPr="00B412C0">
        <w:rPr>
          <w:rFonts w:eastAsia="Times New Roman"/>
          <w:bCs/>
          <w:lang w:val="en-US" w:eastAsia="en-GB"/>
        </w:rPr>
        <w:t xml:space="preserve"> Lastly,</w:t>
      </w:r>
      <w:r w:rsidR="00A826B4">
        <w:rPr>
          <w:rFonts w:eastAsia="Times New Roman"/>
          <w:bCs/>
          <w:lang w:val="en-US" w:eastAsia="en-GB"/>
        </w:rPr>
        <w:t xml:space="preserve"> while</w:t>
      </w:r>
      <w:r w:rsidR="00EB61F2" w:rsidRPr="00B412C0">
        <w:rPr>
          <w:rFonts w:eastAsia="Times New Roman"/>
          <w:bCs/>
          <w:lang w:val="en-US" w:eastAsia="en-GB"/>
        </w:rPr>
        <w:t xml:space="preserve"> there </w:t>
      </w:r>
      <w:r w:rsidR="00635689">
        <w:rPr>
          <w:rFonts w:eastAsia="Times New Roman"/>
          <w:bCs/>
          <w:lang w:val="en-US" w:eastAsia="en-GB"/>
        </w:rPr>
        <w:t>was a higher proportion of females in the non-autistic sample than the autistic sample</w:t>
      </w:r>
      <w:r w:rsidR="006F770D">
        <w:rPr>
          <w:rFonts w:eastAsia="Times New Roman"/>
          <w:bCs/>
          <w:lang w:val="en-US" w:eastAsia="en-GB"/>
        </w:rPr>
        <w:t xml:space="preserve"> (w</w:t>
      </w:r>
      <w:r w:rsidR="00B35F42" w:rsidRPr="00370644">
        <w:rPr>
          <w:rFonts w:eastAsia="Times New Roman"/>
          <w:bCs/>
          <w:lang w:val="en-US" w:eastAsia="en-GB"/>
        </w:rPr>
        <w:t>ith 44% females in the autistic group and 75% in the non-autistic group)</w:t>
      </w:r>
      <w:r w:rsidR="006F770D">
        <w:rPr>
          <w:rFonts w:eastAsia="Times New Roman"/>
          <w:bCs/>
          <w:lang w:val="en-US" w:eastAsia="en-GB"/>
        </w:rPr>
        <w:t xml:space="preserve"> we do not believe this is likely to have impacted result</w:t>
      </w:r>
      <w:r w:rsidR="00215FEE">
        <w:rPr>
          <w:rFonts w:eastAsia="Times New Roman"/>
          <w:bCs/>
          <w:lang w:val="en-US" w:eastAsia="en-GB"/>
        </w:rPr>
        <w:t>s.</w:t>
      </w:r>
    </w:p>
    <w:p w14:paraId="36770F8B" w14:textId="33EEF14D" w:rsidR="005D4BD1" w:rsidRPr="00166E6D" w:rsidRDefault="005D4BD1" w:rsidP="00166E6D">
      <w:pPr>
        <w:spacing w:line="480" w:lineRule="auto"/>
        <w:jc w:val="center"/>
        <w:rPr>
          <w:rFonts w:eastAsia="Times New Roman"/>
          <w:bCs/>
          <w:i/>
          <w:lang w:val="en-US" w:eastAsia="en-GB"/>
        </w:rPr>
      </w:pPr>
      <w:r w:rsidRPr="00166E6D">
        <w:rPr>
          <w:rFonts w:eastAsia="Times New Roman"/>
          <w:bCs/>
          <w:i/>
          <w:lang w:val="en-US" w:eastAsia="en-GB"/>
        </w:rPr>
        <w:t>Implications</w:t>
      </w:r>
      <w:r w:rsidR="00850543" w:rsidRPr="00166E6D">
        <w:rPr>
          <w:rFonts w:eastAsia="Times New Roman"/>
          <w:bCs/>
          <w:i/>
          <w:lang w:val="en-US" w:eastAsia="en-GB"/>
        </w:rPr>
        <w:t xml:space="preserve"> and conclusion</w:t>
      </w:r>
    </w:p>
    <w:p w14:paraId="04464FCA" w14:textId="1249E597" w:rsidR="005169CF" w:rsidRDefault="00EE7A99" w:rsidP="00370644">
      <w:pPr>
        <w:spacing w:line="480" w:lineRule="auto"/>
        <w:ind w:firstLine="720"/>
        <w:rPr>
          <w:rFonts w:eastAsia="Times New Roman"/>
          <w:b/>
          <w:bCs/>
          <w:lang w:val="en-US" w:eastAsia="en-GB"/>
        </w:rPr>
      </w:pPr>
      <w:r>
        <w:rPr>
          <w:rFonts w:eastAsia="Times New Roman"/>
          <w:lang w:val="en-US" w:eastAsia="en-GB"/>
        </w:rPr>
        <w:t>The current study highlight</w:t>
      </w:r>
      <w:r w:rsidR="0036162C">
        <w:rPr>
          <w:rFonts w:eastAsia="Times New Roman"/>
          <w:lang w:val="en-US" w:eastAsia="en-GB"/>
        </w:rPr>
        <w:t>s</w:t>
      </w:r>
      <w:r>
        <w:rPr>
          <w:rFonts w:eastAsia="Times New Roman"/>
          <w:lang w:val="en-US" w:eastAsia="en-GB"/>
        </w:rPr>
        <w:t xml:space="preserve"> differences in the post-school </w:t>
      </w:r>
      <w:r w:rsidR="00AF499E">
        <w:rPr>
          <w:rFonts w:eastAsia="Times New Roman"/>
          <w:lang w:val="en-US" w:eastAsia="en-GB"/>
        </w:rPr>
        <w:t>outcomes</w:t>
      </w:r>
      <w:r>
        <w:rPr>
          <w:rFonts w:eastAsia="Times New Roman"/>
          <w:lang w:val="en-US" w:eastAsia="en-GB"/>
        </w:rPr>
        <w:t xml:space="preserve"> between autistic and non-autistic young adults. </w:t>
      </w:r>
      <w:r w:rsidR="003C6C4D">
        <w:rPr>
          <w:rFonts w:eastAsia="Times New Roman"/>
          <w:lang w:val="en-US" w:eastAsia="en-GB"/>
        </w:rPr>
        <w:t xml:space="preserve">Given a similar number </w:t>
      </w:r>
      <w:r w:rsidR="0061460B">
        <w:rPr>
          <w:rFonts w:eastAsia="Times New Roman"/>
          <w:lang w:val="en-US" w:eastAsia="en-GB"/>
        </w:rPr>
        <w:t>in</w:t>
      </w:r>
      <w:r w:rsidR="003C6C4D">
        <w:rPr>
          <w:rFonts w:eastAsia="Times New Roman"/>
          <w:lang w:val="en-US" w:eastAsia="en-GB"/>
        </w:rPr>
        <w:t xml:space="preserve"> each group reported engaging in HE, it is important that</w:t>
      </w:r>
      <w:r w:rsidR="00CE5158">
        <w:rPr>
          <w:rFonts w:eastAsia="Times New Roman"/>
          <w:lang w:val="en-US" w:eastAsia="en-GB"/>
        </w:rPr>
        <w:t xml:space="preserve"> all</w:t>
      </w:r>
      <w:r w:rsidR="003C6C4D">
        <w:rPr>
          <w:rFonts w:eastAsia="Times New Roman"/>
          <w:lang w:val="en-US" w:eastAsia="en-GB"/>
        </w:rPr>
        <w:t xml:space="preserve"> HE providers</w:t>
      </w:r>
      <w:r w:rsidR="00CE5158">
        <w:rPr>
          <w:rFonts w:eastAsia="Times New Roman"/>
          <w:lang w:val="en-US" w:eastAsia="en-GB"/>
        </w:rPr>
        <w:t xml:space="preserve">, not just universities </w:t>
      </w:r>
      <w:r w:rsidR="005E4278">
        <w:rPr>
          <w:rFonts w:eastAsia="Times New Roman"/>
          <w:lang w:val="en-US" w:eastAsia="en-GB"/>
        </w:rPr>
        <w:t>(</w:t>
      </w:r>
      <w:r w:rsidR="00CE5158">
        <w:rPr>
          <w:rFonts w:eastAsia="Times New Roman"/>
          <w:lang w:val="en-US" w:eastAsia="en-GB"/>
        </w:rPr>
        <w:t>which tend to be the focus of current research</w:t>
      </w:r>
      <w:r w:rsidR="005E4278">
        <w:rPr>
          <w:rFonts w:eastAsia="Times New Roman"/>
          <w:lang w:val="en-US" w:eastAsia="en-GB"/>
        </w:rPr>
        <w:t>)</w:t>
      </w:r>
      <w:r w:rsidR="00CE5158">
        <w:rPr>
          <w:rFonts w:eastAsia="Times New Roman"/>
          <w:lang w:val="en-US" w:eastAsia="en-GB"/>
        </w:rPr>
        <w:t>,</w:t>
      </w:r>
      <w:r w:rsidR="003C6C4D">
        <w:rPr>
          <w:rFonts w:eastAsia="Times New Roman"/>
          <w:lang w:val="en-US" w:eastAsia="en-GB"/>
        </w:rPr>
        <w:t xml:space="preserve"> are knowledgeable about autism and understand how to provide appropriate supports that may assist autistic students. </w:t>
      </w:r>
      <w:bookmarkStart w:id="3" w:name="_Hlk34819315"/>
      <w:bookmarkStart w:id="4" w:name="_Hlk36413930"/>
      <w:r w:rsidR="00EA7086">
        <w:rPr>
          <w:rFonts w:eastAsia="Times New Roman"/>
          <w:lang w:val="en-US" w:eastAsia="en-GB"/>
        </w:rPr>
        <w:t>T</w:t>
      </w:r>
      <w:r w:rsidR="00366D4F" w:rsidRPr="00EA7086">
        <w:rPr>
          <w:rFonts w:eastAsia="Times New Roman"/>
          <w:lang w:val="en-US" w:eastAsia="en-GB"/>
        </w:rPr>
        <w:t>he</w:t>
      </w:r>
      <w:r w:rsidR="00366D4F">
        <w:rPr>
          <w:rFonts w:eastAsia="Times New Roman"/>
          <w:lang w:val="en-US" w:eastAsia="en-GB"/>
        </w:rPr>
        <w:t xml:space="preserve"> results of this study </w:t>
      </w:r>
      <w:r w:rsidR="00EA7086">
        <w:rPr>
          <w:rFonts w:eastAsia="Times New Roman"/>
          <w:lang w:val="en-US" w:eastAsia="en-GB"/>
        </w:rPr>
        <w:t xml:space="preserve">also </w:t>
      </w:r>
      <w:r w:rsidR="00366D4F">
        <w:rPr>
          <w:rFonts w:eastAsia="Times New Roman"/>
          <w:lang w:val="en-US" w:eastAsia="en-GB"/>
        </w:rPr>
        <w:t xml:space="preserve">add to the continuing </w:t>
      </w:r>
      <w:r w:rsidR="00AD62B7">
        <w:rPr>
          <w:rFonts w:eastAsia="Times New Roman"/>
          <w:lang w:val="en-US" w:eastAsia="en-GB"/>
        </w:rPr>
        <w:t>evidence-</w:t>
      </w:r>
      <w:r w:rsidR="000C791E">
        <w:rPr>
          <w:rFonts w:eastAsia="Times New Roman"/>
          <w:lang w:val="en-US" w:eastAsia="en-GB"/>
        </w:rPr>
        <w:t>base indicating</w:t>
      </w:r>
      <w:r w:rsidR="00366D4F">
        <w:rPr>
          <w:rFonts w:eastAsia="Times New Roman"/>
          <w:lang w:val="en-US" w:eastAsia="en-GB"/>
        </w:rPr>
        <w:t xml:space="preserve"> that there are discrepancies in</w:t>
      </w:r>
      <w:r w:rsidR="003F2DA8">
        <w:rPr>
          <w:rFonts w:eastAsia="Times New Roman"/>
          <w:lang w:val="en-US" w:eastAsia="en-GB"/>
        </w:rPr>
        <w:t xml:space="preserve"> post-school</w:t>
      </w:r>
      <w:r w:rsidR="00366D4F">
        <w:rPr>
          <w:rFonts w:eastAsia="Times New Roman"/>
          <w:lang w:val="en-US" w:eastAsia="en-GB"/>
        </w:rPr>
        <w:t xml:space="preserve"> employment</w:t>
      </w:r>
      <w:r w:rsidR="003F2DA8">
        <w:rPr>
          <w:rFonts w:eastAsia="Times New Roman"/>
          <w:lang w:val="en-US" w:eastAsia="en-GB"/>
        </w:rPr>
        <w:t xml:space="preserve"> for young</w:t>
      </w:r>
      <w:r w:rsidR="00CA69F5">
        <w:rPr>
          <w:rFonts w:eastAsia="Times New Roman"/>
          <w:lang w:val="en-US" w:eastAsia="en-GB"/>
        </w:rPr>
        <w:t xml:space="preserve"> autistic adults</w:t>
      </w:r>
      <w:r w:rsidR="003A1006">
        <w:rPr>
          <w:rFonts w:eastAsia="Times New Roman"/>
          <w:lang w:val="en-US" w:eastAsia="en-GB"/>
        </w:rPr>
        <w:t xml:space="preserve"> compared to non-autistic adults</w:t>
      </w:r>
      <w:r w:rsidR="00D174E6">
        <w:rPr>
          <w:rFonts w:eastAsia="Times New Roman"/>
          <w:lang w:val="en-US" w:eastAsia="en-GB"/>
        </w:rPr>
        <w:t>.</w:t>
      </w:r>
      <w:r w:rsidR="003A1006">
        <w:rPr>
          <w:rFonts w:eastAsia="Times New Roman"/>
          <w:lang w:val="en-US" w:eastAsia="en-GB"/>
        </w:rPr>
        <w:t xml:space="preserve"> These discrepancies occur</w:t>
      </w:r>
      <w:r w:rsidR="00D174E6">
        <w:rPr>
          <w:rFonts w:eastAsia="Times New Roman"/>
          <w:lang w:val="en-US" w:eastAsia="en-GB"/>
        </w:rPr>
        <w:t xml:space="preserve"> </w:t>
      </w:r>
      <w:bookmarkEnd w:id="3"/>
      <w:r w:rsidR="005B55DB">
        <w:rPr>
          <w:rFonts w:eastAsia="Times New Roman"/>
          <w:lang w:val="en-US" w:eastAsia="en-GB"/>
        </w:rPr>
        <w:t xml:space="preserve">during HE </w:t>
      </w:r>
      <w:r w:rsidR="00D174E6">
        <w:rPr>
          <w:rFonts w:eastAsia="Times New Roman"/>
          <w:lang w:val="en-US" w:eastAsia="en-GB"/>
        </w:rPr>
        <w:t xml:space="preserve">where part-time employment is </w:t>
      </w:r>
      <w:r w:rsidR="005B55DB">
        <w:rPr>
          <w:rFonts w:eastAsia="Times New Roman"/>
          <w:lang w:val="en-US" w:eastAsia="en-GB"/>
        </w:rPr>
        <w:t xml:space="preserve">a means of self-support </w:t>
      </w:r>
      <w:r w:rsidR="00D174E6">
        <w:rPr>
          <w:rFonts w:eastAsia="Times New Roman"/>
          <w:lang w:val="en-US" w:eastAsia="en-GB"/>
        </w:rPr>
        <w:t xml:space="preserve">and gaining </w:t>
      </w:r>
      <w:r w:rsidR="005B55DB">
        <w:rPr>
          <w:rFonts w:eastAsia="Times New Roman"/>
          <w:lang w:val="en-US" w:eastAsia="en-GB"/>
        </w:rPr>
        <w:t>work</w:t>
      </w:r>
      <w:r w:rsidR="00D174E6">
        <w:rPr>
          <w:rFonts w:eastAsia="Times New Roman"/>
          <w:lang w:val="en-US" w:eastAsia="en-GB"/>
        </w:rPr>
        <w:t xml:space="preserve">force </w:t>
      </w:r>
      <w:r w:rsidR="005B55DB">
        <w:rPr>
          <w:rFonts w:eastAsia="Times New Roman"/>
          <w:lang w:val="en-US" w:eastAsia="en-GB"/>
        </w:rPr>
        <w:t>experience and independence</w:t>
      </w:r>
      <w:r w:rsidR="00B55019">
        <w:rPr>
          <w:rFonts w:eastAsia="Times New Roman"/>
          <w:lang w:val="en-US" w:eastAsia="en-GB"/>
        </w:rPr>
        <w:t xml:space="preserve"> skills</w:t>
      </w:r>
      <w:r w:rsidR="00366D4F">
        <w:rPr>
          <w:rFonts w:eastAsia="Times New Roman"/>
          <w:lang w:val="en-US" w:eastAsia="en-GB"/>
        </w:rPr>
        <w:t xml:space="preserve">. </w:t>
      </w:r>
      <w:bookmarkStart w:id="5" w:name="_Hlk36414500"/>
      <w:bookmarkEnd w:id="4"/>
      <w:r w:rsidR="00B412C0">
        <w:rPr>
          <w:rFonts w:eastAsia="Times New Roman"/>
          <w:lang w:val="en-US" w:eastAsia="en-GB"/>
        </w:rPr>
        <w:t>This is one of the</w:t>
      </w:r>
      <w:r w:rsidR="007C3F9B">
        <w:rPr>
          <w:rFonts w:eastAsia="Times New Roman"/>
          <w:lang w:val="en-US" w:eastAsia="en-GB"/>
        </w:rPr>
        <w:t xml:space="preserve"> few studies investigating post-school </w:t>
      </w:r>
      <w:r w:rsidR="00AF499E">
        <w:rPr>
          <w:rFonts w:eastAsia="Times New Roman"/>
          <w:lang w:val="en-US" w:eastAsia="en-GB"/>
        </w:rPr>
        <w:t>outcomes</w:t>
      </w:r>
      <w:r w:rsidR="007C3F9B">
        <w:rPr>
          <w:rFonts w:eastAsia="Times New Roman"/>
          <w:lang w:val="en-US" w:eastAsia="en-GB"/>
        </w:rPr>
        <w:t xml:space="preserve"> </w:t>
      </w:r>
      <w:r w:rsidR="00B852A3">
        <w:rPr>
          <w:rFonts w:eastAsia="Times New Roman"/>
          <w:lang w:val="en-US" w:eastAsia="en-GB"/>
        </w:rPr>
        <w:t>for autistic</w:t>
      </w:r>
      <w:r w:rsidR="007C3F9B">
        <w:rPr>
          <w:rFonts w:eastAsia="Times New Roman"/>
          <w:lang w:val="en-US" w:eastAsia="en-GB"/>
        </w:rPr>
        <w:t xml:space="preserve"> </w:t>
      </w:r>
      <w:r w:rsidR="00B852A3">
        <w:rPr>
          <w:rFonts w:eastAsia="Times New Roman"/>
          <w:lang w:val="en-US" w:eastAsia="en-GB"/>
        </w:rPr>
        <w:t>Australians</w:t>
      </w:r>
      <w:r w:rsidR="00B412C0">
        <w:rPr>
          <w:rFonts w:eastAsia="Times New Roman"/>
          <w:lang w:val="en-US" w:eastAsia="en-GB"/>
        </w:rPr>
        <w:t>.</w:t>
      </w:r>
      <w:r w:rsidR="00B852A3">
        <w:rPr>
          <w:rFonts w:eastAsia="Times New Roman"/>
          <w:lang w:val="en-US" w:eastAsia="en-GB"/>
        </w:rPr>
        <w:t xml:space="preserve"> </w:t>
      </w:r>
      <w:r w:rsidR="00B412C0">
        <w:rPr>
          <w:rFonts w:eastAsia="Times New Roman"/>
          <w:lang w:val="en-US" w:eastAsia="en-GB"/>
        </w:rPr>
        <w:t>M</w:t>
      </w:r>
      <w:r w:rsidR="00B852A3">
        <w:rPr>
          <w:rFonts w:eastAsia="Times New Roman"/>
          <w:lang w:val="en-US" w:eastAsia="en-GB"/>
        </w:rPr>
        <w:t xml:space="preserve">ore research </w:t>
      </w:r>
      <w:r w:rsidR="001E279E">
        <w:rPr>
          <w:rFonts w:eastAsia="Times New Roman"/>
          <w:lang w:val="en-US" w:eastAsia="en-GB"/>
        </w:rPr>
        <w:t>is needed</w:t>
      </w:r>
      <w:r w:rsidR="002223EC">
        <w:rPr>
          <w:rFonts w:eastAsia="Times New Roman"/>
          <w:lang w:val="en-US" w:eastAsia="en-GB"/>
        </w:rPr>
        <w:t xml:space="preserve"> among this age group</w:t>
      </w:r>
      <w:r w:rsidR="00B852A3">
        <w:rPr>
          <w:rFonts w:eastAsia="Times New Roman"/>
          <w:lang w:val="en-US" w:eastAsia="en-GB"/>
        </w:rPr>
        <w:t xml:space="preserve"> so </w:t>
      </w:r>
      <w:r w:rsidR="00B412C0">
        <w:rPr>
          <w:rFonts w:eastAsia="Times New Roman"/>
          <w:lang w:val="en-US" w:eastAsia="en-GB"/>
        </w:rPr>
        <w:t xml:space="preserve">that </w:t>
      </w:r>
      <w:r w:rsidR="00B852A3">
        <w:rPr>
          <w:rFonts w:eastAsia="Times New Roman"/>
          <w:lang w:val="en-US" w:eastAsia="en-GB"/>
        </w:rPr>
        <w:t xml:space="preserve">we can better </w:t>
      </w:r>
      <w:r w:rsidR="00B852A3">
        <w:rPr>
          <w:rFonts w:eastAsia="Times New Roman"/>
          <w:lang w:val="en-US" w:eastAsia="en-GB"/>
        </w:rPr>
        <w:lastRenderedPageBreak/>
        <w:t>understand barriers</w:t>
      </w:r>
      <w:r w:rsidR="00086F39">
        <w:rPr>
          <w:rFonts w:eastAsia="Times New Roman"/>
          <w:lang w:val="en-US" w:eastAsia="en-GB"/>
        </w:rPr>
        <w:t xml:space="preserve"> to post-school activities</w:t>
      </w:r>
      <w:r w:rsidR="00B852A3">
        <w:rPr>
          <w:rFonts w:eastAsia="Times New Roman"/>
          <w:lang w:val="en-US" w:eastAsia="en-GB"/>
        </w:rPr>
        <w:t xml:space="preserve">, </w:t>
      </w:r>
      <w:r w:rsidR="001E279E">
        <w:rPr>
          <w:rFonts w:eastAsia="Times New Roman"/>
          <w:lang w:val="en-US" w:eastAsia="en-GB"/>
        </w:rPr>
        <w:t xml:space="preserve">particularly employment, </w:t>
      </w:r>
      <w:r w:rsidR="00B852A3">
        <w:rPr>
          <w:rFonts w:eastAsia="Times New Roman"/>
          <w:lang w:val="en-US" w:eastAsia="en-GB"/>
        </w:rPr>
        <w:t xml:space="preserve">and then determine how to remove them. </w:t>
      </w:r>
      <w:bookmarkEnd w:id="5"/>
    </w:p>
    <w:p w14:paraId="6140CD29" w14:textId="77777777" w:rsidR="001B4DC5" w:rsidRDefault="001B4DC5" w:rsidP="002A3017">
      <w:pPr>
        <w:spacing w:after="0" w:line="480" w:lineRule="auto"/>
        <w:jc w:val="center"/>
        <w:rPr>
          <w:rFonts w:eastAsia="Times New Roman"/>
          <w:b/>
          <w:bCs/>
          <w:lang w:val="en-US" w:eastAsia="en-GB"/>
        </w:rPr>
        <w:sectPr w:rsidR="001B4DC5">
          <w:pgSz w:w="11906" w:h="16838"/>
          <w:pgMar w:top="1440" w:right="1440" w:bottom="1440" w:left="1440" w:header="708" w:footer="708" w:gutter="0"/>
          <w:cols w:space="708"/>
          <w:docGrid w:linePitch="360"/>
        </w:sectPr>
      </w:pPr>
    </w:p>
    <w:p w14:paraId="69ECE05A" w14:textId="54DDEFAE" w:rsidR="003B4C56" w:rsidRPr="00DF681A" w:rsidRDefault="003B4C56" w:rsidP="002A3017">
      <w:pPr>
        <w:spacing w:after="0" w:line="480" w:lineRule="auto"/>
        <w:jc w:val="center"/>
        <w:rPr>
          <w:rFonts w:eastAsia="Times New Roman"/>
          <w:lang w:val="en-US" w:eastAsia="en-GB"/>
        </w:rPr>
      </w:pPr>
      <w:r w:rsidRPr="00DF681A">
        <w:rPr>
          <w:rFonts w:eastAsia="Times New Roman"/>
          <w:lang w:val="en-US" w:eastAsia="en-GB"/>
        </w:rPr>
        <w:lastRenderedPageBreak/>
        <w:t xml:space="preserve">References </w:t>
      </w:r>
    </w:p>
    <w:p w14:paraId="56466C95" w14:textId="4BC94611" w:rsidR="003D17FD" w:rsidRDefault="00063B89" w:rsidP="002A3017">
      <w:pPr>
        <w:pStyle w:val="Newparagraph"/>
        <w:ind w:left="720" w:hanging="720"/>
      </w:pPr>
      <w:r w:rsidRPr="00063B89">
        <w:t>Anderson, A. H., Carter, M., &amp; Stephenson, J. (2018). Perspectives of university students with autism spectrum disorder. </w:t>
      </w:r>
      <w:r w:rsidRPr="00063B89">
        <w:rPr>
          <w:i/>
          <w:iCs/>
        </w:rPr>
        <w:t>Journal of Autism and Developmental Disorders</w:t>
      </w:r>
      <w:r w:rsidRPr="00063B89">
        <w:t>, </w:t>
      </w:r>
      <w:r w:rsidRPr="00063B89">
        <w:rPr>
          <w:i/>
          <w:iCs/>
        </w:rPr>
        <w:t>48</w:t>
      </w:r>
      <w:r w:rsidRPr="00063B89">
        <w:t>(3), 651-665.</w:t>
      </w:r>
    </w:p>
    <w:p w14:paraId="0391CC01" w14:textId="79980861" w:rsidR="00EC6B4A" w:rsidRDefault="00EC6B4A" w:rsidP="002A3017">
      <w:pPr>
        <w:pStyle w:val="Newparagraph"/>
        <w:ind w:left="720" w:hanging="720"/>
      </w:pPr>
      <w:r w:rsidRPr="00EC6B4A">
        <w:t xml:space="preserve">Anderson, A. H., Stephenson, J., &amp; Carter, M. (2017). A systematic literature review of the </w:t>
      </w:r>
      <w:bookmarkStart w:id="6" w:name="_GoBack"/>
      <w:bookmarkEnd w:id="6"/>
      <w:r w:rsidRPr="00EC6B4A">
        <w:t>experiences and supports of students with autism spectrum disorder in post-secondary education. </w:t>
      </w:r>
      <w:r w:rsidRPr="00EC6B4A">
        <w:rPr>
          <w:i/>
          <w:iCs/>
        </w:rPr>
        <w:t>Research in Autism Spectrum Disorders</w:t>
      </w:r>
      <w:r w:rsidRPr="00EC6B4A">
        <w:t>, </w:t>
      </w:r>
      <w:r w:rsidRPr="00EC6B4A">
        <w:rPr>
          <w:i/>
          <w:iCs/>
        </w:rPr>
        <w:t>39</w:t>
      </w:r>
      <w:r w:rsidRPr="00EC6B4A">
        <w:t>, 33-53.</w:t>
      </w:r>
    </w:p>
    <w:p w14:paraId="5D37D84B" w14:textId="4904BFFF" w:rsidR="003D17FD" w:rsidRPr="00340A8E" w:rsidRDefault="003D17FD" w:rsidP="002A3017">
      <w:pPr>
        <w:pStyle w:val="Newparagraph"/>
        <w:ind w:left="720" w:hanging="720"/>
      </w:pPr>
      <w:r w:rsidRPr="003D17FD">
        <w:rPr>
          <w:lang w:val="en-AU"/>
        </w:rPr>
        <w:t xml:space="preserve">American Psychiatric Association. (2013). </w:t>
      </w:r>
      <w:r w:rsidRPr="003D17FD">
        <w:rPr>
          <w:i/>
          <w:iCs/>
          <w:lang w:val="en-AU"/>
        </w:rPr>
        <w:t xml:space="preserve">Diagnostic and statistical manual of mental </w:t>
      </w:r>
      <w:r w:rsidRPr="00340A8E">
        <w:rPr>
          <w:i/>
          <w:iCs/>
          <w:lang w:val="en-AU"/>
        </w:rPr>
        <w:t>disorders</w:t>
      </w:r>
      <w:r w:rsidRPr="00340A8E">
        <w:rPr>
          <w:lang w:val="en-AU"/>
        </w:rPr>
        <w:t xml:space="preserve"> (5th ed.). Washington, DC: Author.</w:t>
      </w:r>
    </w:p>
    <w:p w14:paraId="7AF7F716" w14:textId="1EDF475B" w:rsidR="009A6DFF" w:rsidRDefault="009A6DFF" w:rsidP="002A3017">
      <w:pPr>
        <w:pStyle w:val="Newparagraph"/>
        <w:ind w:left="720" w:hanging="720"/>
      </w:pPr>
      <w:r w:rsidRPr="00340A8E">
        <w:t xml:space="preserve">Australian Bureau of Statistics. </w:t>
      </w:r>
      <w:r w:rsidR="00F61CF6" w:rsidRPr="00340A8E">
        <w:t>(</w:t>
      </w:r>
      <w:r w:rsidRPr="00340A8E">
        <w:t>2015</w:t>
      </w:r>
      <w:r w:rsidR="00F61CF6" w:rsidRPr="00340A8E">
        <w:t>)</w:t>
      </w:r>
      <w:r w:rsidRPr="00340A8E">
        <w:t xml:space="preserve">. </w:t>
      </w:r>
      <w:r w:rsidRPr="00340A8E">
        <w:rPr>
          <w:i/>
        </w:rPr>
        <w:t xml:space="preserve">Survey of Disability, Ageing and Carers Australia. </w:t>
      </w:r>
      <w:r w:rsidRPr="00340A8E">
        <w:t>Canberra: Australian Bureau of Statistics.</w:t>
      </w:r>
    </w:p>
    <w:p w14:paraId="76C13CBB" w14:textId="130FCEB2" w:rsidR="00CD0ED5" w:rsidRDefault="00CD0ED5" w:rsidP="002A3017">
      <w:pPr>
        <w:pStyle w:val="Newparagraph"/>
        <w:ind w:left="720" w:hanging="720"/>
      </w:pPr>
      <w:r w:rsidRPr="009A6DFF">
        <w:t xml:space="preserve">Australian Bureau of Statistics. </w:t>
      </w:r>
      <w:r>
        <w:t>(</w:t>
      </w:r>
      <w:r w:rsidRPr="009A6DFF">
        <w:t>201</w:t>
      </w:r>
      <w:r>
        <w:t>8</w:t>
      </w:r>
      <w:r w:rsidRPr="001553EE">
        <w:t xml:space="preserve">). </w:t>
      </w:r>
      <w:r w:rsidR="001553EE" w:rsidRPr="001553EE">
        <w:rPr>
          <w:i/>
          <w:iCs/>
        </w:rPr>
        <w:t>Labour Statistics: Concepts, Sources and Methods, Feb 2018</w:t>
      </w:r>
      <w:r w:rsidR="001553EE">
        <w:rPr>
          <w:i/>
          <w:iCs/>
        </w:rPr>
        <w:t xml:space="preserve">. </w:t>
      </w:r>
      <w:r w:rsidR="001553EE" w:rsidRPr="009A6DFF">
        <w:t>Canberra: Australian Bureau of Statistics.</w:t>
      </w:r>
    </w:p>
    <w:p w14:paraId="29FC0E8A" w14:textId="28833A42" w:rsidR="003520DA" w:rsidRPr="00CF073E" w:rsidRDefault="00CF073E" w:rsidP="002A3017">
      <w:pPr>
        <w:pStyle w:val="Newparagraph"/>
        <w:ind w:left="720" w:hanging="720"/>
      </w:pPr>
      <w:r w:rsidRPr="00CF073E">
        <w:t xml:space="preserve">Australian Bureau of Statistics. (2019). </w:t>
      </w:r>
      <w:r w:rsidRPr="00CF073E">
        <w:rPr>
          <w:i/>
          <w:iCs/>
        </w:rPr>
        <w:t xml:space="preserve">Labour Force, Australia, Detailed, Quarterly, Aug 2019. </w:t>
      </w:r>
      <w:r w:rsidRPr="00CF073E">
        <w:t>Canberra: Australian Bureau of Statistics.</w:t>
      </w:r>
      <w:r w:rsidR="0059707D">
        <w:t xml:space="preserve"> </w:t>
      </w:r>
    </w:p>
    <w:p w14:paraId="13912336" w14:textId="0E130E4F" w:rsidR="00F61CF6" w:rsidRDefault="00F61CF6" w:rsidP="002A3017">
      <w:pPr>
        <w:pStyle w:val="Newparagraph"/>
        <w:ind w:left="720" w:hanging="720"/>
        <w:rPr>
          <w:rFonts w:eastAsiaTheme="majorEastAsia"/>
        </w:rPr>
      </w:pPr>
      <w:r w:rsidRPr="001553EE">
        <w:t>Australian Government Department</w:t>
      </w:r>
      <w:r>
        <w:t xml:space="preserve"> of Jobs and Small Business. (2017)</w:t>
      </w:r>
      <w:r w:rsidR="00773646">
        <w:t xml:space="preserve">. Disability employment services- </w:t>
      </w:r>
      <w:r w:rsidR="008C76A4">
        <w:t xml:space="preserve">Outcome rates by disability type. Retrieved </w:t>
      </w:r>
      <w:r w:rsidR="00B70A9B">
        <w:t xml:space="preserve">July </w:t>
      </w:r>
      <w:r w:rsidR="00525C0C">
        <w:t>4</w:t>
      </w:r>
      <w:r w:rsidR="00525C0C" w:rsidRPr="00525C0C">
        <w:rPr>
          <w:vertAlign w:val="superscript"/>
        </w:rPr>
        <w:t>th</w:t>
      </w:r>
      <w:r w:rsidR="00525C0C">
        <w:t xml:space="preserve">, 2019, from </w:t>
      </w:r>
      <w:r w:rsidR="0002112F" w:rsidRPr="0002112F">
        <w:rPr>
          <w:rFonts w:eastAsiaTheme="majorEastAsia"/>
        </w:rPr>
        <w:t>http://lmip.gov.au/default.aspx?LMIP/Downloads/DisabilityEmploymentServicesData/DESOutcomeRatesbyDisabilityType</w:t>
      </w:r>
    </w:p>
    <w:p w14:paraId="415D42B5" w14:textId="0421068D" w:rsidR="0002112F" w:rsidRDefault="0002112F" w:rsidP="005A1876">
      <w:pPr>
        <w:pStyle w:val="Newparagraph"/>
        <w:ind w:left="720" w:hanging="720"/>
      </w:pPr>
      <w:r>
        <w:t xml:space="preserve">Australian Government Department of Social Services. (2018). </w:t>
      </w:r>
      <w:r w:rsidR="005A1876" w:rsidRPr="00370644">
        <w:t>Disability Employment Services Grant Agreement</w:t>
      </w:r>
      <w:r w:rsidR="005A1876">
        <w:t xml:space="preserve">. Retrieved </w:t>
      </w:r>
      <w:r w:rsidR="003A2545">
        <w:t>March 18</w:t>
      </w:r>
      <w:r w:rsidR="003A2545" w:rsidRPr="00370644">
        <w:rPr>
          <w:vertAlign w:val="superscript"/>
        </w:rPr>
        <w:t>th</w:t>
      </w:r>
      <w:r w:rsidR="003A2545">
        <w:t xml:space="preserve">, 2019, from </w:t>
      </w:r>
      <w:hyperlink r:id="rId18" w:history="1">
        <w:r w:rsidR="00B67B0E">
          <w:rPr>
            <w:rStyle w:val="Hyperlink"/>
            <w:rFonts w:eastAsiaTheme="majorEastAsia"/>
          </w:rPr>
          <w:t>https://www.dss.gov.au/freedom-of-information-operational-information-disability-employment-and-carers-group/des-grant-agreement</w:t>
        </w:r>
      </w:hyperlink>
    </w:p>
    <w:p w14:paraId="066C7474" w14:textId="7CBC873F" w:rsidR="00AA2BB3" w:rsidRPr="00AA2BB3" w:rsidRDefault="00AA2BB3" w:rsidP="002A3017">
      <w:pPr>
        <w:pStyle w:val="Newparagraph"/>
        <w:ind w:left="720" w:hanging="720"/>
        <w:rPr>
          <w:lang w:val="en"/>
        </w:rPr>
      </w:pPr>
      <w:r w:rsidRPr="00AA2BB3">
        <w:rPr>
          <w:lang w:val="en"/>
        </w:rPr>
        <w:lastRenderedPageBreak/>
        <w:t xml:space="preserve">Baldwin, S., Costley, D., &amp; Warren, A. (2014). Employment activities and experiences of adults with high-functioning autism and Asperger's disorder. </w:t>
      </w:r>
      <w:r w:rsidRPr="00AA2BB3">
        <w:rPr>
          <w:i/>
          <w:lang w:val="en"/>
        </w:rPr>
        <w:t>Journal of Autism and Developmental Disorders, 44</w:t>
      </w:r>
      <w:r w:rsidRPr="00AA2BB3">
        <w:rPr>
          <w:lang w:val="en"/>
        </w:rPr>
        <w:t>, 2440-2449.</w:t>
      </w:r>
    </w:p>
    <w:p w14:paraId="093D18F6" w14:textId="7985DD2F" w:rsidR="00F70F21" w:rsidRDefault="00F70F21" w:rsidP="002A3017">
      <w:pPr>
        <w:pStyle w:val="Newparagraph"/>
        <w:ind w:left="720" w:hanging="720"/>
      </w:pPr>
      <w:proofErr w:type="spellStart"/>
      <w:r w:rsidRPr="00C950B1">
        <w:t>Baio</w:t>
      </w:r>
      <w:proofErr w:type="spellEnd"/>
      <w:r w:rsidRPr="00C950B1">
        <w:t xml:space="preserve">, Jon, et al. 2018. </w:t>
      </w:r>
      <w:r w:rsidRPr="00C950B1">
        <w:rPr>
          <w:i/>
        </w:rPr>
        <w:t>Prevalence</w:t>
      </w:r>
      <w:r w:rsidRPr="00B37033">
        <w:rPr>
          <w:i/>
        </w:rPr>
        <w:t xml:space="preserve"> of Autism Spectrum Disorder Among Children Aged 8 Years — Autism and Developmental Disabilities Monitoring Network, 11 Sites, United States</w:t>
      </w:r>
      <w:r w:rsidRPr="002B167B">
        <w:rPr>
          <w:i/>
        </w:rPr>
        <w:t xml:space="preserve">, 2014. MMWR </w:t>
      </w:r>
      <w:proofErr w:type="spellStart"/>
      <w:r w:rsidRPr="002B167B">
        <w:rPr>
          <w:i/>
        </w:rPr>
        <w:t>Surveill</w:t>
      </w:r>
      <w:proofErr w:type="spellEnd"/>
      <w:r w:rsidRPr="002B167B">
        <w:rPr>
          <w:i/>
        </w:rPr>
        <w:t xml:space="preserve"> </w:t>
      </w:r>
      <w:proofErr w:type="spellStart"/>
      <w:r w:rsidRPr="002B167B">
        <w:rPr>
          <w:i/>
        </w:rPr>
        <w:t>Summ</w:t>
      </w:r>
      <w:proofErr w:type="spellEnd"/>
      <w:r w:rsidRPr="002B167B">
        <w:rPr>
          <w:i/>
        </w:rPr>
        <w:t xml:space="preserve"> 67(No. SS-6).</w:t>
      </w:r>
      <w:r w:rsidRPr="002B167B">
        <w:t xml:space="preserve"> USA: </w:t>
      </w:r>
      <w:proofErr w:type="spellStart"/>
      <w:r w:rsidRPr="002B167B">
        <w:t>Centers</w:t>
      </w:r>
      <w:proofErr w:type="spellEnd"/>
      <w:r w:rsidRPr="002B167B">
        <w:t xml:space="preserve"> for Disease Control and Prevention</w:t>
      </w:r>
      <w:r w:rsidRPr="002B167B">
        <w:rPr>
          <w:rStyle w:val="Hyperlink"/>
          <w:color w:val="auto"/>
          <w:u w:val="none"/>
        </w:rPr>
        <w:t xml:space="preserve">. </w:t>
      </w:r>
      <w:proofErr w:type="spellStart"/>
      <w:r w:rsidRPr="002B167B">
        <w:rPr>
          <w:rStyle w:val="Hyperlink"/>
          <w:color w:val="auto"/>
          <w:u w:val="none"/>
        </w:rPr>
        <w:t>doi</w:t>
      </w:r>
      <w:proofErr w:type="spellEnd"/>
      <w:r w:rsidRPr="002B167B">
        <w:rPr>
          <w:rStyle w:val="Hyperlink"/>
          <w:color w:val="auto"/>
          <w:u w:val="none"/>
        </w:rPr>
        <w:t xml:space="preserve">: </w:t>
      </w:r>
      <w:r w:rsidRPr="002B167B">
        <w:t>10.15585/</w:t>
      </w:r>
      <w:proofErr w:type="gramStart"/>
      <w:r w:rsidRPr="002B167B">
        <w:t>mmwr</w:t>
      </w:r>
      <w:r w:rsidRPr="004846F5">
        <w:t>.ss</w:t>
      </w:r>
      <w:proofErr w:type="gramEnd"/>
      <w:r w:rsidRPr="004846F5">
        <w:t>6706a1</w:t>
      </w:r>
      <w:r>
        <w:t xml:space="preserve">. </w:t>
      </w:r>
    </w:p>
    <w:p w14:paraId="1F83454B" w14:textId="0722C6CA" w:rsidR="00782E04" w:rsidRDefault="00782E04" w:rsidP="002A3017">
      <w:pPr>
        <w:pStyle w:val="Newparagraph"/>
        <w:ind w:left="720" w:hanging="720"/>
      </w:pPr>
      <w:r w:rsidRPr="00782E04">
        <w:t>Black, M. H., Mahdi, S., Milbourn, B., Scott, M., Gerber, A., Esposito, C., ... &amp; D'Angelo, A. (2020). Multi‐informant International Perspectives on the Facilitators and Barriers to Employment for Autistic Adults. </w:t>
      </w:r>
      <w:r w:rsidRPr="00782E04">
        <w:rPr>
          <w:i/>
          <w:iCs/>
        </w:rPr>
        <w:t>Autism Research</w:t>
      </w:r>
      <w:r w:rsidRPr="00782E04">
        <w:t>.</w:t>
      </w:r>
    </w:p>
    <w:p w14:paraId="449CFC03" w14:textId="0C8B4846" w:rsidR="004D0555" w:rsidRDefault="004D0555" w:rsidP="00370644">
      <w:pPr>
        <w:spacing w:line="480" w:lineRule="auto"/>
        <w:ind w:left="720" w:hanging="720"/>
      </w:pPr>
      <w:r>
        <w:t xml:space="preserve">Cage, E., &amp; Burton, H. (2019). Gender differences in the first impressions of autistic adults. </w:t>
      </w:r>
      <w:r w:rsidRPr="00370644">
        <w:rPr>
          <w:i/>
          <w:iCs/>
        </w:rPr>
        <w:t>Autism Research,</w:t>
      </w:r>
      <w:r>
        <w:t xml:space="preserve"> </w:t>
      </w:r>
      <w:r w:rsidRPr="00656302">
        <w:rPr>
          <w:i/>
          <w:iCs/>
        </w:rPr>
        <w:t>12</w:t>
      </w:r>
      <w:r>
        <w:t xml:space="preserve">, 1495-1504. </w:t>
      </w:r>
    </w:p>
    <w:p w14:paraId="1CC7C388" w14:textId="50FEEB35" w:rsidR="00876BCB" w:rsidRDefault="00876BCB" w:rsidP="002A3017">
      <w:pPr>
        <w:pStyle w:val="Newparagraph"/>
        <w:ind w:left="720" w:hanging="720"/>
      </w:pPr>
      <w:r w:rsidRPr="00876BCB">
        <w:t>Cai, R. Y., &amp; Richdale, A. L. (2016). Educational experiences and needs of higher education students with autism spectrum disorder. </w:t>
      </w:r>
      <w:r w:rsidRPr="00876BCB">
        <w:rPr>
          <w:i/>
          <w:iCs/>
        </w:rPr>
        <w:t>Journal of Autism and Developmental Disorders</w:t>
      </w:r>
      <w:r w:rsidRPr="00876BCB">
        <w:t>, </w:t>
      </w:r>
      <w:r w:rsidRPr="00876BCB">
        <w:rPr>
          <w:i/>
          <w:iCs/>
        </w:rPr>
        <w:t>46</w:t>
      </w:r>
      <w:r w:rsidRPr="00876BCB">
        <w:t>(1), 31-41.</w:t>
      </w:r>
    </w:p>
    <w:p w14:paraId="5E922F69" w14:textId="130168C7" w:rsidR="00B610C4" w:rsidRPr="00876BCB" w:rsidRDefault="00B610C4" w:rsidP="002A3017">
      <w:pPr>
        <w:pStyle w:val="Newparagraph"/>
        <w:ind w:left="720" w:hanging="720"/>
        <w:rPr>
          <w:rStyle w:val="Hyperlink"/>
          <w:color w:val="auto"/>
          <w:u w:val="none"/>
        </w:rPr>
      </w:pPr>
      <w:r w:rsidRPr="00B610C4">
        <w:t>Cohen, J. (1988). The effect size index: d. </w:t>
      </w:r>
      <w:r w:rsidRPr="00B610C4">
        <w:rPr>
          <w:i/>
          <w:iCs/>
        </w:rPr>
        <w:t xml:space="preserve">Statistical </w:t>
      </w:r>
      <w:r>
        <w:rPr>
          <w:i/>
          <w:iCs/>
        </w:rPr>
        <w:t>P</w:t>
      </w:r>
      <w:r w:rsidRPr="00B610C4">
        <w:rPr>
          <w:i/>
          <w:iCs/>
        </w:rPr>
        <w:t xml:space="preserve">ower </w:t>
      </w:r>
      <w:r>
        <w:rPr>
          <w:i/>
          <w:iCs/>
        </w:rPr>
        <w:t>A</w:t>
      </w:r>
      <w:r w:rsidRPr="00B610C4">
        <w:rPr>
          <w:i/>
          <w:iCs/>
        </w:rPr>
        <w:t xml:space="preserve">nalysis for the </w:t>
      </w:r>
      <w:proofErr w:type="spellStart"/>
      <w:r>
        <w:rPr>
          <w:i/>
          <w:iCs/>
        </w:rPr>
        <w:t>B</w:t>
      </w:r>
      <w:r w:rsidRPr="00B610C4">
        <w:rPr>
          <w:i/>
          <w:iCs/>
        </w:rPr>
        <w:t>ehavioral</w:t>
      </w:r>
      <w:proofErr w:type="spellEnd"/>
      <w:r w:rsidRPr="00B610C4">
        <w:rPr>
          <w:i/>
          <w:iCs/>
        </w:rPr>
        <w:t xml:space="preserve"> </w:t>
      </w:r>
      <w:r>
        <w:rPr>
          <w:i/>
          <w:iCs/>
        </w:rPr>
        <w:t>S</w:t>
      </w:r>
      <w:r w:rsidRPr="00B610C4">
        <w:rPr>
          <w:i/>
          <w:iCs/>
        </w:rPr>
        <w:t>ciences</w:t>
      </w:r>
      <w:r w:rsidRPr="00B610C4">
        <w:t>, </w:t>
      </w:r>
      <w:r w:rsidRPr="00B610C4">
        <w:rPr>
          <w:i/>
          <w:iCs/>
        </w:rPr>
        <w:t>2</w:t>
      </w:r>
      <w:r w:rsidRPr="00B610C4">
        <w:t>, 284-288.</w:t>
      </w:r>
    </w:p>
    <w:p w14:paraId="32448BEC" w14:textId="70D10C10" w:rsidR="005E767F" w:rsidRDefault="0069052E" w:rsidP="002A3017">
      <w:pPr>
        <w:spacing w:after="0" w:line="480" w:lineRule="auto"/>
        <w:ind w:left="720" w:hanging="720"/>
        <w:rPr>
          <w:rFonts w:eastAsia="Times New Roman"/>
          <w:lang w:eastAsia="en-GB"/>
        </w:rPr>
      </w:pPr>
      <w:r w:rsidRPr="0069052E">
        <w:rPr>
          <w:rFonts w:eastAsia="Times New Roman"/>
          <w:lang w:eastAsia="en-GB"/>
        </w:rPr>
        <w:t xml:space="preserve">Damiano, C. R., </w:t>
      </w:r>
      <w:proofErr w:type="spellStart"/>
      <w:r w:rsidRPr="0069052E">
        <w:rPr>
          <w:rFonts w:eastAsia="Times New Roman"/>
          <w:lang w:eastAsia="en-GB"/>
        </w:rPr>
        <w:t>Mazefsky</w:t>
      </w:r>
      <w:proofErr w:type="spellEnd"/>
      <w:r w:rsidRPr="0069052E">
        <w:rPr>
          <w:rFonts w:eastAsia="Times New Roman"/>
          <w:lang w:eastAsia="en-GB"/>
        </w:rPr>
        <w:t xml:space="preserve">, C. A., White, S. W., &amp; </w:t>
      </w:r>
      <w:proofErr w:type="spellStart"/>
      <w:r w:rsidRPr="0069052E">
        <w:rPr>
          <w:rFonts w:eastAsia="Times New Roman"/>
          <w:lang w:eastAsia="en-GB"/>
        </w:rPr>
        <w:t>Dichter</w:t>
      </w:r>
      <w:proofErr w:type="spellEnd"/>
      <w:r w:rsidRPr="0069052E">
        <w:rPr>
          <w:rFonts w:eastAsia="Times New Roman"/>
          <w:lang w:eastAsia="en-GB"/>
        </w:rPr>
        <w:t>, G. S. (2014). Future directions for research in autism spectrum disorders. </w:t>
      </w:r>
      <w:r w:rsidRPr="0069052E">
        <w:rPr>
          <w:rFonts w:eastAsia="Times New Roman"/>
          <w:i/>
          <w:iCs/>
          <w:lang w:eastAsia="en-GB"/>
        </w:rPr>
        <w:t>Journal of Clinical Child &amp; Adolescent Psychology</w:t>
      </w:r>
      <w:r w:rsidRPr="0069052E">
        <w:rPr>
          <w:rFonts w:eastAsia="Times New Roman"/>
          <w:lang w:eastAsia="en-GB"/>
        </w:rPr>
        <w:t>, </w:t>
      </w:r>
      <w:r w:rsidRPr="0069052E">
        <w:rPr>
          <w:rFonts w:eastAsia="Times New Roman"/>
          <w:i/>
          <w:iCs/>
          <w:lang w:eastAsia="en-GB"/>
        </w:rPr>
        <w:t>43</w:t>
      </w:r>
      <w:r w:rsidRPr="0069052E">
        <w:rPr>
          <w:rFonts w:eastAsia="Times New Roman"/>
          <w:lang w:eastAsia="en-GB"/>
        </w:rPr>
        <w:t>(5), 828-843.</w:t>
      </w:r>
    </w:p>
    <w:p w14:paraId="1EC8BA60" w14:textId="413E7915" w:rsidR="002F5D3E" w:rsidRDefault="002F5D3E" w:rsidP="002A3017">
      <w:pPr>
        <w:spacing w:after="0" w:line="480" w:lineRule="auto"/>
        <w:ind w:left="720" w:hanging="720"/>
        <w:rPr>
          <w:rFonts w:eastAsia="Times New Roman"/>
          <w:lang w:eastAsia="en-GB"/>
        </w:rPr>
      </w:pPr>
      <w:r w:rsidRPr="002F5D3E">
        <w:rPr>
          <w:rFonts w:eastAsia="Times New Roman"/>
          <w:lang w:eastAsia="en-GB"/>
        </w:rPr>
        <w:t xml:space="preserve">Flower, R. L., Hedley, D., Spoor, J. R., &amp; Dissanayake, C. (2019). An alternative pathway to employment for autistic </w:t>
      </w:r>
      <w:proofErr w:type="gramStart"/>
      <w:r w:rsidRPr="002F5D3E">
        <w:rPr>
          <w:rFonts w:eastAsia="Times New Roman"/>
          <w:lang w:eastAsia="en-GB"/>
        </w:rPr>
        <w:t>job-seekers</w:t>
      </w:r>
      <w:proofErr w:type="gramEnd"/>
      <w:r w:rsidRPr="002F5D3E">
        <w:rPr>
          <w:rFonts w:eastAsia="Times New Roman"/>
          <w:lang w:eastAsia="en-GB"/>
        </w:rPr>
        <w:t xml:space="preserve">: </w:t>
      </w:r>
      <w:r>
        <w:rPr>
          <w:rFonts w:eastAsia="Times New Roman"/>
          <w:lang w:eastAsia="en-GB"/>
        </w:rPr>
        <w:t>A</w:t>
      </w:r>
      <w:r w:rsidRPr="002F5D3E">
        <w:rPr>
          <w:rFonts w:eastAsia="Times New Roman"/>
          <w:lang w:eastAsia="en-GB"/>
        </w:rPr>
        <w:t xml:space="preserve"> case study of a training and assessment program targeted to autistic job candidates. </w:t>
      </w:r>
      <w:r w:rsidRPr="002F5D3E">
        <w:rPr>
          <w:rFonts w:eastAsia="Times New Roman"/>
          <w:i/>
          <w:iCs/>
          <w:lang w:eastAsia="en-GB"/>
        </w:rPr>
        <w:t>Journal of Vocational Education &amp; Training</w:t>
      </w:r>
      <w:r w:rsidRPr="002F5D3E">
        <w:rPr>
          <w:rFonts w:eastAsia="Times New Roman"/>
          <w:lang w:eastAsia="en-GB"/>
        </w:rPr>
        <w:t>, 1-22.</w:t>
      </w:r>
    </w:p>
    <w:p w14:paraId="6D0F70CA" w14:textId="309F0642" w:rsidR="000B0F18" w:rsidRDefault="000B0F18" w:rsidP="002A3017">
      <w:pPr>
        <w:spacing w:after="0" w:line="480" w:lineRule="auto"/>
        <w:ind w:left="720" w:hanging="720"/>
      </w:pPr>
      <w:r w:rsidRPr="00A93511">
        <w:lastRenderedPageBreak/>
        <w:t xml:space="preserve">Higgins, K., Koch, L., Boughfman, E., &amp; Vierstra, C. (2008). School-to-work transition and Asperger syndrome. </w:t>
      </w:r>
      <w:r w:rsidRPr="00A93511">
        <w:rPr>
          <w:i/>
        </w:rPr>
        <w:t>Work, 31,</w:t>
      </w:r>
      <w:r w:rsidRPr="00A93511">
        <w:t xml:space="preserve"> 291-298.</w:t>
      </w:r>
    </w:p>
    <w:p w14:paraId="5FBFF1E2" w14:textId="42422254" w:rsidR="00C46C29" w:rsidRPr="000B0F18" w:rsidRDefault="00C46C29" w:rsidP="002A3017">
      <w:pPr>
        <w:spacing w:after="0" w:line="480" w:lineRule="auto"/>
        <w:ind w:left="720" w:hanging="720"/>
      </w:pPr>
      <w:r w:rsidRPr="00C46C29">
        <w:t xml:space="preserve">Hoekstra, R. A., </w:t>
      </w:r>
      <w:proofErr w:type="spellStart"/>
      <w:r w:rsidRPr="00C46C29">
        <w:t>Vinkhuyzen</w:t>
      </w:r>
      <w:proofErr w:type="spellEnd"/>
      <w:r w:rsidRPr="00C46C29">
        <w:t xml:space="preserve">, A. A., Wheelwright, S., Bartels, M., </w:t>
      </w:r>
      <w:proofErr w:type="spellStart"/>
      <w:r w:rsidRPr="00C46C29">
        <w:t>Boomsma</w:t>
      </w:r>
      <w:proofErr w:type="spellEnd"/>
      <w:r w:rsidRPr="00C46C29">
        <w:t xml:space="preserve">, D. I., Baron-Cohen, S., ... &amp; Van Der </w:t>
      </w:r>
      <w:proofErr w:type="spellStart"/>
      <w:r w:rsidRPr="00C46C29">
        <w:t>Sluis</w:t>
      </w:r>
      <w:proofErr w:type="spellEnd"/>
      <w:r w:rsidRPr="00C46C29">
        <w:t>, S. (2011). The construction and validation of an abridged version of the autism-spectrum quotient (AQ-Short). </w:t>
      </w:r>
      <w:r w:rsidRPr="00C46C29">
        <w:rPr>
          <w:i/>
          <w:iCs/>
        </w:rPr>
        <w:t xml:space="preserve">Journal of </w:t>
      </w:r>
      <w:r w:rsidR="00865165">
        <w:rPr>
          <w:i/>
          <w:iCs/>
        </w:rPr>
        <w:t>A</w:t>
      </w:r>
      <w:r w:rsidRPr="00C46C29">
        <w:rPr>
          <w:i/>
          <w:iCs/>
        </w:rPr>
        <w:t xml:space="preserve">utism and </w:t>
      </w:r>
      <w:r w:rsidR="00865165">
        <w:rPr>
          <w:i/>
          <w:iCs/>
        </w:rPr>
        <w:t>D</w:t>
      </w:r>
      <w:r w:rsidRPr="00C46C29">
        <w:rPr>
          <w:i/>
          <w:iCs/>
        </w:rPr>
        <w:t xml:space="preserve">evelopmental </w:t>
      </w:r>
      <w:r w:rsidR="00865165">
        <w:rPr>
          <w:i/>
          <w:iCs/>
        </w:rPr>
        <w:t>D</w:t>
      </w:r>
      <w:r w:rsidRPr="00C46C29">
        <w:rPr>
          <w:i/>
          <w:iCs/>
        </w:rPr>
        <w:t>isorders</w:t>
      </w:r>
      <w:r w:rsidRPr="00C46C29">
        <w:t>, </w:t>
      </w:r>
      <w:r w:rsidRPr="00C46C29">
        <w:rPr>
          <w:i/>
          <w:iCs/>
        </w:rPr>
        <w:t>41</w:t>
      </w:r>
      <w:r w:rsidRPr="00C46C29">
        <w:t>(5), 589-596.</w:t>
      </w:r>
    </w:p>
    <w:p w14:paraId="5EB75AC0" w14:textId="25B48323" w:rsidR="00744E2E" w:rsidRDefault="00744E2E" w:rsidP="002A3017">
      <w:pPr>
        <w:spacing w:after="0" w:line="480" w:lineRule="auto"/>
        <w:ind w:left="720" w:hanging="720"/>
        <w:rPr>
          <w:rFonts w:eastAsia="Times New Roman"/>
          <w:lang w:eastAsia="en-GB"/>
        </w:rPr>
      </w:pPr>
      <w:r w:rsidRPr="00744E2E">
        <w:rPr>
          <w:rFonts w:eastAsia="Times New Roman"/>
          <w:lang w:eastAsia="en-GB"/>
        </w:rPr>
        <w:t xml:space="preserve">Lorenz, T., </w:t>
      </w:r>
      <w:proofErr w:type="spellStart"/>
      <w:r w:rsidRPr="00744E2E">
        <w:rPr>
          <w:rFonts w:eastAsia="Times New Roman"/>
          <w:lang w:eastAsia="en-GB"/>
        </w:rPr>
        <w:t>Frischling</w:t>
      </w:r>
      <w:proofErr w:type="spellEnd"/>
      <w:r w:rsidRPr="00744E2E">
        <w:rPr>
          <w:rFonts w:eastAsia="Times New Roman"/>
          <w:lang w:eastAsia="en-GB"/>
        </w:rPr>
        <w:t xml:space="preserve">, C., </w:t>
      </w:r>
      <w:proofErr w:type="spellStart"/>
      <w:r w:rsidRPr="00744E2E">
        <w:rPr>
          <w:rFonts w:eastAsia="Times New Roman"/>
          <w:lang w:eastAsia="en-GB"/>
        </w:rPr>
        <w:t>Cuadros</w:t>
      </w:r>
      <w:proofErr w:type="spellEnd"/>
      <w:r w:rsidRPr="00744E2E">
        <w:rPr>
          <w:rFonts w:eastAsia="Times New Roman"/>
          <w:lang w:eastAsia="en-GB"/>
        </w:rPr>
        <w:t xml:space="preserve">, R., &amp; </w:t>
      </w:r>
      <w:proofErr w:type="spellStart"/>
      <w:r w:rsidRPr="00744E2E">
        <w:rPr>
          <w:rFonts w:eastAsia="Times New Roman"/>
          <w:lang w:eastAsia="en-GB"/>
        </w:rPr>
        <w:t>Heinitz</w:t>
      </w:r>
      <w:proofErr w:type="spellEnd"/>
      <w:r w:rsidRPr="00744E2E">
        <w:rPr>
          <w:rFonts w:eastAsia="Times New Roman"/>
          <w:lang w:eastAsia="en-GB"/>
        </w:rPr>
        <w:t>, K. (2016). Autism and overcoming job barriers: Comparing job-related barriers and possible solutions in and outside of autism-specific employment. </w:t>
      </w:r>
      <w:proofErr w:type="spellStart"/>
      <w:r w:rsidRPr="00744E2E">
        <w:rPr>
          <w:rFonts w:eastAsia="Times New Roman"/>
          <w:i/>
          <w:iCs/>
          <w:lang w:eastAsia="en-GB"/>
        </w:rPr>
        <w:t>PloS</w:t>
      </w:r>
      <w:proofErr w:type="spellEnd"/>
      <w:r w:rsidRPr="00744E2E">
        <w:rPr>
          <w:rFonts w:eastAsia="Times New Roman"/>
          <w:i/>
          <w:iCs/>
          <w:lang w:eastAsia="en-GB"/>
        </w:rPr>
        <w:t xml:space="preserve"> one</w:t>
      </w:r>
      <w:r w:rsidRPr="00744E2E">
        <w:rPr>
          <w:rFonts w:eastAsia="Times New Roman"/>
          <w:lang w:eastAsia="en-GB"/>
        </w:rPr>
        <w:t>, </w:t>
      </w:r>
      <w:r w:rsidRPr="00744E2E">
        <w:rPr>
          <w:rFonts w:eastAsia="Times New Roman"/>
          <w:i/>
          <w:iCs/>
          <w:lang w:eastAsia="en-GB"/>
        </w:rPr>
        <w:t>11</w:t>
      </w:r>
      <w:r w:rsidRPr="00744E2E">
        <w:rPr>
          <w:rFonts w:eastAsia="Times New Roman"/>
          <w:lang w:eastAsia="en-GB"/>
        </w:rPr>
        <w:t>(1), e0147040.</w:t>
      </w:r>
    </w:p>
    <w:p w14:paraId="19179A94" w14:textId="247107A1" w:rsidR="00126262" w:rsidRDefault="00126262" w:rsidP="002A3017">
      <w:pPr>
        <w:spacing w:after="0" w:line="480" w:lineRule="auto"/>
        <w:ind w:left="720" w:hanging="720"/>
        <w:rPr>
          <w:rFonts w:eastAsia="Times New Roman"/>
          <w:lang w:eastAsia="en-GB"/>
        </w:rPr>
      </w:pPr>
      <w:r w:rsidRPr="00126262">
        <w:rPr>
          <w:rFonts w:eastAsia="Times New Roman"/>
          <w:lang w:eastAsia="en-GB"/>
        </w:rPr>
        <w:t>McFarlin, D. B., Song, J., &amp; Sonntag, M. (1991). Integrating the disabled into the work force: A survey of Fortune 500 company attitudes and practices. </w:t>
      </w:r>
      <w:r w:rsidRPr="00126262">
        <w:rPr>
          <w:rFonts w:eastAsia="Times New Roman"/>
          <w:i/>
          <w:iCs/>
          <w:lang w:eastAsia="en-GB"/>
        </w:rPr>
        <w:t>Employee Responsibilities and Rights Journal</w:t>
      </w:r>
      <w:r w:rsidRPr="00126262">
        <w:rPr>
          <w:rFonts w:eastAsia="Times New Roman"/>
          <w:lang w:eastAsia="en-GB"/>
        </w:rPr>
        <w:t>, </w:t>
      </w:r>
      <w:r w:rsidRPr="00126262">
        <w:rPr>
          <w:rFonts w:eastAsia="Times New Roman"/>
          <w:i/>
          <w:iCs/>
          <w:lang w:eastAsia="en-GB"/>
        </w:rPr>
        <w:t>4</w:t>
      </w:r>
      <w:r w:rsidRPr="00126262">
        <w:rPr>
          <w:rFonts w:eastAsia="Times New Roman"/>
          <w:lang w:eastAsia="en-GB"/>
        </w:rPr>
        <w:t>(2), 107-123.</w:t>
      </w:r>
    </w:p>
    <w:p w14:paraId="1F3E7283" w14:textId="5EF8E39E" w:rsidR="00020861" w:rsidRDefault="00020861" w:rsidP="002A3017">
      <w:pPr>
        <w:spacing w:after="0" w:line="480" w:lineRule="auto"/>
        <w:ind w:left="720" w:hanging="720"/>
        <w:rPr>
          <w:rFonts w:eastAsia="Times New Roman"/>
          <w:lang w:eastAsia="en-GB"/>
        </w:rPr>
      </w:pPr>
      <w:r w:rsidRPr="00020861">
        <w:rPr>
          <w:rFonts w:eastAsia="Times New Roman"/>
          <w:lang w:eastAsia="en-GB"/>
        </w:rPr>
        <w:t>Neary, P., Gilmore, L., &amp; Ashburner, J. (2015). Post-school needs of young people with high-functioning autism spectrum disorder. </w:t>
      </w:r>
      <w:r w:rsidRPr="00020861">
        <w:rPr>
          <w:rFonts w:eastAsia="Times New Roman"/>
          <w:i/>
          <w:iCs/>
          <w:lang w:eastAsia="en-GB"/>
        </w:rPr>
        <w:t>Research in Autism Spectrum Disorders</w:t>
      </w:r>
      <w:r w:rsidRPr="00020861">
        <w:rPr>
          <w:rFonts w:eastAsia="Times New Roman"/>
          <w:lang w:eastAsia="en-GB"/>
        </w:rPr>
        <w:t>, </w:t>
      </w:r>
      <w:r w:rsidRPr="00020861">
        <w:rPr>
          <w:rFonts w:eastAsia="Times New Roman"/>
          <w:i/>
          <w:iCs/>
          <w:lang w:eastAsia="en-GB"/>
        </w:rPr>
        <w:t>18</w:t>
      </w:r>
      <w:r w:rsidRPr="00020861">
        <w:rPr>
          <w:rFonts w:eastAsia="Times New Roman"/>
          <w:lang w:eastAsia="en-GB"/>
        </w:rPr>
        <w:t>, 1-11.</w:t>
      </w:r>
    </w:p>
    <w:p w14:paraId="70EB3FEE" w14:textId="390B012C" w:rsidR="0035277C" w:rsidRDefault="0035277C" w:rsidP="002A3017">
      <w:pPr>
        <w:spacing w:after="0" w:line="480" w:lineRule="auto"/>
        <w:ind w:left="720" w:hanging="720"/>
        <w:rPr>
          <w:rFonts w:eastAsia="Times New Roman"/>
          <w:lang w:eastAsia="en-GB"/>
        </w:rPr>
      </w:pPr>
      <w:r w:rsidRPr="0035277C">
        <w:rPr>
          <w:rFonts w:eastAsia="Times New Roman"/>
          <w:lang w:eastAsia="en-GB"/>
        </w:rPr>
        <w:t xml:space="preserve">Nuske, A., </w:t>
      </w:r>
      <w:proofErr w:type="spellStart"/>
      <w:r w:rsidRPr="0035277C">
        <w:rPr>
          <w:rFonts w:eastAsia="Times New Roman"/>
          <w:lang w:eastAsia="en-GB"/>
        </w:rPr>
        <w:t>Rillotta</w:t>
      </w:r>
      <w:proofErr w:type="spellEnd"/>
      <w:r w:rsidRPr="0035277C">
        <w:rPr>
          <w:rFonts w:eastAsia="Times New Roman"/>
          <w:lang w:eastAsia="en-GB"/>
        </w:rPr>
        <w:t xml:space="preserve">, F., </w:t>
      </w:r>
      <w:proofErr w:type="spellStart"/>
      <w:r w:rsidRPr="0035277C">
        <w:rPr>
          <w:rFonts w:eastAsia="Times New Roman"/>
          <w:lang w:eastAsia="en-GB"/>
        </w:rPr>
        <w:t>Bellon</w:t>
      </w:r>
      <w:proofErr w:type="spellEnd"/>
      <w:r w:rsidRPr="0035277C">
        <w:rPr>
          <w:rFonts w:eastAsia="Times New Roman"/>
          <w:lang w:eastAsia="en-GB"/>
        </w:rPr>
        <w:t>, M., &amp; Richdale, A. (2019). Transition to higher education for students with autism: A systematic literature review. </w:t>
      </w:r>
      <w:r w:rsidRPr="0035277C">
        <w:rPr>
          <w:rFonts w:eastAsia="Times New Roman"/>
          <w:i/>
          <w:iCs/>
          <w:lang w:eastAsia="en-GB"/>
        </w:rPr>
        <w:t>Journal of Diversity in Higher Education</w:t>
      </w:r>
      <w:r w:rsidR="004F6C2E">
        <w:rPr>
          <w:rFonts w:eastAsia="Times New Roman"/>
          <w:lang w:eastAsia="en-GB"/>
        </w:rPr>
        <w:t xml:space="preserve">, </w:t>
      </w:r>
      <w:r w:rsidR="004F6C2E" w:rsidRPr="00370644">
        <w:rPr>
          <w:rFonts w:eastAsia="Times New Roman"/>
          <w:i/>
          <w:iCs/>
          <w:lang w:eastAsia="en-GB"/>
        </w:rPr>
        <w:t>12,</w:t>
      </w:r>
      <w:r w:rsidR="004F6C2E">
        <w:rPr>
          <w:rFonts w:eastAsia="Times New Roman"/>
          <w:lang w:eastAsia="en-GB"/>
        </w:rPr>
        <w:t xml:space="preserve"> 280-295.</w:t>
      </w:r>
    </w:p>
    <w:p w14:paraId="483B5364" w14:textId="4D028A4F" w:rsidR="00DC3EA5" w:rsidRDefault="00DC3EA5" w:rsidP="002A3017">
      <w:pPr>
        <w:spacing w:after="0" w:line="480" w:lineRule="auto"/>
        <w:ind w:left="720" w:hanging="720"/>
      </w:pPr>
      <w:r>
        <w:t>Parliament of Victoria Family and Community Development Committee (2017).</w:t>
      </w:r>
      <w:r w:rsidR="005427F5">
        <w:t xml:space="preserve"> </w:t>
      </w:r>
      <w:r w:rsidR="005427F5" w:rsidRPr="005427F5">
        <w:rPr>
          <w:i/>
          <w:iCs/>
        </w:rPr>
        <w:t>Inquiry into services for people with Autism Spectrum Disorder Final Report</w:t>
      </w:r>
      <w:r w:rsidR="005427F5">
        <w:t>.</w:t>
      </w:r>
      <w:r>
        <w:t xml:space="preserve"> Melbourne, Victoria: Victorian Government Printer.</w:t>
      </w:r>
    </w:p>
    <w:p w14:paraId="7580CBB8" w14:textId="61D1DE27" w:rsidR="00235636" w:rsidRPr="00235636" w:rsidRDefault="00235636" w:rsidP="00235636">
      <w:pPr>
        <w:spacing w:after="0" w:line="480" w:lineRule="auto"/>
        <w:ind w:left="720" w:hanging="720"/>
        <w:rPr>
          <w:lang w:val="en-AU"/>
        </w:rPr>
      </w:pPr>
      <w:r w:rsidRPr="00235636">
        <w:rPr>
          <w:lang w:val="en-AU"/>
        </w:rPr>
        <w:t xml:space="preserve">Sahin, E., Bury, S., Flower, R., Lawson, L., Richdale, A, &amp; Hedley, D. </w:t>
      </w:r>
      <w:r w:rsidR="00E42557">
        <w:rPr>
          <w:lang w:val="en-AU"/>
        </w:rPr>
        <w:t>(in press</w:t>
      </w:r>
      <w:r w:rsidRPr="00235636">
        <w:rPr>
          <w:lang w:val="en-AU"/>
        </w:rPr>
        <w:t xml:space="preserve">). Psychometric Evaluation of an Australian Version of the Vocational Index for Adults with Autism (VIAA). </w:t>
      </w:r>
      <w:r w:rsidRPr="00235636">
        <w:rPr>
          <w:i/>
          <w:iCs/>
          <w:lang w:val="en-AU"/>
        </w:rPr>
        <w:t xml:space="preserve">Autism in Adulthood </w:t>
      </w:r>
      <w:r w:rsidRPr="00235636">
        <w:rPr>
          <w:lang w:val="en-AU"/>
        </w:rPr>
        <w:t>(</w:t>
      </w:r>
      <w:r w:rsidRPr="007E5D9B">
        <w:rPr>
          <w:lang w:val="en-AU"/>
        </w:rPr>
        <w:t xml:space="preserve">accepted March </w:t>
      </w:r>
      <w:r w:rsidR="007E5D9B" w:rsidRPr="007E5D9B">
        <w:rPr>
          <w:lang w:val="en-AU"/>
        </w:rPr>
        <w:t>11</w:t>
      </w:r>
      <w:r w:rsidRPr="007E5D9B">
        <w:rPr>
          <w:lang w:val="en-AU"/>
        </w:rPr>
        <w:t>,</w:t>
      </w:r>
      <w:r w:rsidRPr="00235636">
        <w:rPr>
          <w:lang w:val="en-AU"/>
        </w:rPr>
        <w:t xml:space="preserve"> 2020).</w:t>
      </w:r>
    </w:p>
    <w:p w14:paraId="7795D0BA" w14:textId="1086CF66" w:rsidR="00F87415" w:rsidRDefault="00F87415" w:rsidP="002A3017">
      <w:pPr>
        <w:spacing w:after="0" w:line="480" w:lineRule="auto"/>
        <w:ind w:left="720" w:hanging="720"/>
      </w:pPr>
      <w:r w:rsidRPr="00F87415">
        <w:lastRenderedPageBreak/>
        <w:t>Scott, M., Jacob, A., Hendrie, D., Parsons, R., Girdler, S., Falkmer, T., &amp; Falkmer, M. (2017). Employers’ perception of the costs and the benefits of hiring individuals with autism spectrum disorder in open employment in Australia.</w:t>
      </w:r>
      <w:r w:rsidR="00187245">
        <w:t xml:space="preserve"> </w:t>
      </w:r>
      <w:proofErr w:type="spellStart"/>
      <w:r w:rsidRPr="00F87415">
        <w:rPr>
          <w:i/>
          <w:iCs/>
        </w:rPr>
        <w:t>PloS</w:t>
      </w:r>
      <w:proofErr w:type="spellEnd"/>
      <w:r w:rsidRPr="00F87415">
        <w:rPr>
          <w:i/>
          <w:iCs/>
        </w:rPr>
        <w:t xml:space="preserve"> one</w:t>
      </w:r>
      <w:r w:rsidRPr="00F87415">
        <w:t>,</w:t>
      </w:r>
      <w:r w:rsidR="00187245">
        <w:t xml:space="preserve"> </w:t>
      </w:r>
      <w:r w:rsidRPr="00F87415">
        <w:rPr>
          <w:i/>
          <w:iCs/>
        </w:rPr>
        <w:t>12</w:t>
      </w:r>
      <w:r w:rsidRPr="00F87415">
        <w:t>(5).</w:t>
      </w:r>
    </w:p>
    <w:p w14:paraId="730E6C8D" w14:textId="4BC6A7A4" w:rsidR="00C55072" w:rsidRDefault="00C55072" w:rsidP="002A3017">
      <w:pPr>
        <w:spacing w:after="0" w:line="480" w:lineRule="auto"/>
        <w:ind w:left="720" w:hanging="720"/>
        <w:rPr>
          <w:rFonts w:eastAsia="Times New Roman"/>
          <w:lang w:eastAsia="en-GB"/>
        </w:rPr>
      </w:pPr>
      <w:r w:rsidRPr="00C55072">
        <w:rPr>
          <w:rFonts w:eastAsia="Times New Roman"/>
          <w:lang w:eastAsia="en-GB"/>
        </w:rPr>
        <w:t xml:space="preserve">Scurry, T., &amp; Blenkinsopp, J. (2011). Under-employment among recent graduates: </w:t>
      </w:r>
      <w:r w:rsidR="00A84AA4">
        <w:rPr>
          <w:rFonts w:eastAsia="Times New Roman"/>
          <w:lang w:eastAsia="en-GB"/>
        </w:rPr>
        <w:t>A</w:t>
      </w:r>
      <w:r w:rsidRPr="00C55072">
        <w:rPr>
          <w:rFonts w:eastAsia="Times New Roman"/>
          <w:lang w:eastAsia="en-GB"/>
        </w:rPr>
        <w:t xml:space="preserve"> review of the literature. </w:t>
      </w:r>
      <w:r w:rsidRPr="00C55072">
        <w:rPr>
          <w:rFonts w:eastAsia="Times New Roman"/>
          <w:i/>
          <w:iCs/>
          <w:lang w:eastAsia="en-GB"/>
        </w:rPr>
        <w:t>Personnel Review</w:t>
      </w:r>
      <w:r w:rsidRPr="00C55072">
        <w:rPr>
          <w:rFonts w:eastAsia="Times New Roman"/>
          <w:lang w:eastAsia="en-GB"/>
        </w:rPr>
        <w:t>, </w:t>
      </w:r>
      <w:r w:rsidRPr="00C55072">
        <w:rPr>
          <w:rFonts w:eastAsia="Times New Roman"/>
          <w:i/>
          <w:iCs/>
          <w:lang w:eastAsia="en-GB"/>
        </w:rPr>
        <w:t>40</w:t>
      </w:r>
      <w:r w:rsidRPr="00C55072">
        <w:rPr>
          <w:rFonts w:eastAsia="Times New Roman"/>
          <w:lang w:eastAsia="en-GB"/>
        </w:rPr>
        <w:t>(5), 643-659.</w:t>
      </w:r>
    </w:p>
    <w:p w14:paraId="1F1A24B5" w14:textId="12016620" w:rsidR="000F6062" w:rsidRPr="000F6062" w:rsidRDefault="000F6062" w:rsidP="000F6062">
      <w:pPr>
        <w:spacing w:after="0" w:line="480" w:lineRule="auto"/>
        <w:ind w:left="720" w:hanging="720"/>
        <w:rPr>
          <w:rFonts w:eastAsia="Times New Roman"/>
          <w:i/>
          <w:iCs/>
          <w:lang w:eastAsia="en-GB"/>
        </w:rPr>
      </w:pPr>
      <w:r w:rsidRPr="000F6062">
        <w:rPr>
          <w:rFonts w:eastAsia="Times New Roman"/>
          <w:lang w:eastAsia="en-GB"/>
        </w:rPr>
        <w:t xml:space="preserve">Siegel, S. &amp; Castellan, N. J. </w:t>
      </w:r>
      <w:r>
        <w:rPr>
          <w:rFonts w:eastAsia="Times New Roman"/>
          <w:lang w:eastAsia="en-GB"/>
        </w:rPr>
        <w:t>(</w:t>
      </w:r>
      <w:r w:rsidRPr="000F6062">
        <w:rPr>
          <w:rFonts w:eastAsia="Times New Roman"/>
          <w:lang w:eastAsia="en-GB"/>
        </w:rPr>
        <w:t>1988</w:t>
      </w:r>
      <w:r>
        <w:rPr>
          <w:rFonts w:eastAsia="Times New Roman"/>
          <w:lang w:eastAsia="en-GB"/>
        </w:rPr>
        <w:t>)</w:t>
      </w:r>
      <w:r w:rsidRPr="000F6062">
        <w:rPr>
          <w:rFonts w:eastAsia="Times New Roman"/>
          <w:lang w:eastAsia="en-GB"/>
        </w:rPr>
        <w:t xml:space="preserve">. </w:t>
      </w:r>
      <w:r w:rsidRPr="000F6062">
        <w:rPr>
          <w:rFonts w:eastAsia="Times New Roman"/>
          <w:i/>
          <w:iCs/>
          <w:lang w:eastAsia="en-GB"/>
        </w:rPr>
        <w:t>Nonparametric Statistics for the</w:t>
      </w:r>
      <w:r>
        <w:rPr>
          <w:rFonts w:eastAsia="Times New Roman"/>
          <w:i/>
          <w:iCs/>
          <w:lang w:eastAsia="en-GB"/>
        </w:rPr>
        <w:t xml:space="preserve"> </w:t>
      </w:r>
      <w:r w:rsidRPr="000F6062">
        <w:rPr>
          <w:rFonts w:eastAsia="Times New Roman"/>
          <w:i/>
          <w:iCs/>
          <w:lang w:eastAsia="en-GB"/>
        </w:rPr>
        <w:t xml:space="preserve">Behavioural Sciences. </w:t>
      </w:r>
      <w:r w:rsidRPr="000F6062">
        <w:rPr>
          <w:rFonts w:eastAsia="Times New Roman"/>
          <w:lang w:eastAsia="en-GB"/>
        </w:rPr>
        <w:t>New York: McGraw-Hill.</w:t>
      </w:r>
    </w:p>
    <w:p w14:paraId="520C38FB" w14:textId="297DC68B" w:rsidR="00C21B24" w:rsidRDefault="00C21B24" w:rsidP="002A3017">
      <w:pPr>
        <w:spacing w:after="0" w:line="480" w:lineRule="auto"/>
        <w:ind w:left="720" w:hanging="720"/>
        <w:rPr>
          <w:rFonts w:eastAsia="Times New Roman"/>
          <w:lang w:eastAsia="en-GB"/>
        </w:rPr>
      </w:pPr>
      <w:r w:rsidRPr="00C21B24">
        <w:rPr>
          <w:rFonts w:eastAsia="Times New Roman"/>
          <w:lang w:eastAsia="en-GB"/>
        </w:rPr>
        <w:t xml:space="preserve">Strickland, D. C., Coles, C. D., &amp; Southern, L. B. (2013). </w:t>
      </w:r>
      <w:proofErr w:type="spellStart"/>
      <w:r w:rsidRPr="00C21B24">
        <w:rPr>
          <w:rFonts w:eastAsia="Times New Roman"/>
          <w:lang w:eastAsia="en-GB"/>
        </w:rPr>
        <w:t>JobTIPS</w:t>
      </w:r>
      <w:proofErr w:type="spellEnd"/>
      <w:r w:rsidRPr="00C21B24">
        <w:rPr>
          <w:rFonts w:eastAsia="Times New Roman"/>
          <w:lang w:eastAsia="en-GB"/>
        </w:rPr>
        <w:t>: A transition to employment program for individuals with autism spectrum disorders. </w:t>
      </w:r>
      <w:r w:rsidRPr="00C21B24">
        <w:rPr>
          <w:rFonts w:eastAsia="Times New Roman"/>
          <w:i/>
          <w:iCs/>
          <w:lang w:eastAsia="en-GB"/>
        </w:rPr>
        <w:t xml:space="preserve">Journal of </w:t>
      </w:r>
      <w:r w:rsidR="002E7E6B">
        <w:rPr>
          <w:rFonts w:eastAsia="Times New Roman"/>
          <w:i/>
          <w:iCs/>
          <w:lang w:eastAsia="en-GB"/>
        </w:rPr>
        <w:t>A</w:t>
      </w:r>
      <w:r w:rsidRPr="00C21B24">
        <w:rPr>
          <w:rFonts w:eastAsia="Times New Roman"/>
          <w:i/>
          <w:iCs/>
          <w:lang w:eastAsia="en-GB"/>
        </w:rPr>
        <w:t xml:space="preserve">utism and </w:t>
      </w:r>
      <w:r w:rsidR="002E7E6B">
        <w:rPr>
          <w:rFonts w:eastAsia="Times New Roman"/>
          <w:i/>
          <w:iCs/>
          <w:lang w:eastAsia="en-GB"/>
        </w:rPr>
        <w:t>D</w:t>
      </w:r>
      <w:r w:rsidRPr="00C21B24">
        <w:rPr>
          <w:rFonts w:eastAsia="Times New Roman"/>
          <w:i/>
          <w:iCs/>
          <w:lang w:eastAsia="en-GB"/>
        </w:rPr>
        <w:t xml:space="preserve">evelopmental </w:t>
      </w:r>
      <w:r w:rsidR="002E7E6B">
        <w:rPr>
          <w:rFonts w:eastAsia="Times New Roman"/>
          <w:i/>
          <w:iCs/>
          <w:lang w:eastAsia="en-GB"/>
        </w:rPr>
        <w:t>D</w:t>
      </w:r>
      <w:r w:rsidRPr="00C21B24">
        <w:rPr>
          <w:rFonts w:eastAsia="Times New Roman"/>
          <w:i/>
          <w:iCs/>
          <w:lang w:eastAsia="en-GB"/>
        </w:rPr>
        <w:t>isorders</w:t>
      </w:r>
      <w:r w:rsidRPr="00C21B24">
        <w:rPr>
          <w:rFonts w:eastAsia="Times New Roman"/>
          <w:lang w:eastAsia="en-GB"/>
        </w:rPr>
        <w:t>, </w:t>
      </w:r>
      <w:r w:rsidRPr="00C21B24">
        <w:rPr>
          <w:rFonts w:eastAsia="Times New Roman"/>
          <w:i/>
          <w:iCs/>
          <w:lang w:eastAsia="en-GB"/>
        </w:rPr>
        <w:t>43</w:t>
      </w:r>
      <w:r w:rsidRPr="00C21B24">
        <w:rPr>
          <w:rFonts w:eastAsia="Times New Roman"/>
          <w:lang w:eastAsia="en-GB"/>
        </w:rPr>
        <w:t>(10), 2472-2483.</w:t>
      </w:r>
    </w:p>
    <w:p w14:paraId="4B04D306" w14:textId="6598D0D6" w:rsidR="00A07CC0" w:rsidRDefault="00A07CC0" w:rsidP="002A3017">
      <w:pPr>
        <w:spacing w:after="0" w:line="480" w:lineRule="auto"/>
        <w:ind w:left="720" w:hanging="720"/>
        <w:rPr>
          <w:rFonts w:eastAsia="Times New Roman"/>
          <w:lang w:eastAsia="en-GB"/>
        </w:rPr>
      </w:pPr>
      <w:r w:rsidRPr="00A07CC0">
        <w:rPr>
          <w:rFonts w:eastAsia="Times New Roman"/>
          <w:lang w:eastAsia="en-GB"/>
        </w:rPr>
        <w:t xml:space="preserve">Taylor, J. L., &amp; </w:t>
      </w:r>
      <w:proofErr w:type="spellStart"/>
      <w:r w:rsidRPr="00A07CC0">
        <w:rPr>
          <w:rFonts w:eastAsia="Times New Roman"/>
          <w:lang w:eastAsia="en-GB"/>
        </w:rPr>
        <w:t>DaWalt</w:t>
      </w:r>
      <w:proofErr w:type="spellEnd"/>
      <w:r w:rsidRPr="00A07CC0">
        <w:rPr>
          <w:rFonts w:eastAsia="Times New Roman"/>
          <w:lang w:eastAsia="en-GB"/>
        </w:rPr>
        <w:t>, L. S. (2017). Brief report: postsecondary work and educational disruptions for youth on the autism spectrum. </w:t>
      </w:r>
      <w:r w:rsidRPr="00A07CC0">
        <w:rPr>
          <w:rFonts w:eastAsia="Times New Roman"/>
          <w:i/>
          <w:iCs/>
          <w:lang w:eastAsia="en-GB"/>
        </w:rPr>
        <w:t xml:space="preserve">Journal of </w:t>
      </w:r>
      <w:r w:rsidR="002E7E6B">
        <w:rPr>
          <w:rFonts w:eastAsia="Times New Roman"/>
          <w:i/>
          <w:iCs/>
          <w:lang w:eastAsia="en-GB"/>
        </w:rPr>
        <w:t>A</w:t>
      </w:r>
      <w:r w:rsidRPr="00A07CC0">
        <w:rPr>
          <w:rFonts w:eastAsia="Times New Roman"/>
          <w:i/>
          <w:iCs/>
          <w:lang w:eastAsia="en-GB"/>
        </w:rPr>
        <w:t xml:space="preserve">utism and </w:t>
      </w:r>
      <w:r w:rsidR="002E7E6B">
        <w:rPr>
          <w:rFonts w:eastAsia="Times New Roman"/>
          <w:i/>
          <w:iCs/>
          <w:lang w:eastAsia="en-GB"/>
        </w:rPr>
        <w:t>D</w:t>
      </w:r>
      <w:r w:rsidRPr="00A07CC0">
        <w:rPr>
          <w:rFonts w:eastAsia="Times New Roman"/>
          <w:i/>
          <w:iCs/>
          <w:lang w:eastAsia="en-GB"/>
        </w:rPr>
        <w:t xml:space="preserve">evelopmental </w:t>
      </w:r>
      <w:r w:rsidR="002E7E6B">
        <w:rPr>
          <w:rFonts w:eastAsia="Times New Roman"/>
          <w:i/>
          <w:iCs/>
          <w:lang w:eastAsia="en-GB"/>
        </w:rPr>
        <w:t>D</w:t>
      </w:r>
      <w:r w:rsidRPr="00A07CC0">
        <w:rPr>
          <w:rFonts w:eastAsia="Times New Roman"/>
          <w:i/>
          <w:iCs/>
          <w:lang w:eastAsia="en-GB"/>
        </w:rPr>
        <w:t>isorders</w:t>
      </w:r>
      <w:r w:rsidRPr="00A07CC0">
        <w:rPr>
          <w:rFonts w:eastAsia="Times New Roman"/>
          <w:lang w:eastAsia="en-GB"/>
        </w:rPr>
        <w:t>, </w:t>
      </w:r>
      <w:r w:rsidRPr="00A07CC0">
        <w:rPr>
          <w:rFonts w:eastAsia="Times New Roman"/>
          <w:i/>
          <w:iCs/>
          <w:lang w:eastAsia="en-GB"/>
        </w:rPr>
        <w:t>47</w:t>
      </w:r>
      <w:r w:rsidRPr="00A07CC0">
        <w:rPr>
          <w:rFonts w:eastAsia="Times New Roman"/>
          <w:lang w:eastAsia="en-GB"/>
        </w:rPr>
        <w:t>(12), 4025-4031.</w:t>
      </w:r>
    </w:p>
    <w:p w14:paraId="12167451" w14:textId="2DBFC42B" w:rsidR="006F5B0C" w:rsidRDefault="00BA437E" w:rsidP="002A3017">
      <w:pPr>
        <w:spacing w:after="0" w:line="480" w:lineRule="auto"/>
        <w:ind w:left="720" w:hanging="720"/>
        <w:rPr>
          <w:rFonts w:eastAsia="Times New Roman"/>
          <w:lang w:eastAsia="en-GB"/>
        </w:rPr>
      </w:pPr>
      <w:r w:rsidRPr="00BA437E">
        <w:rPr>
          <w:rFonts w:eastAsia="Times New Roman"/>
          <w:lang w:eastAsia="en-GB"/>
        </w:rPr>
        <w:t>Taylor, J. L., &amp; Seltzer, M. M. (2011). Employment and post-secondary educational activities for young adults with autism spectrum disorders during the transition to adulthood. </w:t>
      </w:r>
      <w:r w:rsidRPr="00BA437E">
        <w:rPr>
          <w:rFonts w:eastAsia="Times New Roman"/>
          <w:i/>
          <w:iCs/>
          <w:lang w:eastAsia="en-GB"/>
        </w:rPr>
        <w:t xml:space="preserve">Journal of </w:t>
      </w:r>
      <w:r>
        <w:rPr>
          <w:rFonts w:eastAsia="Times New Roman"/>
          <w:i/>
          <w:iCs/>
          <w:lang w:eastAsia="en-GB"/>
        </w:rPr>
        <w:t>A</w:t>
      </w:r>
      <w:r w:rsidRPr="00BA437E">
        <w:rPr>
          <w:rFonts w:eastAsia="Times New Roman"/>
          <w:i/>
          <w:iCs/>
          <w:lang w:eastAsia="en-GB"/>
        </w:rPr>
        <w:t xml:space="preserve">utism and </w:t>
      </w:r>
      <w:r>
        <w:rPr>
          <w:rFonts w:eastAsia="Times New Roman"/>
          <w:i/>
          <w:iCs/>
          <w:lang w:eastAsia="en-GB"/>
        </w:rPr>
        <w:t>D</w:t>
      </w:r>
      <w:r w:rsidRPr="00BA437E">
        <w:rPr>
          <w:rFonts w:eastAsia="Times New Roman"/>
          <w:i/>
          <w:iCs/>
          <w:lang w:eastAsia="en-GB"/>
        </w:rPr>
        <w:t xml:space="preserve">evelopmental </w:t>
      </w:r>
      <w:r>
        <w:rPr>
          <w:rFonts w:eastAsia="Times New Roman"/>
          <w:i/>
          <w:iCs/>
          <w:lang w:eastAsia="en-GB"/>
        </w:rPr>
        <w:t>D</w:t>
      </w:r>
      <w:r w:rsidRPr="00BA437E">
        <w:rPr>
          <w:rFonts w:eastAsia="Times New Roman"/>
          <w:i/>
          <w:iCs/>
          <w:lang w:eastAsia="en-GB"/>
        </w:rPr>
        <w:t>isorders</w:t>
      </w:r>
      <w:r w:rsidRPr="00BA437E">
        <w:rPr>
          <w:rFonts w:eastAsia="Times New Roman"/>
          <w:lang w:eastAsia="en-GB"/>
        </w:rPr>
        <w:t>, </w:t>
      </w:r>
      <w:r w:rsidRPr="00BA437E">
        <w:rPr>
          <w:rFonts w:eastAsia="Times New Roman"/>
          <w:i/>
          <w:iCs/>
          <w:lang w:eastAsia="en-GB"/>
        </w:rPr>
        <w:t>41</w:t>
      </w:r>
      <w:r w:rsidRPr="00BA437E">
        <w:rPr>
          <w:rFonts w:eastAsia="Times New Roman"/>
          <w:lang w:eastAsia="en-GB"/>
        </w:rPr>
        <w:t>(5), 566-574.</w:t>
      </w:r>
    </w:p>
    <w:p w14:paraId="7532ED9D" w14:textId="543A8E55" w:rsidR="006F5B0C" w:rsidRDefault="006F5B0C" w:rsidP="002A3017">
      <w:pPr>
        <w:spacing w:after="0" w:line="480" w:lineRule="auto"/>
        <w:ind w:left="720" w:hanging="720"/>
        <w:rPr>
          <w:rFonts w:eastAsia="Times New Roman"/>
          <w:lang w:eastAsia="en-GB"/>
        </w:rPr>
      </w:pPr>
      <w:r>
        <w:rPr>
          <w:rFonts w:eastAsia="Times New Roman"/>
          <w:lang w:eastAsia="en-GB"/>
        </w:rPr>
        <w:br w:type="page"/>
      </w:r>
    </w:p>
    <w:p w14:paraId="0F30F8E3" w14:textId="77777777" w:rsidR="006F5B0C" w:rsidRPr="001D0643" w:rsidRDefault="006F5B0C" w:rsidP="006F5B0C">
      <w:pPr>
        <w:spacing w:after="0" w:line="480" w:lineRule="auto"/>
        <w:rPr>
          <w:rFonts w:eastAsia="Times New Roman"/>
          <w:lang w:val="en-US" w:eastAsia="en-GB"/>
        </w:rPr>
      </w:pPr>
      <w:r w:rsidRPr="001D0643">
        <w:rPr>
          <w:rFonts w:eastAsia="Times New Roman"/>
          <w:lang w:val="en-US" w:eastAsia="en-GB"/>
        </w:rPr>
        <w:lastRenderedPageBreak/>
        <w:t xml:space="preserve">Table </w:t>
      </w:r>
      <w:r>
        <w:rPr>
          <w:rFonts w:eastAsia="Times New Roman"/>
          <w:lang w:val="en-US" w:eastAsia="en-GB"/>
        </w:rPr>
        <w:t>I</w:t>
      </w:r>
    </w:p>
    <w:p w14:paraId="64C8E8E4" w14:textId="7B3AC599" w:rsidR="006F5B0C" w:rsidRDefault="006F5B0C" w:rsidP="006F5B0C">
      <w:pPr>
        <w:spacing w:after="0" w:line="480" w:lineRule="auto"/>
        <w:rPr>
          <w:rFonts w:eastAsia="Times New Roman"/>
          <w:i/>
          <w:iCs/>
          <w:lang w:val="en-US" w:eastAsia="en-GB"/>
        </w:rPr>
      </w:pPr>
      <w:r w:rsidRPr="001D0643">
        <w:rPr>
          <w:rFonts w:eastAsia="Times New Roman"/>
          <w:i/>
          <w:iCs/>
          <w:lang w:val="en-US" w:eastAsia="en-GB"/>
        </w:rPr>
        <w:t xml:space="preserve">HE </w:t>
      </w:r>
      <w:r>
        <w:rPr>
          <w:rFonts w:eastAsia="Times New Roman"/>
          <w:i/>
          <w:iCs/>
          <w:lang w:val="en-US" w:eastAsia="en-GB"/>
        </w:rPr>
        <w:t>V</w:t>
      </w:r>
      <w:r w:rsidRPr="001D0643">
        <w:rPr>
          <w:rFonts w:eastAsia="Times New Roman"/>
          <w:i/>
          <w:iCs/>
          <w:lang w:val="en-US" w:eastAsia="en-GB"/>
        </w:rPr>
        <w:t>ariables</w:t>
      </w:r>
      <w:r w:rsidRPr="00010A26">
        <w:rPr>
          <w:rFonts w:eastAsia="Times New Roman"/>
          <w:i/>
          <w:iCs/>
          <w:lang w:val="en-US" w:eastAsia="en-GB"/>
        </w:rPr>
        <w:t xml:space="preserve"> </w:t>
      </w:r>
    </w:p>
    <w:tbl>
      <w:tblPr>
        <w:tblStyle w:val="TableGrid"/>
        <w:tblW w:w="10632" w:type="dxa"/>
        <w:tblLook w:val="04A0" w:firstRow="1" w:lastRow="0" w:firstColumn="1" w:lastColumn="0" w:noHBand="0" w:noVBand="1"/>
      </w:tblPr>
      <w:tblGrid>
        <w:gridCol w:w="3261"/>
        <w:gridCol w:w="1701"/>
        <w:gridCol w:w="2127"/>
        <w:gridCol w:w="3543"/>
      </w:tblGrid>
      <w:tr w:rsidR="006F5B0C" w14:paraId="57CC7AF6" w14:textId="77777777" w:rsidTr="00370644">
        <w:tc>
          <w:tcPr>
            <w:tcW w:w="3261" w:type="dxa"/>
            <w:tcBorders>
              <w:left w:val="nil"/>
              <w:bottom w:val="single" w:sz="4" w:space="0" w:color="auto"/>
              <w:right w:val="nil"/>
            </w:tcBorders>
          </w:tcPr>
          <w:p w14:paraId="0A9B5729" w14:textId="77777777" w:rsidR="006F5B0C" w:rsidRPr="001D0643" w:rsidRDefault="006F5B0C" w:rsidP="00EA1A0F">
            <w:pPr>
              <w:spacing w:line="480" w:lineRule="auto"/>
              <w:rPr>
                <w:rFonts w:eastAsia="Times New Roman"/>
                <w:b/>
                <w:bCs/>
                <w:lang w:val="en-US" w:eastAsia="en-GB"/>
              </w:rPr>
            </w:pPr>
            <w:r w:rsidRPr="001D0643">
              <w:rPr>
                <w:rFonts w:eastAsia="Times New Roman"/>
                <w:b/>
                <w:bCs/>
                <w:lang w:val="en-US" w:eastAsia="en-GB"/>
              </w:rPr>
              <w:t>Variable</w:t>
            </w:r>
          </w:p>
        </w:tc>
        <w:tc>
          <w:tcPr>
            <w:tcW w:w="1701" w:type="dxa"/>
            <w:tcBorders>
              <w:left w:val="nil"/>
              <w:bottom w:val="single" w:sz="4" w:space="0" w:color="auto"/>
              <w:right w:val="nil"/>
            </w:tcBorders>
          </w:tcPr>
          <w:p w14:paraId="046B7BB1" w14:textId="77777777" w:rsidR="006F5B0C" w:rsidRPr="001D0643" w:rsidRDefault="006F5B0C" w:rsidP="00EA1A0F">
            <w:pPr>
              <w:spacing w:line="480" w:lineRule="auto"/>
              <w:rPr>
                <w:rFonts w:eastAsia="Times New Roman"/>
                <w:b/>
                <w:bCs/>
                <w:lang w:val="en-US" w:eastAsia="en-GB"/>
              </w:rPr>
            </w:pPr>
            <w:r w:rsidRPr="001D0643">
              <w:rPr>
                <w:rFonts w:eastAsia="Times New Roman"/>
                <w:b/>
                <w:bCs/>
                <w:lang w:val="en-US" w:eastAsia="en-GB"/>
              </w:rPr>
              <w:t xml:space="preserve">Autistic </w:t>
            </w:r>
            <w:r w:rsidRPr="001D0643">
              <w:rPr>
                <w:rFonts w:eastAsia="Times New Roman"/>
                <w:b/>
                <w:bCs/>
                <w:i/>
                <w:iCs/>
                <w:lang w:val="en-US" w:eastAsia="en-GB"/>
              </w:rPr>
              <w:t>n</w:t>
            </w:r>
            <w:r w:rsidRPr="001D0643">
              <w:rPr>
                <w:rFonts w:eastAsia="Times New Roman"/>
                <w:b/>
                <w:bCs/>
                <w:lang w:val="en-US" w:eastAsia="en-GB"/>
              </w:rPr>
              <w:t xml:space="preserve"> (</w:t>
            </w:r>
            <w:r>
              <w:rPr>
                <w:rFonts w:eastAsia="Times New Roman"/>
                <w:b/>
                <w:bCs/>
                <w:lang w:val="en-US" w:eastAsia="en-GB"/>
              </w:rPr>
              <w:t>%</w:t>
            </w:r>
            <w:r w:rsidRPr="001D0643">
              <w:rPr>
                <w:rFonts w:eastAsia="Times New Roman"/>
                <w:b/>
                <w:bCs/>
                <w:lang w:val="en-US" w:eastAsia="en-GB"/>
              </w:rPr>
              <w:t>)</w:t>
            </w:r>
          </w:p>
        </w:tc>
        <w:tc>
          <w:tcPr>
            <w:tcW w:w="2127" w:type="dxa"/>
            <w:tcBorders>
              <w:left w:val="nil"/>
              <w:bottom w:val="single" w:sz="4" w:space="0" w:color="auto"/>
              <w:right w:val="nil"/>
            </w:tcBorders>
          </w:tcPr>
          <w:p w14:paraId="2A74E6D4" w14:textId="77777777" w:rsidR="006F5B0C" w:rsidRPr="001D0643" w:rsidRDefault="006F5B0C" w:rsidP="00EA1A0F">
            <w:pPr>
              <w:spacing w:line="480" w:lineRule="auto"/>
              <w:rPr>
                <w:rFonts w:eastAsia="Times New Roman"/>
                <w:b/>
                <w:bCs/>
                <w:lang w:val="en-US" w:eastAsia="en-GB"/>
              </w:rPr>
            </w:pPr>
            <w:r w:rsidRPr="001D0643">
              <w:rPr>
                <w:rFonts w:eastAsia="Times New Roman"/>
                <w:b/>
                <w:bCs/>
                <w:lang w:val="en-US" w:eastAsia="en-GB"/>
              </w:rPr>
              <w:t xml:space="preserve">Non-autistic </w:t>
            </w:r>
            <w:r w:rsidRPr="001D0643">
              <w:rPr>
                <w:rFonts w:eastAsia="Times New Roman"/>
                <w:b/>
                <w:bCs/>
                <w:i/>
                <w:iCs/>
                <w:lang w:val="en-US" w:eastAsia="en-GB"/>
              </w:rPr>
              <w:t>n</w:t>
            </w:r>
            <w:r w:rsidRPr="001D0643">
              <w:rPr>
                <w:rFonts w:eastAsia="Times New Roman"/>
                <w:b/>
                <w:bCs/>
                <w:lang w:val="en-US" w:eastAsia="en-GB"/>
              </w:rPr>
              <w:t xml:space="preserve"> (</w:t>
            </w:r>
            <w:r>
              <w:rPr>
                <w:rFonts w:eastAsia="Times New Roman"/>
                <w:b/>
                <w:bCs/>
                <w:lang w:val="en-US" w:eastAsia="en-GB"/>
              </w:rPr>
              <w:t>%</w:t>
            </w:r>
            <w:r w:rsidRPr="001D0643">
              <w:rPr>
                <w:rFonts w:eastAsia="Times New Roman"/>
                <w:b/>
                <w:bCs/>
                <w:lang w:val="en-US" w:eastAsia="en-GB"/>
              </w:rPr>
              <w:t>)</w:t>
            </w:r>
          </w:p>
        </w:tc>
        <w:tc>
          <w:tcPr>
            <w:tcW w:w="3543" w:type="dxa"/>
            <w:tcBorders>
              <w:left w:val="nil"/>
              <w:bottom w:val="single" w:sz="4" w:space="0" w:color="auto"/>
              <w:right w:val="nil"/>
            </w:tcBorders>
          </w:tcPr>
          <w:p w14:paraId="61C82F53" w14:textId="77777777" w:rsidR="006F5B0C" w:rsidRPr="001D0643" w:rsidRDefault="006F5B0C" w:rsidP="00EA1A0F">
            <w:pPr>
              <w:spacing w:line="480" w:lineRule="auto"/>
              <w:rPr>
                <w:rFonts w:eastAsia="Times New Roman"/>
                <w:b/>
                <w:bCs/>
                <w:lang w:val="en-US" w:eastAsia="en-GB"/>
              </w:rPr>
            </w:pPr>
            <w:r>
              <w:rPr>
                <w:rFonts w:eastAsia="Times New Roman"/>
                <w:b/>
                <w:bCs/>
                <w:lang w:val="en-US" w:eastAsia="en-GB"/>
              </w:rPr>
              <w:t>Comparison</w:t>
            </w:r>
          </w:p>
        </w:tc>
      </w:tr>
      <w:tr w:rsidR="006F5B0C" w14:paraId="0C451EBC" w14:textId="77777777" w:rsidTr="00370644">
        <w:tc>
          <w:tcPr>
            <w:tcW w:w="3261" w:type="dxa"/>
            <w:tcBorders>
              <w:left w:val="nil"/>
              <w:bottom w:val="nil"/>
              <w:right w:val="nil"/>
            </w:tcBorders>
          </w:tcPr>
          <w:p w14:paraId="5A961A37" w14:textId="77777777" w:rsidR="006F5B0C" w:rsidRPr="009A6CDA" w:rsidRDefault="006F5B0C" w:rsidP="00EA1A0F">
            <w:pPr>
              <w:spacing w:line="480" w:lineRule="auto"/>
              <w:rPr>
                <w:rFonts w:eastAsia="Times New Roman"/>
                <w:lang w:val="en-US" w:eastAsia="en-GB"/>
              </w:rPr>
            </w:pPr>
            <w:r w:rsidRPr="009A6CDA">
              <w:rPr>
                <w:rFonts w:eastAsia="Times New Roman"/>
                <w:lang w:val="en-US" w:eastAsia="en-GB"/>
              </w:rPr>
              <w:t>HE attendance: Current</w:t>
            </w:r>
            <w:r>
              <w:rPr>
                <w:rFonts w:eastAsia="Times New Roman"/>
                <w:vertAlign w:val="superscript"/>
                <w:lang w:val="en-US" w:eastAsia="en-GB"/>
              </w:rPr>
              <w:t>1</w:t>
            </w:r>
          </w:p>
        </w:tc>
        <w:tc>
          <w:tcPr>
            <w:tcW w:w="1701" w:type="dxa"/>
            <w:tcBorders>
              <w:left w:val="nil"/>
              <w:bottom w:val="nil"/>
              <w:right w:val="nil"/>
            </w:tcBorders>
          </w:tcPr>
          <w:p w14:paraId="4B788A92" w14:textId="77777777" w:rsidR="006F5B0C" w:rsidRPr="00455C28" w:rsidRDefault="006F5B0C" w:rsidP="00EA1A0F">
            <w:pPr>
              <w:spacing w:line="480" w:lineRule="auto"/>
              <w:rPr>
                <w:rFonts w:eastAsia="Times New Roman"/>
                <w:vertAlign w:val="superscript"/>
                <w:lang w:val="en-US" w:eastAsia="en-GB"/>
              </w:rPr>
            </w:pPr>
            <w:r w:rsidRPr="009A6CDA">
              <w:rPr>
                <w:rFonts w:eastAsia="Times New Roman"/>
                <w:lang w:val="en-US" w:eastAsia="en-GB"/>
              </w:rPr>
              <w:t>58 (</w:t>
            </w:r>
            <w:r>
              <w:rPr>
                <w:rFonts w:eastAsia="Times New Roman"/>
                <w:lang w:val="en-US" w:eastAsia="en-GB"/>
              </w:rPr>
              <w:t>73</w:t>
            </w:r>
            <w:r w:rsidRPr="009A6CDA">
              <w:rPr>
                <w:rFonts w:eastAsia="Times New Roman"/>
                <w:lang w:val="en-US" w:eastAsia="en-GB"/>
              </w:rPr>
              <w:t>.4)</w:t>
            </w:r>
            <w:r>
              <w:rPr>
                <w:rFonts w:eastAsia="Times New Roman"/>
                <w:vertAlign w:val="superscript"/>
                <w:lang w:val="en-US" w:eastAsia="en-GB"/>
              </w:rPr>
              <w:t xml:space="preserve"> </w:t>
            </w:r>
          </w:p>
        </w:tc>
        <w:tc>
          <w:tcPr>
            <w:tcW w:w="2127" w:type="dxa"/>
            <w:tcBorders>
              <w:left w:val="nil"/>
              <w:bottom w:val="nil"/>
              <w:right w:val="nil"/>
            </w:tcBorders>
          </w:tcPr>
          <w:p w14:paraId="6A68CDAA" w14:textId="77777777" w:rsidR="006F5B0C" w:rsidRPr="009A6CDA" w:rsidRDefault="006F5B0C" w:rsidP="00EA1A0F">
            <w:pPr>
              <w:spacing w:line="480" w:lineRule="auto"/>
              <w:rPr>
                <w:rFonts w:eastAsia="Times New Roman"/>
                <w:lang w:val="en-US" w:eastAsia="en-GB"/>
              </w:rPr>
            </w:pPr>
            <w:r w:rsidRPr="009A6CDA">
              <w:rPr>
                <w:rFonts w:eastAsia="Times New Roman"/>
                <w:lang w:val="en-US" w:eastAsia="en-GB"/>
              </w:rPr>
              <w:t>86 (</w:t>
            </w:r>
            <w:r>
              <w:rPr>
                <w:rFonts w:eastAsia="Times New Roman"/>
                <w:lang w:val="en-US" w:eastAsia="en-GB"/>
              </w:rPr>
              <w:t>80</w:t>
            </w:r>
            <w:r w:rsidRPr="009A6CDA">
              <w:rPr>
                <w:rFonts w:eastAsia="Times New Roman"/>
                <w:lang w:val="en-US" w:eastAsia="en-GB"/>
              </w:rPr>
              <w:t>.4)</w:t>
            </w:r>
          </w:p>
        </w:tc>
        <w:tc>
          <w:tcPr>
            <w:tcW w:w="3543" w:type="dxa"/>
            <w:tcBorders>
              <w:left w:val="nil"/>
              <w:bottom w:val="nil"/>
              <w:right w:val="nil"/>
            </w:tcBorders>
          </w:tcPr>
          <w:p w14:paraId="51A6EFAA" w14:textId="77777777" w:rsidR="006F5B0C" w:rsidRPr="009A6CDA" w:rsidRDefault="006F5B0C" w:rsidP="00EA1A0F">
            <w:pPr>
              <w:spacing w:line="480" w:lineRule="auto"/>
              <w:rPr>
                <w:rFonts w:eastAsia="Times New Roman"/>
                <w:lang w:val="en-US" w:eastAsia="en-GB"/>
              </w:rPr>
            </w:pPr>
            <w:r w:rsidRPr="00636DC7">
              <w:rPr>
                <w:rFonts w:eastAsia="Arial"/>
              </w:rPr>
              <w:t>χ</w:t>
            </w:r>
            <w:r w:rsidRPr="00636DC7">
              <w:rPr>
                <w:rFonts w:eastAsia="Arial"/>
                <w:vertAlign w:val="superscript"/>
              </w:rPr>
              <w:t>2</w:t>
            </w:r>
            <w:r w:rsidRPr="00636DC7">
              <w:rPr>
                <w:rFonts w:eastAsia="Arial"/>
              </w:rPr>
              <w:t xml:space="preserve"> (1)</w:t>
            </w:r>
            <w:r w:rsidRPr="00636DC7">
              <w:rPr>
                <w:rFonts w:eastAsia="Arial"/>
                <w:vertAlign w:val="superscript"/>
              </w:rPr>
              <w:t xml:space="preserve"> </w:t>
            </w:r>
            <w:r w:rsidRPr="00636DC7">
              <w:rPr>
                <w:rFonts w:eastAsia="Arial"/>
              </w:rPr>
              <w:t xml:space="preserve">= 1.26, </w:t>
            </w:r>
            <w:r w:rsidRPr="00636DC7">
              <w:rPr>
                <w:rFonts w:eastAsia="Arial"/>
                <w:i/>
                <w:iCs/>
              </w:rPr>
              <w:t xml:space="preserve">p </w:t>
            </w:r>
            <w:r w:rsidRPr="00636DC7">
              <w:rPr>
                <w:rFonts w:eastAsia="Arial"/>
              </w:rPr>
              <w:t>= .262</w:t>
            </w:r>
            <w:r>
              <w:rPr>
                <w:rFonts w:eastAsia="Arial"/>
              </w:rPr>
              <w:t>,</w:t>
            </w:r>
            <w:r w:rsidRPr="005B0AEA">
              <w:rPr>
                <w:rFonts w:eastAsia="Arial"/>
                <w:i/>
                <w:iCs/>
              </w:rPr>
              <w:t xml:space="preserve"> V</w:t>
            </w:r>
            <w:r>
              <w:rPr>
                <w:rFonts w:eastAsia="Arial"/>
              </w:rPr>
              <w:t xml:space="preserve"> = .08</w:t>
            </w:r>
          </w:p>
        </w:tc>
      </w:tr>
      <w:tr w:rsidR="006F5B0C" w14:paraId="64C59B79" w14:textId="77777777" w:rsidTr="00370644">
        <w:tc>
          <w:tcPr>
            <w:tcW w:w="3261" w:type="dxa"/>
            <w:tcBorders>
              <w:top w:val="nil"/>
              <w:left w:val="nil"/>
              <w:bottom w:val="nil"/>
              <w:right w:val="nil"/>
            </w:tcBorders>
          </w:tcPr>
          <w:p w14:paraId="52B8BAD5" w14:textId="77777777" w:rsidR="006F5B0C" w:rsidRDefault="006F5B0C" w:rsidP="00EA1A0F">
            <w:pPr>
              <w:spacing w:line="480" w:lineRule="auto"/>
              <w:rPr>
                <w:rFonts w:eastAsia="Times New Roman"/>
                <w:lang w:val="en-US" w:eastAsia="en-GB"/>
              </w:rPr>
            </w:pPr>
            <w:r>
              <w:rPr>
                <w:rFonts w:eastAsia="Times New Roman"/>
                <w:lang w:val="en-US" w:eastAsia="en-GB"/>
              </w:rPr>
              <w:t>HE attendance: Completed</w:t>
            </w:r>
            <w:r w:rsidRPr="009F150B">
              <w:rPr>
                <w:rFonts w:eastAsia="Times New Roman"/>
                <w:vertAlign w:val="superscript"/>
                <w:lang w:val="en-US" w:eastAsia="en-GB"/>
              </w:rPr>
              <w:t>2</w:t>
            </w:r>
          </w:p>
        </w:tc>
        <w:tc>
          <w:tcPr>
            <w:tcW w:w="1701" w:type="dxa"/>
            <w:tcBorders>
              <w:top w:val="nil"/>
              <w:left w:val="nil"/>
              <w:bottom w:val="nil"/>
              <w:right w:val="nil"/>
            </w:tcBorders>
          </w:tcPr>
          <w:p w14:paraId="13E4617C" w14:textId="77777777" w:rsidR="006F5B0C" w:rsidRDefault="006F5B0C" w:rsidP="00EA1A0F">
            <w:pPr>
              <w:spacing w:line="480" w:lineRule="auto"/>
              <w:rPr>
                <w:rFonts w:eastAsia="Times New Roman"/>
                <w:lang w:val="en-US" w:eastAsia="en-GB"/>
              </w:rPr>
            </w:pPr>
            <w:r>
              <w:rPr>
                <w:rFonts w:eastAsia="Times New Roman"/>
                <w:lang w:val="en-US" w:eastAsia="en-GB"/>
              </w:rPr>
              <w:t>14 (66.7)</w:t>
            </w:r>
          </w:p>
        </w:tc>
        <w:tc>
          <w:tcPr>
            <w:tcW w:w="2127" w:type="dxa"/>
            <w:tcBorders>
              <w:top w:val="nil"/>
              <w:left w:val="nil"/>
              <w:bottom w:val="nil"/>
              <w:right w:val="nil"/>
            </w:tcBorders>
          </w:tcPr>
          <w:p w14:paraId="3B7C9F4C" w14:textId="77777777" w:rsidR="006F5B0C" w:rsidRDefault="006F5B0C" w:rsidP="00EA1A0F">
            <w:pPr>
              <w:spacing w:line="480" w:lineRule="auto"/>
              <w:rPr>
                <w:rFonts w:eastAsia="Times New Roman"/>
                <w:lang w:val="en-US" w:eastAsia="en-GB"/>
              </w:rPr>
            </w:pPr>
            <w:r>
              <w:rPr>
                <w:rFonts w:eastAsia="Times New Roman"/>
                <w:lang w:val="en-US" w:eastAsia="en-GB"/>
              </w:rPr>
              <w:t>16 (76.2)</w:t>
            </w:r>
          </w:p>
        </w:tc>
        <w:tc>
          <w:tcPr>
            <w:tcW w:w="3543" w:type="dxa"/>
            <w:tcBorders>
              <w:top w:val="nil"/>
              <w:left w:val="nil"/>
              <w:bottom w:val="nil"/>
              <w:right w:val="nil"/>
            </w:tcBorders>
          </w:tcPr>
          <w:p w14:paraId="36F80ADD" w14:textId="77777777" w:rsidR="006F5B0C" w:rsidRDefault="006F5B0C" w:rsidP="00EA1A0F">
            <w:pPr>
              <w:spacing w:line="480" w:lineRule="auto"/>
              <w:rPr>
                <w:rFonts w:eastAsia="Times New Roman"/>
                <w:lang w:val="en-US" w:eastAsia="en-GB"/>
              </w:rPr>
            </w:pPr>
            <w:r w:rsidRPr="00561EF9">
              <w:rPr>
                <w:rFonts w:eastAsia="Arial"/>
              </w:rPr>
              <w:t>χ</w:t>
            </w:r>
            <w:r w:rsidRPr="00561EF9">
              <w:rPr>
                <w:rFonts w:eastAsia="Arial"/>
                <w:vertAlign w:val="superscript"/>
              </w:rPr>
              <w:t>2</w:t>
            </w:r>
            <w:r w:rsidRPr="00561EF9">
              <w:rPr>
                <w:rFonts w:eastAsia="Arial"/>
              </w:rPr>
              <w:t xml:space="preserve"> (1</w:t>
            </w:r>
            <w:r w:rsidRPr="0067251A">
              <w:rPr>
                <w:rFonts w:eastAsia="Arial"/>
              </w:rPr>
              <w:t>)</w:t>
            </w:r>
            <w:r w:rsidRPr="0067251A">
              <w:rPr>
                <w:rFonts w:eastAsia="Arial"/>
                <w:vertAlign w:val="superscript"/>
              </w:rPr>
              <w:t xml:space="preserve"> </w:t>
            </w:r>
            <w:r w:rsidRPr="0067251A">
              <w:rPr>
                <w:rFonts w:eastAsia="Arial"/>
              </w:rPr>
              <w:t>=</w:t>
            </w:r>
            <w:r>
              <w:rPr>
                <w:rFonts w:eastAsia="Arial"/>
              </w:rPr>
              <w:t xml:space="preserve"> 0.47</w:t>
            </w:r>
            <w:r w:rsidRPr="0067251A">
              <w:rPr>
                <w:rFonts w:eastAsia="Arial"/>
              </w:rPr>
              <w:t xml:space="preserve">, </w:t>
            </w:r>
            <w:r w:rsidRPr="0067251A">
              <w:rPr>
                <w:rFonts w:eastAsia="Arial"/>
                <w:i/>
                <w:iCs/>
              </w:rPr>
              <w:t xml:space="preserve">p </w:t>
            </w:r>
            <w:r w:rsidRPr="0067251A">
              <w:rPr>
                <w:rFonts w:eastAsia="Arial"/>
              </w:rPr>
              <w:t>= .</w:t>
            </w:r>
            <w:r>
              <w:rPr>
                <w:rFonts w:eastAsia="Arial"/>
              </w:rPr>
              <w:t>495,</w:t>
            </w:r>
            <w:r w:rsidRPr="005B0AEA">
              <w:rPr>
                <w:rFonts w:eastAsia="Arial"/>
                <w:i/>
                <w:iCs/>
              </w:rPr>
              <w:t xml:space="preserve"> V</w:t>
            </w:r>
            <w:r>
              <w:rPr>
                <w:rFonts w:eastAsia="Arial"/>
              </w:rPr>
              <w:t xml:space="preserve"> = .11</w:t>
            </w:r>
          </w:p>
        </w:tc>
      </w:tr>
      <w:tr w:rsidR="006F5B0C" w14:paraId="3E6BD905" w14:textId="77777777" w:rsidTr="00370644">
        <w:tc>
          <w:tcPr>
            <w:tcW w:w="3261" w:type="dxa"/>
            <w:tcBorders>
              <w:top w:val="nil"/>
              <w:left w:val="nil"/>
              <w:bottom w:val="nil"/>
              <w:right w:val="nil"/>
            </w:tcBorders>
          </w:tcPr>
          <w:p w14:paraId="0BEA4CF9" w14:textId="77777777" w:rsidR="006F5B0C" w:rsidRDefault="006F5B0C" w:rsidP="00EA1A0F">
            <w:pPr>
              <w:spacing w:line="480" w:lineRule="auto"/>
              <w:rPr>
                <w:rFonts w:eastAsia="Times New Roman"/>
                <w:lang w:val="en-US" w:eastAsia="en-GB"/>
              </w:rPr>
            </w:pPr>
            <w:r>
              <w:rPr>
                <w:rFonts w:eastAsia="Times New Roman"/>
                <w:lang w:val="en-US" w:eastAsia="en-GB"/>
              </w:rPr>
              <w:t xml:space="preserve">HE enrolment: </w:t>
            </w:r>
          </w:p>
        </w:tc>
        <w:tc>
          <w:tcPr>
            <w:tcW w:w="1701" w:type="dxa"/>
            <w:tcBorders>
              <w:top w:val="nil"/>
              <w:left w:val="nil"/>
              <w:bottom w:val="nil"/>
              <w:right w:val="nil"/>
            </w:tcBorders>
          </w:tcPr>
          <w:p w14:paraId="3697A208" w14:textId="77777777" w:rsidR="006F5B0C" w:rsidRDefault="006F5B0C" w:rsidP="00EA1A0F">
            <w:pPr>
              <w:spacing w:line="480" w:lineRule="auto"/>
              <w:rPr>
                <w:rFonts w:eastAsia="Times New Roman"/>
                <w:lang w:val="en-US" w:eastAsia="en-GB"/>
              </w:rPr>
            </w:pPr>
          </w:p>
        </w:tc>
        <w:tc>
          <w:tcPr>
            <w:tcW w:w="2127" w:type="dxa"/>
            <w:tcBorders>
              <w:top w:val="nil"/>
              <w:left w:val="nil"/>
              <w:bottom w:val="nil"/>
              <w:right w:val="nil"/>
            </w:tcBorders>
          </w:tcPr>
          <w:p w14:paraId="722FE1DF" w14:textId="77777777" w:rsidR="006F5B0C" w:rsidRDefault="006F5B0C" w:rsidP="00EA1A0F">
            <w:pPr>
              <w:spacing w:line="480" w:lineRule="auto"/>
              <w:rPr>
                <w:rFonts w:eastAsia="Times New Roman"/>
                <w:lang w:val="en-US" w:eastAsia="en-GB"/>
              </w:rPr>
            </w:pPr>
          </w:p>
        </w:tc>
        <w:tc>
          <w:tcPr>
            <w:tcW w:w="3543" w:type="dxa"/>
            <w:tcBorders>
              <w:top w:val="nil"/>
              <w:left w:val="nil"/>
              <w:bottom w:val="nil"/>
              <w:right w:val="nil"/>
            </w:tcBorders>
          </w:tcPr>
          <w:p w14:paraId="31F92777" w14:textId="77777777" w:rsidR="006F5B0C" w:rsidRDefault="006F5B0C" w:rsidP="00EA1A0F">
            <w:pPr>
              <w:spacing w:line="480" w:lineRule="auto"/>
              <w:rPr>
                <w:rFonts w:eastAsia="Times New Roman"/>
                <w:lang w:val="en-US" w:eastAsia="en-GB"/>
              </w:rPr>
            </w:pPr>
            <w:r w:rsidRPr="00561EF9">
              <w:rPr>
                <w:rFonts w:eastAsia="Arial"/>
              </w:rPr>
              <w:t>χ</w:t>
            </w:r>
            <w:r w:rsidRPr="00561EF9">
              <w:rPr>
                <w:rFonts w:eastAsia="Arial"/>
                <w:vertAlign w:val="superscript"/>
              </w:rPr>
              <w:t>2</w:t>
            </w:r>
            <w:r w:rsidRPr="00561EF9">
              <w:rPr>
                <w:rFonts w:eastAsia="Arial"/>
              </w:rPr>
              <w:t xml:space="preserve"> (1</w:t>
            </w:r>
            <w:r w:rsidRPr="0067251A">
              <w:rPr>
                <w:rFonts w:eastAsia="Arial"/>
              </w:rPr>
              <w:t>)</w:t>
            </w:r>
            <w:r w:rsidRPr="0067251A">
              <w:rPr>
                <w:rFonts w:eastAsia="Arial"/>
                <w:vertAlign w:val="superscript"/>
              </w:rPr>
              <w:t xml:space="preserve"> </w:t>
            </w:r>
            <w:r w:rsidRPr="0067251A">
              <w:rPr>
                <w:rFonts w:eastAsia="Arial"/>
              </w:rPr>
              <w:t>= 1</w:t>
            </w:r>
            <w:r>
              <w:rPr>
                <w:rFonts w:eastAsia="Arial"/>
              </w:rPr>
              <w:t>0</w:t>
            </w:r>
            <w:r w:rsidRPr="0067251A">
              <w:rPr>
                <w:rFonts w:eastAsia="Arial"/>
              </w:rPr>
              <w:t>.</w:t>
            </w:r>
            <w:r>
              <w:rPr>
                <w:rFonts w:eastAsia="Arial"/>
              </w:rPr>
              <w:t>12</w:t>
            </w:r>
            <w:r w:rsidRPr="0067251A">
              <w:rPr>
                <w:rFonts w:eastAsia="Arial"/>
              </w:rPr>
              <w:t xml:space="preserve">, </w:t>
            </w:r>
            <w:r w:rsidRPr="0067251A">
              <w:rPr>
                <w:rFonts w:eastAsia="Arial"/>
                <w:i/>
                <w:iCs/>
              </w:rPr>
              <w:t xml:space="preserve">p </w:t>
            </w:r>
            <w:r w:rsidRPr="0067251A">
              <w:rPr>
                <w:rFonts w:eastAsia="Arial"/>
              </w:rPr>
              <w:t>= .001</w:t>
            </w:r>
            <w:r>
              <w:rPr>
                <w:rFonts w:eastAsia="Arial"/>
              </w:rPr>
              <w:t>,</w:t>
            </w:r>
            <w:r w:rsidRPr="005B0AEA">
              <w:rPr>
                <w:rFonts w:eastAsia="Arial"/>
                <w:i/>
                <w:iCs/>
              </w:rPr>
              <w:t xml:space="preserve"> V</w:t>
            </w:r>
            <w:r>
              <w:rPr>
                <w:rFonts w:eastAsia="Arial"/>
              </w:rPr>
              <w:t xml:space="preserve"> = .27</w:t>
            </w:r>
          </w:p>
        </w:tc>
      </w:tr>
      <w:tr w:rsidR="006F5B0C" w14:paraId="300426B9" w14:textId="77777777" w:rsidTr="00370644">
        <w:tc>
          <w:tcPr>
            <w:tcW w:w="3261" w:type="dxa"/>
            <w:tcBorders>
              <w:top w:val="nil"/>
              <w:left w:val="nil"/>
              <w:bottom w:val="nil"/>
              <w:right w:val="nil"/>
            </w:tcBorders>
          </w:tcPr>
          <w:p w14:paraId="4A717805" w14:textId="77777777" w:rsidR="006F5B0C" w:rsidRDefault="006F5B0C" w:rsidP="00EA1A0F">
            <w:pPr>
              <w:spacing w:line="480" w:lineRule="auto"/>
              <w:ind w:left="321"/>
              <w:rPr>
                <w:rFonts w:eastAsia="Times New Roman"/>
                <w:lang w:val="en-US" w:eastAsia="en-GB"/>
              </w:rPr>
            </w:pPr>
            <w:r>
              <w:rPr>
                <w:rFonts w:eastAsia="Times New Roman"/>
                <w:lang w:val="en-US" w:eastAsia="en-GB"/>
              </w:rPr>
              <w:t>Full-time</w:t>
            </w:r>
            <w:r w:rsidRPr="00370644">
              <w:rPr>
                <w:rFonts w:eastAsia="Times New Roman"/>
                <w:vertAlign w:val="superscript"/>
                <w:lang w:val="en-US" w:eastAsia="en-GB"/>
              </w:rPr>
              <w:t>3</w:t>
            </w:r>
          </w:p>
        </w:tc>
        <w:tc>
          <w:tcPr>
            <w:tcW w:w="1701" w:type="dxa"/>
            <w:tcBorders>
              <w:top w:val="nil"/>
              <w:left w:val="nil"/>
              <w:bottom w:val="nil"/>
              <w:right w:val="nil"/>
            </w:tcBorders>
          </w:tcPr>
          <w:p w14:paraId="7E164489" w14:textId="77777777" w:rsidR="006F5B0C" w:rsidRDefault="006F5B0C" w:rsidP="00EA1A0F">
            <w:pPr>
              <w:spacing w:line="480" w:lineRule="auto"/>
              <w:rPr>
                <w:rFonts w:eastAsia="Times New Roman"/>
                <w:lang w:val="en-US" w:eastAsia="en-GB"/>
              </w:rPr>
            </w:pPr>
            <w:r>
              <w:rPr>
                <w:rFonts w:eastAsia="Times New Roman"/>
                <w:lang w:val="en-US" w:eastAsia="en-GB"/>
              </w:rPr>
              <w:t>36 (63.2)</w:t>
            </w:r>
            <w:r w:rsidRPr="00FC126F">
              <w:rPr>
                <w:rFonts w:eastAsia="Times New Roman"/>
                <w:sz w:val="20"/>
                <w:szCs w:val="20"/>
                <w:vertAlign w:val="superscript"/>
                <w:lang w:val="en-US" w:eastAsia="en-GB"/>
              </w:rPr>
              <w:t xml:space="preserve"> </w:t>
            </w:r>
          </w:p>
        </w:tc>
        <w:tc>
          <w:tcPr>
            <w:tcW w:w="2127" w:type="dxa"/>
            <w:tcBorders>
              <w:top w:val="nil"/>
              <w:left w:val="nil"/>
              <w:bottom w:val="nil"/>
              <w:right w:val="nil"/>
            </w:tcBorders>
          </w:tcPr>
          <w:p w14:paraId="37502B1D" w14:textId="77777777" w:rsidR="006F5B0C" w:rsidRDefault="006F5B0C" w:rsidP="00EA1A0F">
            <w:pPr>
              <w:spacing w:line="480" w:lineRule="auto"/>
              <w:rPr>
                <w:rFonts w:eastAsia="Times New Roman"/>
                <w:lang w:val="en-US" w:eastAsia="en-GB"/>
              </w:rPr>
            </w:pPr>
            <w:r>
              <w:rPr>
                <w:rFonts w:eastAsia="Times New Roman"/>
                <w:lang w:val="en-US" w:eastAsia="en-GB"/>
              </w:rPr>
              <w:t>74 (86.0)</w:t>
            </w:r>
          </w:p>
        </w:tc>
        <w:tc>
          <w:tcPr>
            <w:tcW w:w="3543" w:type="dxa"/>
            <w:tcBorders>
              <w:top w:val="nil"/>
              <w:left w:val="nil"/>
              <w:bottom w:val="nil"/>
              <w:right w:val="nil"/>
            </w:tcBorders>
          </w:tcPr>
          <w:p w14:paraId="1992CE61" w14:textId="77777777" w:rsidR="006F5B0C" w:rsidRDefault="006F5B0C" w:rsidP="00EA1A0F">
            <w:pPr>
              <w:spacing w:line="480" w:lineRule="auto"/>
              <w:rPr>
                <w:rFonts w:eastAsia="Times New Roman"/>
                <w:lang w:val="en-US" w:eastAsia="en-GB"/>
              </w:rPr>
            </w:pPr>
          </w:p>
        </w:tc>
      </w:tr>
      <w:tr w:rsidR="006F5B0C" w14:paraId="00E97472" w14:textId="77777777" w:rsidTr="00370644">
        <w:tc>
          <w:tcPr>
            <w:tcW w:w="3261" w:type="dxa"/>
            <w:tcBorders>
              <w:top w:val="nil"/>
              <w:left w:val="nil"/>
              <w:bottom w:val="nil"/>
              <w:right w:val="nil"/>
            </w:tcBorders>
          </w:tcPr>
          <w:p w14:paraId="2A4E45A0" w14:textId="77777777" w:rsidR="006F5B0C" w:rsidRDefault="006F5B0C" w:rsidP="00EA1A0F">
            <w:pPr>
              <w:spacing w:line="480" w:lineRule="auto"/>
              <w:ind w:left="321"/>
              <w:rPr>
                <w:rFonts w:eastAsia="Times New Roman"/>
                <w:lang w:val="en-US" w:eastAsia="en-GB"/>
              </w:rPr>
            </w:pPr>
            <w:r>
              <w:rPr>
                <w:rFonts w:eastAsia="Times New Roman"/>
                <w:lang w:val="en-US" w:eastAsia="en-GB"/>
              </w:rPr>
              <w:t>Part-time</w:t>
            </w:r>
            <w:r w:rsidRPr="00FC126F">
              <w:rPr>
                <w:rFonts w:eastAsia="Times New Roman"/>
                <w:sz w:val="20"/>
                <w:szCs w:val="20"/>
                <w:vertAlign w:val="superscript"/>
                <w:lang w:val="en-US" w:eastAsia="en-GB"/>
              </w:rPr>
              <w:t xml:space="preserve"> </w:t>
            </w:r>
            <w:r w:rsidRPr="00370644">
              <w:rPr>
                <w:rFonts w:eastAsia="Times New Roman"/>
                <w:vertAlign w:val="superscript"/>
                <w:lang w:val="en-US" w:eastAsia="en-GB"/>
              </w:rPr>
              <w:t>3</w:t>
            </w:r>
          </w:p>
        </w:tc>
        <w:tc>
          <w:tcPr>
            <w:tcW w:w="1701" w:type="dxa"/>
            <w:tcBorders>
              <w:top w:val="nil"/>
              <w:left w:val="nil"/>
              <w:bottom w:val="nil"/>
              <w:right w:val="nil"/>
            </w:tcBorders>
          </w:tcPr>
          <w:p w14:paraId="17D1CA5E" w14:textId="77777777" w:rsidR="006F5B0C" w:rsidRDefault="006F5B0C" w:rsidP="00EA1A0F">
            <w:pPr>
              <w:spacing w:line="480" w:lineRule="auto"/>
              <w:rPr>
                <w:rFonts w:eastAsia="Times New Roman"/>
                <w:lang w:val="en-US" w:eastAsia="en-GB"/>
              </w:rPr>
            </w:pPr>
            <w:r>
              <w:rPr>
                <w:rFonts w:eastAsia="Times New Roman"/>
                <w:lang w:val="en-US" w:eastAsia="en-GB"/>
              </w:rPr>
              <w:t>21 (36.8)</w:t>
            </w:r>
          </w:p>
        </w:tc>
        <w:tc>
          <w:tcPr>
            <w:tcW w:w="2127" w:type="dxa"/>
            <w:tcBorders>
              <w:top w:val="nil"/>
              <w:left w:val="nil"/>
              <w:bottom w:val="nil"/>
              <w:right w:val="nil"/>
            </w:tcBorders>
          </w:tcPr>
          <w:p w14:paraId="664D3750" w14:textId="77777777" w:rsidR="006F5B0C" w:rsidRDefault="006F5B0C" w:rsidP="00EA1A0F">
            <w:pPr>
              <w:spacing w:line="480" w:lineRule="auto"/>
              <w:rPr>
                <w:rFonts w:eastAsia="Times New Roman"/>
                <w:lang w:val="en-US" w:eastAsia="en-GB"/>
              </w:rPr>
            </w:pPr>
            <w:r>
              <w:rPr>
                <w:rFonts w:eastAsia="Times New Roman"/>
                <w:lang w:val="en-US" w:eastAsia="en-GB"/>
              </w:rPr>
              <w:t>12 (14.0)</w:t>
            </w:r>
          </w:p>
        </w:tc>
        <w:tc>
          <w:tcPr>
            <w:tcW w:w="3543" w:type="dxa"/>
            <w:tcBorders>
              <w:top w:val="nil"/>
              <w:left w:val="nil"/>
              <w:bottom w:val="nil"/>
              <w:right w:val="nil"/>
            </w:tcBorders>
          </w:tcPr>
          <w:p w14:paraId="3B4FD69F" w14:textId="77777777" w:rsidR="006F5B0C" w:rsidRDefault="006F5B0C" w:rsidP="00EA1A0F">
            <w:pPr>
              <w:spacing w:line="480" w:lineRule="auto"/>
              <w:rPr>
                <w:rFonts w:eastAsia="Times New Roman"/>
                <w:lang w:val="en-US" w:eastAsia="en-GB"/>
              </w:rPr>
            </w:pPr>
          </w:p>
        </w:tc>
      </w:tr>
      <w:tr w:rsidR="006F5B0C" w14:paraId="5B826FB0" w14:textId="77777777" w:rsidTr="00370644">
        <w:tc>
          <w:tcPr>
            <w:tcW w:w="3261" w:type="dxa"/>
            <w:tcBorders>
              <w:top w:val="nil"/>
              <w:left w:val="nil"/>
              <w:bottom w:val="nil"/>
              <w:right w:val="nil"/>
            </w:tcBorders>
          </w:tcPr>
          <w:p w14:paraId="1724F55C" w14:textId="77777777" w:rsidR="006F5B0C" w:rsidRDefault="006F5B0C" w:rsidP="00EA1A0F">
            <w:pPr>
              <w:spacing w:line="480" w:lineRule="auto"/>
              <w:rPr>
                <w:rFonts w:eastAsia="Times New Roman"/>
                <w:lang w:val="en-US" w:eastAsia="en-GB"/>
              </w:rPr>
            </w:pPr>
            <w:r>
              <w:rPr>
                <w:rFonts w:eastAsia="Times New Roman"/>
                <w:lang w:val="en-US" w:eastAsia="en-GB"/>
              </w:rPr>
              <w:t>HE institution:</w:t>
            </w:r>
          </w:p>
        </w:tc>
        <w:tc>
          <w:tcPr>
            <w:tcW w:w="1701" w:type="dxa"/>
            <w:tcBorders>
              <w:top w:val="nil"/>
              <w:left w:val="nil"/>
              <w:bottom w:val="nil"/>
              <w:right w:val="nil"/>
            </w:tcBorders>
          </w:tcPr>
          <w:p w14:paraId="7FE589E2" w14:textId="77777777" w:rsidR="006F5B0C" w:rsidRDefault="006F5B0C" w:rsidP="00EA1A0F">
            <w:pPr>
              <w:spacing w:line="480" w:lineRule="auto"/>
              <w:rPr>
                <w:rFonts w:eastAsia="Times New Roman"/>
                <w:lang w:val="en-US" w:eastAsia="en-GB"/>
              </w:rPr>
            </w:pPr>
          </w:p>
        </w:tc>
        <w:tc>
          <w:tcPr>
            <w:tcW w:w="2127" w:type="dxa"/>
            <w:tcBorders>
              <w:top w:val="nil"/>
              <w:left w:val="nil"/>
              <w:bottom w:val="nil"/>
              <w:right w:val="nil"/>
            </w:tcBorders>
          </w:tcPr>
          <w:p w14:paraId="23E7A90A" w14:textId="77777777" w:rsidR="006F5B0C" w:rsidRDefault="006F5B0C" w:rsidP="00EA1A0F">
            <w:pPr>
              <w:spacing w:line="480" w:lineRule="auto"/>
              <w:rPr>
                <w:rFonts w:eastAsia="Times New Roman"/>
                <w:lang w:val="en-US" w:eastAsia="en-GB"/>
              </w:rPr>
            </w:pPr>
          </w:p>
        </w:tc>
        <w:tc>
          <w:tcPr>
            <w:tcW w:w="3543" w:type="dxa"/>
            <w:tcBorders>
              <w:top w:val="nil"/>
              <w:left w:val="nil"/>
              <w:bottom w:val="nil"/>
              <w:right w:val="nil"/>
            </w:tcBorders>
          </w:tcPr>
          <w:p w14:paraId="094C9F28" w14:textId="77777777" w:rsidR="006F5B0C" w:rsidRPr="00666802" w:rsidRDefault="006F5B0C" w:rsidP="00EA1A0F">
            <w:pPr>
              <w:spacing w:line="480" w:lineRule="auto"/>
              <w:rPr>
                <w:rFonts w:eastAsia="Arial"/>
              </w:rPr>
            </w:pPr>
            <w:r w:rsidRPr="00666802">
              <w:rPr>
                <w:rFonts w:eastAsia="Arial"/>
              </w:rPr>
              <w:t>χ</w:t>
            </w:r>
            <w:r w:rsidRPr="00666802">
              <w:rPr>
                <w:rFonts w:eastAsia="Arial"/>
                <w:vertAlign w:val="superscript"/>
              </w:rPr>
              <w:t>2</w:t>
            </w:r>
            <w:r w:rsidRPr="00666802">
              <w:rPr>
                <w:rFonts w:eastAsia="Arial"/>
              </w:rPr>
              <w:t xml:space="preserve"> (1)</w:t>
            </w:r>
            <w:r w:rsidRPr="00666802">
              <w:rPr>
                <w:rFonts w:eastAsia="Arial"/>
                <w:vertAlign w:val="superscript"/>
              </w:rPr>
              <w:t xml:space="preserve"> </w:t>
            </w:r>
            <w:r w:rsidRPr="00666802">
              <w:rPr>
                <w:rFonts w:eastAsia="Arial"/>
              </w:rPr>
              <w:t xml:space="preserve">= 16.51, </w:t>
            </w:r>
            <w:r w:rsidRPr="00666802">
              <w:rPr>
                <w:rFonts w:eastAsia="Arial"/>
                <w:i/>
                <w:iCs/>
              </w:rPr>
              <w:t xml:space="preserve">p </w:t>
            </w:r>
            <w:r w:rsidRPr="00666802">
              <w:rPr>
                <w:rFonts w:eastAsia="Arial"/>
              </w:rPr>
              <w:t>= .001</w:t>
            </w:r>
            <w:r>
              <w:rPr>
                <w:rFonts w:eastAsia="Arial"/>
              </w:rPr>
              <w:t>,</w:t>
            </w:r>
            <w:r w:rsidRPr="005B0AEA">
              <w:rPr>
                <w:rFonts w:eastAsia="Arial"/>
                <w:i/>
                <w:iCs/>
              </w:rPr>
              <w:t xml:space="preserve"> V</w:t>
            </w:r>
            <w:r>
              <w:rPr>
                <w:rFonts w:eastAsia="Arial"/>
              </w:rPr>
              <w:t xml:space="preserve"> = .34</w:t>
            </w:r>
          </w:p>
        </w:tc>
      </w:tr>
      <w:tr w:rsidR="006F5B0C" w14:paraId="580F317F" w14:textId="77777777" w:rsidTr="00370644">
        <w:tc>
          <w:tcPr>
            <w:tcW w:w="3261" w:type="dxa"/>
            <w:tcBorders>
              <w:top w:val="nil"/>
              <w:left w:val="nil"/>
              <w:bottom w:val="nil"/>
              <w:right w:val="nil"/>
            </w:tcBorders>
          </w:tcPr>
          <w:p w14:paraId="36038895" w14:textId="18BB7905" w:rsidR="006F5B0C" w:rsidRDefault="006F5B0C" w:rsidP="00EA1A0F">
            <w:pPr>
              <w:spacing w:line="480" w:lineRule="auto"/>
              <w:ind w:left="321"/>
              <w:rPr>
                <w:rFonts w:eastAsia="Times New Roman"/>
                <w:lang w:val="en-US" w:eastAsia="en-GB"/>
              </w:rPr>
            </w:pPr>
            <w:r>
              <w:rPr>
                <w:rFonts w:eastAsia="Times New Roman"/>
                <w:lang w:val="en-US" w:eastAsia="en-GB"/>
              </w:rPr>
              <w:t>TAFE/</w:t>
            </w:r>
            <w:r w:rsidR="001446E1">
              <w:rPr>
                <w:rFonts w:eastAsia="Times New Roman"/>
                <w:lang w:val="en-US" w:eastAsia="en-GB"/>
              </w:rPr>
              <w:t>community c</w:t>
            </w:r>
            <w:r>
              <w:rPr>
                <w:rFonts w:eastAsia="Times New Roman"/>
                <w:lang w:val="en-US" w:eastAsia="en-GB"/>
              </w:rPr>
              <w:t>ollege</w:t>
            </w:r>
            <w:r w:rsidRPr="00FC126F">
              <w:rPr>
                <w:rFonts w:eastAsia="Times New Roman"/>
                <w:sz w:val="20"/>
                <w:szCs w:val="20"/>
                <w:vertAlign w:val="superscript"/>
                <w:lang w:val="en-US" w:eastAsia="en-GB"/>
              </w:rPr>
              <w:t xml:space="preserve"> </w:t>
            </w:r>
            <w:r w:rsidRPr="00370644">
              <w:rPr>
                <w:rFonts w:eastAsia="Times New Roman"/>
                <w:vertAlign w:val="superscript"/>
                <w:lang w:val="en-US" w:eastAsia="en-GB"/>
              </w:rPr>
              <w:t>3</w:t>
            </w:r>
          </w:p>
        </w:tc>
        <w:tc>
          <w:tcPr>
            <w:tcW w:w="1701" w:type="dxa"/>
            <w:tcBorders>
              <w:top w:val="nil"/>
              <w:left w:val="nil"/>
              <w:bottom w:val="nil"/>
              <w:right w:val="nil"/>
            </w:tcBorders>
          </w:tcPr>
          <w:p w14:paraId="409B8735" w14:textId="77777777" w:rsidR="006F5B0C" w:rsidRDefault="006F5B0C" w:rsidP="00EA1A0F">
            <w:pPr>
              <w:spacing w:line="480" w:lineRule="auto"/>
              <w:rPr>
                <w:rFonts w:eastAsia="Times New Roman"/>
                <w:lang w:val="en-US" w:eastAsia="en-GB"/>
              </w:rPr>
            </w:pPr>
            <w:r>
              <w:rPr>
                <w:rFonts w:eastAsia="Times New Roman"/>
                <w:lang w:val="en-US" w:eastAsia="en-GB"/>
              </w:rPr>
              <w:t>19 (33.3)</w:t>
            </w:r>
            <w:r w:rsidRPr="00FC126F">
              <w:rPr>
                <w:rFonts w:eastAsia="Times New Roman"/>
                <w:sz w:val="20"/>
                <w:szCs w:val="20"/>
                <w:vertAlign w:val="superscript"/>
                <w:lang w:val="en-US" w:eastAsia="en-GB"/>
              </w:rPr>
              <w:t xml:space="preserve"> </w:t>
            </w:r>
          </w:p>
        </w:tc>
        <w:tc>
          <w:tcPr>
            <w:tcW w:w="2127" w:type="dxa"/>
            <w:tcBorders>
              <w:top w:val="nil"/>
              <w:left w:val="nil"/>
              <w:bottom w:val="nil"/>
              <w:right w:val="nil"/>
            </w:tcBorders>
          </w:tcPr>
          <w:p w14:paraId="299ED63F" w14:textId="77777777" w:rsidR="006F5B0C" w:rsidRDefault="006F5B0C" w:rsidP="00EA1A0F">
            <w:pPr>
              <w:spacing w:line="480" w:lineRule="auto"/>
              <w:rPr>
                <w:rFonts w:eastAsia="Times New Roman"/>
                <w:lang w:val="en-US" w:eastAsia="en-GB"/>
              </w:rPr>
            </w:pPr>
            <w:r>
              <w:rPr>
                <w:rFonts w:eastAsia="Times New Roman"/>
                <w:lang w:val="en-US" w:eastAsia="en-GB"/>
              </w:rPr>
              <w:t>6 (7.0)</w:t>
            </w:r>
          </w:p>
        </w:tc>
        <w:tc>
          <w:tcPr>
            <w:tcW w:w="3543" w:type="dxa"/>
            <w:tcBorders>
              <w:top w:val="nil"/>
              <w:left w:val="nil"/>
              <w:bottom w:val="nil"/>
              <w:right w:val="nil"/>
            </w:tcBorders>
          </w:tcPr>
          <w:p w14:paraId="4D8DE822" w14:textId="77777777" w:rsidR="006F5B0C" w:rsidRDefault="006F5B0C" w:rsidP="00EA1A0F">
            <w:pPr>
              <w:spacing w:line="480" w:lineRule="auto"/>
              <w:rPr>
                <w:rFonts w:eastAsia="Times New Roman"/>
                <w:lang w:val="en-US" w:eastAsia="en-GB"/>
              </w:rPr>
            </w:pPr>
          </w:p>
        </w:tc>
      </w:tr>
      <w:tr w:rsidR="006F5B0C" w14:paraId="42287F39" w14:textId="77777777" w:rsidTr="00370644">
        <w:tc>
          <w:tcPr>
            <w:tcW w:w="3261" w:type="dxa"/>
            <w:tcBorders>
              <w:top w:val="nil"/>
              <w:left w:val="nil"/>
              <w:bottom w:val="single" w:sz="4" w:space="0" w:color="auto"/>
              <w:right w:val="nil"/>
            </w:tcBorders>
          </w:tcPr>
          <w:p w14:paraId="59EACA79" w14:textId="77777777" w:rsidR="006F5B0C" w:rsidRDefault="006F5B0C" w:rsidP="00EA1A0F">
            <w:pPr>
              <w:spacing w:line="480" w:lineRule="auto"/>
              <w:ind w:left="321"/>
              <w:rPr>
                <w:rFonts w:eastAsia="Times New Roman"/>
                <w:lang w:val="en-US" w:eastAsia="en-GB"/>
              </w:rPr>
            </w:pPr>
            <w:r>
              <w:rPr>
                <w:rFonts w:eastAsia="Times New Roman"/>
                <w:lang w:val="en-US" w:eastAsia="en-GB"/>
              </w:rPr>
              <w:t>University</w:t>
            </w:r>
            <w:r w:rsidRPr="00FC126F">
              <w:rPr>
                <w:rFonts w:eastAsia="Times New Roman"/>
                <w:sz w:val="20"/>
                <w:szCs w:val="20"/>
                <w:vertAlign w:val="superscript"/>
                <w:lang w:val="en-US" w:eastAsia="en-GB"/>
              </w:rPr>
              <w:t xml:space="preserve"> </w:t>
            </w:r>
            <w:r w:rsidRPr="00370644">
              <w:rPr>
                <w:rFonts w:eastAsia="Times New Roman"/>
                <w:vertAlign w:val="superscript"/>
                <w:lang w:val="en-US" w:eastAsia="en-GB"/>
              </w:rPr>
              <w:t>3</w:t>
            </w:r>
            <w:r w:rsidRPr="00370644">
              <w:rPr>
                <w:rFonts w:eastAsia="Times New Roman"/>
                <w:sz w:val="32"/>
                <w:szCs w:val="32"/>
                <w:lang w:val="en-US" w:eastAsia="en-GB"/>
              </w:rPr>
              <w:t xml:space="preserve"> </w:t>
            </w:r>
          </w:p>
        </w:tc>
        <w:tc>
          <w:tcPr>
            <w:tcW w:w="1701" w:type="dxa"/>
            <w:tcBorders>
              <w:top w:val="nil"/>
              <w:left w:val="nil"/>
              <w:bottom w:val="single" w:sz="4" w:space="0" w:color="auto"/>
              <w:right w:val="nil"/>
            </w:tcBorders>
          </w:tcPr>
          <w:p w14:paraId="1F666F08" w14:textId="77777777" w:rsidR="006F5B0C" w:rsidRDefault="006F5B0C" w:rsidP="00EA1A0F">
            <w:pPr>
              <w:spacing w:line="480" w:lineRule="auto"/>
              <w:rPr>
                <w:rFonts w:eastAsia="Times New Roman"/>
                <w:lang w:val="en-US" w:eastAsia="en-GB"/>
              </w:rPr>
            </w:pPr>
            <w:r>
              <w:rPr>
                <w:rFonts w:eastAsia="Times New Roman"/>
                <w:lang w:val="en-US" w:eastAsia="en-GB"/>
              </w:rPr>
              <w:t>38 (66.7)</w:t>
            </w:r>
            <w:r w:rsidRPr="00FC126F">
              <w:rPr>
                <w:rFonts w:eastAsia="Times New Roman"/>
                <w:sz w:val="20"/>
                <w:szCs w:val="20"/>
                <w:vertAlign w:val="superscript"/>
                <w:lang w:val="en-US" w:eastAsia="en-GB"/>
              </w:rPr>
              <w:t xml:space="preserve"> </w:t>
            </w:r>
          </w:p>
        </w:tc>
        <w:tc>
          <w:tcPr>
            <w:tcW w:w="2127" w:type="dxa"/>
            <w:tcBorders>
              <w:top w:val="nil"/>
              <w:left w:val="nil"/>
              <w:bottom w:val="single" w:sz="4" w:space="0" w:color="auto"/>
              <w:right w:val="nil"/>
            </w:tcBorders>
          </w:tcPr>
          <w:p w14:paraId="37BE4F09" w14:textId="77777777" w:rsidR="006F5B0C" w:rsidRDefault="006F5B0C" w:rsidP="00EA1A0F">
            <w:pPr>
              <w:spacing w:line="480" w:lineRule="auto"/>
              <w:rPr>
                <w:rFonts w:eastAsia="Times New Roman"/>
                <w:lang w:val="en-US" w:eastAsia="en-GB"/>
              </w:rPr>
            </w:pPr>
            <w:r>
              <w:rPr>
                <w:rFonts w:eastAsia="Times New Roman"/>
                <w:lang w:val="en-US" w:eastAsia="en-GB"/>
              </w:rPr>
              <w:t>80 (93.0)</w:t>
            </w:r>
          </w:p>
        </w:tc>
        <w:tc>
          <w:tcPr>
            <w:tcW w:w="3543" w:type="dxa"/>
            <w:tcBorders>
              <w:top w:val="nil"/>
              <w:left w:val="nil"/>
              <w:bottom w:val="single" w:sz="4" w:space="0" w:color="auto"/>
              <w:right w:val="nil"/>
            </w:tcBorders>
          </w:tcPr>
          <w:p w14:paraId="1AEAF0E7" w14:textId="77777777" w:rsidR="006F5B0C" w:rsidRDefault="006F5B0C" w:rsidP="00EA1A0F">
            <w:pPr>
              <w:spacing w:line="480" w:lineRule="auto"/>
              <w:rPr>
                <w:rFonts w:eastAsia="Times New Roman"/>
                <w:lang w:val="en-US" w:eastAsia="en-GB"/>
              </w:rPr>
            </w:pPr>
          </w:p>
        </w:tc>
      </w:tr>
    </w:tbl>
    <w:p w14:paraId="39FA3FC0" w14:textId="77777777" w:rsidR="006F5B0C" w:rsidRPr="00FC126F" w:rsidRDefault="006F5B0C" w:rsidP="006F5B0C">
      <w:pPr>
        <w:spacing w:after="0" w:line="480" w:lineRule="auto"/>
        <w:rPr>
          <w:rFonts w:eastAsia="Times New Roman"/>
          <w:sz w:val="20"/>
          <w:szCs w:val="20"/>
          <w:lang w:val="en-US" w:eastAsia="en-GB"/>
        </w:rPr>
      </w:pPr>
      <w:r w:rsidRPr="00370644">
        <w:rPr>
          <w:rFonts w:eastAsia="Times New Roman"/>
          <w:vertAlign w:val="superscript"/>
          <w:lang w:val="en-US" w:eastAsia="en-GB"/>
        </w:rPr>
        <w:t>1</w:t>
      </w:r>
      <w:r w:rsidRPr="00B54F4A">
        <w:rPr>
          <w:rFonts w:eastAsia="Times New Roman"/>
          <w:sz w:val="20"/>
          <w:szCs w:val="20"/>
          <w:vertAlign w:val="superscript"/>
          <w:lang w:val="en-US" w:eastAsia="en-GB"/>
        </w:rPr>
        <w:t xml:space="preserve"> </w:t>
      </w:r>
      <w:r w:rsidRPr="00B54F4A">
        <w:rPr>
          <w:rFonts w:eastAsia="Times New Roman"/>
          <w:sz w:val="20"/>
          <w:szCs w:val="20"/>
          <w:lang w:val="en-US" w:eastAsia="en-GB"/>
        </w:rPr>
        <w:t xml:space="preserve">% </w:t>
      </w:r>
      <w:r>
        <w:rPr>
          <w:rFonts w:eastAsia="Times New Roman"/>
          <w:sz w:val="20"/>
          <w:szCs w:val="20"/>
          <w:lang w:val="en-US" w:eastAsia="en-GB"/>
        </w:rPr>
        <w:t>from within the whole sample</w:t>
      </w:r>
      <w:r w:rsidRPr="00B54F4A">
        <w:rPr>
          <w:rFonts w:eastAsia="Times New Roman"/>
          <w:sz w:val="20"/>
          <w:szCs w:val="20"/>
          <w:lang w:val="en-US" w:eastAsia="en-GB"/>
        </w:rPr>
        <w:t xml:space="preserve">. </w:t>
      </w:r>
      <w:r w:rsidRPr="00370644">
        <w:rPr>
          <w:rFonts w:eastAsia="Times New Roman"/>
          <w:vertAlign w:val="superscript"/>
          <w:lang w:val="en-US" w:eastAsia="en-GB"/>
        </w:rPr>
        <w:t>2</w:t>
      </w:r>
      <w:r w:rsidRPr="00B54F4A">
        <w:rPr>
          <w:rFonts w:eastAsia="Times New Roman"/>
          <w:sz w:val="20"/>
          <w:szCs w:val="20"/>
          <w:lang w:val="en-US" w:eastAsia="en-GB"/>
        </w:rPr>
        <w:t xml:space="preserve"> % </w:t>
      </w:r>
      <w:r>
        <w:rPr>
          <w:rFonts w:eastAsia="Times New Roman"/>
          <w:sz w:val="20"/>
          <w:szCs w:val="20"/>
          <w:lang w:val="en-US" w:eastAsia="en-GB"/>
        </w:rPr>
        <w:t>from among</w:t>
      </w:r>
      <w:r w:rsidRPr="00B54F4A">
        <w:rPr>
          <w:rFonts w:eastAsia="Times New Roman"/>
          <w:sz w:val="20"/>
          <w:szCs w:val="20"/>
          <w:lang w:val="en-US" w:eastAsia="en-GB"/>
        </w:rPr>
        <w:t xml:space="preserve"> </w:t>
      </w:r>
      <w:r>
        <w:rPr>
          <w:rFonts w:eastAsia="Times New Roman"/>
          <w:sz w:val="20"/>
          <w:szCs w:val="20"/>
          <w:lang w:val="en-US" w:eastAsia="en-GB"/>
        </w:rPr>
        <w:t xml:space="preserve">only </w:t>
      </w:r>
      <w:r w:rsidRPr="00B54F4A">
        <w:rPr>
          <w:rFonts w:eastAsia="Times New Roman"/>
          <w:sz w:val="20"/>
          <w:szCs w:val="20"/>
          <w:lang w:val="en-US" w:eastAsia="en-GB"/>
        </w:rPr>
        <w:t xml:space="preserve">those who </w:t>
      </w:r>
      <w:r>
        <w:rPr>
          <w:rFonts w:eastAsia="Times New Roman"/>
          <w:sz w:val="20"/>
          <w:szCs w:val="20"/>
          <w:lang w:val="en-US" w:eastAsia="en-GB"/>
        </w:rPr>
        <w:t>were</w:t>
      </w:r>
      <w:r w:rsidRPr="00B54F4A">
        <w:rPr>
          <w:rFonts w:eastAsia="Times New Roman"/>
          <w:sz w:val="20"/>
          <w:szCs w:val="20"/>
          <w:lang w:val="en-US" w:eastAsia="en-GB"/>
        </w:rPr>
        <w:t xml:space="preserve"> not currently studyi</w:t>
      </w:r>
      <w:r>
        <w:rPr>
          <w:rFonts w:eastAsia="Times New Roman"/>
          <w:sz w:val="20"/>
          <w:szCs w:val="20"/>
          <w:lang w:val="en-US" w:eastAsia="en-GB"/>
        </w:rPr>
        <w:t>ng</w:t>
      </w:r>
      <w:r w:rsidRPr="00B54F4A">
        <w:rPr>
          <w:rFonts w:eastAsia="Times New Roman"/>
          <w:sz w:val="20"/>
          <w:szCs w:val="20"/>
          <w:lang w:val="en-US" w:eastAsia="en-GB"/>
        </w:rPr>
        <w:t xml:space="preserve">. </w:t>
      </w:r>
      <w:r w:rsidRPr="00370644">
        <w:rPr>
          <w:rFonts w:eastAsia="Times New Roman"/>
          <w:vertAlign w:val="superscript"/>
          <w:lang w:val="en-US" w:eastAsia="en-GB"/>
        </w:rPr>
        <w:t xml:space="preserve">3 </w:t>
      </w:r>
      <w:r>
        <w:rPr>
          <w:rFonts w:eastAsia="Times New Roman"/>
          <w:sz w:val="20"/>
          <w:szCs w:val="20"/>
          <w:lang w:val="en-US" w:eastAsia="en-GB"/>
        </w:rPr>
        <w:t>% from among those who were currently studying.</w:t>
      </w:r>
    </w:p>
    <w:p w14:paraId="506C6A89" w14:textId="77777777" w:rsidR="006F5B0C" w:rsidRPr="009F150B" w:rsidRDefault="006F5B0C" w:rsidP="006F5B0C">
      <w:pPr>
        <w:spacing w:after="0" w:line="480" w:lineRule="auto"/>
        <w:rPr>
          <w:rFonts w:eastAsia="Times New Roman"/>
          <w:lang w:val="en-US" w:eastAsia="en-GB"/>
        </w:rPr>
      </w:pPr>
    </w:p>
    <w:p w14:paraId="596C0DC2" w14:textId="77777777" w:rsidR="00615310" w:rsidRDefault="00615310" w:rsidP="002A3017">
      <w:pPr>
        <w:spacing w:after="0" w:line="480" w:lineRule="auto"/>
        <w:ind w:left="720" w:hanging="720"/>
        <w:rPr>
          <w:rFonts w:eastAsia="Times New Roman"/>
          <w:lang w:eastAsia="en-GB"/>
        </w:rPr>
        <w:sectPr w:rsidR="00615310">
          <w:pgSz w:w="11906" w:h="16838"/>
          <w:pgMar w:top="1440" w:right="1440" w:bottom="1440" w:left="1440" w:header="708" w:footer="708" w:gutter="0"/>
          <w:cols w:space="708"/>
          <w:docGrid w:linePitch="360"/>
        </w:sectPr>
      </w:pPr>
    </w:p>
    <w:p w14:paraId="2158B221" w14:textId="77777777" w:rsidR="00615310" w:rsidRPr="003E5BBB" w:rsidRDefault="00615310" w:rsidP="00615310">
      <w:pPr>
        <w:spacing w:line="480" w:lineRule="auto"/>
        <w:rPr>
          <w:rFonts w:eastAsia="Times New Roman"/>
          <w:lang w:val="en-US" w:eastAsia="en-GB"/>
        </w:rPr>
      </w:pPr>
      <w:r w:rsidRPr="003E5BBB">
        <w:rPr>
          <w:rFonts w:eastAsia="Times New Roman"/>
          <w:lang w:val="en-US" w:eastAsia="en-GB"/>
        </w:rPr>
        <w:lastRenderedPageBreak/>
        <w:t xml:space="preserve">Table </w:t>
      </w:r>
      <w:r>
        <w:rPr>
          <w:rFonts w:eastAsia="Times New Roman"/>
          <w:lang w:val="en-US" w:eastAsia="en-GB"/>
        </w:rPr>
        <w:t>II</w:t>
      </w:r>
    </w:p>
    <w:p w14:paraId="62B66FFB" w14:textId="77777777" w:rsidR="00615310" w:rsidRPr="003E5BBB" w:rsidRDefault="00615310" w:rsidP="00615310">
      <w:pPr>
        <w:spacing w:line="480" w:lineRule="auto"/>
        <w:rPr>
          <w:rFonts w:eastAsia="Times New Roman"/>
          <w:i/>
          <w:iCs/>
          <w:lang w:val="en-US" w:eastAsia="en-GB"/>
        </w:rPr>
      </w:pPr>
      <w:r w:rsidRPr="003E5BBB">
        <w:rPr>
          <w:rFonts w:eastAsia="Times New Roman"/>
          <w:i/>
          <w:iCs/>
          <w:lang w:val="en-US" w:eastAsia="en-GB"/>
        </w:rPr>
        <w:t>Post-school activity categories</w:t>
      </w:r>
    </w:p>
    <w:tbl>
      <w:tblPr>
        <w:tblStyle w:val="TableGrid"/>
        <w:tblW w:w="10207" w:type="dxa"/>
        <w:tblLook w:val="04A0" w:firstRow="1" w:lastRow="0" w:firstColumn="1" w:lastColumn="0" w:noHBand="0" w:noVBand="1"/>
      </w:tblPr>
      <w:tblGrid>
        <w:gridCol w:w="2694"/>
        <w:gridCol w:w="1966"/>
        <w:gridCol w:w="2145"/>
        <w:gridCol w:w="3402"/>
      </w:tblGrid>
      <w:tr w:rsidR="00615310" w:rsidRPr="003E5BBB" w14:paraId="19C41750" w14:textId="77777777" w:rsidTr="00EA1A0F">
        <w:tc>
          <w:tcPr>
            <w:tcW w:w="2694" w:type="dxa"/>
            <w:tcBorders>
              <w:left w:val="nil"/>
              <w:bottom w:val="single" w:sz="4" w:space="0" w:color="auto"/>
              <w:right w:val="nil"/>
            </w:tcBorders>
          </w:tcPr>
          <w:p w14:paraId="0BF2E1C7" w14:textId="77777777" w:rsidR="00615310" w:rsidRPr="003E5BBB" w:rsidRDefault="00615310" w:rsidP="00EA1A0F">
            <w:pPr>
              <w:spacing w:line="480" w:lineRule="auto"/>
              <w:rPr>
                <w:rFonts w:eastAsia="Times New Roman"/>
                <w:b/>
                <w:bCs/>
                <w:lang w:val="en-US" w:eastAsia="en-GB"/>
              </w:rPr>
            </w:pPr>
            <w:r w:rsidRPr="003E5BBB">
              <w:rPr>
                <w:rFonts w:eastAsia="Times New Roman"/>
                <w:b/>
                <w:bCs/>
                <w:lang w:val="en-US" w:eastAsia="en-GB"/>
              </w:rPr>
              <w:t>Variable</w:t>
            </w:r>
          </w:p>
        </w:tc>
        <w:tc>
          <w:tcPr>
            <w:tcW w:w="1966" w:type="dxa"/>
            <w:tcBorders>
              <w:left w:val="nil"/>
              <w:bottom w:val="single" w:sz="4" w:space="0" w:color="auto"/>
              <w:right w:val="nil"/>
            </w:tcBorders>
          </w:tcPr>
          <w:p w14:paraId="7FCC50DA" w14:textId="77777777" w:rsidR="00615310" w:rsidRPr="003E5BBB" w:rsidRDefault="00615310" w:rsidP="00EA1A0F">
            <w:pPr>
              <w:spacing w:line="480" w:lineRule="auto"/>
              <w:rPr>
                <w:rFonts w:eastAsia="Times New Roman"/>
                <w:b/>
                <w:bCs/>
                <w:lang w:val="en-US" w:eastAsia="en-GB"/>
              </w:rPr>
            </w:pPr>
            <w:r w:rsidRPr="003E5BBB">
              <w:rPr>
                <w:rFonts w:eastAsia="Times New Roman"/>
                <w:b/>
                <w:bCs/>
                <w:lang w:val="en-US" w:eastAsia="en-GB"/>
              </w:rPr>
              <w:t xml:space="preserve">Autistic </w:t>
            </w:r>
            <w:r w:rsidRPr="003E5BBB">
              <w:rPr>
                <w:rFonts w:eastAsia="Times New Roman"/>
                <w:b/>
                <w:bCs/>
                <w:i/>
                <w:iCs/>
                <w:lang w:val="en-US" w:eastAsia="en-GB"/>
              </w:rPr>
              <w:t>n</w:t>
            </w:r>
            <w:r w:rsidRPr="003E5BBB">
              <w:rPr>
                <w:rFonts w:eastAsia="Times New Roman"/>
                <w:b/>
                <w:bCs/>
                <w:lang w:val="en-US" w:eastAsia="en-GB"/>
              </w:rPr>
              <w:t xml:space="preserve"> (%)</w:t>
            </w:r>
          </w:p>
        </w:tc>
        <w:tc>
          <w:tcPr>
            <w:tcW w:w="2145" w:type="dxa"/>
            <w:tcBorders>
              <w:left w:val="nil"/>
              <w:bottom w:val="single" w:sz="4" w:space="0" w:color="auto"/>
              <w:right w:val="nil"/>
            </w:tcBorders>
          </w:tcPr>
          <w:p w14:paraId="5C46B8EC" w14:textId="77777777" w:rsidR="00615310" w:rsidRPr="003E5BBB" w:rsidRDefault="00615310" w:rsidP="00EA1A0F">
            <w:pPr>
              <w:spacing w:line="480" w:lineRule="auto"/>
              <w:rPr>
                <w:rFonts w:eastAsia="Times New Roman"/>
                <w:b/>
                <w:bCs/>
                <w:lang w:val="en-US" w:eastAsia="en-GB"/>
              </w:rPr>
            </w:pPr>
            <w:r w:rsidRPr="003E5BBB">
              <w:rPr>
                <w:rFonts w:eastAsia="Times New Roman"/>
                <w:b/>
                <w:bCs/>
                <w:lang w:val="en-US" w:eastAsia="en-GB"/>
              </w:rPr>
              <w:t xml:space="preserve">Non-autistic </w:t>
            </w:r>
            <w:r w:rsidRPr="003E5BBB">
              <w:rPr>
                <w:rFonts w:eastAsia="Times New Roman"/>
                <w:b/>
                <w:bCs/>
                <w:i/>
                <w:iCs/>
                <w:lang w:val="en-US" w:eastAsia="en-GB"/>
              </w:rPr>
              <w:t>n</w:t>
            </w:r>
            <w:r w:rsidRPr="003E5BBB">
              <w:rPr>
                <w:rFonts w:eastAsia="Times New Roman"/>
                <w:b/>
                <w:bCs/>
                <w:lang w:val="en-US" w:eastAsia="en-GB"/>
              </w:rPr>
              <w:t xml:space="preserve"> (%)</w:t>
            </w:r>
          </w:p>
        </w:tc>
        <w:tc>
          <w:tcPr>
            <w:tcW w:w="3402" w:type="dxa"/>
            <w:tcBorders>
              <w:left w:val="nil"/>
              <w:bottom w:val="single" w:sz="4" w:space="0" w:color="auto"/>
              <w:right w:val="nil"/>
            </w:tcBorders>
          </w:tcPr>
          <w:p w14:paraId="20312E25" w14:textId="77777777" w:rsidR="00615310" w:rsidRPr="003E5BBB" w:rsidRDefault="00615310" w:rsidP="00EA1A0F">
            <w:pPr>
              <w:spacing w:line="480" w:lineRule="auto"/>
              <w:rPr>
                <w:rFonts w:eastAsia="Times New Roman"/>
                <w:b/>
                <w:bCs/>
                <w:lang w:val="en-US" w:eastAsia="en-GB"/>
              </w:rPr>
            </w:pPr>
            <w:r w:rsidRPr="003E5BBB">
              <w:rPr>
                <w:rFonts w:eastAsia="Times New Roman"/>
                <w:b/>
                <w:bCs/>
                <w:lang w:val="en-US" w:eastAsia="en-GB"/>
              </w:rPr>
              <w:t>Comparison</w:t>
            </w:r>
          </w:p>
        </w:tc>
      </w:tr>
      <w:tr w:rsidR="00615310" w:rsidRPr="003E5BBB" w14:paraId="11B63C9F" w14:textId="77777777" w:rsidTr="00EA1A0F">
        <w:tc>
          <w:tcPr>
            <w:tcW w:w="2694" w:type="dxa"/>
            <w:tcBorders>
              <w:left w:val="nil"/>
              <w:bottom w:val="nil"/>
              <w:right w:val="nil"/>
            </w:tcBorders>
          </w:tcPr>
          <w:p w14:paraId="12BF11AF"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Post school activity</w:t>
            </w:r>
          </w:p>
        </w:tc>
        <w:tc>
          <w:tcPr>
            <w:tcW w:w="1966" w:type="dxa"/>
            <w:tcBorders>
              <w:left w:val="nil"/>
              <w:bottom w:val="nil"/>
              <w:right w:val="nil"/>
            </w:tcBorders>
          </w:tcPr>
          <w:p w14:paraId="47163433" w14:textId="77777777" w:rsidR="00615310" w:rsidRPr="003E5BBB" w:rsidRDefault="00615310" w:rsidP="00EA1A0F">
            <w:pPr>
              <w:spacing w:line="480" w:lineRule="auto"/>
              <w:rPr>
                <w:rFonts w:eastAsia="Times New Roman"/>
                <w:lang w:val="en-US" w:eastAsia="en-GB"/>
              </w:rPr>
            </w:pPr>
          </w:p>
        </w:tc>
        <w:tc>
          <w:tcPr>
            <w:tcW w:w="2145" w:type="dxa"/>
            <w:tcBorders>
              <w:left w:val="nil"/>
              <w:bottom w:val="nil"/>
              <w:right w:val="nil"/>
            </w:tcBorders>
          </w:tcPr>
          <w:p w14:paraId="39DD6943" w14:textId="77777777" w:rsidR="00615310" w:rsidRPr="003E5BBB" w:rsidRDefault="00615310" w:rsidP="00EA1A0F">
            <w:pPr>
              <w:spacing w:line="480" w:lineRule="auto"/>
              <w:rPr>
                <w:rFonts w:eastAsia="Times New Roman"/>
                <w:lang w:val="en-US" w:eastAsia="en-GB"/>
              </w:rPr>
            </w:pPr>
          </w:p>
        </w:tc>
        <w:tc>
          <w:tcPr>
            <w:tcW w:w="3402" w:type="dxa"/>
            <w:tcBorders>
              <w:left w:val="nil"/>
              <w:bottom w:val="nil"/>
              <w:right w:val="nil"/>
            </w:tcBorders>
          </w:tcPr>
          <w:p w14:paraId="7E1BF5EB" w14:textId="77777777" w:rsidR="00615310" w:rsidRPr="003E5BBB" w:rsidRDefault="00615310" w:rsidP="00EA1A0F">
            <w:pPr>
              <w:spacing w:line="480" w:lineRule="auto"/>
              <w:rPr>
                <w:rFonts w:eastAsia="Times New Roman"/>
                <w:lang w:val="en-US" w:eastAsia="en-GB"/>
              </w:rPr>
            </w:pPr>
            <w:r w:rsidRPr="003E5BBB">
              <w:rPr>
                <w:rFonts w:eastAsia="Arial"/>
              </w:rPr>
              <w:t>χ</w:t>
            </w:r>
            <w:r w:rsidRPr="003E5BBB">
              <w:rPr>
                <w:rFonts w:eastAsia="Arial"/>
                <w:vertAlign w:val="superscript"/>
              </w:rPr>
              <w:t>2</w:t>
            </w:r>
            <w:r w:rsidRPr="003E5BBB">
              <w:rPr>
                <w:rFonts w:eastAsia="Arial"/>
              </w:rPr>
              <w:t xml:space="preserve"> (3)</w:t>
            </w:r>
            <w:r w:rsidRPr="003E5BBB">
              <w:rPr>
                <w:rFonts w:eastAsia="Arial"/>
                <w:vertAlign w:val="superscript"/>
              </w:rPr>
              <w:t xml:space="preserve"> </w:t>
            </w:r>
            <w:r w:rsidRPr="003E5BBB">
              <w:rPr>
                <w:rFonts w:eastAsia="Arial"/>
              </w:rPr>
              <w:t xml:space="preserve">= 24.33, </w:t>
            </w:r>
            <w:r w:rsidRPr="003E5BBB">
              <w:rPr>
                <w:rFonts w:eastAsia="Arial"/>
                <w:i/>
                <w:iCs/>
              </w:rPr>
              <w:t xml:space="preserve">p </w:t>
            </w:r>
            <w:r w:rsidRPr="003E5BBB">
              <w:rPr>
                <w:rFonts w:eastAsia="Arial"/>
              </w:rPr>
              <w:t xml:space="preserve">&lt; .001, </w:t>
            </w:r>
            <w:r w:rsidRPr="003E5BBB">
              <w:rPr>
                <w:rFonts w:eastAsia="Arial"/>
                <w:i/>
                <w:iCs/>
              </w:rPr>
              <w:t>V</w:t>
            </w:r>
            <w:r w:rsidRPr="003E5BBB">
              <w:rPr>
                <w:rFonts w:eastAsia="Arial"/>
              </w:rPr>
              <w:t xml:space="preserve"> = .36</w:t>
            </w:r>
          </w:p>
        </w:tc>
      </w:tr>
      <w:tr w:rsidR="00615310" w:rsidRPr="003E5BBB" w14:paraId="27B73D6A" w14:textId="77777777" w:rsidTr="00EA1A0F">
        <w:tc>
          <w:tcPr>
            <w:tcW w:w="2694" w:type="dxa"/>
            <w:tcBorders>
              <w:top w:val="nil"/>
              <w:left w:val="nil"/>
              <w:bottom w:val="nil"/>
              <w:right w:val="nil"/>
            </w:tcBorders>
          </w:tcPr>
          <w:p w14:paraId="17406A2B" w14:textId="77777777" w:rsidR="00615310" w:rsidRPr="003E5BBB" w:rsidRDefault="00615310" w:rsidP="00EA1A0F">
            <w:pPr>
              <w:spacing w:line="480" w:lineRule="auto"/>
              <w:rPr>
                <w:rFonts w:eastAsia="Times New Roman"/>
                <w:lang w:val="en-US" w:eastAsia="en-GB"/>
              </w:rPr>
            </w:pPr>
            <w:proofErr w:type="gramStart"/>
            <w:r w:rsidRPr="003E5BBB">
              <w:rPr>
                <w:rFonts w:eastAsia="Times New Roman"/>
                <w:lang w:val="en-US" w:eastAsia="en-GB"/>
              </w:rPr>
              <w:t>No</w:t>
            </w:r>
            <w:proofErr w:type="gramEnd"/>
            <w:r w:rsidRPr="003E5BBB">
              <w:rPr>
                <w:rFonts w:eastAsia="Times New Roman"/>
                <w:lang w:val="en-US" w:eastAsia="en-GB"/>
              </w:rPr>
              <w:t xml:space="preserve"> HE or employment*</w:t>
            </w:r>
            <w:r w:rsidRPr="006278A5">
              <w:rPr>
                <w:rFonts w:eastAsia="Times New Roman"/>
                <w:vertAlign w:val="superscript"/>
                <w:lang w:val="en-US" w:eastAsia="en-GB"/>
              </w:rPr>
              <w:t>1</w:t>
            </w:r>
          </w:p>
        </w:tc>
        <w:tc>
          <w:tcPr>
            <w:tcW w:w="1966" w:type="dxa"/>
            <w:tcBorders>
              <w:top w:val="nil"/>
              <w:left w:val="nil"/>
              <w:bottom w:val="nil"/>
              <w:right w:val="nil"/>
            </w:tcBorders>
          </w:tcPr>
          <w:p w14:paraId="1D35B543"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8 (10.3)</w:t>
            </w:r>
          </w:p>
        </w:tc>
        <w:tc>
          <w:tcPr>
            <w:tcW w:w="2145" w:type="dxa"/>
            <w:tcBorders>
              <w:top w:val="nil"/>
              <w:left w:val="nil"/>
              <w:bottom w:val="nil"/>
              <w:right w:val="nil"/>
            </w:tcBorders>
          </w:tcPr>
          <w:p w14:paraId="30778350"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3 (2.8)</w:t>
            </w:r>
          </w:p>
        </w:tc>
        <w:tc>
          <w:tcPr>
            <w:tcW w:w="3402" w:type="dxa"/>
            <w:tcBorders>
              <w:top w:val="nil"/>
              <w:left w:val="nil"/>
              <w:bottom w:val="nil"/>
              <w:right w:val="nil"/>
            </w:tcBorders>
          </w:tcPr>
          <w:p w14:paraId="73F561D6" w14:textId="77777777" w:rsidR="00615310" w:rsidRPr="003E5BBB" w:rsidRDefault="00615310" w:rsidP="00EA1A0F">
            <w:pPr>
              <w:spacing w:line="480" w:lineRule="auto"/>
              <w:rPr>
                <w:rFonts w:eastAsia="Times New Roman"/>
                <w:lang w:val="en-US" w:eastAsia="en-GB"/>
              </w:rPr>
            </w:pPr>
          </w:p>
        </w:tc>
      </w:tr>
      <w:tr w:rsidR="00615310" w:rsidRPr="003E5BBB" w14:paraId="33AD724E" w14:textId="77777777" w:rsidTr="00EA1A0F">
        <w:tc>
          <w:tcPr>
            <w:tcW w:w="2694" w:type="dxa"/>
            <w:tcBorders>
              <w:top w:val="nil"/>
              <w:left w:val="nil"/>
              <w:bottom w:val="nil"/>
              <w:right w:val="nil"/>
            </w:tcBorders>
          </w:tcPr>
          <w:p w14:paraId="3BBBC9EC"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HE only*</w:t>
            </w:r>
          </w:p>
        </w:tc>
        <w:tc>
          <w:tcPr>
            <w:tcW w:w="1966" w:type="dxa"/>
            <w:tcBorders>
              <w:top w:val="nil"/>
              <w:left w:val="nil"/>
              <w:bottom w:val="nil"/>
              <w:right w:val="nil"/>
            </w:tcBorders>
          </w:tcPr>
          <w:p w14:paraId="2E3E4857"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43 (55.1)</w:t>
            </w:r>
          </w:p>
        </w:tc>
        <w:tc>
          <w:tcPr>
            <w:tcW w:w="2145" w:type="dxa"/>
            <w:tcBorders>
              <w:top w:val="nil"/>
              <w:left w:val="nil"/>
              <w:bottom w:val="nil"/>
              <w:right w:val="nil"/>
            </w:tcBorders>
          </w:tcPr>
          <w:p w14:paraId="2669F0C6"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31 (29.0)</w:t>
            </w:r>
          </w:p>
        </w:tc>
        <w:tc>
          <w:tcPr>
            <w:tcW w:w="3402" w:type="dxa"/>
            <w:tcBorders>
              <w:top w:val="nil"/>
              <w:left w:val="nil"/>
              <w:bottom w:val="nil"/>
              <w:right w:val="nil"/>
            </w:tcBorders>
          </w:tcPr>
          <w:p w14:paraId="49469420" w14:textId="77777777" w:rsidR="00615310" w:rsidRPr="003E5BBB" w:rsidRDefault="00615310" w:rsidP="00EA1A0F">
            <w:pPr>
              <w:spacing w:line="480" w:lineRule="auto"/>
              <w:rPr>
                <w:rFonts w:eastAsia="Times New Roman"/>
                <w:lang w:val="en-US" w:eastAsia="en-GB"/>
              </w:rPr>
            </w:pPr>
          </w:p>
        </w:tc>
      </w:tr>
      <w:tr w:rsidR="00615310" w:rsidRPr="003E5BBB" w14:paraId="535ED322" w14:textId="77777777" w:rsidTr="00EA1A0F">
        <w:tc>
          <w:tcPr>
            <w:tcW w:w="2694" w:type="dxa"/>
            <w:tcBorders>
              <w:top w:val="nil"/>
              <w:left w:val="nil"/>
              <w:bottom w:val="nil"/>
              <w:right w:val="nil"/>
            </w:tcBorders>
          </w:tcPr>
          <w:p w14:paraId="2006FCA5" w14:textId="77777777" w:rsidR="00615310" w:rsidRPr="00293F17" w:rsidRDefault="00615310" w:rsidP="00EA1A0F">
            <w:pPr>
              <w:spacing w:line="480" w:lineRule="auto"/>
              <w:rPr>
                <w:rFonts w:eastAsia="Times New Roman"/>
                <w:lang w:val="en-US" w:eastAsia="en-GB"/>
              </w:rPr>
            </w:pPr>
            <w:r w:rsidRPr="00293F17">
              <w:rPr>
                <w:rFonts w:eastAsia="Times New Roman"/>
                <w:lang w:val="en-US" w:eastAsia="en-GB"/>
              </w:rPr>
              <w:t>HE and employment*</w:t>
            </w:r>
          </w:p>
        </w:tc>
        <w:tc>
          <w:tcPr>
            <w:tcW w:w="1966" w:type="dxa"/>
            <w:tcBorders>
              <w:top w:val="nil"/>
              <w:left w:val="nil"/>
              <w:bottom w:val="nil"/>
              <w:right w:val="nil"/>
            </w:tcBorders>
          </w:tcPr>
          <w:p w14:paraId="47170568" w14:textId="77777777" w:rsidR="00615310" w:rsidRPr="00293F17" w:rsidRDefault="00615310" w:rsidP="00EA1A0F">
            <w:pPr>
              <w:spacing w:line="480" w:lineRule="auto"/>
              <w:rPr>
                <w:rFonts w:eastAsia="Times New Roman"/>
                <w:lang w:val="en-US" w:eastAsia="en-GB"/>
              </w:rPr>
            </w:pPr>
            <w:r w:rsidRPr="00293F17">
              <w:rPr>
                <w:rFonts w:eastAsia="Times New Roman"/>
                <w:lang w:val="en-US" w:eastAsia="en-GB"/>
              </w:rPr>
              <w:t>15 (19.2)</w:t>
            </w:r>
          </w:p>
        </w:tc>
        <w:tc>
          <w:tcPr>
            <w:tcW w:w="2145" w:type="dxa"/>
            <w:tcBorders>
              <w:top w:val="nil"/>
              <w:left w:val="nil"/>
              <w:bottom w:val="nil"/>
              <w:right w:val="nil"/>
            </w:tcBorders>
          </w:tcPr>
          <w:p w14:paraId="59373AD9" w14:textId="77777777" w:rsidR="00615310" w:rsidRPr="00293F17" w:rsidRDefault="00615310" w:rsidP="00EA1A0F">
            <w:pPr>
              <w:spacing w:line="480" w:lineRule="auto"/>
              <w:rPr>
                <w:rFonts w:eastAsia="Times New Roman"/>
                <w:lang w:val="en-US" w:eastAsia="en-GB"/>
              </w:rPr>
            </w:pPr>
            <w:r w:rsidRPr="00293F17">
              <w:rPr>
                <w:rFonts w:eastAsia="Times New Roman"/>
                <w:lang w:val="en-US" w:eastAsia="en-GB"/>
              </w:rPr>
              <w:t>55 (51.4)</w:t>
            </w:r>
          </w:p>
        </w:tc>
        <w:tc>
          <w:tcPr>
            <w:tcW w:w="3402" w:type="dxa"/>
            <w:tcBorders>
              <w:top w:val="nil"/>
              <w:left w:val="nil"/>
              <w:bottom w:val="nil"/>
              <w:right w:val="nil"/>
            </w:tcBorders>
          </w:tcPr>
          <w:p w14:paraId="36D98F64" w14:textId="77777777" w:rsidR="00615310" w:rsidRPr="003E5BBB" w:rsidRDefault="00615310" w:rsidP="00EA1A0F">
            <w:pPr>
              <w:spacing w:line="480" w:lineRule="auto"/>
              <w:rPr>
                <w:rFonts w:eastAsia="Times New Roman"/>
                <w:lang w:val="en-US" w:eastAsia="en-GB"/>
              </w:rPr>
            </w:pPr>
          </w:p>
        </w:tc>
      </w:tr>
      <w:tr w:rsidR="00615310" w:rsidRPr="003E5BBB" w14:paraId="47C23C06" w14:textId="77777777" w:rsidTr="00EA1A0F">
        <w:tc>
          <w:tcPr>
            <w:tcW w:w="2694" w:type="dxa"/>
            <w:tcBorders>
              <w:top w:val="nil"/>
              <w:left w:val="nil"/>
              <w:right w:val="nil"/>
            </w:tcBorders>
          </w:tcPr>
          <w:p w14:paraId="77D69717"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Employment only</w:t>
            </w:r>
          </w:p>
        </w:tc>
        <w:tc>
          <w:tcPr>
            <w:tcW w:w="1966" w:type="dxa"/>
            <w:tcBorders>
              <w:top w:val="nil"/>
              <w:left w:val="nil"/>
              <w:right w:val="nil"/>
            </w:tcBorders>
          </w:tcPr>
          <w:p w14:paraId="7E6F4217"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12 (15.4)</w:t>
            </w:r>
          </w:p>
        </w:tc>
        <w:tc>
          <w:tcPr>
            <w:tcW w:w="2145" w:type="dxa"/>
            <w:tcBorders>
              <w:top w:val="nil"/>
              <w:left w:val="nil"/>
              <w:right w:val="nil"/>
            </w:tcBorders>
          </w:tcPr>
          <w:p w14:paraId="0D476C90" w14:textId="77777777" w:rsidR="00615310" w:rsidRPr="003E5BBB" w:rsidRDefault="00615310" w:rsidP="00EA1A0F">
            <w:pPr>
              <w:spacing w:line="480" w:lineRule="auto"/>
              <w:rPr>
                <w:rFonts w:eastAsia="Times New Roman"/>
                <w:lang w:val="en-US" w:eastAsia="en-GB"/>
              </w:rPr>
            </w:pPr>
            <w:r w:rsidRPr="003E5BBB">
              <w:rPr>
                <w:rFonts w:eastAsia="Times New Roman"/>
                <w:lang w:val="en-US" w:eastAsia="en-GB"/>
              </w:rPr>
              <w:t>18 (16.8)</w:t>
            </w:r>
          </w:p>
        </w:tc>
        <w:tc>
          <w:tcPr>
            <w:tcW w:w="3402" w:type="dxa"/>
            <w:tcBorders>
              <w:top w:val="nil"/>
              <w:left w:val="nil"/>
              <w:right w:val="nil"/>
            </w:tcBorders>
          </w:tcPr>
          <w:p w14:paraId="081C7BB3" w14:textId="77777777" w:rsidR="00615310" w:rsidRPr="003E5BBB" w:rsidRDefault="00615310" w:rsidP="00EA1A0F">
            <w:pPr>
              <w:spacing w:line="480" w:lineRule="auto"/>
              <w:rPr>
                <w:rFonts w:eastAsia="Times New Roman"/>
                <w:lang w:val="en-US" w:eastAsia="en-GB"/>
              </w:rPr>
            </w:pPr>
          </w:p>
        </w:tc>
      </w:tr>
    </w:tbl>
    <w:p w14:paraId="01857C4A" w14:textId="77777777" w:rsidR="00615310" w:rsidRDefault="00615310" w:rsidP="00615310">
      <w:pPr>
        <w:spacing w:line="240" w:lineRule="auto"/>
        <w:rPr>
          <w:rFonts w:eastAsia="Times New Roman"/>
          <w:sz w:val="20"/>
          <w:szCs w:val="20"/>
          <w:lang w:val="en-US" w:eastAsia="en-GB"/>
        </w:rPr>
      </w:pPr>
      <w:r w:rsidRPr="00496AAE">
        <w:rPr>
          <w:rFonts w:eastAsia="Times New Roman"/>
          <w:sz w:val="20"/>
          <w:szCs w:val="20"/>
          <w:vertAlign w:val="superscript"/>
          <w:lang w:val="en-US" w:eastAsia="en-GB"/>
        </w:rPr>
        <w:t>1</w:t>
      </w:r>
      <w:r>
        <w:rPr>
          <w:rFonts w:eastAsia="Times New Roman"/>
          <w:sz w:val="20"/>
          <w:szCs w:val="20"/>
          <w:vertAlign w:val="superscript"/>
          <w:lang w:val="en-US" w:eastAsia="en-GB"/>
        </w:rPr>
        <w:t xml:space="preserve"> </w:t>
      </w:r>
      <w:r>
        <w:rPr>
          <w:rFonts w:eastAsia="Times New Roman"/>
          <w:sz w:val="20"/>
          <w:szCs w:val="20"/>
          <w:lang w:val="en-US" w:eastAsia="en-GB"/>
        </w:rPr>
        <w:t xml:space="preserve">Despite the small number of observations in this category, less than 20% of the expected count cells </w:t>
      </w:r>
      <w:r w:rsidRPr="00190E4E">
        <w:rPr>
          <w:rFonts w:eastAsia="Times New Roman"/>
          <w:sz w:val="20"/>
          <w:szCs w:val="20"/>
          <w:lang w:val="en-US" w:eastAsia="en-GB"/>
        </w:rPr>
        <w:t xml:space="preserve">were </w:t>
      </w:r>
      <w:r w:rsidRPr="00190E4E">
        <w:rPr>
          <w:rFonts w:eastAsia="Times New Roman"/>
          <w:i/>
          <w:iCs/>
          <w:sz w:val="20"/>
          <w:szCs w:val="20"/>
          <w:lang w:val="en-US" w:eastAsia="en-GB"/>
        </w:rPr>
        <w:t xml:space="preserve">n </w:t>
      </w:r>
      <w:r>
        <w:rPr>
          <w:rFonts w:eastAsia="Times New Roman"/>
          <w:sz w:val="20"/>
          <w:szCs w:val="20"/>
          <w:lang w:val="en-US" w:eastAsia="en-GB"/>
        </w:rPr>
        <w:t>&lt;5, and thus this category was retained for analysis (Siegel &amp; Castellan, 1988).</w:t>
      </w:r>
      <w:r w:rsidRPr="003E5BBB">
        <w:rPr>
          <w:rFonts w:eastAsia="Times New Roman"/>
          <w:sz w:val="20"/>
          <w:szCs w:val="20"/>
          <w:lang w:val="en-US" w:eastAsia="en-GB"/>
        </w:rPr>
        <w:t>*Differences were evident in the standardized residuals, highlighting an observed difference between groups.</w:t>
      </w:r>
    </w:p>
    <w:p w14:paraId="78FDC8A5" w14:textId="77777777" w:rsidR="00615310" w:rsidRDefault="00615310" w:rsidP="00615310">
      <w:pPr>
        <w:spacing w:line="240" w:lineRule="auto"/>
        <w:rPr>
          <w:rFonts w:eastAsia="Times New Roman"/>
          <w:sz w:val="20"/>
          <w:szCs w:val="20"/>
          <w:lang w:val="en-US" w:eastAsia="en-GB"/>
        </w:rPr>
      </w:pPr>
    </w:p>
    <w:p w14:paraId="65733123" w14:textId="62180FFD" w:rsidR="00CA04CD" w:rsidRDefault="00CA04CD">
      <w:pPr>
        <w:rPr>
          <w:rFonts w:eastAsia="Times New Roman"/>
          <w:lang w:eastAsia="en-GB"/>
        </w:rPr>
      </w:pPr>
      <w:r>
        <w:rPr>
          <w:rFonts w:eastAsia="Times New Roman"/>
          <w:lang w:eastAsia="en-GB"/>
        </w:rPr>
        <w:br w:type="page"/>
      </w:r>
    </w:p>
    <w:p w14:paraId="7F01AFBA" w14:textId="77777777" w:rsidR="00CA04CD" w:rsidRPr="001134EC" w:rsidRDefault="00CA04CD" w:rsidP="00CA04CD">
      <w:pPr>
        <w:spacing w:line="480" w:lineRule="auto"/>
        <w:jc w:val="center"/>
      </w:pPr>
      <w:r w:rsidRPr="001134EC">
        <w:lastRenderedPageBreak/>
        <w:t xml:space="preserve">Author </w:t>
      </w:r>
      <w:proofErr w:type="gramStart"/>
      <w:r w:rsidRPr="001134EC">
        <w:t>note</w:t>
      </w:r>
      <w:proofErr w:type="gramEnd"/>
    </w:p>
    <w:p w14:paraId="7EBF7CCF" w14:textId="77777777" w:rsidR="00CA04CD" w:rsidRPr="001134EC" w:rsidRDefault="00CA04CD" w:rsidP="00CA04CD">
      <w:pPr>
        <w:spacing w:line="480" w:lineRule="auto"/>
        <w:rPr>
          <w:b/>
        </w:rPr>
      </w:pPr>
      <w:r w:rsidRPr="001134EC">
        <w:rPr>
          <w:b/>
        </w:rPr>
        <w:t>Author affiliation and contact details</w:t>
      </w:r>
    </w:p>
    <w:p w14:paraId="1324165A" w14:textId="77777777" w:rsidR="00CA04CD" w:rsidRDefault="00CA04CD" w:rsidP="00CA04CD">
      <w:pPr>
        <w:spacing w:line="480" w:lineRule="auto"/>
      </w:pPr>
      <w:r>
        <w:t>Rebecca L. Flower</w:t>
      </w:r>
      <w:r w:rsidRPr="001134EC">
        <w:t xml:space="preserve">, </w:t>
      </w:r>
      <w:r>
        <w:t>Department of Psychology and Counselling</w:t>
      </w:r>
      <w:r w:rsidRPr="001134EC">
        <w:t xml:space="preserve">, La Trobe University, </w:t>
      </w:r>
      <w:r>
        <w:t>Bendigo</w:t>
      </w:r>
      <w:r w:rsidRPr="001134EC">
        <w:t xml:space="preserve">, Australia. </w:t>
      </w:r>
    </w:p>
    <w:p w14:paraId="6A7A25A1" w14:textId="77777777" w:rsidR="00CA04CD" w:rsidRPr="001134EC" w:rsidRDefault="00CA04CD" w:rsidP="00CA04CD">
      <w:pPr>
        <w:spacing w:line="480" w:lineRule="auto"/>
      </w:pPr>
      <w:r>
        <w:t>Amanda Richdale</w:t>
      </w:r>
      <w:r w:rsidRPr="001134EC">
        <w:t xml:space="preserve">, Olga Tennison Autism Research Centre, La Trobe University, Melbourne, Australia. </w:t>
      </w:r>
      <w:r>
        <w:t>Lauren P. Lawson</w:t>
      </w:r>
      <w:r w:rsidRPr="001134EC">
        <w:t>, Olga Tennison Autism Research Centre, La Trobe University, Melbourne, Australia.</w:t>
      </w:r>
    </w:p>
    <w:p w14:paraId="6B026E66" w14:textId="77777777" w:rsidR="00CA04CD" w:rsidRPr="00B51306" w:rsidRDefault="00CA04CD" w:rsidP="00CA04CD">
      <w:pPr>
        <w:spacing w:line="480" w:lineRule="auto"/>
        <w:rPr>
          <w:b/>
          <w:highlight w:val="yellow"/>
        </w:rPr>
      </w:pPr>
    </w:p>
    <w:p w14:paraId="575221E2" w14:textId="77777777" w:rsidR="00CA04CD" w:rsidRPr="001134EC" w:rsidRDefault="00CA04CD" w:rsidP="00CA04CD">
      <w:pPr>
        <w:spacing w:line="480" w:lineRule="auto"/>
        <w:rPr>
          <w:b/>
        </w:rPr>
      </w:pPr>
      <w:r w:rsidRPr="001134EC">
        <w:rPr>
          <w:b/>
        </w:rPr>
        <w:t xml:space="preserve">Acknowledgements </w:t>
      </w:r>
    </w:p>
    <w:p w14:paraId="04EACB6C" w14:textId="77777777" w:rsidR="00CA04CD" w:rsidRDefault="00CA04CD" w:rsidP="00CA04CD">
      <w:pPr>
        <w:spacing w:line="480" w:lineRule="auto"/>
        <w:rPr>
          <w:rFonts w:cs="Arial"/>
        </w:rPr>
      </w:pPr>
      <w:r w:rsidRPr="00DA25FF">
        <w:rPr>
          <w:rFonts w:cs="Arial"/>
        </w:rPr>
        <w:t>The authors acknowledge the financial support of the Cooperative Research Centre for Living with Autism (Autism CRC), established and supported under the Australian Government's Cooperative Research Centres Program</w:t>
      </w:r>
      <w:r>
        <w:rPr>
          <w:rFonts w:cs="Arial"/>
        </w:rPr>
        <w:t>. RF and LL’s positions were supported by the Autism CRC at the time this manuscript was written.</w:t>
      </w:r>
    </w:p>
    <w:p w14:paraId="3E8AAC6D" w14:textId="77777777" w:rsidR="00CA04CD" w:rsidRPr="00B51306" w:rsidRDefault="00CA04CD" w:rsidP="00CA04CD">
      <w:pPr>
        <w:spacing w:line="480" w:lineRule="auto"/>
        <w:rPr>
          <w:b/>
          <w:highlight w:val="yellow"/>
        </w:rPr>
      </w:pPr>
    </w:p>
    <w:p w14:paraId="6905A24B" w14:textId="77777777" w:rsidR="00CA04CD" w:rsidRDefault="00CA04CD" w:rsidP="00CA04CD">
      <w:pPr>
        <w:spacing w:line="480" w:lineRule="auto"/>
        <w:jc w:val="both"/>
      </w:pPr>
    </w:p>
    <w:p w14:paraId="18300924" w14:textId="77777777" w:rsidR="00CA04CD" w:rsidRPr="00497331" w:rsidRDefault="00CA04CD" w:rsidP="00CA04CD">
      <w:pPr>
        <w:spacing w:line="480" w:lineRule="auto"/>
        <w:jc w:val="both"/>
      </w:pPr>
      <w:r w:rsidRPr="00497331">
        <w:t xml:space="preserve">Correspondence concerning this article should be addressed to:  </w:t>
      </w:r>
    </w:p>
    <w:p w14:paraId="05DB6128" w14:textId="77777777" w:rsidR="00CA04CD" w:rsidRPr="00CD0FE0" w:rsidRDefault="00CA04CD" w:rsidP="00CA04CD">
      <w:pPr>
        <w:spacing w:line="480" w:lineRule="auto"/>
        <w:rPr>
          <w:szCs w:val="20"/>
        </w:rPr>
      </w:pPr>
      <w:r>
        <w:rPr>
          <w:szCs w:val="20"/>
        </w:rPr>
        <w:t>Rebecca Flower</w:t>
      </w:r>
      <w:r w:rsidRPr="00CD0FE0">
        <w:rPr>
          <w:szCs w:val="20"/>
        </w:rPr>
        <w:t>, PhD</w:t>
      </w:r>
    </w:p>
    <w:p w14:paraId="4C2ADC0D" w14:textId="77777777" w:rsidR="00CA04CD" w:rsidRPr="00CD0FE0" w:rsidRDefault="00CA04CD" w:rsidP="00CA04CD">
      <w:pPr>
        <w:spacing w:line="480" w:lineRule="auto"/>
        <w:rPr>
          <w:szCs w:val="20"/>
        </w:rPr>
      </w:pPr>
      <w:r w:rsidRPr="00897CA4">
        <w:rPr>
          <w:iCs/>
          <w:szCs w:val="20"/>
        </w:rPr>
        <w:t>Department of Psychology and Counselling</w:t>
      </w:r>
      <w:r w:rsidRPr="00CD0FE0">
        <w:rPr>
          <w:szCs w:val="20"/>
        </w:rPr>
        <w:t>, School of Psychology and Public Health</w:t>
      </w:r>
    </w:p>
    <w:p w14:paraId="2348B21F" w14:textId="77777777" w:rsidR="00CA04CD" w:rsidRPr="00CD0FE0" w:rsidRDefault="00CA04CD" w:rsidP="00CA04CD">
      <w:pPr>
        <w:spacing w:line="480" w:lineRule="auto"/>
        <w:rPr>
          <w:szCs w:val="20"/>
        </w:rPr>
      </w:pPr>
      <w:r w:rsidRPr="00CD0FE0">
        <w:rPr>
          <w:szCs w:val="20"/>
        </w:rPr>
        <w:t xml:space="preserve">La Trobe University, </w:t>
      </w:r>
      <w:r>
        <w:rPr>
          <w:szCs w:val="20"/>
        </w:rPr>
        <w:t>Bendigo</w:t>
      </w:r>
      <w:r w:rsidRPr="00CD0FE0">
        <w:rPr>
          <w:szCs w:val="20"/>
        </w:rPr>
        <w:t>, Victoria 3</w:t>
      </w:r>
      <w:r>
        <w:rPr>
          <w:szCs w:val="20"/>
        </w:rPr>
        <w:t>552</w:t>
      </w:r>
      <w:r w:rsidRPr="00CD0FE0">
        <w:rPr>
          <w:szCs w:val="20"/>
        </w:rPr>
        <w:t>, Australia</w:t>
      </w:r>
    </w:p>
    <w:p w14:paraId="502A3A0C" w14:textId="50EC9287" w:rsidR="006F5B0C" w:rsidRPr="005E767F" w:rsidRDefault="00CA04CD" w:rsidP="00CA04CD">
      <w:pPr>
        <w:spacing w:line="480" w:lineRule="auto"/>
        <w:jc w:val="both"/>
        <w:rPr>
          <w:rFonts w:eastAsia="Times New Roman"/>
          <w:lang w:eastAsia="en-GB"/>
        </w:rPr>
      </w:pPr>
      <w:r w:rsidRPr="00934FBA">
        <w:rPr>
          <w:szCs w:val="20"/>
        </w:rPr>
        <w:t>Phone: +61 03 5444 7126 Email</w:t>
      </w:r>
      <w:r w:rsidRPr="00CD0FE0">
        <w:rPr>
          <w:szCs w:val="20"/>
        </w:rPr>
        <w:t xml:space="preserve">: </w:t>
      </w:r>
      <w:hyperlink r:id="rId19" w:history="1">
        <w:r>
          <w:rPr>
            <w:rStyle w:val="Hyperlink"/>
            <w:szCs w:val="20"/>
          </w:rPr>
          <w:t>r</w:t>
        </w:r>
        <w:r w:rsidRPr="001F633F">
          <w:rPr>
            <w:rStyle w:val="Hyperlink"/>
            <w:szCs w:val="20"/>
          </w:rPr>
          <w:t>.</w:t>
        </w:r>
        <w:r>
          <w:rPr>
            <w:rStyle w:val="Hyperlink"/>
            <w:szCs w:val="20"/>
          </w:rPr>
          <w:t>f</w:t>
        </w:r>
        <w:r w:rsidRPr="001F633F">
          <w:rPr>
            <w:rStyle w:val="Hyperlink"/>
            <w:szCs w:val="20"/>
          </w:rPr>
          <w:t>lower@latrobe.edu.au</w:t>
        </w:r>
      </w:hyperlink>
    </w:p>
    <w:sectPr w:rsidR="006F5B0C" w:rsidRPr="005E76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2768" w14:textId="77777777" w:rsidR="0074570F" w:rsidRDefault="0074570F" w:rsidP="00506297">
      <w:pPr>
        <w:spacing w:after="0" w:line="240" w:lineRule="auto"/>
      </w:pPr>
      <w:r>
        <w:separator/>
      </w:r>
    </w:p>
  </w:endnote>
  <w:endnote w:type="continuationSeparator" w:id="0">
    <w:p w14:paraId="6035C0D1" w14:textId="77777777" w:rsidR="0074570F" w:rsidRDefault="0074570F" w:rsidP="0050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6C74" w14:textId="77777777" w:rsidR="00CA04CD" w:rsidRDefault="00CA04CD">
    <w:pPr>
      <w:pStyle w:val="Footer"/>
      <w:jc w:val="right"/>
    </w:pPr>
  </w:p>
  <w:p w14:paraId="0598560B" w14:textId="77777777" w:rsidR="00CA04CD" w:rsidRDefault="00CA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C267" w14:textId="4B085491" w:rsidR="00BE57BE" w:rsidRDefault="00BE57BE">
    <w:pPr>
      <w:pStyle w:val="Footer"/>
      <w:jc w:val="right"/>
    </w:pPr>
  </w:p>
  <w:p w14:paraId="1491D021" w14:textId="77777777" w:rsidR="00BE57BE" w:rsidRDefault="00BE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5FBD" w14:textId="77777777" w:rsidR="0074570F" w:rsidRDefault="0074570F" w:rsidP="00506297">
      <w:pPr>
        <w:spacing w:after="0" w:line="240" w:lineRule="auto"/>
      </w:pPr>
      <w:r>
        <w:separator/>
      </w:r>
    </w:p>
  </w:footnote>
  <w:footnote w:type="continuationSeparator" w:id="0">
    <w:p w14:paraId="41D83D13" w14:textId="77777777" w:rsidR="0074570F" w:rsidRDefault="0074570F" w:rsidP="00506297">
      <w:pPr>
        <w:spacing w:after="0" w:line="240" w:lineRule="auto"/>
      </w:pPr>
      <w:r>
        <w:continuationSeparator/>
      </w:r>
    </w:p>
  </w:footnote>
  <w:footnote w:id="1">
    <w:p w14:paraId="3FF628F8" w14:textId="040B159D" w:rsidR="00506297" w:rsidRDefault="00506297">
      <w:pPr>
        <w:pStyle w:val="FootnoteText"/>
      </w:pPr>
      <w:r w:rsidRPr="006A441C">
        <w:rPr>
          <w:rStyle w:val="FootnoteReference"/>
        </w:rPr>
        <w:footnoteRef/>
      </w:r>
      <w:r w:rsidRPr="006A441C">
        <w:t xml:space="preserve"> </w:t>
      </w:r>
      <w:r w:rsidR="006A441C" w:rsidRPr="006A441C">
        <w:t>Recent research has indicated that many individuals with autism spectrum disorder prefer identity first language to describe autism, such as ‘autistic’ (Kenny et al., 2015). Therefore, we will use ‘autistic’ in the current paper</w:t>
      </w:r>
      <w:r w:rsidR="006A441C">
        <w:t>.</w:t>
      </w:r>
    </w:p>
  </w:footnote>
  <w:footnote w:id="2">
    <w:p w14:paraId="398982B1" w14:textId="64818FC6" w:rsidR="009305EF" w:rsidRDefault="009305EF">
      <w:pPr>
        <w:pStyle w:val="FootnoteText"/>
      </w:pPr>
      <w:r>
        <w:rPr>
          <w:rStyle w:val="FootnoteReference"/>
        </w:rPr>
        <w:footnoteRef/>
      </w:r>
      <w:r>
        <w:t xml:space="preserve"> As the Project Leader for the longitudinal study, the </w:t>
      </w:r>
      <w:r w:rsidR="005D7AAF">
        <w:t>second</w:t>
      </w:r>
      <w:r>
        <w:t xml:space="preserve"> author was involved in the [name of longitudinal study- blinded for review]</w:t>
      </w:r>
      <w:r w:rsidR="00B744E4">
        <w:t xml:space="preserve"> design</w:t>
      </w:r>
      <w:r>
        <w:t xml:space="preserve">. All authors have been involved in data collection. For more information on the [name of study- blinded for review], see here [insert website for study with all reports and publications – blinded for review]. </w:t>
      </w:r>
    </w:p>
  </w:footnote>
  <w:footnote w:id="3">
    <w:p w14:paraId="1F5297C0" w14:textId="1008A532" w:rsidR="006522E6" w:rsidRDefault="006522E6">
      <w:pPr>
        <w:pStyle w:val="FootnoteText"/>
      </w:pPr>
      <w:r>
        <w:rPr>
          <w:rStyle w:val="FootnoteReference"/>
        </w:rPr>
        <w:footnoteRef/>
      </w:r>
      <w:r>
        <w:t xml:space="preserve"> While we recognise that </w:t>
      </w:r>
      <w:r w:rsidR="002C0D06">
        <w:t>male and female are not the only two genders</w:t>
      </w:r>
      <w:r w:rsidR="000A3472">
        <w:t xml:space="preserve"> one may identify with</w:t>
      </w:r>
      <w:r w:rsidR="002C0D06">
        <w:t xml:space="preserve">, the first </w:t>
      </w:r>
      <w:r w:rsidR="000A3472">
        <w:t>phase of the current study included only binary options. This has been rectified in follow up phases of the longitudinal study.</w:t>
      </w:r>
    </w:p>
  </w:footnote>
  <w:footnote w:id="4">
    <w:p w14:paraId="176A0674" w14:textId="45FBE6CB" w:rsidR="00791898" w:rsidRDefault="00791898">
      <w:pPr>
        <w:pStyle w:val="FootnoteText"/>
      </w:pPr>
      <w:r>
        <w:rPr>
          <w:rStyle w:val="FootnoteReference"/>
        </w:rPr>
        <w:footnoteRef/>
      </w:r>
      <w:r>
        <w:t xml:space="preserve"> Participants recruited via Rulo were supplied with </w:t>
      </w:r>
      <w:r w:rsidR="009335DD">
        <w:t>participant</w:t>
      </w:r>
      <w:r w:rsidR="00480E70">
        <w:t xml:space="preserve"> </w:t>
      </w:r>
      <w:r>
        <w:t>information electronically</w:t>
      </w:r>
      <w:r w:rsidR="009335DD">
        <w:t xml:space="preserve"> and gave electronic consent</w:t>
      </w:r>
      <w:r>
        <w:t xml:space="preserve">. </w:t>
      </w:r>
    </w:p>
  </w:footnote>
  <w:footnote w:id="5">
    <w:p w14:paraId="56D26E1B" w14:textId="77777777" w:rsidR="000A7425" w:rsidRDefault="000A7425" w:rsidP="000A7425">
      <w:pPr>
        <w:pStyle w:val="FootnoteText"/>
      </w:pPr>
      <w:r>
        <w:rPr>
          <w:rStyle w:val="FootnoteReference"/>
        </w:rPr>
        <w:footnoteRef/>
      </w:r>
      <w:r>
        <w:t xml:space="preserve"> The AQ-short is not a diagnostic tool, and hence individuals were not classified into groups/excluded from self-reported group membership as a result of their AQ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435048"/>
      <w:docPartObj>
        <w:docPartGallery w:val="Page Numbers (Top of Page)"/>
        <w:docPartUnique/>
      </w:docPartObj>
    </w:sdtPr>
    <w:sdtEndPr>
      <w:rPr>
        <w:noProof/>
      </w:rPr>
    </w:sdtEndPr>
    <w:sdtContent>
      <w:p w14:paraId="6B041582" w14:textId="77777777" w:rsidR="00CA04CD" w:rsidRDefault="00CA04CD">
        <w:pPr>
          <w:pStyle w:val="Header"/>
          <w:jc w:val="right"/>
        </w:pPr>
        <w:r>
          <w:t>POST-SCHOOL OUTCOMES FOR AUTISTIC AND NON-AUTISTC YOUTH</w:t>
        </w:r>
      </w:p>
      <w:p w14:paraId="16B9FC36" w14:textId="77777777" w:rsidR="00CA04CD" w:rsidRDefault="00CA04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0D7151" w14:textId="77777777" w:rsidR="00CA04CD" w:rsidRDefault="00CA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25905"/>
      <w:docPartObj>
        <w:docPartGallery w:val="Page Numbers (Top of Page)"/>
        <w:docPartUnique/>
      </w:docPartObj>
    </w:sdtPr>
    <w:sdtEndPr>
      <w:rPr>
        <w:noProof/>
      </w:rPr>
    </w:sdtEndPr>
    <w:sdtContent>
      <w:p w14:paraId="3289161D" w14:textId="2CC0336C" w:rsidR="00DF53E9" w:rsidRDefault="00DF53E9">
        <w:pPr>
          <w:pStyle w:val="Header"/>
          <w:jc w:val="right"/>
        </w:pPr>
        <w:r>
          <w:t>POST</w:t>
        </w:r>
        <w:r w:rsidR="00DC4550">
          <w:t>-</w:t>
        </w:r>
        <w:r>
          <w:t xml:space="preserve">SCHOOL </w:t>
        </w:r>
        <w:r w:rsidR="00AF499E">
          <w:t>OUTCOMES</w:t>
        </w:r>
        <w:r>
          <w:t xml:space="preserve"> FOR AUTISTIC AND NON-AUTISTC YOUTH</w:t>
        </w:r>
      </w:p>
      <w:p w14:paraId="04537335" w14:textId="504CEF67" w:rsidR="00DF53E9" w:rsidRDefault="00DF53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F78C09" w14:textId="77777777" w:rsidR="00DF53E9" w:rsidRDefault="00DF53E9">
    <w:pPr>
      <w:pStyle w:val="Header"/>
    </w:pPr>
  </w:p>
  <w:p w14:paraId="5E61D568" w14:textId="77777777" w:rsidR="003F635D" w:rsidRDefault="003F63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62DC"/>
    <w:multiLevelType w:val="hybridMultilevel"/>
    <w:tmpl w:val="A132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01A6D"/>
    <w:multiLevelType w:val="hybridMultilevel"/>
    <w:tmpl w:val="EA964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C6055"/>
    <w:multiLevelType w:val="hybridMultilevel"/>
    <w:tmpl w:val="CE04F3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91837"/>
    <w:multiLevelType w:val="multilevel"/>
    <w:tmpl w:val="5B6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461EA"/>
    <w:multiLevelType w:val="hybridMultilevel"/>
    <w:tmpl w:val="7196179E"/>
    <w:lvl w:ilvl="0" w:tplc="FFFFFFFF">
      <w:start w:val="1"/>
      <w:numFmt w:val="decimal"/>
      <w:lvlText w:val="%1."/>
      <w:lvlJc w:val="left"/>
      <w:pPr>
        <w:ind w:left="720" w:hanging="360"/>
      </w:pPr>
    </w:lvl>
    <w:lvl w:ilvl="1" w:tplc="FA2C2058">
      <w:start w:val="1"/>
      <w:numFmt w:val="lowerLetter"/>
      <w:lvlText w:val="%2."/>
      <w:lvlJc w:val="left"/>
      <w:pPr>
        <w:ind w:left="1440" w:hanging="360"/>
      </w:pPr>
    </w:lvl>
    <w:lvl w:ilvl="2" w:tplc="3190A842">
      <w:start w:val="1"/>
      <w:numFmt w:val="lowerRoman"/>
      <w:lvlText w:val="%3."/>
      <w:lvlJc w:val="right"/>
      <w:pPr>
        <w:ind w:left="2160" w:hanging="180"/>
      </w:pPr>
    </w:lvl>
    <w:lvl w:ilvl="3" w:tplc="8B04B884">
      <w:start w:val="1"/>
      <w:numFmt w:val="decimal"/>
      <w:lvlText w:val="%4."/>
      <w:lvlJc w:val="left"/>
      <w:pPr>
        <w:ind w:left="2880" w:hanging="360"/>
      </w:pPr>
    </w:lvl>
    <w:lvl w:ilvl="4" w:tplc="2F0C66E2">
      <w:start w:val="1"/>
      <w:numFmt w:val="lowerLetter"/>
      <w:lvlText w:val="%5."/>
      <w:lvlJc w:val="left"/>
      <w:pPr>
        <w:ind w:left="3600" w:hanging="360"/>
      </w:pPr>
    </w:lvl>
    <w:lvl w:ilvl="5" w:tplc="7FAEBDC4">
      <w:start w:val="1"/>
      <w:numFmt w:val="lowerRoman"/>
      <w:lvlText w:val="%6."/>
      <w:lvlJc w:val="right"/>
      <w:pPr>
        <w:ind w:left="4320" w:hanging="180"/>
      </w:pPr>
    </w:lvl>
    <w:lvl w:ilvl="6" w:tplc="9DEE2B80">
      <w:start w:val="1"/>
      <w:numFmt w:val="decimal"/>
      <w:lvlText w:val="%7."/>
      <w:lvlJc w:val="left"/>
      <w:pPr>
        <w:ind w:left="5040" w:hanging="360"/>
      </w:pPr>
    </w:lvl>
    <w:lvl w:ilvl="7" w:tplc="39106E6E">
      <w:start w:val="1"/>
      <w:numFmt w:val="lowerLetter"/>
      <w:lvlText w:val="%8."/>
      <w:lvlJc w:val="left"/>
      <w:pPr>
        <w:ind w:left="5760" w:hanging="360"/>
      </w:pPr>
    </w:lvl>
    <w:lvl w:ilvl="8" w:tplc="CB922CBC">
      <w:start w:val="1"/>
      <w:numFmt w:val="lowerRoman"/>
      <w:lvlText w:val="%9."/>
      <w:lvlJc w:val="right"/>
      <w:pPr>
        <w:ind w:left="6480" w:hanging="180"/>
      </w:pPr>
    </w:lvl>
  </w:abstractNum>
  <w:abstractNum w:abstractNumId="5" w15:restartNumberingAfterBreak="0">
    <w:nsid w:val="540B6295"/>
    <w:multiLevelType w:val="hybridMultilevel"/>
    <w:tmpl w:val="8E7C8C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E8221E"/>
    <w:multiLevelType w:val="hybridMultilevel"/>
    <w:tmpl w:val="47FAD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A0C00"/>
    <w:multiLevelType w:val="hybridMultilevel"/>
    <w:tmpl w:val="BC26AFF2"/>
    <w:lvl w:ilvl="0" w:tplc="0F242EA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AC43E1"/>
    <w:multiLevelType w:val="hybridMultilevel"/>
    <w:tmpl w:val="025CC9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30CA6"/>
    <w:multiLevelType w:val="hybridMultilevel"/>
    <w:tmpl w:val="7644A5A8"/>
    <w:lvl w:ilvl="0" w:tplc="D5B077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BA0B07"/>
    <w:multiLevelType w:val="hybridMultilevel"/>
    <w:tmpl w:val="053E69A4"/>
    <w:lvl w:ilvl="0" w:tplc="08090003">
      <w:start w:val="1"/>
      <w:numFmt w:val="bullet"/>
      <w:lvlText w:val="o"/>
      <w:lvlJc w:val="left"/>
      <w:pPr>
        <w:ind w:left="960" w:hanging="360"/>
      </w:pPr>
      <w:rPr>
        <w:rFonts w:ascii="Courier New" w:hAnsi="Courier New" w:cs="Courier New"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
  </w:num>
  <w:num w:numId="6">
    <w:abstractNumId w:val="8"/>
  </w:num>
  <w:num w:numId="7">
    <w:abstractNumId w:val="10"/>
  </w:num>
  <w:num w:numId="8">
    <w:abstractNumId w:val="6"/>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97"/>
    <w:rsid w:val="000006E2"/>
    <w:rsid w:val="00000BBA"/>
    <w:rsid w:val="000011E6"/>
    <w:rsid w:val="00001566"/>
    <w:rsid w:val="00001588"/>
    <w:rsid w:val="00001BC0"/>
    <w:rsid w:val="00002A5B"/>
    <w:rsid w:val="00007ED1"/>
    <w:rsid w:val="00010A26"/>
    <w:rsid w:val="00010E69"/>
    <w:rsid w:val="000123FF"/>
    <w:rsid w:val="00013835"/>
    <w:rsid w:val="00015466"/>
    <w:rsid w:val="00015D6D"/>
    <w:rsid w:val="00017F31"/>
    <w:rsid w:val="00020861"/>
    <w:rsid w:val="0002112F"/>
    <w:rsid w:val="000230D8"/>
    <w:rsid w:val="0002448A"/>
    <w:rsid w:val="00024707"/>
    <w:rsid w:val="00025A12"/>
    <w:rsid w:val="00026C66"/>
    <w:rsid w:val="000279CB"/>
    <w:rsid w:val="00027A21"/>
    <w:rsid w:val="00030E5D"/>
    <w:rsid w:val="00030E60"/>
    <w:rsid w:val="00031B8B"/>
    <w:rsid w:val="00033244"/>
    <w:rsid w:val="00033BA4"/>
    <w:rsid w:val="00034816"/>
    <w:rsid w:val="00035C59"/>
    <w:rsid w:val="00036BDD"/>
    <w:rsid w:val="0003755E"/>
    <w:rsid w:val="0004215B"/>
    <w:rsid w:val="00042D9C"/>
    <w:rsid w:val="00043C08"/>
    <w:rsid w:val="00044BE9"/>
    <w:rsid w:val="00044E69"/>
    <w:rsid w:val="0004699C"/>
    <w:rsid w:val="00047EA3"/>
    <w:rsid w:val="0005010F"/>
    <w:rsid w:val="00051560"/>
    <w:rsid w:val="00051BD6"/>
    <w:rsid w:val="000521F4"/>
    <w:rsid w:val="00053A18"/>
    <w:rsid w:val="00053F24"/>
    <w:rsid w:val="00055507"/>
    <w:rsid w:val="00057325"/>
    <w:rsid w:val="000602AC"/>
    <w:rsid w:val="000615AF"/>
    <w:rsid w:val="00062092"/>
    <w:rsid w:val="00062AB0"/>
    <w:rsid w:val="00062DEC"/>
    <w:rsid w:val="00063681"/>
    <w:rsid w:val="00063B89"/>
    <w:rsid w:val="00071192"/>
    <w:rsid w:val="00071A7A"/>
    <w:rsid w:val="00074630"/>
    <w:rsid w:val="00074740"/>
    <w:rsid w:val="00074D00"/>
    <w:rsid w:val="00076637"/>
    <w:rsid w:val="00076E92"/>
    <w:rsid w:val="00080114"/>
    <w:rsid w:val="000809D0"/>
    <w:rsid w:val="00080D81"/>
    <w:rsid w:val="00081C8B"/>
    <w:rsid w:val="00081FD0"/>
    <w:rsid w:val="00081FE0"/>
    <w:rsid w:val="0008287C"/>
    <w:rsid w:val="0008346B"/>
    <w:rsid w:val="0008476E"/>
    <w:rsid w:val="00085024"/>
    <w:rsid w:val="00085345"/>
    <w:rsid w:val="0008628B"/>
    <w:rsid w:val="00086436"/>
    <w:rsid w:val="00086546"/>
    <w:rsid w:val="00086F39"/>
    <w:rsid w:val="00087447"/>
    <w:rsid w:val="000879CA"/>
    <w:rsid w:val="00090174"/>
    <w:rsid w:val="000902B2"/>
    <w:rsid w:val="00090703"/>
    <w:rsid w:val="00090819"/>
    <w:rsid w:val="00090C68"/>
    <w:rsid w:val="00091054"/>
    <w:rsid w:val="0009190D"/>
    <w:rsid w:val="00092BA1"/>
    <w:rsid w:val="00093315"/>
    <w:rsid w:val="00093578"/>
    <w:rsid w:val="00093B1D"/>
    <w:rsid w:val="00093D41"/>
    <w:rsid w:val="00096713"/>
    <w:rsid w:val="000A0A48"/>
    <w:rsid w:val="000A0B3C"/>
    <w:rsid w:val="000A0D1B"/>
    <w:rsid w:val="000A1A3F"/>
    <w:rsid w:val="000A20D7"/>
    <w:rsid w:val="000A2CCF"/>
    <w:rsid w:val="000A2DDE"/>
    <w:rsid w:val="000A31FB"/>
    <w:rsid w:val="000A3472"/>
    <w:rsid w:val="000A48EC"/>
    <w:rsid w:val="000A6DE2"/>
    <w:rsid w:val="000A7425"/>
    <w:rsid w:val="000A787B"/>
    <w:rsid w:val="000A7A62"/>
    <w:rsid w:val="000B07F7"/>
    <w:rsid w:val="000B0A6F"/>
    <w:rsid w:val="000B0B87"/>
    <w:rsid w:val="000B0C5F"/>
    <w:rsid w:val="000B0F18"/>
    <w:rsid w:val="000B4DF8"/>
    <w:rsid w:val="000B4E3F"/>
    <w:rsid w:val="000B59D6"/>
    <w:rsid w:val="000B710B"/>
    <w:rsid w:val="000C1C43"/>
    <w:rsid w:val="000C2E2B"/>
    <w:rsid w:val="000C31BA"/>
    <w:rsid w:val="000C32F4"/>
    <w:rsid w:val="000C427B"/>
    <w:rsid w:val="000C5A47"/>
    <w:rsid w:val="000C5E8E"/>
    <w:rsid w:val="000C791E"/>
    <w:rsid w:val="000D0FEF"/>
    <w:rsid w:val="000D2160"/>
    <w:rsid w:val="000D2355"/>
    <w:rsid w:val="000D3EA4"/>
    <w:rsid w:val="000D4D0E"/>
    <w:rsid w:val="000D71C8"/>
    <w:rsid w:val="000D7890"/>
    <w:rsid w:val="000E2152"/>
    <w:rsid w:val="000E22ED"/>
    <w:rsid w:val="000E279F"/>
    <w:rsid w:val="000E2F63"/>
    <w:rsid w:val="000E3668"/>
    <w:rsid w:val="000E3954"/>
    <w:rsid w:val="000E3ABF"/>
    <w:rsid w:val="000E4C74"/>
    <w:rsid w:val="000E6D30"/>
    <w:rsid w:val="000E7214"/>
    <w:rsid w:val="000E7693"/>
    <w:rsid w:val="000F074F"/>
    <w:rsid w:val="000F0B4F"/>
    <w:rsid w:val="000F16B2"/>
    <w:rsid w:val="000F437C"/>
    <w:rsid w:val="000F466C"/>
    <w:rsid w:val="000F53DE"/>
    <w:rsid w:val="000F5516"/>
    <w:rsid w:val="000F551D"/>
    <w:rsid w:val="000F5BAC"/>
    <w:rsid w:val="000F6062"/>
    <w:rsid w:val="000F631A"/>
    <w:rsid w:val="00100CE5"/>
    <w:rsid w:val="001012CD"/>
    <w:rsid w:val="0010271A"/>
    <w:rsid w:val="00102AD5"/>
    <w:rsid w:val="001037AB"/>
    <w:rsid w:val="00104911"/>
    <w:rsid w:val="00105FAA"/>
    <w:rsid w:val="0010684F"/>
    <w:rsid w:val="0011107F"/>
    <w:rsid w:val="0011214C"/>
    <w:rsid w:val="00116D1C"/>
    <w:rsid w:val="001178A0"/>
    <w:rsid w:val="00117CB7"/>
    <w:rsid w:val="00122AF0"/>
    <w:rsid w:val="00123DBA"/>
    <w:rsid w:val="00123F28"/>
    <w:rsid w:val="00124562"/>
    <w:rsid w:val="00125F9A"/>
    <w:rsid w:val="00126262"/>
    <w:rsid w:val="0012637B"/>
    <w:rsid w:val="0012736A"/>
    <w:rsid w:val="00130A51"/>
    <w:rsid w:val="001337C8"/>
    <w:rsid w:val="0013501A"/>
    <w:rsid w:val="00135F79"/>
    <w:rsid w:val="0013653D"/>
    <w:rsid w:val="00140155"/>
    <w:rsid w:val="00141333"/>
    <w:rsid w:val="00141AD1"/>
    <w:rsid w:val="001420FE"/>
    <w:rsid w:val="001446E1"/>
    <w:rsid w:val="001459F9"/>
    <w:rsid w:val="00150A5F"/>
    <w:rsid w:val="00150B88"/>
    <w:rsid w:val="0015116E"/>
    <w:rsid w:val="00151E7D"/>
    <w:rsid w:val="00151F21"/>
    <w:rsid w:val="001530C0"/>
    <w:rsid w:val="00154973"/>
    <w:rsid w:val="001553EE"/>
    <w:rsid w:val="00156826"/>
    <w:rsid w:val="001579C3"/>
    <w:rsid w:val="00160E7C"/>
    <w:rsid w:val="001620BA"/>
    <w:rsid w:val="001627D4"/>
    <w:rsid w:val="00162EAD"/>
    <w:rsid w:val="00164936"/>
    <w:rsid w:val="00165303"/>
    <w:rsid w:val="0016619D"/>
    <w:rsid w:val="00166E6D"/>
    <w:rsid w:val="00166F24"/>
    <w:rsid w:val="00170F40"/>
    <w:rsid w:val="0017121E"/>
    <w:rsid w:val="00171F09"/>
    <w:rsid w:val="001726D0"/>
    <w:rsid w:val="00177FF8"/>
    <w:rsid w:val="0018069B"/>
    <w:rsid w:val="00185E00"/>
    <w:rsid w:val="00185EB8"/>
    <w:rsid w:val="00186230"/>
    <w:rsid w:val="00187245"/>
    <w:rsid w:val="00190656"/>
    <w:rsid w:val="00190E4E"/>
    <w:rsid w:val="001911B0"/>
    <w:rsid w:val="00191310"/>
    <w:rsid w:val="001916F0"/>
    <w:rsid w:val="00194667"/>
    <w:rsid w:val="00195C7C"/>
    <w:rsid w:val="00195CDD"/>
    <w:rsid w:val="00196EB2"/>
    <w:rsid w:val="00197A68"/>
    <w:rsid w:val="00197BB5"/>
    <w:rsid w:val="001A0822"/>
    <w:rsid w:val="001A11ED"/>
    <w:rsid w:val="001A2AFA"/>
    <w:rsid w:val="001A4838"/>
    <w:rsid w:val="001A5059"/>
    <w:rsid w:val="001A5467"/>
    <w:rsid w:val="001A56A8"/>
    <w:rsid w:val="001A5957"/>
    <w:rsid w:val="001B143F"/>
    <w:rsid w:val="001B1658"/>
    <w:rsid w:val="001B1659"/>
    <w:rsid w:val="001B387A"/>
    <w:rsid w:val="001B4DC5"/>
    <w:rsid w:val="001B6F38"/>
    <w:rsid w:val="001C01D8"/>
    <w:rsid w:val="001C097E"/>
    <w:rsid w:val="001C196B"/>
    <w:rsid w:val="001C2D63"/>
    <w:rsid w:val="001C4050"/>
    <w:rsid w:val="001C5802"/>
    <w:rsid w:val="001C5DB4"/>
    <w:rsid w:val="001C71EF"/>
    <w:rsid w:val="001D0643"/>
    <w:rsid w:val="001D1CE7"/>
    <w:rsid w:val="001D2130"/>
    <w:rsid w:val="001D22FE"/>
    <w:rsid w:val="001D50C0"/>
    <w:rsid w:val="001D5F42"/>
    <w:rsid w:val="001D6017"/>
    <w:rsid w:val="001E0C70"/>
    <w:rsid w:val="001E1426"/>
    <w:rsid w:val="001E1535"/>
    <w:rsid w:val="001E2487"/>
    <w:rsid w:val="001E279E"/>
    <w:rsid w:val="001E3145"/>
    <w:rsid w:val="001E36C3"/>
    <w:rsid w:val="001E3CD9"/>
    <w:rsid w:val="001E53D2"/>
    <w:rsid w:val="001E5957"/>
    <w:rsid w:val="001E5B20"/>
    <w:rsid w:val="001E68E6"/>
    <w:rsid w:val="001E6C06"/>
    <w:rsid w:val="001F0208"/>
    <w:rsid w:val="001F1B32"/>
    <w:rsid w:val="001F22B9"/>
    <w:rsid w:val="001F3B77"/>
    <w:rsid w:val="002000F9"/>
    <w:rsid w:val="00200669"/>
    <w:rsid w:val="002009C1"/>
    <w:rsid w:val="00200D96"/>
    <w:rsid w:val="00200FB4"/>
    <w:rsid w:val="00201736"/>
    <w:rsid w:val="00204D8E"/>
    <w:rsid w:val="00204FF7"/>
    <w:rsid w:val="00205677"/>
    <w:rsid w:val="00206267"/>
    <w:rsid w:val="00210679"/>
    <w:rsid w:val="0021196B"/>
    <w:rsid w:val="00212188"/>
    <w:rsid w:val="002127D7"/>
    <w:rsid w:val="00212CC8"/>
    <w:rsid w:val="0021384B"/>
    <w:rsid w:val="002138A3"/>
    <w:rsid w:val="00213B17"/>
    <w:rsid w:val="00213C44"/>
    <w:rsid w:val="002142DC"/>
    <w:rsid w:val="00215FEE"/>
    <w:rsid w:val="00216BB2"/>
    <w:rsid w:val="00216EA1"/>
    <w:rsid w:val="00217590"/>
    <w:rsid w:val="00217727"/>
    <w:rsid w:val="00220586"/>
    <w:rsid w:val="002223EC"/>
    <w:rsid w:val="00223FAC"/>
    <w:rsid w:val="002243B6"/>
    <w:rsid w:val="0022497E"/>
    <w:rsid w:val="00225F27"/>
    <w:rsid w:val="00227876"/>
    <w:rsid w:val="0023029C"/>
    <w:rsid w:val="00230925"/>
    <w:rsid w:val="00231661"/>
    <w:rsid w:val="00231C6E"/>
    <w:rsid w:val="0023223B"/>
    <w:rsid w:val="00232CB0"/>
    <w:rsid w:val="00233C67"/>
    <w:rsid w:val="0023453B"/>
    <w:rsid w:val="002348CF"/>
    <w:rsid w:val="00235636"/>
    <w:rsid w:val="00236724"/>
    <w:rsid w:val="00237C12"/>
    <w:rsid w:val="00237FD9"/>
    <w:rsid w:val="00241F74"/>
    <w:rsid w:val="00242EF6"/>
    <w:rsid w:val="0024351E"/>
    <w:rsid w:val="00243681"/>
    <w:rsid w:val="00245913"/>
    <w:rsid w:val="00246343"/>
    <w:rsid w:val="00246FD0"/>
    <w:rsid w:val="002478E3"/>
    <w:rsid w:val="00247A50"/>
    <w:rsid w:val="00251848"/>
    <w:rsid w:val="00251ADC"/>
    <w:rsid w:val="00251D5C"/>
    <w:rsid w:val="002551E3"/>
    <w:rsid w:val="002559F0"/>
    <w:rsid w:val="002567F2"/>
    <w:rsid w:val="002574BB"/>
    <w:rsid w:val="0026029B"/>
    <w:rsid w:val="00262F8E"/>
    <w:rsid w:val="002635A7"/>
    <w:rsid w:val="00264CFC"/>
    <w:rsid w:val="00265BD1"/>
    <w:rsid w:val="0026617B"/>
    <w:rsid w:val="002677EE"/>
    <w:rsid w:val="00271A8D"/>
    <w:rsid w:val="00271D6D"/>
    <w:rsid w:val="00272DC4"/>
    <w:rsid w:val="00273000"/>
    <w:rsid w:val="00273BED"/>
    <w:rsid w:val="0027444E"/>
    <w:rsid w:val="00274A3A"/>
    <w:rsid w:val="00274A6F"/>
    <w:rsid w:val="00274AE6"/>
    <w:rsid w:val="00274B3B"/>
    <w:rsid w:val="00276170"/>
    <w:rsid w:val="00281316"/>
    <w:rsid w:val="002817A6"/>
    <w:rsid w:val="002821F0"/>
    <w:rsid w:val="00282885"/>
    <w:rsid w:val="0028309A"/>
    <w:rsid w:val="00284A16"/>
    <w:rsid w:val="0028548B"/>
    <w:rsid w:val="00285695"/>
    <w:rsid w:val="00287AC9"/>
    <w:rsid w:val="002918F9"/>
    <w:rsid w:val="00291A0C"/>
    <w:rsid w:val="00293F17"/>
    <w:rsid w:val="00293F42"/>
    <w:rsid w:val="00294265"/>
    <w:rsid w:val="002944E1"/>
    <w:rsid w:val="002964FB"/>
    <w:rsid w:val="0029673D"/>
    <w:rsid w:val="002A034C"/>
    <w:rsid w:val="002A2A87"/>
    <w:rsid w:val="002A2F4E"/>
    <w:rsid w:val="002A3017"/>
    <w:rsid w:val="002A37F0"/>
    <w:rsid w:val="002A4A6C"/>
    <w:rsid w:val="002A5360"/>
    <w:rsid w:val="002A5D06"/>
    <w:rsid w:val="002A6999"/>
    <w:rsid w:val="002A7410"/>
    <w:rsid w:val="002B167B"/>
    <w:rsid w:val="002B3337"/>
    <w:rsid w:val="002B348C"/>
    <w:rsid w:val="002B3CF3"/>
    <w:rsid w:val="002B4665"/>
    <w:rsid w:val="002B4A13"/>
    <w:rsid w:val="002B4A3F"/>
    <w:rsid w:val="002B5335"/>
    <w:rsid w:val="002B59BA"/>
    <w:rsid w:val="002B7804"/>
    <w:rsid w:val="002C0D06"/>
    <w:rsid w:val="002C105C"/>
    <w:rsid w:val="002C3EA8"/>
    <w:rsid w:val="002C42CA"/>
    <w:rsid w:val="002C434C"/>
    <w:rsid w:val="002C4D24"/>
    <w:rsid w:val="002C6721"/>
    <w:rsid w:val="002C74B1"/>
    <w:rsid w:val="002C77D9"/>
    <w:rsid w:val="002C7B70"/>
    <w:rsid w:val="002C7DCD"/>
    <w:rsid w:val="002D003D"/>
    <w:rsid w:val="002D133C"/>
    <w:rsid w:val="002D24EA"/>
    <w:rsid w:val="002D332D"/>
    <w:rsid w:val="002D4D57"/>
    <w:rsid w:val="002D6046"/>
    <w:rsid w:val="002D73C9"/>
    <w:rsid w:val="002E43AF"/>
    <w:rsid w:val="002E5713"/>
    <w:rsid w:val="002E639A"/>
    <w:rsid w:val="002E714F"/>
    <w:rsid w:val="002E73DF"/>
    <w:rsid w:val="002E757E"/>
    <w:rsid w:val="002E7E6B"/>
    <w:rsid w:val="002F288A"/>
    <w:rsid w:val="002F2A43"/>
    <w:rsid w:val="002F2DD2"/>
    <w:rsid w:val="002F38EE"/>
    <w:rsid w:val="002F58D8"/>
    <w:rsid w:val="002F5D3E"/>
    <w:rsid w:val="002F602F"/>
    <w:rsid w:val="002F717E"/>
    <w:rsid w:val="002F7C3D"/>
    <w:rsid w:val="00300B2A"/>
    <w:rsid w:val="00301F31"/>
    <w:rsid w:val="00303912"/>
    <w:rsid w:val="003056EF"/>
    <w:rsid w:val="00305E24"/>
    <w:rsid w:val="00307632"/>
    <w:rsid w:val="003117E4"/>
    <w:rsid w:val="00311E37"/>
    <w:rsid w:val="00312AD4"/>
    <w:rsid w:val="00313AEE"/>
    <w:rsid w:val="003163C3"/>
    <w:rsid w:val="00320689"/>
    <w:rsid w:val="00323593"/>
    <w:rsid w:val="00324156"/>
    <w:rsid w:val="00325C06"/>
    <w:rsid w:val="00325FEB"/>
    <w:rsid w:val="00332BC2"/>
    <w:rsid w:val="003335D6"/>
    <w:rsid w:val="003347AC"/>
    <w:rsid w:val="00334A5B"/>
    <w:rsid w:val="00334DBA"/>
    <w:rsid w:val="0033694C"/>
    <w:rsid w:val="00336AB5"/>
    <w:rsid w:val="00340A8E"/>
    <w:rsid w:val="00341132"/>
    <w:rsid w:val="0034221A"/>
    <w:rsid w:val="003424A8"/>
    <w:rsid w:val="00343DEA"/>
    <w:rsid w:val="00344188"/>
    <w:rsid w:val="00345042"/>
    <w:rsid w:val="00345595"/>
    <w:rsid w:val="00346B51"/>
    <w:rsid w:val="003520DA"/>
    <w:rsid w:val="0035277C"/>
    <w:rsid w:val="003534EB"/>
    <w:rsid w:val="003536DE"/>
    <w:rsid w:val="0035377B"/>
    <w:rsid w:val="00354453"/>
    <w:rsid w:val="00354E0C"/>
    <w:rsid w:val="00356677"/>
    <w:rsid w:val="00357020"/>
    <w:rsid w:val="0036162C"/>
    <w:rsid w:val="003616E5"/>
    <w:rsid w:val="00361CA2"/>
    <w:rsid w:val="00361E5D"/>
    <w:rsid w:val="00362122"/>
    <w:rsid w:val="00363338"/>
    <w:rsid w:val="00363C4B"/>
    <w:rsid w:val="00364A68"/>
    <w:rsid w:val="00365386"/>
    <w:rsid w:val="00365E6D"/>
    <w:rsid w:val="00366D4F"/>
    <w:rsid w:val="003675AC"/>
    <w:rsid w:val="00370644"/>
    <w:rsid w:val="00371BA0"/>
    <w:rsid w:val="00373910"/>
    <w:rsid w:val="00374F59"/>
    <w:rsid w:val="003761F1"/>
    <w:rsid w:val="0037794D"/>
    <w:rsid w:val="00377AE8"/>
    <w:rsid w:val="00381F4C"/>
    <w:rsid w:val="003826E5"/>
    <w:rsid w:val="003853C7"/>
    <w:rsid w:val="003855FA"/>
    <w:rsid w:val="0038577F"/>
    <w:rsid w:val="00385E36"/>
    <w:rsid w:val="0038794B"/>
    <w:rsid w:val="00391514"/>
    <w:rsid w:val="0039322C"/>
    <w:rsid w:val="00393C61"/>
    <w:rsid w:val="003A070E"/>
    <w:rsid w:val="003A1006"/>
    <w:rsid w:val="003A1C8F"/>
    <w:rsid w:val="003A2545"/>
    <w:rsid w:val="003A2D23"/>
    <w:rsid w:val="003A3C1C"/>
    <w:rsid w:val="003A7650"/>
    <w:rsid w:val="003B04D7"/>
    <w:rsid w:val="003B16D4"/>
    <w:rsid w:val="003B20A5"/>
    <w:rsid w:val="003B2A9A"/>
    <w:rsid w:val="003B2C0C"/>
    <w:rsid w:val="003B3583"/>
    <w:rsid w:val="003B3B3A"/>
    <w:rsid w:val="003B3DAE"/>
    <w:rsid w:val="003B45C6"/>
    <w:rsid w:val="003B4C56"/>
    <w:rsid w:val="003B5ED5"/>
    <w:rsid w:val="003C0F02"/>
    <w:rsid w:val="003C1F74"/>
    <w:rsid w:val="003C418E"/>
    <w:rsid w:val="003C4E37"/>
    <w:rsid w:val="003C65DE"/>
    <w:rsid w:val="003C6C4D"/>
    <w:rsid w:val="003D02EE"/>
    <w:rsid w:val="003D17FD"/>
    <w:rsid w:val="003D3956"/>
    <w:rsid w:val="003D42E8"/>
    <w:rsid w:val="003D5C29"/>
    <w:rsid w:val="003D7EBC"/>
    <w:rsid w:val="003E03B3"/>
    <w:rsid w:val="003E1713"/>
    <w:rsid w:val="003E19FC"/>
    <w:rsid w:val="003E35E7"/>
    <w:rsid w:val="003E3686"/>
    <w:rsid w:val="003E43C2"/>
    <w:rsid w:val="003E5795"/>
    <w:rsid w:val="003E5BBB"/>
    <w:rsid w:val="003E5DF3"/>
    <w:rsid w:val="003E683D"/>
    <w:rsid w:val="003E72C4"/>
    <w:rsid w:val="003E7F00"/>
    <w:rsid w:val="003F156A"/>
    <w:rsid w:val="003F1898"/>
    <w:rsid w:val="003F208D"/>
    <w:rsid w:val="003F20B9"/>
    <w:rsid w:val="003F229D"/>
    <w:rsid w:val="003F2DA8"/>
    <w:rsid w:val="003F3CC7"/>
    <w:rsid w:val="003F497D"/>
    <w:rsid w:val="003F5B20"/>
    <w:rsid w:val="003F635D"/>
    <w:rsid w:val="00403EC5"/>
    <w:rsid w:val="0040472D"/>
    <w:rsid w:val="00406991"/>
    <w:rsid w:val="004102E6"/>
    <w:rsid w:val="00410D70"/>
    <w:rsid w:val="00413402"/>
    <w:rsid w:val="00413A2B"/>
    <w:rsid w:val="00414A0B"/>
    <w:rsid w:val="00414FA4"/>
    <w:rsid w:val="004176C4"/>
    <w:rsid w:val="00417A8E"/>
    <w:rsid w:val="00420026"/>
    <w:rsid w:val="004203E5"/>
    <w:rsid w:val="00421E6B"/>
    <w:rsid w:val="00424738"/>
    <w:rsid w:val="00424FA6"/>
    <w:rsid w:val="004254F6"/>
    <w:rsid w:val="00425BF1"/>
    <w:rsid w:val="00426271"/>
    <w:rsid w:val="004309DF"/>
    <w:rsid w:val="00430ED9"/>
    <w:rsid w:val="004329CD"/>
    <w:rsid w:val="00433275"/>
    <w:rsid w:val="004348FB"/>
    <w:rsid w:val="00434F3F"/>
    <w:rsid w:val="004360E3"/>
    <w:rsid w:val="00440215"/>
    <w:rsid w:val="004406BB"/>
    <w:rsid w:val="004406E2"/>
    <w:rsid w:val="00441379"/>
    <w:rsid w:val="00441E30"/>
    <w:rsid w:val="00442A50"/>
    <w:rsid w:val="00443291"/>
    <w:rsid w:val="0044368E"/>
    <w:rsid w:val="00443C06"/>
    <w:rsid w:val="00444D6C"/>
    <w:rsid w:val="00445CEC"/>
    <w:rsid w:val="0044657D"/>
    <w:rsid w:val="00446DA5"/>
    <w:rsid w:val="00446E04"/>
    <w:rsid w:val="00446FDA"/>
    <w:rsid w:val="0045011F"/>
    <w:rsid w:val="00450C6E"/>
    <w:rsid w:val="00450E42"/>
    <w:rsid w:val="004512C3"/>
    <w:rsid w:val="00451634"/>
    <w:rsid w:val="00452B29"/>
    <w:rsid w:val="00452E28"/>
    <w:rsid w:val="004532CD"/>
    <w:rsid w:val="00453CD5"/>
    <w:rsid w:val="0045468D"/>
    <w:rsid w:val="0045487E"/>
    <w:rsid w:val="00455C28"/>
    <w:rsid w:val="00456268"/>
    <w:rsid w:val="00460F2F"/>
    <w:rsid w:val="004611C2"/>
    <w:rsid w:val="00461A44"/>
    <w:rsid w:val="004633FA"/>
    <w:rsid w:val="00463C6E"/>
    <w:rsid w:val="00464F47"/>
    <w:rsid w:val="004664DD"/>
    <w:rsid w:val="004667D1"/>
    <w:rsid w:val="00466C8C"/>
    <w:rsid w:val="004707C7"/>
    <w:rsid w:val="00470E08"/>
    <w:rsid w:val="004716F9"/>
    <w:rsid w:val="00471AB5"/>
    <w:rsid w:val="00471C45"/>
    <w:rsid w:val="0047336A"/>
    <w:rsid w:val="004736B5"/>
    <w:rsid w:val="00475E2C"/>
    <w:rsid w:val="004769E3"/>
    <w:rsid w:val="00476A65"/>
    <w:rsid w:val="004803DE"/>
    <w:rsid w:val="00480793"/>
    <w:rsid w:val="004808CD"/>
    <w:rsid w:val="00480E70"/>
    <w:rsid w:val="0048119D"/>
    <w:rsid w:val="00481C5A"/>
    <w:rsid w:val="004855DD"/>
    <w:rsid w:val="004903D5"/>
    <w:rsid w:val="00490413"/>
    <w:rsid w:val="00490B26"/>
    <w:rsid w:val="00490D75"/>
    <w:rsid w:val="0049280F"/>
    <w:rsid w:val="004949F7"/>
    <w:rsid w:val="00494F1F"/>
    <w:rsid w:val="00496AAE"/>
    <w:rsid w:val="004A1364"/>
    <w:rsid w:val="004A25FC"/>
    <w:rsid w:val="004A3CE9"/>
    <w:rsid w:val="004A7DA5"/>
    <w:rsid w:val="004B2155"/>
    <w:rsid w:val="004B330D"/>
    <w:rsid w:val="004B3B95"/>
    <w:rsid w:val="004B3C4B"/>
    <w:rsid w:val="004B4276"/>
    <w:rsid w:val="004B431B"/>
    <w:rsid w:val="004B4434"/>
    <w:rsid w:val="004B46BD"/>
    <w:rsid w:val="004B7817"/>
    <w:rsid w:val="004C03E4"/>
    <w:rsid w:val="004C0658"/>
    <w:rsid w:val="004C0904"/>
    <w:rsid w:val="004C0EC6"/>
    <w:rsid w:val="004C59BD"/>
    <w:rsid w:val="004C73B8"/>
    <w:rsid w:val="004C7883"/>
    <w:rsid w:val="004D050B"/>
    <w:rsid w:val="004D0555"/>
    <w:rsid w:val="004D14FC"/>
    <w:rsid w:val="004D24B7"/>
    <w:rsid w:val="004D2A91"/>
    <w:rsid w:val="004D2F2A"/>
    <w:rsid w:val="004D3352"/>
    <w:rsid w:val="004D4A17"/>
    <w:rsid w:val="004D57A0"/>
    <w:rsid w:val="004D5F39"/>
    <w:rsid w:val="004D6248"/>
    <w:rsid w:val="004E038A"/>
    <w:rsid w:val="004E14DA"/>
    <w:rsid w:val="004E15D0"/>
    <w:rsid w:val="004E288D"/>
    <w:rsid w:val="004E4A6F"/>
    <w:rsid w:val="004E6895"/>
    <w:rsid w:val="004F06A2"/>
    <w:rsid w:val="004F1C50"/>
    <w:rsid w:val="004F4FD5"/>
    <w:rsid w:val="004F55A5"/>
    <w:rsid w:val="004F6A05"/>
    <w:rsid w:val="004F6A0B"/>
    <w:rsid w:val="004F6C2E"/>
    <w:rsid w:val="00502061"/>
    <w:rsid w:val="00502C1B"/>
    <w:rsid w:val="005034DA"/>
    <w:rsid w:val="00504857"/>
    <w:rsid w:val="00504AB7"/>
    <w:rsid w:val="00506297"/>
    <w:rsid w:val="005066F5"/>
    <w:rsid w:val="00506A52"/>
    <w:rsid w:val="00507FFD"/>
    <w:rsid w:val="00511DD1"/>
    <w:rsid w:val="00513DC8"/>
    <w:rsid w:val="005169CF"/>
    <w:rsid w:val="00520AB2"/>
    <w:rsid w:val="00520B8B"/>
    <w:rsid w:val="00523A29"/>
    <w:rsid w:val="00525512"/>
    <w:rsid w:val="00525602"/>
    <w:rsid w:val="00525C0C"/>
    <w:rsid w:val="00526F7E"/>
    <w:rsid w:val="005273E8"/>
    <w:rsid w:val="00527D52"/>
    <w:rsid w:val="005312CC"/>
    <w:rsid w:val="0053263E"/>
    <w:rsid w:val="005329B9"/>
    <w:rsid w:val="00534E34"/>
    <w:rsid w:val="00535B0A"/>
    <w:rsid w:val="005361B0"/>
    <w:rsid w:val="00540AB9"/>
    <w:rsid w:val="0054161C"/>
    <w:rsid w:val="005427F5"/>
    <w:rsid w:val="00542A3E"/>
    <w:rsid w:val="00542ED1"/>
    <w:rsid w:val="00545186"/>
    <w:rsid w:val="0054555F"/>
    <w:rsid w:val="00545629"/>
    <w:rsid w:val="00547669"/>
    <w:rsid w:val="00550667"/>
    <w:rsid w:val="0055128C"/>
    <w:rsid w:val="005514AC"/>
    <w:rsid w:val="0055184E"/>
    <w:rsid w:val="00552320"/>
    <w:rsid w:val="005528AF"/>
    <w:rsid w:val="00552D41"/>
    <w:rsid w:val="005534F4"/>
    <w:rsid w:val="00553ADD"/>
    <w:rsid w:val="00556DE0"/>
    <w:rsid w:val="00556F02"/>
    <w:rsid w:val="00561EF9"/>
    <w:rsid w:val="005621F3"/>
    <w:rsid w:val="0056277A"/>
    <w:rsid w:val="0056309B"/>
    <w:rsid w:val="005649B9"/>
    <w:rsid w:val="005666CB"/>
    <w:rsid w:val="005707D4"/>
    <w:rsid w:val="0057416D"/>
    <w:rsid w:val="00576B61"/>
    <w:rsid w:val="00577251"/>
    <w:rsid w:val="00577B16"/>
    <w:rsid w:val="00577C94"/>
    <w:rsid w:val="00577F37"/>
    <w:rsid w:val="005826CA"/>
    <w:rsid w:val="00587782"/>
    <w:rsid w:val="0059050C"/>
    <w:rsid w:val="0059102E"/>
    <w:rsid w:val="00591F21"/>
    <w:rsid w:val="005920C8"/>
    <w:rsid w:val="005927BD"/>
    <w:rsid w:val="00593545"/>
    <w:rsid w:val="00593942"/>
    <w:rsid w:val="00593B4F"/>
    <w:rsid w:val="00593DAB"/>
    <w:rsid w:val="0059451D"/>
    <w:rsid w:val="0059557E"/>
    <w:rsid w:val="0059707D"/>
    <w:rsid w:val="005972DE"/>
    <w:rsid w:val="005A072C"/>
    <w:rsid w:val="005A0B29"/>
    <w:rsid w:val="005A1876"/>
    <w:rsid w:val="005A241F"/>
    <w:rsid w:val="005A28EE"/>
    <w:rsid w:val="005A4A31"/>
    <w:rsid w:val="005A7179"/>
    <w:rsid w:val="005A76F8"/>
    <w:rsid w:val="005B02F0"/>
    <w:rsid w:val="005B0AEA"/>
    <w:rsid w:val="005B2CB7"/>
    <w:rsid w:val="005B3A4D"/>
    <w:rsid w:val="005B5314"/>
    <w:rsid w:val="005B55DB"/>
    <w:rsid w:val="005B70F5"/>
    <w:rsid w:val="005C0D40"/>
    <w:rsid w:val="005C1278"/>
    <w:rsid w:val="005C1334"/>
    <w:rsid w:val="005C24C6"/>
    <w:rsid w:val="005C2952"/>
    <w:rsid w:val="005C3122"/>
    <w:rsid w:val="005C4518"/>
    <w:rsid w:val="005C509C"/>
    <w:rsid w:val="005C5E45"/>
    <w:rsid w:val="005D0ED9"/>
    <w:rsid w:val="005D1272"/>
    <w:rsid w:val="005D1AAE"/>
    <w:rsid w:val="005D292B"/>
    <w:rsid w:val="005D2A0D"/>
    <w:rsid w:val="005D4BD1"/>
    <w:rsid w:val="005D76C2"/>
    <w:rsid w:val="005D7AAF"/>
    <w:rsid w:val="005E0A1E"/>
    <w:rsid w:val="005E1E21"/>
    <w:rsid w:val="005E2209"/>
    <w:rsid w:val="005E4278"/>
    <w:rsid w:val="005E5B59"/>
    <w:rsid w:val="005E767F"/>
    <w:rsid w:val="005F0417"/>
    <w:rsid w:val="005F0D9C"/>
    <w:rsid w:val="005F0EB7"/>
    <w:rsid w:val="005F1478"/>
    <w:rsid w:val="005F46D0"/>
    <w:rsid w:val="005F46E2"/>
    <w:rsid w:val="005F529E"/>
    <w:rsid w:val="005F5746"/>
    <w:rsid w:val="005F7061"/>
    <w:rsid w:val="005F7E66"/>
    <w:rsid w:val="00601265"/>
    <w:rsid w:val="00604A75"/>
    <w:rsid w:val="00607CB6"/>
    <w:rsid w:val="006104E9"/>
    <w:rsid w:val="0061133C"/>
    <w:rsid w:val="006117C5"/>
    <w:rsid w:val="00612707"/>
    <w:rsid w:val="006139B8"/>
    <w:rsid w:val="0061460B"/>
    <w:rsid w:val="00614AAC"/>
    <w:rsid w:val="00615310"/>
    <w:rsid w:val="00616707"/>
    <w:rsid w:val="006171D1"/>
    <w:rsid w:val="006253CC"/>
    <w:rsid w:val="0062574D"/>
    <w:rsid w:val="00626111"/>
    <w:rsid w:val="006278A5"/>
    <w:rsid w:val="00631536"/>
    <w:rsid w:val="006316C4"/>
    <w:rsid w:val="006329F3"/>
    <w:rsid w:val="00632E97"/>
    <w:rsid w:val="006335C5"/>
    <w:rsid w:val="0063384D"/>
    <w:rsid w:val="00634685"/>
    <w:rsid w:val="00635689"/>
    <w:rsid w:val="00635C55"/>
    <w:rsid w:val="00636231"/>
    <w:rsid w:val="00636DC7"/>
    <w:rsid w:val="006374C2"/>
    <w:rsid w:val="0063788D"/>
    <w:rsid w:val="006410A4"/>
    <w:rsid w:val="00641E78"/>
    <w:rsid w:val="0064291E"/>
    <w:rsid w:val="00643833"/>
    <w:rsid w:val="0064500D"/>
    <w:rsid w:val="006457AC"/>
    <w:rsid w:val="0065194E"/>
    <w:rsid w:val="006522E6"/>
    <w:rsid w:val="00652D7A"/>
    <w:rsid w:val="006548B8"/>
    <w:rsid w:val="00654F63"/>
    <w:rsid w:val="00655D1F"/>
    <w:rsid w:val="00660E2A"/>
    <w:rsid w:val="00660EF0"/>
    <w:rsid w:val="00661694"/>
    <w:rsid w:val="006637D6"/>
    <w:rsid w:val="00663FE6"/>
    <w:rsid w:val="00665D51"/>
    <w:rsid w:val="00665DAE"/>
    <w:rsid w:val="00666802"/>
    <w:rsid w:val="006718B9"/>
    <w:rsid w:val="006720B5"/>
    <w:rsid w:val="0067251A"/>
    <w:rsid w:val="00672AB3"/>
    <w:rsid w:val="0067335A"/>
    <w:rsid w:val="00673913"/>
    <w:rsid w:val="006744E1"/>
    <w:rsid w:val="00674808"/>
    <w:rsid w:val="00674849"/>
    <w:rsid w:val="00675948"/>
    <w:rsid w:val="00675B70"/>
    <w:rsid w:val="00676443"/>
    <w:rsid w:val="00677DE6"/>
    <w:rsid w:val="0068016C"/>
    <w:rsid w:val="0068100A"/>
    <w:rsid w:val="00681D88"/>
    <w:rsid w:val="00681F7F"/>
    <w:rsid w:val="00683CD9"/>
    <w:rsid w:val="006854DB"/>
    <w:rsid w:val="006865F5"/>
    <w:rsid w:val="00687317"/>
    <w:rsid w:val="00687AE4"/>
    <w:rsid w:val="0069052E"/>
    <w:rsid w:val="00690587"/>
    <w:rsid w:val="00690DB8"/>
    <w:rsid w:val="00690ECF"/>
    <w:rsid w:val="00690FA5"/>
    <w:rsid w:val="0069150E"/>
    <w:rsid w:val="00691F1A"/>
    <w:rsid w:val="00692CF1"/>
    <w:rsid w:val="006946A5"/>
    <w:rsid w:val="00695367"/>
    <w:rsid w:val="006A1D36"/>
    <w:rsid w:val="006A1DD7"/>
    <w:rsid w:val="006A3BDD"/>
    <w:rsid w:val="006A3C2F"/>
    <w:rsid w:val="006A441C"/>
    <w:rsid w:val="006A62A7"/>
    <w:rsid w:val="006B07AB"/>
    <w:rsid w:val="006B0FB2"/>
    <w:rsid w:val="006B10A3"/>
    <w:rsid w:val="006B23EA"/>
    <w:rsid w:val="006B30E4"/>
    <w:rsid w:val="006B60C5"/>
    <w:rsid w:val="006B705A"/>
    <w:rsid w:val="006B7FAC"/>
    <w:rsid w:val="006C0E5F"/>
    <w:rsid w:val="006C1546"/>
    <w:rsid w:val="006C3E33"/>
    <w:rsid w:val="006C4372"/>
    <w:rsid w:val="006C7E05"/>
    <w:rsid w:val="006D067A"/>
    <w:rsid w:val="006D0F6F"/>
    <w:rsid w:val="006D259D"/>
    <w:rsid w:val="006D4B69"/>
    <w:rsid w:val="006D4D58"/>
    <w:rsid w:val="006D734B"/>
    <w:rsid w:val="006D776E"/>
    <w:rsid w:val="006E043F"/>
    <w:rsid w:val="006E1600"/>
    <w:rsid w:val="006E2BDA"/>
    <w:rsid w:val="006E5F7C"/>
    <w:rsid w:val="006E767B"/>
    <w:rsid w:val="006E7D82"/>
    <w:rsid w:val="006E7E31"/>
    <w:rsid w:val="006F113E"/>
    <w:rsid w:val="006F328B"/>
    <w:rsid w:val="006F430B"/>
    <w:rsid w:val="006F4638"/>
    <w:rsid w:val="006F4758"/>
    <w:rsid w:val="006F55B9"/>
    <w:rsid w:val="006F5B0C"/>
    <w:rsid w:val="006F634A"/>
    <w:rsid w:val="006F770D"/>
    <w:rsid w:val="00700E9F"/>
    <w:rsid w:val="00700FF5"/>
    <w:rsid w:val="00701A8F"/>
    <w:rsid w:val="007040BA"/>
    <w:rsid w:val="007047AB"/>
    <w:rsid w:val="0070563A"/>
    <w:rsid w:val="00706FB0"/>
    <w:rsid w:val="00713B2C"/>
    <w:rsid w:val="00714396"/>
    <w:rsid w:val="0071565C"/>
    <w:rsid w:val="00716028"/>
    <w:rsid w:val="007177FB"/>
    <w:rsid w:val="007202DC"/>
    <w:rsid w:val="007217F3"/>
    <w:rsid w:val="00721FCC"/>
    <w:rsid w:val="00725B29"/>
    <w:rsid w:val="00725B9C"/>
    <w:rsid w:val="00726A7A"/>
    <w:rsid w:val="00727CD4"/>
    <w:rsid w:val="00727E7D"/>
    <w:rsid w:val="00730902"/>
    <w:rsid w:val="00730F15"/>
    <w:rsid w:val="00733149"/>
    <w:rsid w:val="0073383D"/>
    <w:rsid w:val="00733CF7"/>
    <w:rsid w:val="00733D9C"/>
    <w:rsid w:val="00734358"/>
    <w:rsid w:val="007357C7"/>
    <w:rsid w:val="00735FBB"/>
    <w:rsid w:val="007365D3"/>
    <w:rsid w:val="00736A8E"/>
    <w:rsid w:val="00740AAD"/>
    <w:rsid w:val="007411D1"/>
    <w:rsid w:val="0074191C"/>
    <w:rsid w:val="00742385"/>
    <w:rsid w:val="00744E2E"/>
    <w:rsid w:val="0074570F"/>
    <w:rsid w:val="00745EAC"/>
    <w:rsid w:val="00750F49"/>
    <w:rsid w:val="0075245E"/>
    <w:rsid w:val="007539FF"/>
    <w:rsid w:val="00754BF7"/>
    <w:rsid w:val="00755B2F"/>
    <w:rsid w:val="00755F6F"/>
    <w:rsid w:val="00756026"/>
    <w:rsid w:val="00761974"/>
    <w:rsid w:val="00763248"/>
    <w:rsid w:val="00767EC5"/>
    <w:rsid w:val="00767EEA"/>
    <w:rsid w:val="007707D1"/>
    <w:rsid w:val="007718CB"/>
    <w:rsid w:val="007720FD"/>
    <w:rsid w:val="00772C95"/>
    <w:rsid w:val="00773158"/>
    <w:rsid w:val="00773646"/>
    <w:rsid w:val="0077433D"/>
    <w:rsid w:val="00774703"/>
    <w:rsid w:val="00774ED4"/>
    <w:rsid w:val="00775E94"/>
    <w:rsid w:val="007769F4"/>
    <w:rsid w:val="00777451"/>
    <w:rsid w:val="007806E6"/>
    <w:rsid w:val="007808A1"/>
    <w:rsid w:val="0078097E"/>
    <w:rsid w:val="00780E79"/>
    <w:rsid w:val="007819F8"/>
    <w:rsid w:val="00782E04"/>
    <w:rsid w:val="0078323B"/>
    <w:rsid w:val="00787463"/>
    <w:rsid w:val="00790A7F"/>
    <w:rsid w:val="007912BA"/>
    <w:rsid w:val="00791898"/>
    <w:rsid w:val="007918B8"/>
    <w:rsid w:val="00793FF2"/>
    <w:rsid w:val="00794CDD"/>
    <w:rsid w:val="00794EAF"/>
    <w:rsid w:val="00796346"/>
    <w:rsid w:val="00796BED"/>
    <w:rsid w:val="007978F9"/>
    <w:rsid w:val="00797D84"/>
    <w:rsid w:val="00797EAF"/>
    <w:rsid w:val="007A0CE2"/>
    <w:rsid w:val="007A1674"/>
    <w:rsid w:val="007A1B25"/>
    <w:rsid w:val="007A1FBC"/>
    <w:rsid w:val="007A568B"/>
    <w:rsid w:val="007A5DCA"/>
    <w:rsid w:val="007A7231"/>
    <w:rsid w:val="007B0902"/>
    <w:rsid w:val="007B1CAE"/>
    <w:rsid w:val="007B2930"/>
    <w:rsid w:val="007B293C"/>
    <w:rsid w:val="007B322D"/>
    <w:rsid w:val="007B4808"/>
    <w:rsid w:val="007B4B19"/>
    <w:rsid w:val="007B560A"/>
    <w:rsid w:val="007B6377"/>
    <w:rsid w:val="007B6AB8"/>
    <w:rsid w:val="007C23AA"/>
    <w:rsid w:val="007C2BE5"/>
    <w:rsid w:val="007C3415"/>
    <w:rsid w:val="007C3F9B"/>
    <w:rsid w:val="007C4A96"/>
    <w:rsid w:val="007C5A62"/>
    <w:rsid w:val="007C627F"/>
    <w:rsid w:val="007C6BCA"/>
    <w:rsid w:val="007C7DD4"/>
    <w:rsid w:val="007D0A57"/>
    <w:rsid w:val="007D13B7"/>
    <w:rsid w:val="007D1A43"/>
    <w:rsid w:val="007D2256"/>
    <w:rsid w:val="007D26FC"/>
    <w:rsid w:val="007D38EC"/>
    <w:rsid w:val="007D3934"/>
    <w:rsid w:val="007D3E3B"/>
    <w:rsid w:val="007D5303"/>
    <w:rsid w:val="007D5CF7"/>
    <w:rsid w:val="007D6933"/>
    <w:rsid w:val="007E0D38"/>
    <w:rsid w:val="007E2622"/>
    <w:rsid w:val="007E2AA5"/>
    <w:rsid w:val="007E2DC8"/>
    <w:rsid w:val="007E3AE9"/>
    <w:rsid w:val="007E5612"/>
    <w:rsid w:val="007E5D9B"/>
    <w:rsid w:val="007E5D9C"/>
    <w:rsid w:val="007E608E"/>
    <w:rsid w:val="007E6DD2"/>
    <w:rsid w:val="007E740D"/>
    <w:rsid w:val="007E7428"/>
    <w:rsid w:val="007E7909"/>
    <w:rsid w:val="007F036F"/>
    <w:rsid w:val="007F11A0"/>
    <w:rsid w:val="007F34C4"/>
    <w:rsid w:val="007F37D2"/>
    <w:rsid w:val="007F5132"/>
    <w:rsid w:val="00800786"/>
    <w:rsid w:val="00802937"/>
    <w:rsid w:val="00803EDE"/>
    <w:rsid w:val="00804660"/>
    <w:rsid w:val="00804842"/>
    <w:rsid w:val="00810C13"/>
    <w:rsid w:val="00811C24"/>
    <w:rsid w:val="008158EC"/>
    <w:rsid w:val="00815E39"/>
    <w:rsid w:val="008164FE"/>
    <w:rsid w:val="00816D21"/>
    <w:rsid w:val="0081710F"/>
    <w:rsid w:val="00817BE3"/>
    <w:rsid w:val="00817C69"/>
    <w:rsid w:val="00820107"/>
    <w:rsid w:val="008209B9"/>
    <w:rsid w:val="00822844"/>
    <w:rsid w:val="00822941"/>
    <w:rsid w:val="00826096"/>
    <w:rsid w:val="008269C0"/>
    <w:rsid w:val="008271B3"/>
    <w:rsid w:val="008279AD"/>
    <w:rsid w:val="008308D9"/>
    <w:rsid w:val="00831536"/>
    <w:rsid w:val="008324AE"/>
    <w:rsid w:val="00832832"/>
    <w:rsid w:val="00832A4C"/>
    <w:rsid w:val="00832FA6"/>
    <w:rsid w:val="00833A42"/>
    <w:rsid w:val="00833D64"/>
    <w:rsid w:val="00835691"/>
    <w:rsid w:val="00836103"/>
    <w:rsid w:val="00836E49"/>
    <w:rsid w:val="00840F91"/>
    <w:rsid w:val="00841EE8"/>
    <w:rsid w:val="0084491F"/>
    <w:rsid w:val="0084536E"/>
    <w:rsid w:val="00845454"/>
    <w:rsid w:val="0084660B"/>
    <w:rsid w:val="00846F96"/>
    <w:rsid w:val="008472E0"/>
    <w:rsid w:val="00850543"/>
    <w:rsid w:val="00850FE3"/>
    <w:rsid w:val="00851F17"/>
    <w:rsid w:val="00852547"/>
    <w:rsid w:val="00852A71"/>
    <w:rsid w:val="0085311E"/>
    <w:rsid w:val="0085332C"/>
    <w:rsid w:val="0085571F"/>
    <w:rsid w:val="00855958"/>
    <w:rsid w:val="00855E97"/>
    <w:rsid w:val="00860779"/>
    <w:rsid w:val="00860F02"/>
    <w:rsid w:val="00861142"/>
    <w:rsid w:val="00865165"/>
    <w:rsid w:val="008652FF"/>
    <w:rsid w:val="008705C3"/>
    <w:rsid w:val="008722CD"/>
    <w:rsid w:val="00872B5E"/>
    <w:rsid w:val="008737EB"/>
    <w:rsid w:val="008742C6"/>
    <w:rsid w:val="008744E7"/>
    <w:rsid w:val="00875469"/>
    <w:rsid w:val="008756B0"/>
    <w:rsid w:val="00875A86"/>
    <w:rsid w:val="008761BE"/>
    <w:rsid w:val="00876BCB"/>
    <w:rsid w:val="008770F2"/>
    <w:rsid w:val="008801FE"/>
    <w:rsid w:val="008830DA"/>
    <w:rsid w:val="0088441A"/>
    <w:rsid w:val="0088450A"/>
    <w:rsid w:val="0088484F"/>
    <w:rsid w:val="00885BA7"/>
    <w:rsid w:val="0089135F"/>
    <w:rsid w:val="008917DF"/>
    <w:rsid w:val="008940A5"/>
    <w:rsid w:val="0089514F"/>
    <w:rsid w:val="008955F8"/>
    <w:rsid w:val="0089577D"/>
    <w:rsid w:val="00896A4F"/>
    <w:rsid w:val="00897A76"/>
    <w:rsid w:val="008A0BE9"/>
    <w:rsid w:val="008A19EA"/>
    <w:rsid w:val="008A1FD0"/>
    <w:rsid w:val="008A208A"/>
    <w:rsid w:val="008A32CC"/>
    <w:rsid w:val="008A394D"/>
    <w:rsid w:val="008A5180"/>
    <w:rsid w:val="008B00CA"/>
    <w:rsid w:val="008B0EAC"/>
    <w:rsid w:val="008B2A01"/>
    <w:rsid w:val="008B4488"/>
    <w:rsid w:val="008B64AF"/>
    <w:rsid w:val="008B66AB"/>
    <w:rsid w:val="008B6AB3"/>
    <w:rsid w:val="008B73C0"/>
    <w:rsid w:val="008C095F"/>
    <w:rsid w:val="008C0EEE"/>
    <w:rsid w:val="008C1E88"/>
    <w:rsid w:val="008C328B"/>
    <w:rsid w:val="008C3AB0"/>
    <w:rsid w:val="008C617E"/>
    <w:rsid w:val="008C73BE"/>
    <w:rsid w:val="008C76A4"/>
    <w:rsid w:val="008C77E2"/>
    <w:rsid w:val="008C7ABD"/>
    <w:rsid w:val="008C7AEA"/>
    <w:rsid w:val="008D07CE"/>
    <w:rsid w:val="008D298E"/>
    <w:rsid w:val="008D3D26"/>
    <w:rsid w:val="008D3F98"/>
    <w:rsid w:val="008D7E84"/>
    <w:rsid w:val="008E10AF"/>
    <w:rsid w:val="008E1D19"/>
    <w:rsid w:val="008E3230"/>
    <w:rsid w:val="008E4F8C"/>
    <w:rsid w:val="008E58E5"/>
    <w:rsid w:val="008F276B"/>
    <w:rsid w:val="008F2A82"/>
    <w:rsid w:val="008F2BD5"/>
    <w:rsid w:val="008F2CF5"/>
    <w:rsid w:val="008F3097"/>
    <w:rsid w:val="008F3648"/>
    <w:rsid w:val="008F36C2"/>
    <w:rsid w:val="008F4183"/>
    <w:rsid w:val="008F4CF8"/>
    <w:rsid w:val="008F6566"/>
    <w:rsid w:val="008F7C6F"/>
    <w:rsid w:val="009004FD"/>
    <w:rsid w:val="00904CCE"/>
    <w:rsid w:val="0090632D"/>
    <w:rsid w:val="009124C7"/>
    <w:rsid w:val="00914E97"/>
    <w:rsid w:val="00915438"/>
    <w:rsid w:val="009159E9"/>
    <w:rsid w:val="00915B20"/>
    <w:rsid w:val="00916147"/>
    <w:rsid w:val="00916570"/>
    <w:rsid w:val="00917931"/>
    <w:rsid w:val="009226FA"/>
    <w:rsid w:val="00922C7E"/>
    <w:rsid w:val="00923972"/>
    <w:rsid w:val="009265E0"/>
    <w:rsid w:val="00926BCC"/>
    <w:rsid w:val="00926CBF"/>
    <w:rsid w:val="009305EF"/>
    <w:rsid w:val="009314DE"/>
    <w:rsid w:val="009335DD"/>
    <w:rsid w:val="009338FD"/>
    <w:rsid w:val="00934FBA"/>
    <w:rsid w:val="00935507"/>
    <w:rsid w:val="00937614"/>
    <w:rsid w:val="009404C8"/>
    <w:rsid w:val="009404D9"/>
    <w:rsid w:val="00944DFA"/>
    <w:rsid w:val="0094505C"/>
    <w:rsid w:val="00947B3F"/>
    <w:rsid w:val="009520C8"/>
    <w:rsid w:val="00952AA4"/>
    <w:rsid w:val="009550CB"/>
    <w:rsid w:val="009562AD"/>
    <w:rsid w:val="00956667"/>
    <w:rsid w:val="009573C2"/>
    <w:rsid w:val="009616E7"/>
    <w:rsid w:val="009625EE"/>
    <w:rsid w:val="00962894"/>
    <w:rsid w:val="00965150"/>
    <w:rsid w:val="00967B95"/>
    <w:rsid w:val="00970DEA"/>
    <w:rsid w:val="009710B0"/>
    <w:rsid w:val="00971D65"/>
    <w:rsid w:val="009721A7"/>
    <w:rsid w:val="00973055"/>
    <w:rsid w:val="0097472E"/>
    <w:rsid w:val="0097660C"/>
    <w:rsid w:val="00976734"/>
    <w:rsid w:val="00977409"/>
    <w:rsid w:val="009776A7"/>
    <w:rsid w:val="00977A08"/>
    <w:rsid w:val="00977A41"/>
    <w:rsid w:val="00977C35"/>
    <w:rsid w:val="00981090"/>
    <w:rsid w:val="00981646"/>
    <w:rsid w:val="009854AF"/>
    <w:rsid w:val="009868B3"/>
    <w:rsid w:val="00990006"/>
    <w:rsid w:val="0099156F"/>
    <w:rsid w:val="0099194D"/>
    <w:rsid w:val="00991B42"/>
    <w:rsid w:val="00991BBF"/>
    <w:rsid w:val="009929D6"/>
    <w:rsid w:val="00994346"/>
    <w:rsid w:val="00994C80"/>
    <w:rsid w:val="00996944"/>
    <w:rsid w:val="00997715"/>
    <w:rsid w:val="009979A5"/>
    <w:rsid w:val="009A01A7"/>
    <w:rsid w:val="009A111D"/>
    <w:rsid w:val="009A4AD7"/>
    <w:rsid w:val="009A6CDA"/>
    <w:rsid w:val="009A6DFF"/>
    <w:rsid w:val="009B00B9"/>
    <w:rsid w:val="009B0969"/>
    <w:rsid w:val="009B0F0F"/>
    <w:rsid w:val="009B22BC"/>
    <w:rsid w:val="009B2947"/>
    <w:rsid w:val="009B4D90"/>
    <w:rsid w:val="009B58C1"/>
    <w:rsid w:val="009B7384"/>
    <w:rsid w:val="009C2C11"/>
    <w:rsid w:val="009C2FEE"/>
    <w:rsid w:val="009C3D88"/>
    <w:rsid w:val="009C4332"/>
    <w:rsid w:val="009C4928"/>
    <w:rsid w:val="009C5572"/>
    <w:rsid w:val="009C5699"/>
    <w:rsid w:val="009C5710"/>
    <w:rsid w:val="009C7637"/>
    <w:rsid w:val="009D03D9"/>
    <w:rsid w:val="009D3D73"/>
    <w:rsid w:val="009D4CA8"/>
    <w:rsid w:val="009D5135"/>
    <w:rsid w:val="009D5836"/>
    <w:rsid w:val="009D591C"/>
    <w:rsid w:val="009D5BF1"/>
    <w:rsid w:val="009E05E6"/>
    <w:rsid w:val="009E0747"/>
    <w:rsid w:val="009E2AE4"/>
    <w:rsid w:val="009E4156"/>
    <w:rsid w:val="009E52FE"/>
    <w:rsid w:val="009E5994"/>
    <w:rsid w:val="009E7A24"/>
    <w:rsid w:val="009F074C"/>
    <w:rsid w:val="009F104C"/>
    <w:rsid w:val="009F150B"/>
    <w:rsid w:val="009F4ABD"/>
    <w:rsid w:val="009F5B2E"/>
    <w:rsid w:val="009F7FD8"/>
    <w:rsid w:val="00A00300"/>
    <w:rsid w:val="00A00DD7"/>
    <w:rsid w:val="00A03F26"/>
    <w:rsid w:val="00A04242"/>
    <w:rsid w:val="00A04898"/>
    <w:rsid w:val="00A05D57"/>
    <w:rsid w:val="00A05D92"/>
    <w:rsid w:val="00A061C5"/>
    <w:rsid w:val="00A06329"/>
    <w:rsid w:val="00A06417"/>
    <w:rsid w:val="00A065C9"/>
    <w:rsid w:val="00A07CC0"/>
    <w:rsid w:val="00A11DF0"/>
    <w:rsid w:val="00A13919"/>
    <w:rsid w:val="00A13E87"/>
    <w:rsid w:val="00A165CB"/>
    <w:rsid w:val="00A17C30"/>
    <w:rsid w:val="00A20191"/>
    <w:rsid w:val="00A2019B"/>
    <w:rsid w:val="00A202BA"/>
    <w:rsid w:val="00A2044E"/>
    <w:rsid w:val="00A20FAB"/>
    <w:rsid w:val="00A21E3D"/>
    <w:rsid w:val="00A2351E"/>
    <w:rsid w:val="00A237F8"/>
    <w:rsid w:val="00A3220F"/>
    <w:rsid w:val="00A337F7"/>
    <w:rsid w:val="00A3470F"/>
    <w:rsid w:val="00A34D9E"/>
    <w:rsid w:val="00A3596E"/>
    <w:rsid w:val="00A35FDB"/>
    <w:rsid w:val="00A36E99"/>
    <w:rsid w:val="00A415B1"/>
    <w:rsid w:val="00A42AD9"/>
    <w:rsid w:val="00A44E6E"/>
    <w:rsid w:val="00A44E85"/>
    <w:rsid w:val="00A4553A"/>
    <w:rsid w:val="00A467CF"/>
    <w:rsid w:val="00A502D0"/>
    <w:rsid w:val="00A50E48"/>
    <w:rsid w:val="00A50F89"/>
    <w:rsid w:val="00A51732"/>
    <w:rsid w:val="00A51935"/>
    <w:rsid w:val="00A5203B"/>
    <w:rsid w:val="00A5246A"/>
    <w:rsid w:val="00A53215"/>
    <w:rsid w:val="00A55B5E"/>
    <w:rsid w:val="00A56959"/>
    <w:rsid w:val="00A57047"/>
    <w:rsid w:val="00A57234"/>
    <w:rsid w:val="00A604D0"/>
    <w:rsid w:val="00A60C8C"/>
    <w:rsid w:val="00A61009"/>
    <w:rsid w:val="00A613F4"/>
    <w:rsid w:val="00A61DD4"/>
    <w:rsid w:val="00A625EB"/>
    <w:rsid w:val="00A64079"/>
    <w:rsid w:val="00A65912"/>
    <w:rsid w:val="00A66E59"/>
    <w:rsid w:val="00A71618"/>
    <w:rsid w:val="00A71AE3"/>
    <w:rsid w:val="00A71F3A"/>
    <w:rsid w:val="00A75897"/>
    <w:rsid w:val="00A76114"/>
    <w:rsid w:val="00A7635C"/>
    <w:rsid w:val="00A7657A"/>
    <w:rsid w:val="00A804EE"/>
    <w:rsid w:val="00A80D9E"/>
    <w:rsid w:val="00A81C09"/>
    <w:rsid w:val="00A81E68"/>
    <w:rsid w:val="00A826B4"/>
    <w:rsid w:val="00A84AA4"/>
    <w:rsid w:val="00A85E20"/>
    <w:rsid w:val="00A87D69"/>
    <w:rsid w:val="00A87E9D"/>
    <w:rsid w:val="00A9077C"/>
    <w:rsid w:val="00A917C3"/>
    <w:rsid w:val="00A95414"/>
    <w:rsid w:val="00A95423"/>
    <w:rsid w:val="00A9591D"/>
    <w:rsid w:val="00A973AB"/>
    <w:rsid w:val="00A97D54"/>
    <w:rsid w:val="00AA10A1"/>
    <w:rsid w:val="00AA140D"/>
    <w:rsid w:val="00AA2BB3"/>
    <w:rsid w:val="00AA2D75"/>
    <w:rsid w:val="00AA4353"/>
    <w:rsid w:val="00AA4EB6"/>
    <w:rsid w:val="00AA6BF4"/>
    <w:rsid w:val="00AB11D6"/>
    <w:rsid w:val="00AB277D"/>
    <w:rsid w:val="00AB42F8"/>
    <w:rsid w:val="00AB5B13"/>
    <w:rsid w:val="00AB6444"/>
    <w:rsid w:val="00AC25C5"/>
    <w:rsid w:val="00AC3219"/>
    <w:rsid w:val="00AC3A3D"/>
    <w:rsid w:val="00AC49FD"/>
    <w:rsid w:val="00AC51B5"/>
    <w:rsid w:val="00AC594C"/>
    <w:rsid w:val="00AC596D"/>
    <w:rsid w:val="00AC605E"/>
    <w:rsid w:val="00AC6183"/>
    <w:rsid w:val="00AC6530"/>
    <w:rsid w:val="00AC688C"/>
    <w:rsid w:val="00AC74C7"/>
    <w:rsid w:val="00AC7D9D"/>
    <w:rsid w:val="00AD0704"/>
    <w:rsid w:val="00AD0CC1"/>
    <w:rsid w:val="00AD1304"/>
    <w:rsid w:val="00AD2F26"/>
    <w:rsid w:val="00AD40DF"/>
    <w:rsid w:val="00AD4ED5"/>
    <w:rsid w:val="00AD565A"/>
    <w:rsid w:val="00AD580E"/>
    <w:rsid w:val="00AD62B7"/>
    <w:rsid w:val="00AD6BFD"/>
    <w:rsid w:val="00AD7A9F"/>
    <w:rsid w:val="00AE27FC"/>
    <w:rsid w:val="00AE65D7"/>
    <w:rsid w:val="00AE7F5D"/>
    <w:rsid w:val="00AF05C0"/>
    <w:rsid w:val="00AF05C3"/>
    <w:rsid w:val="00AF0E0D"/>
    <w:rsid w:val="00AF190F"/>
    <w:rsid w:val="00AF3269"/>
    <w:rsid w:val="00AF499E"/>
    <w:rsid w:val="00AF599C"/>
    <w:rsid w:val="00AF5CF8"/>
    <w:rsid w:val="00AF6C51"/>
    <w:rsid w:val="00AF72BA"/>
    <w:rsid w:val="00AF7ABB"/>
    <w:rsid w:val="00B003C3"/>
    <w:rsid w:val="00B00E8D"/>
    <w:rsid w:val="00B0187A"/>
    <w:rsid w:val="00B02E89"/>
    <w:rsid w:val="00B03049"/>
    <w:rsid w:val="00B034EC"/>
    <w:rsid w:val="00B04851"/>
    <w:rsid w:val="00B05B3E"/>
    <w:rsid w:val="00B075B4"/>
    <w:rsid w:val="00B07958"/>
    <w:rsid w:val="00B101B4"/>
    <w:rsid w:val="00B10FBA"/>
    <w:rsid w:val="00B12A3E"/>
    <w:rsid w:val="00B15D48"/>
    <w:rsid w:val="00B162C4"/>
    <w:rsid w:val="00B16362"/>
    <w:rsid w:val="00B2065C"/>
    <w:rsid w:val="00B20F3D"/>
    <w:rsid w:val="00B225FD"/>
    <w:rsid w:val="00B22D23"/>
    <w:rsid w:val="00B2367F"/>
    <w:rsid w:val="00B239B3"/>
    <w:rsid w:val="00B254D0"/>
    <w:rsid w:val="00B3075E"/>
    <w:rsid w:val="00B30B27"/>
    <w:rsid w:val="00B30E01"/>
    <w:rsid w:val="00B31D27"/>
    <w:rsid w:val="00B35A3B"/>
    <w:rsid w:val="00B35F42"/>
    <w:rsid w:val="00B412C0"/>
    <w:rsid w:val="00B41607"/>
    <w:rsid w:val="00B422C1"/>
    <w:rsid w:val="00B423B3"/>
    <w:rsid w:val="00B43779"/>
    <w:rsid w:val="00B43FE1"/>
    <w:rsid w:val="00B44372"/>
    <w:rsid w:val="00B45D66"/>
    <w:rsid w:val="00B45F64"/>
    <w:rsid w:val="00B46DD0"/>
    <w:rsid w:val="00B47442"/>
    <w:rsid w:val="00B530E2"/>
    <w:rsid w:val="00B54F4A"/>
    <w:rsid w:val="00B55019"/>
    <w:rsid w:val="00B55722"/>
    <w:rsid w:val="00B55D7E"/>
    <w:rsid w:val="00B60C9F"/>
    <w:rsid w:val="00B610C4"/>
    <w:rsid w:val="00B6186D"/>
    <w:rsid w:val="00B61B78"/>
    <w:rsid w:val="00B62060"/>
    <w:rsid w:val="00B62F2F"/>
    <w:rsid w:val="00B64486"/>
    <w:rsid w:val="00B652EF"/>
    <w:rsid w:val="00B664B3"/>
    <w:rsid w:val="00B67483"/>
    <w:rsid w:val="00B67895"/>
    <w:rsid w:val="00B67B0E"/>
    <w:rsid w:val="00B70A9B"/>
    <w:rsid w:val="00B710F1"/>
    <w:rsid w:val="00B71647"/>
    <w:rsid w:val="00B72911"/>
    <w:rsid w:val="00B73056"/>
    <w:rsid w:val="00B744E4"/>
    <w:rsid w:val="00B74689"/>
    <w:rsid w:val="00B76605"/>
    <w:rsid w:val="00B76E71"/>
    <w:rsid w:val="00B80444"/>
    <w:rsid w:val="00B84202"/>
    <w:rsid w:val="00B84A00"/>
    <w:rsid w:val="00B852A3"/>
    <w:rsid w:val="00B86E3D"/>
    <w:rsid w:val="00B90293"/>
    <w:rsid w:val="00B92067"/>
    <w:rsid w:val="00B92C81"/>
    <w:rsid w:val="00B93296"/>
    <w:rsid w:val="00B94C01"/>
    <w:rsid w:val="00B95280"/>
    <w:rsid w:val="00B95C11"/>
    <w:rsid w:val="00B963B0"/>
    <w:rsid w:val="00BA02A0"/>
    <w:rsid w:val="00BA1224"/>
    <w:rsid w:val="00BA2617"/>
    <w:rsid w:val="00BA2A9C"/>
    <w:rsid w:val="00BA3772"/>
    <w:rsid w:val="00BA42F6"/>
    <w:rsid w:val="00BA437E"/>
    <w:rsid w:val="00BA47A8"/>
    <w:rsid w:val="00BA4A50"/>
    <w:rsid w:val="00BA5003"/>
    <w:rsid w:val="00BA5219"/>
    <w:rsid w:val="00BA59FE"/>
    <w:rsid w:val="00BB0324"/>
    <w:rsid w:val="00BB28E3"/>
    <w:rsid w:val="00BB498D"/>
    <w:rsid w:val="00BB4CF0"/>
    <w:rsid w:val="00BB5D87"/>
    <w:rsid w:val="00BB7056"/>
    <w:rsid w:val="00BC0DCC"/>
    <w:rsid w:val="00BC1C71"/>
    <w:rsid w:val="00BC25C9"/>
    <w:rsid w:val="00BC26ED"/>
    <w:rsid w:val="00BC515E"/>
    <w:rsid w:val="00BC5A59"/>
    <w:rsid w:val="00BD05A8"/>
    <w:rsid w:val="00BD2047"/>
    <w:rsid w:val="00BD27AD"/>
    <w:rsid w:val="00BD2B05"/>
    <w:rsid w:val="00BD2EC3"/>
    <w:rsid w:val="00BD4B64"/>
    <w:rsid w:val="00BD4FC0"/>
    <w:rsid w:val="00BD5074"/>
    <w:rsid w:val="00BD698D"/>
    <w:rsid w:val="00BD7392"/>
    <w:rsid w:val="00BD7453"/>
    <w:rsid w:val="00BE5293"/>
    <w:rsid w:val="00BE57BE"/>
    <w:rsid w:val="00BE6842"/>
    <w:rsid w:val="00BE6DF1"/>
    <w:rsid w:val="00BE7C78"/>
    <w:rsid w:val="00BF05DC"/>
    <w:rsid w:val="00BF25B3"/>
    <w:rsid w:val="00BF4E6E"/>
    <w:rsid w:val="00BF4EC6"/>
    <w:rsid w:val="00BF5744"/>
    <w:rsid w:val="00BF5C07"/>
    <w:rsid w:val="00BF64A6"/>
    <w:rsid w:val="00BF67E7"/>
    <w:rsid w:val="00BF6C3A"/>
    <w:rsid w:val="00BF7C16"/>
    <w:rsid w:val="00BF7D8B"/>
    <w:rsid w:val="00C00447"/>
    <w:rsid w:val="00C00F5A"/>
    <w:rsid w:val="00C02119"/>
    <w:rsid w:val="00C024C2"/>
    <w:rsid w:val="00C026CF"/>
    <w:rsid w:val="00C03FBE"/>
    <w:rsid w:val="00C04113"/>
    <w:rsid w:val="00C04663"/>
    <w:rsid w:val="00C06342"/>
    <w:rsid w:val="00C120A7"/>
    <w:rsid w:val="00C12D15"/>
    <w:rsid w:val="00C14568"/>
    <w:rsid w:val="00C15733"/>
    <w:rsid w:val="00C17180"/>
    <w:rsid w:val="00C17204"/>
    <w:rsid w:val="00C20ADA"/>
    <w:rsid w:val="00C21B24"/>
    <w:rsid w:val="00C23AD2"/>
    <w:rsid w:val="00C25029"/>
    <w:rsid w:val="00C27432"/>
    <w:rsid w:val="00C3097C"/>
    <w:rsid w:val="00C30F60"/>
    <w:rsid w:val="00C35254"/>
    <w:rsid w:val="00C4003A"/>
    <w:rsid w:val="00C40CCF"/>
    <w:rsid w:val="00C410F7"/>
    <w:rsid w:val="00C42AA3"/>
    <w:rsid w:val="00C432DB"/>
    <w:rsid w:val="00C44D71"/>
    <w:rsid w:val="00C45DFD"/>
    <w:rsid w:val="00C469A5"/>
    <w:rsid w:val="00C46C29"/>
    <w:rsid w:val="00C470E7"/>
    <w:rsid w:val="00C4723E"/>
    <w:rsid w:val="00C47E38"/>
    <w:rsid w:val="00C5088A"/>
    <w:rsid w:val="00C51762"/>
    <w:rsid w:val="00C52884"/>
    <w:rsid w:val="00C54005"/>
    <w:rsid w:val="00C5481D"/>
    <w:rsid w:val="00C55072"/>
    <w:rsid w:val="00C57166"/>
    <w:rsid w:val="00C62282"/>
    <w:rsid w:val="00C6591D"/>
    <w:rsid w:val="00C717FB"/>
    <w:rsid w:val="00C71ED1"/>
    <w:rsid w:val="00C71F51"/>
    <w:rsid w:val="00C7221D"/>
    <w:rsid w:val="00C727AC"/>
    <w:rsid w:val="00C72E7F"/>
    <w:rsid w:val="00C7462C"/>
    <w:rsid w:val="00C75D3F"/>
    <w:rsid w:val="00C77DA4"/>
    <w:rsid w:val="00C77F7A"/>
    <w:rsid w:val="00C80A6F"/>
    <w:rsid w:val="00C80B8A"/>
    <w:rsid w:val="00C84175"/>
    <w:rsid w:val="00C85AE8"/>
    <w:rsid w:val="00C86DE5"/>
    <w:rsid w:val="00C9022B"/>
    <w:rsid w:val="00C91464"/>
    <w:rsid w:val="00C92BDA"/>
    <w:rsid w:val="00C92C08"/>
    <w:rsid w:val="00C93505"/>
    <w:rsid w:val="00C93789"/>
    <w:rsid w:val="00C93ECF"/>
    <w:rsid w:val="00C9405B"/>
    <w:rsid w:val="00C96188"/>
    <w:rsid w:val="00C963CD"/>
    <w:rsid w:val="00C967C9"/>
    <w:rsid w:val="00C96FF2"/>
    <w:rsid w:val="00C97B8E"/>
    <w:rsid w:val="00CA04CD"/>
    <w:rsid w:val="00CA11D3"/>
    <w:rsid w:val="00CA1677"/>
    <w:rsid w:val="00CA3197"/>
    <w:rsid w:val="00CA69F5"/>
    <w:rsid w:val="00CA78BF"/>
    <w:rsid w:val="00CA7ECE"/>
    <w:rsid w:val="00CB0898"/>
    <w:rsid w:val="00CB0A03"/>
    <w:rsid w:val="00CB0E11"/>
    <w:rsid w:val="00CB4A8D"/>
    <w:rsid w:val="00CB4D7E"/>
    <w:rsid w:val="00CB4E00"/>
    <w:rsid w:val="00CB5B43"/>
    <w:rsid w:val="00CC13E8"/>
    <w:rsid w:val="00CC22FF"/>
    <w:rsid w:val="00CC288F"/>
    <w:rsid w:val="00CC336F"/>
    <w:rsid w:val="00CC53E9"/>
    <w:rsid w:val="00CC6F20"/>
    <w:rsid w:val="00CC73DD"/>
    <w:rsid w:val="00CD0ED5"/>
    <w:rsid w:val="00CD2376"/>
    <w:rsid w:val="00CD44AE"/>
    <w:rsid w:val="00CD4B8B"/>
    <w:rsid w:val="00CE0B28"/>
    <w:rsid w:val="00CE14FD"/>
    <w:rsid w:val="00CE231F"/>
    <w:rsid w:val="00CE410A"/>
    <w:rsid w:val="00CE5158"/>
    <w:rsid w:val="00CE63BA"/>
    <w:rsid w:val="00CE7E38"/>
    <w:rsid w:val="00CF073E"/>
    <w:rsid w:val="00CF087E"/>
    <w:rsid w:val="00CF0F2B"/>
    <w:rsid w:val="00CF1D5C"/>
    <w:rsid w:val="00CF279C"/>
    <w:rsid w:val="00CF285C"/>
    <w:rsid w:val="00CF2B84"/>
    <w:rsid w:val="00CF2BD4"/>
    <w:rsid w:val="00CF3CB7"/>
    <w:rsid w:val="00CF669D"/>
    <w:rsid w:val="00CF6E52"/>
    <w:rsid w:val="00CF71B8"/>
    <w:rsid w:val="00CF7862"/>
    <w:rsid w:val="00CF7EEA"/>
    <w:rsid w:val="00CF7F80"/>
    <w:rsid w:val="00D01865"/>
    <w:rsid w:val="00D02496"/>
    <w:rsid w:val="00D03457"/>
    <w:rsid w:val="00D0439A"/>
    <w:rsid w:val="00D04453"/>
    <w:rsid w:val="00D06448"/>
    <w:rsid w:val="00D06EAC"/>
    <w:rsid w:val="00D07026"/>
    <w:rsid w:val="00D07E73"/>
    <w:rsid w:val="00D1072E"/>
    <w:rsid w:val="00D12354"/>
    <w:rsid w:val="00D135DB"/>
    <w:rsid w:val="00D13827"/>
    <w:rsid w:val="00D14843"/>
    <w:rsid w:val="00D14A8F"/>
    <w:rsid w:val="00D14BB6"/>
    <w:rsid w:val="00D1524C"/>
    <w:rsid w:val="00D174E6"/>
    <w:rsid w:val="00D20DB8"/>
    <w:rsid w:val="00D21707"/>
    <w:rsid w:val="00D23C6C"/>
    <w:rsid w:val="00D26A51"/>
    <w:rsid w:val="00D324D9"/>
    <w:rsid w:val="00D33853"/>
    <w:rsid w:val="00D34DFE"/>
    <w:rsid w:val="00D3543C"/>
    <w:rsid w:val="00D35A19"/>
    <w:rsid w:val="00D35A62"/>
    <w:rsid w:val="00D35D3F"/>
    <w:rsid w:val="00D3667D"/>
    <w:rsid w:val="00D376B3"/>
    <w:rsid w:val="00D41305"/>
    <w:rsid w:val="00D41499"/>
    <w:rsid w:val="00D41559"/>
    <w:rsid w:val="00D4170A"/>
    <w:rsid w:val="00D42DDF"/>
    <w:rsid w:val="00D432A9"/>
    <w:rsid w:val="00D442CD"/>
    <w:rsid w:val="00D44424"/>
    <w:rsid w:val="00D45D2B"/>
    <w:rsid w:val="00D4770B"/>
    <w:rsid w:val="00D53AD2"/>
    <w:rsid w:val="00D53C98"/>
    <w:rsid w:val="00D54304"/>
    <w:rsid w:val="00D579DE"/>
    <w:rsid w:val="00D60508"/>
    <w:rsid w:val="00D61B7D"/>
    <w:rsid w:val="00D62183"/>
    <w:rsid w:val="00D63C60"/>
    <w:rsid w:val="00D66DF4"/>
    <w:rsid w:val="00D70508"/>
    <w:rsid w:val="00D72CEF"/>
    <w:rsid w:val="00D754E3"/>
    <w:rsid w:val="00D772B0"/>
    <w:rsid w:val="00D774AE"/>
    <w:rsid w:val="00D77E83"/>
    <w:rsid w:val="00D858A7"/>
    <w:rsid w:val="00D8726A"/>
    <w:rsid w:val="00D87AF8"/>
    <w:rsid w:val="00D90B3B"/>
    <w:rsid w:val="00D918E4"/>
    <w:rsid w:val="00D924E6"/>
    <w:rsid w:val="00D925B7"/>
    <w:rsid w:val="00D9354B"/>
    <w:rsid w:val="00D95996"/>
    <w:rsid w:val="00D95B95"/>
    <w:rsid w:val="00D966BD"/>
    <w:rsid w:val="00DA13F4"/>
    <w:rsid w:val="00DA24C0"/>
    <w:rsid w:val="00DA2938"/>
    <w:rsid w:val="00DA2AF3"/>
    <w:rsid w:val="00DA2E69"/>
    <w:rsid w:val="00DA333A"/>
    <w:rsid w:val="00DA44C3"/>
    <w:rsid w:val="00DA4B82"/>
    <w:rsid w:val="00DA6B8C"/>
    <w:rsid w:val="00DA702B"/>
    <w:rsid w:val="00DA7131"/>
    <w:rsid w:val="00DB1C39"/>
    <w:rsid w:val="00DB2D69"/>
    <w:rsid w:val="00DB4224"/>
    <w:rsid w:val="00DB6C28"/>
    <w:rsid w:val="00DB6D1C"/>
    <w:rsid w:val="00DB6FE7"/>
    <w:rsid w:val="00DC0023"/>
    <w:rsid w:val="00DC21FC"/>
    <w:rsid w:val="00DC27E9"/>
    <w:rsid w:val="00DC3B20"/>
    <w:rsid w:val="00DC3EA5"/>
    <w:rsid w:val="00DC4550"/>
    <w:rsid w:val="00DC5458"/>
    <w:rsid w:val="00DD2286"/>
    <w:rsid w:val="00DD2953"/>
    <w:rsid w:val="00DD479F"/>
    <w:rsid w:val="00DD66A1"/>
    <w:rsid w:val="00DD6708"/>
    <w:rsid w:val="00DD7DD7"/>
    <w:rsid w:val="00DE0966"/>
    <w:rsid w:val="00DE2F26"/>
    <w:rsid w:val="00DE3D4B"/>
    <w:rsid w:val="00DE3EBF"/>
    <w:rsid w:val="00DE4272"/>
    <w:rsid w:val="00DE4A54"/>
    <w:rsid w:val="00DE4C6E"/>
    <w:rsid w:val="00DE59CA"/>
    <w:rsid w:val="00DE59DD"/>
    <w:rsid w:val="00DE6461"/>
    <w:rsid w:val="00DE6855"/>
    <w:rsid w:val="00DE68D4"/>
    <w:rsid w:val="00DF1447"/>
    <w:rsid w:val="00DF2581"/>
    <w:rsid w:val="00DF44EF"/>
    <w:rsid w:val="00DF53E9"/>
    <w:rsid w:val="00DF67CF"/>
    <w:rsid w:val="00DF681A"/>
    <w:rsid w:val="00DF6EB2"/>
    <w:rsid w:val="00E00E86"/>
    <w:rsid w:val="00E011D8"/>
    <w:rsid w:val="00E02163"/>
    <w:rsid w:val="00E02584"/>
    <w:rsid w:val="00E03683"/>
    <w:rsid w:val="00E06D81"/>
    <w:rsid w:val="00E07063"/>
    <w:rsid w:val="00E07A49"/>
    <w:rsid w:val="00E100BB"/>
    <w:rsid w:val="00E10431"/>
    <w:rsid w:val="00E108DE"/>
    <w:rsid w:val="00E10B03"/>
    <w:rsid w:val="00E1120C"/>
    <w:rsid w:val="00E1140B"/>
    <w:rsid w:val="00E118A7"/>
    <w:rsid w:val="00E11AB1"/>
    <w:rsid w:val="00E1462D"/>
    <w:rsid w:val="00E1595D"/>
    <w:rsid w:val="00E16081"/>
    <w:rsid w:val="00E16374"/>
    <w:rsid w:val="00E164DD"/>
    <w:rsid w:val="00E1705F"/>
    <w:rsid w:val="00E17288"/>
    <w:rsid w:val="00E223E8"/>
    <w:rsid w:val="00E23DC7"/>
    <w:rsid w:val="00E24B3F"/>
    <w:rsid w:val="00E2586C"/>
    <w:rsid w:val="00E276F2"/>
    <w:rsid w:val="00E3079B"/>
    <w:rsid w:val="00E31031"/>
    <w:rsid w:val="00E32261"/>
    <w:rsid w:val="00E3293F"/>
    <w:rsid w:val="00E32F23"/>
    <w:rsid w:val="00E34BF1"/>
    <w:rsid w:val="00E4033D"/>
    <w:rsid w:val="00E4181C"/>
    <w:rsid w:val="00E42557"/>
    <w:rsid w:val="00E44B0D"/>
    <w:rsid w:val="00E44F60"/>
    <w:rsid w:val="00E5061B"/>
    <w:rsid w:val="00E52161"/>
    <w:rsid w:val="00E522C0"/>
    <w:rsid w:val="00E53A0C"/>
    <w:rsid w:val="00E54AE8"/>
    <w:rsid w:val="00E54E13"/>
    <w:rsid w:val="00E55C1F"/>
    <w:rsid w:val="00E56181"/>
    <w:rsid w:val="00E5728F"/>
    <w:rsid w:val="00E57535"/>
    <w:rsid w:val="00E636E2"/>
    <w:rsid w:val="00E6388D"/>
    <w:rsid w:val="00E65333"/>
    <w:rsid w:val="00E65F4B"/>
    <w:rsid w:val="00E66718"/>
    <w:rsid w:val="00E67C4B"/>
    <w:rsid w:val="00E67CE1"/>
    <w:rsid w:val="00E7033A"/>
    <w:rsid w:val="00E71A42"/>
    <w:rsid w:val="00E74D7F"/>
    <w:rsid w:val="00E7640E"/>
    <w:rsid w:val="00E770B0"/>
    <w:rsid w:val="00E8275C"/>
    <w:rsid w:val="00E841C2"/>
    <w:rsid w:val="00E84C6E"/>
    <w:rsid w:val="00E84D59"/>
    <w:rsid w:val="00E86F19"/>
    <w:rsid w:val="00E87FC1"/>
    <w:rsid w:val="00E9185B"/>
    <w:rsid w:val="00E922D5"/>
    <w:rsid w:val="00E9262A"/>
    <w:rsid w:val="00E92B3F"/>
    <w:rsid w:val="00E92C69"/>
    <w:rsid w:val="00E9377F"/>
    <w:rsid w:val="00E96372"/>
    <w:rsid w:val="00E96E80"/>
    <w:rsid w:val="00E9755A"/>
    <w:rsid w:val="00EA21CB"/>
    <w:rsid w:val="00EA49CB"/>
    <w:rsid w:val="00EA7083"/>
    <w:rsid w:val="00EA7086"/>
    <w:rsid w:val="00EA7433"/>
    <w:rsid w:val="00EA784B"/>
    <w:rsid w:val="00EA7FD2"/>
    <w:rsid w:val="00EB0374"/>
    <w:rsid w:val="00EB1638"/>
    <w:rsid w:val="00EB2065"/>
    <w:rsid w:val="00EB26A0"/>
    <w:rsid w:val="00EB359F"/>
    <w:rsid w:val="00EB425C"/>
    <w:rsid w:val="00EB48F7"/>
    <w:rsid w:val="00EB4F67"/>
    <w:rsid w:val="00EB61F2"/>
    <w:rsid w:val="00EB72EF"/>
    <w:rsid w:val="00EB7E0D"/>
    <w:rsid w:val="00EC0BD5"/>
    <w:rsid w:val="00EC26BB"/>
    <w:rsid w:val="00EC2872"/>
    <w:rsid w:val="00EC2C3B"/>
    <w:rsid w:val="00EC4F5F"/>
    <w:rsid w:val="00EC520A"/>
    <w:rsid w:val="00EC6B4A"/>
    <w:rsid w:val="00EC7E99"/>
    <w:rsid w:val="00ED2260"/>
    <w:rsid w:val="00ED3EB0"/>
    <w:rsid w:val="00ED4D5C"/>
    <w:rsid w:val="00ED5319"/>
    <w:rsid w:val="00ED6ADE"/>
    <w:rsid w:val="00EE026A"/>
    <w:rsid w:val="00EE0A95"/>
    <w:rsid w:val="00EE4E58"/>
    <w:rsid w:val="00EE5813"/>
    <w:rsid w:val="00EE6746"/>
    <w:rsid w:val="00EE7A99"/>
    <w:rsid w:val="00EF0EC2"/>
    <w:rsid w:val="00EF2FE2"/>
    <w:rsid w:val="00EF3A36"/>
    <w:rsid w:val="00EF533B"/>
    <w:rsid w:val="00EF6DB3"/>
    <w:rsid w:val="00F006E9"/>
    <w:rsid w:val="00F039C1"/>
    <w:rsid w:val="00F04344"/>
    <w:rsid w:val="00F067E3"/>
    <w:rsid w:val="00F07166"/>
    <w:rsid w:val="00F072FB"/>
    <w:rsid w:val="00F07F65"/>
    <w:rsid w:val="00F10822"/>
    <w:rsid w:val="00F11F9C"/>
    <w:rsid w:val="00F11FFE"/>
    <w:rsid w:val="00F1376B"/>
    <w:rsid w:val="00F14632"/>
    <w:rsid w:val="00F14BC6"/>
    <w:rsid w:val="00F164C6"/>
    <w:rsid w:val="00F17722"/>
    <w:rsid w:val="00F20E77"/>
    <w:rsid w:val="00F21C0B"/>
    <w:rsid w:val="00F221A6"/>
    <w:rsid w:val="00F25F8C"/>
    <w:rsid w:val="00F2738B"/>
    <w:rsid w:val="00F27EC1"/>
    <w:rsid w:val="00F32D23"/>
    <w:rsid w:val="00F335E4"/>
    <w:rsid w:val="00F35F10"/>
    <w:rsid w:val="00F36B47"/>
    <w:rsid w:val="00F36F04"/>
    <w:rsid w:val="00F371E6"/>
    <w:rsid w:val="00F37233"/>
    <w:rsid w:val="00F379C5"/>
    <w:rsid w:val="00F401EB"/>
    <w:rsid w:val="00F402B6"/>
    <w:rsid w:val="00F402D5"/>
    <w:rsid w:val="00F410FE"/>
    <w:rsid w:val="00F41A3F"/>
    <w:rsid w:val="00F446D7"/>
    <w:rsid w:val="00F446F7"/>
    <w:rsid w:val="00F44D88"/>
    <w:rsid w:val="00F44FE7"/>
    <w:rsid w:val="00F450B6"/>
    <w:rsid w:val="00F45FC1"/>
    <w:rsid w:val="00F466E4"/>
    <w:rsid w:val="00F4728E"/>
    <w:rsid w:val="00F509B6"/>
    <w:rsid w:val="00F50B1F"/>
    <w:rsid w:val="00F53279"/>
    <w:rsid w:val="00F539CC"/>
    <w:rsid w:val="00F53F4D"/>
    <w:rsid w:val="00F5525E"/>
    <w:rsid w:val="00F61A16"/>
    <w:rsid w:val="00F61CF6"/>
    <w:rsid w:val="00F623BE"/>
    <w:rsid w:val="00F628F1"/>
    <w:rsid w:val="00F652FC"/>
    <w:rsid w:val="00F65398"/>
    <w:rsid w:val="00F65C25"/>
    <w:rsid w:val="00F6632E"/>
    <w:rsid w:val="00F6730B"/>
    <w:rsid w:val="00F70F21"/>
    <w:rsid w:val="00F71669"/>
    <w:rsid w:val="00F72D17"/>
    <w:rsid w:val="00F72D98"/>
    <w:rsid w:val="00F77111"/>
    <w:rsid w:val="00F80A7F"/>
    <w:rsid w:val="00F813CF"/>
    <w:rsid w:val="00F81882"/>
    <w:rsid w:val="00F819F6"/>
    <w:rsid w:val="00F84707"/>
    <w:rsid w:val="00F8636B"/>
    <w:rsid w:val="00F86D0A"/>
    <w:rsid w:val="00F86E73"/>
    <w:rsid w:val="00F8701A"/>
    <w:rsid w:val="00F87173"/>
    <w:rsid w:val="00F87208"/>
    <w:rsid w:val="00F87415"/>
    <w:rsid w:val="00F87622"/>
    <w:rsid w:val="00F91314"/>
    <w:rsid w:val="00F92292"/>
    <w:rsid w:val="00F93097"/>
    <w:rsid w:val="00F962CE"/>
    <w:rsid w:val="00F97584"/>
    <w:rsid w:val="00F97AE7"/>
    <w:rsid w:val="00FA0D3C"/>
    <w:rsid w:val="00FA4F71"/>
    <w:rsid w:val="00FA7395"/>
    <w:rsid w:val="00FB0D5C"/>
    <w:rsid w:val="00FB1303"/>
    <w:rsid w:val="00FB1D02"/>
    <w:rsid w:val="00FB2F88"/>
    <w:rsid w:val="00FB514E"/>
    <w:rsid w:val="00FB55DF"/>
    <w:rsid w:val="00FB66CD"/>
    <w:rsid w:val="00FB6D9C"/>
    <w:rsid w:val="00FB74B1"/>
    <w:rsid w:val="00FC126F"/>
    <w:rsid w:val="00FC2984"/>
    <w:rsid w:val="00FC2F30"/>
    <w:rsid w:val="00FC3E92"/>
    <w:rsid w:val="00FC442F"/>
    <w:rsid w:val="00FC6470"/>
    <w:rsid w:val="00FC699A"/>
    <w:rsid w:val="00FC74B0"/>
    <w:rsid w:val="00FC7B32"/>
    <w:rsid w:val="00FD04DD"/>
    <w:rsid w:val="00FD1631"/>
    <w:rsid w:val="00FD1A85"/>
    <w:rsid w:val="00FD4C25"/>
    <w:rsid w:val="00FD4F9F"/>
    <w:rsid w:val="00FE1419"/>
    <w:rsid w:val="00FE24E7"/>
    <w:rsid w:val="00FE28F0"/>
    <w:rsid w:val="00FE2AA4"/>
    <w:rsid w:val="00FE3536"/>
    <w:rsid w:val="00FE3630"/>
    <w:rsid w:val="00FE3D67"/>
    <w:rsid w:val="00FE3F20"/>
    <w:rsid w:val="00FE3FE0"/>
    <w:rsid w:val="00FE51E6"/>
    <w:rsid w:val="00FE76DD"/>
    <w:rsid w:val="00FE7904"/>
    <w:rsid w:val="00FE7D51"/>
    <w:rsid w:val="00FF0DF5"/>
    <w:rsid w:val="00FF1C56"/>
    <w:rsid w:val="00FF2147"/>
    <w:rsid w:val="00FF3670"/>
    <w:rsid w:val="00FF3866"/>
    <w:rsid w:val="00FF38AE"/>
    <w:rsid w:val="00FF3CEF"/>
    <w:rsid w:val="00FF4863"/>
    <w:rsid w:val="00FF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F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689"/>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20689"/>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20689"/>
    <w:pPr>
      <w:spacing w:after="0" w:line="240" w:lineRule="auto"/>
      <w:ind w:firstLine="720"/>
      <w:outlineLvl w:val="2"/>
    </w:pPr>
    <w:rPr>
      <w:b/>
      <w:lang w:val="en-AU"/>
    </w:rPr>
  </w:style>
  <w:style w:type="paragraph" w:styleId="Heading4">
    <w:name w:val="heading 4"/>
    <w:basedOn w:val="Normal"/>
    <w:next w:val="Normal"/>
    <w:link w:val="Heading4Char"/>
    <w:uiPriority w:val="9"/>
    <w:unhideWhenUsed/>
    <w:qFormat/>
    <w:rsid w:val="00320689"/>
    <w:pPr>
      <w:spacing w:after="0" w:line="240" w:lineRule="auto"/>
      <w:ind w:firstLine="720"/>
      <w:outlineLvl w:val="3"/>
    </w:pPr>
    <w:rPr>
      <w:b/>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689"/>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320689"/>
    <w:rPr>
      <w:rFonts w:eastAsiaTheme="majorEastAsia" w:cstheme="majorBidi"/>
      <w:b/>
      <w:color w:val="000000" w:themeColor="text1"/>
      <w:szCs w:val="26"/>
    </w:rPr>
  </w:style>
  <w:style w:type="character" w:customStyle="1" w:styleId="Heading4Char">
    <w:name w:val="Heading 4 Char"/>
    <w:basedOn w:val="DefaultParagraphFont"/>
    <w:link w:val="Heading4"/>
    <w:uiPriority w:val="9"/>
    <w:rsid w:val="00320689"/>
    <w:rPr>
      <w:b/>
      <w:i/>
      <w:lang w:val="en-AU"/>
    </w:rPr>
  </w:style>
  <w:style w:type="character" w:customStyle="1" w:styleId="Heading3Char">
    <w:name w:val="Heading 3 Char"/>
    <w:basedOn w:val="DefaultParagraphFont"/>
    <w:link w:val="Heading3"/>
    <w:uiPriority w:val="9"/>
    <w:rsid w:val="00320689"/>
    <w:rPr>
      <w:b/>
      <w:lang w:val="en-AU"/>
    </w:rPr>
  </w:style>
  <w:style w:type="paragraph" w:styleId="FootnoteText">
    <w:name w:val="footnote text"/>
    <w:basedOn w:val="Normal"/>
    <w:link w:val="FootnoteTextChar"/>
    <w:uiPriority w:val="99"/>
    <w:semiHidden/>
    <w:unhideWhenUsed/>
    <w:rsid w:val="00506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297"/>
    <w:rPr>
      <w:sz w:val="20"/>
      <w:szCs w:val="20"/>
    </w:rPr>
  </w:style>
  <w:style w:type="character" w:styleId="FootnoteReference">
    <w:name w:val="footnote reference"/>
    <w:basedOn w:val="DefaultParagraphFont"/>
    <w:uiPriority w:val="99"/>
    <w:semiHidden/>
    <w:unhideWhenUsed/>
    <w:rsid w:val="00506297"/>
    <w:rPr>
      <w:vertAlign w:val="superscript"/>
    </w:rPr>
  </w:style>
  <w:style w:type="character" w:styleId="Hyperlink">
    <w:name w:val="Hyperlink"/>
    <w:basedOn w:val="DefaultParagraphFont"/>
    <w:uiPriority w:val="99"/>
    <w:unhideWhenUsed/>
    <w:rsid w:val="000F5516"/>
    <w:rPr>
      <w:color w:val="0000FF"/>
      <w:u w:val="single"/>
    </w:rPr>
  </w:style>
  <w:style w:type="paragraph" w:customStyle="1" w:styleId="Affiliation">
    <w:name w:val="Affiliation"/>
    <w:basedOn w:val="Normal"/>
    <w:qFormat/>
    <w:rsid w:val="001A5957"/>
    <w:pPr>
      <w:spacing w:before="240" w:after="0" w:line="360" w:lineRule="auto"/>
    </w:pPr>
    <w:rPr>
      <w:rFonts w:eastAsia="Times New Roman"/>
      <w:i/>
      <w:lang w:eastAsia="en-GB"/>
    </w:rPr>
  </w:style>
  <w:style w:type="paragraph" w:styleId="ListParagraph">
    <w:name w:val="List Paragraph"/>
    <w:basedOn w:val="Normal"/>
    <w:uiPriority w:val="34"/>
    <w:qFormat/>
    <w:rsid w:val="00E07A49"/>
    <w:pPr>
      <w:ind w:left="720"/>
      <w:contextualSpacing/>
    </w:pPr>
  </w:style>
  <w:style w:type="character" w:styleId="CommentReference">
    <w:name w:val="annotation reference"/>
    <w:basedOn w:val="DefaultParagraphFont"/>
    <w:uiPriority w:val="99"/>
    <w:semiHidden/>
    <w:unhideWhenUsed/>
    <w:rsid w:val="00A415B1"/>
    <w:rPr>
      <w:sz w:val="16"/>
      <w:szCs w:val="16"/>
    </w:rPr>
  </w:style>
  <w:style w:type="paragraph" w:styleId="CommentText">
    <w:name w:val="annotation text"/>
    <w:basedOn w:val="Normal"/>
    <w:link w:val="CommentTextChar"/>
    <w:uiPriority w:val="99"/>
    <w:unhideWhenUsed/>
    <w:rsid w:val="00A415B1"/>
    <w:pPr>
      <w:spacing w:line="240" w:lineRule="auto"/>
    </w:pPr>
    <w:rPr>
      <w:sz w:val="20"/>
      <w:szCs w:val="20"/>
    </w:rPr>
  </w:style>
  <w:style w:type="character" w:customStyle="1" w:styleId="CommentTextChar">
    <w:name w:val="Comment Text Char"/>
    <w:basedOn w:val="DefaultParagraphFont"/>
    <w:link w:val="CommentText"/>
    <w:uiPriority w:val="99"/>
    <w:rsid w:val="00A415B1"/>
    <w:rPr>
      <w:sz w:val="20"/>
      <w:szCs w:val="20"/>
    </w:rPr>
  </w:style>
  <w:style w:type="paragraph" w:styleId="CommentSubject">
    <w:name w:val="annotation subject"/>
    <w:basedOn w:val="CommentText"/>
    <w:next w:val="CommentText"/>
    <w:link w:val="CommentSubjectChar"/>
    <w:uiPriority w:val="99"/>
    <w:semiHidden/>
    <w:unhideWhenUsed/>
    <w:rsid w:val="00A415B1"/>
    <w:rPr>
      <w:b/>
      <w:bCs/>
    </w:rPr>
  </w:style>
  <w:style w:type="character" w:customStyle="1" w:styleId="CommentSubjectChar">
    <w:name w:val="Comment Subject Char"/>
    <w:basedOn w:val="CommentTextChar"/>
    <w:link w:val="CommentSubject"/>
    <w:uiPriority w:val="99"/>
    <w:semiHidden/>
    <w:rsid w:val="00A415B1"/>
    <w:rPr>
      <w:b/>
      <w:bCs/>
      <w:sz w:val="20"/>
      <w:szCs w:val="20"/>
    </w:rPr>
  </w:style>
  <w:style w:type="paragraph" w:styleId="BalloonText">
    <w:name w:val="Balloon Text"/>
    <w:basedOn w:val="Normal"/>
    <w:link w:val="BalloonTextChar"/>
    <w:uiPriority w:val="99"/>
    <w:semiHidden/>
    <w:unhideWhenUsed/>
    <w:rsid w:val="00A4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B1"/>
    <w:rPr>
      <w:rFonts w:ascii="Segoe UI" w:hAnsi="Segoe UI" w:cs="Segoe UI"/>
      <w:sz w:val="18"/>
      <w:szCs w:val="18"/>
    </w:rPr>
  </w:style>
  <w:style w:type="paragraph" w:customStyle="1" w:styleId="Newparagraph">
    <w:name w:val="New paragraph"/>
    <w:basedOn w:val="Normal"/>
    <w:qFormat/>
    <w:rsid w:val="00F70F21"/>
    <w:pPr>
      <w:spacing w:after="0" w:line="480" w:lineRule="auto"/>
      <w:ind w:firstLine="720"/>
    </w:pPr>
    <w:rPr>
      <w:rFonts w:eastAsia="Times New Roman"/>
      <w:lang w:eastAsia="en-GB"/>
    </w:rPr>
  </w:style>
  <w:style w:type="paragraph" w:styleId="Revision">
    <w:name w:val="Revision"/>
    <w:hidden/>
    <w:uiPriority w:val="99"/>
    <w:semiHidden/>
    <w:rsid w:val="007F34C4"/>
    <w:pPr>
      <w:spacing w:after="0" w:line="240" w:lineRule="auto"/>
    </w:pPr>
  </w:style>
  <w:style w:type="paragraph" w:styleId="Header">
    <w:name w:val="header"/>
    <w:basedOn w:val="Normal"/>
    <w:link w:val="HeaderChar"/>
    <w:uiPriority w:val="99"/>
    <w:unhideWhenUsed/>
    <w:rsid w:val="00BE5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BE"/>
  </w:style>
  <w:style w:type="paragraph" w:styleId="Footer">
    <w:name w:val="footer"/>
    <w:basedOn w:val="Normal"/>
    <w:link w:val="FooterChar"/>
    <w:uiPriority w:val="99"/>
    <w:unhideWhenUsed/>
    <w:rsid w:val="00BE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BE"/>
  </w:style>
  <w:style w:type="table" w:styleId="TableGrid">
    <w:name w:val="Table Grid"/>
    <w:basedOn w:val="TableNormal"/>
    <w:uiPriority w:val="39"/>
    <w:rsid w:val="007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37434">
      <w:bodyDiv w:val="1"/>
      <w:marLeft w:val="0"/>
      <w:marRight w:val="0"/>
      <w:marTop w:val="0"/>
      <w:marBottom w:val="0"/>
      <w:divBdr>
        <w:top w:val="none" w:sz="0" w:space="0" w:color="auto"/>
        <w:left w:val="none" w:sz="0" w:space="0" w:color="auto"/>
        <w:bottom w:val="none" w:sz="0" w:space="0" w:color="auto"/>
        <w:right w:val="none" w:sz="0" w:space="0" w:color="auto"/>
      </w:divBdr>
    </w:div>
    <w:div w:id="19971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lower@latrobe.edu.au" TargetMode="External"/><Relationship Id="rId18" Type="http://schemas.openxmlformats.org/officeDocument/2006/relationships/hyperlink" Target="https://www.dss.gov.au/freedom-of-information-operational-information-disability-employment-and-carers-group/des-grant-agree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rcid.org/0000-0003-4911-718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0480-521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Flower@latrobe.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DAA97D6203F42A89B53D31E169743" ma:contentTypeVersion="13" ma:contentTypeDescription="Create a new document." ma:contentTypeScope="" ma:versionID="97f48643d0d5a71eaf07a6887ba2e42c">
  <xsd:schema xmlns:xsd="http://www.w3.org/2001/XMLSchema" xmlns:xs="http://www.w3.org/2001/XMLSchema" xmlns:p="http://schemas.microsoft.com/office/2006/metadata/properties" xmlns:ns3="fd5646e6-ed22-4bdc-965e-1c0d9dd82bc8" xmlns:ns4="045e4b6f-5f2c-4628-9054-7389180aa09c" targetNamespace="http://schemas.microsoft.com/office/2006/metadata/properties" ma:root="true" ma:fieldsID="796f82773d4b9fdfe3d79ff5213f66e2" ns3:_="" ns4:_="">
    <xsd:import namespace="fd5646e6-ed22-4bdc-965e-1c0d9dd82bc8"/>
    <xsd:import namespace="045e4b6f-5f2c-4628-9054-7389180aa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46e6-ed22-4bdc-965e-1c0d9dd82b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e4b6f-5f2c-4628-9054-7389180aa0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1A46-6D33-4B84-8A3C-DEBC14820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82650-CA97-4381-87DF-1D8127479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646e6-ed22-4bdc-965e-1c0d9dd82bc8"/>
    <ds:schemaRef ds:uri="045e4b6f-5f2c-4628-9054-7389180a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F6517-632F-49B1-9DE0-DB4F71A0C1D0}">
  <ds:schemaRefs>
    <ds:schemaRef ds:uri="http://schemas.microsoft.com/sharepoint/v3/contenttype/forms"/>
  </ds:schemaRefs>
</ds:datastoreItem>
</file>

<file path=customXml/itemProps4.xml><?xml version="1.0" encoding="utf-8"?>
<ds:datastoreItem xmlns:ds="http://schemas.openxmlformats.org/officeDocument/2006/customXml" ds:itemID="{8D7BBB77-A7E2-493F-BA1D-0080F629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2020-10-28T06:41:00Z</dcterms:created>
  <dcterms:modified xsi:type="dcterms:W3CDTF">2020-10-28T06:41:00Z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0x01010002DDAA97D6203F42A89B53D31E169743</vt:lpwstr>
  </property>
</Properties>
</file>