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40A8" w14:textId="77777777" w:rsidR="00D633EA" w:rsidRPr="00FC6206" w:rsidRDefault="00D633EA" w:rsidP="00D633EA">
      <w:pPr>
        <w:jc w:val="center"/>
        <w:rPr>
          <w:b/>
        </w:rPr>
      </w:pPr>
      <w:r w:rsidRPr="00FC6206">
        <w:rPr>
          <w:b/>
        </w:rPr>
        <w:t xml:space="preserve">Decreasing </w:t>
      </w:r>
      <w:r>
        <w:rPr>
          <w:b/>
        </w:rPr>
        <w:t>Prevalence</w:t>
      </w:r>
      <w:r w:rsidRPr="00FC6206">
        <w:rPr>
          <w:b/>
        </w:rPr>
        <w:t xml:space="preserve"> of Social Drinkers in Australia</w:t>
      </w:r>
    </w:p>
    <w:p w14:paraId="70D039E8" w14:textId="77777777" w:rsidR="00D633EA" w:rsidRPr="003A6328" w:rsidRDefault="00D633EA" w:rsidP="00D633EA">
      <w:pPr>
        <w:spacing w:after="0" w:line="240" w:lineRule="auto"/>
        <w:jc w:val="center"/>
        <w:rPr>
          <w:vertAlign w:val="superscript"/>
        </w:rPr>
      </w:pPr>
      <w:r w:rsidRPr="00FC6206">
        <w:t>Sarah Callinan</w:t>
      </w:r>
      <w:r>
        <w:rPr>
          <w:vertAlign w:val="superscript"/>
        </w:rPr>
        <w:t>1</w:t>
      </w:r>
    </w:p>
    <w:p w14:paraId="7F4A610E" w14:textId="77777777" w:rsidR="00D633EA" w:rsidRPr="003A6328" w:rsidRDefault="00D633EA" w:rsidP="00D633EA">
      <w:pPr>
        <w:spacing w:after="0" w:line="240" w:lineRule="auto"/>
        <w:jc w:val="center"/>
        <w:rPr>
          <w:vertAlign w:val="superscript"/>
        </w:rPr>
      </w:pPr>
      <w:r w:rsidRPr="00FC6206">
        <w:t>Amy Pennay</w:t>
      </w:r>
      <w:r>
        <w:rPr>
          <w:vertAlign w:val="superscript"/>
        </w:rPr>
        <w:t>1</w:t>
      </w:r>
    </w:p>
    <w:p w14:paraId="637A45F4" w14:textId="77777777" w:rsidR="00D633EA" w:rsidRPr="003A6328" w:rsidRDefault="00D633EA" w:rsidP="00D633EA">
      <w:pPr>
        <w:spacing w:after="0" w:line="240" w:lineRule="auto"/>
        <w:jc w:val="center"/>
        <w:rPr>
          <w:vertAlign w:val="superscript"/>
        </w:rPr>
      </w:pPr>
      <w:r w:rsidRPr="00FC6206">
        <w:t>Michael Livingston</w:t>
      </w:r>
      <w:r>
        <w:rPr>
          <w:vertAlign w:val="superscript"/>
        </w:rPr>
        <w:t>1</w:t>
      </w:r>
    </w:p>
    <w:p w14:paraId="64DA82D2" w14:textId="77777777" w:rsidR="00D633EA" w:rsidRDefault="00D633EA" w:rsidP="00D633EA"/>
    <w:p w14:paraId="2DD9A2AF" w14:textId="77777777" w:rsidR="00D633EA" w:rsidRDefault="00D633EA" w:rsidP="00D633EA">
      <w:r>
        <w:rPr>
          <w:vertAlign w:val="superscript"/>
        </w:rPr>
        <w:t xml:space="preserve">1 </w:t>
      </w:r>
      <w:r w:rsidRPr="00FC6206">
        <w:t>Centre for Alcohol Policy Research, School of Psychology and Public Health, La Trobe University.</w:t>
      </w:r>
    </w:p>
    <w:p w14:paraId="1142D8BC" w14:textId="77777777" w:rsidR="00D633EA" w:rsidRDefault="00D633EA" w:rsidP="00D633EA"/>
    <w:p w14:paraId="4C8170E0" w14:textId="77777777" w:rsidR="00D633EA" w:rsidRDefault="00D633EA" w:rsidP="00D633EA"/>
    <w:p w14:paraId="1CD40D48" w14:textId="77777777" w:rsidR="00D633EA" w:rsidRPr="00F13D7C" w:rsidRDefault="00D633EA" w:rsidP="00D633EA">
      <w:pPr>
        <w:spacing w:after="0"/>
        <w:rPr>
          <w:b/>
        </w:rPr>
      </w:pPr>
      <w:r w:rsidRPr="00F13D7C">
        <w:rPr>
          <w:b/>
        </w:rPr>
        <w:t>Corresponding Author:</w:t>
      </w:r>
    </w:p>
    <w:p w14:paraId="0E0E36B6" w14:textId="77777777" w:rsidR="00D633EA" w:rsidRDefault="00D633EA" w:rsidP="00D633EA">
      <w:pPr>
        <w:spacing w:after="0" w:line="240" w:lineRule="auto"/>
      </w:pPr>
      <w:r>
        <w:t>Sarah Callinan</w:t>
      </w:r>
    </w:p>
    <w:p w14:paraId="52559665" w14:textId="77777777" w:rsidR="00D633EA" w:rsidRDefault="00D633EA" w:rsidP="00D633EA">
      <w:pPr>
        <w:spacing w:after="0" w:line="240" w:lineRule="auto"/>
      </w:pPr>
      <w:r>
        <w:t>Research Fellow</w:t>
      </w:r>
    </w:p>
    <w:p w14:paraId="387775F6" w14:textId="77777777" w:rsidR="00D633EA" w:rsidRDefault="00D633EA" w:rsidP="00D633EA">
      <w:pPr>
        <w:spacing w:after="0" w:line="240" w:lineRule="auto"/>
      </w:pPr>
      <w:r>
        <w:t>Centre for Alcohol Policy Research</w:t>
      </w:r>
    </w:p>
    <w:p w14:paraId="59F52CF7" w14:textId="77777777" w:rsidR="00D633EA" w:rsidRDefault="00D633EA" w:rsidP="00D633EA">
      <w:pPr>
        <w:spacing w:after="0" w:line="240" w:lineRule="auto"/>
      </w:pPr>
      <w:r>
        <w:t>La Trobe University</w:t>
      </w:r>
    </w:p>
    <w:p w14:paraId="2DCAEE53" w14:textId="77777777" w:rsidR="00D633EA" w:rsidRDefault="00D633EA" w:rsidP="00D633EA">
      <w:pPr>
        <w:spacing w:after="0" w:line="240" w:lineRule="auto"/>
      </w:pPr>
      <w:r>
        <w:t>215 Franklin St, Melbourne</w:t>
      </w:r>
    </w:p>
    <w:p w14:paraId="5D25C3E3" w14:textId="77777777" w:rsidR="00D633EA" w:rsidRPr="00FC6206" w:rsidRDefault="00D633EA" w:rsidP="00D633EA">
      <w:pPr>
        <w:spacing w:after="0" w:line="240" w:lineRule="auto"/>
      </w:pPr>
      <w:r>
        <w:t>VIC 3000</w:t>
      </w:r>
    </w:p>
    <w:p w14:paraId="0CD8BE39" w14:textId="77777777" w:rsidR="00D633EA" w:rsidRPr="00FC6206" w:rsidRDefault="00D633EA" w:rsidP="00D633EA">
      <w:pPr>
        <w:jc w:val="center"/>
        <w:rPr>
          <w:b/>
        </w:rPr>
      </w:pPr>
    </w:p>
    <w:p w14:paraId="7206539E" w14:textId="77777777" w:rsidR="00D633EA" w:rsidRDefault="00D633EA" w:rsidP="00D633EA">
      <w:pPr>
        <w:rPr>
          <w:b/>
        </w:rPr>
      </w:pPr>
    </w:p>
    <w:p w14:paraId="58252D2C" w14:textId="77777777" w:rsidR="00050876" w:rsidRDefault="00050876">
      <w:pPr>
        <w:rPr>
          <w:b/>
        </w:rPr>
      </w:pPr>
    </w:p>
    <w:p w14:paraId="111513AD" w14:textId="783F9558" w:rsidR="00050876" w:rsidRDefault="00050876">
      <w:pPr>
        <w:rPr>
          <w:b/>
        </w:rPr>
      </w:pPr>
    </w:p>
    <w:p w14:paraId="3A5154B2" w14:textId="77777777" w:rsidR="00050876" w:rsidRDefault="00050876">
      <w:pPr>
        <w:rPr>
          <w:b/>
        </w:rPr>
      </w:pPr>
    </w:p>
    <w:p w14:paraId="70A09BA0" w14:textId="77777777" w:rsidR="00050876" w:rsidRDefault="00050876" w:rsidP="00050876"/>
    <w:p w14:paraId="5361F506" w14:textId="77777777" w:rsidR="00050876" w:rsidRDefault="00050876" w:rsidP="00050876"/>
    <w:p w14:paraId="0E00725F" w14:textId="77777777" w:rsidR="00050876" w:rsidRDefault="00050876" w:rsidP="00050876"/>
    <w:p w14:paraId="552F829D" w14:textId="77777777" w:rsidR="00050876" w:rsidRDefault="00050876" w:rsidP="00050876"/>
    <w:p w14:paraId="53257B71" w14:textId="77777777" w:rsidR="00050876" w:rsidRDefault="00050876" w:rsidP="00050876"/>
    <w:p w14:paraId="184F4A20" w14:textId="77777777" w:rsidR="00050876" w:rsidRDefault="00050876" w:rsidP="00050876"/>
    <w:p w14:paraId="61C995DA" w14:textId="77777777" w:rsidR="00050876" w:rsidRDefault="00050876" w:rsidP="00050876"/>
    <w:p w14:paraId="0681C08F" w14:textId="77777777" w:rsidR="00050876" w:rsidRDefault="00050876" w:rsidP="00050876"/>
    <w:p w14:paraId="2EE91A2F" w14:textId="77777777" w:rsidR="00050876" w:rsidRDefault="00050876" w:rsidP="00050876"/>
    <w:p w14:paraId="4080C064" w14:textId="2D7A8D33" w:rsidR="00D633EA" w:rsidRDefault="00050876" w:rsidP="00050876">
      <w:pPr>
        <w:rPr>
          <w:b/>
        </w:rPr>
      </w:pPr>
      <w:r w:rsidRPr="00050876">
        <w:t>This article has been accepted for publication and undergone full peer review but has not been through the copyediting, typesetting, pagination and proofreading process which may lead to differences between this versio</w:t>
      </w:r>
      <w:bookmarkStart w:id="0" w:name="_GoBack"/>
      <w:bookmarkEnd w:id="0"/>
      <w:r w:rsidRPr="00050876">
        <w:t xml:space="preserve">n and the Version of Record. Please cite this article as </w:t>
      </w:r>
      <w:proofErr w:type="spellStart"/>
      <w:r w:rsidRPr="00050876">
        <w:t>doi</w:t>
      </w:r>
      <w:proofErr w:type="spellEnd"/>
      <w:r w:rsidRPr="00050876">
        <w:t xml:space="preserve">: </w:t>
      </w:r>
      <w:r w:rsidR="006A5A28" w:rsidRPr="006A5A28">
        <w:t>10.1016/j.addbeh.2016.12.002</w:t>
      </w:r>
      <w:r w:rsidR="00D633EA">
        <w:rPr>
          <w:b/>
        </w:rPr>
        <w:br w:type="page"/>
      </w:r>
    </w:p>
    <w:p w14:paraId="45CF2008" w14:textId="77777777" w:rsidR="00F13D7C" w:rsidRDefault="00F13D7C" w:rsidP="00623A6D">
      <w:pPr>
        <w:jc w:val="center"/>
        <w:rPr>
          <w:b/>
        </w:rPr>
      </w:pPr>
    </w:p>
    <w:p w14:paraId="2661963E" w14:textId="77777777" w:rsidR="00F13D7C" w:rsidRDefault="00F13D7C" w:rsidP="00623A6D">
      <w:pPr>
        <w:jc w:val="center"/>
        <w:rPr>
          <w:b/>
        </w:rPr>
      </w:pPr>
    </w:p>
    <w:p w14:paraId="08CDA12B" w14:textId="77777777" w:rsidR="00F13D7C" w:rsidRDefault="00F13D7C" w:rsidP="00623A6D">
      <w:pPr>
        <w:jc w:val="center"/>
        <w:rPr>
          <w:b/>
        </w:rPr>
      </w:pPr>
    </w:p>
    <w:p w14:paraId="36C9B064" w14:textId="0420255B" w:rsidR="00A01425" w:rsidRPr="00FC6206" w:rsidRDefault="00A01425" w:rsidP="00A01425">
      <w:pPr>
        <w:jc w:val="center"/>
        <w:rPr>
          <w:b/>
        </w:rPr>
      </w:pPr>
      <w:r w:rsidRPr="00FC6206">
        <w:rPr>
          <w:b/>
        </w:rPr>
        <w:t xml:space="preserve">Abstract </w:t>
      </w:r>
    </w:p>
    <w:p w14:paraId="7280ACB0" w14:textId="2D802F7E" w:rsidR="00A01425" w:rsidRPr="00FC6206" w:rsidRDefault="00C063F0" w:rsidP="00F13D7C">
      <w:pPr>
        <w:spacing w:line="360" w:lineRule="auto"/>
      </w:pPr>
      <w:r w:rsidRPr="00FC6206">
        <w:rPr>
          <w:b/>
        </w:rPr>
        <w:t>Introduction.</w:t>
      </w:r>
      <w:r w:rsidR="00A01425" w:rsidRPr="00FC6206">
        <w:rPr>
          <w:b/>
        </w:rPr>
        <w:t xml:space="preserve"> </w:t>
      </w:r>
      <w:r w:rsidRPr="00FC6206">
        <w:t xml:space="preserve"> T</w:t>
      </w:r>
      <w:r w:rsidR="00A01425" w:rsidRPr="00FC6206">
        <w:t xml:space="preserve">here has been a recent </w:t>
      </w:r>
      <w:r w:rsidR="00F74AE6">
        <w:t xml:space="preserve">decrease in population level </w:t>
      </w:r>
      <w:r w:rsidR="006341E5">
        <w:t xml:space="preserve">alcohol </w:t>
      </w:r>
      <w:r w:rsidR="00F74AE6">
        <w:t>consumption in Australia, particularly in young people</w:t>
      </w:r>
      <w:r w:rsidR="008404CD">
        <w:t>.</w:t>
      </w:r>
      <w:r w:rsidR="00F74AE6">
        <w:t xml:space="preserve">  </w:t>
      </w:r>
      <w:r w:rsidR="008404CD">
        <w:t>W</w:t>
      </w:r>
      <w:r w:rsidR="00F74AE6">
        <w:t xml:space="preserve">hether this is due </w:t>
      </w:r>
      <w:r w:rsidR="00D83E67">
        <w:t xml:space="preserve">to </w:t>
      </w:r>
      <w:r w:rsidR="00F74AE6">
        <w:t xml:space="preserve">increasing abstinence or a shift in the way people think about alcohol is not known.  </w:t>
      </w:r>
      <w:r w:rsidR="00A01425" w:rsidRPr="00FC6206">
        <w:t>The aim of this study is to investigate trends in self-identification of drinker types in Australia from 2001-2013</w:t>
      </w:r>
      <w:r w:rsidR="00E22B00">
        <w:t xml:space="preserve"> </w:t>
      </w:r>
      <w:proofErr w:type="gramStart"/>
      <w:r w:rsidR="006E4F59">
        <w:t>in light of</w:t>
      </w:r>
      <w:proofErr w:type="gramEnd"/>
      <w:r w:rsidR="004F25AD">
        <w:t xml:space="preserve"> </w:t>
      </w:r>
      <w:r w:rsidR="00BF4E87">
        <w:t>s</w:t>
      </w:r>
      <w:r w:rsidR="004F25AD">
        <w:t>hifting</w:t>
      </w:r>
      <w:r w:rsidR="00BF4E87">
        <w:t xml:space="preserve"> patterns of alcohol </w:t>
      </w:r>
      <w:r w:rsidR="00E22B00" w:rsidRPr="00FC6206">
        <w:t>consumption in Australia</w:t>
      </w:r>
      <w:r w:rsidR="008404CD">
        <w:t>.</w:t>
      </w:r>
    </w:p>
    <w:p w14:paraId="4D6DDD43" w14:textId="6E1960EA" w:rsidR="00A01425" w:rsidRPr="00FC6206" w:rsidRDefault="00A01425" w:rsidP="00F13D7C">
      <w:pPr>
        <w:spacing w:line="360" w:lineRule="auto"/>
      </w:pPr>
      <w:r w:rsidRPr="00FC6206">
        <w:rPr>
          <w:b/>
        </w:rPr>
        <w:t xml:space="preserve">Methods </w:t>
      </w:r>
      <w:r w:rsidRPr="00FC6206">
        <w:t>Five waves of the National Drug Strategy Household Survey from 2001 to 2013 (N = 1</w:t>
      </w:r>
      <w:r w:rsidR="00044FD9">
        <w:t>1</w:t>
      </w:r>
      <w:r w:rsidRPr="00FC6206">
        <w:t>8,</w:t>
      </w:r>
      <w:r w:rsidR="00044FD9">
        <w:t>416</w:t>
      </w:r>
      <w:r w:rsidRPr="00FC6206">
        <w:t>) were used to assess trends in self-identification as a drinker type (non-, ex-</w:t>
      </w:r>
      <w:r w:rsidR="00E22B00">
        <w:t>,</w:t>
      </w:r>
      <w:r w:rsidRPr="00FC6206">
        <w:t xml:space="preserve"> occasional, light, social, heavy and binge drinker).  Consumption patterns and demographics of the self-identified groups were also examined.</w:t>
      </w:r>
    </w:p>
    <w:p w14:paraId="0ACE40F7" w14:textId="01515FDB" w:rsidR="00A01425" w:rsidRPr="00FC6206" w:rsidRDefault="00A01425" w:rsidP="00F13D7C">
      <w:pPr>
        <w:spacing w:line="360" w:lineRule="auto"/>
      </w:pPr>
      <w:r w:rsidRPr="00FC6206">
        <w:rPr>
          <w:b/>
        </w:rPr>
        <w:t xml:space="preserve">Results </w:t>
      </w:r>
      <w:r w:rsidRPr="00FC6206">
        <w:t xml:space="preserve">The </w:t>
      </w:r>
      <w:r w:rsidR="00543553">
        <w:t>pattern</w:t>
      </w:r>
      <w:r w:rsidR="00543553" w:rsidRPr="00FC6206">
        <w:t xml:space="preserve"> </w:t>
      </w:r>
      <w:r w:rsidRPr="00FC6206">
        <w:t>of self-identification ha</w:t>
      </w:r>
      <w:r w:rsidR="00543553">
        <w:t>s</w:t>
      </w:r>
      <w:r w:rsidRPr="00FC6206">
        <w:t xml:space="preserve"> </w:t>
      </w:r>
      <w:r w:rsidR="00E22B00">
        <w:t xml:space="preserve">mostly </w:t>
      </w:r>
      <w:r w:rsidRPr="00FC6206">
        <w:t>remained steady o</w:t>
      </w:r>
      <w:r w:rsidR="00044FD9">
        <w:t>ver time</w:t>
      </w:r>
      <w:r w:rsidRPr="00FC6206">
        <w:t xml:space="preserve">.  The two exceptions to this are </w:t>
      </w:r>
      <w:r w:rsidR="00044FD9">
        <w:t>a decrease</w:t>
      </w:r>
      <w:r w:rsidRPr="00FC6206">
        <w:t xml:space="preserve"> </w:t>
      </w:r>
      <w:r w:rsidR="00E22B00">
        <w:t>in</w:t>
      </w:r>
      <w:r w:rsidRPr="00FC6206">
        <w:t xml:space="preserve"> identification as a social drinker (28% to 22%) and a corresponding increase in identification as a non-drinker (from 19% to 27%).  There are few changes over time in the demographic make-up of, or consumption patterns in, </w:t>
      </w:r>
      <w:r w:rsidR="0078778E">
        <w:t xml:space="preserve">the social drinker category </w:t>
      </w:r>
      <w:proofErr w:type="gramStart"/>
      <w:r w:rsidR="0078778E">
        <w:t>with the exception of</w:t>
      </w:r>
      <w:proofErr w:type="gramEnd"/>
      <w:r w:rsidR="0078778E">
        <w:t xml:space="preserve"> those over 50, who continue to identify as social drinkers at the same rate. </w:t>
      </w:r>
    </w:p>
    <w:p w14:paraId="259EED3E" w14:textId="16106DE1" w:rsidR="00A01425" w:rsidRPr="00FC6206" w:rsidRDefault="00A01425" w:rsidP="00F13D7C">
      <w:pPr>
        <w:spacing w:line="360" w:lineRule="auto"/>
      </w:pPr>
      <w:r w:rsidRPr="00FC6206">
        <w:rPr>
          <w:b/>
        </w:rPr>
        <w:t xml:space="preserve">Conclusion </w:t>
      </w:r>
      <w:r w:rsidRPr="00FC6206">
        <w:t>The recent increase in abstinence in Australia seems to be matched by a corresponding decrease in self-identified social drinkers</w:t>
      </w:r>
      <w:r w:rsidR="00623A6D" w:rsidRPr="00FC6206">
        <w:t xml:space="preserve">, particularly </w:t>
      </w:r>
      <w:r w:rsidR="00E22B00">
        <w:t>among</w:t>
      </w:r>
      <w:r w:rsidR="00623A6D" w:rsidRPr="00FC6206">
        <w:t xml:space="preserve"> </w:t>
      </w:r>
      <w:r w:rsidR="006E4F59">
        <w:t>those under 50</w:t>
      </w:r>
      <w:r w:rsidRPr="00FC6206">
        <w:t>.</w:t>
      </w:r>
      <w:r w:rsidR="00F74AE6">
        <w:t xml:space="preserve"> </w:t>
      </w:r>
      <w:r w:rsidR="0078778E">
        <w:t xml:space="preserve">This indicates that the decrease in consumption is not </w:t>
      </w:r>
      <w:r w:rsidR="00DD303E">
        <w:t xml:space="preserve">occurring in </w:t>
      </w:r>
      <w:r w:rsidR="0078778E">
        <w:t xml:space="preserve">those most likely to experience harms. </w:t>
      </w:r>
    </w:p>
    <w:p w14:paraId="5D002F20" w14:textId="77777777" w:rsidR="00A01425" w:rsidRPr="00FC6206" w:rsidRDefault="00A01425" w:rsidP="00A01425">
      <w:pPr>
        <w:jc w:val="center"/>
        <w:rPr>
          <w:b/>
        </w:rPr>
      </w:pPr>
    </w:p>
    <w:p w14:paraId="6B1CC307" w14:textId="77777777" w:rsidR="00A01425" w:rsidRPr="00FC6206" w:rsidRDefault="00A01425" w:rsidP="00A01425">
      <w:pPr>
        <w:rPr>
          <w:b/>
        </w:rPr>
      </w:pPr>
      <w:r w:rsidRPr="00FC6206">
        <w:rPr>
          <w:b/>
        </w:rPr>
        <w:br w:type="page"/>
      </w:r>
    </w:p>
    <w:p w14:paraId="4972CCAB" w14:textId="77777777" w:rsidR="00A01425" w:rsidRPr="00FC6206" w:rsidRDefault="00A01425" w:rsidP="00A01425">
      <w:pPr>
        <w:jc w:val="center"/>
        <w:rPr>
          <w:b/>
        </w:rPr>
      </w:pPr>
      <w:r w:rsidRPr="00FC6206">
        <w:rPr>
          <w:b/>
        </w:rPr>
        <w:lastRenderedPageBreak/>
        <w:t>Introduction</w:t>
      </w:r>
    </w:p>
    <w:p w14:paraId="583FF203" w14:textId="4B985AFF" w:rsidR="00DA24DB" w:rsidRPr="00FC6206" w:rsidRDefault="00852118" w:rsidP="00DA24DB">
      <w:pPr>
        <w:spacing w:after="200" w:line="360" w:lineRule="auto"/>
      </w:pPr>
      <w:r w:rsidRPr="00FC6206">
        <w:t>According to Australia’s National Drug Strategy Household Survey</w:t>
      </w:r>
      <w:r w:rsidR="00F42F80" w:rsidRPr="00FC6206">
        <w:t xml:space="preserve"> (NDSHS)</w:t>
      </w:r>
      <w:r w:rsidRPr="00FC6206">
        <w:t xml:space="preserve">, undertaken every three years </w:t>
      </w:r>
      <w:r w:rsidR="00DD303E">
        <w:t xml:space="preserve">with </w:t>
      </w:r>
      <w:r w:rsidRPr="00FC6206">
        <w:t xml:space="preserve">more than 20,000 respondents </w:t>
      </w:r>
      <w:r w:rsidRPr="00FC6206">
        <w:fldChar w:fldCharType="begin"/>
      </w:r>
      <w:r w:rsidR="00E8098B">
        <w:instrText xml:space="preserve"> ADDIN EN.CITE &lt;EndNote&gt;&lt;Cite&gt;&lt;Author&gt;Australian Institute of Health and Welfare&lt;/Author&gt;&lt;Year&gt;2014&lt;/Year&gt;&lt;RecNum&gt;53&lt;/RecNum&gt;&lt;DisplayText&gt;(Australian Institute of Health and Welfare, 2014b)&lt;/DisplayText&gt;&lt;record&gt;&lt;rec-number&gt;53&lt;/rec-number&gt;&lt;foreign-keys&gt;&lt;key app="EN" db-id="vwzawe2f7s9v24efaesvrdzh5v5fasxxf50x" timestamp="1458778858"&gt;53&lt;/key&gt;&lt;/foreign-keys&gt;&lt;ref-type name="Report"&gt;27&lt;/ref-type&gt;&lt;contributors&gt;&lt;authors&gt;&lt;author&gt;Australian Institute of Health and Welfare,&lt;/author&gt;&lt;/authors&gt;&lt;/contributors&gt;&lt;titles&gt;&lt;title&gt;National Drug Strategy Household Survey detailed report 2013. Drug statistic series no. 28. Cat. no. PHE 183&lt;/title&gt;&lt;/titles&gt;&lt;dates&gt;&lt;year&gt;2014&lt;/year&gt;&lt;/dates&gt;&lt;pub-location&gt;Canberra&lt;/pub-location&gt;&lt;publisher&gt;AIHW&lt;/publisher&gt;&lt;urls&gt;&lt;/urls&gt;&lt;/record&gt;&lt;/Cite&gt;&lt;/EndNote&gt;</w:instrText>
      </w:r>
      <w:r w:rsidRPr="00FC6206">
        <w:fldChar w:fldCharType="separate"/>
      </w:r>
      <w:r w:rsidR="00E8098B">
        <w:rPr>
          <w:noProof/>
        </w:rPr>
        <w:t>(Australian Institute of Health and Welfare, 2014b)</w:t>
      </w:r>
      <w:r w:rsidRPr="00FC6206">
        <w:fldChar w:fldCharType="end"/>
      </w:r>
      <w:r w:rsidRPr="00FC6206">
        <w:t xml:space="preserve">, </w:t>
      </w:r>
      <w:r w:rsidR="00DA24DB" w:rsidRPr="00FC6206">
        <w:t xml:space="preserve">per capita </w:t>
      </w:r>
      <w:r w:rsidRPr="00FC6206">
        <w:t xml:space="preserve">alcohol consumption </w:t>
      </w:r>
      <w:r w:rsidR="00A7193B" w:rsidRPr="00FC6206">
        <w:t xml:space="preserve">in Australia </w:t>
      </w:r>
      <w:r w:rsidR="00DA24DB" w:rsidRPr="00FC6206">
        <w:t>has been declining since 2007</w:t>
      </w:r>
      <w:r w:rsidRPr="00FC6206">
        <w:t xml:space="preserve">. An increase in consumption was observed between </w:t>
      </w:r>
      <w:r w:rsidR="00DA24DB" w:rsidRPr="00FC6206">
        <w:t xml:space="preserve">the years </w:t>
      </w:r>
      <w:r w:rsidRPr="00FC6206">
        <w:t>2001 and 2007, but between 2007 and 2013</w:t>
      </w:r>
      <w:r w:rsidR="00DA24DB" w:rsidRPr="00FC6206">
        <w:t xml:space="preserve"> a 10.5% decline </w:t>
      </w:r>
      <w:r w:rsidR="00A7193B" w:rsidRPr="00FC6206">
        <w:t xml:space="preserve">was </w:t>
      </w:r>
      <w:r w:rsidR="00DA24DB" w:rsidRPr="00FC6206">
        <w:t>observed</w:t>
      </w:r>
      <w:r w:rsidR="00F56592">
        <w:t>, consistent with the trends in the more reliable data collated by the Aust</w:t>
      </w:r>
      <w:r w:rsidR="008404CD">
        <w:t>ralian Bureau of Statistics</w:t>
      </w:r>
      <w:r w:rsidR="009409DF" w:rsidRPr="00FC6206">
        <w:t>.</w:t>
      </w:r>
      <w:r w:rsidR="00DD303E">
        <w:t xml:space="preserve"> </w:t>
      </w:r>
      <w:r w:rsidR="00DD303E" w:rsidRPr="00FC6206">
        <w:t xml:space="preserve">Population levels of alcohol consumption in Australia have decreased over the </w:t>
      </w:r>
      <w:r w:rsidR="0071386D">
        <w:t>same period</w:t>
      </w:r>
      <w:r w:rsidR="00DD303E" w:rsidRPr="00FC6206">
        <w:t xml:space="preserve"> </w:t>
      </w:r>
      <w:r w:rsidR="00DD303E">
        <w:fldChar w:fldCharType="begin"/>
      </w:r>
      <w:r w:rsidR="00DD303E">
        <w:instrText xml:space="preserve"> ADDIN EN.CITE &lt;EndNote&gt;&lt;Cite&gt;&lt;Author&gt;Australian Bureau of Statistics&lt;/Author&gt;&lt;Year&gt;2015&lt;/Year&gt;&lt;RecNum&gt;306&lt;/RecNum&gt;&lt;DisplayText&gt;(Australian Bureau of Statistics, 2015)&lt;/DisplayText&gt;&lt;record&gt;&lt;rec-number&gt;306&lt;/rec-number&gt;&lt;foreign-keys&gt;&lt;key app="EN" db-id="rs9tpfev6ettzze20epxdx5od5x5sfv2vzf2" timestamp="1447640301"&gt;306&lt;/key&gt;&lt;/foreign-keys&gt;&lt;ref-type name="Report"&gt;27&lt;/ref-type&gt;&lt;contributors&gt;&lt;authors&gt;&lt;author&gt;Australian Bureau of Statistics,&lt;/author&gt;&lt;/authors&gt;&lt;/contributors&gt;&lt;titles&gt;&lt;title&gt;Apparent Consumption of Alcohol, Australia, 2013-14&lt;/title&gt;&lt;/titles&gt;&lt;dates&gt;&lt;year&gt;2015&lt;/year&gt;&lt;/dates&gt;&lt;pub-location&gt;Canberra&lt;/pub-location&gt;&lt;publisher&gt;Australian Bureau of Statistics&lt;/publisher&gt;&lt;urls&gt;&lt;/urls&gt;&lt;/record&gt;&lt;/Cite&gt;&lt;/EndNote&gt;</w:instrText>
      </w:r>
      <w:r w:rsidR="00DD303E">
        <w:fldChar w:fldCharType="separate"/>
      </w:r>
      <w:r w:rsidR="00DD303E">
        <w:rPr>
          <w:noProof/>
        </w:rPr>
        <w:t>(Australian Bureau of Statistics, 2015)</w:t>
      </w:r>
      <w:r w:rsidR="00DD303E">
        <w:fldChar w:fldCharType="end"/>
      </w:r>
      <w:r w:rsidR="00DD303E" w:rsidRPr="00FC6206">
        <w:t>.</w:t>
      </w:r>
      <w:r w:rsidR="009409DF" w:rsidRPr="00FC6206">
        <w:t xml:space="preserve"> According to analyses by Livingston and Dietze </w:t>
      </w:r>
      <w:r w:rsidR="009409DF" w:rsidRPr="00FC6206">
        <w:fldChar w:fldCharType="begin"/>
      </w:r>
      <w:r w:rsidR="009409DF" w:rsidRPr="00FC6206">
        <w:instrText xml:space="preserve"> ADDIN EN.CITE &lt;EndNote&gt;&lt;Cite ExcludeAuth="1"&gt;&lt;Author&gt;Livingston&lt;/Author&gt;&lt;Year&gt;2016&lt;/Year&gt;&lt;RecNum&gt;52&lt;/RecNum&gt;&lt;DisplayText&gt;(2016)&lt;/DisplayText&gt;&lt;record&gt;&lt;rec-number&gt;52&lt;/rec-number&gt;&lt;foreign-keys&gt;&lt;key app="EN" db-id="vwzawe2f7s9v24efaesvrdzh5v5fasxxf50x" timestamp="1458778425"&gt;52&lt;/key&gt;&lt;/foreign-keys&gt;&lt;ref-type name="Journal Article"&gt;17&lt;/ref-type&gt;&lt;contributors&gt;&lt;authors&gt;&lt;author&gt;Livingston, M.&lt;/author&gt;&lt;author&gt;Dietze, P.&lt;/author&gt;&lt;/authors&gt;&lt;/contributors&gt;&lt;titles&gt;&lt;title&gt;National survey data can be used to measure trends in population alcohol consumption in Australia&lt;/title&gt;&lt;secondary-title&gt;Australian and New Zealand Journal of Public Health&lt;/secondary-title&gt;&lt;/titles&gt;&lt;periodical&gt;&lt;full-title&gt;Australian and New Zealand Journal of Public Health&lt;/full-title&gt;&lt;/periodical&gt;&lt;volume&gt;in press. doi: 10.1111/1753-6405.12511&lt;/volume&gt;&lt;dates&gt;&lt;year&gt;2016&lt;/year&gt;&lt;/dates&gt;&lt;urls&gt;&lt;/urls&gt;&lt;/record&gt;&lt;/Cite&gt;&lt;/EndNote&gt;</w:instrText>
      </w:r>
      <w:r w:rsidR="009409DF" w:rsidRPr="00FC6206">
        <w:fldChar w:fldCharType="separate"/>
      </w:r>
      <w:r w:rsidR="009409DF" w:rsidRPr="00FC6206">
        <w:rPr>
          <w:noProof/>
        </w:rPr>
        <w:t>(2016)</w:t>
      </w:r>
      <w:r w:rsidR="009409DF" w:rsidRPr="00FC6206">
        <w:fldChar w:fldCharType="end"/>
      </w:r>
      <w:r w:rsidR="009409DF" w:rsidRPr="00FC6206">
        <w:t xml:space="preserve">, the increase </w:t>
      </w:r>
      <w:r w:rsidR="00F56592">
        <w:t>between 2001 and</w:t>
      </w:r>
      <w:r w:rsidR="00DA24DB" w:rsidRPr="00FC6206">
        <w:t xml:space="preserve"> </w:t>
      </w:r>
      <w:r w:rsidR="009409DF" w:rsidRPr="00FC6206">
        <w:t xml:space="preserve">2007 was largely driven by increases in drinking among middle-aged Australians, while the </w:t>
      </w:r>
      <w:r w:rsidR="006E4F59">
        <w:t xml:space="preserve">subsequent </w:t>
      </w:r>
      <w:r w:rsidR="009409DF" w:rsidRPr="00FC6206">
        <w:t xml:space="preserve">decline was largely driven by reductions in drinking among respondents under the age of 30. </w:t>
      </w:r>
      <w:r w:rsidR="00F42F80" w:rsidRPr="00FC6206">
        <w:t xml:space="preserve">Furthermore, we have seen an increase in reported abstention in the Australian data over time, from 16.6% in 2004 to 22.0% in 2013 </w:t>
      </w:r>
      <w:r w:rsidR="00F42F80" w:rsidRPr="00FC6206">
        <w:fldChar w:fldCharType="begin"/>
      </w:r>
      <w:r w:rsidR="00E8098B">
        <w:instrText xml:space="preserve"> ADDIN EN.CITE &lt;EndNote&gt;&lt;Cite&gt;&lt;Author&gt;Australian Institute of Health and Welfare&lt;/Author&gt;&lt;Year&gt;2014&lt;/Year&gt;&lt;RecNum&gt;53&lt;/RecNum&gt;&lt;DisplayText&gt;(Australian Institute of Health and Welfare, 2014b)&lt;/DisplayText&gt;&lt;record&gt;&lt;rec-number&gt;53&lt;/rec-number&gt;&lt;foreign-keys&gt;&lt;key app="EN" db-id="vwzawe2f7s9v24efaesvrdzh5v5fasxxf50x" timestamp="1458778858"&gt;53&lt;/key&gt;&lt;/foreign-keys&gt;&lt;ref-type name="Report"&gt;27&lt;/ref-type&gt;&lt;contributors&gt;&lt;authors&gt;&lt;author&gt;Australian Institute of Health and Welfare,&lt;/author&gt;&lt;/authors&gt;&lt;/contributors&gt;&lt;titles&gt;&lt;title&gt;National Drug Strategy Household Survey detailed report 2013. Drug statistic series no. 28. Cat. no. PHE 183&lt;/title&gt;&lt;/titles&gt;&lt;dates&gt;&lt;year&gt;2014&lt;/year&gt;&lt;/dates&gt;&lt;pub-location&gt;Canberra&lt;/pub-location&gt;&lt;publisher&gt;AIHW&lt;/publisher&gt;&lt;urls&gt;&lt;/urls&gt;&lt;/record&gt;&lt;/Cite&gt;&lt;/EndNote&gt;</w:instrText>
      </w:r>
      <w:r w:rsidR="00F42F80" w:rsidRPr="00FC6206">
        <w:fldChar w:fldCharType="separate"/>
      </w:r>
      <w:r w:rsidR="00E8098B">
        <w:rPr>
          <w:noProof/>
        </w:rPr>
        <w:t>(Australian Institute of Health and Welfare, 2014b)</w:t>
      </w:r>
      <w:r w:rsidR="00F42F80" w:rsidRPr="00FC6206">
        <w:fldChar w:fldCharType="end"/>
      </w:r>
      <w:r w:rsidR="00F42F80" w:rsidRPr="00FC6206">
        <w:t>.</w:t>
      </w:r>
      <w:r w:rsidR="00DD303E">
        <w:t xml:space="preserve"> </w:t>
      </w:r>
    </w:p>
    <w:p w14:paraId="283443D1" w14:textId="0F3E8FEA" w:rsidR="00EE3FE3" w:rsidRPr="00FC6206" w:rsidRDefault="00DA24DB" w:rsidP="00DA24DB">
      <w:pPr>
        <w:spacing w:after="200" w:line="360" w:lineRule="auto"/>
      </w:pPr>
      <w:r w:rsidRPr="00FC6206">
        <w:t xml:space="preserve">It is not clear what is driving </w:t>
      </w:r>
      <w:r w:rsidR="00A7193B" w:rsidRPr="00FC6206">
        <w:t xml:space="preserve">this decline </w:t>
      </w:r>
      <w:r w:rsidRPr="00FC6206">
        <w:t xml:space="preserve">in drinking in Australia, particularly among young people. </w:t>
      </w:r>
      <w:r w:rsidR="00DD303E">
        <w:rPr>
          <w:rFonts w:cs="Times New Roman"/>
        </w:rPr>
        <w:t xml:space="preserve">Focussing on </w:t>
      </w:r>
      <w:r w:rsidR="00A7193B" w:rsidRPr="00FC6206">
        <w:rPr>
          <w:rFonts w:cs="Times New Roman"/>
        </w:rPr>
        <w:t>teenagers, d</w:t>
      </w:r>
      <w:r w:rsidR="00D5693D" w:rsidRPr="00FC6206">
        <w:rPr>
          <w:rFonts w:cs="Times New Roman"/>
        </w:rPr>
        <w:t xml:space="preserve">eclining drinking trends </w:t>
      </w:r>
      <w:r w:rsidR="00A7193B" w:rsidRPr="00FC6206">
        <w:rPr>
          <w:rFonts w:cs="Times New Roman"/>
        </w:rPr>
        <w:t xml:space="preserve">appear </w:t>
      </w:r>
      <w:r w:rsidR="00D5693D" w:rsidRPr="00FC6206">
        <w:rPr>
          <w:rFonts w:cs="Times New Roman"/>
        </w:rPr>
        <w:t xml:space="preserve">consistent across socio-demographic groups, ethnic groups and geographic areas, and cannot be explained by changes in survey methodologies or substitution to other drug use </w:t>
      </w:r>
      <w:r w:rsidR="00D5693D" w:rsidRPr="00FC6206">
        <w:rPr>
          <w:rFonts w:cs="Times New Roman"/>
        </w:rPr>
        <w:fldChar w:fldCharType="begin"/>
      </w:r>
      <w:r w:rsidR="00D5693D" w:rsidRPr="00FC6206">
        <w:rPr>
          <w:rFonts w:cs="Times New Roman"/>
        </w:rPr>
        <w:instrText xml:space="preserve"> ADDIN EN.CITE &lt;EndNote&gt;&lt;Cite&gt;&lt;Author&gt;Livingston&lt;/Author&gt;&lt;Year&gt;2014&lt;/Year&gt;&lt;RecNum&gt;55&lt;/RecNum&gt;&lt;DisplayText&gt;(Livingston, 2014)&lt;/DisplayText&gt;&lt;record&gt;&lt;rec-number&gt;55&lt;/rec-number&gt;&lt;foreign-keys&gt;&lt;key app="EN" db-id="vwzawe2f7s9v24efaesvrdzh5v5fasxxf50x" timestamp="1458780242"&gt;55&lt;/key&gt;&lt;/foreign-keys&gt;&lt;ref-type name="Journal Article"&gt;17&lt;/ref-type&gt;&lt;contributors&gt;&lt;authors&gt;&lt;author&gt;Livingston, M.&lt;/author&gt;&lt;/authors&gt;&lt;/contributors&gt;&lt;titles&gt;&lt;title&gt;Trends in non-drinking among Australian adolescents&lt;/title&gt;&lt;secondary-title&gt;Addiction&lt;/secondary-title&gt;&lt;/titles&gt;&lt;periodical&gt;&lt;full-title&gt;Addiction&lt;/full-title&gt;&lt;/periodical&gt;&lt;pages&gt;922-929&lt;/pages&gt;&lt;volume&gt;109&lt;/volume&gt;&lt;number&gt;6&lt;/number&gt;&lt;dates&gt;&lt;year&gt;2014&lt;/year&gt;&lt;/dates&gt;&lt;urls&gt;&lt;/urls&gt;&lt;/record&gt;&lt;/Cite&gt;&lt;/EndNote&gt;</w:instrText>
      </w:r>
      <w:r w:rsidR="00D5693D" w:rsidRPr="00FC6206">
        <w:rPr>
          <w:rFonts w:cs="Times New Roman"/>
        </w:rPr>
        <w:fldChar w:fldCharType="separate"/>
      </w:r>
      <w:r w:rsidR="00D5693D" w:rsidRPr="00FC6206">
        <w:rPr>
          <w:rFonts w:cs="Times New Roman"/>
          <w:noProof/>
        </w:rPr>
        <w:t>(Livingston, 2014)</w:t>
      </w:r>
      <w:r w:rsidR="00D5693D" w:rsidRPr="00FC6206">
        <w:rPr>
          <w:rFonts w:cs="Times New Roman"/>
        </w:rPr>
        <w:fldChar w:fldCharType="end"/>
      </w:r>
      <w:r w:rsidR="00D5693D" w:rsidRPr="00FC6206">
        <w:rPr>
          <w:rFonts w:cs="Times New Roman"/>
        </w:rPr>
        <w:t>.</w:t>
      </w:r>
      <w:r w:rsidRPr="00FC6206">
        <w:t xml:space="preserve"> </w:t>
      </w:r>
      <w:r w:rsidR="00D5693D" w:rsidRPr="00FC6206">
        <w:t>Some theories that have been posited</w:t>
      </w:r>
      <w:r w:rsidR="00A7193B" w:rsidRPr="00FC6206">
        <w:t xml:space="preserve"> for decreases in drinking among young people</w:t>
      </w:r>
      <w:r w:rsidR="00D5693D" w:rsidRPr="00FC6206">
        <w:t xml:space="preserve"> include changes in</w:t>
      </w:r>
      <w:r w:rsidR="00A7193B" w:rsidRPr="00FC6206">
        <w:t>:</w:t>
      </w:r>
      <w:r w:rsidR="00D5693D" w:rsidRPr="00FC6206">
        <w:t xml:space="preserve"> policy or public health education, parental supply and modelling, the cultural position of alcohol</w:t>
      </w:r>
      <w:r w:rsidR="00A7193B" w:rsidRPr="00FC6206">
        <w:t>, or</w:t>
      </w:r>
      <w:r w:rsidR="00D5693D" w:rsidRPr="00FC6206">
        <w:t xml:space="preserve"> in the way young people spend their leisure time </w:t>
      </w:r>
      <w:r w:rsidRPr="00FC6206">
        <w:fldChar w:fldCharType="begin"/>
      </w:r>
      <w:r w:rsidRPr="00FC6206">
        <w:instrText xml:space="preserve"> ADDIN EN.CITE &lt;EndNote&gt;&lt;Cite&gt;&lt;Author&gt;Pennay&lt;/Author&gt;&lt;Year&gt;2015&lt;/Year&gt;&lt;RecNum&gt;54&lt;/RecNum&gt;&lt;DisplayText&gt;(Pennay, Livingston, &amp;amp; MacLean, 2015)&lt;/DisplayText&gt;&lt;record&gt;&lt;rec-number&gt;54&lt;/rec-number&gt;&lt;foreign-keys&gt;&lt;key app="EN" db-id="vwzawe2f7s9v24efaesvrdzh5v5fasxxf50x" timestamp="1458779205"&gt;54&lt;/key&gt;&lt;/foreign-keys&gt;&lt;ref-type name="Journal Article"&gt;17&lt;/ref-type&gt;&lt;contributors&gt;&lt;authors&gt;&lt;author&gt;Pennay, A.&lt;/author&gt;&lt;author&gt;Livingston, M.&lt;/author&gt;&lt;author&gt;MacLean, S.&lt;/author&gt;&lt;/authors&gt;&lt;/contributors&gt;&lt;titles&gt;&lt;title&gt;Young people are drinking less: It is time to find out why&lt;/title&gt;&lt;secondary-title&gt;Drug and Alcohol Review&lt;/secondary-title&gt;&lt;/titles&gt;&lt;periodical&gt;&lt;full-title&gt;Drug and Alcohol Review&lt;/full-title&gt;&lt;/periodical&gt;&lt;pages&gt;115–118&lt;/pages&gt;&lt;volume&gt;34&lt;/volume&gt;&lt;number&gt;2&lt;/number&gt;&lt;dates&gt;&lt;year&gt;2015&lt;/year&gt;&lt;/dates&gt;&lt;urls&gt;&lt;/urls&gt;&lt;/record&gt;&lt;/Cite&gt;&lt;/EndNote&gt;</w:instrText>
      </w:r>
      <w:r w:rsidRPr="00FC6206">
        <w:fldChar w:fldCharType="separate"/>
      </w:r>
      <w:r w:rsidRPr="00FC6206">
        <w:rPr>
          <w:noProof/>
        </w:rPr>
        <w:t>(Pennay, Livingston, &amp; MacLean, 2015)</w:t>
      </w:r>
      <w:r w:rsidRPr="00FC6206">
        <w:fldChar w:fldCharType="end"/>
      </w:r>
      <w:r w:rsidRPr="00FC6206">
        <w:t xml:space="preserve">. </w:t>
      </w:r>
      <w:r w:rsidR="00D5693D" w:rsidRPr="00FC6206">
        <w:t xml:space="preserve">However, these are simply hypothesised explanations, with </w:t>
      </w:r>
      <w:r w:rsidR="00F56592">
        <w:t xml:space="preserve">limited evidence for </w:t>
      </w:r>
      <w:r w:rsidR="008404CD">
        <w:t>each theory</w:t>
      </w:r>
      <w:r w:rsidR="00D5693D" w:rsidRPr="00FC6206">
        <w:t xml:space="preserve">. </w:t>
      </w:r>
    </w:p>
    <w:p w14:paraId="781A83E3" w14:textId="689DEEC6" w:rsidR="006623A9" w:rsidRPr="00FC6206" w:rsidRDefault="00D5693D" w:rsidP="00DA24DB">
      <w:pPr>
        <w:spacing w:after="200" w:line="360" w:lineRule="auto"/>
      </w:pPr>
      <w:r w:rsidRPr="00FC6206">
        <w:t>One potential explanation is that Australians are changing the way they drink</w:t>
      </w:r>
      <w:r w:rsidR="009409DF" w:rsidRPr="00FC6206">
        <w:t xml:space="preserve">. </w:t>
      </w:r>
      <w:r w:rsidR="006623A9" w:rsidRPr="00FC6206">
        <w:rPr>
          <w:rFonts w:cs="Times New Roman"/>
          <w:lang w:val="en-US"/>
        </w:rPr>
        <w:t xml:space="preserve">Over the past twenty years there has been increased attention </w:t>
      </w:r>
      <w:r w:rsidR="006E4F59">
        <w:rPr>
          <w:rFonts w:cs="Times New Roman"/>
          <w:lang w:val="en-US"/>
        </w:rPr>
        <w:t xml:space="preserve">paid </w:t>
      </w:r>
      <w:r w:rsidR="006623A9" w:rsidRPr="00FC6206">
        <w:rPr>
          <w:rFonts w:cs="Times New Roman"/>
          <w:lang w:val="en-US"/>
        </w:rPr>
        <w:t xml:space="preserve">to </w:t>
      </w:r>
      <w:r w:rsidR="006623A9" w:rsidRPr="00FC6206">
        <w:rPr>
          <w:rFonts w:cs="Times New Roman"/>
        </w:rPr>
        <w:t xml:space="preserve">health and fitness, with exercising, eating well and avoiding alcohol and other drugs </w:t>
      </w:r>
      <w:r w:rsidR="00A7193B" w:rsidRPr="00FC6206">
        <w:rPr>
          <w:rFonts w:cs="Times New Roman"/>
        </w:rPr>
        <w:t xml:space="preserve">reportedly </w:t>
      </w:r>
      <w:r w:rsidR="006623A9" w:rsidRPr="00FC6206">
        <w:rPr>
          <w:rFonts w:cs="Times New Roman"/>
        </w:rPr>
        <w:t xml:space="preserve">important concerns for many Australians in the context of their health and identity </w:t>
      </w:r>
      <w:r w:rsidR="006623A9" w:rsidRPr="00FC6206">
        <w:rPr>
          <w:rFonts w:cs="Times New Roman"/>
        </w:rPr>
        <w:fldChar w:fldCharType="begin"/>
      </w:r>
      <w:r w:rsidR="006623A9" w:rsidRPr="00FC6206">
        <w:rPr>
          <w:rFonts w:cs="Times New Roman"/>
        </w:rPr>
        <w:instrText xml:space="preserve"> ADDIN EN.CITE &lt;EndNote&gt;&lt;Cite&gt;&lt;Author&gt;Wyn&lt;/Author&gt;&lt;Year&gt;2009&lt;/Year&gt;&lt;RecNum&gt;56&lt;/RecNum&gt;&lt;DisplayText&gt;(Wyn, 2009)&lt;/DisplayText&gt;&lt;record&gt;&lt;rec-number&gt;56&lt;/rec-number&gt;&lt;foreign-keys&gt;&lt;key app="EN" db-id="vwzawe2f7s9v24efaesvrdzh5v5fasxxf50x" timestamp="1458781014"&gt;56&lt;/key&gt;&lt;/foreign-keys&gt;&lt;ref-type name="Journal Article"&gt;17&lt;/ref-type&gt;&lt;contributors&gt;&lt;authors&gt;&lt;author&gt;Wyn, J.&lt;/author&gt;&lt;/authors&gt;&lt;/contributors&gt;&lt;titles&gt;&lt;title&gt;Young people&amp;apos;s wellbeing: Contradictions in managing the healthy self&lt;/title&gt;&lt;secondary-title&gt;ACHPER Healthy Lifestyles Journal&lt;/secondary-title&gt;&lt;/titles&gt;&lt;periodical&gt;&lt;full-title&gt;ACHPER Healthy Lifestyles Journal&lt;/full-title&gt;&lt;/periodical&gt;&lt;pages&gt;5-9&lt;/pages&gt;&lt;volume&gt;56&lt;/volume&gt;&lt;number&gt;1&lt;/number&gt;&lt;dates&gt;&lt;year&gt;2009&lt;/year&gt;&lt;/dates&gt;&lt;urls&gt;&lt;/urls&gt;&lt;/record&gt;&lt;/Cite&gt;&lt;/EndNote&gt;</w:instrText>
      </w:r>
      <w:r w:rsidR="006623A9" w:rsidRPr="00FC6206">
        <w:rPr>
          <w:rFonts w:cs="Times New Roman"/>
        </w:rPr>
        <w:fldChar w:fldCharType="separate"/>
      </w:r>
      <w:r w:rsidR="006623A9" w:rsidRPr="00FC6206">
        <w:rPr>
          <w:rFonts w:cs="Times New Roman"/>
          <w:noProof/>
        </w:rPr>
        <w:t>(Wyn, 2009)</w:t>
      </w:r>
      <w:r w:rsidR="006623A9" w:rsidRPr="00FC6206">
        <w:rPr>
          <w:rFonts w:cs="Times New Roman"/>
        </w:rPr>
        <w:fldChar w:fldCharType="end"/>
      </w:r>
      <w:r w:rsidR="006623A9" w:rsidRPr="00FC6206">
        <w:rPr>
          <w:rFonts w:cs="Times New Roman"/>
        </w:rPr>
        <w:t>.</w:t>
      </w:r>
      <w:r w:rsidR="006623A9" w:rsidRPr="00FC6206">
        <w:t xml:space="preserve"> There has also been an increasing focus on shifting </w:t>
      </w:r>
      <w:r w:rsidR="00A7193B" w:rsidRPr="00FC6206">
        <w:t>‘</w:t>
      </w:r>
      <w:r w:rsidR="006623A9" w:rsidRPr="00FC6206">
        <w:t>drinking cultures</w:t>
      </w:r>
      <w:r w:rsidR="00A7193B" w:rsidRPr="00FC6206">
        <w:t>’</w:t>
      </w:r>
      <w:r w:rsidR="006623A9" w:rsidRPr="00FC6206">
        <w:t xml:space="preserve"> in public health education through promoting responsible or sensible drinking, as opposed to ‘binge’ or heavy drinking </w:t>
      </w:r>
      <w:r w:rsidR="006623A9" w:rsidRPr="00FC6206">
        <w:fldChar w:fldCharType="begin"/>
      </w:r>
      <w:r w:rsidR="006623A9" w:rsidRPr="00FC6206">
        <w:instrText xml:space="preserve"> ADDIN EN.CITE &lt;EndNote&gt;&lt;Cite&gt;&lt;Author&gt;Savic&lt;/Author&gt;&lt;Year&gt;2016&lt;/Year&gt;&lt;RecNum&gt;57&lt;/RecNum&gt;&lt;DisplayText&gt;(Savic, Room, Mugavin, Pennay, &amp;amp; Livingston, 2016)&lt;/DisplayText&gt;&lt;record&gt;&lt;rec-number&gt;57&lt;/rec-number&gt;&lt;foreign-keys&gt;&lt;key app="EN" db-id="vwzawe2f7s9v24efaesvrdzh5v5fasxxf50x" timestamp="1458781182"&gt;57&lt;/key&gt;&lt;/foreign-keys&gt;&lt;ref-type name="Journal Article"&gt;17&lt;/ref-type&gt;&lt;contributors&gt;&lt;authors&gt;&lt;author&gt;Savic, M.&lt;/author&gt;&lt;author&gt;Room, R.&lt;/author&gt;&lt;author&gt;Mugavin, J.&lt;/author&gt;&lt;author&gt;Pennay, A.&lt;/author&gt;&lt;author&gt;Livingston, M.&lt;/author&gt;&lt;/authors&gt;&lt;/contributors&gt;&lt;titles&gt;&lt;title&gt;Defining “drinking culture”: a critical review of its meaning and connotation in social research on alcohol problems&lt;/title&gt;&lt;secondary-title&gt;Drugs: education, prevention and policy&lt;/secondary-title&gt;&lt;/titles&gt;&lt;periodical&gt;&lt;full-title&gt;Drugs: education, prevention and policy&lt;/full-title&gt;&lt;/periodical&gt;&lt;volume&gt;in press&lt;/volume&gt;&lt;dates&gt;&lt;year&gt;2016&lt;/year&gt;&lt;/dates&gt;&lt;urls&gt;&lt;/urls&gt;&lt;/record&gt;&lt;/Cite&gt;&lt;/EndNote&gt;</w:instrText>
      </w:r>
      <w:r w:rsidR="006623A9" w:rsidRPr="00FC6206">
        <w:fldChar w:fldCharType="separate"/>
      </w:r>
      <w:r w:rsidR="006623A9" w:rsidRPr="00FC6206">
        <w:rPr>
          <w:noProof/>
        </w:rPr>
        <w:t>(Savic, Room, Mugavin, Pennay, &amp; Livingston, 2016)</w:t>
      </w:r>
      <w:r w:rsidR="006623A9" w:rsidRPr="00FC6206">
        <w:fldChar w:fldCharType="end"/>
      </w:r>
      <w:r w:rsidR="006623A9" w:rsidRPr="00FC6206">
        <w:t xml:space="preserve">. </w:t>
      </w:r>
      <w:r w:rsidR="00A7193B" w:rsidRPr="00FC6206">
        <w:t>Therefore, i</w:t>
      </w:r>
      <w:r w:rsidR="006623A9" w:rsidRPr="00FC6206">
        <w:t>t may be that what is driving reductions in drinking across the population is a shift from heavy drinking to more moderate levels of drinking. Alternatively, it could be that this shift is solely being driven by increasing abstention rates</w:t>
      </w:r>
      <w:r w:rsidR="00F42F80" w:rsidRPr="00FC6206">
        <w:t>.</w:t>
      </w:r>
      <w:r w:rsidR="006623A9" w:rsidRPr="00FC6206">
        <w:t xml:space="preserve"> </w:t>
      </w:r>
    </w:p>
    <w:p w14:paraId="0F8C2134" w14:textId="704DFF2A" w:rsidR="00EE62E6" w:rsidRPr="00FC6206" w:rsidRDefault="00EE62E6" w:rsidP="00DA24DB">
      <w:pPr>
        <w:spacing w:after="200" w:line="360" w:lineRule="auto"/>
      </w:pPr>
      <w:r w:rsidRPr="00FC6206">
        <w:t>There has been very little research around the world exploring the way in which drinkers self-identify and whether these categories are meaningfully related to actual drinking practices. To our knowledge</w:t>
      </w:r>
      <w:r w:rsidR="005E606B">
        <w:t>,</w:t>
      </w:r>
      <w:r w:rsidRPr="00FC6206">
        <w:t xml:space="preserve"> </w:t>
      </w:r>
      <w:r w:rsidR="009F2FBC" w:rsidRPr="00FC6206">
        <w:t xml:space="preserve">current </w:t>
      </w:r>
      <w:r w:rsidRPr="00FC6206">
        <w:t>US and European national survey</w:t>
      </w:r>
      <w:r w:rsidR="009F2FBC" w:rsidRPr="00FC6206">
        <w:t>s</w:t>
      </w:r>
      <w:r w:rsidRPr="00FC6206">
        <w:t xml:space="preserve"> do not include questions about how drinkers </w:t>
      </w:r>
      <w:r w:rsidRPr="00FC6206">
        <w:lastRenderedPageBreak/>
        <w:t xml:space="preserve">self-categorise. There have been two studies from the US exploring how self-identification as light, moderate and heavy drinkers differ with respect to quantity and frequency of drinking, but </w:t>
      </w:r>
      <w:proofErr w:type="gramStart"/>
      <w:r w:rsidRPr="00FC6206">
        <w:t>both of these</w:t>
      </w:r>
      <w:proofErr w:type="gramEnd"/>
      <w:r w:rsidRPr="00FC6206">
        <w:t xml:space="preserve"> studies are more than twenty years old. Drawing on survey data from a US community sample (n=415), Abel and Kruger </w:t>
      </w:r>
      <w:r w:rsidRPr="00FC6206">
        <w:fldChar w:fldCharType="begin"/>
      </w:r>
      <w:r w:rsidRPr="00FC6206">
        <w:instrText xml:space="preserve"> ADDIN EN.CITE &lt;EndNote&gt;&lt;Cite ExcludeAuth="1"&gt;&lt;Author&gt;Abel&lt;/Author&gt;&lt;Year&gt;1995&lt;/Year&gt;&lt;RecNum&gt;51&lt;/RecNum&gt;&lt;DisplayText&gt;(1995)&lt;/DisplayText&gt;&lt;record&gt;&lt;rec-number&gt;51&lt;/rec-number&gt;&lt;foreign-keys&gt;&lt;key app="EN" db-id="vwzawe2f7s9v24efaesvrdzh5v5fasxxf50x" timestamp="1458777166"&gt;51&lt;/key&gt;&lt;/foreign-keys&gt;&lt;ref-type name="Journal Article"&gt;17&lt;/ref-type&gt;&lt;contributors&gt;&lt;authors&gt;&lt;author&gt;Abel, E.L.&lt;/author&gt;&lt;author&gt;Kruger, M.L.&lt;/author&gt;&lt;/authors&gt;&lt;/contributors&gt;&lt;titles&gt;&lt;title&gt;Hon v. Stroh Brewery Company: What Do We Mean by “Moderate” and “Heavy” Drinking?&lt;/title&gt;&lt;secondary-title&gt;Alcoholism: Clinical and Experimental Research&lt;/secondary-title&gt;&lt;/titles&gt;&lt;periodical&gt;&lt;full-title&gt;Alcoholism: Clinical and Experimental Research&lt;/full-title&gt;&lt;/periodical&gt;&lt;pages&gt;1024-1031&lt;/pages&gt;&lt;volume&gt;19&lt;/volume&gt;&lt;number&gt;4&lt;/number&gt;&lt;dates&gt;&lt;year&gt;1995&lt;/year&gt;&lt;/dates&gt;&lt;urls&gt;&lt;/urls&gt;&lt;/record&gt;&lt;/Cite&gt;&lt;/EndNote&gt;</w:instrText>
      </w:r>
      <w:r w:rsidRPr="00FC6206">
        <w:fldChar w:fldCharType="separate"/>
      </w:r>
      <w:r w:rsidRPr="00FC6206">
        <w:rPr>
          <w:noProof/>
        </w:rPr>
        <w:t>(1995)</w:t>
      </w:r>
      <w:r w:rsidRPr="00FC6206">
        <w:fldChar w:fldCharType="end"/>
      </w:r>
      <w:r w:rsidRPr="00FC6206">
        <w:t xml:space="preserve"> found that drinking categories were conceptually defined in terms of quantity of drinking, with light drinking operationally defined by respondents as 1.2-1.4 drinks per day, moderate drinking defined as 2.5-3.6 drinks per day and heavy drinking defined as 3.7 drinks per day and above. These ranges</w:t>
      </w:r>
      <w:r w:rsidR="005E606B">
        <w:t>,</w:t>
      </w:r>
      <w:r w:rsidRPr="00FC6206">
        <w:t xml:space="preserve"> however, differed depending on socio-demographic characteristics such as gender and age, with males and older people having higher thresholds for moderate and heavy drinking. </w:t>
      </w:r>
    </w:p>
    <w:p w14:paraId="0DE27C58" w14:textId="71B5A368" w:rsidR="009C6DE6" w:rsidRDefault="005D0122" w:rsidP="00DA24DB">
      <w:pPr>
        <w:spacing w:after="200" w:line="360" w:lineRule="auto"/>
      </w:pPr>
      <w:r>
        <w:t>A</w:t>
      </w:r>
      <w:r w:rsidR="00EE62E6" w:rsidRPr="00FC6206">
        <w:t xml:space="preserve"> second </w:t>
      </w:r>
      <w:r w:rsidR="00EA27E2" w:rsidRPr="00FC6206">
        <w:t xml:space="preserve">US </w:t>
      </w:r>
      <w:r w:rsidR="00EE62E6" w:rsidRPr="00FC6206">
        <w:t>study</w:t>
      </w:r>
      <w:r>
        <w:t xml:space="preserve"> examined</w:t>
      </w:r>
      <w:r w:rsidRPr="00FC6206">
        <w:t xml:space="preserve"> </w:t>
      </w:r>
      <w:r w:rsidR="009C6DE6" w:rsidRPr="00FC6206">
        <w:t xml:space="preserve">the self-rating drinking habits of </w:t>
      </w:r>
      <w:r w:rsidR="00500D2B" w:rsidRPr="00FC6206">
        <w:t>1</w:t>
      </w:r>
      <w:r w:rsidR="00EA27E2" w:rsidRPr="00FC6206">
        <w:t>50</w:t>
      </w:r>
      <w:r w:rsidR="00500D2B" w:rsidRPr="00FC6206">
        <w:t xml:space="preserve"> </w:t>
      </w:r>
      <w:r w:rsidR="00D40B48" w:rsidRPr="00FC6206">
        <w:t>‘high-functioning middle aged-men’</w:t>
      </w:r>
      <w:r w:rsidR="00EA27E2" w:rsidRPr="00FC6206">
        <w:t xml:space="preserve"> who did not qualify as having alcohol abuse or dependence as measured by the DSM-III</w:t>
      </w:r>
      <w:r w:rsidR="00D40B48" w:rsidRPr="00FC6206">
        <w:t xml:space="preserve"> </w:t>
      </w:r>
      <w:r w:rsidRPr="00FC6206">
        <w:fldChar w:fldCharType="begin"/>
      </w:r>
      <w:r w:rsidR="003375FF">
        <w:instrText xml:space="preserve"> ADDIN EN.CITE &lt;EndNote&gt;&lt;Cite&gt;&lt;Author&gt;Daeppen&lt;/Author&gt;&lt;Year&gt;1999&lt;/Year&gt;&lt;RecNum&gt;48&lt;/RecNum&gt;&lt;DisplayText&gt;(Daeppen, Smith, &amp;amp; Schuckit, 1999)&lt;/DisplayText&gt;&lt;record&gt;&lt;rec-number&gt;48&lt;/rec-number&gt;&lt;foreign-keys&gt;&lt;key app="EN" db-id="vwzawe2f7s9v24efaesvrdzh5v5fasxxf50x" timestamp="1458772277"&gt;48&lt;/key&gt;&lt;/foreign-keys&gt;&lt;ref-type name="Journal Article"&gt;17&lt;/ref-type&gt;&lt;contributors&gt;&lt;authors&gt;&lt;author&gt;Daeppen, J.B.&lt;/author&gt;&lt;author&gt;Smith, T.L.&lt;/author&gt;&lt;author&gt;Schuckit, M.A.&lt;/author&gt;&lt;/authors&gt;&lt;/contributors&gt;&lt;titles&gt;&lt;title&gt;How would you label your own drinking pattern overall? An evaluation of answers provided by 181 high funcgtioning middle-aged men&lt;/title&gt;&lt;secondary-title&gt;Alcohol and Alcoholism&lt;/secondary-title&gt;&lt;/titles&gt;&lt;periodical&gt;&lt;full-title&gt;Alcohol and Alcoholism&lt;/full-title&gt;&lt;/periodical&gt;&lt;pages&gt;767-772&lt;/pages&gt;&lt;volume&gt;34&lt;/volume&gt;&lt;number&gt;5&lt;/number&gt;&lt;dates&gt;&lt;year&gt;1999&lt;/year&gt;&lt;/dates&gt;&lt;urls&gt;&lt;/urls&gt;&lt;/record&gt;&lt;/Cite&gt;&lt;/EndNote&gt;</w:instrText>
      </w:r>
      <w:r w:rsidRPr="00FC6206">
        <w:fldChar w:fldCharType="separate"/>
      </w:r>
      <w:r w:rsidR="003375FF">
        <w:rPr>
          <w:noProof/>
        </w:rPr>
        <w:t>(Daeppen, Smith, &amp; Schuckit, 1999)</w:t>
      </w:r>
      <w:r w:rsidRPr="00FC6206">
        <w:fldChar w:fldCharType="end"/>
      </w:r>
      <w:r>
        <w:t xml:space="preserve"> and</w:t>
      </w:r>
      <w:r w:rsidRPr="00FC6206">
        <w:t xml:space="preserve"> </w:t>
      </w:r>
      <w:r w:rsidR="00EA27E2" w:rsidRPr="00FC6206">
        <w:t xml:space="preserve">reported that </w:t>
      </w:r>
      <w:r w:rsidR="00D40B48" w:rsidRPr="00FC6206">
        <w:t xml:space="preserve">most identified as infrequent drinkers (67%), followed by moderate drinkers (28%), non-drinkers (3%) and heavy drinkers (1%). </w:t>
      </w:r>
      <w:r w:rsidR="00500D2B" w:rsidRPr="00FC6206">
        <w:t xml:space="preserve">Infrequent drinkers reported </w:t>
      </w:r>
      <w:r w:rsidR="00EA27E2" w:rsidRPr="00FC6206">
        <w:t xml:space="preserve">consuming </w:t>
      </w:r>
      <w:r w:rsidR="00500D2B" w:rsidRPr="00FC6206">
        <w:t>an average of 1.6 drinks on an occasion and drinking 6.3 days per month, moderate drinkers reported an average of 2</w:t>
      </w:r>
      <w:r w:rsidR="002B780C" w:rsidRPr="00FC6206">
        <w:t>.0</w:t>
      </w:r>
      <w:r w:rsidR="00500D2B" w:rsidRPr="00FC6206">
        <w:t xml:space="preserve"> drinks per occasion and drinking 16.3 days per month and heavy </w:t>
      </w:r>
      <w:r w:rsidR="002B780C" w:rsidRPr="00FC6206">
        <w:t xml:space="preserve">drinkers </w:t>
      </w:r>
      <w:r w:rsidR="00500D2B" w:rsidRPr="00FC6206">
        <w:t>also reported drinking 2</w:t>
      </w:r>
      <w:r w:rsidR="002B780C" w:rsidRPr="00FC6206">
        <w:t>.0</w:t>
      </w:r>
      <w:r w:rsidR="00500D2B" w:rsidRPr="00FC6206">
        <w:t xml:space="preserve"> drinks per occasion</w:t>
      </w:r>
      <w:r w:rsidR="00807AD9" w:rsidRPr="00FC6206">
        <w:t>, but</w:t>
      </w:r>
      <w:r w:rsidR="00500D2B" w:rsidRPr="00FC6206">
        <w:t xml:space="preserve"> on 27.5 days per month. Given the similarity in number of drinks </w:t>
      </w:r>
      <w:r w:rsidR="002B780C" w:rsidRPr="00FC6206">
        <w:t>across t</w:t>
      </w:r>
      <w:r w:rsidR="00EA27E2" w:rsidRPr="00FC6206">
        <w:t>he</w:t>
      </w:r>
      <w:r w:rsidR="00A7193B" w:rsidRPr="00FC6206">
        <w:t>se</w:t>
      </w:r>
      <w:r w:rsidR="00EA27E2" w:rsidRPr="00FC6206">
        <w:t xml:space="preserve"> three groups, it appears from this study</w:t>
      </w:r>
      <w:r w:rsidR="002B780C" w:rsidRPr="00FC6206">
        <w:t xml:space="preserve"> that self-definition of drinking type was related to frequency of drinking </w:t>
      </w:r>
      <w:r w:rsidR="00FD4965" w:rsidRPr="00FC6206">
        <w:t xml:space="preserve">rather </w:t>
      </w:r>
      <w:r w:rsidR="002B780C" w:rsidRPr="00FC6206">
        <w:t xml:space="preserve">than quantity of drinking. Even when looking at maximum number of drinks per day, there was little difference </w:t>
      </w:r>
      <w:r w:rsidR="00A7193B" w:rsidRPr="00FC6206">
        <w:t xml:space="preserve">across </w:t>
      </w:r>
      <w:r w:rsidR="002B780C" w:rsidRPr="00FC6206">
        <w:t xml:space="preserve">the three groups, with moderate drinkers (6.9) reporting greater maximum drinks per day than heavy drinkers (6.5), but heavy drinkers reporting more maximum drinking days per month (30.0 vs 21.3). </w:t>
      </w:r>
      <w:r w:rsidR="006E4F59">
        <w:t xml:space="preserve">Please note that the definition of a drink in </w:t>
      </w:r>
      <w:proofErr w:type="gramStart"/>
      <w:r w:rsidR="006E4F59">
        <w:t>both of these</w:t>
      </w:r>
      <w:proofErr w:type="gramEnd"/>
      <w:r w:rsidR="006E4F59">
        <w:t xml:space="preserve"> studies seems roughly equivalent to an Australian Standard Drink (ASD; 10grams of pure alcohol).</w:t>
      </w:r>
    </w:p>
    <w:p w14:paraId="1C5EBF51" w14:textId="04E8BDDF" w:rsidR="00984AA2" w:rsidRPr="00FC6206" w:rsidRDefault="00984AA2" w:rsidP="00DA24DB">
      <w:pPr>
        <w:spacing w:after="200" w:line="360" w:lineRule="auto"/>
      </w:pPr>
      <w:r w:rsidRPr="00FC6206">
        <w:t xml:space="preserve">The </w:t>
      </w:r>
      <w:r w:rsidR="005E606B">
        <w:t xml:space="preserve">Australian </w:t>
      </w:r>
      <w:r w:rsidRPr="00FC6206">
        <w:t>NDSHS uses detailed quantity and frequency measures t</w:t>
      </w:r>
      <w:r w:rsidR="00543553">
        <w:t>hat</w:t>
      </w:r>
      <w:r w:rsidRPr="00FC6206">
        <w:t xml:space="preserve"> enable us to explore </w:t>
      </w:r>
      <w:r w:rsidR="005E606B">
        <w:t>changes in alcohol consumption at a population level</w:t>
      </w:r>
      <w:r w:rsidRPr="00FC6206">
        <w:t xml:space="preserve">, but also asks a question about how individuals self-categorise </w:t>
      </w:r>
      <w:r w:rsidR="002049CF">
        <w:t>by</w:t>
      </w:r>
      <w:r w:rsidRPr="00FC6206">
        <w:t xml:space="preserve"> drinker type. The response options include non-drinker, ex-drinker, occasional drinker, light drinker, social drinker, heavy drinker and binge drinker. Along with looking at changes in patterns of consumption, analysing change over time in these drinker types, particularly with respect to how they correlate with drinking patterns, might shed light on what is driving reductions in population levels of drinking. </w:t>
      </w:r>
      <w:r w:rsidR="008C225C">
        <w:t>E</w:t>
      </w:r>
      <w:r w:rsidRPr="00FC6206">
        <w:t>xploring whether binge or social drinking has increased or decreased, and if so, which socio-demographic groups are changing the ways in which they self-identify, might highlight which sociological or public health theories suggested above have more merit in explaining what factors are driving reductions in drinking</w:t>
      </w:r>
      <w:r w:rsidR="005E606B">
        <w:t xml:space="preserve"> in Australia</w:t>
      </w:r>
      <w:r w:rsidRPr="00FC6206">
        <w:t>.</w:t>
      </w:r>
      <w:r w:rsidR="008C225C">
        <w:t xml:space="preserve">  For example, a drop </w:t>
      </w:r>
      <w:r w:rsidR="008C225C">
        <w:lastRenderedPageBreak/>
        <w:t xml:space="preserve">in self-described binge drinking may be a reflection of a genuine drop in heavy episodic drinking </w:t>
      </w:r>
      <w:proofErr w:type="gramStart"/>
      <w:r w:rsidR="008C225C">
        <w:t>or  a</w:t>
      </w:r>
      <w:proofErr w:type="gramEnd"/>
      <w:r w:rsidR="008C225C">
        <w:t xml:space="preserve"> shift in the way that Australians are viewing binge drinking.  </w:t>
      </w:r>
      <w:proofErr w:type="gramStart"/>
      <w:r w:rsidR="008C225C">
        <w:t>Alternatively</w:t>
      </w:r>
      <w:proofErr w:type="gramEnd"/>
      <w:r w:rsidR="008C225C">
        <w:t xml:space="preserve"> a reduction in social drinking may indicate that those who drink in social situations (or at least view themselves that way) are more happy not to do so, or again, that the way in which we view social drinking may be changing. </w:t>
      </w:r>
    </w:p>
    <w:p w14:paraId="44C8F524" w14:textId="43894A9A" w:rsidR="00EA27E2" w:rsidRPr="00FC6206" w:rsidRDefault="00EA27E2" w:rsidP="00EA27E2">
      <w:pPr>
        <w:spacing w:after="200" w:line="360" w:lineRule="auto"/>
      </w:pPr>
      <w:r w:rsidRPr="00FC6206">
        <w:t>This paper attempts to address t</w:t>
      </w:r>
      <w:r w:rsidR="00D83E67">
        <w:t>hree</w:t>
      </w:r>
      <w:r w:rsidRPr="00FC6206">
        <w:t xml:space="preserve"> inter-related research questions. </w:t>
      </w:r>
    </w:p>
    <w:p w14:paraId="6C713041" w14:textId="444316F8" w:rsidR="00EA27E2" w:rsidRPr="00FC6206" w:rsidRDefault="009C6DE6" w:rsidP="00EA27E2">
      <w:pPr>
        <w:pStyle w:val="ListParagraph"/>
        <w:numPr>
          <w:ilvl w:val="0"/>
          <w:numId w:val="3"/>
        </w:numPr>
        <w:spacing w:after="200" w:line="360" w:lineRule="auto"/>
      </w:pPr>
      <w:r w:rsidRPr="00FC6206">
        <w:t xml:space="preserve">How do </w:t>
      </w:r>
      <w:r w:rsidR="00EA27E2" w:rsidRPr="00FC6206">
        <w:t xml:space="preserve">NDSHS participants </w:t>
      </w:r>
      <w:r w:rsidR="00807AD9" w:rsidRPr="00FC6206">
        <w:t>self-</w:t>
      </w:r>
      <w:r w:rsidRPr="00FC6206">
        <w:t>identify in terms of drinking categories</w:t>
      </w:r>
      <w:r w:rsidR="00EA27E2" w:rsidRPr="00FC6206">
        <w:t>,</w:t>
      </w:r>
      <w:r w:rsidRPr="00FC6206">
        <w:t xml:space="preserve"> and how does this correlate with their actual drinking patterns?</w:t>
      </w:r>
    </w:p>
    <w:p w14:paraId="4D552712" w14:textId="77777777" w:rsidR="002B780C" w:rsidRDefault="009C6DE6" w:rsidP="00EA27E2">
      <w:pPr>
        <w:pStyle w:val="ListParagraph"/>
        <w:numPr>
          <w:ilvl w:val="0"/>
          <w:numId w:val="3"/>
        </w:numPr>
        <w:spacing w:after="200" w:line="360" w:lineRule="auto"/>
      </w:pPr>
      <w:r w:rsidRPr="00FC6206">
        <w:t xml:space="preserve">What are the changes over time in </w:t>
      </w:r>
      <w:r w:rsidR="00EA27E2" w:rsidRPr="00FC6206">
        <w:t xml:space="preserve">these </w:t>
      </w:r>
      <w:r w:rsidRPr="00FC6206">
        <w:t xml:space="preserve">drinking categories </w:t>
      </w:r>
      <w:r w:rsidR="00EA27E2" w:rsidRPr="00FC6206">
        <w:t xml:space="preserve">(2001-2013) </w:t>
      </w:r>
      <w:r w:rsidRPr="00FC6206">
        <w:t xml:space="preserve">and what can this tell us about falling population levels of consumption in Australia? </w:t>
      </w:r>
    </w:p>
    <w:p w14:paraId="6FC8B5CD" w14:textId="7419D8F8" w:rsidR="008C225C" w:rsidRPr="00FC6206" w:rsidRDefault="008C225C" w:rsidP="00EA27E2">
      <w:pPr>
        <w:pStyle w:val="ListParagraph"/>
        <w:numPr>
          <w:ilvl w:val="0"/>
          <w:numId w:val="3"/>
        </w:numPr>
        <w:spacing w:after="200" w:line="360" w:lineRule="auto"/>
      </w:pPr>
      <w:r>
        <w:t>Are any changes over time in these categories a reflection of changing patterns of consumption or a shift in how these terms are used?</w:t>
      </w:r>
    </w:p>
    <w:p w14:paraId="4F8396AE" w14:textId="77777777" w:rsidR="00A01425" w:rsidRPr="00FC6206" w:rsidRDefault="00A01425" w:rsidP="00A01425">
      <w:pPr>
        <w:pStyle w:val="Heading1"/>
        <w:rPr>
          <w:rFonts w:asciiTheme="minorHAnsi" w:hAnsiTheme="minorHAnsi"/>
          <w:sz w:val="22"/>
          <w:szCs w:val="22"/>
        </w:rPr>
      </w:pPr>
      <w:r w:rsidRPr="00FC6206">
        <w:rPr>
          <w:rFonts w:asciiTheme="minorHAnsi" w:hAnsiTheme="minorHAnsi"/>
          <w:sz w:val="22"/>
          <w:szCs w:val="22"/>
        </w:rPr>
        <w:t>Method</w:t>
      </w:r>
    </w:p>
    <w:p w14:paraId="06386463" w14:textId="77777777" w:rsidR="00A01425" w:rsidRPr="00FC6206" w:rsidRDefault="00A01425" w:rsidP="00A01425">
      <w:pPr>
        <w:pStyle w:val="Heading2"/>
        <w:spacing w:before="120"/>
        <w:rPr>
          <w:rFonts w:asciiTheme="minorHAnsi" w:hAnsiTheme="minorHAnsi"/>
          <w:sz w:val="22"/>
          <w:szCs w:val="22"/>
        </w:rPr>
      </w:pPr>
      <w:bookmarkStart w:id="1" w:name="_Toc329080979"/>
      <w:r w:rsidRPr="00FC6206">
        <w:rPr>
          <w:rFonts w:asciiTheme="minorHAnsi" w:hAnsiTheme="minorHAnsi"/>
          <w:sz w:val="22"/>
          <w:szCs w:val="22"/>
        </w:rPr>
        <w:t>Sample</w:t>
      </w:r>
      <w:bookmarkEnd w:id="1"/>
    </w:p>
    <w:p w14:paraId="0800A147" w14:textId="1ED3C666" w:rsidR="00896F59" w:rsidRDefault="00A01425" w:rsidP="005B342A">
      <w:pPr>
        <w:spacing w:after="120" w:line="360" w:lineRule="auto"/>
      </w:pPr>
      <w:r w:rsidRPr="00FC6206">
        <w:t xml:space="preserve">The sample consisted of respondents </w:t>
      </w:r>
      <w:r w:rsidR="009A6FC8">
        <w:t>from</w:t>
      </w:r>
      <w:r w:rsidRPr="00FC6206">
        <w:t xml:space="preserve"> the National Drug Strategy Household Survey (formerly the National Drug Survey) </w:t>
      </w:r>
      <w:r w:rsidR="005E606B">
        <w:t xml:space="preserve">between the years </w:t>
      </w:r>
      <w:r w:rsidR="00600603">
        <w:t>2001</w:t>
      </w:r>
      <w:r w:rsidR="00D83E67">
        <w:t xml:space="preserve"> and </w:t>
      </w:r>
      <w:r w:rsidRPr="00FC6206">
        <w:t>2013. All NDSHS surveys were administered with a multistage stratified area random sample design.</w:t>
      </w:r>
      <w:r w:rsidR="006A490B">
        <w:t xml:space="preserve">  Sampling </w:t>
      </w:r>
      <w:r w:rsidR="00724B73">
        <w:t xml:space="preserve">occurred at the </w:t>
      </w:r>
      <w:r w:rsidR="006A490B">
        <w:t>household</w:t>
      </w:r>
      <w:r w:rsidR="00724B73">
        <w:t xml:space="preserve"> level</w:t>
      </w:r>
      <w:r w:rsidR="006A490B">
        <w:t xml:space="preserve"> so some segments of the population, for example homeless or institutionalised, are excluded.</w:t>
      </w:r>
      <w:r w:rsidRPr="00FC6206">
        <w:t xml:space="preserve">  Smaller states were oversampled to ensure high enough sample</w:t>
      </w:r>
      <w:r w:rsidR="009A6FC8">
        <w:t xml:space="preserve"> sizes for </w:t>
      </w:r>
      <w:proofErr w:type="gramStart"/>
      <w:r w:rsidR="009A6FC8">
        <w:t>state based</w:t>
      </w:r>
      <w:proofErr w:type="gramEnd"/>
      <w:r w:rsidR="009A6FC8">
        <w:t xml:space="preserve"> analyses</w:t>
      </w:r>
      <w:r w:rsidRPr="00FC6206">
        <w:t xml:space="preserve">. </w:t>
      </w:r>
      <w:r w:rsidR="000C73F5">
        <w:t xml:space="preserve">Response rates for each survey are shown in Table 1.  It is worth noting that while the response rate is relatively low on an international scale, it </w:t>
      </w:r>
      <w:r w:rsidR="009A6FC8">
        <w:t xml:space="preserve">above average </w:t>
      </w:r>
      <w:r w:rsidR="000C73F5">
        <w:t xml:space="preserve">in an Australian context and has been shown to reflect changes in per-capita consumption (Livingston &amp; Dietze, 2016). </w:t>
      </w:r>
      <w:r w:rsidR="00896F59">
        <w:t xml:space="preserve">Respondents used in this study were aged 18 and over.  </w:t>
      </w:r>
      <w:r w:rsidRPr="00FC6206">
        <w:t xml:space="preserve">Further details of the survey methodologies are available in the NDSHS survey reports </w:t>
      </w:r>
      <w:r w:rsidR="00E8098B">
        <w:fldChar w:fldCharType="begin">
          <w:fldData xml:space="preserve">PEVuZE5vdGU+PENpdGU+PEF1dGhvcj5BdXN0cmFsaWFuIEluc3RpdHV0ZSBvZiBIZWFsdGggYW5k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==
</w:fldData>
        </w:fldChar>
      </w:r>
      <w:r w:rsidR="00E8098B">
        <w:instrText xml:space="preserve"> ADDIN EN.CITE </w:instrText>
      </w:r>
      <w:r w:rsidR="00E8098B">
        <w:fldChar w:fldCharType="begin">
          <w:fldData xml:space="preserve">PEVuZE5vdGU+PENpdGU+PEF1dGhvcj5BdXN0cmFsaWFuIEluc3RpdHV0ZSBvZiBIZWFsdGggYW5k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==
</w:fldData>
        </w:fldChar>
      </w:r>
      <w:r w:rsidR="00E8098B">
        <w:instrText xml:space="preserve"> ADDIN EN.CITE.DATA </w:instrText>
      </w:r>
      <w:r w:rsidR="00E8098B">
        <w:fldChar w:fldCharType="end"/>
      </w:r>
      <w:r w:rsidR="00E8098B">
        <w:fldChar w:fldCharType="separate"/>
      </w:r>
      <w:r w:rsidR="00E8098B">
        <w:rPr>
          <w:noProof/>
        </w:rPr>
        <w:t>(Australian Institute of Health and Welfare, 2002, 2005, 2008, 2011, 2014a)</w:t>
      </w:r>
      <w:r w:rsidR="00E8098B">
        <w:fldChar w:fldCharType="end"/>
      </w:r>
      <w:r w:rsidRPr="00FC6206">
        <w:t xml:space="preserve">.  </w:t>
      </w:r>
    </w:p>
    <w:p w14:paraId="3C6FCEE8" w14:textId="333E8F6E" w:rsidR="00A01425" w:rsidRPr="00FC6206" w:rsidRDefault="00EB38BC" w:rsidP="005B342A">
      <w:pPr>
        <w:spacing w:after="120" w:line="360" w:lineRule="auto"/>
      </w:pPr>
      <w:r w:rsidRPr="00FC6206">
        <w:t>Table 1</w:t>
      </w:r>
      <w:r w:rsidR="000C73F5">
        <w:t xml:space="preserve"> </w:t>
      </w:r>
      <w:r w:rsidRPr="00FC6206">
        <w:t xml:space="preserve">shows the number of participants included in the current study from each survey from 2001 to 2013. </w:t>
      </w:r>
      <w:r w:rsidR="00A01425" w:rsidRPr="00FC6206">
        <w:t xml:space="preserve">Participants were excluded from analyses if they did not answer the question on what kind of </w:t>
      </w:r>
      <w:proofErr w:type="gramStart"/>
      <w:r w:rsidR="00A01425" w:rsidRPr="00FC6206">
        <w:t>drinker</w:t>
      </w:r>
      <w:proofErr w:type="gramEnd"/>
      <w:r w:rsidR="00A01425" w:rsidRPr="00FC6206">
        <w:t xml:space="preserve"> they consider</w:t>
      </w:r>
      <w:r w:rsidR="00894454">
        <w:t>ed</w:t>
      </w:r>
      <w:r w:rsidR="00A01425" w:rsidRPr="00FC6206">
        <w:t xml:space="preserve"> themselves to be at the time of the survey. </w:t>
      </w:r>
      <w:r w:rsidR="006522DB">
        <w:t>As can be seen in Table 1 this was consistently under 1.5% of the sample.  Furthermore, those who considered themselves to be ex-drinkers (ranging from 1.3 to 1.6% of the sample) provided wide</w:t>
      </w:r>
      <w:r w:rsidR="00044FD9">
        <w:t>l</w:t>
      </w:r>
      <w:r w:rsidR="006522DB">
        <w:t xml:space="preserve">y variable </w:t>
      </w:r>
      <w:r w:rsidR="00044FD9">
        <w:t>responses to items on consumption</w:t>
      </w:r>
      <w:r w:rsidR="006522DB">
        <w:t xml:space="preserve"> – presumably in part because of the number of ways one could interpret questions on consumption in the past twelve months if one had stopped drinking during this time.  </w:t>
      </w:r>
      <w:r w:rsidR="00734DBD">
        <w:t xml:space="preserve">Furthermore, some ex-drinkers reported no consumption in the past twelve months, presumably as they had </w:t>
      </w:r>
      <w:r w:rsidR="00734DBD">
        <w:lastRenderedPageBreak/>
        <w:t xml:space="preserve">stopped drinking more than a year ago.  </w:t>
      </w:r>
      <w:r w:rsidR="006522DB">
        <w:t xml:space="preserve">As such these respondents were also excluded from all analyses in this study.  </w:t>
      </w:r>
      <w:r w:rsidR="00C063F0" w:rsidRPr="00FC6206">
        <w:t xml:space="preserve">Please note that sample size in any given analysis may be lower due to missing responses on used variables, never more than 2.5% of the sample in that analysis.  </w:t>
      </w:r>
    </w:p>
    <w:p w14:paraId="286162D0" w14:textId="77777777" w:rsidR="00A01425" w:rsidRPr="00FC6206" w:rsidRDefault="00A01425" w:rsidP="003D21E5">
      <w:pPr>
        <w:pStyle w:val="NoSpacing"/>
        <w:keepNext/>
        <w:keepLines/>
        <w:rPr>
          <w:rFonts w:asciiTheme="minorHAnsi" w:hAnsiTheme="minorHAnsi"/>
          <w:sz w:val="22"/>
        </w:rPr>
      </w:pPr>
      <w:r w:rsidRPr="00FC6206">
        <w:rPr>
          <w:rFonts w:asciiTheme="minorHAnsi" w:hAnsiTheme="minorHAnsi"/>
          <w:sz w:val="22"/>
        </w:rPr>
        <w:t>Table 1.</w:t>
      </w:r>
    </w:p>
    <w:p w14:paraId="3B1898CF" w14:textId="77777777" w:rsidR="00A01425" w:rsidRPr="00FC6206" w:rsidRDefault="00A01425" w:rsidP="003D21E5">
      <w:pPr>
        <w:pStyle w:val="NoSpacing"/>
        <w:keepNext/>
        <w:keepLines/>
        <w:rPr>
          <w:rFonts w:asciiTheme="minorHAnsi" w:hAnsiTheme="minorHAnsi"/>
          <w:i/>
          <w:sz w:val="22"/>
        </w:rPr>
      </w:pPr>
      <w:r w:rsidRPr="00FC6206">
        <w:rPr>
          <w:rFonts w:asciiTheme="minorHAnsi" w:hAnsiTheme="minorHAnsi"/>
          <w:i/>
          <w:sz w:val="22"/>
        </w:rPr>
        <w:t>NDSHS participants, 2001-2013</w:t>
      </w:r>
    </w:p>
    <w:tbl>
      <w:tblPr>
        <w:tblW w:w="9214" w:type="dxa"/>
        <w:tblLayout w:type="fixed"/>
        <w:tblLook w:val="04A0" w:firstRow="1" w:lastRow="0" w:firstColumn="1" w:lastColumn="0" w:noHBand="0" w:noVBand="1"/>
      </w:tblPr>
      <w:tblGrid>
        <w:gridCol w:w="947"/>
        <w:gridCol w:w="1321"/>
        <w:gridCol w:w="1560"/>
        <w:gridCol w:w="992"/>
        <w:gridCol w:w="1134"/>
        <w:gridCol w:w="1134"/>
        <w:gridCol w:w="1276"/>
        <w:gridCol w:w="850"/>
      </w:tblGrid>
      <w:tr w:rsidR="009A6FC8" w:rsidRPr="00FC6206" w14:paraId="44122B98" w14:textId="327C7642" w:rsidTr="009A6FC8">
        <w:trPr>
          <w:trHeight w:val="315"/>
        </w:trPr>
        <w:tc>
          <w:tcPr>
            <w:tcW w:w="947" w:type="dxa"/>
            <w:tcBorders>
              <w:top w:val="single" w:sz="4" w:space="0" w:color="auto"/>
              <w:left w:val="nil"/>
              <w:bottom w:val="single" w:sz="4" w:space="0" w:color="auto"/>
              <w:right w:val="nil"/>
            </w:tcBorders>
            <w:shd w:val="clear" w:color="auto" w:fill="auto"/>
            <w:vAlign w:val="center"/>
            <w:hideMark/>
          </w:tcPr>
          <w:p w14:paraId="39AB0F79" w14:textId="77777777" w:rsidR="009A6FC8" w:rsidRPr="00FC6206" w:rsidRDefault="009A6FC8" w:rsidP="003D21E5">
            <w:pPr>
              <w:keepNext/>
              <w:keepLines/>
              <w:spacing w:after="0" w:line="240" w:lineRule="auto"/>
              <w:jc w:val="center"/>
              <w:rPr>
                <w:rFonts w:eastAsia="Times New Roman"/>
                <w:color w:val="000000"/>
                <w:lang w:eastAsia="en-AU"/>
              </w:rPr>
            </w:pPr>
            <w:r w:rsidRPr="00FC6206">
              <w:rPr>
                <w:rFonts w:eastAsia="Times New Roman"/>
                <w:color w:val="000000"/>
                <w:lang w:eastAsia="en-AU"/>
              </w:rPr>
              <w:t>Year</w:t>
            </w:r>
          </w:p>
        </w:tc>
        <w:tc>
          <w:tcPr>
            <w:tcW w:w="1321" w:type="dxa"/>
            <w:tcBorders>
              <w:top w:val="single" w:sz="4" w:space="0" w:color="auto"/>
              <w:left w:val="nil"/>
              <w:bottom w:val="single" w:sz="4" w:space="0" w:color="auto"/>
              <w:right w:val="nil"/>
            </w:tcBorders>
          </w:tcPr>
          <w:p w14:paraId="664889EA" w14:textId="6CD5FD92" w:rsidR="009A6FC8" w:rsidRPr="00FC6206" w:rsidRDefault="009A6FC8" w:rsidP="003D21E5">
            <w:pPr>
              <w:keepNext/>
              <w:keepLines/>
              <w:spacing w:after="0" w:line="240" w:lineRule="auto"/>
              <w:jc w:val="center"/>
              <w:rPr>
                <w:rFonts w:eastAsia="Times New Roman"/>
                <w:color w:val="000000"/>
                <w:lang w:eastAsia="en-AU"/>
              </w:rPr>
            </w:pPr>
            <w:r>
              <w:rPr>
                <w:rFonts w:eastAsia="Times New Roman"/>
                <w:color w:val="000000"/>
                <w:lang w:eastAsia="en-AU"/>
              </w:rPr>
              <w:t>Response Rate</w:t>
            </w:r>
          </w:p>
        </w:tc>
        <w:tc>
          <w:tcPr>
            <w:tcW w:w="1560" w:type="dxa"/>
            <w:tcBorders>
              <w:top w:val="single" w:sz="4" w:space="0" w:color="auto"/>
              <w:left w:val="nil"/>
              <w:bottom w:val="single" w:sz="4" w:space="0" w:color="auto"/>
              <w:right w:val="nil"/>
            </w:tcBorders>
          </w:tcPr>
          <w:p w14:paraId="73052441" w14:textId="771C9D98" w:rsidR="009A6FC8" w:rsidRPr="00FC6206" w:rsidRDefault="009A6FC8" w:rsidP="003D21E5">
            <w:pPr>
              <w:keepNext/>
              <w:keepLines/>
              <w:spacing w:after="0" w:line="240" w:lineRule="auto"/>
              <w:jc w:val="center"/>
              <w:rPr>
                <w:rFonts w:eastAsia="Times New Roman"/>
                <w:color w:val="000000"/>
                <w:lang w:eastAsia="en-AU"/>
              </w:rPr>
            </w:pPr>
            <w:r>
              <w:rPr>
                <w:rFonts w:eastAsia="Times New Roman"/>
                <w:color w:val="000000"/>
                <w:lang w:eastAsia="en-AU"/>
              </w:rPr>
              <w:t>Administration</w:t>
            </w:r>
          </w:p>
        </w:tc>
        <w:tc>
          <w:tcPr>
            <w:tcW w:w="992" w:type="dxa"/>
            <w:tcBorders>
              <w:top w:val="single" w:sz="4" w:space="0" w:color="auto"/>
              <w:left w:val="nil"/>
              <w:bottom w:val="single" w:sz="4" w:space="0" w:color="auto"/>
              <w:right w:val="nil"/>
            </w:tcBorders>
            <w:shd w:val="clear" w:color="auto" w:fill="auto"/>
            <w:vAlign w:val="center"/>
            <w:hideMark/>
          </w:tcPr>
          <w:p w14:paraId="727D595D" w14:textId="68828A6B" w:rsidR="009A6FC8" w:rsidRPr="00FC6206" w:rsidRDefault="009A6FC8" w:rsidP="003D21E5">
            <w:pPr>
              <w:keepNext/>
              <w:keepLines/>
              <w:spacing w:after="0" w:line="240" w:lineRule="auto"/>
              <w:jc w:val="center"/>
              <w:rPr>
                <w:rFonts w:eastAsia="Times New Roman"/>
                <w:color w:val="000000"/>
                <w:lang w:eastAsia="en-AU"/>
              </w:rPr>
            </w:pPr>
            <w:r w:rsidRPr="00FC6206">
              <w:rPr>
                <w:rFonts w:eastAsia="Times New Roman"/>
                <w:color w:val="000000"/>
                <w:lang w:eastAsia="en-AU"/>
              </w:rPr>
              <w:t>N</w:t>
            </w:r>
          </w:p>
        </w:tc>
        <w:tc>
          <w:tcPr>
            <w:tcW w:w="1134" w:type="dxa"/>
            <w:tcBorders>
              <w:top w:val="single" w:sz="4" w:space="0" w:color="auto"/>
              <w:left w:val="nil"/>
              <w:bottom w:val="single" w:sz="4" w:space="0" w:color="auto"/>
              <w:right w:val="nil"/>
            </w:tcBorders>
            <w:shd w:val="clear" w:color="auto" w:fill="auto"/>
            <w:vAlign w:val="center"/>
            <w:hideMark/>
          </w:tcPr>
          <w:p w14:paraId="4DDA3EC5" w14:textId="77777777" w:rsidR="009A6FC8" w:rsidRPr="00FC6206" w:rsidRDefault="009A6FC8" w:rsidP="003D21E5">
            <w:pPr>
              <w:keepNext/>
              <w:keepLines/>
              <w:spacing w:after="0" w:line="240" w:lineRule="auto"/>
              <w:jc w:val="center"/>
              <w:rPr>
                <w:rFonts w:eastAsia="Times New Roman"/>
                <w:color w:val="000000"/>
                <w:lang w:eastAsia="en-AU"/>
              </w:rPr>
            </w:pPr>
            <w:r w:rsidRPr="00FC6206">
              <w:rPr>
                <w:rFonts w:eastAsia="Times New Roman"/>
                <w:color w:val="000000"/>
                <w:lang w:eastAsia="en-AU"/>
              </w:rPr>
              <w:t>Missing</w:t>
            </w:r>
          </w:p>
        </w:tc>
        <w:tc>
          <w:tcPr>
            <w:tcW w:w="1134" w:type="dxa"/>
            <w:tcBorders>
              <w:top w:val="single" w:sz="4" w:space="0" w:color="auto"/>
              <w:left w:val="nil"/>
              <w:bottom w:val="single" w:sz="4" w:space="0" w:color="auto"/>
              <w:right w:val="nil"/>
            </w:tcBorders>
            <w:shd w:val="clear" w:color="auto" w:fill="auto"/>
            <w:vAlign w:val="center"/>
            <w:hideMark/>
          </w:tcPr>
          <w:p w14:paraId="48A6DA51" w14:textId="77777777" w:rsidR="009A6FC8" w:rsidRPr="00FC6206" w:rsidRDefault="009A6FC8" w:rsidP="003D21E5">
            <w:pPr>
              <w:keepNext/>
              <w:keepLines/>
              <w:spacing w:after="0" w:line="240" w:lineRule="auto"/>
              <w:jc w:val="center"/>
              <w:rPr>
                <w:rFonts w:eastAsia="Times New Roman"/>
                <w:color w:val="000000"/>
                <w:lang w:eastAsia="en-AU"/>
              </w:rPr>
            </w:pPr>
            <w:r w:rsidRPr="00FC6206">
              <w:rPr>
                <w:rFonts w:eastAsia="Times New Roman"/>
                <w:color w:val="000000"/>
                <w:lang w:eastAsia="en-AU"/>
              </w:rPr>
              <w:t>% missing</w:t>
            </w:r>
          </w:p>
        </w:tc>
        <w:tc>
          <w:tcPr>
            <w:tcW w:w="1276" w:type="dxa"/>
            <w:tcBorders>
              <w:top w:val="single" w:sz="4" w:space="0" w:color="auto"/>
              <w:left w:val="nil"/>
              <w:bottom w:val="single" w:sz="4" w:space="0" w:color="auto"/>
              <w:right w:val="nil"/>
            </w:tcBorders>
          </w:tcPr>
          <w:p w14:paraId="3DE1A733" w14:textId="491C51A3" w:rsidR="009A6FC8" w:rsidRDefault="009A6FC8" w:rsidP="003D21E5">
            <w:pPr>
              <w:keepNext/>
              <w:keepLines/>
              <w:spacing w:after="0" w:line="240" w:lineRule="auto"/>
              <w:jc w:val="center"/>
              <w:rPr>
                <w:rFonts w:eastAsia="Times New Roman"/>
                <w:color w:val="000000"/>
                <w:lang w:eastAsia="en-AU"/>
              </w:rPr>
            </w:pPr>
            <w:r>
              <w:rPr>
                <w:rFonts w:eastAsia="Times New Roman"/>
                <w:color w:val="000000"/>
                <w:lang w:eastAsia="en-AU"/>
              </w:rPr>
              <w:t>Ex-drinkers</w:t>
            </w:r>
          </w:p>
        </w:tc>
        <w:tc>
          <w:tcPr>
            <w:tcW w:w="850" w:type="dxa"/>
            <w:tcBorders>
              <w:top w:val="single" w:sz="4" w:space="0" w:color="auto"/>
              <w:left w:val="nil"/>
              <w:bottom w:val="single" w:sz="4" w:space="0" w:color="auto"/>
              <w:right w:val="nil"/>
            </w:tcBorders>
          </w:tcPr>
          <w:p w14:paraId="6BD17E11" w14:textId="472D3D14" w:rsidR="009A6FC8" w:rsidRDefault="009A6FC8" w:rsidP="003D21E5">
            <w:pPr>
              <w:keepNext/>
              <w:keepLines/>
              <w:spacing w:after="0" w:line="240" w:lineRule="auto"/>
              <w:jc w:val="center"/>
              <w:rPr>
                <w:rFonts w:eastAsia="Times New Roman"/>
                <w:color w:val="000000"/>
                <w:lang w:eastAsia="en-AU"/>
              </w:rPr>
            </w:pPr>
            <w:r>
              <w:rPr>
                <w:rFonts w:eastAsia="Times New Roman"/>
                <w:color w:val="000000"/>
                <w:lang w:eastAsia="en-AU"/>
              </w:rPr>
              <w:t>N</w:t>
            </w:r>
          </w:p>
        </w:tc>
      </w:tr>
      <w:tr w:rsidR="003D21E5" w:rsidRPr="00FC6206" w14:paraId="458CD88B" w14:textId="5EDE45F0" w:rsidTr="009A6FC8">
        <w:trPr>
          <w:trHeight w:val="315"/>
        </w:trPr>
        <w:tc>
          <w:tcPr>
            <w:tcW w:w="947" w:type="dxa"/>
            <w:tcBorders>
              <w:top w:val="nil"/>
              <w:left w:val="nil"/>
              <w:bottom w:val="nil"/>
              <w:right w:val="nil"/>
            </w:tcBorders>
            <w:shd w:val="clear" w:color="auto" w:fill="auto"/>
            <w:vAlign w:val="center"/>
            <w:hideMark/>
          </w:tcPr>
          <w:p w14:paraId="081F3BB7" w14:textId="77777777" w:rsidR="003D21E5" w:rsidRPr="00FC6206" w:rsidRDefault="003D21E5" w:rsidP="003D21E5">
            <w:pPr>
              <w:keepNext/>
              <w:keepLines/>
              <w:spacing w:after="0" w:line="240" w:lineRule="auto"/>
              <w:jc w:val="right"/>
              <w:rPr>
                <w:rFonts w:eastAsia="Times New Roman"/>
                <w:color w:val="000000"/>
                <w:lang w:eastAsia="en-AU"/>
              </w:rPr>
            </w:pPr>
            <w:r w:rsidRPr="00FC6206">
              <w:rPr>
                <w:rFonts w:eastAsia="Times New Roman"/>
                <w:color w:val="000000"/>
                <w:lang w:eastAsia="en-AU"/>
              </w:rPr>
              <w:t>2001</w:t>
            </w:r>
          </w:p>
        </w:tc>
        <w:tc>
          <w:tcPr>
            <w:tcW w:w="1321" w:type="dxa"/>
            <w:tcBorders>
              <w:top w:val="nil"/>
              <w:left w:val="nil"/>
              <w:bottom w:val="nil"/>
              <w:right w:val="nil"/>
            </w:tcBorders>
          </w:tcPr>
          <w:p w14:paraId="2B97E770" w14:textId="686DAC6B" w:rsidR="003D21E5" w:rsidRDefault="003D21E5" w:rsidP="003D21E5">
            <w:pPr>
              <w:keepNext/>
              <w:keepLines/>
              <w:spacing w:after="0" w:line="240" w:lineRule="auto"/>
              <w:jc w:val="right"/>
              <w:rPr>
                <w:rFonts w:ascii="Calibri" w:hAnsi="Calibri"/>
                <w:color w:val="000000"/>
              </w:rPr>
            </w:pPr>
            <w:r>
              <w:rPr>
                <w:rFonts w:eastAsia="Times New Roman"/>
                <w:color w:val="000000"/>
                <w:lang w:eastAsia="en-AU"/>
              </w:rPr>
              <w:t>50.0</w:t>
            </w:r>
          </w:p>
        </w:tc>
        <w:tc>
          <w:tcPr>
            <w:tcW w:w="1560" w:type="dxa"/>
            <w:tcBorders>
              <w:top w:val="nil"/>
              <w:left w:val="nil"/>
              <w:bottom w:val="nil"/>
              <w:right w:val="nil"/>
            </w:tcBorders>
          </w:tcPr>
          <w:p w14:paraId="44D5C1D1" w14:textId="1631DAA3" w:rsidR="003D21E5" w:rsidRDefault="003D21E5" w:rsidP="003D21E5">
            <w:pPr>
              <w:keepNext/>
              <w:keepLines/>
              <w:spacing w:after="0" w:line="240" w:lineRule="auto"/>
              <w:jc w:val="center"/>
              <w:rPr>
                <w:rFonts w:ascii="Calibri" w:hAnsi="Calibri"/>
                <w:color w:val="000000"/>
              </w:rPr>
            </w:pPr>
            <w:r>
              <w:t xml:space="preserve">F2F, D&amp;C, CATI </w:t>
            </w:r>
          </w:p>
        </w:tc>
        <w:tc>
          <w:tcPr>
            <w:tcW w:w="992" w:type="dxa"/>
            <w:tcBorders>
              <w:top w:val="nil"/>
              <w:left w:val="nil"/>
              <w:bottom w:val="nil"/>
              <w:right w:val="nil"/>
            </w:tcBorders>
            <w:shd w:val="clear" w:color="auto" w:fill="auto"/>
            <w:vAlign w:val="bottom"/>
            <w:hideMark/>
          </w:tcPr>
          <w:p w14:paraId="314298A0" w14:textId="274CB558"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25267</w:t>
            </w:r>
          </w:p>
        </w:tc>
        <w:tc>
          <w:tcPr>
            <w:tcW w:w="1134" w:type="dxa"/>
            <w:tcBorders>
              <w:top w:val="nil"/>
              <w:left w:val="nil"/>
              <w:bottom w:val="nil"/>
              <w:right w:val="nil"/>
            </w:tcBorders>
            <w:shd w:val="clear" w:color="auto" w:fill="auto"/>
            <w:vAlign w:val="center"/>
            <w:hideMark/>
          </w:tcPr>
          <w:p w14:paraId="62E5EDFE" w14:textId="7CC970A0"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309</w:t>
            </w:r>
          </w:p>
        </w:tc>
        <w:tc>
          <w:tcPr>
            <w:tcW w:w="1134" w:type="dxa"/>
            <w:tcBorders>
              <w:top w:val="nil"/>
              <w:left w:val="nil"/>
              <w:bottom w:val="nil"/>
              <w:right w:val="nil"/>
            </w:tcBorders>
            <w:shd w:val="clear" w:color="auto" w:fill="auto"/>
            <w:noWrap/>
            <w:vAlign w:val="bottom"/>
            <w:hideMark/>
          </w:tcPr>
          <w:p w14:paraId="29E80822" w14:textId="3EFB1CF1" w:rsidR="003D21E5" w:rsidRPr="00FC6206"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1.22</w:t>
            </w:r>
            <w:r w:rsidRPr="00FC6206">
              <w:rPr>
                <w:rFonts w:eastAsia="Times New Roman"/>
                <w:color w:val="000000"/>
                <w:lang w:eastAsia="en-AU"/>
              </w:rPr>
              <w:t>%</w:t>
            </w:r>
          </w:p>
        </w:tc>
        <w:tc>
          <w:tcPr>
            <w:tcW w:w="1276" w:type="dxa"/>
            <w:tcBorders>
              <w:top w:val="nil"/>
              <w:left w:val="nil"/>
              <w:bottom w:val="nil"/>
              <w:right w:val="nil"/>
            </w:tcBorders>
          </w:tcPr>
          <w:p w14:paraId="4580D842" w14:textId="0AB3C7A7"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356</w:t>
            </w:r>
          </w:p>
        </w:tc>
        <w:tc>
          <w:tcPr>
            <w:tcW w:w="850" w:type="dxa"/>
            <w:tcBorders>
              <w:top w:val="nil"/>
              <w:left w:val="nil"/>
              <w:bottom w:val="nil"/>
              <w:right w:val="nil"/>
            </w:tcBorders>
          </w:tcPr>
          <w:p w14:paraId="102DFA75" w14:textId="7FF974DC"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24602</w:t>
            </w:r>
          </w:p>
        </w:tc>
      </w:tr>
      <w:tr w:rsidR="003D21E5" w:rsidRPr="00FC6206" w14:paraId="3682306D" w14:textId="4EEE0E0E" w:rsidTr="009A6FC8">
        <w:trPr>
          <w:trHeight w:val="315"/>
        </w:trPr>
        <w:tc>
          <w:tcPr>
            <w:tcW w:w="947" w:type="dxa"/>
            <w:tcBorders>
              <w:top w:val="nil"/>
              <w:left w:val="nil"/>
              <w:bottom w:val="nil"/>
              <w:right w:val="nil"/>
            </w:tcBorders>
            <w:shd w:val="clear" w:color="auto" w:fill="auto"/>
            <w:vAlign w:val="center"/>
            <w:hideMark/>
          </w:tcPr>
          <w:p w14:paraId="475C1E51" w14:textId="4565B389" w:rsidR="003D21E5" w:rsidRPr="00FC6206" w:rsidRDefault="003D21E5" w:rsidP="003D21E5">
            <w:pPr>
              <w:keepNext/>
              <w:keepLines/>
              <w:spacing w:after="0" w:line="240" w:lineRule="auto"/>
              <w:jc w:val="right"/>
              <w:rPr>
                <w:rFonts w:eastAsia="Times New Roman"/>
                <w:color w:val="000000"/>
                <w:lang w:eastAsia="en-AU"/>
              </w:rPr>
            </w:pPr>
            <w:r w:rsidRPr="00FC6206">
              <w:rPr>
                <w:rFonts w:eastAsia="Times New Roman"/>
                <w:color w:val="000000"/>
                <w:lang w:eastAsia="en-AU"/>
              </w:rPr>
              <w:t>2004</w:t>
            </w:r>
          </w:p>
        </w:tc>
        <w:tc>
          <w:tcPr>
            <w:tcW w:w="1321" w:type="dxa"/>
            <w:tcBorders>
              <w:top w:val="nil"/>
              <w:left w:val="nil"/>
              <w:bottom w:val="nil"/>
              <w:right w:val="nil"/>
            </w:tcBorders>
          </w:tcPr>
          <w:p w14:paraId="0F8D3616" w14:textId="527C71BE" w:rsidR="003D21E5" w:rsidRDefault="003D21E5" w:rsidP="003D21E5">
            <w:pPr>
              <w:keepNext/>
              <w:keepLines/>
              <w:spacing w:after="0" w:line="240" w:lineRule="auto"/>
              <w:jc w:val="right"/>
              <w:rPr>
                <w:rFonts w:ascii="Calibri" w:hAnsi="Calibri"/>
                <w:color w:val="000000"/>
              </w:rPr>
            </w:pPr>
            <w:r>
              <w:rPr>
                <w:rFonts w:eastAsia="Times New Roman"/>
                <w:color w:val="000000"/>
                <w:lang w:eastAsia="en-AU"/>
              </w:rPr>
              <w:t>47.8</w:t>
            </w:r>
          </w:p>
        </w:tc>
        <w:tc>
          <w:tcPr>
            <w:tcW w:w="1560" w:type="dxa"/>
            <w:tcBorders>
              <w:top w:val="nil"/>
              <w:left w:val="nil"/>
              <w:bottom w:val="nil"/>
              <w:right w:val="nil"/>
            </w:tcBorders>
          </w:tcPr>
          <w:p w14:paraId="62DAF985" w14:textId="5B504E67" w:rsidR="003D21E5" w:rsidRDefault="003D21E5" w:rsidP="003D21E5">
            <w:pPr>
              <w:keepNext/>
              <w:keepLines/>
              <w:spacing w:after="0" w:line="240" w:lineRule="auto"/>
              <w:jc w:val="right"/>
              <w:rPr>
                <w:rFonts w:ascii="Calibri" w:hAnsi="Calibri"/>
                <w:color w:val="000000"/>
              </w:rPr>
            </w:pPr>
            <w:r>
              <w:t>D&amp;C, CATI</w:t>
            </w:r>
          </w:p>
        </w:tc>
        <w:tc>
          <w:tcPr>
            <w:tcW w:w="992" w:type="dxa"/>
            <w:tcBorders>
              <w:top w:val="nil"/>
              <w:left w:val="nil"/>
              <w:bottom w:val="nil"/>
              <w:right w:val="nil"/>
            </w:tcBorders>
            <w:shd w:val="clear" w:color="auto" w:fill="auto"/>
            <w:vAlign w:val="bottom"/>
            <w:hideMark/>
          </w:tcPr>
          <w:p w14:paraId="3403F0C1" w14:textId="57794864"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26730</w:t>
            </w:r>
          </w:p>
        </w:tc>
        <w:tc>
          <w:tcPr>
            <w:tcW w:w="1134" w:type="dxa"/>
            <w:tcBorders>
              <w:top w:val="nil"/>
              <w:left w:val="nil"/>
              <w:bottom w:val="nil"/>
              <w:right w:val="nil"/>
            </w:tcBorders>
            <w:shd w:val="clear" w:color="auto" w:fill="auto"/>
            <w:vAlign w:val="center"/>
            <w:hideMark/>
          </w:tcPr>
          <w:p w14:paraId="1637E219" w14:textId="675C1412"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249</w:t>
            </w:r>
          </w:p>
        </w:tc>
        <w:tc>
          <w:tcPr>
            <w:tcW w:w="1134" w:type="dxa"/>
            <w:tcBorders>
              <w:top w:val="nil"/>
              <w:left w:val="nil"/>
              <w:bottom w:val="nil"/>
              <w:right w:val="nil"/>
            </w:tcBorders>
            <w:shd w:val="clear" w:color="auto" w:fill="auto"/>
            <w:noWrap/>
            <w:vAlign w:val="bottom"/>
            <w:hideMark/>
          </w:tcPr>
          <w:p w14:paraId="78E9A595" w14:textId="77777777" w:rsidR="003D21E5" w:rsidRPr="00FC6206" w:rsidRDefault="003D21E5" w:rsidP="003D21E5">
            <w:pPr>
              <w:keepNext/>
              <w:keepLines/>
              <w:spacing w:after="0" w:line="240" w:lineRule="auto"/>
              <w:jc w:val="right"/>
              <w:rPr>
                <w:rFonts w:eastAsia="Times New Roman"/>
                <w:color w:val="000000"/>
                <w:lang w:eastAsia="en-AU"/>
              </w:rPr>
            </w:pPr>
            <w:r w:rsidRPr="00FC6206">
              <w:rPr>
                <w:rFonts w:eastAsia="Times New Roman"/>
                <w:color w:val="000000"/>
                <w:lang w:eastAsia="en-AU"/>
              </w:rPr>
              <w:t>0.93%</w:t>
            </w:r>
          </w:p>
        </w:tc>
        <w:tc>
          <w:tcPr>
            <w:tcW w:w="1276" w:type="dxa"/>
            <w:tcBorders>
              <w:top w:val="nil"/>
              <w:left w:val="nil"/>
              <w:bottom w:val="nil"/>
              <w:right w:val="nil"/>
            </w:tcBorders>
          </w:tcPr>
          <w:p w14:paraId="2B974AAD" w14:textId="2DFEFF73"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348</w:t>
            </w:r>
          </w:p>
        </w:tc>
        <w:tc>
          <w:tcPr>
            <w:tcW w:w="850" w:type="dxa"/>
            <w:tcBorders>
              <w:top w:val="nil"/>
              <w:left w:val="nil"/>
              <w:bottom w:val="nil"/>
              <w:right w:val="nil"/>
            </w:tcBorders>
          </w:tcPr>
          <w:p w14:paraId="1D9E07BB" w14:textId="20050772"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26133</w:t>
            </w:r>
          </w:p>
        </w:tc>
      </w:tr>
      <w:tr w:rsidR="003D21E5" w:rsidRPr="00FC6206" w14:paraId="4C33A5CC" w14:textId="529B3FD7" w:rsidTr="009A6FC8">
        <w:trPr>
          <w:trHeight w:val="315"/>
        </w:trPr>
        <w:tc>
          <w:tcPr>
            <w:tcW w:w="947" w:type="dxa"/>
            <w:tcBorders>
              <w:top w:val="nil"/>
              <w:left w:val="nil"/>
              <w:bottom w:val="nil"/>
              <w:right w:val="nil"/>
            </w:tcBorders>
            <w:shd w:val="clear" w:color="auto" w:fill="auto"/>
            <w:vAlign w:val="center"/>
            <w:hideMark/>
          </w:tcPr>
          <w:p w14:paraId="3B88A3A2" w14:textId="77777777" w:rsidR="003D21E5" w:rsidRPr="00FC6206" w:rsidRDefault="003D21E5" w:rsidP="003D21E5">
            <w:pPr>
              <w:keepNext/>
              <w:keepLines/>
              <w:spacing w:after="0" w:line="240" w:lineRule="auto"/>
              <w:jc w:val="right"/>
              <w:rPr>
                <w:rFonts w:eastAsia="Times New Roman"/>
                <w:color w:val="000000"/>
                <w:lang w:eastAsia="en-AU"/>
              </w:rPr>
            </w:pPr>
            <w:r w:rsidRPr="00FC6206">
              <w:rPr>
                <w:rFonts w:eastAsia="Times New Roman"/>
                <w:color w:val="000000"/>
                <w:lang w:eastAsia="en-AU"/>
              </w:rPr>
              <w:t>2007</w:t>
            </w:r>
          </w:p>
        </w:tc>
        <w:tc>
          <w:tcPr>
            <w:tcW w:w="1321" w:type="dxa"/>
            <w:tcBorders>
              <w:top w:val="nil"/>
              <w:left w:val="nil"/>
              <w:bottom w:val="nil"/>
              <w:right w:val="nil"/>
            </w:tcBorders>
          </w:tcPr>
          <w:p w14:paraId="11774B68" w14:textId="0B245CF2" w:rsidR="003D21E5" w:rsidRDefault="003D21E5" w:rsidP="003D21E5">
            <w:pPr>
              <w:keepNext/>
              <w:keepLines/>
              <w:spacing w:after="0" w:line="240" w:lineRule="auto"/>
              <w:jc w:val="right"/>
              <w:rPr>
                <w:rFonts w:ascii="Calibri" w:hAnsi="Calibri"/>
                <w:color w:val="000000"/>
              </w:rPr>
            </w:pPr>
            <w:r>
              <w:rPr>
                <w:rFonts w:eastAsia="Times New Roman"/>
                <w:color w:val="000000"/>
                <w:lang w:eastAsia="en-AU"/>
              </w:rPr>
              <w:t>51.6</w:t>
            </w:r>
          </w:p>
        </w:tc>
        <w:tc>
          <w:tcPr>
            <w:tcW w:w="1560" w:type="dxa"/>
            <w:tcBorders>
              <w:top w:val="nil"/>
              <w:left w:val="nil"/>
              <w:bottom w:val="nil"/>
              <w:right w:val="nil"/>
            </w:tcBorders>
          </w:tcPr>
          <w:p w14:paraId="6573366A" w14:textId="01822B28" w:rsidR="003D21E5" w:rsidRDefault="003D21E5" w:rsidP="003D21E5">
            <w:pPr>
              <w:keepNext/>
              <w:keepLines/>
              <w:spacing w:after="0" w:line="240" w:lineRule="auto"/>
              <w:jc w:val="right"/>
              <w:rPr>
                <w:rFonts w:ascii="Calibri" w:hAnsi="Calibri"/>
                <w:color w:val="000000"/>
              </w:rPr>
            </w:pPr>
            <w:r>
              <w:t xml:space="preserve">D&amp;C, CATI </w:t>
            </w:r>
          </w:p>
        </w:tc>
        <w:tc>
          <w:tcPr>
            <w:tcW w:w="992" w:type="dxa"/>
            <w:tcBorders>
              <w:top w:val="nil"/>
              <w:left w:val="nil"/>
              <w:bottom w:val="nil"/>
              <w:right w:val="nil"/>
            </w:tcBorders>
            <w:shd w:val="clear" w:color="auto" w:fill="auto"/>
            <w:vAlign w:val="bottom"/>
            <w:hideMark/>
          </w:tcPr>
          <w:p w14:paraId="03FA561F" w14:textId="05A35151"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21846</w:t>
            </w:r>
          </w:p>
        </w:tc>
        <w:tc>
          <w:tcPr>
            <w:tcW w:w="1134" w:type="dxa"/>
            <w:tcBorders>
              <w:top w:val="nil"/>
              <w:left w:val="nil"/>
              <w:bottom w:val="nil"/>
              <w:right w:val="nil"/>
            </w:tcBorders>
            <w:shd w:val="clear" w:color="auto" w:fill="auto"/>
            <w:vAlign w:val="center"/>
            <w:hideMark/>
          </w:tcPr>
          <w:p w14:paraId="35C695B0" w14:textId="3D8CAD12"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245</w:t>
            </w:r>
          </w:p>
        </w:tc>
        <w:tc>
          <w:tcPr>
            <w:tcW w:w="1134" w:type="dxa"/>
            <w:tcBorders>
              <w:top w:val="nil"/>
              <w:left w:val="nil"/>
              <w:bottom w:val="nil"/>
              <w:right w:val="nil"/>
            </w:tcBorders>
            <w:shd w:val="clear" w:color="auto" w:fill="auto"/>
            <w:noWrap/>
            <w:vAlign w:val="bottom"/>
            <w:hideMark/>
          </w:tcPr>
          <w:p w14:paraId="1E696425" w14:textId="7879269F" w:rsidR="003D21E5" w:rsidRPr="00FC6206"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1.12</w:t>
            </w:r>
            <w:r w:rsidRPr="00FC6206">
              <w:rPr>
                <w:rFonts w:eastAsia="Times New Roman"/>
                <w:color w:val="000000"/>
                <w:lang w:eastAsia="en-AU"/>
              </w:rPr>
              <w:t>%</w:t>
            </w:r>
          </w:p>
        </w:tc>
        <w:tc>
          <w:tcPr>
            <w:tcW w:w="1276" w:type="dxa"/>
            <w:tcBorders>
              <w:top w:val="nil"/>
              <w:left w:val="nil"/>
              <w:bottom w:val="nil"/>
              <w:right w:val="nil"/>
            </w:tcBorders>
          </w:tcPr>
          <w:p w14:paraId="5B45B705" w14:textId="2A9AB7F2"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324</w:t>
            </w:r>
          </w:p>
        </w:tc>
        <w:tc>
          <w:tcPr>
            <w:tcW w:w="850" w:type="dxa"/>
            <w:tcBorders>
              <w:top w:val="nil"/>
              <w:left w:val="nil"/>
              <w:bottom w:val="nil"/>
              <w:right w:val="nil"/>
            </w:tcBorders>
          </w:tcPr>
          <w:p w14:paraId="28ECE9B5" w14:textId="7BFB6D10"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21277</w:t>
            </w:r>
          </w:p>
        </w:tc>
      </w:tr>
      <w:tr w:rsidR="003D21E5" w:rsidRPr="00FC6206" w14:paraId="02ACB2D4" w14:textId="23CE8CFD" w:rsidTr="009A6FC8">
        <w:trPr>
          <w:trHeight w:val="315"/>
        </w:trPr>
        <w:tc>
          <w:tcPr>
            <w:tcW w:w="947" w:type="dxa"/>
            <w:tcBorders>
              <w:top w:val="nil"/>
              <w:left w:val="nil"/>
              <w:right w:val="nil"/>
            </w:tcBorders>
            <w:shd w:val="clear" w:color="auto" w:fill="auto"/>
            <w:vAlign w:val="center"/>
            <w:hideMark/>
          </w:tcPr>
          <w:p w14:paraId="746C7273" w14:textId="77777777" w:rsidR="003D21E5" w:rsidRPr="00FC6206" w:rsidRDefault="003D21E5" w:rsidP="003D21E5">
            <w:pPr>
              <w:keepNext/>
              <w:keepLines/>
              <w:spacing w:after="0" w:line="240" w:lineRule="auto"/>
              <w:jc w:val="right"/>
              <w:rPr>
                <w:rFonts w:eastAsia="Times New Roman"/>
                <w:color w:val="000000"/>
                <w:lang w:eastAsia="en-AU"/>
              </w:rPr>
            </w:pPr>
            <w:r w:rsidRPr="00FC6206">
              <w:rPr>
                <w:rFonts w:eastAsia="Times New Roman"/>
                <w:color w:val="000000"/>
                <w:lang w:eastAsia="en-AU"/>
              </w:rPr>
              <w:t>2010</w:t>
            </w:r>
          </w:p>
        </w:tc>
        <w:tc>
          <w:tcPr>
            <w:tcW w:w="1321" w:type="dxa"/>
            <w:tcBorders>
              <w:top w:val="nil"/>
              <w:left w:val="nil"/>
              <w:right w:val="nil"/>
            </w:tcBorders>
          </w:tcPr>
          <w:p w14:paraId="65085FF9" w14:textId="0D0E5801" w:rsidR="003D21E5" w:rsidRDefault="003D21E5" w:rsidP="003D21E5">
            <w:pPr>
              <w:keepNext/>
              <w:keepLines/>
              <w:spacing w:after="0" w:line="240" w:lineRule="auto"/>
              <w:jc w:val="right"/>
              <w:rPr>
                <w:rFonts w:ascii="Calibri" w:hAnsi="Calibri"/>
                <w:color w:val="000000"/>
              </w:rPr>
            </w:pPr>
            <w:r>
              <w:rPr>
                <w:rFonts w:eastAsia="Times New Roman"/>
                <w:color w:val="000000"/>
                <w:lang w:eastAsia="en-AU"/>
              </w:rPr>
              <w:t>50.6</w:t>
            </w:r>
          </w:p>
        </w:tc>
        <w:tc>
          <w:tcPr>
            <w:tcW w:w="1560" w:type="dxa"/>
            <w:tcBorders>
              <w:top w:val="nil"/>
              <w:left w:val="nil"/>
              <w:right w:val="nil"/>
            </w:tcBorders>
          </w:tcPr>
          <w:p w14:paraId="394CF3ED" w14:textId="09D480DB" w:rsidR="003D21E5" w:rsidRDefault="003D21E5" w:rsidP="003D21E5">
            <w:pPr>
              <w:keepNext/>
              <w:keepLines/>
              <w:spacing w:after="0" w:line="240" w:lineRule="auto"/>
              <w:jc w:val="right"/>
              <w:rPr>
                <w:rFonts w:ascii="Calibri" w:hAnsi="Calibri"/>
                <w:color w:val="000000"/>
              </w:rPr>
            </w:pPr>
            <w:r>
              <w:t>D&amp;C</w:t>
            </w:r>
          </w:p>
        </w:tc>
        <w:tc>
          <w:tcPr>
            <w:tcW w:w="992" w:type="dxa"/>
            <w:tcBorders>
              <w:top w:val="nil"/>
              <w:left w:val="nil"/>
              <w:right w:val="nil"/>
            </w:tcBorders>
            <w:shd w:val="clear" w:color="auto" w:fill="auto"/>
            <w:vAlign w:val="bottom"/>
            <w:hideMark/>
          </w:tcPr>
          <w:p w14:paraId="7F6FA2D4" w14:textId="0FFB5DDF"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25082</w:t>
            </w:r>
          </w:p>
        </w:tc>
        <w:tc>
          <w:tcPr>
            <w:tcW w:w="1134" w:type="dxa"/>
            <w:tcBorders>
              <w:top w:val="nil"/>
              <w:left w:val="nil"/>
              <w:right w:val="nil"/>
            </w:tcBorders>
            <w:shd w:val="clear" w:color="auto" w:fill="auto"/>
            <w:vAlign w:val="center"/>
            <w:hideMark/>
          </w:tcPr>
          <w:p w14:paraId="78C6A55C" w14:textId="3E6EA639"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333</w:t>
            </w:r>
          </w:p>
        </w:tc>
        <w:tc>
          <w:tcPr>
            <w:tcW w:w="1134" w:type="dxa"/>
            <w:tcBorders>
              <w:top w:val="nil"/>
              <w:left w:val="nil"/>
              <w:right w:val="nil"/>
            </w:tcBorders>
            <w:shd w:val="clear" w:color="auto" w:fill="auto"/>
            <w:noWrap/>
            <w:vAlign w:val="bottom"/>
            <w:hideMark/>
          </w:tcPr>
          <w:p w14:paraId="77C2AE7C" w14:textId="509897E9" w:rsidR="003D21E5" w:rsidRPr="00FC6206"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1.33</w:t>
            </w:r>
            <w:r w:rsidRPr="00FC6206">
              <w:rPr>
                <w:rFonts w:eastAsia="Times New Roman"/>
                <w:color w:val="000000"/>
                <w:lang w:eastAsia="en-AU"/>
              </w:rPr>
              <w:t>%</w:t>
            </w:r>
          </w:p>
        </w:tc>
        <w:tc>
          <w:tcPr>
            <w:tcW w:w="1276" w:type="dxa"/>
            <w:tcBorders>
              <w:top w:val="nil"/>
              <w:left w:val="nil"/>
              <w:right w:val="nil"/>
            </w:tcBorders>
          </w:tcPr>
          <w:p w14:paraId="23784B18" w14:textId="0C8F783D"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368</w:t>
            </w:r>
          </w:p>
        </w:tc>
        <w:tc>
          <w:tcPr>
            <w:tcW w:w="850" w:type="dxa"/>
            <w:tcBorders>
              <w:top w:val="nil"/>
              <w:left w:val="nil"/>
              <w:right w:val="nil"/>
            </w:tcBorders>
          </w:tcPr>
          <w:p w14:paraId="46037D48" w14:textId="7793F80B"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24381</w:t>
            </w:r>
          </w:p>
        </w:tc>
      </w:tr>
      <w:tr w:rsidR="003D21E5" w:rsidRPr="00FC6206" w14:paraId="34F57F4D" w14:textId="0EEA15EA" w:rsidTr="009A6FC8">
        <w:trPr>
          <w:trHeight w:val="315"/>
        </w:trPr>
        <w:tc>
          <w:tcPr>
            <w:tcW w:w="947" w:type="dxa"/>
            <w:tcBorders>
              <w:top w:val="nil"/>
              <w:left w:val="nil"/>
              <w:bottom w:val="single" w:sz="4" w:space="0" w:color="auto"/>
              <w:right w:val="nil"/>
            </w:tcBorders>
            <w:shd w:val="clear" w:color="auto" w:fill="auto"/>
            <w:vAlign w:val="center"/>
            <w:hideMark/>
          </w:tcPr>
          <w:p w14:paraId="36551228" w14:textId="77777777" w:rsidR="003D21E5" w:rsidRPr="00FC6206" w:rsidRDefault="003D21E5" w:rsidP="003D21E5">
            <w:pPr>
              <w:keepNext/>
              <w:keepLines/>
              <w:spacing w:after="0" w:line="240" w:lineRule="auto"/>
              <w:jc w:val="right"/>
              <w:rPr>
                <w:rFonts w:eastAsia="Times New Roman"/>
                <w:color w:val="000000"/>
                <w:lang w:eastAsia="en-AU"/>
              </w:rPr>
            </w:pPr>
            <w:r w:rsidRPr="00FC6206">
              <w:rPr>
                <w:rFonts w:eastAsia="Times New Roman"/>
                <w:color w:val="000000"/>
                <w:lang w:eastAsia="en-AU"/>
              </w:rPr>
              <w:t>2013</w:t>
            </w:r>
          </w:p>
        </w:tc>
        <w:tc>
          <w:tcPr>
            <w:tcW w:w="1321" w:type="dxa"/>
            <w:tcBorders>
              <w:top w:val="nil"/>
              <w:left w:val="nil"/>
              <w:bottom w:val="single" w:sz="4" w:space="0" w:color="auto"/>
              <w:right w:val="nil"/>
            </w:tcBorders>
          </w:tcPr>
          <w:p w14:paraId="568FD13D" w14:textId="7A52D8A7" w:rsidR="003D21E5" w:rsidRDefault="003D21E5" w:rsidP="003D21E5">
            <w:pPr>
              <w:keepNext/>
              <w:keepLines/>
              <w:spacing w:after="0" w:line="240" w:lineRule="auto"/>
              <w:jc w:val="right"/>
              <w:rPr>
                <w:rFonts w:ascii="Calibri" w:hAnsi="Calibri"/>
                <w:color w:val="000000"/>
              </w:rPr>
            </w:pPr>
            <w:r>
              <w:rPr>
                <w:rFonts w:eastAsia="Times New Roman"/>
                <w:color w:val="000000"/>
                <w:lang w:eastAsia="en-AU"/>
              </w:rPr>
              <w:t>49.1</w:t>
            </w:r>
          </w:p>
        </w:tc>
        <w:tc>
          <w:tcPr>
            <w:tcW w:w="1560" w:type="dxa"/>
            <w:tcBorders>
              <w:top w:val="nil"/>
              <w:left w:val="nil"/>
              <w:bottom w:val="single" w:sz="4" w:space="0" w:color="auto"/>
              <w:right w:val="nil"/>
            </w:tcBorders>
          </w:tcPr>
          <w:p w14:paraId="430940DE" w14:textId="56FE7852" w:rsidR="003D21E5" w:rsidRDefault="003D21E5" w:rsidP="003D21E5">
            <w:pPr>
              <w:keepNext/>
              <w:keepLines/>
              <w:spacing w:after="0" w:line="240" w:lineRule="auto"/>
              <w:jc w:val="right"/>
              <w:rPr>
                <w:rFonts w:ascii="Calibri" w:hAnsi="Calibri"/>
                <w:color w:val="000000"/>
              </w:rPr>
            </w:pPr>
            <w:r>
              <w:t>D&amp;C</w:t>
            </w:r>
          </w:p>
        </w:tc>
        <w:tc>
          <w:tcPr>
            <w:tcW w:w="992" w:type="dxa"/>
            <w:tcBorders>
              <w:top w:val="nil"/>
              <w:left w:val="nil"/>
              <w:bottom w:val="single" w:sz="4" w:space="0" w:color="auto"/>
              <w:right w:val="nil"/>
            </w:tcBorders>
            <w:shd w:val="clear" w:color="auto" w:fill="auto"/>
            <w:vAlign w:val="bottom"/>
            <w:hideMark/>
          </w:tcPr>
          <w:p w14:paraId="78A669A3" w14:textId="5836A29D"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22696</w:t>
            </w:r>
          </w:p>
        </w:tc>
        <w:tc>
          <w:tcPr>
            <w:tcW w:w="1134" w:type="dxa"/>
            <w:tcBorders>
              <w:top w:val="nil"/>
              <w:left w:val="nil"/>
              <w:bottom w:val="single" w:sz="4" w:space="0" w:color="auto"/>
              <w:right w:val="nil"/>
            </w:tcBorders>
            <w:shd w:val="clear" w:color="auto" w:fill="auto"/>
            <w:vAlign w:val="center"/>
            <w:hideMark/>
          </w:tcPr>
          <w:p w14:paraId="232F92A5" w14:textId="6727A39D" w:rsidR="003D21E5" w:rsidRPr="00FC6206" w:rsidRDefault="003D21E5" w:rsidP="003D21E5">
            <w:pPr>
              <w:keepNext/>
              <w:keepLines/>
              <w:spacing w:after="0" w:line="240" w:lineRule="auto"/>
              <w:jc w:val="right"/>
              <w:rPr>
                <w:rFonts w:eastAsia="Times New Roman"/>
                <w:color w:val="000000"/>
                <w:lang w:eastAsia="en-AU"/>
              </w:rPr>
            </w:pPr>
            <w:r>
              <w:rPr>
                <w:rFonts w:ascii="Calibri" w:hAnsi="Calibri"/>
                <w:color w:val="000000"/>
              </w:rPr>
              <w:t>321</w:t>
            </w:r>
          </w:p>
        </w:tc>
        <w:tc>
          <w:tcPr>
            <w:tcW w:w="1134" w:type="dxa"/>
            <w:tcBorders>
              <w:top w:val="nil"/>
              <w:left w:val="nil"/>
              <w:bottom w:val="single" w:sz="4" w:space="0" w:color="auto"/>
              <w:right w:val="nil"/>
            </w:tcBorders>
            <w:shd w:val="clear" w:color="auto" w:fill="auto"/>
            <w:noWrap/>
            <w:vAlign w:val="bottom"/>
            <w:hideMark/>
          </w:tcPr>
          <w:p w14:paraId="7319844D" w14:textId="29069ECD" w:rsidR="003D21E5" w:rsidRPr="00FC6206"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1.41</w:t>
            </w:r>
            <w:r w:rsidRPr="00FC6206">
              <w:rPr>
                <w:rFonts w:eastAsia="Times New Roman"/>
                <w:color w:val="000000"/>
                <w:lang w:eastAsia="en-AU"/>
              </w:rPr>
              <w:t>%</w:t>
            </w:r>
          </w:p>
        </w:tc>
        <w:tc>
          <w:tcPr>
            <w:tcW w:w="1276" w:type="dxa"/>
            <w:tcBorders>
              <w:top w:val="nil"/>
              <w:left w:val="nil"/>
              <w:bottom w:val="single" w:sz="4" w:space="0" w:color="auto"/>
              <w:right w:val="nil"/>
            </w:tcBorders>
          </w:tcPr>
          <w:p w14:paraId="7DAE9A11" w14:textId="77046DE9"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352</w:t>
            </w:r>
          </w:p>
        </w:tc>
        <w:tc>
          <w:tcPr>
            <w:tcW w:w="850" w:type="dxa"/>
            <w:tcBorders>
              <w:top w:val="nil"/>
              <w:left w:val="nil"/>
              <w:bottom w:val="single" w:sz="4" w:space="0" w:color="auto"/>
              <w:right w:val="nil"/>
            </w:tcBorders>
          </w:tcPr>
          <w:p w14:paraId="455774EB" w14:textId="029FBA4E" w:rsidR="003D21E5" w:rsidRDefault="003D21E5" w:rsidP="003D21E5">
            <w:pPr>
              <w:keepNext/>
              <w:keepLines/>
              <w:spacing w:after="0" w:line="240" w:lineRule="auto"/>
              <w:jc w:val="right"/>
              <w:rPr>
                <w:rFonts w:eastAsia="Times New Roman"/>
                <w:color w:val="000000"/>
                <w:lang w:eastAsia="en-AU"/>
              </w:rPr>
            </w:pPr>
            <w:r>
              <w:rPr>
                <w:rFonts w:eastAsia="Times New Roman"/>
                <w:color w:val="000000"/>
                <w:lang w:eastAsia="en-AU"/>
              </w:rPr>
              <w:t>22023</w:t>
            </w:r>
          </w:p>
        </w:tc>
      </w:tr>
    </w:tbl>
    <w:p w14:paraId="07C76ED1" w14:textId="4ABB6C12" w:rsidR="00C063F0" w:rsidRPr="003D21E5" w:rsidRDefault="00EB38BC" w:rsidP="003D21E5">
      <w:pPr>
        <w:keepNext/>
        <w:keepLines/>
        <w:spacing w:after="0"/>
        <w:rPr>
          <w:sz w:val="20"/>
        </w:rPr>
      </w:pPr>
      <w:r w:rsidRPr="003D21E5">
        <w:rPr>
          <w:sz w:val="20"/>
        </w:rPr>
        <w:t>N= 121</w:t>
      </w:r>
      <w:r w:rsidR="00C063F0" w:rsidRPr="003D21E5">
        <w:rPr>
          <w:sz w:val="20"/>
        </w:rPr>
        <w:t>,</w:t>
      </w:r>
      <w:r w:rsidRPr="003D21E5">
        <w:rPr>
          <w:sz w:val="20"/>
        </w:rPr>
        <w:t>62</w:t>
      </w:r>
      <w:r w:rsidR="00C063F0" w:rsidRPr="003D21E5">
        <w:rPr>
          <w:sz w:val="20"/>
        </w:rPr>
        <w:t>1</w:t>
      </w:r>
    </w:p>
    <w:p w14:paraId="7B5ABAE0" w14:textId="44847D5B" w:rsidR="003D21E5" w:rsidRPr="003D21E5" w:rsidRDefault="003D21E5" w:rsidP="003D21E5">
      <w:pPr>
        <w:keepNext/>
        <w:keepLines/>
        <w:spacing w:after="0"/>
        <w:rPr>
          <w:sz w:val="20"/>
        </w:rPr>
      </w:pPr>
      <w:r w:rsidRPr="003D21E5">
        <w:rPr>
          <w:sz w:val="20"/>
        </w:rPr>
        <w:t xml:space="preserve">F2F = Face to Face; D&amp;C = Drop and Collect; CATI = Computer Assisted Telephone Interview. </w:t>
      </w:r>
    </w:p>
    <w:p w14:paraId="08F2F5DC" w14:textId="77777777" w:rsidR="00C063F0" w:rsidRPr="00FC6206" w:rsidRDefault="00C063F0" w:rsidP="00A01425">
      <w:pPr>
        <w:rPr>
          <w:b/>
        </w:rPr>
      </w:pPr>
    </w:p>
    <w:p w14:paraId="4921743B" w14:textId="77777777" w:rsidR="00A01425" w:rsidRPr="00FC6206" w:rsidRDefault="00A01425" w:rsidP="00A01425">
      <w:pPr>
        <w:rPr>
          <w:b/>
        </w:rPr>
      </w:pPr>
      <w:r w:rsidRPr="00FC6206">
        <w:rPr>
          <w:b/>
        </w:rPr>
        <w:t>Measures</w:t>
      </w:r>
    </w:p>
    <w:p w14:paraId="7F597F0D" w14:textId="73789C50" w:rsidR="0085747C" w:rsidRDefault="00A01425" w:rsidP="005B342A">
      <w:pPr>
        <w:spacing w:line="360" w:lineRule="auto"/>
      </w:pPr>
      <w:r w:rsidRPr="00FC6206">
        <w:t xml:space="preserve">The NDSHS is a </w:t>
      </w:r>
      <w:proofErr w:type="gramStart"/>
      <w:r w:rsidRPr="00FC6206">
        <w:t>large scale</w:t>
      </w:r>
      <w:proofErr w:type="gramEnd"/>
      <w:r w:rsidRPr="00FC6206">
        <w:t xml:space="preserve"> survey with extensive questions about alcohol, tobacco and drug use, along with a wide range of demographic questions.  Of </w:t>
      </w:r>
      <w:proofErr w:type="gramStart"/>
      <w:r w:rsidRPr="00FC6206">
        <w:t>particular interest</w:t>
      </w:r>
      <w:proofErr w:type="gramEnd"/>
      <w:r w:rsidRPr="00FC6206">
        <w:t xml:space="preserve"> in this study, respondents were asked </w:t>
      </w:r>
      <w:r w:rsidRPr="00FC6206">
        <w:rPr>
          <w:i/>
        </w:rPr>
        <w:t>“do you consider yourself to be . . .</w:t>
      </w:r>
      <w:r w:rsidR="00465D16">
        <w:rPr>
          <w:i/>
        </w:rPr>
        <w:t>”</w:t>
      </w:r>
      <w:r w:rsidRPr="00FC6206">
        <w:rPr>
          <w:i/>
        </w:rPr>
        <w:t xml:space="preserve">  </w:t>
      </w:r>
      <w:r w:rsidRPr="00FC6206">
        <w:t>with a range of response options (non/ex/occasional/light/social/heavy/binge drinker).  Respondents who reported consumption in the past twelve months were asked about their alcohol consumption using graduated frequency questions</w:t>
      </w:r>
      <w:r w:rsidR="00B13FA5">
        <w:t xml:space="preserve"> to </w:t>
      </w:r>
      <w:r w:rsidR="00465D16">
        <w:t xml:space="preserve">obtain </w:t>
      </w:r>
      <w:r w:rsidR="00B13FA5">
        <w:t xml:space="preserve">the total volume of consumption </w:t>
      </w:r>
      <w:r w:rsidR="009F2FBC" w:rsidRPr="00FC6206">
        <w:t xml:space="preserve">in </w:t>
      </w:r>
      <w:r w:rsidR="006E4F59">
        <w:t>ASDs</w:t>
      </w:r>
      <w:r w:rsidRPr="00FC6206">
        <w:t xml:space="preserve"> </w:t>
      </w:r>
      <w:r w:rsidR="00B13FA5">
        <w:t xml:space="preserve">for the previous twelve months.  </w:t>
      </w:r>
      <w:r w:rsidR="0085747C">
        <w:t xml:space="preserve">This was done using the midpoint of all provided ranges (e.g., 5-6 drinks = 5.5 </w:t>
      </w:r>
      <w:r w:rsidR="006E4F59">
        <w:t>ASD</w:t>
      </w:r>
      <w:r w:rsidR="0085747C">
        <w:t xml:space="preserve">) and with the total number of drinking days capped at 365 for the year.  </w:t>
      </w:r>
    </w:p>
    <w:p w14:paraId="2374CB4F" w14:textId="4398547F" w:rsidR="00A01425" w:rsidRPr="00FC6206" w:rsidRDefault="00B13FA5" w:rsidP="005B342A">
      <w:pPr>
        <w:spacing w:line="360" w:lineRule="auto"/>
      </w:pPr>
      <w:r>
        <w:t xml:space="preserve">This estimate of consumption </w:t>
      </w:r>
      <w:r w:rsidR="0085747C">
        <w:t>e</w:t>
      </w:r>
      <w:r>
        <w:t>nabled identification of those who were drinking outside of the National Health and Medical Research Council (NHMRC) guidelines for avoiding short and long term risk from alcohol consumption</w:t>
      </w:r>
      <w:r w:rsidR="00600603">
        <w:t xml:space="preserve"> </w:t>
      </w:r>
      <w:r w:rsidR="00600603">
        <w:fldChar w:fldCharType="begin"/>
      </w:r>
      <w:r w:rsidR="00600603">
        <w:instrText xml:space="preserve"> ADDIN EN.CITE &lt;EndNote&gt;&lt;Cite ExcludeAuth="1"&gt;&lt;Author&gt;National Health and Medical Research Council&lt;/Author&gt;&lt;Year&gt;2009&lt;/Year&gt;&lt;RecNum&gt;18&lt;/RecNum&gt;&lt;Prefix&gt;NHMRC`, &lt;/Prefix&gt;&lt;DisplayText&gt;(NHMRC, 2009)&lt;/DisplayText&gt;&lt;record&gt;&lt;rec-number&gt;18&lt;/rec-number&gt;&lt;foreign-keys&gt;&lt;key app="EN" db-id="rs9tpfev6ettzze20epxdx5od5x5sfv2vzf2" timestamp="1390954670"&gt;18&lt;/key&gt;&lt;/foreign-keys&gt;&lt;ref-type name="Report"&gt;27&lt;/ref-type&gt;&lt;contributors&gt;&lt;authors&gt;&lt;author&gt;National Health and Medical Research Council,&lt;/author&gt;&lt;/authors&gt;&lt;tertiary-authors&gt;&lt;author&gt;Commonwealth of Australia.&lt;/author&gt;&lt;/tertiary-authors&gt;&lt;/contributors&gt;&lt;titles&gt;&lt;title&gt;Australian Guidelines to Reduce Health Risk from Drinking Alcohol&lt;/title&gt;&lt;/titles&gt;&lt;dates&gt;&lt;year&gt;2009&lt;/year&gt;&lt;/dates&gt;&lt;urls&gt;&lt;/urls&gt;&lt;/record&gt;&lt;/Cite&gt;&lt;/EndNote&gt;</w:instrText>
      </w:r>
      <w:r w:rsidR="00600603">
        <w:fldChar w:fldCharType="separate"/>
      </w:r>
      <w:r w:rsidR="00600603">
        <w:rPr>
          <w:noProof/>
        </w:rPr>
        <w:t>(NHMRC, 2009)</w:t>
      </w:r>
      <w:r w:rsidR="00600603">
        <w:fldChar w:fldCharType="end"/>
      </w:r>
      <w:r>
        <w:t xml:space="preserve">.  Short term risky consumption is defined as more than four standard </w:t>
      </w:r>
      <w:r w:rsidR="006E4F59">
        <w:t>ASD</w:t>
      </w:r>
      <w:r>
        <w:t xml:space="preserve">s per occasion once a month or more and </w:t>
      </w:r>
      <w:proofErr w:type="gramStart"/>
      <w:r>
        <w:t>long term</w:t>
      </w:r>
      <w:proofErr w:type="gramEnd"/>
      <w:r>
        <w:t xml:space="preserve"> risky consumption as more than two </w:t>
      </w:r>
      <w:r w:rsidR="006E4F59">
        <w:t>ASD</w:t>
      </w:r>
      <w:r>
        <w:t>s per day on average.</w:t>
      </w:r>
      <w:r w:rsidR="00A01425" w:rsidRPr="00FC6206">
        <w:t xml:space="preserve">  </w:t>
      </w:r>
      <w:r>
        <w:t xml:space="preserve">The NDSHS also </w:t>
      </w:r>
      <w:r w:rsidR="00465D16">
        <w:t xml:space="preserve">includes </w:t>
      </w:r>
      <w:r>
        <w:t>the Alcohol Use Disorders Identification Test (AUDIT)</w:t>
      </w:r>
      <w:r w:rsidR="0085747C">
        <w:t xml:space="preserve"> questions</w:t>
      </w:r>
      <w:r w:rsidR="00465D16">
        <w:t>,</w:t>
      </w:r>
      <w:r>
        <w:t xml:space="preserve"> and </w:t>
      </w:r>
      <w:r w:rsidR="00FC635C">
        <w:t xml:space="preserve">in order to identify those </w:t>
      </w:r>
      <w:r w:rsidR="00C35975">
        <w:t>drinking at hi</w:t>
      </w:r>
      <w:r w:rsidR="00D562C7">
        <w:t>gh-risk</w:t>
      </w:r>
      <w:r w:rsidR="00C35975">
        <w:t xml:space="preserve"> levels as defined by the AUDIT </w:t>
      </w:r>
      <w:r w:rsidR="0085747C">
        <w:fldChar w:fldCharType="begin"/>
      </w:r>
      <w:r w:rsidR="0085747C">
        <w:instrText xml:space="preserve"> ADDIN EN.CITE &lt;EndNote&gt;&lt;Cite&gt;&lt;Author&gt;Babor&lt;/Author&gt;&lt;Year&gt;2001&lt;/Year&gt;&lt;RecNum&gt;345&lt;/RecNum&gt;&lt;DisplayText&gt;(Babor, Higgins-Biddle, Saunders, &amp;amp; Monteiro, 2001)&lt;/DisplayText&gt;&lt;record&gt;&lt;rec-number&gt;345&lt;/rec-number&gt;&lt;foreign-keys&gt;&lt;key app="EN" db-id="rs9tpfev6ettzze20epxdx5od5x5sfv2vzf2" timestamp="1469418566"&gt;345&lt;/key&gt;&lt;/foreign-keys&gt;&lt;ref-type name="Book"&gt;6&lt;/ref-type&gt;&lt;contributors&gt;&lt;authors&gt;&lt;author&gt;Babor, T.&lt;/author&gt;&lt;author&gt;Higgins-Biddle, J.&lt;/author&gt;&lt;author&gt;Saunders, J.&lt;/author&gt;&lt;author&gt;Monteiro, M.&lt;/author&gt;&lt;/authors&gt;&lt;/contributors&gt;&lt;titles&gt;&lt;title&gt;The Alcohol Use Disorders Identification Test: Guidelines for Use in Primary Care&lt;/title&gt;&lt;/titles&gt;&lt;edition&gt;2&lt;/edition&gt;&lt;dates&gt;&lt;year&gt;2001&lt;/year&gt;&lt;/dates&gt;&lt;pub-location&gt;Geneva&lt;/pub-location&gt;&lt;publisher&gt;World Health Organization&lt;/publisher&gt;&lt;urls&gt;&lt;/urls&gt;&lt;/record&gt;&lt;/Cite&gt;&lt;/EndNote&gt;</w:instrText>
      </w:r>
      <w:r w:rsidR="0085747C">
        <w:fldChar w:fldCharType="separate"/>
      </w:r>
      <w:r w:rsidR="0085747C">
        <w:rPr>
          <w:noProof/>
        </w:rPr>
        <w:t>(Babor, Higgins-Biddle, Saunders, &amp; Monteiro, 2001)</w:t>
      </w:r>
      <w:r w:rsidR="0085747C">
        <w:fldChar w:fldCharType="end"/>
      </w:r>
      <w:r w:rsidR="00465D16">
        <w:t>,</w:t>
      </w:r>
      <w:r w:rsidR="00FC635C">
        <w:t xml:space="preserve"> </w:t>
      </w:r>
      <w:r>
        <w:t xml:space="preserve">those who scored </w:t>
      </w:r>
      <w:r w:rsidR="00D83E67">
        <w:t>15 or higher</w:t>
      </w:r>
      <w:r>
        <w:t xml:space="preserve"> </w:t>
      </w:r>
      <w:r w:rsidR="00FC635C">
        <w:t xml:space="preserve">(roughly the top 5% of respondents) </w:t>
      </w:r>
      <w:r>
        <w:t xml:space="preserve">were </w:t>
      </w:r>
      <w:r w:rsidR="00FC635C">
        <w:t>identified in the current study</w:t>
      </w:r>
      <w:r>
        <w:t xml:space="preserve">.  </w:t>
      </w:r>
      <w:r w:rsidR="008677E9">
        <w:t xml:space="preserve">Heavy drinking occasions in this study were defined as an occasion where 11 or more </w:t>
      </w:r>
      <w:r w:rsidR="006E4F59">
        <w:t>ASD</w:t>
      </w:r>
      <w:r w:rsidR="008677E9">
        <w:t xml:space="preserve"> were consumed, in order to identify those occasions </w:t>
      </w:r>
      <w:r w:rsidR="00483D6D">
        <w:t xml:space="preserve">with more acute intoxication </w:t>
      </w:r>
      <w:r w:rsidR="008677E9">
        <w:t xml:space="preserve"> than those that place the respondent at </w:t>
      </w:r>
      <w:r w:rsidR="00D83E67">
        <w:t xml:space="preserve">increased </w:t>
      </w:r>
      <w:r w:rsidR="008677E9">
        <w:t xml:space="preserve">short term risk </w:t>
      </w:r>
      <w:r w:rsidR="008677E9">
        <w:fldChar w:fldCharType="begin"/>
      </w:r>
      <w:r w:rsidR="008677E9">
        <w:instrText xml:space="preserve"> ADDIN EN.CITE &lt;EndNote&gt;&lt;Cite&gt;&lt;Author&gt;Livingston&lt;/Author&gt;&lt;Year&gt;2008&lt;/Year&gt;&lt;RecNum&gt;346&lt;/RecNum&gt;&lt;DisplayText&gt;(Livingston, Laslett, &amp;amp; Dietze, 2008)&lt;/DisplayText&gt;&lt;record&gt;&lt;rec-number&gt;346&lt;/rec-number&gt;&lt;foreign-keys&gt;&lt;key app="EN" db-id="rs9tpfev6ettzze20epxdx5od5x5sfv2vzf2" timestamp="1469418921"&gt;346&lt;/key&gt;&lt;/foreign-keys&gt;&lt;ref-type name="Journal Article"&gt;17&lt;/ref-type&gt;&lt;contributors&gt;&lt;authors&gt;&lt;author&gt;Livingston, M., &lt;/author&gt;&lt;author&gt;Laslett, A-M.,&lt;/author&gt;&lt;author&gt;Dietze, P. &lt;/author&gt;&lt;/authors&gt;&lt;/contributors&gt;&lt;titles&gt;&lt;title&gt;Individual and community correlates of young people&amp;apos;s high-risk drinking in Victoria, Australia&lt;/title&gt;&lt;secondary-title&gt;Drug and Alcohol Dependence&lt;/secondary-title&gt;&lt;/titles&gt;&lt;periodical&gt;&lt;full-title&gt;Drug and Alcohol Dependence&lt;/full-title&gt;&lt;/periodical&gt;&lt;pages&gt;241-248&lt;/pages&gt;&lt;volume&gt;98&lt;/volume&gt;&lt;dates&gt;&lt;year&gt;2008&lt;/year&gt;&lt;/dates&gt;&lt;urls&gt;&lt;/urls&gt;&lt;/record&gt;&lt;/Cite&gt;&lt;/EndNote&gt;</w:instrText>
      </w:r>
      <w:r w:rsidR="008677E9">
        <w:fldChar w:fldCharType="separate"/>
      </w:r>
      <w:r w:rsidR="008677E9">
        <w:rPr>
          <w:noProof/>
        </w:rPr>
        <w:t>(Livingston, Laslett, &amp; Dietze, 2008)</w:t>
      </w:r>
      <w:r w:rsidR="008677E9">
        <w:fldChar w:fldCharType="end"/>
      </w:r>
      <w:r w:rsidR="00D84E17">
        <w:t xml:space="preserve"> </w:t>
      </w:r>
      <w:r w:rsidR="006E4F59">
        <w:t xml:space="preserve">that </w:t>
      </w:r>
      <w:r w:rsidR="00483D6D">
        <w:t>is roughly associated with neurological outcomes such as loss of self-control, lack of co-ordination and slurred speech (Welch, 2011)</w:t>
      </w:r>
      <w:r w:rsidR="008677E9">
        <w:t xml:space="preserve">.   </w:t>
      </w:r>
      <w:r>
        <w:t>In a separate section to the graduated frequency questions</w:t>
      </w:r>
      <w:r w:rsidR="00C35975">
        <w:t>,</w:t>
      </w:r>
      <w:r>
        <w:t xml:space="preserve"> respondents were also asked </w:t>
      </w:r>
      <w:r>
        <w:lastRenderedPageBreak/>
        <w:t>about their frequency of drinking and how much they would consume on a typical occasion</w:t>
      </w:r>
      <w:r w:rsidR="008404CD">
        <w:t>; responses to these items are used in</w:t>
      </w:r>
      <w:r w:rsidR="008677E9">
        <w:t xml:space="preserve"> Figure 1</w:t>
      </w:r>
      <w:r>
        <w:t xml:space="preserve">. </w:t>
      </w:r>
    </w:p>
    <w:p w14:paraId="52A8614D" w14:textId="77777777" w:rsidR="00A01425" w:rsidRPr="00FC6206" w:rsidRDefault="00A01425" w:rsidP="00A01425">
      <w:pPr>
        <w:rPr>
          <w:b/>
        </w:rPr>
      </w:pPr>
      <w:r w:rsidRPr="00FC6206">
        <w:rPr>
          <w:b/>
        </w:rPr>
        <w:t>Analysis</w:t>
      </w:r>
    </w:p>
    <w:p w14:paraId="20A9AB61" w14:textId="415DF333" w:rsidR="00A01425" w:rsidRPr="00FC6206" w:rsidRDefault="00A01425" w:rsidP="005B342A">
      <w:pPr>
        <w:spacing w:line="360" w:lineRule="auto"/>
      </w:pPr>
      <w:r w:rsidRPr="00FC6206">
        <w:t xml:space="preserve">Survey weights were used to </w:t>
      </w:r>
      <w:r w:rsidR="00191F30">
        <w:t>adjust for</w:t>
      </w:r>
      <w:r w:rsidRPr="00FC6206">
        <w:t xml:space="preserve"> differences from census statistics in age, sex, geographic location </w:t>
      </w:r>
      <w:r w:rsidR="00044FD9">
        <w:t>and</w:t>
      </w:r>
      <w:r w:rsidRPr="00FC6206">
        <w:t xml:space="preserve"> the </w:t>
      </w:r>
      <w:r w:rsidR="00B13FA5">
        <w:t>likelihood</w:t>
      </w:r>
      <w:r w:rsidRPr="00FC6206">
        <w:t xml:space="preserve"> of being asked to participate in the survey based on the number of household members.  </w:t>
      </w:r>
      <w:proofErr w:type="gramStart"/>
      <w:r w:rsidRPr="00FC6206">
        <w:t>With the exception of</w:t>
      </w:r>
      <w:proofErr w:type="gramEnd"/>
      <w:r w:rsidRPr="00FC6206">
        <w:t xml:space="preserve"> Table 1 all pr</w:t>
      </w:r>
      <w:r w:rsidR="008404CD">
        <w:t>esented results are weighted.  Weighted m</w:t>
      </w:r>
      <w:r w:rsidRPr="00FC6206">
        <w:t>eans</w:t>
      </w:r>
      <w:r w:rsidR="008404CD">
        <w:t>,</w:t>
      </w:r>
      <w:r w:rsidRPr="00FC6206">
        <w:t xml:space="preserve"> confidence intervals </w:t>
      </w:r>
      <w:r w:rsidR="008404CD">
        <w:t xml:space="preserve">and percentages </w:t>
      </w:r>
      <w:r w:rsidRPr="00FC6206">
        <w:t xml:space="preserve">were generated using Stata version 14 </w:t>
      </w:r>
      <w:r w:rsidR="00E8098B">
        <w:fldChar w:fldCharType="begin"/>
      </w:r>
      <w:r w:rsidR="00E8098B">
        <w:instrText xml:space="preserve"> ADDIN EN.CITE &lt;EndNote&gt;&lt;Cite&gt;&lt;Author&gt;StataCorp&lt;/Author&gt;&lt;Year&gt;2015&lt;/Year&gt;&lt;RecNum&gt;304&lt;/RecNum&gt;&lt;DisplayText&gt;(StataCorp, 2015)&lt;/DisplayText&gt;&lt;record&gt;&lt;rec-number&gt;304&lt;/rec-number&gt;&lt;foreign-keys&gt;&lt;key app="EN" db-id="rs9tpfev6ettzze20epxdx5od5x5sfv2vzf2" timestamp="1447308144"&gt;304&lt;/key&gt;&lt;/foreign-keys&gt;&lt;ref-type name="Computer Program"&gt;9&lt;/ref-type&gt;&lt;contributors&gt;&lt;authors&gt;&lt;author&gt;StataCorp&lt;/author&gt;&lt;/authors&gt;&lt;/contributors&gt;&lt;titles&gt;&lt;title&gt;Stata/MP 14.0 for Windows.&lt;/title&gt;&lt;/titles&gt;&lt;dates&gt;&lt;year&gt;2015&lt;/year&gt;&lt;/dates&gt;&lt;pub-location&gt;College Station TX 77845&lt;/pub-location&gt;&lt;publisher&gt;StataCorp LP&lt;/publisher&gt;&lt;urls&gt;&lt;/urls&gt;&lt;/record&gt;&lt;/Cite&gt;&lt;/EndNote&gt;</w:instrText>
      </w:r>
      <w:r w:rsidR="00E8098B">
        <w:fldChar w:fldCharType="separate"/>
      </w:r>
      <w:r w:rsidR="00E8098B">
        <w:rPr>
          <w:noProof/>
        </w:rPr>
        <w:t>(StataCorp, 2015)</w:t>
      </w:r>
      <w:r w:rsidR="00E8098B">
        <w:fldChar w:fldCharType="end"/>
      </w:r>
      <w:r w:rsidRPr="00FC6206">
        <w:t xml:space="preserve">.  </w:t>
      </w:r>
      <w:r w:rsidR="003D21E5">
        <w:t xml:space="preserve">Bivariate logistic regressions with social drinker self-identification as the outcome variable and number of years since 2000 (i.e., 2001=1, 2013 = 13) as a predictor variable within each of the demographic categories was used to identify trends in identification over time.  </w:t>
      </w:r>
    </w:p>
    <w:p w14:paraId="28206B00" w14:textId="77777777" w:rsidR="00A01425" w:rsidRPr="00FC6206" w:rsidRDefault="00A01425" w:rsidP="00A01425">
      <w:pPr>
        <w:rPr>
          <w:b/>
        </w:rPr>
      </w:pPr>
      <w:r w:rsidRPr="00FC6206">
        <w:rPr>
          <w:b/>
        </w:rPr>
        <w:t>Results</w:t>
      </w:r>
    </w:p>
    <w:p w14:paraId="69C6ECF4" w14:textId="70492F0B" w:rsidR="007C2393" w:rsidRDefault="00C063F0" w:rsidP="005B342A">
      <w:pPr>
        <w:spacing w:line="360" w:lineRule="auto"/>
      </w:pPr>
      <w:r w:rsidRPr="00FC6206">
        <w:t>F</w:t>
      </w:r>
      <w:r w:rsidR="00A01425" w:rsidRPr="00FC6206">
        <w:t xml:space="preserve">igure 1 </w:t>
      </w:r>
      <w:r w:rsidR="00D562C7">
        <w:t xml:space="preserve">shows </w:t>
      </w:r>
      <w:r w:rsidR="00A01425" w:rsidRPr="00FC6206">
        <w:t xml:space="preserve">the mean number of </w:t>
      </w:r>
      <w:r w:rsidR="006E4F59">
        <w:t>ASD</w:t>
      </w:r>
      <w:r w:rsidR="00A01425" w:rsidRPr="00FC6206">
        <w:t>s per occasion and frequency of</w:t>
      </w:r>
      <w:r w:rsidR="00D562C7">
        <w:t xml:space="preserve"> alcohol</w:t>
      </w:r>
      <w:r w:rsidR="00A01425" w:rsidRPr="00FC6206">
        <w:t xml:space="preserve"> consumption </w:t>
      </w:r>
      <w:r w:rsidR="00D562C7">
        <w:t>reported by respondents, along with how they self-identif</w:t>
      </w:r>
      <w:r w:rsidR="00134994">
        <w:t>ied in terms of their drinking</w:t>
      </w:r>
      <w:r w:rsidR="00A01425" w:rsidRPr="00FC6206">
        <w:t xml:space="preserve">.  As can be seen there </w:t>
      </w:r>
      <w:r w:rsidR="00D562C7">
        <w:t xml:space="preserve">does </w:t>
      </w:r>
      <w:r w:rsidR="00A01425" w:rsidRPr="00FC6206">
        <w:t xml:space="preserve">appear to </w:t>
      </w:r>
      <w:r w:rsidR="00D562C7">
        <w:t xml:space="preserve">be </w:t>
      </w:r>
      <w:r w:rsidR="00A01425" w:rsidRPr="00FC6206">
        <w:t xml:space="preserve">some </w:t>
      </w:r>
      <w:r w:rsidR="00F56C5D">
        <w:t>agreement between</w:t>
      </w:r>
      <w:r w:rsidR="00A01425" w:rsidRPr="00FC6206">
        <w:t xml:space="preserve"> how people </w:t>
      </w:r>
      <w:r w:rsidR="00D562C7">
        <w:t xml:space="preserve">categorise </w:t>
      </w:r>
      <w:r w:rsidR="00A01425" w:rsidRPr="00FC6206">
        <w:t xml:space="preserve">their drinking </w:t>
      </w:r>
      <w:r w:rsidR="00D562C7">
        <w:t xml:space="preserve">type </w:t>
      </w:r>
      <w:r w:rsidR="00A01425" w:rsidRPr="00FC6206">
        <w:t>and their reported consumption, for instance heavy drinkers dr</w:t>
      </w:r>
      <w:r w:rsidR="00F56C5D">
        <w:t>a</w:t>
      </w:r>
      <w:r w:rsidR="00A01425" w:rsidRPr="00FC6206">
        <w:t>nk the most frequently, while binge drinkers dr</w:t>
      </w:r>
      <w:r w:rsidR="00F56C5D">
        <w:t>a</w:t>
      </w:r>
      <w:r w:rsidR="00A01425" w:rsidRPr="00FC6206">
        <w:t>nk more when they d</w:t>
      </w:r>
      <w:r w:rsidR="00F56C5D">
        <w:t>id</w:t>
      </w:r>
      <w:r w:rsidR="00A01425" w:rsidRPr="00FC6206">
        <w:t xml:space="preserve"> drink.  Light drinkers </w:t>
      </w:r>
      <w:r w:rsidR="00F56C5D">
        <w:t>we</w:t>
      </w:r>
      <w:r w:rsidR="00A01425" w:rsidRPr="00FC6206">
        <w:t xml:space="preserve">re the second most regular </w:t>
      </w:r>
      <w:proofErr w:type="gramStart"/>
      <w:r w:rsidR="00A01425" w:rsidRPr="00FC6206">
        <w:t>drinkers, but</w:t>
      </w:r>
      <w:proofErr w:type="gramEnd"/>
      <w:r w:rsidR="00A01425" w:rsidRPr="00FC6206">
        <w:t xml:space="preserve"> dr</w:t>
      </w:r>
      <w:r w:rsidR="00F56C5D">
        <w:t>a</w:t>
      </w:r>
      <w:r w:rsidR="00A01425" w:rsidRPr="00FC6206">
        <w:t>nk about 2.</w:t>
      </w:r>
      <w:r w:rsidR="006522DB">
        <w:t>6</w:t>
      </w:r>
      <w:r w:rsidR="00A01425" w:rsidRPr="00FC6206">
        <w:t xml:space="preserve"> </w:t>
      </w:r>
      <w:r w:rsidR="006E4F59">
        <w:t>ASD</w:t>
      </w:r>
      <w:r w:rsidR="00A01425" w:rsidRPr="00FC6206">
        <w:t>s per occasion while social drinkers dr</w:t>
      </w:r>
      <w:r w:rsidR="00F56C5D">
        <w:t>a</w:t>
      </w:r>
      <w:r w:rsidR="00A01425" w:rsidRPr="00FC6206">
        <w:t>nk less often but dr</w:t>
      </w:r>
      <w:r w:rsidR="00F56C5D">
        <w:t>a</w:t>
      </w:r>
      <w:r w:rsidR="00A01425" w:rsidRPr="00FC6206">
        <w:t xml:space="preserve">nk about </w:t>
      </w:r>
      <w:r w:rsidR="00984AA2">
        <w:t xml:space="preserve">4.9 </w:t>
      </w:r>
      <w:r w:rsidR="006E4F59">
        <w:t>ASD</w:t>
      </w:r>
      <w:r w:rsidR="00A01425" w:rsidRPr="00FC6206">
        <w:t>s per occasion</w:t>
      </w:r>
      <w:r w:rsidR="00FC6206">
        <w:t xml:space="preserve"> when they d</w:t>
      </w:r>
      <w:r w:rsidR="00F56C5D">
        <w:t>id</w:t>
      </w:r>
      <w:r w:rsidR="00FC6206">
        <w:t xml:space="preserve"> drink</w:t>
      </w:r>
      <w:r w:rsidR="00A01425" w:rsidRPr="00FC6206">
        <w:t>.</w:t>
      </w:r>
    </w:p>
    <w:p w14:paraId="00A0DBDF" w14:textId="7396EA30" w:rsidR="0041685B" w:rsidRDefault="00A01425" w:rsidP="005B302F">
      <w:pPr>
        <w:spacing w:line="360" w:lineRule="auto"/>
      </w:pPr>
      <w:r w:rsidRPr="00FC6206">
        <w:t xml:space="preserve">The </w:t>
      </w:r>
      <w:r w:rsidR="00F56C5D" w:rsidRPr="00FC6206">
        <w:t>p</w:t>
      </w:r>
      <w:r w:rsidR="00F56C5D">
        <w:t>roportion</w:t>
      </w:r>
      <w:r w:rsidR="00F56C5D" w:rsidRPr="00FC6206">
        <w:t xml:space="preserve"> </w:t>
      </w:r>
      <w:r w:rsidRPr="00FC6206">
        <w:t>of respondents who identified as each drinker type</w:t>
      </w:r>
      <w:r w:rsidR="008404CD">
        <w:t xml:space="preserve"> in 2013</w:t>
      </w:r>
      <w:r w:rsidR="00D83E67">
        <w:t>,</w:t>
      </w:r>
      <w:r w:rsidRPr="00FC6206">
        <w:t xml:space="preserve"> along with the percentage of people within each of these groups who drank </w:t>
      </w:r>
      <w:r w:rsidR="00100C84">
        <w:t xml:space="preserve">at levels </w:t>
      </w:r>
      <w:r w:rsidR="0087371F">
        <w:t xml:space="preserve">above </w:t>
      </w:r>
      <w:r w:rsidR="00100C84">
        <w:t xml:space="preserve">the </w:t>
      </w:r>
      <w:r w:rsidRPr="00FC6206">
        <w:t xml:space="preserve">long </w:t>
      </w:r>
      <w:r w:rsidR="00D562C7">
        <w:t xml:space="preserve">and </w:t>
      </w:r>
      <w:r w:rsidRPr="00FC6206">
        <w:t xml:space="preserve">short term </w:t>
      </w:r>
      <w:r w:rsidR="00100C84">
        <w:t>guidelines</w:t>
      </w:r>
      <w:r w:rsidR="00D562C7">
        <w:t xml:space="preserve"> defined by the NHMRC</w:t>
      </w:r>
      <w:r w:rsidR="00100C84">
        <w:t xml:space="preserve"> (</w:t>
      </w:r>
      <w:r w:rsidR="00D775B2">
        <w:t>2009</w:t>
      </w:r>
      <w:r w:rsidR="00100C84">
        <w:t>)</w:t>
      </w:r>
      <w:r w:rsidR="00D562C7">
        <w:t xml:space="preserve">, </w:t>
      </w:r>
      <w:r w:rsidRPr="00FC6206">
        <w:t xml:space="preserve">and </w:t>
      </w:r>
      <w:r w:rsidR="00100C84">
        <w:t xml:space="preserve">the proportion who </w:t>
      </w:r>
      <w:r w:rsidRPr="00FC6206">
        <w:t>would be considered high risk drinkers based on the AUDIT</w:t>
      </w:r>
      <w:r w:rsidR="00D562C7">
        <w:t xml:space="preserve"> (</w:t>
      </w:r>
      <w:proofErr w:type="spellStart"/>
      <w:r w:rsidR="00D775B2">
        <w:t>Babor</w:t>
      </w:r>
      <w:proofErr w:type="spellEnd"/>
      <w:r w:rsidR="00D775B2">
        <w:t xml:space="preserve"> et al., 2001</w:t>
      </w:r>
      <w:r w:rsidR="00D562C7">
        <w:t>),</w:t>
      </w:r>
      <w:r w:rsidRPr="00FC6206">
        <w:t xml:space="preserve"> are shown</w:t>
      </w:r>
      <w:r w:rsidR="00F56C5D">
        <w:t xml:space="preserve"> in Table 2</w:t>
      </w:r>
      <w:r w:rsidRPr="00FC6206">
        <w:t xml:space="preserve">. The most </w:t>
      </w:r>
      <w:r w:rsidR="00205DA6" w:rsidRPr="00FC6206">
        <w:t xml:space="preserve">common </w:t>
      </w:r>
      <w:r w:rsidRPr="00FC6206">
        <w:t xml:space="preserve">drinker type was non-drinker, followed by occasional drinker and then social drinker.  There </w:t>
      </w:r>
      <w:r w:rsidR="00F56C5D">
        <w:t>wa</w:t>
      </w:r>
      <w:r w:rsidRPr="00FC6206">
        <w:t xml:space="preserve">s a higher proportion of drinkers drinking outside of the </w:t>
      </w:r>
      <w:proofErr w:type="gramStart"/>
      <w:r w:rsidRPr="00FC6206">
        <w:t>short term</w:t>
      </w:r>
      <w:proofErr w:type="gramEnd"/>
      <w:r w:rsidRPr="00FC6206">
        <w:t xml:space="preserve"> risk guidelines than the long term risk guidelines in all drinker types except for ex-drinkers and heavy drinkers.  </w:t>
      </w:r>
      <w:r w:rsidR="00127DA4">
        <w:t xml:space="preserve">Based on the AUDIT, there were higher proportions of high-risk drinkers in the self-identified ‘heavy’ and ‘binge’ drinker groups. Nearly 10% of self-described social drinkers had AUDIT scores that qualified as high risk.  </w:t>
      </w:r>
      <w:r w:rsidR="00100C84">
        <w:t>Interestingly, a substantial proportion of self-described light drinkers reported consumption levels above the short-term (29.7%) and long-term (17.3%) guidelines.</w:t>
      </w:r>
      <w:r w:rsidR="0041685B">
        <w:br w:type="page"/>
      </w:r>
    </w:p>
    <w:p w14:paraId="4CCA229D" w14:textId="719873D6" w:rsidR="00C063F0" w:rsidRPr="00FC6206" w:rsidRDefault="00C063F0" w:rsidP="003D21E5">
      <w:pPr>
        <w:spacing w:after="0"/>
      </w:pPr>
      <w:r w:rsidRPr="00FC6206">
        <w:lastRenderedPageBreak/>
        <w:t xml:space="preserve">Table 2.  Proportion of respondents drinking </w:t>
      </w:r>
      <w:r w:rsidR="00D86EE2" w:rsidRPr="00FC6206">
        <w:t xml:space="preserve">riskily based on the NHMRC’s long term and </w:t>
      </w:r>
      <w:proofErr w:type="gramStart"/>
      <w:r w:rsidR="00D86EE2" w:rsidRPr="00FC6206">
        <w:t>short term</w:t>
      </w:r>
      <w:proofErr w:type="gramEnd"/>
      <w:r w:rsidR="00D86EE2" w:rsidRPr="00FC6206">
        <w:t xml:space="preserve"> risky guidelines and </w:t>
      </w:r>
      <w:r w:rsidR="00127DA4">
        <w:t xml:space="preserve">high risk </w:t>
      </w:r>
      <w:r w:rsidR="005575D7">
        <w:t>AUDIT scores</w:t>
      </w:r>
      <w:r w:rsidR="00191F30">
        <w:t xml:space="preserve"> in 2013</w:t>
      </w:r>
      <w:r w:rsidR="00D86EE2" w:rsidRPr="00FC6206">
        <w:t>.</w:t>
      </w:r>
    </w:p>
    <w:tbl>
      <w:tblPr>
        <w:tblW w:w="9026" w:type="dxa"/>
        <w:tblBorders>
          <w:bottom w:val="single" w:sz="4" w:space="0" w:color="auto"/>
        </w:tblBorders>
        <w:tblLook w:val="04A0" w:firstRow="1" w:lastRow="0" w:firstColumn="1" w:lastColumn="0" w:noHBand="0" w:noVBand="1"/>
      </w:tblPr>
      <w:tblGrid>
        <w:gridCol w:w="1985"/>
        <w:gridCol w:w="1701"/>
        <w:gridCol w:w="1701"/>
        <w:gridCol w:w="1843"/>
        <w:gridCol w:w="1796"/>
      </w:tblGrid>
      <w:tr w:rsidR="00A01425" w:rsidRPr="00FC6206" w14:paraId="44E0A1F6" w14:textId="77777777" w:rsidTr="00B336F5">
        <w:trPr>
          <w:trHeight w:val="252"/>
        </w:trPr>
        <w:tc>
          <w:tcPr>
            <w:tcW w:w="1985" w:type="dxa"/>
            <w:tcBorders>
              <w:top w:val="single" w:sz="4" w:space="0" w:color="auto"/>
              <w:bottom w:val="single" w:sz="4" w:space="0" w:color="auto"/>
            </w:tcBorders>
            <w:shd w:val="clear" w:color="auto" w:fill="auto"/>
            <w:noWrap/>
            <w:vAlign w:val="center"/>
            <w:hideMark/>
          </w:tcPr>
          <w:p w14:paraId="33D0FC3A" w14:textId="77777777" w:rsidR="00A01425" w:rsidRPr="00FC6206" w:rsidRDefault="00A01425" w:rsidP="00B336F5">
            <w:pPr>
              <w:spacing w:after="0" w:line="240" w:lineRule="auto"/>
              <w:rPr>
                <w:rFonts w:eastAsia="Times New Roman"/>
                <w:lang w:eastAsia="en-AU"/>
              </w:rPr>
            </w:pPr>
          </w:p>
        </w:tc>
        <w:tc>
          <w:tcPr>
            <w:tcW w:w="1701" w:type="dxa"/>
            <w:tcBorders>
              <w:top w:val="single" w:sz="4" w:space="0" w:color="auto"/>
              <w:bottom w:val="single" w:sz="4" w:space="0" w:color="auto"/>
            </w:tcBorders>
            <w:vAlign w:val="center"/>
          </w:tcPr>
          <w:p w14:paraId="73691CD3" w14:textId="4D58569B" w:rsidR="00A01425" w:rsidRPr="00FC6206" w:rsidRDefault="00100C84" w:rsidP="00B336F5">
            <w:pPr>
              <w:spacing w:after="0" w:line="240" w:lineRule="auto"/>
              <w:rPr>
                <w:rFonts w:eastAsia="Times New Roman"/>
                <w:b/>
                <w:color w:val="000000"/>
                <w:lang w:eastAsia="en-AU"/>
              </w:rPr>
            </w:pPr>
            <w:r>
              <w:rPr>
                <w:rFonts w:eastAsia="Times New Roman"/>
                <w:b/>
                <w:color w:val="000000"/>
                <w:lang w:eastAsia="en-AU"/>
              </w:rPr>
              <w:t>Prevalence (</w:t>
            </w:r>
            <w:r w:rsidR="00A01425" w:rsidRPr="00FC6206">
              <w:rPr>
                <w:rFonts w:eastAsia="Times New Roman"/>
                <w:b/>
                <w:color w:val="000000"/>
                <w:lang w:eastAsia="en-AU"/>
              </w:rPr>
              <w:t>%</w:t>
            </w:r>
            <w:r>
              <w:rPr>
                <w:rFonts w:eastAsia="Times New Roman"/>
                <w:b/>
                <w:color w:val="000000"/>
                <w:lang w:eastAsia="en-AU"/>
              </w:rPr>
              <w:t>)</w:t>
            </w:r>
            <w:r w:rsidR="00A01425" w:rsidRPr="00FC6206">
              <w:rPr>
                <w:rFonts w:eastAsia="Times New Roman"/>
                <w:b/>
                <w:color w:val="000000"/>
                <w:lang w:eastAsia="en-AU"/>
              </w:rPr>
              <w:t xml:space="preserve"> </w:t>
            </w:r>
          </w:p>
        </w:tc>
        <w:tc>
          <w:tcPr>
            <w:tcW w:w="1701" w:type="dxa"/>
            <w:tcBorders>
              <w:top w:val="single" w:sz="4" w:space="0" w:color="auto"/>
              <w:bottom w:val="single" w:sz="4" w:space="0" w:color="auto"/>
            </w:tcBorders>
            <w:shd w:val="clear" w:color="auto" w:fill="auto"/>
            <w:noWrap/>
            <w:vAlign w:val="center"/>
            <w:hideMark/>
          </w:tcPr>
          <w:p w14:paraId="2283D01A" w14:textId="50FF46FC" w:rsidR="00A01425" w:rsidRPr="00FC6206" w:rsidRDefault="00A01425" w:rsidP="00B336F5">
            <w:pPr>
              <w:spacing w:after="0" w:line="240" w:lineRule="auto"/>
              <w:rPr>
                <w:rFonts w:eastAsia="Times New Roman"/>
                <w:b/>
                <w:color w:val="000000"/>
                <w:lang w:eastAsia="en-AU"/>
              </w:rPr>
            </w:pPr>
            <w:r w:rsidRPr="00FC6206">
              <w:rPr>
                <w:rFonts w:eastAsia="Times New Roman"/>
                <w:b/>
                <w:color w:val="000000"/>
                <w:lang w:eastAsia="en-AU"/>
              </w:rPr>
              <w:t>Long Term Risk</w:t>
            </w:r>
            <w:r w:rsidR="00100C84">
              <w:rPr>
                <w:rFonts w:eastAsia="Times New Roman"/>
                <w:b/>
                <w:color w:val="000000"/>
                <w:lang w:eastAsia="en-AU"/>
              </w:rPr>
              <w:t xml:space="preserve"> (%)</w:t>
            </w:r>
          </w:p>
        </w:tc>
        <w:tc>
          <w:tcPr>
            <w:tcW w:w="1843" w:type="dxa"/>
            <w:tcBorders>
              <w:top w:val="single" w:sz="4" w:space="0" w:color="auto"/>
              <w:bottom w:val="single" w:sz="4" w:space="0" w:color="auto"/>
            </w:tcBorders>
            <w:shd w:val="clear" w:color="auto" w:fill="auto"/>
            <w:noWrap/>
            <w:vAlign w:val="center"/>
            <w:hideMark/>
          </w:tcPr>
          <w:p w14:paraId="35D33C41" w14:textId="6C5317BF" w:rsidR="00A01425" w:rsidRPr="00FC6206" w:rsidRDefault="00A01425" w:rsidP="00B336F5">
            <w:pPr>
              <w:spacing w:after="0" w:line="240" w:lineRule="auto"/>
              <w:rPr>
                <w:rFonts w:eastAsia="Times New Roman"/>
                <w:b/>
                <w:color w:val="000000"/>
                <w:lang w:eastAsia="en-AU"/>
              </w:rPr>
            </w:pPr>
            <w:r w:rsidRPr="00FC6206">
              <w:rPr>
                <w:rFonts w:eastAsia="Times New Roman"/>
                <w:b/>
                <w:color w:val="000000"/>
                <w:lang w:eastAsia="en-AU"/>
              </w:rPr>
              <w:t>Short Term Risk</w:t>
            </w:r>
            <w:r w:rsidR="00100C84">
              <w:rPr>
                <w:rFonts w:eastAsia="Times New Roman"/>
                <w:b/>
                <w:color w:val="000000"/>
                <w:lang w:eastAsia="en-AU"/>
              </w:rPr>
              <w:t xml:space="preserve"> (%)</w:t>
            </w:r>
          </w:p>
        </w:tc>
        <w:tc>
          <w:tcPr>
            <w:tcW w:w="1796" w:type="dxa"/>
            <w:tcBorders>
              <w:top w:val="single" w:sz="4" w:space="0" w:color="auto"/>
              <w:bottom w:val="single" w:sz="4" w:space="0" w:color="auto"/>
            </w:tcBorders>
            <w:shd w:val="clear" w:color="auto" w:fill="auto"/>
            <w:noWrap/>
            <w:vAlign w:val="center"/>
            <w:hideMark/>
          </w:tcPr>
          <w:p w14:paraId="03BB560B" w14:textId="4AC2F14C" w:rsidR="00A01425" w:rsidRPr="00FC6206" w:rsidRDefault="00D562C7" w:rsidP="008B284E">
            <w:pPr>
              <w:spacing w:after="0" w:line="240" w:lineRule="auto"/>
              <w:rPr>
                <w:rFonts w:eastAsia="Times New Roman"/>
                <w:b/>
                <w:color w:val="000000"/>
                <w:lang w:eastAsia="en-AU"/>
              </w:rPr>
            </w:pPr>
            <w:r>
              <w:rPr>
                <w:rFonts w:eastAsia="Times New Roman"/>
                <w:b/>
                <w:color w:val="000000"/>
                <w:lang w:eastAsia="en-AU"/>
              </w:rPr>
              <w:t xml:space="preserve">High-risk </w:t>
            </w:r>
            <w:r w:rsidR="008B284E">
              <w:rPr>
                <w:rFonts w:eastAsia="Times New Roman"/>
                <w:b/>
                <w:color w:val="000000"/>
                <w:lang w:eastAsia="en-AU"/>
              </w:rPr>
              <w:t>(</w:t>
            </w:r>
            <w:r w:rsidR="00A01425" w:rsidRPr="00FC6206">
              <w:rPr>
                <w:rFonts w:eastAsia="Times New Roman"/>
                <w:b/>
                <w:color w:val="000000"/>
                <w:lang w:eastAsia="en-AU"/>
              </w:rPr>
              <w:t>AUDIT</w:t>
            </w:r>
            <w:r w:rsidR="008B284E">
              <w:rPr>
                <w:rFonts w:eastAsia="Times New Roman"/>
                <w:b/>
                <w:color w:val="000000"/>
                <w:lang w:eastAsia="en-AU"/>
              </w:rPr>
              <w:t>)</w:t>
            </w:r>
            <w:r w:rsidR="00100C84">
              <w:rPr>
                <w:rFonts w:eastAsia="Times New Roman"/>
                <w:b/>
                <w:color w:val="000000"/>
                <w:lang w:eastAsia="en-AU"/>
              </w:rPr>
              <w:t xml:space="preserve"> (%)</w:t>
            </w:r>
          </w:p>
        </w:tc>
      </w:tr>
      <w:tr w:rsidR="00A01425" w:rsidRPr="00FC6206" w14:paraId="515688E3" w14:textId="77777777" w:rsidTr="00B336F5">
        <w:trPr>
          <w:trHeight w:val="300"/>
        </w:trPr>
        <w:tc>
          <w:tcPr>
            <w:tcW w:w="1985" w:type="dxa"/>
            <w:tcBorders>
              <w:top w:val="single" w:sz="4" w:space="0" w:color="auto"/>
            </w:tcBorders>
            <w:shd w:val="clear" w:color="auto" w:fill="auto"/>
            <w:noWrap/>
            <w:vAlign w:val="center"/>
            <w:hideMark/>
          </w:tcPr>
          <w:p w14:paraId="78B23C85" w14:textId="53D25E9E"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Non-drinker</w:t>
            </w:r>
          </w:p>
        </w:tc>
        <w:tc>
          <w:tcPr>
            <w:tcW w:w="1701" w:type="dxa"/>
            <w:tcBorders>
              <w:top w:val="single" w:sz="4" w:space="0" w:color="auto"/>
            </w:tcBorders>
            <w:vAlign w:val="center"/>
          </w:tcPr>
          <w:p w14:paraId="68C8B892" w14:textId="090FDD3C" w:rsidR="00A01425" w:rsidRPr="00FC6206" w:rsidRDefault="00A01425" w:rsidP="005575D7">
            <w:pPr>
              <w:spacing w:after="0" w:line="240" w:lineRule="auto"/>
              <w:rPr>
                <w:rFonts w:eastAsia="Times New Roman"/>
                <w:color w:val="000000"/>
                <w:lang w:eastAsia="en-AU"/>
              </w:rPr>
            </w:pPr>
            <w:r w:rsidRPr="00FC6206">
              <w:rPr>
                <w:rFonts w:eastAsia="Times New Roman"/>
                <w:color w:val="000000"/>
                <w:lang w:eastAsia="en-AU"/>
              </w:rPr>
              <w:t>28.</w:t>
            </w:r>
            <w:r w:rsidR="005575D7">
              <w:rPr>
                <w:rFonts w:eastAsia="Times New Roman"/>
                <w:color w:val="000000"/>
                <w:lang w:eastAsia="en-AU"/>
              </w:rPr>
              <w:t>5 (27.8</w:t>
            </w:r>
            <w:r w:rsidRPr="00FC6206">
              <w:rPr>
                <w:rFonts w:eastAsia="Times New Roman"/>
                <w:color w:val="000000"/>
                <w:lang w:eastAsia="en-AU"/>
              </w:rPr>
              <w:t>-2</w:t>
            </w:r>
            <w:r w:rsidR="005575D7">
              <w:rPr>
                <w:rFonts w:eastAsia="Times New Roman"/>
                <w:color w:val="000000"/>
                <w:lang w:eastAsia="en-AU"/>
              </w:rPr>
              <w:t>9</w:t>
            </w:r>
            <w:r w:rsidRPr="00FC6206">
              <w:rPr>
                <w:rFonts w:eastAsia="Times New Roman"/>
                <w:color w:val="000000"/>
                <w:lang w:eastAsia="en-AU"/>
              </w:rPr>
              <w:t>.</w:t>
            </w:r>
            <w:r w:rsidR="005575D7">
              <w:rPr>
                <w:rFonts w:eastAsia="Times New Roman"/>
                <w:color w:val="000000"/>
                <w:lang w:eastAsia="en-AU"/>
              </w:rPr>
              <w:t>3</w:t>
            </w:r>
            <w:r w:rsidRPr="00FC6206">
              <w:rPr>
                <w:rFonts w:eastAsia="Times New Roman"/>
                <w:color w:val="000000"/>
                <w:lang w:eastAsia="en-AU"/>
              </w:rPr>
              <w:t>)</w:t>
            </w:r>
          </w:p>
        </w:tc>
        <w:tc>
          <w:tcPr>
            <w:tcW w:w="1701" w:type="dxa"/>
            <w:tcBorders>
              <w:top w:val="single" w:sz="4" w:space="0" w:color="auto"/>
            </w:tcBorders>
            <w:shd w:val="clear" w:color="auto" w:fill="auto"/>
            <w:noWrap/>
            <w:vAlign w:val="center"/>
            <w:hideMark/>
          </w:tcPr>
          <w:p w14:paraId="775D956C" w14:textId="42DDE71F" w:rsidR="00A01425" w:rsidRPr="00FC6206" w:rsidRDefault="00A01425" w:rsidP="005575D7">
            <w:pPr>
              <w:spacing w:after="0" w:line="240" w:lineRule="auto"/>
              <w:rPr>
                <w:rFonts w:eastAsia="Times New Roman"/>
                <w:color w:val="000000"/>
                <w:lang w:eastAsia="en-AU"/>
              </w:rPr>
            </w:pPr>
            <w:r w:rsidRPr="00FC6206">
              <w:rPr>
                <w:rFonts w:eastAsia="Times New Roman"/>
                <w:color w:val="000000"/>
                <w:lang w:eastAsia="en-AU"/>
              </w:rPr>
              <w:t>0.</w:t>
            </w:r>
            <w:r w:rsidR="005575D7">
              <w:rPr>
                <w:rFonts w:eastAsia="Times New Roman"/>
                <w:color w:val="000000"/>
                <w:lang w:eastAsia="en-AU"/>
              </w:rPr>
              <w:t>5</w:t>
            </w:r>
            <w:r w:rsidRPr="00FC6206">
              <w:rPr>
                <w:rFonts w:eastAsia="Times New Roman"/>
                <w:color w:val="000000"/>
                <w:lang w:eastAsia="en-AU"/>
              </w:rPr>
              <w:t xml:space="preserve"> (0.4, 0.9)</w:t>
            </w:r>
          </w:p>
        </w:tc>
        <w:tc>
          <w:tcPr>
            <w:tcW w:w="1843" w:type="dxa"/>
            <w:tcBorders>
              <w:top w:val="single" w:sz="4" w:space="0" w:color="auto"/>
            </w:tcBorders>
            <w:shd w:val="clear" w:color="auto" w:fill="auto"/>
            <w:noWrap/>
            <w:vAlign w:val="center"/>
            <w:hideMark/>
          </w:tcPr>
          <w:p w14:paraId="5C3A4F03" w14:textId="26BC4776" w:rsidR="00A01425" w:rsidRPr="00FC6206" w:rsidRDefault="009F74EE" w:rsidP="00B336F5">
            <w:pPr>
              <w:spacing w:after="0" w:line="240" w:lineRule="auto"/>
              <w:rPr>
                <w:rFonts w:eastAsia="Times New Roman"/>
                <w:color w:val="000000"/>
                <w:lang w:eastAsia="en-AU"/>
              </w:rPr>
            </w:pPr>
            <w:r w:rsidRPr="00FC6206">
              <w:rPr>
                <w:rFonts w:eastAsia="Times New Roman"/>
                <w:color w:val="000000"/>
                <w:lang w:eastAsia="en-AU"/>
              </w:rPr>
              <w:t>1.7</w:t>
            </w:r>
            <w:r w:rsidR="00A01425" w:rsidRPr="00FC6206">
              <w:rPr>
                <w:rFonts w:eastAsia="Times New Roman"/>
                <w:color w:val="000000"/>
                <w:lang w:eastAsia="en-AU"/>
              </w:rPr>
              <w:t xml:space="preserve"> (</w:t>
            </w:r>
            <w:r w:rsidRPr="00FC6206">
              <w:rPr>
                <w:rFonts w:eastAsia="Times New Roman"/>
                <w:color w:val="000000"/>
                <w:lang w:eastAsia="en-AU"/>
              </w:rPr>
              <w:t>1.3-2.1</w:t>
            </w:r>
            <w:r w:rsidR="00A01425" w:rsidRPr="00FC6206">
              <w:rPr>
                <w:rFonts w:eastAsia="Times New Roman"/>
                <w:color w:val="000000"/>
                <w:lang w:eastAsia="en-AU"/>
              </w:rPr>
              <w:t>)</w:t>
            </w:r>
          </w:p>
        </w:tc>
        <w:tc>
          <w:tcPr>
            <w:tcW w:w="1796" w:type="dxa"/>
            <w:tcBorders>
              <w:top w:val="single" w:sz="4" w:space="0" w:color="auto"/>
            </w:tcBorders>
            <w:shd w:val="clear" w:color="auto" w:fill="auto"/>
            <w:noWrap/>
            <w:vAlign w:val="center"/>
            <w:hideMark/>
          </w:tcPr>
          <w:p w14:paraId="43F60CD1" w14:textId="77777777" w:rsidR="00A01425" w:rsidRPr="00FC6206" w:rsidRDefault="00A01425" w:rsidP="00B336F5">
            <w:pPr>
              <w:spacing w:after="0" w:line="240" w:lineRule="auto"/>
              <w:rPr>
                <w:rFonts w:eastAsia="Times New Roman"/>
                <w:color w:val="000000"/>
                <w:lang w:eastAsia="en-AU"/>
              </w:rPr>
            </w:pPr>
            <w:r w:rsidRPr="00FC6206">
              <w:rPr>
                <w:color w:val="000000"/>
              </w:rPr>
              <w:t>0.2 (0.0-0.3)</w:t>
            </w:r>
          </w:p>
        </w:tc>
      </w:tr>
      <w:tr w:rsidR="00A01425" w:rsidRPr="00FC6206" w14:paraId="2797A2D0" w14:textId="77777777" w:rsidTr="00B336F5">
        <w:trPr>
          <w:trHeight w:val="300"/>
        </w:trPr>
        <w:tc>
          <w:tcPr>
            <w:tcW w:w="1985" w:type="dxa"/>
            <w:shd w:val="clear" w:color="auto" w:fill="auto"/>
            <w:noWrap/>
            <w:vAlign w:val="center"/>
            <w:hideMark/>
          </w:tcPr>
          <w:p w14:paraId="65DCCE46"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Occasional drinker</w:t>
            </w:r>
          </w:p>
        </w:tc>
        <w:tc>
          <w:tcPr>
            <w:tcW w:w="1701" w:type="dxa"/>
            <w:vAlign w:val="center"/>
          </w:tcPr>
          <w:p w14:paraId="62E2476B" w14:textId="574C5FEA" w:rsidR="00A01425" w:rsidRPr="00FC6206" w:rsidRDefault="005575D7" w:rsidP="005575D7">
            <w:pPr>
              <w:spacing w:after="0" w:line="240" w:lineRule="auto"/>
              <w:rPr>
                <w:rFonts w:eastAsia="Times New Roman"/>
                <w:color w:val="000000"/>
                <w:lang w:eastAsia="en-AU"/>
              </w:rPr>
            </w:pPr>
            <w:r>
              <w:rPr>
                <w:rFonts w:eastAsia="Times New Roman"/>
                <w:color w:val="000000"/>
                <w:lang w:eastAsia="en-AU"/>
              </w:rPr>
              <w:t>27.4</w:t>
            </w:r>
            <w:r w:rsidR="00A01425" w:rsidRPr="00FC6206">
              <w:rPr>
                <w:rFonts w:eastAsia="Times New Roman"/>
                <w:color w:val="000000"/>
                <w:lang w:eastAsia="en-AU"/>
              </w:rPr>
              <w:t xml:space="preserve"> (26.</w:t>
            </w:r>
            <w:r>
              <w:rPr>
                <w:rFonts w:eastAsia="Times New Roman"/>
                <w:color w:val="000000"/>
                <w:lang w:eastAsia="en-AU"/>
              </w:rPr>
              <w:t>7</w:t>
            </w:r>
            <w:r w:rsidR="00A01425" w:rsidRPr="00FC6206">
              <w:rPr>
                <w:rFonts w:eastAsia="Times New Roman"/>
                <w:color w:val="000000"/>
                <w:lang w:eastAsia="en-AU"/>
              </w:rPr>
              <w:t>-2</w:t>
            </w:r>
            <w:r>
              <w:rPr>
                <w:rFonts w:eastAsia="Times New Roman"/>
                <w:color w:val="000000"/>
                <w:lang w:eastAsia="en-AU"/>
              </w:rPr>
              <w:t>8</w:t>
            </w:r>
            <w:r w:rsidR="00A01425" w:rsidRPr="00FC6206">
              <w:rPr>
                <w:rFonts w:eastAsia="Times New Roman"/>
                <w:color w:val="000000"/>
                <w:lang w:eastAsia="en-AU"/>
              </w:rPr>
              <w:t>.</w:t>
            </w:r>
            <w:r>
              <w:rPr>
                <w:rFonts w:eastAsia="Times New Roman"/>
                <w:color w:val="000000"/>
                <w:lang w:eastAsia="en-AU"/>
              </w:rPr>
              <w:t>1</w:t>
            </w:r>
            <w:r w:rsidR="00A01425" w:rsidRPr="00FC6206">
              <w:rPr>
                <w:rFonts w:eastAsia="Times New Roman"/>
                <w:color w:val="000000"/>
                <w:lang w:eastAsia="en-AU"/>
              </w:rPr>
              <w:t>)</w:t>
            </w:r>
          </w:p>
        </w:tc>
        <w:tc>
          <w:tcPr>
            <w:tcW w:w="1701" w:type="dxa"/>
            <w:shd w:val="clear" w:color="auto" w:fill="auto"/>
            <w:noWrap/>
            <w:vAlign w:val="center"/>
            <w:hideMark/>
          </w:tcPr>
          <w:p w14:paraId="1DDAB49B"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3.8 (3.3, 4.5)</w:t>
            </w:r>
          </w:p>
        </w:tc>
        <w:tc>
          <w:tcPr>
            <w:tcW w:w="1843" w:type="dxa"/>
            <w:shd w:val="clear" w:color="auto" w:fill="auto"/>
            <w:noWrap/>
            <w:vAlign w:val="center"/>
            <w:hideMark/>
          </w:tcPr>
          <w:p w14:paraId="6A4F64E4" w14:textId="59835960"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22.</w:t>
            </w:r>
            <w:r w:rsidR="009F74EE" w:rsidRPr="00FC6206">
              <w:rPr>
                <w:rFonts w:eastAsia="Times New Roman"/>
                <w:color w:val="000000"/>
                <w:lang w:eastAsia="en-AU"/>
              </w:rPr>
              <w:t>6</w:t>
            </w:r>
            <w:r w:rsidRPr="00FC6206">
              <w:rPr>
                <w:rFonts w:eastAsia="Times New Roman"/>
                <w:color w:val="000000"/>
                <w:lang w:eastAsia="en-AU"/>
              </w:rPr>
              <w:t xml:space="preserve"> (21.</w:t>
            </w:r>
            <w:r w:rsidR="009F74EE" w:rsidRPr="00FC6206">
              <w:rPr>
                <w:rFonts w:eastAsia="Times New Roman"/>
                <w:color w:val="000000"/>
                <w:lang w:eastAsia="en-AU"/>
              </w:rPr>
              <w:t>3</w:t>
            </w:r>
            <w:r w:rsidRPr="00FC6206">
              <w:rPr>
                <w:rFonts w:eastAsia="Times New Roman"/>
                <w:color w:val="000000"/>
                <w:lang w:eastAsia="en-AU"/>
              </w:rPr>
              <w:t>, 24.</w:t>
            </w:r>
            <w:r w:rsidR="009F74EE" w:rsidRPr="00FC6206">
              <w:rPr>
                <w:rFonts w:eastAsia="Times New Roman"/>
                <w:color w:val="000000"/>
                <w:lang w:eastAsia="en-AU"/>
              </w:rPr>
              <w:t>0</w:t>
            </w:r>
            <w:r w:rsidRPr="00FC6206">
              <w:rPr>
                <w:rFonts w:eastAsia="Times New Roman"/>
                <w:color w:val="000000"/>
                <w:lang w:eastAsia="en-AU"/>
              </w:rPr>
              <w:t>)</w:t>
            </w:r>
          </w:p>
        </w:tc>
        <w:tc>
          <w:tcPr>
            <w:tcW w:w="1796" w:type="dxa"/>
            <w:shd w:val="clear" w:color="auto" w:fill="auto"/>
            <w:noWrap/>
            <w:vAlign w:val="center"/>
            <w:hideMark/>
          </w:tcPr>
          <w:p w14:paraId="02DE5CB8" w14:textId="77777777" w:rsidR="00A01425" w:rsidRPr="00FC6206" w:rsidRDefault="00A01425" w:rsidP="00B336F5">
            <w:pPr>
              <w:spacing w:after="0" w:line="240" w:lineRule="auto"/>
              <w:rPr>
                <w:rFonts w:eastAsia="Times New Roman"/>
                <w:color w:val="000000"/>
                <w:lang w:eastAsia="en-AU"/>
              </w:rPr>
            </w:pPr>
            <w:r w:rsidRPr="00FC6206">
              <w:rPr>
                <w:color w:val="000000"/>
              </w:rPr>
              <w:t>1.3 (1.0-1.8)</w:t>
            </w:r>
          </w:p>
        </w:tc>
      </w:tr>
      <w:tr w:rsidR="00A01425" w:rsidRPr="00FC6206" w14:paraId="378748C4" w14:textId="77777777" w:rsidTr="00B336F5">
        <w:trPr>
          <w:trHeight w:val="300"/>
        </w:trPr>
        <w:tc>
          <w:tcPr>
            <w:tcW w:w="1985" w:type="dxa"/>
            <w:shd w:val="clear" w:color="auto" w:fill="auto"/>
            <w:noWrap/>
            <w:vAlign w:val="center"/>
            <w:hideMark/>
          </w:tcPr>
          <w:p w14:paraId="7F4DC03B"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Light drinker</w:t>
            </w:r>
          </w:p>
        </w:tc>
        <w:tc>
          <w:tcPr>
            <w:tcW w:w="1701" w:type="dxa"/>
            <w:vAlign w:val="center"/>
          </w:tcPr>
          <w:p w14:paraId="64D490E4" w14:textId="6F89D933" w:rsidR="00A01425" w:rsidRPr="00FC6206" w:rsidRDefault="005575D7" w:rsidP="005575D7">
            <w:pPr>
              <w:spacing w:after="0" w:line="240" w:lineRule="auto"/>
              <w:rPr>
                <w:rFonts w:eastAsia="Times New Roman"/>
                <w:color w:val="000000"/>
                <w:lang w:eastAsia="en-AU"/>
              </w:rPr>
            </w:pPr>
            <w:r>
              <w:rPr>
                <w:rFonts w:eastAsia="Times New Roman"/>
                <w:color w:val="000000"/>
                <w:lang w:eastAsia="en-AU"/>
              </w:rPr>
              <w:t xml:space="preserve">17.2 </w:t>
            </w:r>
            <w:r w:rsidR="00A01425" w:rsidRPr="00FC6206">
              <w:rPr>
                <w:rFonts w:eastAsia="Times New Roman"/>
                <w:color w:val="000000"/>
                <w:lang w:eastAsia="en-AU"/>
              </w:rPr>
              <w:t>(16.</w:t>
            </w:r>
            <w:r>
              <w:rPr>
                <w:rFonts w:eastAsia="Times New Roman"/>
                <w:color w:val="000000"/>
                <w:lang w:eastAsia="en-AU"/>
              </w:rPr>
              <w:t>6</w:t>
            </w:r>
            <w:r w:rsidR="00A01425" w:rsidRPr="00FC6206">
              <w:rPr>
                <w:rFonts w:eastAsia="Times New Roman"/>
                <w:color w:val="000000"/>
                <w:lang w:eastAsia="en-AU"/>
              </w:rPr>
              <w:t>-17.</w:t>
            </w:r>
            <w:r>
              <w:rPr>
                <w:rFonts w:eastAsia="Times New Roman"/>
                <w:color w:val="000000"/>
                <w:lang w:eastAsia="en-AU"/>
              </w:rPr>
              <w:t>7</w:t>
            </w:r>
            <w:r w:rsidR="00A01425" w:rsidRPr="00FC6206">
              <w:rPr>
                <w:rFonts w:eastAsia="Times New Roman"/>
                <w:color w:val="000000"/>
                <w:lang w:eastAsia="en-AU"/>
              </w:rPr>
              <w:t>)</w:t>
            </w:r>
          </w:p>
        </w:tc>
        <w:tc>
          <w:tcPr>
            <w:tcW w:w="1701" w:type="dxa"/>
            <w:shd w:val="clear" w:color="auto" w:fill="auto"/>
            <w:noWrap/>
            <w:vAlign w:val="center"/>
            <w:hideMark/>
          </w:tcPr>
          <w:p w14:paraId="49C7659A"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17.3 (16.0, 18.7)</w:t>
            </w:r>
          </w:p>
        </w:tc>
        <w:tc>
          <w:tcPr>
            <w:tcW w:w="1843" w:type="dxa"/>
            <w:shd w:val="clear" w:color="auto" w:fill="auto"/>
            <w:noWrap/>
            <w:vAlign w:val="center"/>
            <w:hideMark/>
          </w:tcPr>
          <w:p w14:paraId="01919892" w14:textId="273B061C"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29.7 (28.1, 31.</w:t>
            </w:r>
            <w:r w:rsidR="009F74EE" w:rsidRPr="00FC6206">
              <w:rPr>
                <w:rFonts w:eastAsia="Times New Roman"/>
                <w:color w:val="000000"/>
                <w:lang w:eastAsia="en-AU"/>
              </w:rPr>
              <w:t>4</w:t>
            </w:r>
            <w:r w:rsidRPr="00FC6206">
              <w:rPr>
                <w:rFonts w:eastAsia="Times New Roman"/>
                <w:color w:val="000000"/>
                <w:lang w:eastAsia="en-AU"/>
              </w:rPr>
              <w:t>)</w:t>
            </w:r>
          </w:p>
        </w:tc>
        <w:tc>
          <w:tcPr>
            <w:tcW w:w="1796" w:type="dxa"/>
            <w:shd w:val="clear" w:color="auto" w:fill="auto"/>
            <w:noWrap/>
            <w:vAlign w:val="center"/>
            <w:hideMark/>
          </w:tcPr>
          <w:p w14:paraId="4996C16D" w14:textId="77777777" w:rsidR="00A01425" w:rsidRPr="00FC6206" w:rsidRDefault="00A01425" w:rsidP="00B336F5">
            <w:pPr>
              <w:spacing w:after="0" w:line="240" w:lineRule="auto"/>
              <w:rPr>
                <w:rFonts w:eastAsia="Times New Roman"/>
                <w:color w:val="000000"/>
                <w:lang w:eastAsia="en-AU"/>
              </w:rPr>
            </w:pPr>
            <w:r w:rsidRPr="00FC6206">
              <w:rPr>
                <w:color w:val="000000"/>
              </w:rPr>
              <w:t>1.7 (1.3-2.2)</w:t>
            </w:r>
          </w:p>
        </w:tc>
      </w:tr>
      <w:tr w:rsidR="00A01425" w:rsidRPr="00FC6206" w14:paraId="3279B44D" w14:textId="77777777" w:rsidTr="00B336F5">
        <w:trPr>
          <w:trHeight w:val="300"/>
        </w:trPr>
        <w:tc>
          <w:tcPr>
            <w:tcW w:w="1985" w:type="dxa"/>
            <w:shd w:val="clear" w:color="auto" w:fill="auto"/>
            <w:noWrap/>
            <w:vAlign w:val="center"/>
            <w:hideMark/>
          </w:tcPr>
          <w:p w14:paraId="5BFF6829"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Social drinker</w:t>
            </w:r>
          </w:p>
        </w:tc>
        <w:tc>
          <w:tcPr>
            <w:tcW w:w="1701" w:type="dxa"/>
            <w:vAlign w:val="center"/>
          </w:tcPr>
          <w:p w14:paraId="704BC861" w14:textId="2243B0BC" w:rsidR="00A01425" w:rsidRPr="00FC6206" w:rsidRDefault="005575D7" w:rsidP="005575D7">
            <w:pPr>
              <w:spacing w:after="0" w:line="240" w:lineRule="auto"/>
              <w:rPr>
                <w:rFonts w:eastAsia="Times New Roman"/>
                <w:color w:val="000000"/>
                <w:lang w:eastAsia="en-AU"/>
              </w:rPr>
            </w:pPr>
            <w:r>
              <w:rPr>
                <w:rFonts w:eastAsia="Times New Roman"/>
                <w:color w:val="000000"/>
                <w:lang w:eastAsia="en-AU"/>
              </w:rPr>
              <w:t>22.6</w:t>
            </w:r>
            <w:r w:rsidR="00A01425" w:rsidRPr="00FC6206">
              <w:rPr>
                <w:rFonts w:eastAsia="Times New Roman"/>
                <w:color w:val="000000"/>
                <w:lang w:eastAsia="en-AU"/>
              </w:rPr>
              <w:t xml:space="preserve"> (21.</w:t>
            </w:r>
            <w:r>
              <w:rPr>
                <w:rFonts w:eastAsia="Times New Roman"/>
                <w:color w:val="000000"/>
                <w:lang w:eastAsia="en-AU"/>
              </w:rPr>
              <w:t>9-23</w:t>
            </w:r>
            <w:r w:rsidR="00A01425" w:rsidRPr="00FC6206">
              <w:rPr>
                <w:rFonts w:eastAsia="Times New Roman"/>
                <w:color w:val="000000"/>
                <w:lang w:eastAsia="en-AU"/>
              </w:rPr>
              <w:t>.</w:t>
            </w:r>
            <w:r>
              <w:rPr>
                <w:rFonts w:eastAsia="Times New Roman"/>
                <w:color w:val="000000"/>
                <w:lang w:eastAsia="en-AU"/>
              </w:rPr>
              <w:t>2</w:t>
            </w:r>
            <w:r w:rsidR="00A01425" w:rsidRPr="00FC6206">
              <w:rPr>
                <w:rFonts w:eastAsia="Times New Roman"/>
                <w:color w:val="000000"/>
                <w:lang w:eastAsia="en-AU"/>
              </w:rPr>
              <w:t>)</w:t>
            </w:r>
          </w:p>
        </w:tc>
        <w:tc>
          <w:tcPr>
            <w:tcW w:w="1701" w:type="dxa"/>
            <w:shd w:val="clear" w:color="auto" w:fill="auto"/>
            <w:noWrap/>
            <w:vAlign w:val="center"/>
            <w:hideMark/>
          </w:tcPr>
          <w:p w14:paraId="26532920" w14:textId="7512C0F6" w:rsidR="00A01425" w:rsidRPr="00FC6206" w:rsidRDefault="00A01425" w:rsidP="005575D7">
            <w:pPr>
              <w:spacing w:after="0" w:line="240" w:lineRule="auto"/>
              <w:rPr>
                <w:rFonts w:eastAsia="Times New Roman"/>
                <w:color w:val="000000"/>
                <w:lang w:eastAsia="en-AU"/>
              </w:rPr>
            </w:pPr>
            <w:r w:rsidRPr="00FC6206">
              <w:rPr>
                <w:rFonts w:eastAsia="Times New Roman"/>
                <w:color w:val="000000"/>
                <w:lang w:eastAsia="en-AU"/>
              </w:rPr>
              <w:t>3</w:t>
            </w:r>
            <w:r w:rsidR="005575D7">
              <w:rPr>
                <w:rFonts w:eastAsia="Times New Roman"/>
                <w:color w:val="000000"/>
                <w:lang w:eastAsia="en-AU"/>
              </w:rPr>
              <w:t>7</w:t>
            </w:r>
            <w:r w:rsidRPr="00FC6206">
              <w:rPr>
                <w:rFonts w:eastAsia="Times New Roman"/>
                <w:color w:val="000000"/>
                <w:lang w:eastAsia="en-AU"/>
              </w:rPr>
              <w:t>.</w:t>
            </w:r>
            <w:r w:rsidR="005575D7">
              <w:rPr>
                <w:rFonts w:eastAsia="Times New Roman"/>
                <w:color w:val="000000"/>
                <w:lang w:eastAsia="en-AU"/>
              </w:rPr>
              <w:t>8</w:t>
            </w:r>
            <w:r w:rsidRPr="00FC6206">
              <w:rPr>
                <w:rFonts w:eastAsia="Times New Roman"/>
                <w:color w:val="000000"/>
                <w:lang w:eastAsia="en-AU"/>
              </w:rPr>
              <w:t xml:space="preserve"> (36.4, 39.6)</w:t>
            </w:r>
          </w:p>
        </w:tc>
        <w:tc>
          <w:tcPr>
            <w:tcW w:w="1843" w:type="dxa"/>
            <w:shd w:val="clear" w:color="auto" w:fill="auto"/>
            <w:noWrap/>
            <w:vAlign w:val="center"/>
            <w:hideMark/>
          </w:tcPr>
          <w:p w14:paraId="5F5D7C14"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62.3 (60.7, 63.9)</w:t>
            </w:r>
          </w:p>
        </w:tc>
        <w:tc>
          <w:tcPr>
            <w:tcW w:w="1796" w:type="dxa"/>
            <w:shd w:val="clear" w:color="auto" w:fill="auto"/>
            <w:noWrap/>
            <w:vAlign w:val="center"/>
            <w:hideMark/>
          </w:tcPr>
          <w:p w14:paraId="206DE1BC" w14:textId="77777777" w:rsidR="00A01425" w:rsidRPr="00FC6206" w:rsidRDefault="00A01425" w:rsidP="00B336F5">
            <w:pPr>
              <w:spacing w:after="0" w:line="240" w:lineRule="auto"/>
              <w:rPr>
                <w:rFonts w:eastAsia="Times New Roman"/>
                <w:color w:val="000000"/>
                <w:lang w:eastAsia="en-AU"/>
              </w:rPr>
            </w:pPr>
            <w:r w:rsidRPr="00FC6206">
              <w:rPr>
                <w:color w:val="000000"/>
              </w:rPr>
              <w:t>9.3 (8.4-10.4)</w:t>
            </w:r>
          </w:p>
        </w:tc>
      </w:tr>
      <w:tr w:rsidR="00A01425" w:rsidRPr="00FC6206" w14:paraId="59D6E497" w14:textId="77777777" w:rsidTr="00B336F5">
        <w:trPr>
          <w:trHeight w:val="300"/>
        </w:trPr>
        <w:tc>
          <w:tcPr>
            <w:tcW w:w="1985" w:type="dxa"/>
            <w:shd w:val="clear" w:color="auto" w:fill="auto"/>
            <w:noWrap/>
            <w:vAlign w:val="center"/>
            <w:hideMark/>
          </w:tcPr>
          <w:p w14:paraId="0206C0FF"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Heavy drinker</w:t>
            </w:r>
          </w:p>
        </w:tc>
        <w:tc>
          <w:tcPr>
            <w:tcW w:w="1701" w:type="dxa"/>
            <w:vAlign w:val="center"/>
          </w:tcPr>
          <w:p w14:paraId="5826B400" w14:textId="6FEB34DD" w:rsidR="00A01425" w:rsidRPr="00FC6206" w:rsidRDefault="00A01425" w:rsidP="005575D7">
            <w:pPr>
              <w:spacing w:after="0" w:line="240" w:lineRule="auto"/>
              <w:rPr>
                <w:rFonts w:eastAsia="Times New Roman"/>
                <w:color w:val="000000"/>
                <w:lang w:eastAsia="en-AU"/>
              </w:rPr>
            </w:pPr>
            <w:r w:rsidRPr="00FC6206">
              <w:rPr>
                <w:rFonts w:eastAsia="Times New Roman"/>
                <w:color w:val="000000"/>
                <w:lang w:eastAsia="en-AU"/>
              </w:rPr>
              <w:t>3.0 (2.</w:t>
            </w:r>
            <w:r w:rsidR="005575D7">
              <w:rPr>
                <w:rFonts w:eastAsia="Times New Roman"/>
                <w:color w:val="000000"/>
                <w:lang w:eastAsia="en-AU"/>
              </w:rPr>
              <w:t>8</w:t>
            </w:r>
            <w:r w:rsidRPr="00FC6206">
              <w:rPr>
                <w:rFonts w:eastAsia="Times New Roman"/>
                <w:color w:val="000000"/>
                <w:lang w:eastAsia="en-AU"/>
              </w:rPr>
              <w:t>-3.</w:t>
            </w:r>
            <w:r w:rsidR="005575D7">
              <w:rPr>
                <w:rFonts w:eastAsia="Times New Roman"/>
                <w:color w:val="000000"/>
                <w:lang w:eastAsia="en-AU"/>
              </w:rPr>
              <w:t>3</w:t>
            </w:r>
            <w:r w:rsidRPr="00FC6206">
              <w:rPr>
                <w:rFonts w:eastAsia="Times New Roman"/>
                <w:color w:val="000000"/>
                <w:lang w:eastAsia="en-AU"/>
              </w:rPr>
              <w:t>)</w:t>
            </w:r>
          </w:p>
        </w:tc>
        <w:tc>
          <w:tcPr>
            <w:tcW w:w="1701" w:type="dxa"/>
            <w:shd w:val="clear" w:color="auto" w:fill="auto"/>
            <w:noWrap/>
            <w:vAlign w:val="center"/>
            <w:hideMark/>
          </w:tcPr>
          <w:p w14:paraId="5FD45B23" w14:textId="67167551" w:rsidR="00A01425" w:rsidRPr="00FC6206" w:rsidRDefault="005575D7" w:rsidP="00B336F5">
            <w:pPr>
              <w:spacing w:after="0" w:line="240" w:lineRule="auto"/>
              <w:rPr>
                <w:rFonts w:eastAsia="Times New Roman"/>
                <w:color w:val="000000"/>
                <w:lang w:eastAsia="en-AU"/>
              </w:rPr>
            </w:pPr>
            <w:r>
              <w:rPr>
                <w:rFonts w:eastAsia="Times New Roman"/>
                <w:color w:val="000000"/>
                <w:lang w:eastAsia="en-AU"/>
              </w:rPr>
              <w:t>92.8</w:t>
            </w:r>
            <w:r w:rsidR="00A01425" w:rsidRPr="00FC6206">
              <w:rPr>
                <w:rFonts w:eastAsia="Times New Roman"/>
                <w:color w:val="000000"/>
                <w:lang w:eastAsia="en-AU"/>
              </w:rPr>
              <w:t xml:space="preserve"> (91.1, 95.0)</w:t>
            </w:r>
          </w:p>
        </w:tc>
        <w:tc>
          <w:tcPr>
            <w:tcW w:w="1843" w:type="dxa"/>
            <w:shd w:val="clear" w:color="auto" w:fill="auto"/>
            <w:noWrap/>
            <w:vAlign w:val="center"/>
            <w:hideMark/>
          </w:tcPr>
          <w:p w14:paraId="70B93736" w14:textId="0A9D084C" w:rsidR="00A01425" w:rsidRPr="00FC6206" w:rsidRDefault="005575D7" w:rsidP="00B336F5">
            <w:pPr>
              <w:spacing w:after="0" w:line="240" w:lineRule="auto"/>
              <w:rPr>
                <w:rFonts w:eastAsia="Times New Roman"/>
                <w:color w:val="000000"/>
                <w:lang w:eastAsia="en-AU"/>
              </w:rPr>
            </w:pPr>
            <w:r>
              <w:rPr>
                <w:rFonts w:eastAsia="Times New Roman"/>
                <w:color w:val="000000"/>
                <w:lang w:eastAsia="en-AU"/>
              </w:rPr>
              <w:t>90.1</w:t>
            </w:r>
            <w:r w:rsidR="00A01425" w:rsidRPr="00FC6206">
              <w:rPr>
                <w:rFonts w:eastAsia="Times New Roman"/>
                <w:color w:val="000000"/>
                <w:lang w:eastAsia="en-AU"/>
              </w:rPr>
              <w:t xml:space="preserve"> (87.</w:t>
            </w:r>
            <w:r w:rsidR="009F74EE" w:rsidRPr="00FC6206">
              <w:rPr>
                <w:rFonts w:eastAsia="Times New Roman"/>
                <w:color w:val="000000"/>
                <w:lang w:eastAsia="en-AU"/>
              </w:rPr>
              <w:t>2</w:t>
            </w:r>
            <w:r w:rsidR="00A01425" w:rsidRPr="00FC6206">
              <w:rPr>
                <w:rFonts w:eastAsia="Times New Roman"/>
                <w:color w:val="000000"/>
                <w:lang w:eastAsia="en-AU"/>
              </w:rPr>
              <w:t xml:space="preserve">, </w:t>
            </w:r>
            <w:r w:rsidR="009F74EE" w:rsidRPr="00FC6206">
              <w:rPr>
                <w:rFonts w:eastAsia="Times New Roman"/>
                <w:color w:val="000000"/>
                <w:lang w:eastAsia="en-AU"/>
              </w:rPr>
              <w:t>92.3</w:t>
            </w:r>
            <w:r w:rsidR="00A01425" w:rsidRPr="00FC6206">
              <w:rPr>
                <w:rFonts w:eastAsia="Times New Roman"/>
                <w:color w:val="000000"/>
                <w:lang w:eastAsia="en-AU"/>
              </w:rPr>
              <w:t>)</w:t>
            </w:r>
          </w:p>
        </w:tc>
        <w:tc>
          <w:tcPr>
            <w:tcW w:w="1796" w:type="dxa"/>
            <w:shd w:val="clear" w:color="auto" w:fill="auto"/>
            <w:noWrap/>
            <w:vAlign w:val="center"/>
            <w:hideMark/>
          </w:tcPr>
          <w:p w14:paraId="0C88093B" w14:textId="77777777" w:rsidR="00A01425" w:rsidRPr="00FC6206" w:rsidRDefault="00A01425" w:rsidP="00B336F5">
            <w:pPr>
              <w:spacing w:after="0" w:line="240" w:lineRule="auto"/>
              <w:rPr>
                <w:rFonts w:eastAsia="Times New Roman"/>
                <w:color w:val="000000"/>
                <w:lang w:eastAsia="en-AU"/>
              </w:rPr>
            </w:pPr>
            <w:r w:rsidRPr="00FC6206">
              <w:rPr>
                <w:color w:val="000000"/>
              </w:rPr>
              <w:t>49.8 (45.6-54.0)</w:t>
            </w:r>
          </w:p>
        </w:tc>
      </w:tr>
      <w:tr w:rsidR="00A01425" w:rsidRPr="00FC6206" w14:paraId="5D26D0A1" w14:textId="77777777" w:rsidTr="00B336F5">
        <w:trPr>
          <w:trHeight w:val="300"/>
        </w:trPr>
        <w:tc>
          <w:tcPr>
            <w:tcW w:w="1985" w:type="dxa"/>
            <w:shd w:val="clear" w:color="auto" w:fill="auto"/>
            <w:noWrap/>
            <w:vAlign w:val="center"/>
            <w:hideMark/>
          </w:tcPr>
          <w:p w14:paraId="240C4BA0"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Binge drinker</w:t>
            </w:r>
          </w:p>
        </w:tc>
        <w:tc>
          <w:tcPr>
            <w:tcW w:w="1701" w:type="dxa"/>
            <w:vAlign w:val="center"/>
          </w:tcPr>
          <w:p w14:paraId="06BDF9A4" w14:textId="1FC3FC71" w:rsidR="00A01425" w:rsidRPr="00FC6206" w:rsidRDefault="005575D7" w:rsidP="00B336F5">
            <w:pPr>
              <w:spacing w:after="0" w:line="240" w:lineRule="auto"/>
              <w:rPr>
                <w:rFonts w:eastAsia="Times New Roman"/>
                <w:color w:val="000000"/>
                <w:lang w:eastAsia="en-AU"/>
              </w:rPr>
            </w:pPr>
            <w:r>
              <w:rPr>
                <w:rFonts w:eastAsia="Times New Roman"/>
                <w:color w:val="000000"/>
                <w:lang w:eastAsia="en-AU"/>
              </w:rPr>
              <w:t>1.3 (1.2</w:t>
            </w:r>
            <w:r w:rsidR="00A01425" w:rsidRPr="00FC6206">
              <w:rPr>
                <w:rFonts w:eastAsia="Times New Roman"/>
                <w:color w:val="000000"/>
                <w:lang w:eastAsia="en-AU"/>
              </w:rPr>
              <w:t>-1.5)</w:t>
            </w:r>
          </w:p>
        </w:tc>
        <w:tc>
          <w:tcPr>
            <w:tcW w:w="1701" w:type="dxa"/>
            <w:shd w:val="clear" w:color="auto" w:fill="auto"/>
            <w:noWrap/>
            <w:vAlign w:val="center"/>
            <w:hideMark/>
          </w:tcPr>
          <w:p w14:paraId="411ECB1D" w14:textId="7D565359" w:rsidR="00A01425" w:rsidRPr="00FC6206" w:rsidRDefault="005575D7" w:rsidP="00B336F5">
            <w:pPr>
              <w:spacing w:after="0" w:line="240" w:lineRule="auto"/>
              <w:rPr>
                <w:rFonts w:eastAsia="Times New Roman"/>
                <w:color w:val="000000"/>
                <w:lang w:eastAsia="en-AU"/>
              </w:rPr>
            </w:pPr>
            <w:r>
              <w:rPr>
                <w:rFonts w:eastAsia="Times New Roman"/>
                <w:color w:val="000000"/>
                <w:lang w:eastAsia="en-AU"/>
              </w:rPr>
              <w:t>62.7</w:t>
            </w:r>
            <w:r w:rsidR="00A01425" w:rsidRPr="00FC6206">
              <w:rPr>
                <w:rFonts w:eastAsia="Times New Roman"/>
                <w:color w:val="000000"/>
                <w:lang w:eastAsia="en-AU"/>
              </w:rPr>
              <w:t xml:space="preserve"> (55.7, 69.1)</w:t>
            </w:r>
          </w:p>
        </w:tc>
        <w:tc>
          <w:tcPr>
            <w:tcW w:w="1843" w:type="dxa"/>
            <w:shd w:val="clear" w:color="auto" w:fill="auto"/>
            <w:noWrap/>
            <w:vAlign w:val="center"/>
            <w:hideMark/>
          </w:tcPr>
          <w:p w14:paraId="5562FCC3" w14:textId="77777777" w:rsidR="00A01425" w:rsidRPr="00FC6206" w:rsidRDefault="00A01425" w:rsidP="00B336F5">
            <w:pPr>
              <w:spacing w:after="0" w:line="240" w:lineRule="auto"/>
              <w:rPr>
                <w:rFonts w:eastAsia="Times New Roman"/>
                <w:color w:val="000000"/>
                <w:lang w:eastAsia="en-AU"/>
              </w:rPr>
            </w:pPr>
            <w:r w:rsidRPr="00FC6206">
              <w:rPr>
                <w:rFonts w:eastAsia="Times New Roman"/>
                <w:color w:val="000000"/>
                <w:lang w:eastAsia="en-AU"/>
              </w:rPr>
              <w:t>88.6 (83.0, 92.5)</w:t>
            </w:r>
          </w:p>
        </w:tc>
        <w:tc>
          <w:tcPr>
            <w:tcW w:w="1796" w:type="dxa"/>
            <w:shd w:val="clear" w:color="auto" w:fill="auto"/>
            <w:noWrap/>
            <w:vAlign w:val="center"/>
            <w:hideMark/>
          </w:tcPr>
          <w:p w14:paraId="5187ADE3" w14:textId="77777777" w:rsidR="00A01425" w:rsidRPr="00FC6206" w:rsidRDefault="00A01425" w:rsidP="00B336F5">
            <w:pPr>
              <w:spacing w:after="0" w:line="240" w:lineRule="auto"/>
              <w:rPr>
                <w:rFonts w:eastAsia="Times New Roman"/>
                <w:color w:val="000000"/>
                <w:lang w:eastAsia="en-AU"/>
              </w:rPr>
            </w:pPr>
            <w:r w:rsidRPr="00FC6206">
              <w:rPr>
                <w:color w:val="000000"/>
              </w:rPr>
              <w:t>41.9 (35.3-48.7)</w:t>
            </w:r>
          </w:p>
        </w:tc>
      </w:tr>
      <w:tr w:rsidR="00054E49" w:rsidRPr="00FC6206" w14:paraId="087FC6FE" w14:textId="77777777" w:rsidTr="00B336F5">
        <w:trPr>
          <w:trHeight w:val="300"/>
        </w:trPr>
        <w:tc>
          <w:tcPr>
            <w:tcW w:w="1985" w:type="dxa"/>
            <w:shd w:val="clear" w:color="auto" w:fill="auto"/>
            <w:noWrap/>
            <w:vAlign w:val="center"/>
          </w:tcPr>
          <w:p w14:paraId="6F05F849" w14:textId="2901B041" w:rsidR="00054E49" w:rsidRPr="00FC6206" w:rsidRDefault="00054E49" w:rsidP="00B336F5">
            <w:pPr>
              <w:spacing w:after="0" w:line="240" w:lineRule="auto"/>
              <w:rPr>
                <w:rFonts w:eastAsia="Times New Roman"/>
                <w:color w:val="000000"/>
                <w:lang w:eastAsia="en-AU"/>
              </w:rPr>
            </w:pPr>
            <w:r w:rsidRPr="00FC6206">
              <w:rPr>
                <w:rFonts w:eastAsia="Times New Roman"/>
                <w:color w:val="000000"/>
                <w:lang w:eastAsia="en-AU"/>
              </w:rPr>
              <w:t>Total</w:t>
            </w:r>
          </w:p>
        </w:tc>
        <w:tc>
          <w:tcPr>
            <w:tcW w:w="1701" w:type="dxa"/>
            <w:vAlign w:val="center"/>
          </w:tcPr>
          <w:p w14:paraId="531301D4" w14:textId="40D36702" w:rsidR="00054E49" w:rsidRPr="00FC6206" w:rsidRDefault="00054E49" w:rsidP="00B336F5">
            <w:pPr>
              <w:spacing w:after="0" w:line="240" w:lineRule="auto"/>
              <w:rPr>
                <w:rFonts w:eastAsia="Times New Roman"/>
                <w:color w:val="000000"/>
                <w:lang w:eastAsia="en-AU"/>
              </w:rPr>
            </w:pPr>
            <w:r w:rsidRPr="00FC6206">
              <w:rPr>
                <w:rFonts w:eastAsia="Times New Roman"/>
                <w:color w:val="000000"/>
                <w:lang w:eastAsia="en-AU"/>
              </w:rPr>
              <w:t>100</w:t>
            </w:r>
          </w:p>
        </w:tc>
        <w:tc>
          <w:tcPr>
            <w:tcW w:w="1701" w:type="dxa"/>
            <w:shd w:val="clear" w:color="auto" w:fill="auto"/>
            <w:noWrap/>
            <w:vAlign w:val="center"/>
          </w:tcPr>
          <w:p w14:paraId="1B39FEDB" w14:textId="3562F0BA" w:rsidR="00054E49" w:rsidRPr="00FC6206" w:rsidRDefault="00054E49" w:rsidP="005575D7">
            <w:pPr>
              <w:spacing w:after="0" w:line="240" w:lineRule="auto"/>
              <w:rPr>
                <w:rFonts w:eastAsia="Times New Roman"/>
                <w:color w:val="000000"/>
                <w:lang w:eastAsia="en-AU"/>
              </w:rPr>
            </w:pPr>
            <w:r w:rsidRPr="00FC6206">
              <w:rPr>
                <w:rFonts w:eastAsia="Times New Roman"/>
                <w:color w:val="000000"/>
                <w:lang w:eastAsia="en-AU"/>
              </w:rPr>
              <w:t>16.5 (1</w:t>
            </w:r>
            <w:r w:rsidR="005575D7">
              <w:rPr>
                <w:rFonts w:eastAsia="Times New Roman"/>
                <w:color w:val="000000"/>
                <w:lang w:eastAsia="en-AU"/>
              </w:rPr>
              <w:t>6.0</w:t>
            </w:r>
            <w:r w:rsidRPr="00FC6206">
              <w:rPr>
                <w:rFonts w:eastAsia="Times New Roman"/>
                <w:color w:val="000000"/>
                <w:lang w:eastAsia="en-AU"/>
              </w:rPr>
              <w:t>-17.</w:t>
            </w:r>
            <w:r w:rsidR="005575D7">
              <w:rPr>
                <w:rFonts w:eastAsia="Times New Roman"/>
                <w:color w:val="000000"/>
                <w:lang w:eastAsia="en-AU"/>
              </w:rPr>
              <w:t>1</w:t>
            </w:r>
            <w:r w:rsidRPr="00FC6206">
              <w:rPr>
                <w:rFonts w:eastAsia="Times New Roman"/>
                <w:color w:val="000000"/>
                <w:lang w:eastAsia="en-AU"/>
              </w:rPr>
              <w:t>)</w:t>
            </w:r>
          </w:p>
        </w:tc>
        <w:tc>
          <w:tcPr>
            <w:tcW w:w="1843" w:type="dxa"/>
            <w:shd w:val="clear" w:color="auto" w:fill="auto"/>
            <w:noWrap/>
            <w:vAlign w:val="center"/>
          </w:tcPr>
          <w:p w14:paraId="1AF2CD0F" w14:textId="07DAD1BE" w:rsidR="00054E49" w:rsidRPr="00FC6206" w:rsidRDefault="005575D7" w:rsidP="005575D7">
            <w:pPr>
              <w:spacing w:after="0" w:line="240" w:lineRule="auto"/>
              <w:rPr>
                <w:rFonts w:eastAsia="Times New Roman"/>
                <w:color w:val="000000"/>
                <w:lang w:eastAsia="en-AU"/>
              </w:rPr>
            </w:pPr>
            <w:r>
              <w:rPr>
                <w:rFonts w:eastAsia="Times New Roman"/>
                <w:color w:val="000000"/>
                <w:lang w:eastAsia="en-AU"/>
              </w:rPr>
              <w:t>30.1</w:t>
            </w:r>
            <w:r w:rsidR="00054E49" w:rsidRPr="00FC6206">
              <w:rPr>
                <w:rFonts w:eastAsia="Times New Roman"/>
                <w:color w:val="000000"/>
                <w:lang w:eastAsia="en-AU"/>
              </w:rPr>
              <w:t xml:space="preserve"> (</w:t>
            </w:r>
            <w:r w:rsidR="009F74EE" w:rsidRPr="00FC6206">
              <w:rPr>
                <w:rFonts w:eastAsia="Times New Roman"/>
                <w:color w:val="000000"/>
                <w:lang w:eastAsia="en-AU"/>
              </w:rPr>
              <w:t>29.</w:t>
            </w:r>
            <w:r>
              <w:rPr>
                <w:rFonts w:eastAsia="Times New Roman"/>
                <w:color w:val="000000"/>
                <w:lang w:eastAsia="en-AU"/>
              </w:rPr>
              <w:t>4</w:t>
            </w:r>
            <w:r w:rsidR="009F74EE" w:rsidRPr="00FC6206">
              <w:rPr>
                <w:rFonts w:eastAsia="Times New Roman"/>
                <w:color w:val="000000"/>
                <w:lang w:eastAsia="en-AU"/>
              </w:rPr>
              <w:t>, 30.</w:t>
            </w:r>
            <w:r>
              <w:rPr>
                <w:rFonts w:eastAsia="Times New Roman"/>
                <w:color w:val="000000"/>
                <w:lang w:eastAsia="en-AU"/>
              </w:rPr>
              <w:t>8</w:t>
            </w:r>
            <w:r w:rsidR="00054E49" w:rsidRPr="00FC6206">
              <w:rPr>
                <w:rFonts w:eastAsia="Times New Roman"/>
                <w:color w:val="000000"/>
                <w:lang w:eastAsia="en-AU"/>
              </w:rPr>
              <w:t>)</w:t>
            </w:r>
          </w:p>
        </w:tc>
        <w:tc>
          <w:tcPr>
            <w:tcW w:w="1796" w:type="dxa"/>
            <w:shd w:val="clear" w:color="auto" w:fill="auto"/>
            <w:noWrap/>
            <w:vAlign w:val="center"/>
          </w:tcPr>
          <w:p w14:paraId="6FB18672" w14:textId="7FB47FC4" w:rsidR="00054E49" w:rsidRPr="00FC6206" w:rsidRDefault="00054E49" w:rsidP="00B336F5">
            <w:pPr>
              <w:spacing w:after="0" w:line="240" w:lineRule="auto"/>
              <w:rPr>
                <w:color w:val="000000"/>
              </w:rPr>
            </w:pPr>
            <w:r w:rsidRPr="00FC6206">
              <w:rPr>
                <w:color w:val="000000"/>
              </w:rPr>
              <w:t>4.9 (4.5-5.2)</w:t>
            </w:r>
          </w:p>
        </w:tc>
      </w:tr>
    </w:tbl>
    <w:p w14:paraId="351E914C" w14:textId="78132777" w:rsidR="00A01425" w:rsidRPr="003D21E5" w:rsidRDefault="00D86EE2" w:rsidP="00A01425">
      <w:pPr>
        <w:rPr>
          <w:sz w:val="20"/>
        </w:rPr>
      </w:pPr>
      <w:r w:rsidRPr="003D21E5">
        <w:rPr>
          <w:sz w:val="20"/>
        </w:rPr>
        <w:t>N = 22,641</w:t>
      </w:r>
    </w:p>
    <w:p w14:paraId="0FF5AFEC" w14:textId="77777777" w:rsidR="00FC6206" w:rsidRDefault="00FC6206" w:rsidP="00FC6206">
      <w:pPr>
        <w:spacing w:line="360" w:lineRule="auto"/>
      </w:pPr>
    </w:p>
    <w:p w14:paraId="762C23F3" w14:textId="507DCDB6" w:rsidR="00984AA2" w:rsidRDefault="00A01425" w:rsidP="00984AA2">
      <w:pPr>
        <w:spacing w:line="360" w:lineRule="auto"/>
      </w:pPr>
      <w:r w:rsidRPr="00FC6206">
        <w:t xml:space="preserve">Figure </w:t>
      </w:r>
      <w:r w:rsidR="00984AA2">
        <w:t>2</w:t>
      </w:r>
      <w:r w:rsidRPr="00FC6206">
        <w:t xml:space="preserve"> </w:t>
      </w:r>
      <w:r w:rsidR="00BA3A3C">
        <w:t xml:space="preserve">shows the distribution of </w:t>
      </w:r>
      <w:r w:rsidRPr="00FC6206">
        <w:t xml:space="preserve">respondents in each wave of the survey </w:t>
      </w:r>
      <w:r w:rsidR="00BA3A3C">
        <w:t>by</w:t>
      </w:r>
      <w:r w:rsidR="00BA3A3C" w:rsidRPr="00FC6206">
        <w:t xml:space="preserve"> </w:t>
      </w:r>
      <w:r w:rsidR="00BA3A3C">
        <w:t>self-</w:t>
      </w:r>
      <w:r w:rsidRPr="00FC6206">
        <w:t xml:space="preserve">identified drinker type. </w:t>
      </w:r>
      <w:r w:rsidR="008B284E">
        <w:t>T</w:t>
      </w:r>
      <w:r w:rsidRPr="00FC6206">
        <w:t xml:space="preserve">here has been little </w:t>
      </w:r>
      <w:r w:rsidR="00BA3A3C">
        <w:t>change over time</w:t>
      </w:r>
      <w:r w:rsidR="00BA3A3C" w:rsidRPr="00FC6206">
        <w:t xml:space="preserve"> </w:t>
      </w:r>
      <w:r w:rsidRPr="00FC6206">
        <w:t>in the proportion of respondents who identify as each drink</w:t>
      </w:r>
      <w:r w:rsidR="00BA3A3C">
        <w:t>er</w:t>
      </w:r>
      <w:r w:rsidRPr="00FC6206">
        <w:t xml:space="preserve"> type with some notable exceptions.  The proportion of </w:t>
      </w:r>
      <w:r w:rsidR="00BA3A3C">
        <w:t>the sample</w:t>
      </w:r>
      <w:r w:rsidR="00BA3A3C" w:rsidRPr="00FC6206">
        <w:t xml:space="preserve"> </w:t>
      </w:r>
      <w:r w:rsidRPr="00FC6206">
        <w:t>who identif</w:t>
      </w:r>
      <w:r w:rsidR="00BA3A3C">
        <w:t>ied</w:t>
      </w:r>
      <w:r w:rsidRPr="00FC6206">
        <w:t xml:space="preserve"> as non-drinkers </w:t>
      </w:r>
      <w:r w:rsidR="00BA3A3C">
        <w:t>rose</w:t>
      </w:r>
      <w:r w:rsidRPr="00FC6206">
        <w:t xml:space="preserve"> from </w:t>
      </w:r>
      <w:r w:rsidR="00205DA6" w:rsidRPr="00FC6206">
        <w:t>20% to 27%</w:t>
      </w:r>
      <w:r w:rsidRPr="00FC6206">
        <w:t xml:space="preserve"> </w:t>
      </w:r>
      <w:r w:rsidR="008B284E">
        <w:t xml:space="preserve">between 2001 and 2013 </w:t>
      </w:r>
      <w:r w:rsidRPr="00FC6206">
        <w:t xml:space="preserve">and conversely the proportion of </w:t>
      </w:r>
      <w:r w:rsidR="00BA3A3C">
        <w:t>the sample</w:t>
      </w:r>
      <w:r w:rsidR="00BA3A3C" w:rsidRPr="00FC6206">
        <w:t xml:space="preserve"> </w:t>
      </w:r>
      <w:r w:rsidRPr="00FC6206">
        <w:t>who identif</w:t>
      </w:r>
      <w:r w:rsidR="00BA3A3C">
        <w:t>ied</w:t>
      </w:r>
      <w:r w:rsidRPr="00FC6206">
        <w:t xml:space="preserve"> as social drinkers dropped from 30</w:t>
      </w:r>
      <w:r w:rsidR="00205DA6" w:rsidRPr="00FC6206">
        <w:t>%</w:t>
      </w:r>
      <w:r w:rsidRPr="00FC6206">
        <w:t xml:space="preserve"> to 22</w:t>
      </w:r>
      <w:r w:rsidR="00205DA6" w:rsidRPr="00FC6206">
        <w:t>%</w:t>
      </w:r>
      <w:r w:rsidR="008B284E">
        <w:t xml:space="preserve"> over the same period</w:t>
      </w:r>
      <w:r w:rsidRPr="00FC6206">
        <w:t xml:space="preserve">.  Aside from this there was a </w:t>
      </w:r>
      <w:r w:rsidR="006E4F59">
        <w:t xml:space="preserve">small </w:t>
      </w:r>
      <w:r w:rsidRPr="00FC6206">
        <w:t>fall and subsequent rise in the proportion who identify as occasional drinkers and the number of</w:t>
      </w:r>
      <w:r w:rsidR="008B284E">
        <w:t xml:space="preserve"> self-identified</w:t>
      </w:r>
      <w:r w:rsidRPr="00FC6206">
        <w:t xml:space="preserve"> light drinkers </w:t>
      </w:r>
      <w:r w:rsidR="008B284E">
        <w:t xml:space="preserve">has </w:t>
      </w:r>
      <w:r w:rsidRPr="00FC6206">
        <w:t xml:space="preserve">dropped slightly since 2007.  </w:t>
      </w:r>
    </w:p>
    <w:p w14:paraId="1965A8C9" w14:textId="7FA32A0C" w:rsidR="0041685B" w:rsidRDefault="008B284E" w:rsidP="0041685B">
      <w:pPr>
        <w:spacing w:line="360" w:lineRule="auto"/>
      </w:pPr>
      <w:r>
        <w:t>We propose two</w:t>
      </w:r>
      <w:r w:rsidRPr="00FC6206">
        <w:t xml:space="preserve"> </w:t>
      </w:r>
      <w:r w:rsidR="00BA3A3C">
        <w:t>alternative</w:t>
      </w:r>
      <w:r w:rsidR="00984AA2" w:rsidRPr="00FC6206">
        <w:t xml:space="preserve"> explanations for the drop in self-identified social drinking </w:t>
      </w:r>
      <w:r>
        <w:t xml:space="preserve">between 2001 and 2013: </w:t>
      </w:r>
      <w:r w:rsidR="00984AA2" w:rsidRPr="00FC6206">
        <w:t xml:space="preserve">1) the proportion of people with ‘social drinking’ patterns </w:t>
      </w:r>
      <w:proofErr w:type="gramStart"/>
      <w:r w:rsidR="00984AA2" w:rsidRPr="00FC6206">
        <w:t>has</w:t>
      </w:r>
      <w:proofErr w:type="gramEnd"/>
      <w:r w:rsidR="00984AA2" w:rsidRPr="00FC6206">
        <w:t xml:space="preserve"> decreased</w:t>
      </w:r>
      <w:r>
        <w:t>,</w:t>
      </w:r>
      <w:r w:rsidR="00984AA2" w:rsidRPr="00FC6206">
        <w:t xml:space="preserve"> and</w:t>
      </w:r>
      <w:r>
        <w:t>/or</w:t>
      </w:r>
      <w:r w:rsidR="00984AA2" w:rsidRPr="00FC6206">
        <w:t xml:space="preserve"> 2) that the way in which Australians view social and other types of drinking</w:t>
      </w:r>
      <w:r>
        <w:t>, and therefore the way they categorise themselves,</w:t>
      </w:r>
      <w:r w:rsidR="00984AA2" w:rsidRPr="00FC6206">
        <w:t xml:space="preserve"> has changed. </w:t>
      </w:r>
      <w:r>
        <w:t>In order to examine the second hypothesis, t</w:t>
      </w:r>
      <w:r w:rsidR="00984AA2" w:rsidRPr="00FC6206">
        <w:t xml:space="preserve">he total alcohol consumption for the year for each self-identified drinker type </w:t>
      </w:r>
      <w:r>
        <w:t>was analysed (</w:t>
      </w:r>
      <w:r w:rsidR="00984AA2" w:rsidRPr="00FC6206">
        <w:t xml:space="preserve">Figure </w:t>
      </w:r>
      <w:r w:rsidR="00984AA2">
        <w:t>3</w:t>
      </w:r>
      <w:r>
        <w:t>)</w:t>
      </w:r>
      <w:r w:rsidR="00984AA2" w:rsidRPr="00FC6206">
        <w:t xml:space="preserve">.  </w:t>
      </w:r>
      <w:r w:rsidR="00BA3A3C">
        <w:t>T</w:t>
      </w:r>
      <w:r w:rsidR="00984AA2" w:rsidRPr="00FC6206">
        <w:t xml:space="preserve">here </w:t>
      </w:r>
      <w:r w:rsidR="00BA3A3C">
        <w:t>wa</w:t>
      </w:r>
      <w:r w:rsidR="00984AA2" w:rsidRPr="00FC6206">
        <w:t xml:space="preserve">s no real change </w:t>
      </w:r>
      <w:r>
        <w:t>in the amount of alcohol consumed per year by</w:t>
      </w:r>
      <w:r w:rsidR="00984AA2" w:rsidRPr="00FC6206">
        <w:t xml:space="preserve"> social drinkers, although </w:t>
      </w:r>
      <w:r w:rsidR="002049CF">
        <w:t>consumption drop</w:t>
      </w:r>
      <w:r w:rsidR="00BA3A3C">
        <w:t>ped</w:t>
      </w:r>
      <w:r w:rsidR="002049CF">
        <w:t xml:space="preserve"> </w:t>
      </w:r>
      <w:r w:rsidR="00984AA2" w:rsidRPr="00FC6206">
        <w:t xml:space="preserve">for binge drinkers </w:t>
      </w:r>
      <w:r>
        <w:t xml:space="preserve">between </w:t>
      </w:r>
      <w:r w:rsidR="00984AA2" w:rsidRPr="00FC6206">
        <w:t xml:space="preserve">2010 </w:t>
      </w:r>
      <w:r>
        <w:t xml:space="preserve">and </w:t>
      </w:r>
      <w:r w:rsidR="00984AA2" w:rsidRPr="00FC6206">
        <w:t>2013.</w:t>
      </w:r>
      <w:r w:rsidR="006E4F59">
        <w:t xml:space="preserve"> This does not provide any support for the second explanation given above.</w:t>
      </w:r>
      <w:r w:rsidR="00984AA2" w:rsidRPr="00FC6206">
        <w:t xml:space="preserve"> </w:t>
      </w:r>
      <w:r>
        <w:t>Given the notable shift in self-identified social drinkers over time, t</w:t>
      </w:r>
      <w:r w:rsidR="00984AA2">
        <w:t xml:space="preserve">he focus for the rest of this paper </w:t>
      </w:r>
      <w:r w:rsidR="00BA3A3C">
        <w:t>is</w:t>
      </w:r>
      <w:r w:rsidR="00984AA2">
        <w:t xml:space="preserve"> </w:t>
      </w:r>
      <w:r>
        <w:t>on this group</w:t>
      </w:r>
      <w:r w:rsidR="00984AA2">
        <w:t xml:space="preserve">, </w:t>
      </w:r>
      <w:proofErr w:type="gramStart"/>
      <w:r w:rsidR="00984AA2">
        <w:t>in particular on</w:t>
      </w:r>
      <w:proofErr w:type="gramEnd"/>
      <w:r w:rsidR="00984AA2">
        <w:t xml:space="preserve"> any changes in this group over time</w:t>
      </w:r>
      <w:r>
        <w:t xml:space="preserve">, to determine whether </w:t>
      </w:r>
      <w:r w:rsidR="00AC2CD6">
        <w:t xml:space="preserve">population </w:t>
      </w:r>
      <w:r>
        <w:t xml:space="preserve">reductions in drinking in Australia </w:t>
      </w:r>
      <w:r w:rsidR="00D664F0">
        <w:t>are</w:t>
      </w:r>
      <w:r w:rsidR="00134994">
        <w:t xml:space="preserve"> being</w:t>
      </w:r>
      <w:r>
        <w:t xml:space="preserve"> driven </w:t>
      </w:r>
      <w:r w:rsidR="00AC2CD6">
        <w:t xml:space="preserve">primarily </w:t>
      </w:r>
      <w:r>
        <w:t>by increase</w:t>
      </w:r>
      <w:r w:rsidR="00AC2CD6">
        <w:t>d</w:t>
      </w:r>
      <w:r>
        <w:t xml:space="preserve"> abstention, or whether changes in social drinking </w:t>
      </w:r>
      <w:r w:rsidR="00AC2CD6">
        <w:t xml:space="preserve">is also </w:t>
      </w:r>
      <w:r>
        <w:t>influencing this change</w:t>
      </w:r>
      <w:r w:rsidR="00984AA2">
        <w:t>.</w:t>
      </w:r>
    </w:p>
    <w:p w14:paraId="58753502" w14:textId="22421A95" w:rsidR="00A01425" w:rsidRPr="00FC6206" w:rsidRDefault="002049CF" w:rsidP="0041685B">
      <w:pPr>
        <w:spacing w:after="0" w:line="360" w:lineRule="auto"/>
      </w:pPr>
      <w:r>
        <w:t>T</w:t>
      </w:r>
      <w:r w:rsidR="00CE3BDB">
        <w:t xml:space="preserve">o </w:t>
      </w:r>
      <w:r w:rsidR="00AC2CD6">
        <w:t xml:space="preserve">investigate whether </w:t>
      </w:r>
      <w:r w:rsidR="00CE3BDB">
        <w:t xml:space="preserve">the decrease in self-identified social drinkers is due to a </w:t>
      </w:r>
      <w:proofErr w:type="gramStart"/>
      <w:r w:rsidR="00CE3BDB">
        <w:t>particular demographic</w:t>
      </w:r>
      <w:proofErr w:type="gramEnd"/>
      <w:r w:rsidR="00CE3BDB">
        <w:t xml:space="preserve"> group or group of people with a particular drinking pattern</w:t>
      </w:r>
      <w:r w:rsidR="00984AA2">
        <w:t xml:space="preserve"> no longer identifying </w:t>
      </w:r>
      <w:r w:rsidR="00AC2CD6">
        <w:t xml:space="preserve">as </w:t>
      </w:r>
      <w:r w:rsidR="00984AA2">
        <w:t>a social drinker</w:t>
      </w:r>
      <w:r w:rsidR="00CE3BDB">
        <w:t>, t</w:t>
      </w:r>
      <w:r w:rsidR="00B336F5">
        <w:t xml:space="preserve">he </w:t>
      </w:r>
      <w:r w:rsidR="0056114C">
        <w:t>proportion of people in age, sex and drinking categories who consider themselves to be social drinkers</w:t>
      </w:r>
      <w:r w:rsidR="00CE3BDB">
        <w:t xml:space="preserve"> is shown in Table 3. </w:t>
      </w:r>
      <w:r w:rsidR="00A01425" w:rsidRPr="00FC6206">
        <w:t xml:space="preserve"> </w:t>
      </w:r>
      <w:r w:rsidR="008404CD">
        <w:t xml:space="preserve">The proportion of respondents in all groups who consider themselves to be social drinkers decreased </w:t>
      </w:r>
      <w:proofErr w:type="gramStart"/>
      <w:r w:rsidR="008404CD">
        <w:t>with the exception of</w:t>
      </w:r>
      <w:proofErr w:type="gramEnd"/>
      <w:r w:rsidR="008404CD">
        <w:t xml:space="preserve"> those aged over 50.  In this group </w:t>
      </w:r>
      <w:r w:rsidR="008404CD">
        <w:lastRenderedPageBreak/>
        <w:t xml:space="preserve">the proportion of respondents who considered themselves to be social drinkers stayed </w:t>
      </w:r>
      <w:proofErr w:type="gramStart"/>
      <w:r w:rsidR="008404CD">
        <w:t>fairly steady</w:t>
      </w:r>
      <w:proofErr w:type="gramEnd"/>
      <w:r w:rsidR="008404CD">
        <w:t xml:space="preserve"> and no significant trend over time was found.  This suggests that the reduction in social drinking may be due to younger and </w:t>
      </w:r>
      <w:proofErr w:type="gramStart"/>
      <w:r w:rsidR="008404CD">
        <w:t>middle aged</w:t>
      </w:r>
      <w:proofErr w:type="gramEnd"/>
      <w:r w:rsidR="008404CD">
        <w:t xml:space="preserve"> drinkers no longer self-identifying as social drinkers, regardless of gender or heavy drinking occasions. To further investigate this the proportion of respondents within age and </w:t>
      </w:r>
      <w:proofErr w:type="gramStart"/>
      <w:r w:rsidR="008404CD">
        <w:t>sex based</w:t>
      </w:r>
      <w:proofErr w:type="gramEnd"/>
      <w:r w:rsidR="008404CD">
        <w:t xml:space="preserve"> categories identifying as a non-drinker is shown in Table 4.  A complementary pattern </w:t>
      </w:r>
      <w:r w:rsidR="00D775B2">
        <w:t xml:space="preserve">can be seen </w:t>
      </w:r>
      <w:r w:rsidR="008404CD">
        <w:t>in Table 3 with an increase in the proportion of respondents aged under 50 and in both genders identifying as non-drinkers.</w:t>
      </w:r>
    </w:p>
    <w:p w14:paraId="4478C748" w14:textId="4728C786" w:rsidR="00B0720A" w:rsidRPr="00FC6206" w:rsidRDefault="00B0720A" w:rsidP="00B0720A">
      <w:pPr>
        <w:spacing w:after="0" w:line="240" w:lineRule="auto"/>
      </w:pPr>
    </w:p>
    <w:p w14:paraId="58DF0E8E" w14:textId="77777777" w:rsidR="0041685B" w:rsidRDefault="0041685B" w:rsidP="00CE3BDB">
      <w:pPr>
        <w:keepNext/>
        <w:keepLines/>
        <w:spacing w:after="0" w:line="240" w:lineRule="auto"/>
      </w:pPr>
    </w:p>
    <w:p w14:paraId="003E49B6" w14:textId="77777777" w:rsidR="0041685B" w:rsidRDefault="0041685B" w:rsidP="00CE3BDB">
      <w:pPr>
        <w:keepNext/>
        <w:keepLines/>
        <w:spacing w:after="0" w:line="240" w:lineRule="auto"/>
      </w:pPr>
    </w:p>
    <w:p w14:paraId="709E82B6" w14:textId="77777777" w:rsidR="0041685B" w:rsidRDefault="0041685B" w:rsidP="00CE3BDB">
      <w:pPr>
        <w:keepNext/>
        <w:keepLines/>
        <w:spacing w:after="0" w:line="240" w:lineRule="auto"/>
      </w:pPr>
    </w:p>
    <w:p w14:paraId="4C1E4963" w14:textId="280A1729" w:rsidR="00D02157" w:rsidRPr="00FC6206" w:rsidRDefault="00D02157" w:rsidP="00CE3BDB">
      <w:pPr>
        <w:keepNext/>
        <w:keepLines/>
        <w:spacing w:after="0" w:line="240" w:lineRule="auto"/>
      </w:pPr>
      <w:r w:rsidRPr="00FC6206">
        <w:t xml:space="preserve">Table 3. </w:t>
      </w:r>
    </w:p>
    <w:p w14:paraId="40F23C8F" w14:textId="79C67609" w:rsidR="00D02157" w:rsidRPr="00FC6206" w:rsidRDefault="00D02157" w:rsidP="00CE3BDB">
      <w:pPr>
        <w:keepNext/>
        <w:keepLines/>
        <w:spacing w:after="0" w:line="240" w:lineRule="auto"/>
      </w:pPr>
      <w:r w:rsidRPr="00FC6206">
        <w:t xml:space="preserve">Proportion of social drinkers in demographic and heavy drinking </w:t>
      </w:r>
      <w:proofErr w:type="gramStart"/>
      <w:r w:rsidRPr="00FC6206">
        <w:t>occasion based</w:t>
      </w:r>
      <w:proofErr w:type="gramEnd"/>
      <w:r w:rsidRPr="00FC6206">
        <w:t xml:space="preserve"> categories, 2001-2013</w:t>
      </w:r>
      <w:r w:rsidR="006E78B8" w:rsidRPr="006E78B8">
        <w:t xml:space="preserve"> </w:t>
      </w:r>
      <w:r w:rsidR="006E78B8">
        <w:t xml:space="preserve">and odds ratios from bivariate logistic regression predicting self-reported </w:t>
      </w:r>
      <w:r w:rsidR="00EA1560">
        <w:t xml:space="preserve">social </w:t>
      </w:r>
      <w:r w:rsidR="006E78B8">
        <w:t>drinkers</w:t>
      </w:r>
      <w:r w:rsidRPr="00FC6206">
        <w:t>.</w:t>
      </w:r>
    </w:p>
    <w:tbl>
      <w:tblPr>
        <w:tblW w:w="9582" w:type="dxa"/>
        <w:tblLook w:val="04A0" w:firstRow="1" w:lastRow="0" w:firstColumn="1" w:lastColumn="0" w:noHBand="0" w:noVBand="1"/>
      </w:tblPr>
      <w:tblGrid>
        <w:gridCol w:w="1103"/>
        <w:gridCol w:w="1165"/>
        <w:gridCol w:w="1276"/>
        <w:gridCol w:w="1276"/>
        <w:gridCol w:w="1276"/>
        <w:gridCol w:w="1275"/>
        <w:gridCol w:w="1276"/>
        <w:gridCol w:w="935"/>
      </w:tblGrid>
      <w:tr w:rsidR="00C630F7" w:rsidRPr="00FC6206" w14:paraId="3DC43509" w14:textId="623EA541" w:rsidTr="006313C5">
        <w:trPr>
          <w:trHeight w:val="300"/>
        </w:trPr>
        <w:tc>
          <w:tcPr>
            <w:tcW w:w="1103" w:type="dxa"/>
            <w:tcBorders>
              <w:top w:val="single" w:sz="4" w:space="0" w:color="auto"/>
              <w:left w:val="nil"/>
              <w:bottom w:val="single" w:sz="4" w:space="0" w:color="auto"/>
              <w:right w:val="nil"/>
            </w:tcBorders>
            <w:shd w:val="clear" w:color="auto" w:fill="auto"/>
            <w:noWrap/>
            <w:vAlign w:val="center"/>
            <w:hideMark/>
          </w:tcPr>
          <w:p w14:paraId="02C391D2"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 </w:t>
            </w:r>
          </w:p>
        </w:tc>
        <w:tc>
          <w:tcPr>
            <w:tcW w:w="1165" w:type="dxa"/>
            <w:tcBorders>
              <w:top w:val="single" w:sz="4" w:space="0" w:color="auto"/>
              <w:left w:val="nil"/>
              <w:bottom w:val="single" w:sz="4" w:space="0" w:color="auto"/>
              <w:right w:val="nil"/>
            </w:tcBorders>
            <w:shd w:val="clear" w:color="auto" w:fill="auto"/>
            <w:noWrap/>
            <w:vAlign w:val="center"/>
            <w:hideMark/>
          </w:tcPr>
          <w:p w14:paraId="23BDD685"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 </w:t>
            </w:r>
          </w:p>
        </w:tc>
        <w:tc>
          <w:tcPr>
            <w:tcW w:w="1276" w:type="dxa"/>
            <w:tcBorders>
              <w:top w:val="single" w:sz="4" w:space="0" w:color="auto"/>
              <w:left w:val="nil"/>
              <w:bottom w:val="single" w:sz="4" w:space="0" w:color="auto"/>
              <w:right w:val="nil"/>
            </w:tcBorders>
            <w:shd w:val="clear" w:color="auto" w:fill="auto"/>
            <w:noWrap/>
            <w:vAlign w:val="center"/>
            <w:hideMark/>
          </w:tcPr>
          <w:p w14:paraId="44DB6CC2" w14:textId="77777777" w:rsidR="00C630F7" w:rsidRPr="00FC6206" w:rsidRDefault="00C630F7" w:rsidP="00984AA2">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2001</w:t>
            </w:r>
          </w:p>
        </w:tc>
        <w:tc>
          <w:tcPr>
            <w:tcW w:w="1276" w:type="dxa"/>
            <w:tcBorders>
              <w:top w:val="single" w:sz="4" w:space="0" w:color="auto"/>
              <w:left w:val="nil"/>
              <w:bottom w:val="single" w:sz="4" w:space="0" w:color="auto"/>
              <w:right w:val="nil"/>
            </w:tcBorders>
            <w:shd w:val="clear" w:color="auto" w:fill="auto"/>
            <w:noWrap/>
            <w:vAlign w:val="center"/>
            <w:hideMark/>
          </w:tcPr>
          <w:p w14:paraId="30E8210C" w14:textId="77777777" w:rsidR="00C630F7" w:rsidRPr="00FC6206" w:rsidRDefault="00C630F7" w:rsidP="00984AA2">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2004</w:t>
            </w:r>
          </w:p>
        </w:tc>
        <w:tc>
          <w:tcPr>
            <w:tcW w:w="1276" w:type="dxa"/>
            <w:tcBorders>
              <w:top w:val="single" w:sz="4" w:space="0" w:color="auto"/>
              <w:left w:val="nil"/>
              <w:bottom w:val="single" w:sz="4" w:space="0" w:color="auto"/>
              <w:right w:val="nil"/>
            </w:tcBorders>
            <w:shd w:val="clear" w:color="auto" w:fill="auto"/>
            <w:noWrap/>
            <w:vAlign w:val="center"/>
            <w:hideMark/>
          </w:tcPr>
          <w:p w14:paraId="5448A9A4" w14:textId="77777777" w:rsidR="00C630F7" w:rsidRPr="00FC6206" w:rsidRDefault="00C630F7" w:rsidP="00984AA2">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2007</w:t>
            </w:r>
          </w:p>
        </w:tc>
        <w:tc>
          <w:tcPr>
            <w:tcW w:w="1275" w:type="dxa"/>
            <w:tcBorders>
              <w:top w:val="single" w:sz="4" w:space="0" w:color="auto"/>
              <w:left w:val="nil"/>
              <w:bottom w:val="single" w:sz="4" w:space="0" w:color="auto"/>
              <w:right w:val="nil"/>
            </w:tcBorders>
            <w:shd w:val="clear" w:color="auto" w:fill="auto"/>
            <w:noWrap/>
            <w:vAlign w:val="center"/>
            <w:hideMark/>
          </w:tcPr>
          <w:p w14:paraId="02A0E215" w14:textId="77777777" w:rsidR="00C630F7" w:rsidRPr="00FC6206" w:rsidRDefault="00C630F7" w:rsidP="00984AA2">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2010</w:t>
            </w:r>
          </w:p>
        </w:tc>
        <w:tc>
          <w:tcPr>
            <w:tcW w:w="1276" w:type="dxa"/>
            <w:tcBorders>
              <w:top w:val="single" w:sz="4" w:space="0" w:color="auto"/>
              <w:left w:val="nil"/>
              <w:bottom w:val="single" w:sz="4" w:space="0" w:color="auto"/>
              <w:right w:val="nil"/>
            </w:tcBorders>
            <w:shd w:val="clear" w:color="auto" w:fill="auto"/>
            <w:noWrap/>
            <w:vAlign w:val="center"/>
            <w:hideMark/>
          </w:tcPr>
          <w:p w14:paraId="710DE983" w14:textId="77777777" w:rsidR="00C630F7" w:rsidRPr="00FC6206" w:rsidRDefault="00C630F7" w:rsidP="00984AA2">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2013</w:t>
            </w:r>
          </w:p>
        </w:tc>
        <w:tc>
          <w:tcPr>
            <w:tcW w:w="935" w:type="dxa"/>
            <w:tcBorders>
              <w:top w:val="single" w:sz="4" w:space="0" w:color="auto"/>
              <w:left w:val="nil"/>
              <w:bottom w:val="single" w:sz="4" w:space="0" w:color="auto"/>
              <w:right w:val="nil"/>
            </w:tcBorders>
          </w:tcPr>
          <w:p w14:paraId="18569F75" w14:textId="5E4D6324" w:rsidR="00C630F7" w:rsidRPr="00FC6206" w:rsidRDefault="00C630F7" w:rsidP="00984AA2">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OR</w:t>
            </w:r>
          </w:p>
        </w:tc>
      </w:tr>
      <w:tr w:rsidR="00C630F7" w:rsidRPr="00FC6206" w14:paraId="5B45B7B1" w14:textId="4E30141C" w:rsidTr="006313C5">
        <w:trPr>
          <w:trHeight w:val="300"/>
        </w:trPr>
        <w:tc>
          <w:tcPr>
            <w:tcW w:w="1103" w:type="dxa"/>
            <w:vMerge w:val="restart"/>
            <w:tcBorders>
              <w:top w:val="nil"/>
              <w:left w:val="nil"/>
              <w:right w:val="nil"/>
            </w:tcBorders>
            <w:shd w:val="clear" w:color="auto" w:fill="auto"/>
            <w:noWrap/>
            <w:vAlign w:val="center"/>
            <w:hideMark/>
          </w:tcPr>
          <w:p w14:paraId="2B338126"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Age</w:t>
            </w:r>
          </w:p>
        </w:tc>
        <w:tc>
          <w:tcPr>
            <w:tcW w:w="1165" w:type="dxa"/>
            <w:tcBorders>
              <w:top w:val="nil"/>
              <w:left w:val="nil"/>
              <w:bottom w:val="nil"/>
              <w:right w:val="nil"/>
            </w:tcBorders>
            <w:shd w:val="clear" w:color="auto" w:fill="auto"/>
            <w:noWrap/>
            <w:vAlign w:val="center"/>
            <w:hideMark/>
          </w:tcPr>
          <w:p w14:paraId="71EE5157" w14:textId="65EF8931"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&lt;30</w:t>
            </w:r>
          </w:p>
        </w:tc>
        <w:tc>
          <w:tcPr>
            <w:tcW w:w="1276" w:type="dxa"/>
            <w:tcBorders>
              <w:top w:val="nil"/>
              <w:left w:val="nil"/>
              <w:bottom w:val="nil"/>
              <w:right w:val="nil"/>
            </w:tcBorders>
            <w:shd w:val="clear" w:color="auto" w:fill="auto"/>
            <w:noWrap/>
            <w:vAlign w:val="center"/>
          </w:tcPr>
          <w:p w14:paraId="77FB8737" w14:textId="484B0CED"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41.5</w:t>
            </w:r>
          </w:p>
          <w:p w14:paraId="5EB35BD5" w14:textId="077F4CC8"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(39.9, 43.2)</w:t>
            </w:r>
          </w:p>
        </w:tc>
        <w:tc>
          <w:tcPr>
            <w:tcW w:w="1276" w:type="dxa"/>
            <w:tcBorders>
              <w:top w:val="nil"/>
              <w:left w:val="nil"/>
              <w:bottom w:val="nil"/>
              <w:right w:val="nil"/>
            </w:tcBorders>
            <w:shd w:val="clear" w:color="auto" w:fill="auto"/>
            <w:noWrap/>
            <w:vAlign w:val="center"/>
          </w:tcPr>
          <w:p w14:paraId="01D6E203"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43.2</w:t>
            </w:r>
          </w:p>
          <w:p w14:paraId="21D6E381" w14:textId="0F48262C"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(40.9, 45.4)</w:t>
            </w:r>
          </w:p>
        </w:tc>
        <w:tc>
          <w:tcPr>
            <w:tcW w:w="1276" w:type="dxa"/>
            <w:tcBorders>
              <w:top w:val="nil"/>
              <w:left w:val="nil"/>
              <w:bottom w:val="nil"/>
              <w:right w:val="nil"/>
            </w:tcBorders>
            <w:shd w:val="clear" w:color="auto" w:fill="auto"/>
            <w:noWrap/>
            <w:vAlign w:val="center"/>
          </w:tcPr>
          <w:p w14:paraId="2D002B6F"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40.3</w:t>
            </w:r>
          </w:p>
          <w:p w14:paraId="4BE29FA2" w14:textId="4A438F4D"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(37.3, 43.5)</w:t>
            </w:r>
          </w:p>
        </w:tc>
        <w:tc>
          <w:tcPr>
            <w:tcW w:w="1275" w:type="dxa"/>
            <w:tcBorders>
              <w:top w:val="nil"/>
              <w:left w:val="nil"/>
              <w:bottom w:val="nil"/>
              <w:right w:val="nil"/>
            </w:tcBorders>
            <w:shd w:val="clear" w:color="auto" w:fill="auto"/>
            <w:noWrap/>
            <w:vAlign w:val="center"/>
          </w:tcPr>
          <w:p w14:paraId="72C9A89D"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34.3</w:t>
            </w:r>
          </w:p>
          <w:p w14:paraId="5012E68A" w14:textId="350C7C1F"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(32.5, 36.1)</w:t>
            </w:r>
          </w:p>
        </w:tc>
        <w:tc>
          <w:tcPr>
            <w:tcW w:w="1276" w:type="dxa"/>
            <w:tcBorders>
              <w:top w:val="nil"/>
              <w:left w:val="nil"/>
              <w:bottom w:val="nil"/>
              <w:right w:val="nil"/>
            </w:tcBorders>
            <w:shd w:val="clear" w:color="auto" w:fill="auto"/>
            <w:noWrap/>
            <w:vAlign w:val="center"/>
          </w:tcPr>
          <w:p w14:paraId="6BDFFC6A"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32.4</w:t>
            </w:r>
          </w:p>
          <w:p w14:paraId="00230A10" w14:textId="4875B053" w:rsidR="00C630F7" w:rsidRPr="00FC6206" w:rsidRDefault="00C630F7" w:rsidP="0056114C">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(30.5, 34.3)</w:t>
            </w:r>
          </w:p>
        </w:tc>
        <w:tc>
          <w:tcPr>
            <w:tcW w:w="935" w:type="dxa"/>
            <w:tcBorders>
              <w:top w:val="nil"/>
              <w:left w:val="nil"/>
              <w:bottom w:val="nil"/>
              <w:right w:val="nil"/>
            </w:tcBorders>
            <w:vAlign w:val="center"/>
          </w:tcPr>
          <w:p w14:paraId="25805063" w14:textId="59E13DEF" w:rsidR="00C630F7" w:rsidRDefault="00C630F7"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0.97***</w:t>
            </w:r>
          </w:p>
        </w:tc>
      </w:tr>
      <w:tr w:rsidR="00C630F7" w:rsidRPr="00FC6206" w14:paraId="7BCB0552" w14:textId="4698B41D" w:rsidTr="006313C5">
        <w:trPr>
          <w:trHeight w:val="300"/>
        </w:trPr>
        <w:tc>
          <w:tcPr>
            <w:tcW w:w="1103" w:type="dxa"/>
            <w:vMerge/>
            <w:tcBorders>
              <w:left w:val="nil"/>
              <w:right w:val="nil"/>
            </w:tcBorders>
            <w:shd w:val="clear" w:color="auto" w:fill="auto"/>
            <w:noWrap/>
            <w:vAlign w:val="bottom"/>
            <w:hideMark/>
          </w:tcPr>
          <w:p w14:paraId="1CA4DDC4" w14:textId="055A18EE"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bottom w:val="nil"/>
              <w:right w:val="nil"/>
            </w:tcBorders>
            <w:shd w:val="clear" w:color="auto" w:fill="auto"/>
            <w:noWrap/>
            <w:vAlign w:val="center"/>
            <w:hideMark/>
          </w:tcPr>
          <w:p w14:paraId="7BDC6F9B"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30-49</w:t>
            </w:r>
          </w:p>
        </w:tc>
        <w:tc>
          <w:tcPr>
            <w:tcW w:w="1276" w:type="dxa"/>
            <w:tcBorders>
              <w:top w:val="nil"/>
              <w:left w:val="nil"/>
              <w:bottom w:val="nil"/>
              <w:right w:val="nil"/>
            </w:tcBorders>
            <w:shd w:val="clear" w:color="auto" w:fill="auto"/>
            <w:noWrap/>
            <w:vAlign w:val="center"/>
          </w:tcPr>
          <w:p w14:paraId="7F28D523" w14:textId="023BB48C"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28.4</w:t>
            </w:r>
          </w:p>
          <w:p w14:paraId="52B2917B" w14:textId="5C85A8FB"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(27.5, 29.4)</w:t>
            </w:r>
          </w:p>
        </w:tc>
        <w:tc>
          <w:tcPr>
            <w:tcW w:w="1276" w:type="dxa"/>
            <w:tcBorders>
              <w:top w:val="nil"/>
              <w:left w:val="nil"/>
              <w:bottom w:val="nil"/>
              <w:right w:val="nil"/>
            </w:tcBorders>
            <w:shd w:val="clear" w:color="auto" w:fill="auto"/>
            <w:noWrap/>
            <w:vAlign w:val="center"/>
          </w:tcPr>
          <w:p w14:paraId="5DED24D9"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30.7</w:t>
            </w:r>
          </w:p>
          <w:p w14:paraId="27840569" w14:textId="614489CC"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(29.4, 32.0)</w:t>
            </w:r>
          </w:p>
        </w:tc>
        <w:tc>
          <w:tcPr>
            <w:tcW w:w="1276" w:type="dxa"/>
            <w:tcBorders>
              <w:top w:val="nil"/>
              <w:left w:val="nil"/>
              <w:bottom w:val="nil"/>
              <w:right w:val="nil"/>
            </w:tcBorders>
            <w:shd w:val="clear" w:color="auto" w:fill="auto"/>
            <w:noWrap/>
            <w:vAlign w:val="center"/>
          </w:tcPr>
          <w:p w14:paraId="1CDD4FD9"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28.8</w:t>
            </w:r>
          </w:p>
          <w:p w14:paraId="0ED04BF0" w14:textId="6D094ACE"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(27.3, 30.4)</w:t>
            </w:r>
          </w:p>
        </w:tc>
        <w:tc>
          <w:tcPr>
            <w:tcW w:w="1275" w:type="dxa"/>
            <w:tcBorders>
              <w:top w:val="nil"/>
              <w:left w:val="nil"/>
              <w:bottom w:val="nil"/>
              <w:right w:val="nil"/>
            </w:tcBorders>
            <w:shd w:val="clear" w:color="auto" w:fill="auto"/>
            <w:noWrap/>
            <w:vAlign w:val="center"/>
          </w:tcPr>
          <w:p w14:paraId="3B026FAD"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24.6</w:t>
            </w:r>
          </w:p>
          <w:p w14:paraId="67FDF1E7" w14:textId="213998E6"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(23.7, 25.6)</w:t>
            </w:r>
          </w:p>
        </w:tc>
        <w:tc>
          <w:tcPr>
            <w:tcW w:w="1276" w:type="dxa"/>
            <w:tcBorders>
              <w:top w:val="nil"/>
              <w:left w:val="nil"/>
              <w:bottom w:val="nil"/>
              <w:right w:val="nil"/>
            </w:tcBorders>
            <w:shd w:val="clear" w:color="auto" w:fill="auto"/>
            <w:noWrap/>
            <w:vAlign w:val="center"/>
          </w:tcPr>
          <w:p w14:paraId="65FA47C7"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22.9</w:t>
            </w:r>
          </w:p>
          <w:p w14:paraId="14362235" w14:textId="649272DE"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(22.0, 23.9)</w:t>
            </w:r>
          </w:p>
        </w:tc>
        <w:tc>
          <w:tcPr>
            <w:tcW w:w="935" w:type="dxa"/>
            <w:tcBorders>
              <w:top w:val="nil"/>
              <w:left w:val="nil"/>
              <w:bottom w:val="nil"/>
              <w:right w:val="nil"/>
            </w:tcBorders>
            <w:vAlign w:val="center"/>
          </w:tcPr>
          <w:p w14:paraId="6B42A7AE" w14:textId="3111DC35" w:rsidR="00C630F7" w:rsidRDefault="00C630F7"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0.98***</w:t>
            </w:r>
          </w:p>
        </w:tc>
      </w:tr>
      <w:tr w:rsidR="00C630F7" w:rsidRPr="00FC6206" w14:paraId="0E426CE0" w14:textId="7727B4AB" w:rsidTr="006313C5">
        <w:trPr>
          <w:trHeight w:val="300"/>
        </w:trPr>
        <w:tc>
          <w:tcPr>
            <w:tcW w:w="1103" w:type="dxa"/>
            <w:vMerge/>
            <w:tcBorders>
              <w:left w:val="nil"/>
              <w:bottom w:val="nil"/>
              <w:right w:val="nil"/>
            </w:tcBorders>
            <w:shd w:val="clear" w:color="auto" w:fill="auto"/>
            <w:noWrap/>
            <w:vAlign w:val="bottom"/>
            <w:hideMark/>
          </w:tcPr>
          <w:p w14:paraId="3698123A" w14:textId="4DA07F26"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bottom w:val="nil"/>
              <w:right w:val="nil"/>
            </w:tcBorders>
            <w:shd w:val="clear" w:color="auto" w:fill="auto"/>
            <w:noWrap/>
            <w:vAlign w:val="center"/>
            <w:hideMark/>
          </w:tcPr>
          <w:p w14:paraId="0300033B"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50+</w:t>
            </w:r>
          </w:p>
        </w:tc>
        <w:tc>
          <w:tcPr>
            <w:tcW w:w="1276" w:type="dxa"/>
            <w:tcBorders>
              <w:top w:val="nil"/>
              <w:left w:val="nil"/>
              <w:bottom w:val="nil"/>
              <w:right w:val="nil"/>
            </w:tcBorders>
            <w:shd w:val="clear" w:color="auto" w:fill="auto"/>
            <w:noWrap/>
            <w:vAlign w:val="center"/>
          </w:tcPr>
          <w:p w14:paraId="286CA828" w14:textId="478A072C"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18.9</w:t>
            </w:r>
          </w:p>
          <w:p w14:paraId="32889ED7" w14:textId="09A93635"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(17.9, 19.9)</w:t>
            </w:r>
          </w:p>
        </w:tc>
        <w:tc>
          <w:tcPr>
            <w:tcW w:w="1276" w:type="dxa"/>
            <w:tcBorders>
              <w:top w:val="nil"/>
              <w:left w:val="nil"/>
              <w:bottom w:val="nil"/>
              <w:right w:val="nil"/>
            </w:tcBorders>
            <w:shd w:val="clear" w:color="auto" w:fill="auto"/>
            <w:noWrap/>
            <w:vAlign w:val="center"/>
          </w:tcPr>
          <w:p w14:paraId="1D6751FF"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21.9</w:t>
            </w:r>
          </w:p>
          <w:p w14:paraId="3E425E9F" w14:textId="722E31C3"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(20.7, 23.2)</w:t>
            </w:r>
          </w:p>
        </w:tc>
        <w:tc>
          <w:tcPr>
            <w:tcW w:w="1276" w:type="dxa"/>
            <w:tcBorders>
              <w:top w:val="nil"/>
              <w:left w:val="nil"/>
              <w:bottom w:val="nil"/>
              <w:right w:val="nil"/>
            </w:tcBorders>
            <w:shd w:val="clear" w:color="auto" w:fill="auto"/>
            <w:noWrap/>
            <w:vAlign w:val="center"/>
          </w:tcPr>
          <w:p w14:paraId="1887A132"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21.8</w:t>
            </w:r>
          </w:p>
          <w:p w14:paraId="1334D34E" w14:textId="55BD7E66"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(20.4, 23.3)</w:t>
            </w:r>
          </w:p>
        </w:tc>
        <w:tc>
          <w:tcPr>
            <w:tcW w:w="1275" w:type="dxa"/>
            <w:tcBorders>
              <w:top w:val="nil"/>
              <w:left w:val="nil"/>
              <w:bottom w:val="nil"/>
              <w:right w:val="nil"/>
            </w:tcBorders>
            <w:shd w:val="clear" w:color="auto" w:fill="auto"/>
            <w:noWrap/>
            <w:vAlign w:val="center"/>
          </w:tcPr>
          <w:p w14:paraId="39AB6BDF"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19.5</w:t>
            </w:r>
          </w:p>
          <w:p w14:paraId="6C9B0D22" w14:textId="60A962AF"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(18.6, 20.4)</w:t>
            </w:r>
          </w:p>
        </w:tc>
        <w:tc>
          <w:tcPr>
            <w:tcW w:w="1276" w:type="dxa"/>
            <w:tcBorders>
              <w:top w:val="nil"/>
              <w:left w:val="nil"/>
              <w:bottom w:val="nil"/>
              <w:right w:val="nil"/>
            </w:tcBorders>
            <w:shd w:val="clear" w:color="auto" w:fill="auto"/>
            <w:noWrap/>
            <w:vAlign w:val="center"/>
          </w:tcPr>
          <w:p w14:paraId="614DA4F5"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18.6</w:t>
            </w:r>
          </w:p>
          <w:p w14:paraId="1353BB3A" w14:textId="0FA09B2C"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(17.7, 19.5)</w:t>
            </w:r>
          </w:p>
        </w:tc>
        <w:tc>
          <w:tcPr>
            <w:tcW w:w="935" w:type="dxa"/>
            <w:tcBorders>
              <w:top w:val="nil"/>
              <w:left w:val="nil"/>
              <w:bottom w:val="nil"/>
              <w:right w:val="nil"/>
            </w:tcBorders>
            <w:vAlign w:val="center"/>
          </w:tcPr>
          <w:p w14:paraId="494B0B11" w14:textId="1539A3B0" w:rsidR="00C630F7" w:rsidRDefault="00C630F7"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1.00</w:t>
            </w:r>
          </w:p>
        </w:tc>
      </w:tr>
      <w:tr w:rsidR="00C630F7" w:rsidRPr="00FC6206" w14:paraId="0692D74A" w14:textId="5EF46A42" w:rsidTr="006313C5">
        <w:trPr>
          <w:trHeight w:val="300"/>
        </w:trPr>
        <w:tc>
          <w:tcPr>
            <w:tcW w:w="1103" w:type="dxa"/>
            <w:tcBorders>
              <w:top w:val="nil"/>
              <w:left w:val="nil"/>
              <w:bottom w:val="nil"/>
              <w:right w:val="nil"/>
            </w:tcBorders>
            <w:shd w:val="clear" w:color="auto" w:fill="auto"/>
            <w:noWrap/>
            <w:vAlign w:val="bottom"/>
            <w:hideMark/>
          </w:tcPr>
          <w:p w14:paraId="255787D2" w14:textId="7ABE43EF"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bottom w:val="nil"/>
              <w:right w:val="nil"/>
            </w:tcBorders>
            <w:shd w:val="clear" w:color="auto" w:fill="auto"/>
            <w:noWrap/>
            <w:vAlign w:val="bottom"/>
            <w:hideMark/>
          </w:tcPr>
          <w:p w14:paraId="2A0250D7" w14:textId="77777777" w:rsidR="00C630F7" w:rsidRPr="00FC6206" w:rsidRDefault="00C630F7" w:rsidP="00CE3BDB">
            <w:pPr>
              <w:keepNext/>
              <w:keepLines/>
              <w:spacing w:after="0" w:line="240" w:lineRule="auto"/>
              <w:rPr>
                <w:rFonts w:eastAsia="Times New Roman" w:cs="Times New Roman"/>
                <w:lang w:eastAsia="en-AU"/>
              </w:rPr>
            </w:pPr>
          </w:p>
        </w:tc>
        <w:tc>
          <w:tcPr>
            <w:tcW w:w="1276" w:type="dxa"/>
            <w:tcBorders>
              <w:top w:val="nil"/>
              <w:left w:val="nil"/>
              <w:bottom w:val="nil"/>
              <w:right w:val="nil"/>
            </w:tcBorders>
            <w:shd w:val="clear" w:color="auto" w:fill="auto"/>
            <w:noWrap/>
            <w:vAlign w:val="center"/>
            <w:hideMark/>
          </w:tcPr>
          <w:p w14:paraId="35E421DF"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hideMark/>
          </w:tcPr>
          <w:p w14:paraId="0BF432B8"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324A73FE"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5" w:type="dxa"/>
            <w:tcBorders>
              <w:top w:val="nil"/>
              <w:left w:val="nil"/>
              <w:bottom w:val="nil"/>
              <w:right w:val="nil"/>
            </w:tcBorders>
            <w:shd w:val="clear" w:color="auto" w:fill="auto"/>
            <w:noWrap/>
            <w:vAlign w:val="center"/>
          </w:tcPr>
          <w:p w14:paraId="6D50A51F"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49DB8BE6"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935" w:type="dxa"/>
            <w:tcBorders>
              <w:top w:val="nil"/>
              <w:left w:val="nil"/>
              <w:bottom w:val="nil"/>
              <w:right w:val="nil"/>
            </w:tcBorders>
            <w:vAlign w:val="center"/>
          </w:tcPr>
          <w:p w14:paraId="619D5312" w14:textId="77777777" w:rsidR="00C630F7" w:rsidRPr="00FC6206" w:rsidRDefault="00C630F7" w:rsidP="006E78B8">
            <w:pPr>
              <w:keepNext/>
              <w:keepLines/>
              <w:spacing w:after="0" w:line="240" w:lineRule="auto"/>
              <w:rPr>
                <w:rFonts w:eastAsia="Times New Roman" w:cs="Times New Roman"/>
                <w:lang w:eastAsia="en-AU"/>
              </w:rPr>
            </w:pPr>
          </w:p>
        </w:tc>
      </w:tr>
      <w:tr w:rsidR="00C630F7" w:rsidRPr="00FC6206" w14:paraId="5FB4A158" w14:textId="6B88C55C" w:rsidTr="006313C5">
        <w:trPr>
          <w:trHeight w:val="300"/>
        </w:trPr>
        <w:tc>
          <w:tcPr>
            <w:tcW w:w="1103" w:type="dxa"/>
            <w:tcBorders>
              <w:top w:val="nil"/>
              <w:left w:val="nil"/>
              <w:bottom w:val="nil"/>
              <w:right w:val="nil"/>
            </w:tcBorders>
            <w:shd w:val="clear" w:color="auto" w:fill="auto"/>
            <w:noWrap/>
            <w:vAlign w:val="center"/>
            <w:hideMark/>
          </w:tcPr>
          <w:p w14:paraId="4A59F877"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Sex</w:t>
            </w:r>
          </w:p>
        </w:tc>
        <w:tc>
          <w:tcPr>
            <w:tcW w:w="1165" w:type="dxa"/>
            <w:tcBorders>
              <w:top w:val="nil"/>
              <w:left w:val="nil"/>
              <w:bottom w:val="nil"/>
              <w:right w:val="nil"/>
            </w:tcBorders>
            <w:shd w:val="clear" w:color="auto" w:fill="auto"/>
            <w:noWrap/>
            <w:vAlign w:val="center"/>
            <w:hideMark/>
          </w:tcPr>
          <w:p w14:paraId="789DCB1D"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Male</w:t>
            </w:r>
          </w:p>
        </w:tc>
        <w:tc>
          <w:tcPr>
            <w:tcW w:w="1276" w:type="dxa"/>
            <w:tcBorders>
              <w:top w:val="nil"/>
              <w:left w:val="nil"/>
              <w:bottom w:val="nil"/>
              <w:right w:val="nil"/>
            </w:tcBorders>
            <w:shd w:val="clear" w:color="auto" w:fill="auto"/>
            <w:noWrap/>
            <w:vAlign w:val="center"/>
          </w:tcPr>
          <w:p w14:paraId="521E2247"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34.5</w:t>
            </w:r>
          </w:p>
          <w:p w14:paraId="5886083A" w14:textId="1FA4D6D2"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(33.4, 35.5)</w:t>
            </w:r>
          </w:p>
        </w:tc>
        <w:tc>
          <w:tcPr>
            <w:tcW w:w="1276" w:type="dxa"/>
            <w:tcBorders>
              <w:top w:val="nil"/>
              <w:left w:val="nil"/>
              <w:bottom w:val="nil"/>
              <w:right w:val="nil"/>
            </w:tcBorders>
            <w:shd w:val="clear" w:color="auto" w:fill="auto"/>
            <w:noWrap/>
            <w:vAlign w:val="center"/>
          </w:tcPr>
          <w:p w14:paraId="71380BCF"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35.9</w:t>
            </w:r>
          </w:p>
          <w:p w14:paraId="28F67A1B" w14:textId="4E05F14C"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(34.5, 37.3)</w:t>
            </w:r>
          </w:p>
        </w:tc>
        <w:tc>
          <w:tcPr>
            <w:tcW w:w="1276" w:type="dxa"/>
            <w:tcBorders>
              <w:top w:val="nil"/>
              <w:left w:val="nil"/>
              <w:bottom w:val="nil"/>
              <w:right w:val="nil"/>
            </w:tcBorders>
            <w:shd w:val="clear" w:color="auto" w:fill="auto"/>
            <w:noWrap/>
            <w:vAlign w:val="center"/>
          </w:tcPr>
          <w:p w14:paraId="61A70284"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34.7</w:t>
            </w:r>
          </w:p>
          <w:p w14:paraId="12B719E7" w14:textId="3D14D56B"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(32.9, 36.5)</w:t>
            </w:r>
          </w:p>
        </w:tc>
        <w:tc>
          <w:tcPr>
            <w:tcW w:w="1275" w:type="dxa"/>
            <w:tcBorders>
              <w:top w:val="nil"/>
              <w:left w:val="nil"/>
              <w:bottom w:val="nil"/>
              <w:right w:val="nil"/>
            </w:tcBorders>
            <w:shd w:val="clear" w:color="auto" w:fill="auto"/>
            <w:noWrap/>
            <w:vAlign w:val="center"/>
          </w:tcPr>
          <w:p w14:paraId="5D3BB424"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30.3</w:t>
            </w:r>
          </w:p>
          <w:p w14:paraId="15698052" w14:textId="4EA52035"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(29.3, 31.3)</w:t>
            </w:r>
          </w:p>
        </w:tc>
        <w:tc>
          <w:tcPr>
            <w:tcW w:w="1276" w:type="dxa"/>
            <w:tcBorders>
              <w:top w:val="nil"/>
              <w:left w:val="nil"/>
              <w:bottom w:val="nil"/>
              <w:right w:val="nil"/>
            </w:tcBorders>
            <w:shd w:val="clear" w:color="auto" w:fill="auto"/>
            <w:noWrap/>
            <w:vAlign w:val="center"/>
          </w:tcPr>
          <w:p w14:paraId="1F6D97EA"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28.7</w:t>
            </w:r>
          </w:p>
          <w:p w14:paraId="0B6C959F" w14:textId="7B1CC902"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(27.6, 29.8)</w:t>
            </w:r>
          </w:p>
        </w:tc>
        <w:tc>
          <w:tcPr>
            <w:tcW w:w="935" w:type="dxa"/>
            <w:tcBorders>
              <w:top w:val="nil"/>
              <w:left w:val="nil"/>
              <w:bottom w:val="nil"/>
              <w:right w:val="nil"/>
            </w:tcBorders>
            <w:vAlign w:val="center"/>
          </w:tcPr>
          <w:p w14:paraId="790842DE" w14:textId="5F4966E2" w:rsidR="00C630F7" w:rsidRDefault="00C630F7"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0.98***</w:t>
            </w:r>
          </w:p>
        </w:tc>
      </w:tr>
      <w:tr w:rsidR="00C630F7" w:rsidRPr="00FC6206" w14:paraId="100660E2" w14:textId="4CFA46F1" w:rsidTr="006313C5">
        <w:trPr>
          <w:trHeight w:val="300"/>
        </w:trPr>
        <w:tc>
          <w:tcPr>
            <w:tcW w:w="1103" w:type="dxa"/>
            <w:tcBorders>
              <w:top w:val="nil"/>
              <w:left w:val="nil"/>
              <w:bottom w:val="nil"/>
              <w:right w:val="nil"/>
            </w:tcBorders>
            <w:shd w:val="clear" w:color="auto" w:fill="auto"/>
            <w:noWrap/>
            <w:vAlign w:val="center"/>
          </w:tcPr>
          <w:p w14:paraId="08332F7B" w14:textId="4A69B6F0"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bottom w:val="nil"/>
              <w:right w:val="nil"/>
            </w:tcBorders>
            <w:shd w:val="clear" w:color="auto" w:fill="auto"/>
            <w:noWrap/>
            <w:vAlign w:val="center"/>
          </w:tcPr>
          <w:p w14:paraId="2EB140A0" w14:textId="5FBF8A01" w:rsidR="00C630F7" w:rsidRPr="00FC6206" w:rsidRDefault="00C630F7" w:rsidP="00CE3BDB">
            <w:pPr>
              <w:keepNext/>
              <w:keepLines/>
              <w:spacing w:after="0" w:line="240" w:lineRule="auto"/>
              <w:rPr>
                <w:rFonts w:eastAsia="Times New Roman" w:cs="Times New Roman"/>
                <w:color w:val="000000"/>
                <w:lang w:eastAsia="en-AU"/>
              </w:rPr>
            </w:pPr>
            <w:r>
              <w:rPr>
                <w:rFonts w:eastAsia="Times New Roman" w:cs="Times New Roman"/>
                <w:color w:val="000000"/>
                <w:lang w:eastAsia="en-AU"/>
              </w:rPr>
              <w:t>Female</w:t>
            </w:r>
          </w:p>
        </w:tc>
        <w:tc>
          <w:tcPr>
            <w:tcW w:w="1276" w:type="dxa"/>
            <w:tcBorders>
              <w:top w:val="nil"/>
              <w:left w:val="nil"/>
              <w:bottom w:val="nil"/>
              <w:right w:val="nil"/>
            </w:tcBorders>
            <w:shd w:val="clear" w:color="auto" w:fill="auto"/>
            <w:noWrap/>
            <w:vAlign w:val="center"/>
          </w:tcPr>
          <w:p w14:paraId="11D1FE86"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23.0</w:t>
            </w:r>
          </w:p>
          <w:p w14:paraId="610903C7" w14:textId="1C06B499"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(22.2, 22.9)</w:t>
            </w:r>
          </w:p>
        </w:tc>
        <w:tc>
          <w:tcPr>
            <w:tcW w:w="1276" w:type="dxa"/>
            <w:tcBorders>
              <w:top w:val="nil"/>
              <w:left w:val="nil"/>
              <w:bottom w:val="nil"/>
              <w:right w:val="nil"/>
            </w:tcBorders>
            <w:shd w:val="clear" w:color="auto" w:fill="auto"/>
            <w:noWrap/>
            <w:vAlign w:val="center"/>
          </w:tcPr>
          <w:p w14:paraId="5506DC21"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26.3</w:t>
            </w:r>
          </w:p>
          <w:p w14:paraId="31E2D856" w14:textId="189BF7B4"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(25.1, 27.5)</w:t>
            </w:r>
          </w:p>
        </w:tc>
        <w:tc>
          <w:tcPr>
            <w:tcW w:w="1276" w:type="dxa"/>
            <w:tcBorders>
              <w:top w:val="nil"/>
              <w:left w:val="nil"/>
              <w:bottom w:val="nil"/>
              <w:right w:val="nil"/>
            </w:tcBorders>
            <w:shd w:val="clear" w:color="auto" w:fill="auto"/>
            <w:noWrap/>
            <w:vAlign w:val="center"/>
          </w:tcPr>
          <w:p w14:paraId="634C4CD9"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23.6</w:t>
            </w:r>
          </w:p>
          <w:p w14:paraId="66923C6C" w14:textId="44F0F6E5"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(22.3, 24.9)</w:t>
            </w:r>
          </w:p>
        </w:tc>
        <w:tc>
          <w:tcPr>
            <w:tcW w:w="1275" w:type="dxa"/>
            <w:tcBorders>
              <w:top w:val="nil"/>
              <w:left w:val="nil"/>
              <w:bottom w:val="nil"/>
              <w:right w:val="nil"/>
            </w:tcBorders>
            <w:shd w:val="clear" w:color="auto" w:fill="auto"/>
            <w:noWrap/>
            <w:vAlign w:val="center"/>
          </w:tcPr>
          <w:p w14:paraId="2FD17A28"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20.3</w:t>
            </w:r>
          </w:p>
          <w:p w14:paraId="1324EBA1" w14:textId="5CA20BD3"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(19.5, 21.1)</w:t>
            </w:r>
          </w:p>
        </w:tc>
        <w:tc>
          <w:tcPr>
            <w:tcW w:w="1276" w:type="dxa"/>
            <w:tcBorders>
              <w:top w:val="nil"/>
              <w:left w:val="nil"/>
              <w:bottom w:val="nil"/>
              <w:right w:val="nil"/>
            </w:tcBorders>
            <w:shd w:val="clear" w:color="auto" w:fill="auto"/>
            <w:noWrap/>
            <w:vAlign w:val="center"/>
          </w:tcPr>
          <w:p w14:paraId="1A58487E"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18.7</w:t>
            </w:r>
          </w:p>
          <w:p w14:paraId="0A7044A7" w14:textId="57C9B597"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(17.9, 19.5)</w:t>
            </w:r>
          </w:p>
        </w:tc>
        <w:tc>
          <w:tcPr>
            <w:tcW w:w="935" w:type="dxa"/>
            <w:tcBorders>
              <w:top w:val="nil"/>
              <w:left w:val="nil"/>
              <w:bottom w:val="nil"/>
              <w:right w:val="nil"/>
            </w:tcBorders>
            <w:vAlign w:val="center"/>
          </w:tcPr>
          <w:p w14:paraId="388074FA" w14:textId="27638CB9" w:rsidR="00C630F7" w:rsidRDefault="00C630F7"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0.97***</w:t>
            </w:r>
          </w:p>
        </w:tc>
      </w:tr>
      <w:tr w:rsidR="00C630F7" w:rsidRPr="00FC6206" w14:paraId="07FE290B" w14:textId="3314641A" w:rsidTr="006313C5">
        <w:trPr>
          <w:trHeight w:val="300"/>
        </w:trPr>
        <w:tc>
          <w:tcPr>
            <w:tcW w:w="1103" w:type="dxa"/>
            <w:tcBorders>
              <w:top w:val="nil"/>
              <w:left w:val="nil"/>
              <w:bottom w:val="nil"/>
              <w:right w:val="nil"/>
            </w:tcBorders>
            <w:shd w:val="clear" w:color="auto" w:fill="auto"/>
            <w:noWrap/>
            <w:vAlign w:val="bottom"/>
            <w:hideMark/>
          </w:tcPr>
          <w:p w14:paraId="2F9E89BB" w14:textId="47E1B981"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bottom w:val="nil"/>
              <w:right w:val="nil"/>
            </w:tcBorders>
            <w:shd w:val="clear" w:color="auto" w:fill="auto"/>
            <w:noWrap/>
            <w:vAlign w:val="bottom"/>
            <w:hideMark/>
          </w:tcPr>
          <w:p w14:paraId="70169FD3" w14:textId="77777777" w:rsidR="00C630F7" w:rsidRPr="00FC6206" w:rsidRDefault="00C630F7" w:rsidP="00CE3BDB">
            <w:pPr>
              <w:keepNext/>
              <w:keepLines/>
              <w:spacing w:after="0" w:line="240" w:lineRule="auto"/>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2EFE5A23"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6ED4CD8C"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74DE7615"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5" w:type="dxa"/>
            <w:tcBorders>
              <w:top w:val="nil"/>
              <w:left w:val="nil"/>
              <w:bottom w:val="nil"/>
              <w:right w:val="nil"/>
            </w:tcBorders>
            <w:shd w:val="clear" w:color="auto" w:fill="auto"/>
            <w:noWrap/>
            <w:vAlign w:val="center"/>
          </w:tcPr>
          <w:p w14:paraId="1564F825"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5D90684D" w14:textId="77777777" w:rsidR="00C630F7" w:rsidRPr="00FC6206" w:rsidRDefault="00C630F7" w:rsidP="00AF2504">
            <w:pPr>
              <w:keepNext/>
              <w:keepLines/>
              <w:spacing w:after="0" w:line="240" w:lineRule="auto"/>
              <w:jc w:val="center"/>
              <w:rPr>
                <w:rFonts w:eastAsia="Times New Roman" w:cs="Times New Roman"/>
                <w:lang w:eastAsia="en-AU"/>
              </w:rPr>
            </w:pPr>
          </w:p>
        </w:tc>
        <w:tc>
          <w:tcPr>
            <w:tcW w:w="935" w:type="dxa"/>
            <w:tcBorders>
              <w:top w:val="nil"/>
              <w:left w:val="nil"/>
              <w:bottom w:val="nil"/>
              <w:right w:val="nil"/>
            </w:tcBorders>
            <w:vAlign w:val="center"/>
          </w:tcPr>
          <w:p w14:paraId="305105A6" w14:textId="77777777" w:rsidR="00C630F7" w:rsidRPr="00FC6206" w:rsidRDefault="00C630F7" w:rsidP="006E78B8">
            <w:pPr>
              <w:keepNext/>
              <w:keepLines/>
              <w:spacing w:after="0" w:line="240" w:lineRule="auto"/>
              <w:rPr>
                <w:rFonts w:eastAsia="Times New Roman" w:cs="Times New Roman"/>
                <w:lang w:eastAsia="en-AU"/>
              </w:rPr>
            </w:pPr>
          </w:p>
        </w:tc>
      </w:tr>
      <w:tr w:rsidR="00C630F7" w:rsidRPr="00FC6206" w14:paraId="56573C1F" w14:textId="2F5280BB" w:rsidTr="006313C5">
        <w:trPr>
          <w:trHeight w:val="300"/>
        </w:trPr>
        <w:tc>
          <w:tcPr>
            <w:tcW w:w="1103" w:type="dxa"/>
            <w:vMerge w:val="restart"/>
            <w:tcBorders>
              <w:top w:val="nil"/>
              <w:left w:val="nil"/>
              <w:right w:val="nil"/>
            </w:tcBorders>
            <w:shd w:val="clear" w:color="auto" w:fill="auto"/>
            <w:noWrap/>
            <w:vAlign w:val="center"/>
            <w:hideMark/>
          </w:tcPr>
          <w:p w14:paraId="3C794105" w14:textId="05047605" w:rsidR="00C630F7" w:rsidRPr="00FC6206" w:rsidRDefault="00C630F7" w:rsidP="00CE3BDB">
            <w:pPr>
              <w:keepNext/>
              <w:keepLines/>
              <w:spacing w:after="0" w:line="240" w:lineRule="auto"/>
              <w:rPr>
                <w:rFonts w:eastAsia="Times New Roman" w:cs="Times New Roman"/>
                <w:color w:val="000000"/>
                <w:lang w:eastAsia="en-AU"/>
              </w:rPr>
            </w:pPr>
            <w:r>
              <w:rPr>
                <w:rFonts w:eastAsia="Times New Roman" w:cs="Times New Roman"/>
                <w:color w:val="000000"/>
                <w:lang w:eastAsia="en-AU"/>
              </w:rPr>
              <w:t>Heavy drinking occasions</w:t>
            </w:r>
          </w:p>
        </w:tc>
        <w:tc>
          <w:tcPr>
            <w:tcW w:w="1165" w:type="dxa"/>
            <w:tcBorders>
              <w:top w:val="nil"/>
              <w:left w:val="nil"/>
              <w:bottom w:val="nil"/>
              <w:right w:val="nil"/>
            </w:tcBorders>
            <w:shd w:val="clear" w:color="auto" w:fill="auto"/>
            <w:noWrap/>
            <w:vAlign w:val="center"/>
            <w:hideMark/>
          </w:tcPr>
          <w:p w14:paraId="12C0353C"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None</w:t>
            </w:r>
          </w:p>
        </w:tc>
        <w:tc>
          <w:tcPr>
            <w:tcW w:w="1276" w:type="dxa"/>
            <w:tcBorders>
              <w:top w:val="nil"/>
              <w:left w:val="nil"/>
              <w:bottom w:val="nil"/>
              <w:right w:val="nil"/>
            </w:tcBorders>
            <w:shd w:val="clear" w:color="auto" w:fill="auto"/>
            <w:noWrap/>
            <w:vAlign w:val="center"/>
          </w:tcPr>
          <w:p w14:paraId="1541F230"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23.1</w:t>
            </w:r>
          </w:p>
          <w:p w14:paraId="72C6FF28" w14:textId="7E01835C"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(22.4, 23.8)</w:t>
            </w:r>
          </w:p>
        </w:tc>
        <w:tc>
          <w:tcPr>
            <w:tcW w:w="1276" w:type="dxa"/>
            <w:tcBorders>
              <w:top w:val="nil"/>
              <w:left w:val="nil"/>
              <w:bottom w:val="nil"/>
              <w:right w:val="nil"/>
            </w:tcBorders>
            <w:shd w:val="clear" w:color="auto" w:fill="auto"/>
            <w:noWrap/>
            <w:vAlign w:val="center"/>
          </w:tcPr>
          <w:p w14:paraId="327A7DAC"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24.3</w:t>
            </w:r>
          </w:p>
          <w:p w14:paraId="5737A2DB" w14:textId="376FDDF1"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(23.4, 25.2)</w:t>
            </w:r>
          </w:p>
        </w:tc>
        <w:tc>
          <w:tcPr>
            <w:tcW w:w="1276" w:type="dxa"/>
            <w:tcBorders>
              <w:top w:val="nil"/>
              <w:left w:val="nil"/>
              <w:bottom w:val="nil"/>
              <w:right w:val="nil"/>
            </w:tcBorders>
            <w:shd w:val="clear" w:color="auto" w:fill="auto"/>
            <w:noWrap/>
            <w:vAlign w:val="center"/>
          </w:tcPr>
          <w:p w14:paraId="6B3C7EC3"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23.1</w:t>
            </w:r>
          </w:p>
          <w:p w14:paraId="0C6F992F" w14:textId="472E1CD9"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(22.0, 24.2)</w:t>
            </w:r>
          </w:p>
        </w:tc>
        <w:tc>
          <w:tcPr>
            <w:tcW w:w="1275" w:type="dxa"/>
            <w:tcBorders>
              <w:top w:val="nil"/>
              <w:left w:val="nil"/>
              <w:bottom w:val="nil"/>
              <w:right w:val="nil"/>
            </w:tcBorders>
            <w:shd w:val="clear" w:color="auto" w:fill="auto"/>
            <w:noWrap/>
            <w:vAlign w:val="center"/>
          </w:tcPr>
          <w:p w14:paraId="4FAC7E89"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19.9</w:t>
            </w:r>
          </w:p>
          <w:p w14:paraId="30544996" w14:textId="3CC5741F"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(19.3, 20.6)</w:t>
            </w:r>
          </w:p>
        </w:tc>
        <w:tc>
          <w:tcPr>
            <w:tcW w:w="1276" w:type="dxa"/>
            <w:tcBorders>
              <w:top w:val="nil"/>
              <w:left w:val="nil"/>
              <w:bottom w:val="nil"/>
              <w:right w:val="nil"/>
            </w:tcBorders>
            <w:shd w:val="clear" w:color="auto" w:fill="auto"/>
            <w:noWrap/>
            <w:vAlign w:val="center"/>
          </w:tcPr>
          <w:p w14:paraId="704843B6"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19.0</w:t>
            </w:r>
          </w:p>
          <w:p w14:paraId="2C97CB19" w14:textId="62D7DBA4"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(18.3, 19.7)</w:t>
            </w:r>
          </w:p>
        </w:tc>
        <w:tc>
          <w:tcPr>
            <w:tcW w:w="935" w:type="dxa"/>
            <w:tcBorders>
              <w:top w:val="nil"/>
              <w:left w:val="nil"/>
              <w:bottom w:val="nil"/>
              <w:right w:val="nil"/>
            </w:tcBorders>
            <w:vAlign w:val="center"/>
          </w:tcPr>
          <w:p w14:paraId="0B214E18" w14:textId="10AB1C44" w:rsidR="00C630F7" w:rsidRDefault="00C630F7"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0.98***</w:t>
            </w:r>
          </w:p>
        </w:tc>
      </w:tr>
      <w:tr w:rsidR="00C630F7" w:rsidRPr="00FC6206" w14:paraId="0753FE4E" w14:textId="17BD9F20" w:rsidTr="006313C5">
        <w:trPr>
          <w:trHeight w:val="300"/>
        </w:trPr>
        <w:tc>
          <w:tcPr>
            <w:tcW w:w="1103" w:type="dxa"/>
            <w:vMerge/>
            <w:tcBorders>
              <w:left w:val="nil"/>
              <w:right w:val="nil"/>
            </w:tcBorders>
            <w:shd w:val="clear" w:color="auto" w:fill="auto"/>
            <w:noWrap/>
            <w:vAlign w:val="bottom"/>
            <w:hideMark/>
          </w:tcPr>
          <w:p w14:paraId="6BAA5A62" w14:textId="1F5A7F80"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bottom w:val="nil"/>
              <w:right w:val="nil"/>
            </w:tcBorders>
            <w:shd w:val="clear" w:color="auto" w:fill="auto"/>
            <w:noWrap/>
            <w:vAlign w:val="center"/>
            <w:hideMark/>
          </w:tcPr>
          <w:p w14:paraId="015A5BBD"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&lt; monthly</w:t>
            </w:r>
          </w:p>
        </w:tc>
        <w:tc>
          <w:tcPr>
            <w:tcW w:w="1276" w:type="dxa"/>
            <w:tcBorders>
              <w:top w:val="nil"/>
              <w:left w:val="nil"/>
              <w:bottom w:val="nil"/>
              <w:right w:val="nil"/>
            </w:tcBorders>
            <w:shd w:val="clear" w:color="auto" w:fill="auto"/>
            <w:noWrap/>
            <w:vAlign w:val="center"/>
          </w:tcPr>
          <w:p w14:paraId="1B1953D0"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55.8</w:t>
            </w:r>
          </w:p>
          <w:p w14:paraId="027E1823" w14:textId="210F8C0E"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(52.7, 58.9)</w:t>
            </w:r>
          </w:p>
        </w:tc>
        <w:tc>
          <w:tcPr>
            <w:tcW w:w="1276" w:type="dxa"/>
            <w:tcBorders>
              <w:top w:val="nil"/>
              <w:left w:val="nil"/>
              <w:bottom w:val="nil"/>
              <w:right w:val="nil"/>
            </w:tcBorders>
            <w:shd w:val="clear" w:color="auto" w:fill="auto"/>
            <w:noWrap/>
            <w:vAlign w:val="center"/>
          </w:tcPr>
          <w:p w14:paraId="209EC011"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53.3</w:t>
            </w:r>
          </w:p>
          <w:p w14:paraId="3A70AC37" w14:textId="178F7CFA"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(49.4, 57.2)</w:t>
            </w:r>
          </w:p>
        </w:tc>
        <w:tc>
          <w:tcPr>
            <w:tcW w:w="1276" w:type="dxa"/>
            <w:tcBorders>
              <w:top w:val="nil"/>
              <w:left w:val="nil"/>
              <w:bottom w:val="nil"/>
              <w:right w:val="nil"/>
            </w:tcBorders>
            <w:shd w:val="clear" w:color="auto" w:fill="auto"/>
            <w:noWrap/>
            <w:vAlign w:val="center"/>
          </w:tcPr>
          <w:p w14:paraId="4F158E91"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47.8</w:t>
            </w:r>
          </w:p>
          <w:p w14:paraId="0F8B937C" w14:textId="3D339B81"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(42.7, 52.9)</w:t>
            </w:r>
          </w:p>
        </w:tc>
        <w:tc>
          <w:tcPr>
            <w:tcW w:w="1275" w:type="dxa"/>
            <w:tcBorders>
              <w:top w:val="nil"/>
              <w:left w:val="nil"/>
              <w:bottom w:val="nil"/>
              <w:right w:val="nil"/>
            </w:tcBorders>
            <w:shd w:val="clear" w:color="auto" w:fill="auto"/>
            <w:noWrap/>
            <w:vAlign w:val="center"/>
          </w:tcPr>
          <w:p w14:paraId="7E04A33F"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51.0</w:t>
            </w:r>
          </w:p>
          <w:p w14:paraId="78A5AA93" w14:textId="18B75B84"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(47.6, 54.4)</w:t>
            </w:r>
          </w:p>
        </w:tc>
        <w:tc>
          <w:tcPr>
            <w:tcW w:w="1276" w:type="dxa"/>
            <w:tcBorders>
              <w:top w:val="nil"/>
              <w:left w:val="nil"/>
              <w:bottom w:val="nil"/>
              <w:right w:val="nil"/>
            </w:tcBorders>
            <w:shd w:val="clear" w:color="auto" w:fill="auto"/>
            <w:noWrap/>
            <w:vAlign w:val="center"/>
          </w:tcPr>
          <w:p w14:paraId="0E121765"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48.2</w:t>
            </w:r>
          </w:p>
          <w:p w14:paraId="068DC1E4" w14:textId="5D3C8AAF"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(44.6, 51.8)</w:t>
            </w:r>
          </w:p>
        </w:tc>
        <w:tc>
          <w:tcPr>
            <w:tcW w:w="935" w:type="dxa"/>
            <w:tcBorders>
              <w:top w:val="nil"/>
              <w:left w:val="nil"/>
              <w:bottom w:val="nil"/>
              <w:right w:val="nil"/>
            </w:tcBorders>
            <w:vAlign w:val="center"/>
          </w:tcPr>
          <w:p w14:paraId="608E4F23" w14:textId="01822B67" w:rsidR="00C630F7" w:rsidRDefault="003D21E5"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0.99</w:t>
            </w:r>
            <w:r w:rsidR="00C630F7">
              <w:rPr>
                <w:rFonts w:eastAsia="Times New Roman" w:cs="Times New Roman"/>
                <w:color w:val="000000"/>
                <w:lang w:eastAsia="en-AU"/>
              </w:rPr>
              <w:t>*</w:t>
            </w:r>
          </w:p>
        </w:tc>
      </w:tr>
      <w:tr w:rsidR="00C630F7" w:rsidRPr="00FC6206" w14:paraId="04878865" w14:textId="4E7EDA9D" w:rsidTr="006313C5">
        <w:trPr>
          <w:trHeight w:val="300"/>
        </w:trPr>
        <w:tc>
          <w:tcPr>
            <w:tcW w:w="1103" w:type="dxa"/>
            <w:vMerge/>
            <w:tcBorders>
              <w:left w:val="nil"/>
              <w:right w:val="nil"/>
            </w:tcBorders>
            <w:shd w:val="clear" w:color="auto" w:fill="auto"/>
            <w:noWrap/>
            <w:vAlign w:val="bottom"/>
            <w:hideMark/>
          </w:tcPr>
          <w:p w14:paraId="3C4FABD6" w14:textId="671837FC"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right w:val="nil"/>
            </w:tcBorders>
            <w:shd w:val="clear" w:color="auto" w:fill="auto"/>
            <w:noWrap/>
            <w:vAlign w:val="center"/>
            <w:hideMark/>
          </w:tcPr>
          <w:p w14:paraId="577FFEBE"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&lt; weekly</w:t>
            </w:r>
          </w:p>
        </w:tc>
        <w:tc>
          <w:tcPr>
            <w:tcW w:w="1276" w:type="dxa"/>
            <w:tcBorders>
              <w:top w:val="nil"/>
              <w:left w:val="nil"/>
              <w:right w:val="nil"/>
            </w:tcBorders>
            <w:shd w:val="clear" w:color="auto" w:fill="auto"/>
            <w:noWrap/>
            <w:vAlign w:val="center"/>
          </w:tcPr>
          <w:p w14:paraId="6C7CB539" w14:textId="5EF32417" w:rsidR="00C630F7" w:rsidRDefault="007E0080"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60.0</w:t>
            </w:r>
          </w:p>
          <w:p w14:paraId="645C9C3B" w14:textId="3460D88D"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(57.3, 62.8)</w:t>
            </w:r>
          </w:p>
        </w:tc>
        <w:tc>
          <w:tcPr>
            <w:tcW w:w="1276" w:type="dxa"/>
            <w:tcBorders>
              <w:top w:val="nil"/>
              <w:left w:val="nil"/>
              <w:right w:val="nil"/>
            </w:tcBorders>
            <w:shd w:val="clear" w:color="auto" w:fill="auto"/>
            <w:noWrap/>
            <w:vAlign w:val="center"/>
          </w:tcPr>
          <w:p w14:paraId="5320F419"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61.7</w:t>
            </w:r>
          </w:p>
          <w:p w14:paraId="4FE28223" w14:textId="6F5605B8"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(58.3, 65.0)</w:t>
            </w:r>
          </w:p>
        </w:tc>
        <w:tc>
          <w:tcPr>
            <w:tcW w:w="1276" w:type="dxa"/>
            <w:tcBorders>
              <w:top w:val="nil"/>
              <w:left w:val="nil"/>
              <w:right w:val="nil"/>
            </w:tcBorders>
            <w:shd w:val="clear" w:color="auto" w:fill="auto"/>
            <w:noWrap/>
            <w:vAlign w:val="center"/>
          </w:tcPr>
          <w:p w14:paraId="7FE1784E"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59.7</w:t>
            </w:r>
          </w:p>
          <w:p w14:paraId="3FA75879" w14:textId="1DB48143"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(55.4, 63.8)</w:t>
            </w:r>
          </w:p>
        </w:tc>
        <w:tc>
          <w:tcPr>
            <w:tcW w:w="1275" w:type="dxa"/>
            <w:tcBorders>
              <w:top w:val="nil"/>
              <w:left w:val="nil"/>
              <w:right w:val="nil"/>
            </w:tcBorders>
            <w:shd w:val="clear" w:color="auto" w:fill="auto"/>
            <w:noWrap/>
            <w:vAlign w:val="center"/>
          </w:tcPr>
          <w:p w14:paraId="4D3E9BA9"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53.5</w:t>
            </w:r>
          </w:p>
          <w:p w14:paraId="11F9F90B" w14:textId="6BC5EE75"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(50.8, 56.1)</w:t>
            </w:r>
          </w:p>
        </w:tc>
        <w:tc>
          <w:tcPr>
            <w:tcW w:w="1276" w:type="dxa"/>
            <w:tcBorders>
              <w:top w:val="nil"/>
              <w:left w:val="nil"/>
              <w:right w:val="nil"/>
            </w:tcBorders>
            <w:shd w:val="clear" w:color="auto" w:fill="auto"/>
            <w:noWrap/>
            <w:vAlign w:val="center"/>
          </w:tcPr>
          <w:p w14:paraId="76A14BE4"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51.3</w:t>
            </w:r>
          </w:p>
          <w:p w14:paraId="3DD3E1BB" w14:textId="74DFD33D"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(48.4, 54.1)</w:t>
            </w:r>
          </w:p>
        </w:tc>
        <w:tc>
          <w:tcPr>
            <w:tcW w:w="935" w:type="dxa"/>
            <w:tcBorders>
              <w:top w:val="nil"/>
              <w:left w:val="nil"/>
              <w:right w:val="nil"/>
            </w:tcBorders>
            <w:vAlign w:val="center"/>
          </w:tcPr>
          <w:p w14:paraId="73959E43" w14:textId="5A50A74A" w:rsidR="00C630F7" w:rsidRDefault="00C630F7"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0.97***</w:t>
            </w:r>
          </w:p>
        </w:tc>
      </w:tr>
      <w:tr w:rsidR="00C630F7" w:rsidRPr="00FC6206" w14:paraId="4BBD43F0" w14:textId="4DE55964" w:rsidTr="006313C5">
        <w:trPr>
          <w:trHeight w:val="300"/>
        </w:trPr>
        <w:tc>
          <w:tcPr>
            <w:tcW w:w="1103" w:type="dxa"/>
            <w:vMerge/>
            <w:tcBorders>
              <w:left w:val="nil"/>
              <w:bottom w:val="single" w:sz="4" w:space="0" w:color="auto"/>
              <w:right w:val="nil"/>
            </w:tcBorders>
            <w:shd w:val="clear" w:color="auto" w:fill="auto"/>
            <w:noWrap/>
            <w:vAlign w:val="bottom"/>
            <w:hideMark/>
          </w:tcPr>
          <w:p w14:paraId="5E884CC7" w14:textId="24E94E62" w:rsidR="00C630F7" w:rsidRPr="00FC6206" w:rsidRDefault="00C630F7" w:rsidP="00CE3BDB">
            <w:pPr>
              <w:keepNext/>
              <w:keepLines/>
              <w:spacing w:after="0" w:line="240" w:lineRule="auto"/>
              <w:rPr>
                <w:rFonts w:eastAsia="Times New Roman" w:cs="Times New Roman"/>
                <w:color w:val="000000"/>
                <w:lang w:eastAsia="en-AU"/>
              </w:rPr>
            </w:pPr>
          </w:p>
        </w:tc>
        <w:tc>
          <w:tcPr>
            <w:tcW w:w="1165" w:type="dxa"/>
            <w:tcBorders>
              <w:top w:val="nil"/>
              <w:left w:val="nil"/>
              <w:bottom w:val="single" w:sz="4" w:space="0" w:color="auto"/>
              <w:right w:val="nil"/>
            </w:tcBorders>
            <w:shd w:val="clear" w:color="auto" w:fill="auto"/>
            <w:noWrap/>
            <w:vAlign w:val="center"/>
            <w:hideMark/>
          </w:tcPr>
          <w:p w14:paraId="2DF65013" w14:textId="77777777" w:rsidR="00C630F7" w:rsidRPr="00FC6206" w:rsidRDefault="00C630F7" w:rsidP="00CE3BDB">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weekly +</w:t>
            </w:r>
          </w:p>
        </w:tc>
        <w:tc>
          <w:tcPr>
            <w:tcW w:w="1276" w:type="dxa"/>
            <w:tcBorders>
              <w:top w:val="nil"/>
              <w:left w:val="nil"/>
              <w:bottom w:val="single" w:sz="4" w:space="0" w:color="auto"/>
              <w:right w:val="nil"/>
            </w:tcBorders>
            <w:shd w:val="clear" w:color="auto" w:fill="auto"/>
            <w:noWrap/>
            <w:vAlign w:val="center"/>
          </w:tcPr>
          <w:p w14:paraId="026073AA"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53.6</w:t>
            </w:r>
          </w:p>
          <w:p w14:paraId="5D6AC450" w14:textId="6C869389"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(48.3, 58.9)</w:t>
            </w:r>
          </w:p>
        </w:tc>
        <w:tc>
          <w:tcPr>
            <w:tcW w:w="1276" w:type="dxa"/>
            <w:tcBorders>
              <w:top w:val="nil"/>
              <w:left w:val="nil"/>
              <w:bottom w:val="single" w:sz="4" w:space="0" w:color="auto"/>
              <w:right w:val="nil"/>
            </w:tcBorders>
            <w:shd w:val="clear" w:color="auto" w:fill="auto"/>
            <w:noWrap/>
            <w:vAlign w:val="center"/>
          </w:tcPr>
          <w:p w14:paraId="5226482C"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56.2</w:t>
            </w:r>
          </w:p>
          <w:p w14:paraId="63FA21FA" w14:textId="185C6E4C"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(49.8, 32.2)</w:t>
            </w:r>
          </w:p>
        </w:tc>
        <w:tc>
          <w:tcPr>
            <w:tcW w:w="1276" w:type="dxa"/>
            <w:tcBorders>
              <w:top w:val="nil"/>
              <w:left w:val="nil"/>
              <w:bottom w:val="single" w:sz="4" w:space="0" w:color="auto"/>
              <w:right w:val="nil"/>
            </w:tcBorders>
            <w:shd w:val="clear" w:color="auto" w:fill="auto"/>
            <w:noWrap/>
            <w:vAlign w:val="center"/>
          </w:tcPr>
          <w:p w14:paraId="30CF9BDE"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46.8</w:t>
            </w:r>
          </w:p>
          <w:p w14:paraId="0DF669C3" w14:textId="2ED66ABD"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(38.4, 55.3)</w:t>
            </w:r>
          </w:p>
        </w:tc>
        <w:tc>
          <w:tcPr>
            <w:tcW w:w="1275" w:type="dxa"/>
            <w:tcBorders>
              <w:top w:val="nil"/>
              <w:left w:val="nil"/>
              <w:bottom w:val="single" w:sz="4" w:space="0" w:color="auto"/>
              <w:right w:val="nil"/>
            </w:tcBorders>
            <w:shd w:val="clear" w:color="auto" w:fill="auto"/>
            <w:noWrap/>
            <w:vAlign w:val="center"/>
          </w:tcPr>
          <w:p w14:paraId="2359F33F"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45.2</w:t>
            </w:r>
          </w:p>
          <w:p w14:paraId="41440D92" w14:textId="250C81E5"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(40.6, 49.8)</w:t>
            </w:r>
          </w:p>
        </w:tc>
        <w:tc>
          <w:tcPr>
            <w:tcW w:w="1276" w:type="dxa"/>
            <w:tcBorders>
              <w:top w:val="nil"/>
              <w:left w:val="nil"/>
              <w:bottom w:val="single" w:sz="4" w:space="0" w:color="auto"/>
              <w:right w:val="nil"/>
            </w:tcBorders>
            <w:shd w:val="clear" w:color="auto" w:fill="auto"/>
            <w:noWrap/>
            <w:vAlign w:val="center"/>
          </w:tcPr>
          <w:p w14:paraId="49B7C6B7" w14:textId="77777777" w:rsidR="00C630F7"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43.5</w:t>
            </w:r>
          </w:p>
          <w:p w14:paraId="6AC96890" w14:textId="7916D9BC" w:rsidR="00C630F7" w:rsidRPr="00FC6206" w:rsidRDefault="00C630F7" w:rsidP="00AF2504">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(37.9, 49.3)</w:t>
            </w:r>
          </w:p>
        </w:tc>
        <w:tc>
          <w:tcPr>
            <w:tcW w:w="935" w:type="dxa"/>
            <w:tcBorders>
              <w:top w:val="nil"/>
              <w:left w:val="nil"/>
              <w:bottom w:val="single" w:sz="4" w:space="0" w:color="auto"/>
              <w:right w:val="nil"/>
            </w:tcBorders>
            <w:vAlign w:val="center"/>
          </w:tcPr>
          <w:p w14:paraId="72A31E47" w14:textId="00D34F72" w:rsidR="00C630F7" w:rsidRDefault="003D21E5"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0.95***</w:t>
            </w:r>
          </w:p>
        </w:tc>
      </w:tr>
      <w:tr w:rsidR="00C630F7" w:rsidRPr="00FC6206" w14:paraId="16BF6A0C" w14:textId="76CD7889" w:rsidTr="006313C5">
        <w:trPr>
          <w:trHeight w:val="300"/>
        </w:trPr>
        <w:tc>
          <w:tcPr>
            <w:tcW w:w="1103" w:type="dxa"/>
            <w:tcBorders>
              <w:top w:val="single" w:sz="4" w:space="0" w:color="auto"/>
              <w:left w:val="nil"/>
              <w:bottom w:val="nil"/>
              <w:right w:val="nil"/>
            </w:tcBorders>
            <w:shd w:val="clear" w:color="auto" w:fill="auto"/>
            <w:noWrap/>
            <w:vAlign w:val="bottom"/>
            <w:hideMark/>
          </w:tcPr>
          <w:p w14:paraId="36E4301F" w14:textId="2BBDB95B" w:rsidR="00C630F7" w:rsidRPr="003D21E5" w:rsidRDefault="00C630F7" w:rsidP="00044FD9">
            <w:pPr>
              <w:keepNext/>
              <w:keepLines/>
              <w:spacing w:after="0" w:line="240" w:lineRule="auto"/>
              <w:rPr>
                <w:rFonts w:eastAsia="Times New Roman" w:cs="Times New Roman"/>
                <w:color w:val="000000"/>
                <w:sz w:val="20"/>
                <w:lang w:eastAsia="en-AU"/>
              </w:rPr>
            </w:pPr>
            <w:r w:rsidRPr="003D21E5">
              <w:rPr>
                <w:rFonts w:eastAsia="Times New Roman" w:cs="Times New Roman"/>
                <w:color w:val="000000"/>
                <w:sz w:val="20"/>
                <w:lang w:eastAsia="en-AU"/>
              </w:rPr>
              <w:t>N=118,416</w:t>
            </w:r>
          </w:p>
        </w:tc>
        <w:tc>
          <w:tcPr>
            <w:tcW w:w="1165" w:type="dxa"/>
            <w:tcBorders>
              <w:top w:val="single" w:sz="4" w:space="0" w:color="auto"/>
              <w:left w:val="nil"/>
              <w:bottom w:val="nil"/>
              <w:right w:val="nil"/>
            </w:tcBorders>
            <w:shd w:val="clear" w:color="auto" w:fill="auto"/>
            <w:noWrap/>
            <w:vAlign w:val="bottom"/>
            <w:hideMark/>
          </w:tcPr>
          <w:p w14:paraId="6B16D83F" w14:textId="77777777" w:rsidR="00C630F7" w:rsidRPr="003D21E5" w:rsidRDefault="00C630F7" w:rsidP="00CE3BDB">
            <w:pPr>
              <w:keepNext/>
              <w:keepLines/>
              <w:spacing w:after="0" w:line="240" w:lineRule="auto"/>
              <w:rPr>
                <w:rFonts w:eastAsia="Times New Roman" w:cs="Times New Roman"/>
                <w:sz w:val="20"/>
                <w:lang w:eastAsia="en-AU"/>
              </w:rPr>
            </w:pPr>
          </w:p>
        </w:tc>
        <w:tc>
          <w:tcPr>
            <w:tcW w:w="1276" w:type="dxa"/>
            <w:tcBorders>
              <w:top w:val="single" w:sz="4" w:space="0" w:color="auto"/>
              <w:left w:val="nil"/>
              <w:bottom w:val="nil"/>
              <w:right w:val="nil"/>
            </w:tcBorders>
            <w:shd w:val="clear" w:color="auto" w:fill="auto"/>
            <w:noWrap/>
            <w:vAlign w:val="bottom"/>
            <w:hideMark/>
          </w:tcPr>
          <w:p w14:paraId="6672D18F" w14:textId="77777777" w:rsidR="00C630F7" w:rsidRPr="00FC6206" w:rsidRDefault="00C630F7" w:rsidP="00CE3BDB">
            <w:pPr>
              <w:keepNext/>
              <w:keepLines/>
              <w:spacing w:after="0" w:line="240" w:lineRule="auto"/>
              <w:rPr>
                <w:rFonts w:eastAsia="Times New Roman" w:cs="Times New Roman"/>
                <w:lang w:eastAsia="en-AU"/>
              </w:rPr>
            </w:pPr>
          </w:p>
        </w:tc>
        <w:tc>
          <w:tcPr>
            <w:tcW w:w="1276" w:type="dxa"/>
            <w:tcBorders>
              <w:top w:val="single" w:sz="4" w:space="0" w:color="auto"/>
              <w:left w:val="nil"/>
              <w:bottom w:val="nil"/>
              <w:right w:val="nil"/>
            </w:tcBorders>
            <w:shd w:val="clear" w:color="auto" w:fill="auto"/>
            <w:noWrap/>
            <w:vAlign w:val="bottom"/>
            <w:hideMark/>
          </w:tcPr>
          <w:p w14:paraId="5DDE51B6" w14:textId="77777777" w:rsidR="00C630F7" w:rsidRPr="00FC6206" w:rsidRDefault="00C630F7" w:rsidP="00CE3BDB">
            <w:pPr>
              <w:keepNext/>
              <w:keepLines/>
              <w:spacing w:after="0" w:line="240" w:lineRule="auto"/>
              <w:rPr>
                <w:rFonts w:eastAsia="Times New Roman" w:cs="Times New Roman"/>
                <w:lang w:eastAsia="en-AU"/>
              </w:rPr>
            </w:pPr>
          </w:p>
        </w:tc>
        <w:tc>
          <w:tcPr>
            <w:tcW w:w="1276" w:type="dxa"/>
            <w:tcBorders>
              <w:top w:val="single" w:sz="4" w:space="0" w:color="auto"/>
              <w:left w:val="nil"/>
              <w:bottom w:val="nil"/>
              <w:right w:val="nil"/>
            </w:tcBorders>
            <w:shd w:val="clear" w:color="auto" w:fill="auto"/>
            <w:noWrap/>
            <w:vAlign w:val="bottom"/>
            <w:hideMark/>
          </w:tcPr>
          <w:p w14:paraId="34F18923" w14:textId="77777777" w:rsidR="00C630F7" w:rsidRPr="00FC6206" w:rsidRDefault="00C630F7" w:rsidP="00CE3BDB">
            <w:pPr>
              <w:keepNext/>
              <w:keepLines/>
              <w:spacing w:after="0" w:line="240" w:lineRule="auto"/>
              <w:rPr>
                <w:rFonts w:eastAsia="Times New Roman" w:cs="Times New Roman"/>
                <w:lang w:eastAsia="en-AU"/>
              </w:rPr>
            </w:pPr>
          </w:p>
        </w:tc>
        <w:tc>
          <w:tcPr>
            <w:tcW w:w="1275" w:type="dxa"/>
            <w:tcBorders>
              <w:top w:val="single" w:sz="4" w:space="0" w:color="auto"/>
              <w:left w:val="nil"/>
              <w:bottom w:val="nil"/>
              <w:right w:val="nil"/>
            </w:tcBorders>
            <w:shd w:val="clear" w:color="auto" w:fill="auto"/>
            <w:noWrap/>
            <w:vAlign w:val="bottom"/>
            <w:hideMark/>
          </w:tcPr>
          <w:p w14:paraId="3126CB46" w14:textId="77777777" w:rsidR="00C630F7" w:rsidRPr="00FC6206" w:rsidRDefault="00C630F7" w:rsidP="00CE3BDB">
            <w:pPr>
              <w:keepNext/>
              <w:keepLines/>
              <w:spacing w:after="0" w:line="240" w:lineRule="auto"/>
              <w:rPr>
                <w:rFonts w:eastAsia="Times New Roman" w:cs="Times New Roman"/>
                <w:lang w:eastAsia="en-AU"/>
              </w:rPr>
            </w:pPr>
          </w:p>
        </w:tc>
        <w:tc>
          <w:tcPr>
            <w:tcW w:w="1276" w:type="dxa"/>
            <w:tcBorders>
              <w:top w:val="single" w:sz="4" w:space="0" w:color="auto"/>
              <w:left w:val="nil"/>
              <w:bottom w:val="nil"/>
              <w:right w:val="nil"/>
            </w:tcBorders>
            <w:shd w:val="clear" w:color="auto" w:fill="auto"/>
            <w:noWrap/>
            <w:vAlign w:val="bottom"/>
            <w:hideMark/>
          </w:tcPr>
          <w:p w14:paraId="385101D0" w14:textId="77777777" w:rsidR="00C630F7" w:rsidRPr="00FC6206" w:rsidRDefault="00C630F7" w:rsidP="00CE3BDB">
            <w:pPr>
              <w:keepNext/>
              <w:keepLines/>
              <w:spacing w:after="0" w:line="240" w:lineRule="auto"/>
              <w:rPr>
                <w:rFonts w:eastAsia="Times New Roman" w:cs="Times New Roman"/>
                <w:lang w:eastAsia="en-AU"/>
              </w:rPr>
            </w:pPr>
          </w:p>
        </w:tc>
        <w:tc>
          <w:tcPr>
            <w:tcW w:w="935" w:type="dxa"/>
            <w:tcBorders>
              <w:top w:val="single" w:sz="4" w:space="0" w:color="auto"/>
              <w:left w:val="nil"/>
              <w:bottom w:val="nil"/>
              <w:right w:val="nil"/>
            </w:tcBorders>
          </w:tcPr>
          <w:p w14:paraId="43960B97" w14:textId="77777777" w:rsidR="00C630F7" w:rsidRPr="00FC6206" w:rsidRDefault="00C630F7" w:rsidP="00CE3BDB">
            <w:pPr>
              <w:keepNext/>
              <w:keepLines/>
              <w:spacing w:after="0" w:line="240" w:lineRule="auto"/>
              <w:rPr>
                <w:rFonts w:eastAsia="Times New Roman" w:cs="Times New Roman"/>
                <w:lang w:eastAsia="en-AU"/>
              </w:rPr>
            </w:pPr>
          </w:p>
        </w:tc>
      </w:tr>
    </w:tbl>
    <w:p w14:paraId="7573B898" w14:textId="1520227A" w:rsidR="00A01425" w:rsidRPr="005E138C" w:rsidRDefault="005E138C" w:rsidP="00A01425">
      <w:r>
        <w:t xml:space="preserve">OR = Odds Ratio from bivariate logistic regression predicting social drinker self-identification with years from 2000 as the predictor variable.  * </w:t>
      </w:r>
      <w:r>
        <w:rPr>
          <w:i/>
        </w:rPr>
        <w:t>p</w:t>
      </w:r>
      <w:r>
        <w:t xml:space="preserve">&lt;.05, ** </w:t>
      </w:r>
      <w:r>
        <w:rPr>
          <w:i/>
        </w:rPr>
        <w:t>p</w:t>
      </w:r>
      <w:r>
        <w:t xml:space="preserve">&lt;.01, *** </w:t>
      </w:r>
      <w:r>
        <w:rPr>
          <w:i/>
        </w:rPr>
        <w:t>p</w:t>
      </w:r>
      <w:r>
        <w:t>&lt;.001,</w:t>
      </w:r>
    </w:p>
    <w:p w14:paraId="51E6810C" w14:textId="77777777" w:rsidR="00EF660D" w:rsidRDefault="00EF660D" w:rsidP="00A01425"/>
    <w:p w14:paraId="4BF01959" w14:textId="52AB26F8" w:rsidR="00E6241E" w:rsidRPr="00FC6206" w:rsidRDefault="00E6241E" w:rsidP="000A078C">
      <w:pPr>
        <w:spacing w:line="360" w:lineRule="auto"/>
      </w:pPr>
    </w:p>
    <w:p w14:paraId="27C8D081" w14:textId="7199841A" w:rsidR="000A078C" w:rsidRDefault="006E78B8" w:rsidP="006E78B8">
      <w:pPr>
        <w:keepNext/>
        <w:keepLines/>
        <w:spacing w:after="0"/>
      </w:pPr>
      <w:r>
        <w:lastRenderedPageBreak/>
        <w:t>Table 4.</w:t>
      </w:r>
    </w:p>
    <w:p w14:paraId="7D7F1275" w14:textId="25836076" w:rsidR="006E78B8" w:rsidRPr="00FC6206" w:rsidRDefault="006E78B8" w:rsidP="006E78B8">
      <w:pPr>
        <w:keepNext/>
        <w:keepLines/>
        <w:spacing w:after="0" w:line="240" w:lineRule="auto"/>
      </w:pPr>
      <w:r>
        <w:t>Proportion of non-</w:t>
      </w:r>
      <w:r w:rsidRPr="00FC6206">
        <w:t xml:space="preserve">drinkers in demographic and heavy drinking </w:t>
      </w:r>
      <w:proofErr w:type="gramStart"/>
      <w:r w:rsidRPr="00FC6206">
        <w:t>occasion based</w:t>
      </w:r>
      <w:proofErr w:type="gramEnd"/>
      <w:r w:rsidRPr="00FC6206">
        <w:t xml:space="preserve"> categories, 2001-2013</w:t>
      </w:r>
      <w:r>
        <w:t xml:space="preserve"> and odds ratios from bivariate logistic regression predicting self-reported non-drinkers</w:t>
      </w:r>
      <w:r w:rsidRPr="00FC6206">
        <w:t>.</w:t>
      </w:r>
    </w:p>
    <w:tbl>
      <w:tblPr>
        <w:tblW w:w="9356" w:type="dxa"/>
        <w:tblLook w:val="04A0" w:firstRow="1" w:lastRow="0" w:firstColumn="1" w:lastColumn="0" w:noHBand="0" w:noVBand="1"/>
      </w:tblPr>
      <w:tblGrid>
        <w:gridCol w:w="1103"/>
        <w:gridCol w:w="882"/>
        <w:gridCol w:w="1276"/>
        <w:gridCol w:w="1275"/>
        <w:gridCol w:w="1276"/>
        <w:gridCol w:w="1276"/>
        <w:gridCol w:w="1276"/>
        <w:gridCol w:w="992"/>
      </w:tblGrid>
      <w:tr w:rsidR="005E138C" w:rsidRPr="00FC6206" w14:paraId="02C77861" w14:textId="77777777" w:rsidTr="006313C5">
        <w:trPr>
          <w:trHeight w:val="300"/>
        </w:trPr>
        <w:tc>
          <w:tcPr>
            <w:tcW w:w="1103" w:type="dxa"/>
            <w:tcBorders>
              <w:top w:val="single" w:sz="4" w:space="0" w:color="auto"/>
              <w:left w:val="nil"/>
              <w:bottom w:val="single" w:sz="4" w:space="0" w:color="auto"/>
              <w:right w:val="nil"/>
            </w:tcBorders>
            <w:shd w:val="clear" w:color="auto" w:fill="auto"/>
            <w:noWrap/>
            <w:vAlign w:val="center"/>
            <w:hideMark/>
          </w:tcPr>
          <w:p w14:paraId="7E9A99C7"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 </w:t>
            </w:r>
          </w:p>
        </w:tc>
        <w:tc>
          <w:tcPr>
            <w:tcW w:w="882" w:type="dxa"/>
            <w:tcBorders>
              <w:top w:val="single" w:sz="4" w:space="0" w:color="auto"/>
              <w:left w:val="nil"/>
              <w:bottom w:val="single" w:sz="4" w:space="0" w:color="auto"/>
              <w:right w:val="nil"/>
            </w:tcBorders>
            <w:shd w:val="clear" w:color="auto" w:fill="auto"/>
            <w:noWrap/>
            <w:vAlign w:val="center"/>
            <w:hideMark/>
          </w:tcPr>
          <w:p w14:paraId="0C0A64F4"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 </w:t>
            </w:r>
          </w:p>
        </w:tc>
        <w:tc>
          <w:tcPr>
            <w:tcW w:w="1276" w:type="dxa"/>
            <w:tcBorders>
              <w:top w:val="single" w:sz="4" w:space="0" w:color="auto"/>
              <w:left w:val="nil"/>
              <w:bottom w:val="single" w:sz="4" w:space="0" w:color="auto"/>
              <w:right w:val="nil"/>
            </w:tcBorders>
            <w:shd w:val="clear" w:color="auto" w:fill="auto"/>
            <w:noWrap/>
            <w:vAlign w:val="center"/>
            <w:hideMark/>
          </w:tcPr>
          <w:p w14:paraId="05CF8949" w14:textId="77777777" w:rsidR="005E138C" w:rsidRPr="00FC6206" w:rsidRDefault="005E138C" w:rsidP="006E78B8">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2001</w:t>
            </w:r>
          </w:p>
        </w:tc>
        <w:tc>
          <w:tcPr>
            <w:tcW w:w="1275" w:type="dxa"/>
            <w:tcBorders>
              <w:top w:val="single" w:sz="4" w:space="0" w:color="auto"/>
              <w:left w:val="nil"/>
              <w:bottom w:val="single" w:sz="4" w:space="0" w:color="auto"/>
              <w:right w:val="nil"/>
            </w:tcBorders>
            <w:shd w:val="clear" w:color="auto" w:fill="auto"/>
            <w:noWrap/>
            <w:vAlign w:val="center"/>
            <w:hideMark/>
          </w:tcPr>
          <w:p w14:paraId="05D2622E" w14:textId="77777777" w:rsidR="005E138C" w:rsidRPr="00FC6206" w:rsidRDefault="005E138C" w:rsidP="006E78B8">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2004</w:t>
            </w:r>
          </w:p>
        </w:tc>
        <w:tc>
          <w:tcPr>
            <w:tcW w:w="1276" w:type="dxa"/>
            <w:tcBorders>
              <w:top w:val="single" w:sz="4" w:space="0" w:color="auto"/>
              <w:left w:val="nil"/>
              <w:bottom w:val="single" w:sz="4" w:space="0" w:color="auto"/>
              <w:right w:val="nil"/>
            </w:tcBorders>
            <w:shd w:val="clear" w:color="auto" w:fill="auto"/>
            <w:noWrap/>
            <w:vAlign w:val="center"/>
            <w:hideMark/>
          </w:tcPr>
          <w:p w14:paraId="730D3C13" w14:textId="77777777" w:rsidR="005E138C" w:rsidRPr="00FC6206" w:rsidRDefault="005E138C" w:rsidP="006E78B8">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2007</w:t>
            </w:r>
          </w:p>
        </w:tc>
        <w:tc>
          <w:tcPr>
            <w:tcW w:w="1276" w:type="dxa"/>
            <w:tcBorders>
              <w:top w:val="single" w:sz="4" w:space="0" w:color="auto"/>
              <w:left w:val="nil"/>
              <w:bottom w:val="single" w:sz="4" w:space="0" w:color="auto"/>
              <w:right w:val="nil"/>
            </w:tcBorders>
            <w:shd w:val="clear" w:color="auto" w:fill="auto"/>
            <w:noWrap/>
            <w:vAlign w:val="center"/>
            <w:hideMark/>
          </w:tcPr>
          <w:p w14:paraId="5DC69C09" w14:textId="77777777" w:rsidR="005E138C" w:rsidRPr="00FC6206" w:rsidRDefault="005E138C" w:rsidP="006E78B8">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2010</w:t>
            </w:r>
          </w:p>
        </w:tc>
        <w:tc>
          <w:tcPr>
            <w:tcW w:w="1276" w:type="dxa"/>
            <w:tcBorders>
              <w:top w:val="single" w:sz="4" w:space="0" w:color="auto"/>
              <w:left w:val="nil"/>
              <w:bottom w:val="single" w:sz="4" w:space="0" w:color="auto"/>
              <w:right w:val="nil"/>
            </w:tcBorders>
            <w:shd w:val="clear" w:color="auto" w:fill="auto"/>
            <w:noWrap/>
            <w:vAlign w:val="center"/>
            <w:hideMark/>
          </w:tcPr>
          <w:p w14:paraId="275CFE48" w14:textId="77777777" w:rsidR="005E138C" w:rsidRPr="00FC6206" w:rsidRDefault="005E138C" w:rsidP="006E78B8">
            <w:pPr>
              <w:keepNext/>
              <w:keepLines/>
              <w:spacing w:after="0" w:line="240" w:lineRule="auto"/>
              <w:jc w:val="center"/>
              <w:rPr>
                <w:rFonts w:eastAsia="Times New Roman" w:cs="Times New Roman"/>
                <w:color w:val="000000"/>
                <w:lang w:eastAsia="en-AU"/>
              </w:rPr>
            </w:pPr>
            <w:r w:rsidRPr="00FC6206">
              <w:rPr>
                <w:rFonts w:eastAsia="Times New Roman" w:cs="Times New Roman"/>
                <w:color w:val="000000"/>
                <w:lang w:eastAsia="en-AU"/>
              </w:rPr>
              <w:t>2013</w:t>
            </w:r>
          </w:p>
        </w:tc>
        <w:tc>
          <w:tcPr>
            <w:tcW w:w="992" w:type="dxa"/>
            <w:tcBorders>
              <w:top w:val="single" w:sz="4" w:space="0" w:color="auto"/>
              <w:left w:val="nil"/>
              <w:bottom w:val="single" w:sz="4" w:space="0" w:color="auto"/>
              <w:right w:val="nil"/>
            </w:tcBorders>
          </w:tcPr>
          <w:p w14:paraId="3593D10C" w14:textId="77777777"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OR</w:t>
            </w:r>
          </w:p>
        </w:tc>
      </w:tr>
      <w:tr w:rsidR="005E138C" w:rsidRPr="00FC6206" w14:paraId="0A831A03" w14:textId="77777777" w:rsidTr="006313C5">
        <w:trPr>
          <w:trHeight w:val="300"/>
        </w:trPr>
        <w:tc>
          <w:tcPr>
            <w:tcW w:w="1103" w:type="dxa"/>
            <w:vMerge w:val="restart"/>
            <w:tcBorders>
              <w:top w:val="nil"/>
              <w:left w:val="nil"/>
              <w:right w:val="nil"/>
            </w:tcBorders>
            <w:shd w:val="clear" w:color="auto" w:fill="auto"/>
            <w:noWrap/>
            <w:vAlign w:val="center"/>
            <w:hideMark/>
          </w:tcPr>
          <w:p w14:paraId="3961CB80"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Age</w:t>
            </w:r>
          </w:p>
        </w:tc>
        <w:tc>
          <w:tcPr>
            <w:tcW w:w="882" w:type="dxa"/>
            <w:tcBorders>
              <w:top w:val="nil"/>
              <w:left w:val="nil"/>
              <w:bottom w:val="nil"/>
              <w:right w:val="nil"/>
            </w:tcBorders>
            <w:shd w:val="clear" w:color="auto" w:fill="auto"/>
            <w:noWrap/>
            <w:vAlign w:val="center"/>
            <w:hideMark/>
          </w:tcPr>
          <w:p w14:paraId="77C8B20F"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&lt;30</w:t>
            </w:r>
          </w:p>
        </w:tc>
        <w:tc>
          <w:tcPr>
            <w:tcW w:w="1276" w:type="dxa"/>
            <w:tcBorders>
              <w:top w:val="nil"/>
              <w:left w:val="nil"/>
              <w:bottom w:val="nil"/>
              <w:right w:val="nil"/>
            </w:tcBorders>
            <w:shd w:val="clear" w:color="auto" w:fill="auto"/>
            <w:noWrap/>
            <w:vAlign w:val="center"/>
          </w:tcPr>
          <w:p w14:paraId="4377FBAC"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13.0</w:t>
            </w:r>
          </w:p>
          <w:p w14:paraId="37E24A9B" w14:textId="16F68D65"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(11.9, 14.2)</w:t>
            </w:r>
          </w:p>
        </w:tc>
        <w:tc>
          <w:tcPr>
            <w:tcW w:w="1275" w:type="dxa"/>
            <w:tcBorders>
              <w:top w:val="nil"/>
              <w:left w:val="nil"/>
              <w:bottom w:val="nil"/>
              <w:right w:val="nil"/>
            </w:tcBorders>
            <w:shd w:val="clear" w:color="auto" w:fill="auto"/>
            <w:noWrap/>
            <w:vAlign w:val="center"/>
          </w:tcPr>
          <w:p w14:paraId="699271A3"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14.0</w:t>
            </w:r>
          </w:p>
          <w:p w14:paraId="7A2EB911" w14:textId="5894C70C"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(12.6, 15.6)</w:t>
            </w:r>
          </w:p>
        </w:tc>
        <w:tc>
          <w:tcPr>
            <w:tcW w:w="1276" w:type="dxa"/>
            <w:tcBorders>
              <w:top w:val="nil"/>
              <w:left w:val="nil"/>
              <w:bottom w:val="nil"/>
              <w:right w:val="nil"/>
            </w:tcBorders>
            <w:shd w:val="clear" w:color="auto" w:fill="auto"/>
            <w:noWrap/>
            <w:vAlign w:val="center"/>
          </w:tcPr>
          <w:p w14:paraId="2B7EE779"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16.4</w:t>
            </w:r>
          </w:p>
          <w:p w14:paraId="32D8F778" w14:textId="1A3DA742"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(14.3, 18.8)</w:t>
            </w:r>
          </w:p>
        </w:tc>
        <w:tc>
          <w:tcPr>
            <w:tcW w:w="1276" w:type="dxa"/>
            <w:tcBorders>
              <w:top w:val="nil"/>
              <w:left w:val="nil"/>
              <w:bottom w:val="nil"/>
              <w:right w:val="nil"/>
            </w:tcBorders>
            <w:shd w:val="clear" w:color="auto" w:fill="auto"/>
            <w:noWrap/>
            <w:vAlign w:val="center"/>
          </w:tcPr>
          <w:p w14:paraId="0E92388D"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19.4</w:t>
            </w:r>
          </w:p>
          <w:p w14:paraId="6B285511" w14:textId="74FF3D54"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(17.9, 21.0)</w:t>
            </w:r>
          </w:p>
        </w:tc>
        <w:tc>
          <w:tcPr>
            <w:tcW w:w="1276" w:type="dxa"/>
            <w:tcBorders>
              <w:top w:val="nil"/>
              <w:left w:val="nil"/>
              <w:bottom w:val="nil"/>
              <w:right w:val="nil"/>
            </w:tcBorders>
            <w:shd w:val="clear" w:color="auto" w:fill="auto"/>
            <w:noWrap/>
            <w:vAlign w:val="center"/>
          </w:tcPr>
          <w:p w14:paraId="08579C0C" w14:textId="77777777" w:rsidR="005E138C"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21.0</w:t>
            </w:r>
          </w:p>
          <w:p w14:paraId="0E2C6B15" w14:textId="06B8D8CB" w:rsidR="008B7D46" w:rsidRPr="00FC6206"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(19.4, 22.7)</w:t>
            </w:r>
          </w:p>
        </w:tc>
        <w:tc>
          <w:tcPr>
            <w:tcW w:w="992" w:type="dxa"/>
            <w:tcBorders>
              <w:top w:val="nil"/>
              <w:left w:val="nil"/>
              <w:bottom w:val="nil"/>
              <w:right w:val="nil"/>
            </w:tcBorders>
            <w:vAlign w:val="center"/>
          </w:tcPr>
          <w:p w14:paraId="5914B57B" w14:textId="2441A947" w:rsidR="005E138C" w:rsidRDefault="008B7D46"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1.04***</w:t>
            </w:r>
          </w:p>
        </w:tc>
      </w:tr>
      <w:tr w:rsidR="005E138C" w:rsidRPr="00FC6206" w14:paraId="289834E5" w14:textId="77777777" w:rsidTr="006313C5">
        <w:trPr>
          <w:trHeight w:val="300"/>
        </w:trPr>
        <w:tc>
          <w:tcPr>
            <w:tcW w:w="1103" w:type="dxa"/>
            <w:vMerge/>
            <w:tcBorders>
              <w:left w:val="nil"/>
              <w:right w:val="nil"/>
            </w:tcBorders>
            <w:shd w:val="clear" w:color="auto" w:fill="auto"/>
            <w:noWrap/>
            <w:vAlign w:val="bottom"/>
            <w:hideMark/>
          </w:tcPr>
          <w:p w14:paraId="62898EE6" w14:textId="240A30B5" w:rsidR="005E138C" w:rsidRPr="00FC6206" w:rsidRDefault="005E138C" w:rsidP="006E78B8">
            <w:pPr>
              <w:keepNext/>
              <w:keepLines/>
              <w:spacing w:after="0" w:line="240" w:lineRule="auto"/>
              <w:rPr>
                <w:rFonts w:eastAsia="Times New Roman" w:cs="Times New Roman"/>
                <w:color w:val="000000"/>
                <w:lang w:eastAsia="en-AU"/>
              </w:rPr>
            </w:pPr>
          </w:p>
        </w:tc>
        <w:tc>
          <w:tcPr>
            <w:tcW w:w="882" w:type="dxa"/>
            <w:tcBorders>
              <w:top w:val="nil"/>
              <w:left w:val="nil"/>
              <w:bottom w:val="nil"/>
              <w:right w:val="nil"/>
            </w:tcBorders>
            <w:shd w:val="clear" w:color="auto" w:fill="auto"/>
            <w:noWrap/>
            <w:vAlign w:val="center"/>
            <w:hideMark/>
          </w:tcPr>
          <w:p w14:paraId="523BF508"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30-49</w:t>
            </w:r>
          </w:p>
        </w:tc>
        <w:tc>
          <w:tcPr>
            <w:tcW w:w="1276" w:type="dxa"/>
            <w:tcBorders>
              <w:top w:val="nil"/>
              <w:left w:val="nil"/>
              <w:bottom w:val="nil"/>
              <w:right w:val="nil"/>
            </w:tcBorders>
            <w:shd w:val="clear" w:color="auto" w:fill="auto"/>
            <w:noWrap/>
            <w:vAlign w:val="center"/>
          </w:tcPr>
          <w:p w14:paraId="0B9B2C8B"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16.1</w:t>
            </w:r>
          </w:p>
          <w:p w14:paraId="241D1447" w14:textId="11DD0724"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(15.4, 16.9)</w:t>
            </w:r>
          </w:p>
        </w:tc>
        <w:tc>
          <w:tcPr>
            <w:tcW w:w="1275" w:type="dxa"/>
            <w:tcBorders>
              <w:top w:val="nil"/>
              <w:left w:val="nil"/>
              <w:bottom w:val="nil"/>
              <w:right w:val="nil"/>
            </w:tcBorders>
            <w:shd w:val="clear" w:color="auto" w:fill="auto"/>
            <w:noWrap/>
            <w:vAlign w:val="center"/>
          </w:tcPr>
          <w:p w14:paraId="5EA4EDE6"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16.5</w:t>
            </w:r>
          </w:p>
          <w:p w14:paraId="2ACEF850" w14:textId="6B5B61BA"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15.5, 17.5</w:t>
            </w:r>
          </w:p>
        </w:tc>
        <w:tc>
          <w:tcPr>
            <w:tcW w:w="1276" w:type="dxa"/>
            <w:tcBorders>
              <w:top w:val="nil"/>
              <w:left w:val="nil"/>
              <w:bottom w:val="nil"/>
              <w:right w:val="nil"/>
            </w:tcBorders>
            <w:shd w:val="clear" w:color="auto" w:fill="auto"/>
            <w:noWrap/>
            <w:vAlign w:val="center"/>
          </w:tcPr>
          <w:p w14:paraId="4A464945"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16.9</w:t>
            </w:r>
          </w:p>
          <w:p w14:paraId="13E84D39" w14:textId="0F33AA52"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(15.7, 18.1)</w:t>
            </w:r>
          </w:p>
        </w:tc>
        <w:tc>
          <w:tcPr>
            <w:tcW w:w="1276" w:type="dxa"/>
            <w:tcBorders>
              <w:top w:val="nil"/>
              <w:left w:val="nil"/>
              <w:bottom w:val="nil"/>
              <w:right w:val="nil"/>
            </w:tcBorders>
            <w:shd w:val="clear" w:color="auto" w:fill="auto"/>
            <w:noWrap/>
            <w:vAlign w:val="center"/>
          </w:tcPr>
          <w:p w14:paraId="7EE0C004"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20.0</w:t>
            </w:r>
          </w:p>
          <w:p w14:paraId="301CE226" w14:textId="067B44C5"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(19.1, 21.0)</w:t>
            </w:r>
          </w:p>
        </w:tc>
        <w:tc>
          <w:tcPr>
            <w:tcW w:w="1276" w:type="dxa"/>
            <w:tcBorders>
              <w:top w:val="nil"/>
              <w:left w:val="nil"/>
              <w:bottom w:val="nil"/>
              <w:right w:val="nil"/>
            </w:tcBorders>
            <w:shd w:val="clear" w:color="auto" w:fill="auto"/>
            <w:noWrap/>
            <w:vAlign w:val="center"/>
          </w:tcPr>
          <w:p w14:paraId="48DBE165" w14:textId="77777777" w:rsidR="005E138C"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21.2</w:t>
            </w:r>
          </w:p>
          <w:p w14:paraId="69535961" w14:textId="02E1FA30" w:rsidR="008B7D46" w:rsidRPr="00FC6206"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(20.2, 22.1)</w:t>
            </w:r>
          </w:p>
        </w:tc>
        <w:tc>
          <w:tcPr>
            <w:tcW w:w="992" w:type="dxa"/>
            <w:tcBorders>
              <w:top w:val="nil"/>
              <w:left w:val="nil"/>
              <w:bottom w:val="nil"/>
              <w:right w:val="nil"/>
            </w:tcBorders>
            <w:vAlign w:val="center"/>
          </w:tcPr>
          <w:p w14:paraId="3D98C3B1" w14:textId="0607D599" w:rsidR="005E138C" w:rsidRDefault="008B7D46"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1.03***</w:t>
            </w:r>
          </w:p>
        </w:tc>
      </w:tr>
      <w:tr w:rsidR="005E138C" w:rsidRPr="00FC6206" w14:paraId="5FBF5362" w14:textId="77777777" w:rsidTr="006313C5">
        <w:trPr>
          <w:trHeight w:val="300"/>
        </w:trPr>
        <w:tc>
          <w:tcPr>
            <w:tcW w:w="1103" w:type="dxa"/>
            <w:vMerge/>
            <w:tcBorders>
              <w:left w:val="nil"/>
              <w:bottom w:val="nil"/>
              <w:right w:val="nil"/>
            </w:tcBorders>
            <w:shd w:val="clear" w:color="auto" w:fill="auto"/>
            <w:noWrap/>
            <w:vAlign w:val="bottom"/>
            <w:hideMark/>
          </w:tcPr>
          <w:p w14:paraId="7231F5A1" w14:textId="0F334714" w:rsidR="005E138C" w:rsidRPr="00FC6206" w:rsidRDefault="005E138C" w:rsidP="006E78B8">
            <w:pPr>
              <w:keepNext/>
              <w:keepLines/>
              <w:spacing w:after="0" w:line="240" w:lineRule="auto"/>
              <w:rPr>
                <w:rFonts w:eastAsia="Times New Roman" w:cs="Times New Roman"/>
                <w:color w:val="000000"/>
                <w:lang w:eastAsia="en-AU"/>
              </w:rPr>
            </w:pPr>
          </w:p>
        </w:tc>
        <w:tc>
          <w:tcPr>
            <w:tcW w:w="882" w:type="dxa"/>
            <w:tcBorders>
              <w:top w:val="nil"/>
              <w:left w:val="nil"/>
              <w:bottom w:val="nil"/>
              <w:right w:val="nil"/>
            </w:tcBorders>
            <w:shd w:val="clear" w:color="auto" w:fill="auto"/>
            <w:noWrap/>
            <w:vAlign w:val="center"/>
            <w:hideMark/>
          </w:tcPr>
          <w:p w14:paraId="01A9036C"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50+</w:t>
            </w:r>
          </w:p>
        </w:tc>
        <w:tc>
          <w:tcPr>
            <w:tcW w:w="1276" w:type="dxa"/>
            <w:tcBorders>
              <w:top w:val="nil"/>
              <w:left w:val="nil"/>
              <w:bottom w:val="nil"/>
              <w:right w:val="nil"/>
            </w:tcBorders>
            <w:shd w:val="clear" w:color="auto" w:fill="auto"/>
            <w:noWrap/>
            <w:vAlign w:val="center"/>
          </w:tcPr>
          <w:p w14:paraId="6767AFFD"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26.8</w:t>
            </w:r>
          </w:p>
          <w:p w14:paraId="127271E5" w14:textId="6C805F08"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(25.9, 28.0)</w:t>
            </w:r>
          </w:p>
        </w:tc>
        <w:tc>
          <w:tcPr>
            <w:tcW w:w="1275" w:type="dxa"/>
            <w:tcBorders>
              <w:top w:val="nil"/>
              <w:left w:val="nil"/>
              <w:bottom w:val="nil"/>
              <w:right w:val="nil"/>
            </w:tcBorders>
            <w:shd w:val="clear" w:color="auto" w:fill="auto"/>
            <w:noWrap/>
            <w:vAlign w:val="center"/>
          </w:tcPr>
          <w:p w14:paraId="2BC100C0"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26.6</w:t>
            </w:r>
          </w:p>
          <w:p w14:paraId="3DC7428B" w14:textId="2B68B986"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(25.3, 27.9)</w:t>
            </w:r>
          </w:p>
        </w:tc>
        <w:tc>
          <w:tcPr>
            <w:tcW w:w="1276" w:type="dxa"/>
            <w:tcBorders>
              <w:top w:val="nil"/>
              <w:left w:val="nil"/>
              <w:bottom w:val="nil"/>
              <w:right w:val="nil"/>
            </w:tcBorders>
            <w:shd w:val="clear" w:color="auto" w:fill="auto"/>
            <w:noWrap/>
            <w:vAlign w:val="center"/>
          </w:tcPr>
          <w:p w14:paraId="4C19C9FB"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26.6</w:t>
            </w:r>
          </w:p>
          <w:p w14:paraId="51EF160F" w14:textId="1CC7E4ED"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(25.1, 28.2)</w:t>
            </w:r>
          </w:p>
        </w:tc>
        <w:tc>
          <w:tcPr>
            <w:tcW w:w="1276" w:type="dxa"/>
            <w:tcBorders>
              <w:top w:val="nil"/>
              <w:left w:val="nil"/>
              <w:bottom w:val="nil"/>
              <w:right w:val="nil"/>
            </w:tcBorders>
            <w:shd w:val="clear" w:color="auto" w:fill="auto"/>
            <w:noWrap/>
            <w:vAlign w:val="center"/>
          </w:tcPr>
          <w:p w14:paraId="4209F37C"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28.1</w:t>
            </w:r>
          </w:p>
          <w:p w14:paraId="70F25006" w14:textId="61436640"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(27.1, 29.2)</w:t>
            </w:r>
          </w:p>
        </w:tc>
        <w:tc>
          <w:tcPr>
            <w:tcW w:w="1276" w:type="dxa"/>
            <w:tcBorders>
              <w:top w:val="nil"/>
              <w:left w:val="nil"/>
              <w:bottom w:val="nil"/>
              <w:right w:val="nil"/>
            </w:tcBorders>
            <w:shd w:val="clear" w:color="auto" w:fill="auto"/>
            <w:noWrap/>
            <w:vAlign w:val="center"/>
          </w:tcPr>
          <w:p w14:paraId="3247B7F7" w14:textId="77777777" w:rsidR="005E138C"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27.8</w:t>
            </w:r>
          </w:p>
          <w:p w14:paraId="4146CEAA" w14:textId="44F7794E" w:rsidR="008B7D46" w:rsidRPr="00FC6206"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(26.7, 29.0)</w:t>
            </w:r>
          </w:p>
        </w:tc>
        <w:tc>
          <w:tcPr>
            <w:tcW w:w="992" w:type="dxa"/>
            <w:tcBorders>
              <w:top w:val="nil"/>
              <w:left w:val="nil"/>
              <w:bottom w:val="nil"/>
              <w:right w:val="nil"/>
            </w:tcBorders>
            <w:vAlign w:val="center"/>
          </w:tcPr>
          <w:p w14:paraId="547320D4" w14:textId="759A0906" w:rsidR="005E138C" w:rsidRDefault="008B7D46"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1.00</w:t>
            </w:r>
          </w:p>
        </w:tc>
      </w:tr>
      <w:tr w:rsidR="005E138C" w:rsidRPr="00FC6206" w14:paraId="77BBE7DE" w14:textId="77777777" w:rsidTr="006313C5">
        <w:trPr>
          <w:trHeight w:val="300"/>
        </w:trPr>
        <w:tc>
          <w:tcPr>
            <w:tcW w:w="1103" w:type="dxa"/>
            <w:tcBorders>
              <w:top w:val="nil"/>
              <w:left w:val="nil"/>
              <w:bottom w:val="nil"/>
              <w:right w:val="nil"/>
            </w:tcBorders>
            <w:shd w:val="clear" w:color="auto" w:fill="auto"/>
            <w:noWrap/>
            <w:vAlign w:val="bottom"/>
            <w:hideMark/>
          </w:tcPr>
          <w:p w14:paraId="49EEC5CB" w14:textId="04693EE0" w:rsidR="005E138C" w:rsidRPr="00FC6206" w:rsidRDefault="005E138C" w:rsidP="006E78B8">
            <w:pPr>
              <w:keepNext/>
              <w:keepLines/>
              <w:spacing w:after="0" w:line="240" w:lineRule="auto"/>
              <w:rPr>
                <w:rFonts w:eastAsia="Times New Roman" w:cs="Times New Roman"/>
                <w:color w:val="000000"/>
                <w:lang w:eastAsia="en-AU"/>
              </w:rPr>
            </w:pPr>
          </w:p>
        </w:tc>
        <w:tc>
          <w:tcPr>
            <w:tcW w:w="882" w:type="dxa"/>
            <w:tcBorders>
              <w:top w:val="nil"/>
              <w:left w:val="nil"/>
              <w:bottom w:val="nil"/>
              <w:right w:val="nil"/>
            </w:tcBorders>
            <w:shd w:val="clear" w:color="auto" w:fill="auto"/>
            <w:noWrap/>
            <w:vAlign w:val="bottom"/>
            <w:hideMark/>
          </w:tcPr>
          <w:p w14:paraId="6826EBDD" w14:textId="77777777" w:rsidR="005E138C" w:rsidRPr="00FC6206" w:rsidRDefault="005E138C" w:rsidP="006E78B8">
            <w:pPr>
              <w:keepNext/>
              <w:keepLines/>
              <w:spacing w:after="0" w:line="240" w:lineRule="auto"/>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38336570" w14:textId="77777777" w:rsidR="005E138C" w:rsidRPr="00FC6206" w:rsidRDefault="005E138C" w:rsidP="006E78B8">
            <w:pPr>
              <w:keepNext/>
              <w:keepLines/>
              <w:spacing w:after="0" w:line="240" w:lineRule="auto"/>
              <w:jc w:val="center"/>
              <w:rPr>
                <w:rFonts w:eastAsia="Times New Roman" w:cs="Times New Roman"/>
                <w:lang w:eastAsia="en-AU"/>
              </w:rPr>
            </w:pPr>
          </w:p>
        </w:tc>
        <w:tc>
          <w:tcPr>
            <w:tcW w:w="1275" w:type="dxa"/>
            <w:tcBorders>
              <w:top w:val="nil"/>
              <w:left w:val="nil"/>
              <w:bottom w:val="nil"/>
              <w:right w:val="nil"/>
            </w:tcBorders>
            <w:shd w:val="clear" w:color="auto" w:fill="auto"/>
            <w:noWrap/>
            <w:vAlign w:val="center"/>
          </w:tcPr>
          <w:p w14:paraId="26C73F99" w14:textId="77777777" w:rsidR="005E138C" w:rsidRPr="00FC6206" w:rsidRDefault="005E138C" w:rsidP="006E78B8">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44DF961E" w14:textId="77777777" w:rsidR="005E138C" w:rsidRPr="00FC6206" w:rsidRDefault="005E138C" w:rsidP="006E78B8">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508EC5F4" w14:textId="77777777" w:rsidR="005E138C" w:rsidRPr="00FC6206" w:rsidRDefault="005E138C" w:rsidP="006E78B8">
            <w:pPr>
              <w:keepNext/>
              <w:keepLines/>
              <w:spacing w:after="0" w:line="240" w:lineRule="auto"/>
              <w:jc w:val="center"/>
              <w:rPr>
                <w:rFonts w:eastAsia="Times New Roman" w:cs="Times New Roman"/>
                <w:lang w:eastAsia="en-AU"/>
              </w:rPr>
            </w:pPr>
          </w:p>
        </w:tc>
        <w:tc>
          <w:tcPr>
            <w:tcW w:w="1276" w:type="dxa"/>
            <w:tcBorders>
              <w:top w:val="nil"/>
              <w:left w:val="nil"/>
              <w:bottom w:val="nil"/>
              <w:right w:val="nil"/>
            </w:tcBorders>
            <w:shd w:val="clear" w:color="auto" w:fill="auto"/>
            <w:noWrap/>
            <w:vAlign w:val="center"/>
          </w:tcPr>
          <w:p w14:paraId="104CFF4E" w14:textId="77777777" w:rsidR="005E138C" w:rsidRPr="00FC6206" w:rsidRDefault="005E138C" w:rsidP="006E78B8">
            <w:pPr>
              <w:keepNext/>
              <w:keepLines/>
              <w:spacing w:after="0" w:line="240" w:lineRule="auto"/>
              <w:jc w:val="center"/>
              <w:rPr>
                <w:rFonts w:eastAsia="Times New Roman" w:cs="Times New Roman"/>
                <w:lang w:eastAsia="en-AU"/>
              </w:rPr>
            </w:pPr>
          </w:p>
        </w:tc>
        <w:tc>
          <w:tcPr>
            <w:tcW w:w="992" w:type="dxa"/>
            <w:tcBorders>
              <w:top w:val="nil"/>
              <w:left w:val="nil"/>
              <w:bottom w:val="nil"/>
              <w:right w:val="nil"/>
            </w:tcBorders>
            <w:vAlign w:val="center"/>
          </w:tcPr>
          <w:p w14:paraId="74EB08C2" w14:textId="77777777" w:rsidR="005E138C" w:rsidRPr="00FC6206" w:rsidRDefault="005E138C" w:rsidP="006E78B8">
            <w:pPr>
              <w:keepNext/>
              <w:keepLines/>
              <w:spacing w:after="0" w:line="240" w:lineRule="auto"/>
              <w:rPr>
                <w:rFonts w:eastAsia="Times New Roman" w:cs="Times New Roman"/>
                <w:lang w:eastAsia="en-AU"/>
              </w:rPr>
            </w:pPr>
          </w:p>
        </w:tc>
      </w:tr>
      <w:tr w:rsidR="005E138C" w:rsidRPr="00FC6206" w14:paraId="413B72B5" w14:textId="77777777" w:rsidTr="006313C5">
        <w:trPr>
          <w:trHeight w:val="300"/>
        </w:trPr>
        <w:tc>
          <w:tcPr>
            <w:tcW w:w="1103" w:type="dxa"/>
            <w:tcBorders>
              <w:top w:val="nil"/>
              <w:left w:val="nil"/>
              <w:bottom w:val="nil"/>
              <w:right w:val="nil"/>
            </w:tcBorders>
            <w:shd w:val="clear" w:color="auto" w:fill="auto"/>
            <w:noWrap/>
            <w:vAlign w:val="center"/>
            <w:hideMark/>
          </w:tcPr>
          <w:p w14:paraId="7EBB3757"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Sex</w:t>
            </w:r>
          </w:p>
        </w:tc>
        <w:tc>
          <w:tcPr>
            <w:tcW w:w="882" w:type="dxa"/>
            <w:tcBorders>
              <w:top w:val="nil"/>
              <w:left w:val="nil"/>
              <w:bottom w:val="nil"/>
              <w:right w:val="nil"/>
            </w:tcBorders>
            <w:shd w:val="clear" w:color="auto" w:fill="auto"/>
            <w:noWrap/>
            <w:vAlign w:val="center"/>
            <w:hideMark/>
          </w:tcPr>
          <w:p w14:paraId="6F470302" w14:textId="77777777" w:rsidR="005E138C" w:rsidRPr="00FC6206" w:rsidRDefault="005E138C" w:rsidP="006E78B8">
            <w:pPr>
              <w:keepNext/>
              <w:keepLines/>
              <w:spacing w:after="0" w:line="240" w:lineRule="auto"/>
              <w:rPr>
                <w:rFonts w:eastAsia="Times New Roman" w:cs="Times New Roman"/>
                <w:color w:val="000000"/>
                <w:lang w:eastAsia="en-AU"/>
              </w:rPr>
            </w:pPr>
            <w:r w:rsidRPr="00FC6206">
              <w:rPr>
                <w:rFonts w:eastAsia="Times New Roman" w:cs="Times New Roman"/>
                <w:color w:val="000000"/>
                <w:lang w:eastAsia="en-AU"/>
              </w:rPr>
              <w:t>Male</w:t>
            </w:r>
          </w:p>
        </w:tc>
        <w:tc>
          <w:tcPr>
            <w:tcW w:w="1276" w:type="dxa"/>
            <w:tcBorders>
              <w:top w:val="nil"/>
              <w:left w:val="nil"/>
              <w:bottom w:val="nil"/>
              <w:right w:val="nil"/>
            </w:tcBorders>
            <w:shd w:val="clear" w:color="auto" w:fill="auto"/>
            <w:noWrap/>
            <w:vAlign w:val="center"/>
          </w:tcPr>
          <w:p w14:paraId="13CA9EE2"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13.1</w:t>
            </w:r>
          </w:p>
          <w:p w14:paraId="6DFE18F8" w14:textId="7059F52D"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(12.3, 13.8)</w:t>
            </w:r>
          </w:p>
        </w:tc>
        <w:tc>
          <w:tcPr>
            <w:tcW w:w="1275" w:type="dxa"/>
            <w:tcBorders>
              <w:top w:val="nil"/>
              <w:left w:val="nil"/>
              <w:bottom w:val="nil"/>
              <w:right w:val="nil"/>
            </w:tcBorders>
            <w:shd w:val="clear" w:color="auto" w:fill="auto"/>
            <w:noWrap/>
            <w:vAlign w:val="center"/>
          </w:tcPr>
          <w:p w14:paraId="6BA2229E"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13.3</w:t>
            </w:r>
          </w:p>
          <w:p w14:paraId="481D0E15" w14:textId="7728D281"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(12.4, 14.4)</w:t>
            </w:r>
          </w:p>
        </w:tc>
        <w:tc>
          <w:tcPr>
            <w:tcW w:w="1276" w:type="dxa"/>
            <w:tcBorders>
              <w:top w:val="nil"/>
              <w:left w:val="nil"/>
              <w:bottom w:val="nil"/>
              <w:right w:val="nil"/>
            </w:tcBorders>
            <w:shd w:val="clear" w:color="auto" w:fill="auto"/>
            <w:noWrap/>
            <w:vAlign w:val="center"/>
          </w:tcPr>
          <w:p w14:paraId="3BA61EFB"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14.8</w:t>
            </w:r>
          </w:p>
          <w:p w14:paraId="52D79ACF" w14:textId="7DD471FC"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(13.6, 16.1)</w:t>
            </w:r>
          </w:p>
        </w:tc>
        <w:tc>
          <w:tcPr>
            <w:tcW w:w="1276" w:type="dxa"/>
            <w:tcBorders>
              <w:top w:val="nil"/>
              <w:left w:val="nil"/>
              <w:bottom w:val="nil"/>
              <w:right w:val="nil"/>
            </w:tcBorders>
            <w:shd w:val="clear" w:color="auto" w:fill="auto"/>
            <w:noWrap/>
            <w:vAlign w:val="center"/>
          </w:tcPr>
          <w:p w14:paraId="71B69B69"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17.2</w:t>
            </w:r>
          </w:p>
          <w:p w14:paraId="1D6B0347" w14:textId="54AB1BB2"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(16.3, 18.1)</w:t>
            </w:r>
          </w:p>
        </w:tc>
        <w:tc>
          <w:tcPr>
            <w:tcW w:w="1276" w:type="dxa"/>
            <w:tcBorders>
              <w:top w:val="nil"/>
              <w:left w:val="nil"/>
              <w:bottom w:val="nil"/>
              <w:right w:val="nil"/>
            </w:tcBorders>
            <w:shd w:val="clear" w:color="auto" w:fill="auto"/>
            <w:noWrap/>
            <w:vAlign w:val="center"/>
          </w:tcPr>
          <w:p w14:paraId="64F58D56" w14:textId="77777777" w:rsidR="005E138C"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18.3</w:t>
            </w:r>
          </w:p>
          <w:p w14:paraId="43CE9B2C" w14:textId="77C215CC" w:rsidR="008B7D46" w:rsidRPr="00FC6206"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(17.4, 19.3)</w:t>
            </w:r>
          </w:p>
        </w:tc>
        <w:tc>
          <w:tcPr>
            <w:tcW w:w="992" w:type="dxa"/>
            <w:tcBorders>
              <w:top w:val="nil"/>
              <w:left w:val="nil"/>
              <w:bottom w:val="nil"/>
              <w:right w:val="nil"/>
            </w:tcBorders>
            <w:vAlign w:val="center"/>
          </w:tcPr>
          <w:p w14:paraId="6823D1FB" w14:textId="31591F18" w:rsidR="005E138C" w:rsidRDefault="008B7D46"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1.03***</w:t>
            </w:r>
          </w:p>
        </w:tc>
      </w:tr>
      <w:tr w:rsidR="005E138C" w:rsidRPr="00FC6206" w14:paraId="43FE8472" w14:textId="77777777" w:rsidTr="006313C5">
        <w:trPr>
          <w:trHeight w:val="300"/>
        </w:trPr>
        <w:tc>
          <w:tcPr>
            <w:tcW w:w="1103" w:type="dxa"/>
            <w:tcBorders>
              <w:top w:val="nil"/>
              <w:left w:val="nil"/>
              <w:bottom w:val="nil"/>
              <w:right w:val="nil"/>
            </w:tcBorders>
            <w:shd w:val="clear" w:color="auto" w:fill="auto"/>
            <w:noWrap/>
            <w:vAlign w:val="center"/>
          </w:tcPr>
          <w:p w14:paraId="20AC7282" w14:textId="3B3BFA94" w:rsidR="005E138C" w:rsidRPr="00FC6206" w:rsidRDefault="005E138C" w:rsidP="006E78B8">
            <w:pPr>
              <w:keepNext/>
              <w:keepLines/>
              <w:spacing w:after="0" w:line="240" w:lineRule="auto"/>
              <w:rPr>
                <w:rFonts w:eastAsia="Times New Roman" w:cs="Times New Roman"/>
                <w:color w:val="000000"/>
                <w:lang w:eastAsia="en-AU"/>
              </w:rPr>
            </w:pPr>
          </w:p>
        </w:tc>
        <w:tc>
          <w:tcPr>
            <w:tcW w:w="882" w:type="dxa"/>
            <w:tcBorders>
              <w:top w:val="nil"/>
              <w:left w:val="nil"/>
              <w:bottom w:val="nil"/>
              <w:right w:val="nil"/>
            </w:tcBorders>
            <w:shd w:val="clear" w:color="auto" w:fill="auto"/>
            <w:noWrap/>
            <w:vAlign w:val="center"/>
          </w:tcPr>
          <w:p w14:paraId="12B19628" w14:textId="77777777" w:rsidR="005E138C" w:rsidRPr="00FC6206" w:rsidRDefault="005E138C"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Female</w:t>
            </w:r>
          </w:p>
        </w:tc>
        <w:tc>
          <w:tcPr>
            <w:tcW w:w="1276" w:type="dxa"/>
            <w:tcBorders>
              <w:top w:val="nil"/>
              <w:left w:val="nil"/>
              <w:bottom w:val="nil"/>
              <w:right w:val="nil"/>
            </w:tcBorders>
            <w:shd w:val="clear" w:color="auto" w:fill="auto"/>
            <w:noWrap/>
            <w:vAlign w:val="center"/>
          </w:tcPr>
          <w:p w14:paraId="461FC35F"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23.7</w:t>
            </w:r>
          </w:p>
          <w:p w14:paraId="6DF445EB" w14:textId="0469EF7B"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(22.8, 24.5)</w:t>
            </w:r>
          </w:p>
        </w:tc>
        <w:tc>
          <w:tcPr>
            <w:tcW w:w="1275" w:type="dxa"/>
            <w:tcBorders>
              <w:top w:val="nil"/>
              <w:left w:val="nil"/>
              <w:bottom w:val="nil"/>
              <w:right w:val="nil"/>
            </w:tcBorders>
            <w:shd w:val="clear" w:color="auto" w:fill="auto"/>
            <w:noWrap/>
            <w:vAlign w:val="center"/>
          </w:tcPr>
          <w:p w14:paraId="74208CC8" w14:textId="77777777" w:rsidR="005E138C"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24.4</w:t>
            </w:r>
          </w:p>
          <w:p w14:paraId="46E5CB41" w14:textId="47A57738" w:rsidR="005E138C" w:rsidRPr="00FC6206" w:rsidRDefault="005E138C"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(23.4, 25.4)</w:t>
            </w:r>
          </w:p>
        </w:tc>
        <w:tc>
          <w:tcPr>
            <w:tcW w:w="1276" w:type="dxa"/>
            <w:tcBorders>
              <w:top w:val="nil"/>
              <w:left w:val="nil"/>
              <w:bottom w:val="nil"/>
              <w:right w:val="nil"/>
            </w:tcBorders>
            <w:shd w:val="clear" w:color="auto" w:fill="auto"/>
            <w:noWrap/>
            <w:vAlign w:val="center"/>
          </w:tcPr>
          <w:p w14:paraId="5A25CB47" w14:textId="77777777" w:rsidR="005E138C"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24.8</w:t>
            </w:r>
          </w:p>
          <w:p w14:paraId="148C805B" w14:textId="1E0A447B" w:rsidR="00E25806" w:rsidRPr="00FC6206" w:rsidRDefault="00E2580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(23.5, 26.1)</w:t>
            </w:r>
          </w:p>
        </w:tc>
        <w:tc>
          <w:tcPr>
            <w:tcW w:w="1276" w:type="dxa"/>
            <w:tcBorders>
              <w:top w:val="nil"/>
              <w:left w:val="nil"/>
              <w:bottom w:val="nil"/>
              <w:right w:val="nil"/>
            </w:tcBorders>
            <w:shd w:val="clear" w:color="auto" w:fill="auto"/>
            <w:noWrap/>
            <w:vAlign w:val="center"/>
          </w:tcPr>
          <w:p w14:paraId="2BB3239B" w14:textId="77777777" w:rsidR="005E138C"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27.5</w:t>
            </w:r>
          </w:p>
          <w:p w14:paraId="3C15B71C" w14:textId="14688233" w:rsidR="008B7D46" w:rsidRPr="00FC6206"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(26.6, 28.4)</w:t>
            </w:r>
          </w:p>
        </w:tc>
        <w:tc>
          <w:tcPr>
            <w:tcW w:w="1276" w:type="dxa"/>
            <w:tcBorders>
              <w:top w:val="nil"/>
              <w:left w:val="nil"/>
              <w:bottom w:val="nil"/>
              <w:right w:val="nil"/>
            </w:tcBorders>
            <w:shd w:val="clear" w:color="auto" w:fill="auto"/>
            <w:noWrap/>
            <w:vAlign w:val="center"/>
          </w:tcPr>
          <w:p w14:paraId="6BCB3E2D" w14:textId="77777777" w:rsidR="005E138C"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28.2</w:t>
            </w:r>
          </w:p>
          <w:p w14:paraId="36F1C6F8" w14:textId="1A680983" w:rsidR="008B7D46" w:rsidRPr="00FC6206" w:rsidRDefault="008B7D46" w:rsidP="006E78B8">
            <w:pPr>
              <w:keepNext/>
              <w:keepLines/>
              <w:spacing w:after="0" w:line="240" w:lineRule="auto"/>
              <w:jc w:val="center"/>
              <w:rPr>
                <w:rFonts w:eastAsia="Times New Roman" w:cs="Times New Roman"/>
                <w:color w:val="000000"/>
                <w:lang w:eastAsia="en-AU"/>
              </w:rPr>
            </w:pPr>
            <w:r>
              <w:rPr>
                <w:rFonts w:eastAsia="Times New Roman" w:cs="Times New Roman"/>
                <w:color w:val="000000"/>
                <w:lang w:eastAsia="en-AU"/>
              </w:rPr>
              <w:t>(27.2, 29.1)</w:t>
            </w:r>
          </w:p>
        </w:tc>
        <w:tc>
          <w:tcPr>
            <w:tcW w:w="992" w:type="dxa"/>
            <w:tcBorders>
              <w:top w:val="nil"/>
              <w:left w:val="nil"/>
              <w:bottom w:val="nil"/>
              <w:right w:val="nil"/>
            </w:tcBorders>
            <w:vAlign w:val="center"/>
          </w:tcPr>
          <w:p w14:paraId="746AE5CB" w14:textId="430AB58F" w:rsidR="005E138C" w:rsidRDefault="008B7D46" w:rsidP="006E78B8">
            <w:pPr>
              <w:keepNext/>
              <w:keepLines/>
              <w:spacing w:after="0" w:line="240" w:lineRule="auto"/>
              <w:rPr>
                <w:rFonts w:eastAsia="Times New Roman" w:cs="Times New Roman"/>
                <w:color w:val="000000"/>
                <w:lang w:eastAsia="en-AU"/>
              </w:rPr>
            </w:pPr>
            <w:r>
              <w:rPr>
                <w:rFonts w:eastAsia="Times New Roman" w:cs="Times New Roman"/>
                <w:color w:val="000000"/>
                <w:lang w:eastAsia="en-AU"/>
              </w:rPr>
              <w:t>1.02***</w:t>
            </w:r>
          </w:p>
        </w:tc>
      </w:tr>
      <w:tr w:rsidR="005E138C" w:rsidRPr="00FC6206" w14:paraId="38DE5237" w14:textId="77777777" w:rsidTr="006313C5">
        <w:trPr>
          <w:trHeight w:val="300"/>
        </w:trPr>
        <w:tc>
          <w:tcPr>
            <w:tcW w:w="1103" w:type="dxa"/>
            <w:tcBorders>
              <w:top w:val="single" w:sz="4" w:space="0" w:color="auto"/>
              <w:left w:val="nil"/>
              <w:bottom w:val="nil"/>
              <w:right w:val="nil"/>
            </w:tcBorders>
            <w:shd w:val="clear" w:color="auto" w:fill="auto"/>
            <w:noWrap/>
            <w:vAlign w:val="bottom"/>
            <w:hideMark/>
          </w:tcPr>
          <w:p w14:paraId="7F8D95C3" w14:textId="6F1D22FB" w:rsidR="005E138C" w:rsidRPr="003D21E5" w:rsidRDefault="005E138C" w:rsidP="006E78B8">
            <w:pPr>
              <w:keepNext/>
              <w:keepLines/>
              <w:spacing w:after="0" w:line="240" w:lineRule="auto"/>
              <w:rPr>
                <w:rFonts w:eastAsia="Times New Roman" w:cs="Times New Roman"/>
                <w:color w:val="000000"/>
                <w:sz w:val="20"/>
                <w:lang w:eastAsia="en-AU"/>
              </w:rPr>
            </w:pPr>
            <w:r w:rsidRPr="003D21E5">
              <w:rPr>
                <w:rFonts w:eastAsia="Times New Roman" w:cs="Times New Roman"/>
                <w:color w:val="000000"/>
                <w:sz w:val="20"/>
                <w:lang w:eastAsia="en-AU"/>
              </w:rPr>
              <w:t>N=118,416</w:t>
            </w:r>
          </w:p>
        </w:tc>
        <w:tc>
          <w:tcPr>
            <w:tcW w:w="882" w:type="dxa"/>
            <w:tcBorders>
              <w:top w:val="single" w:sz="4" w:space="0" w:color="auto"/>
              <w:left w:val="nil"/>
              <w:bottom w:val="nil"/>
              <w:right w:val="nil"/>
            </w:tcBorders>
            <w:shd w:val="clear" w:color="auto" w:fill="auto"/>
            <w:noWrap/>
            <w:vAlign w:val="bottom"/>
            <w:hideMark/>
          </w:tcPr>
          <w:p w14:paraId="75B75A30" w14:textId="77777777" w:rsidR="005E138C" w:rsidRPr="003D21E5" w:rsidRDefault="005E138C" w:rsidP="006E78B8">
            <w:pPr>
              <w:keepNext/>
              <w:keepLines/>
              <w:spacing w:after="0" w:line="240" w:lineRule="auto"/>
              <w:rPr>
                <w:rFonts w:eastAsia="Times New Roman" w:cs="Times New Roman"/>
                <w:sz w:val="20"/>
                <w:lang w:eastAsia="en-AU"/>
              </w:rPr>
            </w:pPr>
          </w:p>
        </w:tc>
        <w:tc>
          <w:tcPr>
            <w:tcW w:w="1276" w:type="dxa"/>
            <w:tcBorders>
              <w:top w:val="single" w:sz="4" w:space="0" w:color="auto"/>
              <w:left w:val="nil"/>
              <w:bottom w:val="nil"/>
              <w:right w:val="nil"/>
            </w:tcBorders>
            <w:shd w:val="clear" w:color="auto" w:fill="auto"/>
            <w:noWrap/>
            <w:vAlign w:val="bottom"/>
            <w:hideMark/>
          </w:tcPr>
          <w:p w14:paraId="160BE97D" w14:textId="77777777" w:rsidR="005E138C" w:rsidRPr="00FC6206" w:rsidRDefault="005E138C" w:rsidP="006E78B8">
            <w:pPr>
              <w:keepNext/>
              <w:keepLines/>
              <w:spacing w:after="0" w:line="240" w:lineRule="auto"/>
              <w:rPr>
                <w:rFonts w:eastAsia="Times New Roman" w:cs="Times New Roman"/>
                <w:lang w:eastAsia="en-AU"/>
              </w:rPr>
            </w:pPr>
          </w:p>
        </w:tc>
        <w:tc>
          <w:tcPr>
            <w:tcW w:w="1275" w:type="dxa"/>
            <w:tcBorders>
              <w:top w:val="single" w:sz="4" w:space="0" w:color="auto"/>
              <w:left w:val="nil"/>
              <w:bottom w:val="nil"/>
              <w:right w:val="nil"/>
            </w:tcBorders>
            <w:shd w:val="clear" w:color="auto" w:fill="auto"/>
            <w:noWrap/>
            <w:vAlign w:val="bottom"/>
            <w:hideMark/>
          </w:tcPr>
          <w:p w14:paraId="6209123C" w14:textId="77777777" w:rsidR="005E138C" w:rsidRPr="00FC6206" w:rsidRDefault="005E138C" w:rsidP="006E78B8">
            <w:pPr>
              <w:keepNext/>
              <w:keepLines/>
              <w:spacing w:after="0" w:line="240" w:lineRule="auto"/>
              <w:rPr>
                <w:rFonts w:eastAsia="Times New Roman" w:cs="Times New Roman"/>
                <w:lang w:eastAsia="en-AU"/>
              </w:rPr>
            </w:pPr>
          </w:p>
        </w:tc>
        <w:tc>
          <w:tcPr>
            <w:tcW w:w="1276" w:type="dxa"/>
            <w:tcBorders>
              <w:top w:val="single" w:sz="4" w:space="0" w:color="auto"/>
              <w:left w:val="nil"/>
              <w:bottom w:val="nil"/>
              <w:right w:val="nil"/>
            </w:tcBorders>
            <w:shd w:val="clear" w:color="auto" w:fill="auto"/>
            <w:noWrap/>
            <w:vAlign w:val="bottom"/>
            <w:hideMark/>
          </w:tcPr>
          <w:p w14:paraId="110D7FFC" w14:textId="77777777" w:rsidR="005E138C" w:rsidRPr="00FC6206" w:rsidRDefault="005E138C" w:rsidP="006E78B8">
            <w:pPr>
              <w:keepNext/>
              <w:keepLines/>
              <w:spacing w:after="0" w:line="240" w:lineRule="auto"/>
              <w:rPr>
                <w:rFonts w:eastAsia="Times New Roman" w:cs="Times New Roman"/>
                <w:lang w:eastAsia="en-AU"/>
              </w:rPr>
            </w:pPr>
          </w:p>
        </w:tc>
        <w:tc>
          <w:tcPr>
            <w:tcW w:w="1276" w:type="dxa"/>
            <w:tcBorders>
              <w:top w:val="single" w:sz="4" w:space="0" w:color="auto"/>
              <w:left w:val="nil"/>
              <w:bottom w:val="nil"/>
              <w:right w:val="nil"/>
            </w:tcBorders>
            <w:shd w:val="clear" w:color="auto" w:fill="auto"/>
            <w:noWrap/>
            <w:vAlign w:val="bottom"/>
            <w:hideMark/>
          </w:tcPr>
          <w:p w14:paraId="4DF3A782" w14:textId="77777777" w:rsidR="005E138C" w:rsidRPr="00FC6206" w:rsidRDefault="005E138C" w:rsidP="006E78B8">
            <w:pPr>
              <w:keepNext/>
              <w:keepLines/>
              <w:spacing w:after="0" w:line="240" w:lineRule="auto"/>
              <w:rPr>
                <w:rFonts w:eastAsia="Times New Roman" w:cs="Times New Roman"/>
                <w:lang w:eastAsia="en-AU"/>
              </w:rPr>
            </w:pPr>
          </w:p>
        </w:tc>
        <w:tc>
          <w:tcPr>
            <w:tcW w:w="1276" w:type="dxa"/>
            <w:tcBorders>
              <w:top w:val="single" w:sz="4" w:space="0" w:color="auto"/>
              <w:left w:val="nil"/>
              <w:bottom w:val="nil"/>
              <w:right w:val="nil"/>
            </w:tcBorders>
            <w:shd w:val="clear" w:color="auto" w:fill="auto"/>
            <w:noWrap/>
            <w:vAlign w:val="bottom"/>
            <w:hideMark/>
          </w:tcPr>
          <w:p w14:paraId="176E1293" w14:textId="77777777" w:rsidR="005E138C" w:rsidRPr="00FC6206" w:rsidRDefault="005E138C" w:rsidP="006E78B8">
            <w:pPr>
              <w:keepNext/>
              <w:keepLines/>
              <w:spacing w:after="0" w:line="240" w:lineRule="auto"/>
              <w:rPr>
                <w:rFonts w:eastAsia="Times New Roman" w:cs="Times New Roman"/>
                <w:lang w:eastAsia="en-AU"/>
              </w:rPr>
            </w:pPr>
          </w:p>
        </w:tc>
        <w:tc>
          <w:tcPr>
            <w:tcW w:w="992" w:type="dxa"/>
            <w:tcBorders>
              <w:top w:val="single" w:sz="4" w:space="0" w:color="auto"/>
              <w:left w:val="nil"/>
              <w:bottom w:val="nil"/>
              <w:right w:val="nil"/>
            </w:tcBorders>
          </w:tcPr>
          <w:p w14:paraId="74CB5DE7" w14:textId="77777777" w:rsidR="005E138C" w:rsidRPr="00FC6206" w:rsidRDefault="005E138C" w:rsidP="006E78B8">
            <w:pPr>
              <w:keepNext/>
              <w:keepLines/>
              <w:spacing w:after="0" w:line="240" w:lineRule="auto"/>
              <w:rPr>
                <w:rFonts w:eastAsia="Times New Roman" w:cs="Times New Roman"/>
                <w:lang w:eastAsia="en-AU"/>
              </w:rPr>
            </w:pPr>
          </w:p>
        </w:tc>
      </w:tr>
    </w:tbl>
    <w:p w14:paraId="487654A8" w14:textId="77777777" w:rsidR="005E138C" w:rsidRPr="00FC6206" w:rsidRDefault="005E138C" w:rsidP="00A01425"/>
    <w:p w14:paraId="29E00A0A" w14:textId="77777777" w:rsidR="00A01425" w:rsidRPr="00FC6206" w:rsidRDefault="00A01425" w:rsidP="00A01425"/>
    <w:p w14:paraId="12EDE8BE" w14:textId="77777777" w:rsidR="00A01425" w:rsidRPr="00FC6206" w:rsidRDefault="00A01425" w:rsidP="00A01425">
      <w:pPr>
        <w:jc w:val="center"/>
        <w:rPr>
          <w:b/>
        </w:rPr>
      </w:pPr>
      <w:r w:rsidRPr="00FC6206">
        <w:rPr>
          <w:b/>
        </w:rPr>
        <w:t>Discussion</w:t>
      </w:r>
    </w:p>
    <w:p w14:paraId="0B944737" w14:textId="07869A93" w:rsidR="0068245C" w:rsidRPr="00FC6206" w:rsidRDefault="0068245C" w:rsidP="005B342A">
      <w:pPr>
        <w:spacing w:line="360" w:lineRule="auto"/>
      </w:pPr>
      <w:r w:rsidRPr="00FC6206">
        <w:t xml:space="preserve">In this examination of </w:t>
      </w:r>
      <w:r w:rsidR="00BD009D">
        <w:t xml:space="preserve">self-identified Australian </w:t>
      </w:r>
      <w:r w:rsidRPr="00FC6206">
        <w:t xml:space="preserve">drinker types there were indications that respondents do classify themselves in a manner </w:t>
      </w:r>
      <w:proofErr w:type="gramStart"/>
      <w:r w:rsidRPr="00FC6206">
        <w:t>fairly consistent</w:t>
      </w:r>
      <w:proofErr w:type="gramEnd"/>
      <w:r w:rsidRPr="00FC6206">
        <w:t xml:space="preserve"> with </w:t>
      </w:r>
      <w:r w:rsidR="006E197D">
        <w:t>reported patterns of consumption,</w:t>
      </w:r>
      <w:r w:rsidR="00DA5DFE" w:rsidRPr="00FC6206">
        <w:t xml:space="preserve"> as found in the US (Abel &amp; Kruger, 1995)</w:t>
      </w:r>
      <w:r w:rsidRPr="00FC6206">
        <w:t xml:space="preserve">.  </w:t>
      </w:r>
      <w:r w:rsidR="00984AA2">
        <w:t xml:space="preserve">However, unlike the findings of </w:t>
      </w:r>
      <w:proofErr w:type="spellStart"/>
      <w:r w:rsidR="00984AA2">
        <w:t>Daeppen</w:t>
      </w:r>
      <w:proofErr w:type="spellEnd"/>
      <w:r w:rsidR="00984AA2">
        <w:t xml:space="preserve"> and colleagues (1999) it appear</w:t>
      </w:r>
      <w:r w:rsidR="006E197D">
        <w:t>ed</w:t>
      </w:r>
      <w:r w:rsidR="00984AA2">
        <w:t xml:space="preserve"> that</w:t>
      </w:r>
      <w:r w:rsidR="006E197D">
        <w:t>,</w:t>
      </w:r>
      <w:r w:rsidR="00984AA2">
        <w:t xml:space="preserve"> given more nuanced options</w:t>
      </w:r>
      <w:r w:rsidR="006E197D">
        <w:t>,</w:t>
      </w:r>
      <w:r w:rsidR="00984AA2">
        <w:t xml:space="preserve"> respondents based their classification on both quantity and frequency rather than frequency</w:t>
      </w:r>
      <w:r w:rsidR="006E197D">
        <w:t xml:space="preserve"> alone</w:t>
      </w:r>
      <w:r w:rsidR="00984AA2">
        <w:t xml:space="preserve">.  </w:t>
      </w:r>
      <w:r w:rsidRPr="00FC6206">
        <w:t xml:space="preserve">For instance, heavy drinkers drank more often than binge drinkers but drank less per session when they did drink.  Similarly, light drinkers drank more often than social drinkers, but drank less per occasion when they drank.  </w:t>
      </w:r>
      <w:r w:rsidR="00BD009D">
        <w:t xml:space="preserve">Our analysis also shows that </w:t>
      </w:r>
      <w:r w:rsidR="000B7C9F" w:rsidRPr="00FC6206">
        <w:t>the</w:t>
      </w:r>
      <w:r w:rsidR="00562163">
        <w:t>re has been an</w:t>
      </w:r>
      <w:r w:rsidR="000B7C9F" w:rsidRPr="00FC6206">
        <w:t xml:space="preserve"> increase in self-identified non-drinkers</w:t>
      </w:r>
      <w:r w:rsidR="00562163">
        <w:t>,</w:t>
      </w:r>
      <w:r w:rsidR="000B7C9F" w:rsidRPr="00FC6206">
        <w:t xml:space="preserve"> </w:t>
      </w:r>
      <w:r w:rsidR="00562163">
        <w:t xml:space="preserve">which is </w:t>
      </w:r>
      <w:r w:rsidR="000B7C9F" w:rsidRPr="00FC6206">
        <w:t>in line with increase</w:t>
      </w:r>
      <w:r w:rsidR="00562163">
        <w:t>d</w:t>
      </w:r>
      <w:r w:rsidR="000B7C9F" w:rsidRPr="00FC6206">
        <w:t xml:space="preserve"> </w:t>
      </w:r>
      <w:r w:rsidR="00562163">
        <w:t xml:space="preserve">abstention as </w:t>
      </w:r>
      <w:r w:rsidR="00F13D7C">
        <w:t>reported</w:t>
      </w:r>
      <w:r w:rsidR="000B7C9F" w:rsidRPr="00FC6206">
        <w:t xml:space="preserve"> </w:t>
      </w:r>
      <w:r w:rsidR="00562163">
        <w:t xml:space="preserve">by </w:t>
      </w:r>
      <w:r w:rsidR="000B7C9F" w:rsidRPr="00FC6206">
        <w:t>consumption</w:t>
      </w:r>
      <w:r w:rsidR="00CE3BDB">
        <w:t xml:space="preserve"> </w:t>
      </w:r>
      <w:r w:rsidR="00562163">
        <w:t xml:space="preserve">measures </w:t>
      </w:r>
      <w:r w:rsidR="00CE3BDB" w:rsidRPr="00FC6206">
        <w:t>(AIHW, 2013)</w:t>
      </w:r>
      <w:r w:rsidR="000B7C9F" w:rsidRPr="00FC6206">
        <w:t xml:space="preserve">.  </w:t>
      </w:r>
    </w:p>
    <w:p w14:paraId="071815EC" w14:textId="4B54C4A7" w:rsidR="00F517F6" w:rsidRPr="00FC6206" w:rsidRDefault="00562163" w:rsidP="005B342A">
      <w:pPr>
        <w:spacing w:line="360" w:lineRule="auto"/>
      </w:pPr>
      <w:r>
        <w:t>Risk</w:t>
      </w:r>
      <w:r w:rsidR="0068245C" w:rsidRPr="00FC6206">
        <w:t xml:space="preserve"> of </w:t>
      </w:r>
      <w:r>
        <w:t xml:space="preserve">alcohol-related </w:t>
      </w:r>
      <w:r w:rsidR="0068245C" w:rsidRPr="00FC6206">
        <w:t xml:space="preserve">harm also </w:t>
      </w:r>
      <w:r>
        <w:t xml:space="preserve">appeared </w:t>
      </w:r>
      <w:r w:rsidR="0068245C" w:rsidRPr="00FC6206">
        <w:t>to vary with self-identified drinker ty</w:t>
      </w:r>
      <w:r w:rsidR="00DA5DFE" w:rsidRPr="00FC6206">
        <w:t xml:space="preserve">pe as found in </w:t>
      </w:r>
      <w:r>
        <w:t xml:space="preserve">previous research </w:t>
      </w:r>
      <w:r w:rsidR="00B13FA5">
        <w:t>(</w:t>
      </w:r>
      <w:proofErr w:type="spellStart"/>
      <w:r w:rsidR="00B13FA5">
        <w:t>Daeppen</w:t>
      </w:r>
      <w:proofErr w:type="spellEnd"/>
      <w:r w:rsidR="00B13FA5">
        <w:t xml:space="preserve"> et al</w:t>
      </w:r>
      <w:r w:rsidR="00DA5DFE" w:rsidRPr="00FC6206">
        <w:t>,</w:t>
      </w:r>
      <w:r w:rsidR="00B13FA5">
        <w:t xml:space="preserve"> 1999</w:t>
      </w:r>
      <w:r w:rsidR="00DA5DFE" w:rsidRPr="00FC6206">
        <w:t>)</w:t>
      </w:r>
      <w:r w:rsidR="006E197D">
        <w:t>.</w:t>
      </w:r>
      <w:r w:rsidR="0068245C" w:rsidRPr="00FC6206">
        <w:t xml:space="preserve"> </w:t>
      </w:r>
      <w:r w:rsidR="006E197D">
        <w:t>H</w:t>
      </w:r>
      <w:r w:rsidR="0068245C" w:rsidRPr="00FC6206">
        <w:t>eavy drinkers ha</w:t>
      </w:r>
      <w:r w:rsidR="006E197D">
        <w:t>d</w:t>
      </w:r>
      <w:r w:rsidR="0068245C" w:rsidRPr="00FC6206">
        <w:t xml:space="preserve"> a high prevalence of drinking to </w:t>
      </w:r>
      <w:proofErr w:type="gramStart"/>
      <w:r w:rsidR="0068245C" w:rsidRPr="00FC6206">
        <w:t>long and short term</w:t>
      </w:r>
      <w:proofErr w:type="gramEnd"/>
      <w:r w:rsidR="0068245C" w:rsidRPr="00FC6206">
        <w:t xml:space="preserve"> </w:t>
      </w:r>
      <w:r w:rsidR="007A10DE">
        <w:t>risk</w:t>
      </w:r>
      <w:r w:rsidR="0068245C" w:rsidRPr="00FC6206">
        <w:t xml:space="preserve">, </w:t>
      </w:r>
      <w:r w:rsidR="006E197D">
        <w:t xml:space="preserve">and </w:t>
      </w:r>
      <w:r w:rsidR="0068245C" w:rsidRPr="00FC6206">
        <w:t xml:space="preserve">risk of short term harm </w:t>
      </w:r>
      <w:r w:rsidR="006E197D">
        <w:t>wa</w:t>
      </w:r>
      <w:r w:rsidR="0068245C" w:rsidRPr="00FC6206">
        <w:t xml:space="preserve">s more common </w:t>
      </w:r>
      <w:r>
        <w:t xml:space="preserve">among </w:t>
      </w:r>
      <w:r w:rsidR="0068245C" w:rsidRPr="00FC6206">
        <w:t xml:space="preserve">binge and social drinkers than it </w:t>
      </w:r>
      <w:r w:rsidR="006E197D">
        <w:t>wa</w:t>
      </w:r>
      <w:r w:rsidR="0068245C" w:rsidRPr="00FC6206">
        <w:t xml:space="preserve">s </w:t>
      </w:r>
      <w:r>
        <w:t>among</w:t>
      </w:r>
      <w:r w:rsidR="0068245C" w:rsidRPr="00FC6206">
        <w:t xml:space="preserve"> light and occasional drinkers.</w:t>
      </w:r>
      <w:r w:rsidR="007A10DE">
        <w:t xml:space="preserve">  </w:t>
      </w:r>
      <w:proofErr w:type="gramStart"/>
      <w:r w:rsidR="007A10DE">
        <w:t>However</w:t>
      </w:r>
      <w:proofErr w:type="gramEnd"/>
      <w:r w:rsidR="007A10DE">
        <w:t xml:space="preserve"> it is worth noting that 29 and 17% of those who identified as light drinkers drank outside of the short term risk and long term risk guidelines respectively. </w:t>
      </w:r>
      <w:r w:rsidR="0068245C" w:rsidRPr="00FC6206">
        <w:t xml:space="preserve"> Risky drinking </w:t>
      </w:r>
      <w:r w:rsidR="006E197D">
        <w:t xml:space="preserve">as measured by the AUDIT </w:t>
      </w:r>
      <w:r w:rsidR="00954F2B" w:rsidRPr="00FC6206">
        <w:t>varie</w:t>
      </w:r>
      <w:r w:rsidR="006E197D">
        <w:t>d</w:t>
      </w:r>
      <w:r w:rsidR="00954F2B" w:rsidRPr="00FC6206">
        <w:t xml:space="preserve"> markedly between drinker types</w:t>
      </w:r>
      <w:r w:rsidR="0068245C" w:rsidRPr="00FC6206">
        <w:t xml:space="preserve">, </w:t>
      </w:r>
      <w:r w:rsidR="00954F2B" w:rsidRPr="00FC6206">
        <w:t xml:space="preserve">with </w:t>
      </w:r>
      <w:r w:rsidR="0068245C" w:rsidRPr="00FC6206">
        <w:t>over 40% of binge and heavy drinkers meet</w:t>
      </w:r>
      <w:r w:rsidR="006E197D">
        <w:t>ing</w:t>
      </w:r>
      <w:r w:rsidR="0068245C" w:rsidRPr="00FC6206">
        <w:t xml:space="preserve"> this criteri</w:t>
      </w:r>
      <w:r w:rsidR="006E197D">
        <w:t>on</w:t>
      </w:r>
      <w:r w:rsidR="0068245C" w:rsidRPr="00FC6206">
        <w:t xml:space="preserve">, at least four times more than any of the other groups.  Given that the AUDIT assesses </w:t>
      </w:r>
      <w:r w:rsidR="004D03A2" w:rsidRPr="00FC6206">
        <w:t xml:space="preserve">harms </w:t>
      </w:r>
      <w:r w:rsidR="006E197D">
        <w:t xml:space="preserve">as well as consumption, </w:t>
      </w:r>
      <w:r w:rsidR="004D03A2" w:rsidRPr="00FC6206">
        <w:t xml:space="preserve">it may be that these harms influence how people view their own drinking </w:t>
      </w:r>
      <w:r w:rsidR="006E197D">
        <w:t>in addition to</w:t>
      </w:r>
      <w:r w:rsidR="002049CF">
        <w:t xml:space="preserve"> the</w:t>
      </w:r>
      <w:r w:rsidR="004D03A2" w:rsidRPr="00FC6206">
        <w:t xml:space="preserve"> actual level of consumption.  </w:t>
      </w:r>
    </w:p>
    <w:p w14:paraId="665C03F9" w14:textId="65D50202" w:rsidR="006006B4" w:rsidRPr="00FC6206" w:rsidRDefault="00954F2B" w:rsidP="005B342A">
      <w:pPr>
        <w:spacing w:line="360" w:lineRule="auto"/>
      </w:pPr>
      <w:r w:rsidRPr="00FC6206">
        <w:lastRenderedPageBreak/>
        <w:t xml:space="preserve">The decline in self-reported ‘social drinking’ in Australia </w:t>
      </w:r>
      <w:r w:rsidR="00D83E67">
        <w:t>appears</w:t>
      </w:r>
      <w:r w:rsidRPr="00FC6206">
        <w:t xml:space="preserve"> to be driven more by actual changes in drinking behaviour than in changes in the definition of ‘social drinking’ over time. The volume of alcohol </w:t>
      </w:r>
      <w:proofErr w:type="gramStart"/>
      <w:r w:rsidRPr="00FC6206">
        <w:t>consumed</w:t>
      </w:r>
      <w:proofErr w:type="gramEnd"/>
      <w:r w:rsidRPr="00FC6206">
        <w:t xml:space="preserve"> and the drinking patterns of self-reported social drinkers were</w:t>
      </w:r>
      <w:r w:rsidR="00984AA2">
        <w:t xml:space="preserve"> fairly</w:t>
      </w:r>
      <w:r w:rsidRPr="00FC6206">
        <w:t xml:space="preserve"> stable across the survey waves, suggesting a consistent definition of ‘social drinking’ in Australia. Instead, drinking behaviour has changed substantially, with </w:t>
      </w:r>
      <w:r w:rsidR="00244BC8">
        <w:t xml:space="preserve">those aged under 50 less likely to identify as </w:t>
      </w:r>
      <w:r w:rsidRPr="00FC6206">
        <w:t xml:space="preserve">‘social drinkers’ </w:t>
      </w:r>
      <w:r w:rsidR="00244BC8">
        <w:t>while the proportion of ‘non-drinkers’ in the population has increased</w:t>
      </w:r>
      <w:r w:rsidRPr="00FC6206">
        <w:t xml:space="preserve">. </w:t>
      </w:r>
      <w:r w:rsidR="006006B4" w:rsidRPr="00FC6206">
        <w:t xml:space="preserve">This is line with previous research identifying </w:t>
      </w:r>
      <w:r w:rsidR="00044FD9">
        <w:t xml:space="preserve">that the drop in Australian </w:t>
      </w:r>
      <w:r w:rsidR="00562163">
        <w:t xml:space="preserve">population </w:t>
      </w:r>
      <w:r w:rsidR="00044FD9">
        <w:t xml:space="preserve">consumption </w:t>
      </w:r>
      <w:r w:rsidR="00562163">
        <w:t xml:space="preserve">is largely </w:t>
      </w:r>
      <w:r w:rsidR="00044FD9">
        <w:t>due to decreased drinking in young people</w:t>
      </w:r>
      <w:r w:rsidR="006006B4" w:rsidRPr="00FC6206">
        <w:t xml:space="preserve"> (Livingston &amp; Dietze, 2016; Pennay et al., 2015).</w:t>
      </w:r>
    </w:p>
    <w:p w14:paraId="04E5F61D" w14:textId="5D028D9C" w:rsidR="006006B4" w:rsidRPr="00FC6206" w:rsidRDefault="00984AA2" w:rsidP="005B342A">
      <w:pPr>
        <w:spacing w:line="360" w:lineRule="auto"/>
      </w:pPr>
      <w:r>
        <w:t>O</w:t>
      </w:r>
      <w:r w:rsidR="00633D1F" w:rsidRPr="00FC6206">
        <w:t xml:space="preserve">verall </w:t>
      </w:r>
      <w:r w:rsidR="004D03A2" w:rsidRPr="00FC6206">
        <w:t>it does appear that the decrease</w:t>
      </w:r>
      <w:r w:rsidR="00244BC8">
        <w:t xml:space="preserve"> in social drinkers </w:t>
      </w:r>
      <w:r w:rsidR="004D03A2" w:rsidRPr="00FC6206">
        <w:t xml:space="preserve">and corresponding increase in non-drinkers </w:t>
      </w:r>
      <w:r>
        <w:t>may be indicative of a shift in</w:t>
      </w:r>
      <w:r w:rsidR="00B02967">
        <w:t xml:space="preserve"> drinking in social settings in Australia</w:t>
      </w:r>
      <w:r w:rsidR="004D03A2" w:rsidRPr="00FC6206">
        <w:t xml:space="preserve">.  It is worth noting that there has not been </w:t>
      </w:r>
      <w:r w:rsidR="000E4CE8">
        <w:t>much</w:t>
      </w:r>
      <w:r w:rsidR="000E4CE8" w:rsidRPr="00FC6206">
        <w:t xml:space="preserve"> </w:t>
      </w:r>
      <w:r w:rsidR="000E4CE8">
        <w:t>decline</w:t>
      </w:r>
      <w:r w:rsidR="004D03A2" w:rsidRPr="00FC6206">
        <w:t xml:space="preserve"> in the prevalence </w:t>
      </w:r>
      <w:r w:rsidR="00562163">
        <w:t>of</w:t>
      </w:r>
      <w:r w:rsidR="00562163" w:rsidRPr="00FC6206">
        <w:t xml:space="preserve"> </w:t>
      </w:r>
      <w:r w:rsidR="004D03A2" w:rsidRPr="00FC6206">
        <w:t xml:space="preserve">self-identified heavy or binge drinkers, those experiencing high rates of harms as per the AUDIT.  </w:t>
      </w:r>
      <w:r w:rsidR="000E4CE8">
        <w:t>Therefore,</w:t>
      </w:r>
      <w:r w:rsidR="004D03A2" w:rsidRPr="00FC6206">
        <w:t xml:space="preserve"> the </w:t>
      </w:r>
      <w:r w:rsidR="000E4CE8">
        <w:t>observed</w:t>
      </w:r>
      <w:r w:rsidR="000E4CE8" w:rsidRPr="00FC6206">
        <w:t xml:space="preserve"> </w:t>
      </w:r>
      <w:r w:rsidR="004D03A2" w:rsidRPr="00FC6206">
        <w:t xml:space="preserve">drop in consumption in Australia </w:t>
      </w:r>
      <w:r w:rsidR="000E4CE8">
        <w:t xml:space="preserve">does not seem to be </w:t>
      </w:r>
      <w:r w:rsidR="004D03A2" w:rsidRPr="00FC6206">
        <w:t>due to decreases in those drinkers who would most benefit from a decrease</w:t>
      </w:r>
      <w:r w:rsidR="00D664F0">
        <w:t>, at least based on self-reported drinking categories</w:t>
      </w:r>
      <w:r w:rsidR="004D03A2" w:rsidRPr="00FC6206">
        <w:t xml:space="preserve">.  </w:t>
      </w:r>
      <w:r w:rsidR="006006B4" w:rsidRPr="00FC6206">
        <w:t>However, there is some evidence that the definition of ‘binge drinking’ may have shifted in recent years – up until 2010 the average volume of alcohol consumed by a self-defined ‘bi</w:t>
      </w:r>
      <w:r w:rsidR="00791088" w:rsidRPr="00FC6206">
        <w:t>nge drinker’ varied between 1347</w:t>
      </w:r>
      <w:r w:rsidR="006006B4" w:rsidRPr="00FC6206">
        <w:t xml:space="preserve"> and </w:t>
      </w:r>
      <w:r w:rsidR="00791088" w:rsidRPr="00FC6206">
        <w:t>1492</w:t>
      </w:r>
      <w:r w:rsidR="006006B4" w:rsidRPr="00FC6206">
        <w:t xml:space="preserve"> </w:t>
      </w:r>
      <w:r w:rsidR="006E4F59">
        <w:t>ASDs</w:t>
      </w:r>
      <w:r w:rsidR="006006B4" w:rsidRPr="00FC6206">
        <w:t xml:space="preserve"> per year, whi</w:t>
      </w:r>
      <w:r w:rsidR="00791088" w:rsidRPr="00FC6206">
        <w:t>le in 2013 it fell to 1218</w:t>
      </w:r>
      <w:r w:rsidR="006006B4" w:rsidRPr="00FC6206">
        <w:t xml:space="preserve">. This may reflect a general hardening of attitudes to drinking in Australia, with the threshold to self-define as a binge-drinker falling </w:t>
      </w:r>
      <w:r w:rsidR="00244BC8">
        <w:t>as heavy drinking becomes less acceptable</w:t>
      </w:r>
      <w:r w:rsidR="006006B4" w:rsidRPr="00FC6206">
        <w:t>. This is consistent with previous work in the US which found that the amount of drinking associated with ‘drunkenness’ fell as population level consumption declined</w:t>
      </w:r>
      <w:r w:rsidR="00600603">
        <w:t xml:space="preserve"> </w:t>
      </w:r>
      <w:r w:rsidR="00600603">
        <w:fldChar w:fldCharType="begin"/>
      </w:r>
      <w:r w:rsidR="00600603">
        <w:instrText xml:space="preserve"> ADDIN EN.CITE &lt;EndNote&gt;&lt;Cite&gt;&lt;Author&gt;Kerr&lt;/Author&gt;&lt;Year&gt;2006&lt;/Year&gt;&lt;RecNum&gt;340&lt;/RecNum&gt;&lt;DisplayText&gt;(Kerr, Greenfield, &amp;amp; Midanik, 2006)&lt;/DisplayText&gt;&lt;record&gt;&lt;rec-number&gt;340&lt;/rec-number&gt;&lt;foreign-keys&gt;&lt;key app="EN" db-id="rs9tpfev6ettzze20epxdx5od5x5sfv2vzf2" timestamp="1462769728"&gt;340&lt;/key&gt;&lt;/foreign-keys&gt;&lt;ref-type name="Journal Article"&gt;17&lt;/ref-type&gt;&lt;contributors&gt;&lt;authors&gt;&lt;author&gt;Kerr, W., &lt;/author&gt;&lt;author&gt;Greenfield, T. &lt;/author&gt;&lt;author&gt;Midanik, L. &lt;/author&gt;&lt;/authors&gt;&lt;/contributors&gt;&lt;titles&gt;&lt;title&gt;How many drinks does it take you to feel drunk? Trends and predictors for subjective drunkenness&lt;/title&gt;&lt;secondary-title&gt;Addiction&lt;/secondary-title&gt;&lt;/titles&gt;&lt;periodical&gt;&lt;full-title&gt;Addiction&lt;/full-title&gt;&lt;/periodical&gt;&lt;pages&gt;1428-1437&lt;/pages&gt;&lt;volume&gt;101&lt;/volume&gt;&lt;number&gt;1&lt;/number&gt;&lt;dates&gt;&lt;year&gt;2006&lt;/year&gt;&lt;/dates&gt;&lt;urls&gt;&lt;/urls&gt;&lt;/record&gt;&lt;/Cite&gt;&lt;/EndNote&gt;</w:instrText>
      </w:r>
      <w:r w:rsidR="00600603">
        <w:fldChar w:fldCharType="separate"/>
      </w:r>
      <w:r w:rsidR="00600603">
        <w:rPr>
          <w:noProof/>
        </w:rPr>
        <w:t>(Kerr, Greenfield, &amp; Midanik, 2006)</w:t>
      </w:r>
      <w:r w:rsidR="00600603">
        <w:fldChar w:fldCharType="end"/>
      </w:r>
      <w:r w:rsidR="006006B4" w:rsidRPr="00FC6206">
        <w:t xml:space="preserve">. </w:t>
      </w:r>
    </w:p>
    <w:p w14:paraId="6C77FCCA" w14:textId="4978228A" w:rsidR="006006B4" w:rsidRPr="00FC6206" w:rsidRDefault="000E4CE8" w:rsidP="005B342A">
      <w:pPr>
        <w:spacing w:line="360" w:lineRule="auto"/>
      </w:pPr>
      <w:r>
        <w:t>Overall,</w:t>
      </w:r>
      <w:r w:rsidR="00FD4643" w:rsidRPr="00FC6206">
        <w:t xml:space="preserve"> these results suggest that much of the increase in abstinence has come about via reductions in self-identified ‘social drinking’. This may provide some useful insight into previous research identifying a divergence between consumption and harm levels in one Australian jurisdiction </w:t>
      </w:r>
      <w:r w:rsidR="00600603">
        <w:fldChar w:fldCharType="begin"/>
      </w:r>
      <w:r w:rsidR="00600603">
        <w:instrText xml:space="preserve"> ADDIN EN.CITE &lt;EndNote&gt;&lt;Cite&gt;&lt;Author&gt;Livingston&lt;/Author&gt;&lt;Year&gt;2010&lt;/Year&gt;&lt;RecNum&gt;70&lt;/RecNum&gt;&lt;DisplayText&gt;(Livingston, Matthews, Barratt, Lloyd, &amp;amp; Room, 2010)&lt;/DisplayText&gt;&lt;record&gt;&lt;rec-number&gt;70&lt;/rec-number&gt;&lt;foreign-keys&gt;&lt;key app="EN" db-id="rs9tpfev6ettzze20epxdx5od5x5sfv2vzf2" timestamp="1393382163"&gt;70&lt;/key&gt;&lt;/foreign-keys&gt;&lt;ref-type name="Journal Article"&gt;17&lt;/ref-type&gt;&lt;contributors&gt;&lt;authors&gt;&lt;author&gt;Livingston, M.&lt;/author&gt;&lt;author&gt;Matthews, S.&lt;/author&gt;&lt;author&gt;Barratt, M.&lt;/author&gt;&lt;author&gt;Lloyd, B.&lt;/author&gt;&lt;author&gt;Room, R&lt;/author&gt;&lt;/authors&gt;&lt;/contributors&gt;&lt;titles&gt;&lt;title&gt;Diverging trends in alcohol  consumption and alcohol-related harm in Victoria&lt;/title&gt;&lt;secondary-title&gt;ANZJPH&lt;/secondary-title&gt;&lt;/titles&gt;&lt;periodical&gt;&lt;full-title&gt;ANZJPH&lt;/full-title&gt;&lt;/periodical&gt;&lt;pages&gt;368-373&lt;/pages&gt;&lt;volume&gt;34&lt;/volume&gt;&lt;number&gt;4&lt;/number&gt;&lt;dates&gt;&lt;year&gt;2010&lt;/year&gt;&lt;/dates&gt;&lt;label&gt;AER Centre&lt;/label&gt;&lt;work-type&gt;Original research&lt;/work-type&gt;&lt;urls&gt;&lt;/urls&gt;&lt;research-notes&gt;in press&lt;/research-notes&gt;&lt;/record&gt;&lt;/Cite&gt;&lt;/EndNote&gt;</w:instrText>
      </w:r>
      <w:r w:rsidR="00600603">
        <w:fldChar w:fldCharType="separate"/>
      </w:r>
      <w:r w:rsidR="00600603">
        <w:rPr>
          <w:noProof/>
        </w:rPr>
        <w:t>(Livingston, Matthews, Barratt, Lloyd, &amp; Room, 2010)</w:t>
      </w:r>
      <w:r w:rsidR="00600603">
        <w:fldChar w:fldCharType="end"/>
      </w:r>
      <w:r w:rsidR="00FD4643" w:rsidRPr="00FC6206">
        <w:t xml:space="preserve">. The self-identified social drinking group drinks at relatively low risk levels and </w:t>
      </w:r>
      <w:r w:rsidR="00044FD9">
        <w:t>are less likely to be in the top 5% of AUDIT</w:t>
      </w:r>
      <w:r w:rsidR="00FD4643" w:rsidRPr="00FC6206">
        <w:t xml:space="preserve"> scores than heavy and binge drinkers, so declines in social drinking may have little bearing on rates of alcohol-related harm.</w:t>
      </w:r>
    </w:p>
    <w:p w14:paraId="67FED322" w14:textId="59DB22F9" w:rsidR="004D03A2" w:rsidRPr="00FC6206" w:rsidRDefault="004D03A2" w:rsidP="005B342A">
      <w:pPr>
        <w:spacing w:line="360" w:lineRule="auto"/>
        <w:rPr>
          <w:b/>
        </w:rPr>
      </w:pPr>
      <w:r w:rsidRPr="00FC6206">
        <w:rPr>
          <w:b/>
        </w:rPr>
        <w:t>Limitations</w:t>
      </w:r>
    </w:p>
    <w:p w14:paraId="55C0A086" w14:textId="7211A947" w:rsidR="004D03A2" w:rsidRPr="00FC6206" w:rsidRDefault="004D03A2" w:rsidP="005B342A">
      <w:pPr>
        <w:spacing w:line="360" w:lineRule="auto"/>
      </w:pPr>
      <w:r w:rsidRPr="00FC6206">
        <w:t xml:space="preserve">As is common in Australian research, the response rate for these surveys was low.  </w:t>
      </w:r>
      <w:r w:rsidR="00F517F6">
        <w:t xml:space="preserve">As such, it is possible that the change found in this </w:t>
      </w:r>
      <w:r w:rsidR="00562163">
        <w:t xml:space="preserve">study </w:t>
      </w:r>
      <w:r w:rsidR="00F517F6">
        <w:t xml:space="preserve">is </w:t>
      </w:r>
      <w:r w:rsidR="00562163">
        <w:t xml:space="preserve">influenced by the type of individuals </w:t>
      </w:r>
      <w:r w:rsidR="00F517F6">
        <w:t xml:space="preserve">responding to the survey, as compared to a change in </w:t>
      </w:r>
      <w:r w:rsidR="00ED096B">
        <w:t>prevalence</w:t>
      </w:r>
      <w:r w:rsidR="00F517F6">
        <w:t xml:space="preserve"> of self-identified drinker status.  However, it is worth noting that the response rate has remained </w:t>
      </w:r>
      <w:proofErr w:type="gramStart"/>
      <w:r w:rsidR="00F517F6">
        <w:t>fairly steady</w:t>
      </w:r>
      <w:proofErr w:type="gramEnd"/>
      <w:r w:rsidR="00F517F6">
        <w:t xml:space="preserve"> over </w:t>
      </w:r>
      <w:r w:rsidR="00562163">
        <w:t xml:space="preserve">the </w:t>
      </w:r>
      <w:r w:rsidR="00F517F6">
        <w:t xml:space="preserve">twelve years covered in these five </w:t>
      </w:r>
      <w:r w:rsidR="00F517F6">
        <w:lastRenderedPageBreak/>
        <w:t>surveys</w:t>
      </w:r>
      <w:r w:rsidR="00562163">
        <w:t>,</w:t>
      </w:r>
      <w:r w:rsidR="00044FD9">
        <w:t xml:space="preserve"> and that trends in actual consumption appear to be reflected in the survey results </w:t>
      </w:r>
      <w:r w:rsidR="00044FD9" w:rsidRPr="00FC6206">
        <w:t>(Livingston &amp; Dietze, 2016).</w:t>
      </w:r>
      <w:r w:rsidR="00044FD9">
        <w:t xml:space="preserve">  </w:t>
      </w:r>
    </w:p>
    <w:p w14:paraId="22155701" w14:textId="6077E8A3" w:rsidR="004D03A2" w:rsidRPr="00FC6206" w:rsidRDefault="004D03A2" w:rsidP="005B342A">
      <w:pPr>
        <w:spacing w:line="360" w:lineRule="auto"/>
        <w:rPr>
          <w:b/>
        </w:rPr>
      </w:pPr>
      <w:r w:rsidRPr="00FC6206">
        <w:rPr>
          <w:b/>
        </w:rPr>
        <w:t>Conclusion</w:t>
      </w:r>
    </w:p>
    <w:p w14:paraId="095D9AF1" w14:textId="55309D10" w:rsidR="00984AA2" w:rsidRDefault="004D03A2" w:rsidP="00F517F6">
      <w:pPr>
        <w:spacing w:line="360" w:lineRule="auto"/>
        <w:rPr>
          <w:b/>
          <w:noProof/>
          <w:lang w:val="en-US"/>
        </w:rPr>
      </w:pPr>
      <w:r w:rsidRPr="00FC6206">
        <w:t>The increase in self-identified non-drinkers, particularly at the expense of social drinkers</w:t>
      </w:r>
      <w:r w:rsidR="00562163">
        <w:t>,</w:t>
      </w:r>
      <w:r w:rsidRPr="00FC6206">
        <w:t xml:space="preserve"> may signify the start of a shift in the Australian drinking culture where those who felt pressure in the past to drink, a</w:t>
      </w:r>
      <w:r w:rsidR="00DA5DFE" w:rsidRPr="00FC6206">
        <w:t xml:space="preserve">t least in social settings, no </w:t>
      </w:r>
      <w:r w:rsidRPr="00FC6206">
        <w:t>longer f</w:t>
      </w:r>
      <w:r w:rsidR="00DA5DFE" w:rsidRPr="00FC6206">
        <w:t>el</w:t>
      </w:r>
      <w:r w:rsidR="0065713C">
        <w:t>t</w:t>
      </w:r>
      <w:r w:rsidR="00DA5DFE" w:rsidRPr="00FC6206">
        <w:t xml:space="preserve"> like they need</w:t>
      </w:r>
      <w:r w:rsidR="0065713C">
        <w:t>ed</w:t>
      </w:r>
      <w:r w:rsidR="00DA5DFE" w:rsidRPr="00FC6206">
        <w:t xml:space="preserve"> to do so.  However, if the recent reduction in consumption is not </w:t>
      </w:r>
      <w:r w:rsidR="0065713C">
        <w:t xml:space="preserve">among groups of drinkers with </w:t>
      </w:r>
      <w:r w:rsidR="00DA5DFE" w:rsidRPr="00FC6206">
        <w:t xml:space="preserve">more harmful patterns of consumption, then there is no reason to expect that the harms from alcohol will decrease in line with consumption.  Policy changes that have a larger impact on heavier drinkers, for instance those focussed on price where the impact would be felt per drink, rather than per person, may be beneficial in reducing the harms from consumption </w:t>
      </w:r>
      <w:r w:rsidR="0065713C">
        <w:t xml:space="preserve">among </w:t>
      </w:r>
      <w:r w:rsidR="00DA5DFE" w:rsidRPr="00FC6206">
        <w:t xml:space="preserve">those drinkers that experience the most harm, </w:t>
      </w:r>
      <w:r w:rsidR="0065713C">
        <w:t xml:space="preserve">that is, </w:t>
      </w:r>
      <w:r w:rsidR="00DA5DFE" w:rsidRPr="00FC6206">
        <w:t xml:space="preserve">those that identify as heavy or binge drinkers.   </w:t>
      </w:r>
      <w:r w:rsidR="00984AA2">
        <w:rPr>
          <w:b/>
          <w:noProof/>
          <w:lang w:val="en-US"/>
        </w:rPr>
        <w:br w:type="page"/>
      </w:r>
    </w:p>
    <w:p w14:paraId="56C8C850" w14:textId="4642BD1B" w:rsidR="00852118" w:rsidRDefault="00B13FA5">
      <w:pPr>
        <w:rPr>
          <w:b/>
          <w:noProof/>
          <w:lang w:val="en-US"/>
        </w:rPr>
      </w:pPr>
      <w:r>
        <w:rPr>
          <w:b/>
          <w:noProof/>
          <w:lang w:val="en-US"/>
        </w:rPr>
        <w:lastRenderedPageBreak/>
        <w:t>Acknowledgement</w:t>
      </w:r>
      <w:r w:rsidR="00984AA2">
        <w:rPr>
          <w:b/>
          <w:noProof/>
          <w:lang w:val="en-US"/>
        </w:rPr>
        <w:t>s</w:t>
      </w:r>
    </w:p>
    <w:p w14:paraId="2F2A36B1"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 xml:space="preserve">ML is supported by an NHMRC Early Career </w:t>
      </w:r>
    </w:p>
    <w:p w14:paraId="0180EEDC"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Fellowship (APP1053029)</w:t>
      </w:r>
    </w:p>
    <w:p w14:paraId="561784E6"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 xml:space="preserve">ML is supported by an NHMRC Early Career </w:t>
      </w:r>
    </w:p>
    <w:p w14:paraId="5F52495D"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Fellowship (APP1053029)</w:t>
      </w:r>
    </w:p>
    <w:p w14:paraId="71119848"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 xml:space="preserve">ML is supported by an NHMRC Early Career </w:t>
      </w:r>
    </w:p>
    <w:p w14:paraId="4B0BE67C"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Fellowship (APP1053029)</w:t>
      </w:r>
    </w:p>
    <w:p w14:paraId="4F22F1EC"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 xml:space="preserve">ML is supported by an NHMRC Early Career </w:t>
      </w:r>
    </w:p>
    <w:p w14:paraId="0AA7DC67" w14:textId="77777777" w:rsidR="00B13FA5" w:rsidRPr="00B13FA5" w:rsidRDefault="00B13FA5" w:rsidP="00B13FA5">
      <w:pPr>
        <w:shd w:val="clear" w:color="auto" w:fill="FFFFFF"/>
        <w:spacing w:after="0" w:line="0" w:lineRule="auto"/>
        <w:rPr>
          <w:rFonts w:ascii="ff2" w:eastAsia="Times New Roman" w:hAnsi="ff2" w:cs="Times New Roman"/>
          <w:color w:val="231F20"/>
          <w:spacing w:val="-10"/>
          <w:sz w:val="102"/>
          <w:szCs w:val="102"/>
          <w:lang w:eastAsia="en-AU"/>
        </w:rPr>
      </w:pPr>
      <w:r w:rsidRPr="00B13FA5">
        <w:rPr>
          <w:rFonts w:ascii="ff2" w:eastAsia="Times New Roman" w:hAnsi="ff2" w:cs="Times New Roman"/>
          <w:color w:val="231F20"/>
          <w:spacing w:val="-10"/>
          <w:sz w:val="102"/>
          <w:szCs w:val="102"/>
          <w:lang w:eastAsia="en-AU"/>
        </w:rPr>
        <w:t>Fellowship (APP1053029)</w:t>
      </w:r>
    </w:p>
    <w:p w14:paraId="0A4F471C" w14:textId="33D2AF9D" w:rsidR="00B13FA5" w:rsidRPr="00B13FA5" w:rsidRDefault="00B13FA5" w:rsidP="00B25872">
      <w:pPr>
        <w:spacing w:line="360" w:lineRule="auto"/>
      </w:pPr>
      <w:r>
        <w:t xml:space="preserve">The National Drug Strategy Household Survey data were supplied by the Australian Institute of Health and Welfare via the Australian Data Archive.  </w:t>
      </w:r>
      <w:r>
        <w:rPr>
          <w:rFonts w:cs="Arial"/>
          <w:color w:val="000000"/>
          <w:shd w:val="clear" w:color="auto" w:fill="FFFFFF"/>
        </w:rPr>
        <w:t xml:space="preserve">SC’s time on this project was funded by the Foundation for Alcohol Research and Education, </w:t>
      </w:r>
      <w:r>
        <w:t>an independent, charitable organization working to prevent the harmful use of alcohol in Australia (</w:t>
      </w:r>
      <w:hyperlink r:id="rId11" w:history="1">
        <w:r w:rsidRPr="00016CC4">
          <w:rPr>
            <w:rStyle w:val="Hyperlink"/>
          </w:rPr>
          <w:t>www.fare.org.au</w:t>
        </w:r>
      </w:hyperlink>
      <w:r>
        <w:t xml:space="preserve">). </w:t>
      </w:r>
      <w:r>
        <w:rPr>
          <w:rFonts w:cs="Arial"/>
          <w:color w:val="000000"/>
          <w:shd w:val="clear" w:color="auto" w:fill="FFFFFF"/>
        </w:rPr>
        <w:t>AP</w:t>
      </w:r>
      <w:r w:rsidRPr="00B13FA5">
        <w:rPr>
          <w:rFonts w:cs="Arial"/>
          <w:color w:val="000000"/>
          <w:shd w:val="clear" w:color="auto" w:fill="FFFFFF"/>
        </w:rPr>
        <w:t xml:space="preserve"> (APP1069907) and </w:t>
      </w:r>
      <w:r>
        <w:rPr>
          <w:rFonts w:cs="Arial"/>
          <w:color w:val="000000"/>
          <w:shd w:val="clear" w:color="auto" w:fill="FFFFFF"/>
        </w:rPr>
        <w:t>ML</w:t>
      </w:r>
      <w:r w:rsidRPr="00B13FA5">
        <w:rPr>
          <w:rFonts w:cs="Arial"/>
          <w:color w:val="000000"/>
          <w:shd w:val="clear" w:color="auto" w:fill="FFFFFF"/>
        </w:rPr>
        <w:t xml:space="preserve"> (APP1053029) are supported by NHMRC early career fellowships</w:t>
      </w:r>
      <w:r w:rsidR="00B25872">
        <w:rPr>
          <w:rFonts w:cs="Arial"/>
          <w:color w:val="000000"/>
          <w:shd w:val="clear" w:color="auto" w:fill="FFFFFF"/>
        </w:rPr>
        <w:t>.  The authors would like to thank Jennie Connor for her comments on an earlier version of the paper, which greatly improved this work.</w:t>
      </w:r>
    </w:p>
    <w:p w14:paraId="6FB978AE" w14:textId="77777777" w:rsidR="00852118" w:rsidRPr="00FC6206" w:rsidRDefault="00852118" w:rsidP="00DF20C8">
      <w:pPr>
        <w:pStyle w:val="EndNoteBibliography"/>
        <w:spacing w:after="0"/>
        <w:ind w:left="720" w:hanging="720"/>
        <w:rPr>
          <w:rFonts w:asciiTheme="minorHAnsi" w:hAnsiTheme="minorHAnsi"/>
          <w:b/>
        </w:rPr>
      </w:pPr>
      <w:r w:rsidRPr="00FC6206">
        <w:rPr>
          <w:rFonts w:asciiTheme="minorHAnsi" w:hAnsiTheme="minorHAnsi"/>
          <w:b/>
        </w:rPr>
        <w:t>References</w:t>
      </w:r>
    </w:p>
    <w:p w14:paraId="75653BEB" w14:textId="77777777" w:rsidR="00DD303E" w:rsidRPr="00DD303E" w:rsidRDefault="002B780C" w:rsidP="00DD303E">
      <w:pPr>
        <w:pStyle w:val="EndNoteBibliography"/>
        <w:spacing w:after="0"/>
        <w:ind w:left="720" w:hanging="720"/>
      </w:pPr>
      <w:r w:rsidRPr="00FC6206">
        <w:rPr>
          <w:rFonts w:asciiTheme="minorHAnsi" w:hAnsiTheme="minorHAnsi"/>
        </w:rPr>
        <w:fldChar w:fldCharType="begin"/>
      </w:r>
      <w:r w:rsidRPr="00FC6206">
        <w:rPr>
          <w:rFonts w:asciiTheme="minorHAnsi" w:hAnsiTheme="minorHAnsi"/>
        </w:rPr>
        <w:instrText xml:space="preserve"> ADDIN EN.REFLIST </w:instrText>
      </w:r>
      <w:r w:rsidRPr="00FC6206">
        <w:rPr>
          <w:rFonts w:asciiTheme="minorHAnsi" w:hAnsiTheme="minorHAnsi"/>
        </w:rPr>
        <w:fldChar w:fldCharType="separate"/>
      </w:r>
      <w:r w:rsidR="00DD303E" w:rsidRPr="00DD303E">
        <w:t xml:space="preserve">Abel, E. L., &amp; Kruger, M. L. (1995). Hon v. Stroh Brewery Company: What Do We Mean by “Moderate” and “Heavy” Drinking? </w:t>
      </w:r>
      <w:r w:rsidR="00DD303E" w:rsidRPr="00DD303E">
        <w:rPr>
          <w:i/>
        </w:rPr>
        <w:t>Alcoholism: Clinical and Experimental Research, 19</w:t>
      </w:r>
      <w:r w:rsidR="00DD303E" w:rsidRPr="00DD303E">
        <w:t xml:space="preserve">(4), 1024-1031. </w:t>
      </w:r>
    </w:p>
    <w:p w14:paraId="4EB678F5" w14:textId="77777777" w:rsidR="00DD303E" w:rsidRPr="00DD303E" w:rsidRDefault="00DD303E" w:rsidP="00DD303E">
      <w:pPr>
        <w:pStyle w:val="EndNoteBibliography"/>
        <w:spacing w:after="0"/>
        <w:ind w:left="720" w:hanging="720"/>
      </w:pPr>
      <w:r w:rsidRPr="00DD303E">
        <w:t>Australian Bureau of Statistics. (2015). Apparent Consumption of Alcohol, Australia, 2013-14. Canberra: Australian Bureau of Statistics.</w:t>
      </w:r>
    </w:p>
    <w:p w14:paraId="61820E20" w14:textId="77777777" w:rsidR="00DD303E" w:rsidRPr="00DD303E" w:rsidRDefault="00DD303E" w:rsidP="00DD303E">
      <w:pPr>
        <w:pStyle w:val="EndNoteBibliography"/>
        <w:spacing w:after="0"/>
        <w:ind w:left="720" w:hanging="720"/>
      </w:pPr>
      <w:r w:rsidRPr="00DD303E">
        <w:t>Australian Institute of Health and Welfare. (2002). National drug strategy household survey 2001 - State and territory supplement. Cat. no. PHE 61. Canberra: AIHW.</w:t>
      </w:r>
    </w:p>
    <w:p w14:paraId="14508A51" w14:textId="77777777" w:rsidR="00DD303E" w:rsidRPr="00DD303E" w:rsidRDefault="00DD303E" w:rsidP="00DD303E">
      <w:pPr>
        <w:pStyle w:val="EndNoteBibliography"/>
        <w:spacing w:after="0"/>
        <w:ind w:left="720" w:hanging="720"/>
      </w:pPr>
      <w:r w:rsidRPr="00DD303E">
        <w:t>Australian Institute of Health and Welfare. (2005). National drug strategy household survey 2004 - Detailed findings. Drug statistics series no. 22. Cat. no. PHE 107. Canberra: AIHW.</w:t>
      </w:r>
    </w:p>
    <w:p w14:paraId="3A4C5A46" w14:textId="77777777" w:rsidR="00DD303E" w:rsidRPr="00DD303E" w:rsidRDefault="00DD303E" w:rsidP="00DD303E">
      <w:pPr>
        <w:pStyle w:val="EndNoteBibliography"/>
        <w:spacing w:after="0"/>
        <w:ind w:left="720" w:hanging="720"/>
      </w:pPr>
      <w:r w:rsidRPr="00DD303E">
        <w:t>Australian Institute of Health and Welfare. (2008). 2007 National Drug Strategy Household Survey: detailed findings. Drug statistics series no. 22. Cat. no. PHE 107. Canberra: AIHW.</w:t>
      </w:r>
    </w:p>
    <w:p w14:paraId="31AA3E38" w14:textId="77777777" w:rsidR="00DD303E" w:rsidRPr="00DD303E" w:rsidRDefault="00DD303E" w:rsidP="00DD303E">
      <w:pPr>
        <w:pStyle w:val="EndNoteBibliography"/>
        <w:spacing w:after="0"/>
        <w:ind w:left="720" w:hanging="720"/>
      </w:pPr>
      <w:r w:rsidRPr="00DD303E">
        <w:t xml:space="preserve">Australian Institute of Health and Welfare. (2011). 2010 National drug strategy household survey </w:t>
      </w:r>
      <w:r w:rsidRPr="00DD303E">
        <w:rPr>
          <w:i/>
        </w:rPr>
        <w:t>Drug Statistic Series</w:t>
      </w:r>
      <w:r w:rsidRPr="00DD303E">
        <w:t xml:space="preserve">. Canberra: AIHW </w:t>
      </w:r>
    </w:p>
    <w:p w14:paraId="372515BD" w14:textId="77777777" w:rsidR="00DD303E" w:rsidRPr="00DD303E" w:rsidRDefault="00DD303E" w:rsidP="00DD303E">
      <w:pPr>
        <w:pStyle w:val="EndNoteBibliography"/>
        <w:spacing w:after="0"/>
        <w:ind w:left="720" w:hanging="720"/>
      </w:pPr>
      <w:r w:rsidRPr="00DD303E">
        <w:t>Australian Institute of Health and Welfare. (2014a). National Drug Strategy Household Survey 2013 - Supplementary Tables. Canberra: AIHW.</w:t>
      </w:r>
    </w:p>
    <w:p w14:paraId="33A8390A" w14:textId="77777777" w:rsidR="00DD303E" w:rsidRPr="00DD303E" w:rsidRDefault="00DD303E" w:rsidP="00DD303E">
      <w:pPr>
        <w:pStyle w:val="EndNoteBibliography"/>
        <w:spacing w:after="0"/>
        <w:ind w:left="720" w:hanging="720"/>
      </w:pPr>
      <w:r w:rsidRPr="00DD303E">
        <w:t>Australian Institute of Health and Welfare. (2014b). National Drug Strategy Household Survey detailed report 2013. Drug statistic series no. 28. Cat. no. PHE 183. Canberra: AIHW.</w:t>
      </w:r>
    </w:p>
    <w:p w14:paraId="57DA9375" w14:textId="77777777" w:rsidR="00DD303E" w:rsidRPr="00DD303E" w:rsidRDefault="00DD303E" w:rsidP="00DD303E">
      <w:pPr>
        <w:pStyle w:val="EndNoteBibliography"/>
        <w:spacing w:after="0"/>
        <w:ind w:left="720" w:hanging="720"/>
      </w:pPr>
      <w:r w:rsidRPr="00DD303E">
        <w:t xml:space="preserve">Babor, T., Higgins-Biddle, J., Saunders, J., &amp; Monteiro, M. (2001). </w:t>
      </w:r>
      <w:r w:rsidRPr="00DD303E">
        <w:rPr>
          <w:i/>
        </w:rPr>
        <w:t>The Alcohol Use Disorders Identification Test: Guidelines for Use in Primary Care</w:t>
      </w:r>
      <w:r w:rsidRPr="00DD303E">
        <w:t xml:space="preserve"> (2 ed.). Geneva: World Health Organization.</w:t>
      </w:r>
    </w:p>
    <w:p w14:paraId="6383DE70" w14:textId="77777777" w:rsidR="00DD303E" w:rsidRPr="00DD303E" w:rsidRDefault="00DD303E" w:rsidP="00DD303E">
      <w:pPr>
        <w:pStyle w:val="EndNoteBibliography"/>
        <w:spacing w:after="0"/>
        <w:ind w:left="720" w:hanging="720"/>
      </w:pPr>
      <w:r w:rsidRPr="00DD303E">
        <w:t xml:space="preserve">Daeppen, J. B., Smith, T. L., &amp; Schuckit, M. A. (1999). How would you label your own drinking pattern overall? An evaluation of answers provided by 181 high funcgtioning middle-aged men. </w:t>
      </w:r>
      <w:r w:rsidRPr="00DD303E">
        <w:rPr>
          <w:i/>
        </w:rPr>
        <w:t>Alcohol and Alcoholism, 34</w:t>
      </w:r>
      <w:r w:rsidRPr="00DD303E">
        <w:t xml:space="preserve">(5), 767-772. </w:t>
      </w:r>
    </w:p>
    <w:p w14:paraId="00BCC812" w14:textId="77777777" w:rsidR="00DD303E" w:rsidRPr="00DD303E" w:rsidRDefault="00DD303E" w:rsidP="00DD303E">
      <w:pPr>
        <w:pStyle w:val="EndNoteBibliography"/>
        <w:spacing w:after="0"/>
        <w:ind w:left="720" w:hanging="720"/>
      </w:pPr>
      <w:r w:rsidRPr="00DD303E">
        <w:t xml:space="preserve">Kerr, W., Greenfield, T., &amp; Midanik, L. (2006). How many drinks does it take you to feel drunk? Trends and predictors for subjective drunkenness. </w:t>
      </w:r>
      <w:r w:rsidRPr="00DD303E">
        <w:rPr>
          <w:i/>
        </w:rPr>
        <w:t>Addiction, 101</w:t>
      </w:r>
      <w:r w:rsidRPr="00DD303E">
        <w:t xml:space="preserve">(1), 1428-1437. </w:t>
      </w:r>
    </w:p>
    <w:p w14:paraId="64B040DE" w14:textId="77777777" w:rsidR="00DD303E" w:rsidRPr="00DD303E" w:rsidRDefault="00DD303E" w:rsidP="00DD303E">
      <w:pPr>
        <w:pStyle w:val="EndNoteBibliography"/>
        <w:spacing w:after="0"/>
        <w:ind w:left="720" w:hanging="720"/>
      </w:pPr>
      <w:r w:rsidRPr="00DD303E">
        <w:t xml:space="preserve">Livingston, M. (2014). Trends in non-drinking among Australian adolescents. </w:t>
      </w:r>
      <w:r w:rsidRPr="00DD303E">
        <w:rPr>
          <w:i/>
        </w:rPr>
        <w:t>Addiction, 109</w:t>
      </w:r>
      <w:r w:rsidRPr="00DD303E">
        <w:t xml:space="preserve">(6), 922-929. </w:t>
      </w:r>
    </w:p>
    <w:p w14:paraId="436E53F9" w14:textId="77777777" w:rsidR="00DD303E" w:rsidRPr="00DD303E" w:rsidRDefault="00DD303E" w:rsidP="00DD303E">
      <w:pPr>
        <w:pStyle w:val="EndNoteBibliography"/>
        <w:spacing w:after="0"/>
        <w:ind w:left="720" w:hanging="720"/>
      </w:pPr>
      <w:r w:rsidRPr="00DD303E">
        <w:t xml:space="preserve">Livingston, M., &amp; Dietze, P. (2016). National survey data can be used to measure trends in population alcohol consumption in Australia. </w:t>
      </w:r>
      <w:r w:rsidRPr="00DD303E">
        <w:rPr>
          <w:i/>
        </w:rPr>
        <w:t>Australian and New Zealand Journal of Public Health, in press. doi: 10.1111/1753-6405.12511</w:t>
      </w:r>
      <w:r w:rsidRPr="00DD303E">
        <w:t xml:space="preserve">. </w:t>
      </w:r>
    </w:p>
    <w:p w14:paraId="1B65E645" w14:textId="77777777" w:rsidR="00DD303E" w:rsidRPr="00DD303E" w:rsidRDefault="00DD303E" w:rsidP="00DD303E">
      <w:pPr>
        <w:pStyle w:val="EndNoteBibliography"/>
        <w:spacing w:after="0"/>
        <w:ind w:left="720" w:hanging="720"/>
      </w:pPr>
      <w:r w:rsidRPr="00DD303E">
        <w:t xml:space="preserve">Livingston, M., Laslett, A.-M., &amp; Dietze, P. (2008). Individual and community correlates of young people's high-risk drinking in Victoria, Australia. </w:t>
      </w:r>
      <w:r w:rsidRPr="00DD303E">
        <w:rPr>
          <w:i/>
        </w:rPr>
        <w:t>Drug and Alcohol Dependence, 98</w:t>
      </w:r>
      <w:r w:rsidRPr="00DD303E">
        <w:t xml:space="preserve">, 241-248. </w:t>
      </w:r>
    </w:p>
    <w:p w14:paraId="41B6DF8F" w14:textId="77777777" w:rsidR="00DD303E" w:rsidRPr="00DD303E" w:rsidRDefault="00DD303E" w:rsidP="00DD303E">
      <w:pPr>
        <w:pStyle w:val="EndNoteBibliography"/>
        <w:spacing w:after="0"/>
        <w:ind w:left="720" w:hanging="720"/>
      </w:pPr>
      <w:r w:rsidRPr="00DD303E">
        <w:t xml:space="preserve">Livingston, M., Matthews, S., Barratt, M., Lloyd, B., &amp; Room, R. (2010). Diverging trends in alcohol  consumption and alcohol-related harm in Victoria. </w:t>
      </w:r>
      <w:r w:rsidRPr="00DD303E">
        <w:rPr>
          <w:i/>
        </w:rPr>
        <w:t>ANZJPH, 34</w:t>
      </w:r>
      <w:r w:rsidRPr="00DD303E">
        <w:t xml:space="preserve">(4), 368-373. </w:t>
      </w:r>
    </w:p>
    <w:p w14:paraId="075B9056" w14:textId="77777777" w:rsidR="00DD303E" w:rsidRPr="00DD303E" w:rsidRDefault="00DD303E" w:rsidP="00DD303E">
      <w:pPr>
        <w:pStyle w:val="EndNoteBibliography"/>
        <w:spacing w:after="0"/>
        <w:ind w:left="720" w:hanging="720"/>
      </w:pPr>
      <w:r w:rsidRPr="00DD303E">
        <w:t>National Health and Medical Research Council. (2009). Australian Guidelines to Reduce Health Risk from Drinking Alcohol.</w:t>
      </w:r>
    </w:p>
    <w:p w14:paraId="6B6C3531" w14:textId="77777777" w:rsidR="00DD303E" w:rsidRPr="00DD303E" w:rsidRDefault="00DD303E" w:rsidP="00DD303E">
      <w:pPr>
        <w:pStyle w:val="EndNoteBibliography"/>
        <w:spacing w:after="0"/>
        <w:ind w:left="720" w:hanging="720"/>
      </w:pPr>
      <w:r w:rsidRPr="00DD303E">
        <w:t xml:space="preserve">Pennay, A., Livingston, M., &amp; MacLean, S. (2015). Young people are drinking less: It is time to find out why. </w:t>
      </w:r>
      <w:r w:rsidRPr="00DD303E">
        <w:rPr>
          <w:i/>
        </w:rPr>
        <w:t>Drug and Alcohol Review, 34</w:t>
      </w:r>
      <w:r w:rsidRPr="00DD303E">
        <w:t xml:space="preserve">(2), 115–118. </w:t>
      </w:r>
    </w:p>
    <w:p w14:paraId="4711CF8F" w14:textId="77777777" w:rsidR="00DD303E" w:rsidRPr="00DD303E" w:rsidRDefault="00DD303E" w:rsidP="00DD303E">
      <w:pPr>
        <w:pStyle w:val="EndNoteBibliography"/>
        <w:spacing w:after="0"/>
        <w:ind w:left="720" w:hanging="720"/>
      </w:pPr>
      <w:r w:rsidRPr="00DD303E">
        <w:lastRenderedPageBreak/>
        <w:t xml:space="preserve">Savic, M., Room, R., Mugavin, J., Pennay, A., &amp; Livingston, M. (2016). Defining “drinking culture”: a critical review of its meaning and connotation in social research on alcohol problems. </w:t>
      </w:r>
      <w:r w:rsidRPr="00DD303E">
        <w:rPr>
          <w:i/>
        </w:rPr>
        <w:t>Drugs: education, prevention and policy, in press</w:t>
      </w:r>
      <w:r w:rsidRPr="00DD303E">
        <w:t xml:space="preserve">. </w:t>
      </w:r>
    </w:p>
    <w:p w14:paraId="7164A423" w14:textId="77777777" w:rsidR="00DD303E" w:rsidRPr="00DD303E" w:rsidRDefault="00DD303E" w:rsidP="00DD303E">
      <w:pPr>
        <w:pStyle w:val="EndNoteBibliography"/>
        <w:spacing w:after="0"/>
        <w:ind w:left="720" w:hanging="720"/>
      </w:pPr>
      <w:r w:rsidRPr="00DD303E">
        <w:t xml:space="preserve">StataCorp. (2015). Stata/MP 14.0 for Windows. College Station TX 77845: StataCorp LP. </w:t>
      </w:r>
    </w:p>
    <w:p w14:paraId="6DD6AB80" w14:textId="77777777" w:rsidR="00DD303E" w:rsidRPr="00DD303E" w:rsidRDefault="00DD303E" w:rsidP="00DD303E">
      <w:pPr>
        <w:pStyle w:val="EndNoteBibliography"/>
        <w:ind w:left="720" w:hanging="720"/>
      </w:pPr>
      <w:r w:rsidRPr="00DD303E">
        <w:t xml:space="preserve">Wyn, J. (2009). Young people's wellbeing: Contradictions in managing the healthy self. </w:t>
      </w:r>
      <w:r w:rsidRPr="00DD303E">
        <w:rPr>
          <w:i/>
        </w:rPr>
        <w:t>ACHPER Healthy Lifestyles Journal, 56</w:t>
      </w:r>
      <w:r w:rsidRPr="00DD303E">
        <w:t xml:space="preserve">(1), 5-9. </w:t>
      </w:r>
    </w:p>
    <w:p w14:paraId="19827776" w14:textId="027E6F65" w:rsidR="009C6DE6" w:rsidRPr="00FC6206" w:rsidRDefault="002B780C" w:rsidP="00852118">
      <w:r w:rsidRPr="00FC6206">
        <w:fldChar w:fldCharType="end"/>
      </w:r>
    </w:p>
    <w:sectPr w:rsidR="009C6DE6" w:rsidRPr="00FC620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53B3F" w14:textId="77777777" w:rsidR="007E5157" w:rsidRDefault="007E5157" w:rsidP="006F2F5A">
      <w:pPr>
        <w:spacing w:after="0" w:line="240" w:lineRule="auto"/>
      </w:pPr>
      <w:r>
        <w:separator/>
      </w:r>
    </w:p>
  </w:endnote>
  <w:endnote w:type="continuationSeparator" w:id="0">
    <w:p w14:paraId="6A5C0556" w14:textId="77777777" w:rsidR="007E5157" w:rsidRDefault="007E5157" w:rsidP="006F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ff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BCA2F" w14:textId="77777777" w:rsidR="00050876" w:rsidRDefault="00050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363298"/>
      <w:docPartObj>
        <w:docPartGallery w:val="Page Numbers (Bottom of Page)"/>
        <w:docPartUnique/>
      </w:docPartObj>
    </w:sdtPr>
    <w:sdtEndPr>
      <w:rPr>
        <w:noProof/>
      </w:rPr>
    </w:sdtEndPr>
    <w:sdtContent>
      <w:p w14:paraId="6A22554F" w14:textId="36AFC424" w:rsidR="005B302F" w:rsidRDefault="005B302F">
        <w:pPr>
          <w:pStyle w:val="Footer"/>
          <w:jc w:val="center"/>
        </w:pPr>
        <w:r>
          <w:fldChar w:fldCharType="begin"/>
        </w:r>
        <w:r>
          <w:instrText xml:space="preserve"> PAGE   \* MERGEFORMAT </w:instrText>
        </w:r>
        <w:r>
          <w:fldChar w:fldCharType="separate"/>
        </w:r>
        <w:r w:rsidR="00D633EA">
          <w:rPr>
            <w:noProof/>
          </w:rPr>
          <w:t>13</w:t>
        </w:r>
        <w:r>
          <w:rPr>
            <w:noProof/>
          </w:rPr>
          <w:fldChar w:fldCharType="end"/>
        </w:r>
      </w:p>
    </w:sdtContent>
  </w:sdt>
  <w:p w14:paraId="68C7AA39" w14:textId="77777777" w:rsidR="005B302F" w:rsidRDefault="005B30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78677" w14:textId="77777777" w:rsidR="00050876" w:rsidRDefault="00050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AD13E" w14:textId="77777777" w:rsidR="007E5157" w:rsidRDefault="007E5157" w:rsidP="006F2F5A">
      <w:pPr>
        <w:spacing w:after="0" w:line="240" w:lineRule="auto"/>
      </w:pPr>
      <w:r>
        <w:separator/>
      </w:r>
    </w:p>
  </w:footnote>
  <w:footnote w:type="continuationSeparator" w:id="0">
    <w:p w14:paraId="14C783BA" w14:textId="77777777" w:rsidR="007E5157" w:rsidRDefault="007E5157" w:rsidP="006F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528B" w14:textId="5249FF5E" w:rsidR="00050876" w:rsidRDefault="00050876">
    <w:pPr>
      <w:pStyle w:val="Header"/>
    </w:pPr>
    <w:r>
      <w:rPr>
        <w:noProof/>
      </w:rPr>
      <w:pict w14:anchorId="78619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8797" o:spid="_x0000_s2050" type="#_x0000_t136" style="position:absolute;margin-left:0;margin-top:0;width:516.9pt;height:119.25pt;rotation:315;z-index:-251655168;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7561" w14:textId="59840FDC" w:rsidR="00050876" w:rsidRDefault="00050876">
    <w:pPr>
      <w:pStyle w:val="Header"/>
    </w:pPr>
    <w:r>
      <w:rPr>
        <w:noProof/>
      </w:rPr>
      <w:pict w14:anchorId="6895E5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8798" o:spid="_x0000_s2051" type="#_x0000_t136" style="position:absolute;margin-left:0;margin-top:0;width:516.9pt;height:119.25pt;rotation:315;z-index:-251653120;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1598" w14:textId="7AC2E1BC" w:rsidR="00050876" w:rsidRDefault="00050876">
    <w:pPr>
      <w:pStyle w:val="Header"/>
    </w:pPr>
    <w:r>
      <w:rPr>
        <w:noProof/>
      </w:rPr>
      <w:pict w14:anchorId="1DEBD1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8796" o:spid="_x0000_s2049" type="#_x0000_t136" style="position:absolute;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Accepted Artic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FEE"/>
    <w:multiLevelType w:val="hybridMultilevel"/>
    <w:tmpl w:val="3618AF3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83B5EC6"/>
    <w:multiLevelType w:val="hybridMultilevel"/>
    <w:tmpl w:val="5DA27F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E3D7592"/>
    <w:multiLevelType w:val="hybridMultilevel"/>
    <w:tmpl w:val="824AE60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5AB7C34"/>
    <w:multiLevelType w:val="hybridMultilevel"/>
    <w:tmpl w:val="27BCD43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E3FE3"/>
    <w:rsid w:val="000358A3"/>
    <w:rsid w:val="0004454C"/>
    <w:rsid w:val="00044FD9"/>
    <w:rsid w:val="00050876"/>
    <w:rsid w:val="00054E49"/>
    <w:rsid w:val="000848C0"/>
    <w:rsid w:val="000A078C"/>
    <w:rsid w:val="000A7E19"/>
    <w:rsid w:val="000B7C9F"/>
    <w:rsid w:val="000C73F5"/>
    <w:rsid w:val="000E3B42"/>
    <w:rsid w:val="000E4CE8"/>
    <w:rsid w:val="00100C84"/>
    <w:rsid w:val="00127DA4"/>
    <w:rsid w:val="00134994"/>
    <w:rsid w:val="001452A5"/>
    <w:rsid w:val="00153360"/>
    <w:rsid w:val="0017292E"/>
    <w:rsid w:val="00182605"/>
    <w:rsid w:val="00182852"/>
    <w:rsid w:val="00191F30"/>
    <w:rsid w:val="001E2B38"/>
    <w:rsid w:val="00200057"/>
    <w:rsid w:val="002049CF"/>
    <w:rsid w:val="00205DA6"/>
    <w:rsid w:val="00244BC8"/>
    <w:rsid w:val="00274163"/>
    <w:rsid w:val="00295D91"/>
    <w:rsid w:val="002B780C"/>
    <w:rsid w:val="002C43D8"/>
    <w:rsid w:val="00303C67"/>
    <w:rsid w:val="0030667D"/>
    <w:rsid w:val="003375FF"/>
    <w:rsid w:val="003716EA"/>
    <w:rsid w:val="003B38C9"/>
    <w:rsid w:val="003B511F"/>
    <w:rsid w:val="003D21E5"/>
    <w:rsid w:val="003F45F0"/>
    <w:rsid w:val="00407D76"/>
    <w:rsid w:val="0041685B"/>
    <w:rsid w:val="00465D16"/>
    <w:rsid w:val="00473419"/>
    <w:rsid w:val="00483D6D"/>
    <w:rsid w:val="004C4875"/>
    <w:rsid w:val="004D03A2"/>
    <w:rsid w:val="004F25AD"/>
    <w:rsid w:val="004F6669"/>
    <w:rsid w:val="00500D2B"/>
    <w:rsid w:val="00534FEE"/>
    <w:rsid w:val="00543553"/>
    <w:rsid w:val="005575D7"/>
    <w:rsid w:val="0056114C"/>
    <w:rsid w:val="00562163"/>
    <w:rsid w:val="00590FCF"/>
    <w:rsid w:val="005B2F88"/>
    <w:rsid w:val="005B302F"/>
    <w:rsid w:val="005B342A"/>
    <w:rsid w:val="005B559C"/>
    <w:rsid w:val="005D0122"/>
    <w:rsid w:val="005E138C"/>
    <w:rsid w:val="005E606B"/>
    <w:rsid w:val="00600603"/>
    <w:rsid w:val="006006B4"/>
    <w:rsid w:val="00615B72"/>
    <w:rsid w:val="00623A6D"/>
    <w:rsid w:val="006313C5"/>
    <w:rsid w:val="006335A9"/>
    <w:rsid w:val="00633D1F"/>
    <w:rsid w:val="006341E5"/>
    <w:rsid w:val="006522DB"/>
    <w:rsid w:val="0065713C"/>
    <w:rsid w:val="006623A9"/>
    <w:rsid w:val="00666484"/>
    <w:rsid w:val="00680CDD"/>
    <w:rsid w:val="0068245C"/>
    <w:rsid w:val="006A0754"/>
    <w:rsid w:val="006A490B"/>
    <w:rsid w:val="006A5A28"/>
    <w:rsid w:val="006E197D"/>
    <w:rsid w:val="006E4F59"/>
    <w:rsid w:val="006E78B8"/>
    <w:rsid w:val="006F2F5A"/>
    <w:rsid w:val="0071386D"/>
    <w:rsid w:val="00717855"/>
    <w:rsid w:val="00724B73"/>
    <w:rsid w:val="00734DBD"/>
    <w:rsid w:val="007405DD"/>
    <w:rsid w:val="007764DB"/>
    <w:rsid w:val="00783E4E"/>
    <w:rsid w:val="0078778E"/>
    <w:rsid w:val="00791088"/>
    <w:rsid w:val="007A10DE"/>
    <w:rsid w:val="007B5153"/>
    <w:rsid w:val="007C086D"/>
    <w:rsid w:val="007C2393"/>
    <w:rsid w:val="007C4D7F"/>
    <w:rsid w:val="007D20F1"/>
    <w:rsid w:val="007D29B9"/>
    <w:rsid w:val="007E0080"/>
    <w:rsid w:val="007E5157"/>
    <w:rsid w:val="007E7417"/>
    <w:rsid w:val="00807AD9"/>
    <w:rsid w:val="00826C5F"/>
    <w:rsid w:val="008404CD"/>
    <w:rsid w:val="00852118"/>
    <w:rsid w:val="00854AF8"/>
    <w:rsid w:val="0085747C"/>
    <w:rsid w:val="008677E9"/>
    <w:rsid w:val="00867B3C"/>
    <w:rsid w:val="0087371F"/>
    <w:rsid w:val="00894454"/>
    <w:rsid w:val="00896F59"/>
    <w:rsid w:val="00897D03"/>
    <w:rsid w:val="008B188F"/>
    <w:rsid w:val="008B284E"/>
    <w:rsid w:val="008B7050"/>
    <w:rsid w:val="008B7D46"/>
    <w:rsid w:val="008C225C"/>
    <w:rsid w:val="009409DF"/>
    <w:rsid w:val="00954F2B"/>
    <w:rsid w:val="00957B35"/>
    <w:rsid w:val="00984AA2"/>
    <w:rsid w:val="009A6FC8"/>
    <w:rsid w:val="009C6DE6"/>
    <w:rsid w:val="009F2FBC"/>
    <w:rsid w:val="009F74EE"/>
    <w:rsid w:val="00A01425"/>
    <w:rsid w:val="00A35D64"/>
    <w:rsid w:val="00A51158"/>
    <w:rsid w:val="00A7193B"/>
    <w:rsid w:val="00A77DA5"/>
    <w:rsid w:val="00AA7DF0"/>
    <w:rsid w:val="00AC2CD6"/>
    <w:rsid w:val="00AC33A3"/>
    <w:rsid w:val="00AF2504"/>
    <w:rsid w:val="00B02967"/>
    <w:rsid w:val="00B0720A"/>
    <w:rsid w:val="00B13FA5"/>
    <w:rsid w:val="00B22AB7"/>
    <w:rsid w:val="00B23A37"/>
    <w:rsid w:val="00B25872"/>
    <w:rsid w:val="00B336F5"/>
    <w:rsid w:val="00B62473"/>
    <w:rsid w:val="00B67F1C"/>
    <w:rsid w:val="00BA3A3C"/>
    <w:rsid w:val="00BD009D"/>
    <w:rsid w:val="00BD5948"/>
    <w:rsid w:val="00BE0E73"/>
    <w:rsid w:val="00BF4E87"/>
    <w:rsid w:val="00C063F0"/>
    <w:rsid w:val="00C2348D"/>
    <w:rsid w:val="00C35975"/>
    <w:rsid w:val="00C36389"/>
    <w:rsid w:val="00C630F7"/>
    <w:rsid w:val="00C824FE"/>
    <w:rsid w:val="00C82638"/>
    <w:rsid w:val="00C952D4"/>
    <w:rsid w:val="00CE3BDB"/>
    <w:rsid w:val="00CF55E9"/>
    <w:rsid w:val="00D02157"/>
    <w:rsid w:val="00D16674"/>
    <w:rsid w:val="00D40B48"/>
    <w:rsid w:val="00D562C7"/>
    <w:rsid w:val="00D5693D"/>
    <w:rsid w:val="00D633EA"/>
    <w:rsid w:val="00D664F0"/>
    <w:rsid w:val="00D775B2"/>
    <w:rsid w:val="00D83E67"/>
    <w:rsid w:val="00D84E17"/>
    <w:rsid w:val="00D86EE2"/>
    <w:rsid w:val="00DA24DB"/>
    <w:rsid w:val="00DA5DFE"/>
    <w:rsid w:val="00DD303E"/>
    <w:rsid w:val="00DE6708"/>
    <w:rsid w:val="00DF0E21"/>
    <w:rsid w:val="00DF20C8"/>
    <w:rsid w:val="00E21B82"/>
    <w:rsid w:val="00E22B00"/>
    <w:rsid w:val="00E25806"/>
    <w:rsid w:val="00E4466A"/>
    <w:rsid w:val="00E6241E"/>
    <w:rsid w:val="00E70EE0"/>
    <w:rsid w:val="00E8098B"/>
    <w:rsid w:val="00E82467"/>
    <w:rsid w:val="00EA1560"/>
    <w:rsid w:val="00EA27E2"/>
    <w:rsid w:val="00EB38BC"/>
    <w:rsid w:val="00ED096B"/>
    <w:rsid w:val="00EE3FE3"/>
    <w:rsid w:val="00EE62E6"/>
    <w:rsid w:val="00EF660D"/>
    <w:rsid w:val="00F13D7C"/>
    <w:rsid w:val="00F42F80"/>
    <w:rsid w:val="00F46D81"/>
    <w:rsid w:val="00F517F6"/>
    <w:rsid w:val="00F56592"/>
    <w:rsid w:val="00F56C5D"/>
    <w:rsid w:val="00F74AE6"/>
    <w:rsid w:val="00FC6206"/>
    <w:rsid w:val="00FC635C"/>
    <w:rsid w:val="00FD4643"/>
    <w:rsid w:val="00FD49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682995"/>
  <w15:docId w15:val="{F80757F6-B99A-40D5-8F5C-26869A4F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425"/>
    <w:pPr>
      <w:spacing w:before="120" w:after="200" w:line="360" w:lineRule="auto"/>
      <w:jc w:val="center"/>
      <w:outlineLvl w:val="0"/>
    </w:pPr>
    <w:rPr>
      <w:rFonts w:ascii="Times New Roman" w:eastAsia="Calibri" w:hAnsi="Times New Roman" w:cs="Times New Roman"/>
      <w:b/>
      <w:sz w:val="24"/>
      <w:szCs w:val="20"/>
      <w:lang w:eastAsia="en-AU"/>
    </w:rPr>
  </w:style>
  <w:style w:type="paragraph" w:styleId="Heading2">
    <w:name w:val="heading 2"/>
    <w:basedOn w:val="Normal"/>
    <w:next w:val="Normal"/>
    <w:link w:val="Heading2Char"/>
    <w:uiPriority w:val="9"/>
    <w:unhideWhenUsed/>
    <w:qFormat/>
    <w:rsid w:val="00A01425"/>
    <w:pPr>
      <w:keepNext/>
      <w:spacing w:before="240" w:after="60" w:line="360" w:lineRule="auto"/>
      <w:outlineLvl w:val="1"/>
    </w:pPr>
    <w:rPr>
      <w:rFonts w:ascii="Times New Roman" w:eastAsia="Times New Roman" w:hAnsi="Times New Roman" w:cs="Times New Roman"/>
      <w:b/>
      <w:bCs/>
      <w:i/>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DE6"/>
    <w:pPr>
      <w:ind w:left="720"/>
      <w:contextualSpacing/>
    </w:pPr>
  </w:style>
  <w:style w:type="paragraph" w:customStyle="1" w:styleId="EndNoteBibliographyTitle">
    <w:name w:val="EndNote Bibliography Title"/>
    <w:basedOn w:val="Normal"/>
    <w:link w:val="EndNoteBibliographyTitleChar"/>
    <w:rsid w:val="002B780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B780C"/>
    <w:rPr>
      <w:rFonts w:ascii="Calibri" w:hAnsi="Calibri"/>
      <w:noProof/>
      <w:lang w:val="en-US"/>
    </w:rPr>
  </w:style>
  <w:style w:type="paragraph" w:customStyle="1" w:styleId="EndNoteBibliography">
    <w:name w:val="EndNote Bibliography"/>
    <w:basedOn w:val="Normal"/>
    <w:link w:val="EndNoteBibliographyChar"/>
    <w:rsid w:val="002B780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B780C"/>
    <w:rPr>
      <w:rFonts w:ascii="Calibri" w:hAnsi="Calibri"/>
      <w:noProof/>
      <w:lang w:val="en-US"/>
    </w:rPr>
  </w:style>
  <w:style w:type="character" w:styleId="CommentReference">
    <w:name w:val="annotation reference"/>
    <w:basedOn w:val="DefaultParagraphFont"/>
    <w:uiPriority w:val="99"/>
    <w:semiHidden/>
    <w:unhideWhenUsed/>
    <w:rsid w:val="00EA27E2"/>
    <w:rPr>
      <w:sz w:val="16"/>
      <w:szCs w:val="16"/>
    </w:rPr>
  </w:style>
  <w:style w:type="paragraph" w:styleId="CommentText">
    <w:name w:val="annotation text"/>
    <w:basedOn w:val="Normal"/>
    <w:link w:val="CommentTextChar"/>
    <w:uiPriority w:val="99"/>
    <w:semiHidden/>
    <w:unhideWhenUsed/>
    <w:rsid w:val="00EA27E2"/>
    <w:pPr>
      <w:spacing w:line="240" w:lineRule="auto"/>
    </w:pPr>
    <w:rPr>
      <w:sz w:val="20"/>
      <w:szCs w:val="20"/>
    </w:rPr>
  </w:style>
  <w:style w:type="character" w:customStyle="1" w:styleId="CommentTextChar">
    <w:name w:val="Comment Text Char"/>
    <w:basedOn w:val="DefaultParagraphFont"/>
    <w:link w:val="CommentText"/>
    <w:uiPriority w:val="99"/>
    <w:semiHidden/>
    <w:rsid w:val="00EA27E2"/>
    <w:rPr>
      <w:sz w:val="20"/>
      <w:szCs w:val="20"/>
    </w:rPr>
  </w:style>
  <w:style w:type="paragraph" w:styleId="CommentSubject">
    <w:name w:val="annotation subject"/>
    <w:basedOn w:val="CommentText"/>
    <w:next w:val="CommentText"/>
    <w:link w:val="CommentSubjectChar"/>
    <w:uiPriority w:val="99"/>
    <w:semiHidden/>
    <w:unhideWhenUsed/>
    <w:rsid w:val="00EA27E2"/>
    <w:rPr>
      <w:b/>
      <w:bCs/>
    </w:rPr>
  </w:style>
  <w:style w:type="character" w:customStyle="1" w:styleId="CommentSubjectChar">
    <w:name w:val="Comment Subject Char"/>
    <w:basedOn w:val="CommentTextChar"/>
    <w:link w:val="CommentSubject"/>
    <w:uiPriority w:val="99"/>
    <w:semiHidden/>
    <w:rsid w:val="00EA27E2"/>
    <w:rPr>
      <w:b/>
      <w:bCs/>
      <w:sz w:val="20"/>
      <w:szCs w:val="20"/>
    </w:rPr>
  </w:style>
  <w:style w:type="paragraph" w:styleId="BalloonText">
    <w:name w:val="Balloon Text"/>
    <w:basedOn w:val="Normal"/>
    <w:link w:val="BalloonTextChar"/>
    <w:uiPriority w:val="99"/>
    <w:semiHidden/>
    <w:unhideWhenUsed/>
    <w:rsid w:val="00EA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7E2"/>
    <w:rPr>
      <w:rFonts w:ascii="Segoe UI" w:hAnsi="Segoe UI" w:cs="Segoe UI"/>
      <w:sz w:val="18"/>
      <w:szCs w:val="18"/>
    </w:rPr>
  </w:style>
  <w:style w:type="character" w:customStyle="1" w:styleId="Heading1Char">
    <w:name w:val="Heading 1 Char"/>
    <w:basedOn w:val="DefaultParagraphFont"/>
    <w:link w:val="Heading1"/>
    <w:uiPriority w:val="9"/>
    <w:rsid w:val="00A01425"/>
    <w:rPr>
      <w:rFonts w:ascii="Times New Roman" w:eastAsia="Calibri" w:hAnsi="Times New Roman" w:cs="Times New Roman"/>
      <w:b/>
      <w:sz w:val="24"/>
      <w:szCs w:val="20"/>
      <w:lang w:eastAsia="en-AU"/>
    </w:rPr>
  </w:style>
  <w:style w:type="character" w:customStyle="1" w:styleId="Heading2Char">
    <w:name w:val="Heading 2 Char"/>
    <w:basedOn w:val="DefaultParagraphFont"/>
    <w:link w:val="Heading2"/>
    <w:uiPriority w:val="9"/>
    <w:rsid w:val="00A01425"/>
    <w:rPr>
      <w:rFonts w:ascii="Times New Roman" w:eastAsia="Times New Roman" w:hAnsi="Times New Roman" w:cs="Times New Roman"/>
      <w:b/>
      <w:bCs/>
      <w:i/>
      <w:iCs/>
      <w:sz w:val="24"/>
      <w:szCs w:val="24"/>
      <w:lang w:eastAsia="en-AU"/>
    </w:rPr>
  </w:style>
  <w:style w:type="paragraph" w:styleId="NoSpacing">
    <w:name w:val="No Spacing"/>
    <w:uiPriority w:val="1"/>
    <w:qFormat/>
    <w:rsid w:val="00A01425"/>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6006B4"/>
    <w:rPr>
      <w:color w:val="0563C1" w:themeColor="hyperlink"/>
      <w:u w:val="single"/>
    </w:rPr>
  </w:style>
  <w:style w:type="character" w:customStyle="1" w:styleId="current-selection">
    <w:name w:val="current-selection"/>
    <w:basedOn w:val="DefaultParagraphFont"/>
    <w:rsid w:val="00B13FA5"/>
  </w:style>
  <w:style w:type="paragraph" w:styleId="Header">
    <w:name w:val="header"/>
    <w:basedOn w:val="Normal"/>
    <w:link w:val="HeaderChar"/>
    <w:uiPriority w:val="99"/>
    <w:unhideWhenUsed/>
    <w:rsid w:val="006F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F5A"/>
  </w:style>
  <w:style w:type="paragraph" w:styleId="Footer">
    <w:name w:val="footer"/>
    <w:basedOn w:val="Normal"/>
    <w:link w:val="FooterChar"/>
    <w:uiPriority w:val="99"/>
    <w:unhideWhenUsed/>
    <w:rsid w:val="006F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F5A"/>
  </w:style>
  <w:style w:type="paragraph" w:styleId="Revision">
    <w:name w:val="Revision"/>
    <w:hidden/>
    <w:uiPriority w:val="99"/>
    <w:semiHidden/>
    <w:rsid w:val="00BA3A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8331">
      <w:bodyDiv w:val="1"/>
      <w:marLeft w:val="0"/>
      <w:marRight w:val="0"/>
      <w:marTop w:val="0"/>
      <w:marBottom w:val="0"/>
      <w:divBdr>
        <w:top w:val="none" w:sz="0" w:space="0" w:color="auto"/>
        <w:left w:val="none" w:sz="0" w:space="0" w:color="auto"/>
        <w:bottom w:val="none" w:sz="0" w:space="0" w:color="auto"/>
        <w:right w:val="none" w:sz="0" w:space="0" w:color="auto"/>
      </w:divBdr>
      <w:divsChild>
        <w:div w:id="369771229">
          <w:marLeft w:val="0"/>
          <w:marRight w:val="0"/>
          <w:marTop w:val="0"/>
          <w:marBottom w:val="0"/>
          <w:divBdr>
            <w:top w:val="none" w:sz="0" w:space="0" w:color="auto"/>
            <w:left w:val="none" w:sz="0" w:space="0" w:color="auto"/>
            <w:bottom w:val="none" w:sz="0" w:space="0" w:color="auto"/>
            <w:right w:val="none" w:sz="0" w:space="0" w:color="auto"/>
          </w:divBdr>
        </w:div>
        <w:div w:id="819809506">
          <w:marLeft w:val="0"/>
          <w:marRight w:val="0"/>
          <w:marTop w:val="0"/>
          <w:marBottom w:val="0"/>
          <w:divBdr>
            <w:top w:val="none" w:sz="0" w:space="0" w:color="auto"/>
            <w:left w:val="none" w:sz="0" w:space="0" w:color="auto"/>
            <w:bottom w:val="none" w:sz="0" w:space="0" w:color="auto"/>
            <w:right w:val="none" w:sz="0" w:space="0" w:color="auto"/>
          </w:divBdr>
        </w:div>
      </w:divsChild>
    </w:div>
    <w:div w:id="205529928">
      <w:bodyDiv w:val="1"/>
      <w:marLeft w:val="0"/>
      <w:marRight w:val="0"/>
      <w:marTop w:val="0"/>
      <w:marBottom w:val="0"/>
      <w:divBdr>
        <w:top w:val="none" w:sz="0" w:space="0" w:color="auto"/>
        <w:left w:val="none" w:sz="0" w:space="0" w:color="auto"/>
        <w:bottom w:val="none" w:sz="0" w:space="0" w:color="auto"/>
        <w:right w:val="none" w:sz="0" w:space="0" w:color="auto"/>
      </w:divBdr>
      <w:divsChild>
        <w:div w:id="343291177">
          <w:marLeft w:val="0"/>
          <w:marRight w:val="0"/>
          <w:marTop w:val="0"/>
          <w:marBottom w:val="0"/>
          <w:divBdr>
            <w:top w:val="none" w:sz="0" w:space="0" w:color="auto"/>
            <w:left w:val="none" w:sz="0" w:space="0" w:color="auto"/>
            <w:bottom w:val="none" w:sz="0" w:space="0" w:color="auto"/>
            <w:right w:val="none" w:sz="0" w:space="0" w:color="auto"/>
          </w:divBdr>
        </w:div>
        <w:div w:id="1908877372">
          <w:marLeft w:val="0"/>
          <w:marRight w:val="0"/>
          <w:marTop w:val="0"/>
          <w:marBottom w:val="0"/>
          <w:divBdr>
            <w:top w:val="none" w:sz="0" w:space="0" w:color="auto"/>
            <w:left w:val="none" w:sz="0" w:space="0" w:color="auto"/>
            <w:bottom w:val="none" w:sz="0" w:space="0" w:color="auto"/>
            <w:right w:val="none" w:sz="0" w:space="0" w:color="auto"/>
          </w:divBdr>
        </w:div>
      </w:divsChild>
    </w:div>
    <w:div w:id="358970781">
      <w:bodyDiv w:val="1"/>
      <w:marLeft w:val="0"/>
      <w:marRight w:val="0"/>
      <w:marTop w:val="0"/>
      <w:marBottom w:val="0"/>
      <w:divBdr>
        <w:top w:val="none" w:sz="0" w:space="0" w:color="auto"/>
        <w:left w:val="none" w:sz="0" w:space="0" w:color="auto"/>
        <w:bottom w:val="none" w:sz="0" w:space="0" w:color="auto"/>
        <w:right w:val="none" w:sz="0" w:space="0" w:color="auto"/>
      </w:divBdr>
      <w:divsChild>
        <w:div w:id="136381306">
          <w:marLeft w:val="0"/>
          <w:marRight w:val="0"/>
          <w:marTop w:val="0"/>
          <w:marBottom w:val="0"/>
          <w:divBdr>
            <w:top w:val="none" w:sz="0" w:space="0" w:color="auto"/>
            <w:left w:val="none" w:sz="0" w:space="0" w:color="auto"/>
            <w:bottom w:val="none" w:sz="0" w:space="0" w:color="auto"/>
            <w:right w:val="none" w:sz="0" w:space="0" w:color="auto"/>
          </w:divBdr>
        </w:div>
        <w:div w:id="1792749101">
          <w:marLeft w:val="0"/>
          <w:marRight w:val="0"/>
          <w:marTop w:val="0"/>
          <w:marBottom w:val="0"/>
          <w:divBdr>
            <w:top w:val="none" w:sz="0" w:space="0" w:color="auto"/>
            <w:left w:val="none" w:sz="0" w:space="0" w:color="auto"/>
            <w:bottom w:val="none" w:sz="0" w:space="0" w:color="auto"/>
            <w:right w:val="none" w:sz="0" w:space="0" w:color="auto"/>
          </w:divBdr>
        </w:div>
      </w:divsChild>
    </w:div>
    <w:div w:id="724916454">
      <w:bodyDiv w:val="1"/>
      <w:marLeft w:val="0"/>
      <w:marRight w:val="0"/>
      <w:marTop w:val="0"/>
      <w:marBottom w:val="0"/>
      <w:divBdr>
        <w:top w:val="none" w:sz="0" w:space="0" w:color="auto"/>
        <w:left w:val="none" w:sz="0" w:space="0" w:color="auto"/>
        <w:bottom w:val="none" w:sz="0" w:space="0" w:color="auto"/>
        <w:right w:val="none" w:sz="0" w:space="0" w:color="auto"/>
      </w:divBdr>
    </w:div>
    <w:div w:id="964433288">
      <w:bodyDiv w:val="1"/>
      <w:marLeft w:val="0"/>
      <w:marRight w:val="0"/>
      <w:marTop w:val="0"/>
      <w:marBottom w:val="0"/>
      <w:divBdr>
        <w:top w:val="none" w:sz="0" w:space="0" w:color="auto"/>
        <w:left w:val="none" w:sz="0" w:space="0" w:color="auto"/>
        <w:bottom w:val="none" w:sz="0" w:space="0" w:color="auto"/>
        <w:right w:val="none" w:sz="0" w:space="0" w:color="auto"/>
      </w:divBdr>
    </w:div>
    <w:div w:id="1062101657">
      <w:bodyDiv w:val="1"/>
      <w:marLeft w:val="0"/>
      <w:marRight w:val="0"/>
      <w:marTop w:val="0"/>
      <w:marBottom w:val="0"/>
      <w:divBdr>
        <w:top w:val="none" w:sz="0" w:space="0" w:color="auto"/>
        <w:left w:val="none" w:sz="0" w:space="0" w:color="auto"/>
        <w:bottom w:val="none" w:sz="0" w:space="0" w:color="auto"/>
        <w:right w:val="none" w:sz="0" w:space="0" w:color="auto"/>
      </w:divBdr>
    </w:div>
    <w:div w:id="1133791284">
      <w:bodyDiv w:val="1"/>
      <w:marLeft w:val="0"/>
      <w:marRight w:val="0"/>
      <w:marTop w:val="0"/>
      <w:marBottom w:val="0"/>
      <w:divBdr>
        <w:top w:val="none" w:sz="0" w:space="0" w:color="auto"/>
        <w:left w:val="none" w:sz="0" w:space="0" w:color="auto"/>
        <w:bottom w:val="none" w:sz="0" w:space="0" w:color="auto"/>
        <w:right w:val="none" w:sz="0" w:space="0" w:color="auto"/>
      </w:divBdr>
      <w:divsChild>
        <w:div w:id="723136753">
          <w:marLeft w:val="0"/>
          <w:marRight w:val="0"/>
          <w:marTop w:val="0"/>
          <w:marBottom w:val="0"/>
          <w:divBdr>
            <w:top w:val="none" w:sz="0" w:space="0" w:color="auto"/>
            <w:left w:val="none" w:sz="0" w:space="0" w:color="auto"/>
            <w:bottom w:val="none" w:sz="0" w:space="0" w:color="auto"/>
            <w:right w:val="none" w:sz="0" w:space="0" w:color="auto"/>
          </w:divBdr>
        </w:div>
        <w:div w:id="32671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re.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5" ma:contentTypeDescription="Create a new document." ma:contentTypeScope="" ma:versionID="12f48b30909ff7744058b95d99267b88">
  <xsd:schema xmlns:xsd="http://www.w3.org/2001/XMLSchema" xmlns:xs="http://www.w3.org/2001/XMLSchema" xmlns:p="http://schemas.microsoft.com/office/2006/metadata/properties" xmlns:ns3="69d41ba9-e8e0-4f47-b574-3308d1a1fff4" xmlns:ns4="b73d7e88-5fca-4bc7-8c15-17afa20ac46c" targetNamespace="http://schemas.microsoft.com/office/2006/metadata/properties" ma:root="true" ma:fieldsID="e4105fdb62c2cad606a816f174a4b989" ns3:_="" ns4:_="">
    <xsd:import namespace="69d41ba9-e8e0-4f47-b574-3308d1a1fff4"/>
    <xsd:import namespace="b73d7e88-5fca-4bc7-8c15-17afa20ac4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F7029-20C1-43A2-B122-7DD7B50E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41ba9-e8e0-4f47-b574-3308d1a1fff4"/>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1FCB8-7476-400B-9926-AACA4256E4A8}">
  <ds:schemaRefs>
    <ds:schemaRef ds:uri="http://schemas.microsoft.com/sharepoint/v3/contenttype/forms"/>
  </ds:schemaRefs>
</ds:datastoreItem>
</file>

<file path=customXml/itemProps3.xml><?xml version="1.0" encoding="utf-8"?>
<ds:datastoreItem xmlns:ds="http://schemas.openxmlformats.org/officeDocument/2006/customXml" ds:itemID="{EE1C56DD-76D3-4407-96ED-B1943E7E1A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65C624-C9C2-4062-9A41-23029709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7002</Words>
  <Characters>38373</Characters>
  <Application>Microsoft Office Word</Application>
  <DocSecurity>0</DocSecurity>
  <Lines>518</Lines>
  <Paragraphs>195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Pennay</dc:creator>
  <cp:keywords/>
  <dc:description/>
  <cp:lastModifiedBy>Sarah Callinan</cp:lastModifiedBy>
  <cp:revision>2</cp:revision>
  <cp:lastPrinted>2016-10-10T05:51:00Z</cp:lastPrinted>
  <dcterms:created xsi:type="dcterms:W3CDTF">2019-11-09T03:11:00Z</dcterms:created>
  <dcterms:modified xsi:type="dcterms:W3CDTF">2019-11-09T03:11:00Z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